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8D1E29" w14:paraId="43B47E12" w14:textId="77777777" w:rsidTr="002643B3">
        <w:trPr>
          <w:trHeight w:val="290"/>
        </w:trPr>
        <w:tc>
          <w:tcPr>
            <w:tcW w:w="5000" w:type="pct"/>
            <w:gridSpan w:val="2"/>
            <w:tcBorders>
              <w:top w:val="nil"/>
              <w:left w:val="nil"/>
              <w:right w:val="nil"/>
            </w:tcBorders>
          </w:tcPr>
          <w:p w14:paraId="6BB2C174" w14:textId="77777777" w:rsidR="00602F7D" w:rsidRPr="008D1E29" w:rsidRDefault="00602F7D" w:rsidP="00F2643C">
            <w:pPr>
              <w:pStyle w:val="Heading2"/>
              <w:jc w:val="left"/>
              <w:rPr>
                <w:rFonts w:ascii="Arial" w:hAnsi="Arial" w:cs="Arial"/>
                <w:b w:val="0"/>
                <w:bCs w:val="0"/>
                <w:lang w:val="en-GB"/>
              </w:rPr>
            </w:pPr>
          </w:p>
        </w:tc>
      </w:tr>
      <w:tr w:rsidR="0000007A" w:rsidRPr="008D1E29" w14:paraId="09A724E0" w14:textId="77777777" w:rsidTr="002643B3">
        <w:trPr>
          <w:trHeight w:val="290"/>
        </w:trPr>
        <w:tc>
          <w:tcPr>
            <w:tcW w:w="1234" w:type="pct"/>
          </w:tcPr>
          <w:p w14:paraId="7E5546D6" w14:textId="77777777" w:rsidR="0000007A" w:rsidRPr="008D1E29" w:rsidRDefault="0000007A" w:rsidP="00696CAD">
            <w:pPr>
              <w:pStyle w:val="BodyText"/>
              <w:ind w:left="90"/>
              <w:jc w:val="left"/>
              <w:rPr>
                <w:rFonts w:ascii="Arial" w:hAnsi="Arial" w:cs="Arial"/>
                <w:bCs/>
                <w:sz w:val="20"/>
                <w:szCs w:val="20"/>
                <w:lang w:val="en-GB"/>
              </w:rPr>
            </w:pPr>
            <w:r w:rsidRPr="008D1E29">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288B78D4" w14:textId="77777777" w:rsidR="0000007A" w:rsidRPr="008D1E29" w:rsidRDefault="000532A0" w:rsidP="00E65EB7">
            <w:pPr>
              <w:rPr>
                <w:rFonts w:ascii="Arial" w:hAnsi="Arial" w:cs="Arial"/>
                <w:b/>
                <w:bCs/>
                <w:color w:val="0000FF"/>
                <w:sz w:val="20"/>
                <w:szCs w:val="20"/>
              </w:rPr>
            </w:pPr>
            <w:hyperlink r:id="rId8" w:history="1">
              <w:r w:rsidR="005B661D" w:rsidRPr="008D1E29">
                <w:rPr>
                  <w:rStyle w:val="Hyperlink"/>
                  <w:rFonts w:ascii="Arial" w:hAnsi="Arial" w:cs="Arial"/>
                  <w:b/>
                  <w:bCs/>
                  <w:sz w:val="20"/>
                  <w:szCs w:val="20"/>
                </w:rPr>
                <w:t>European Journal of Nutrition &amp; Food Safety</w:t>
              </w:r>
            </w:hyperlink>
            <w:r w:rsidR="005B661D" w:rsidRPr="008D1E29">
              <w:rPr>
                <w:rFonts w:ascii="Arial" w:hAnsi="Arial" w:cs="Arial"/>
                <w:b/>
                <w:bCs/>
                <w:color w:val="0000FF"/>
                <w:sz w:val="20"/>
                <w:szCs w:val="20"/>
              </w:rPr>
              <w:t xml:space="preserve"> </w:t>
            </w:r>
          </w:p>
        </w:tc>
      </w:tr>
      <w:tr w:rsidR="0000007A" w:rsidRPr="008D1E29" w14:paraId="0C42354B" w14:textId="77777777" w:rsidTr="002643B3">
        <w:trPr>
          <w:trHeight w:val="290"/>
        </w:trPr>
        <w:tc>
          <w:tcPr>
            <w:tcW w:w="1234" w:type="pct"/>
          </w:tcPr>
          <w:p w14:paraId="6C3E6044" w14:textId="77777777" w:rsidR="0000007A" w:rsidRPr="008D1E29" w:rsidRDefault="0000007A" w:rsidP="00696CAD">
            <w:pPr>
              <w:pStyle w:val="BodyText"/>
              <w:ind w:left="90"/>
              <w:jc w:val="left"/>
              <w:rPr>
                <w:rFonts w:ascii="Arial" w:hAnsi="Arial" w:cs="Arial"/>
                <w:bCs/>
                <w:sz w:val="20"/>
                <w:szCs w:val="20"/>
                <w:lang w:val="en-GB"/>
              </w:rPr>
            </w:pPr>
            <w:r w:rsidRPr="008D1E29">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0000811" w14:textId="77777777" w:rsidR="0000007A" w:rsidRPr="008D1E29" w:rsidRDefault="002157DA" w:rsidP="00F3669D">
            <w:pPr>
              <w:pStyle w:val="NormalWeb"/>
              <w:spacing w:before="0" w:beforeAutospacing="0" w:after="0" w:afterAutospacing="0"/>
              <w:rPr>
                <w:rFonts w:ascii="Arial" w:hAnsi="Arial" w:cs="Arial"/>
                <w:b/>
                <w:bCs/>
                <w:sz w:val="20"/>
                <w:szCs w:val="20"/>
                <w:lang w:val="en-GB"/>
              </w:rPr>
            </w:pPr>
            <w:r w:rsidRPr="008D1E29">
              <w:rPr>
                <w:rFonts w:ascii="Arial" w:hAnsi="Arial" w:cs="Arial"/>
                <w:b/>
                <w:bCs/>
                <w:sz w:val="20"/>
                <w:szCs w:val="20"/>
                <w:lang w:val="en-GB"/>
              </w:rPr>
              <w:t>Ms_EJNFS_154247</w:t>
            </w:r>
          </w:p>
        </w:tc>
      </w:tr>
      <w:tr w:rsidR="0000007A" w:rsidRPr="008D1E29" w14:paraId="1D587EC5" w14:textId="77777777" w:rsidTr="002643B3">
        <w:trPr>
          <w:trHeight w:val="650"/>
        </w:trPr>
        <w:tc>
          <w:tcPr>
            <w:tcW w:w="1234" w:type="pct"/>
          </w:tcPr>
          <w:p w14:paraId="63032BCD" w14:textId="77777777" w:rsidR="0000007A" w:rsidRPr="008D1E29" w:rsidRDefault="0000007A" w:rsidP="00696CAD">
            <w:pPr>
              <w:pStyle w:val="BodyText"/>
              <w:ind w:left="90"/>
              <w:jc w:val="left"/>
              <w:rPr>
                <w:rFonts w:ascii="Arial" w:hAnsi="Arial" w:cs="Arial"/>
                <w:bCs/>
                <w:sz w:val="20"/>
                <w:szCs w:val="20"/>
                <w:lang w:val="en-GB"/>
              </w:rPr>
            </w:pPr>
            <w:r w:rsidRPr="008D1E29">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0BB44219" w14:textId="77777777" w:rsidR="0000007A" w:rsidRPr="008D1E29" w:rsidRDefault="00FA07FC" w:rsidP="000450FC">
            <w:pPr>
              <w:pStyle w:val="NormalWeb"/>
              <w:spacing w:before="0" w:beforeAutospacing="0" w:after="0" w:afterAutospacing="0"/>
              <w:rPr>
                <w:rFonts w:ascii="Arial" w:hAnsi="Arial" w:cs="Arial"/>
                <w:b/>
                <w:sz w:val="20"/>
                <w:szCs w:val="20"/>
                <w:lang w:val="en-GB"/>
              </w:rPr>
            </w:pPr>
            <w:r w:rsidRPr="008D1E29">
              <w:rPr>
                <w:rFonts w:ascii="Arial" w:hAnsi="Arial" w:cs="Arial"/>
                <w:b/>
                <w:sz w:val="20"/>
                <w:szCs w:val="20"/>
                <w:lang w:val="en-GB"/>
              </w:rPr>
              <w:t>Physiological and Biochemical Drivers of Post-Harvest Deterioration in Horticultural Crops: A Review of Management Strategies and Emerging Preservation Technologies</w:t>
            </w:r>
          </w:p>
        </w:tc>
      </w:tr>
      <w:tr w:rsidR="00CF0BBB" w:rsidRPr="008D1E29" w14:paraId="4D0433AA" w14:textId="77777777" w:rsidTr="002643B3">
        <w:trPr>
          <w:trHeight w:val="332"/>
        </w:trPr>
        <w:tc>
          <w:tcPr>
            <w:tcW w:w="1234" w:type="pct"/>
          </w:tcPr>
          <w:p w14:paraId="6703FC31" w14:textId="77777777" w:rsidR="00CF0BBB" w:rsidRPr="008D1E29" w:rsidRDefault="00CF0BBB" w:rsidP="00696CAD">
            <w:pPr>
              <w:pStyle w:val="BodyText"/>
              <w:ind w:left="90"/>
              <w:jc w:val="left"/>
              <w:rPr>
                <w:rFonts w:ascii="Arial" w:hAnsi="Arial" w:cs="Arial"/>
                <w:bCs/>
                <w:sz w:val="20"/>
                <w:szCs w:val="20"/>
                <w:lang w:val="en-GB"/>
              </w:rPr>
            </w:pPr>
            <w:r w:rsidRPr="008D1E29">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1EEEDF96" w14:textId="77777777" w:rsidR="00CF0BBB" w:rsidRPr="008D1E29" w:rsidRDefault="00EC331A" w:rsidP="000450FC">
            <w:pPr>
              <w:pStyle w:val="NormalWeb"/>
              <w:spacing w:before="0" w:beforeAutospacing="0" w:after="0" w:afterAutospacing="0"/>
              <w:rPr>
                <w:rFonts w:ascii="Arial" w:hAnsi="Arial" w:cs="Arial"/>
                <w:b/>
                <w:sz w:val="20"/>
                <w:szCs w:val="20"/>
                <w:lang w:val="en-GB"/>
              </w:rPr>
            </w:pPr>
            <w:r w:rsidRPr="008D1E29">
              <w:rPr>
                <w:rFonts w:ascii="Arial" w:hAnsi="Arial" w:cs="Arial"/>
                <w:b/>
                <w:sz w:val="20"/>
                <w:szCs w:val="20"/>
                <w:lang w:val="en-GB"/>
              </w:rPr>
              <w:t>Review Article</w:t>
            </w:r>
          </w:p>
        </w:tc>
      </w:tr>
    </w:tbl>
    <w:p w14:paraId="353EE71C" w14:textId="77777777" w:rsidR="00037D52" w:rsidRPr="008D1E29" w:rsidRDefault="00037D52" w:rsidP="0000007A">
      <w:pPr>
        <w:pStyle w:val="BodyText"/>
        <w:rPr>
          <w:rFonts w:ascii="Arial" w:hAnsi="Arial" w:cs="Arial"/>
          <w:b/>
          <w:bCs/>
          <w:sz w:val="20"/>
          <w:szCs w:val="20"/>
          <w:u w:val="single"/>
          <w:lang w:val="en-GB"/>
        </w:rPr>
      </w:pPr>
    </w:p>
    <w:p w14:paraId="4934FBA8" w14:textId="77777777" w:rsidR="000D235F" w:rsidRPr="008D1E29" w:rsidRDefault="000D235F" w:rsidP="000D235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D235F" w:rsidRPr="008D1E29" w14:paraId="2D24D33B" w14:textId="77777777" w:rsidTr="002A216A">
        <w:tc>
          <w:tcPr>
            <w:tcW w:w="5000" w:type="pct"/>
            <w:gridSpan w:val="3"/>
            <w:tcBorders>
              <w:top w:val="nil"/>
              <w:left w:val="nil"/>
              <w:right w:val="nil"/>
            </w:tcBorders>
            <w:noWrap/>
          </w:tcPr>
          <w:p w14:paraId="10A737BF" w14:textId="77777777" w:rsidR="000D235F" w:rsidRPr="008D1E29" w:rsidRDefault="000D235F">
            <w:pPr>
              <w:pStyle w:val="Heading2"/>
              <w:jc w:val="left"/>
              <w:rPr>
                <w:rFonts w:ascii="Arial" w:hAnsi="Arial" w:cs="Arial"/>
                <w:lang w:val="en-GB"/>
              </w:rPr>
            </w:pPr>
            <w:r w:rsidRPr="008D1E29">
              <w:rPr>
                <w:rFonts w:ascii="Arial" w:hAnsi="Arial" w:cs="Arial"/>
                <w:highlight w:val="yellow"/>
                <w:lang w:val="en-GB"/>
              </w:rPr>
              <w:t>PART  1:</w:t>
            </w:r>
            <w:r w:rsidRPr="008D1E29">
              <w:rPr>
                <w:rFonts w:ascii="Arial" w:hAnsi="Arial" w:cs="Arial"/>
                <w:lang w:val="en-GB"/>
              </w:rPr>
              <w:t xml:space="preserve"> Comments</w:t>
            </w:r>
          </w:p>
          <w:p w14:paraId="7A125A72" w14:textId="77777777" w:rsidR="000D235F" w:rsidRPr="008D1E29" w:rsidRDefault="000D235F">
            <w:pPr>
              <w:rPr>
                <w:rFonts w:ascii="Arial" w:hAnsi="Arial" w:cs="Arial"/>
                <w:sz w:val="20"/>
                <w:szCs w:val="20"/>
                <w:lang w:val="en-GB"/>
              </w:rPr>
            </w:pPr>
          </w:p>
        </w:tc>
      </w:tr>
      <w:tr w:rsidR="000D235F" w:rsidRPr="008D1E29" w14:paraId="19413E9E" w14:textId="77777777" w:rsidTr="002A216A">
        <w:tc>
          <w:tcPr>
            <w:tcW w:w="1265" w:type="pct"/>
            <w:noWrap/>
          </w:tcPr>
          <w:p w14:paraId="78C85606" w14:textId="77777777" w:rsidR="000D235F" w:rsidRPr="008D1E29" w:rsidRDefault="000D235F">
            <w:pPr>
              <w:pStyle w:val="Heading2"/>
              <w:jc w:val="left"/>
              <w:rPr>
                <w:rFonts w:ascii="Arial" w:hAnsi="Arial" w:cs="Arial"/>
                <w:lang w:val="en-GB"/>
              </w:rPr>
            </w:pPr>
          </w:p>
        </w:tc>
        <w:tc>
          <w:tcPr>
            <w:tcW w:w="2212" w:type="pct"/>
          </w:tcPr>
          <w:p w14:paraId="38990AFB" w14:textId="77777777" w:rsidR="000D235F" w:rsidRPr="008D1E29" w:rsidRDefault="000D235F">
            <w:pPr>
              <w:pStyle w:val="Heading2"/>
              <w:jc w:val="left"/>
              <w:rPr>
                <w:rFonts w:ascii="Arial" w:hAnsi="Arial" w:cs="Arial"/>
                <w:lang w:val="en-GB"/>
              </w:rPr>
            </w:pPr>
            <w:r w:rsidRPr="008D1E29">
              <w:rPr>
                <w:rFonts w:ascii="Arial" w:hAnsi="Arial" w:cs="Arial"/>
                <w:lang w:val="en-GB"/>
              </w:rPr>
              <w:t>Reviewer’s comment</w:t>
            </w:r>
          </w:p>
          <w:p w14:paraId="6247211D" w14:textId="77777777" w:rsidR="00C63963" w:rsidRPr="008D1E29" w:rsidRDefault="00C63963" w:rsidP="00B3262C">
            <w:pPr>
              <w:rPr>
                <w:rFonts w:ascii="Arial" w:hAnsi="Arial" w:cs="Arial"/>
                <w:sz w:val="20"/>
                <w:szCs w:val="20"/>
                <w:lang w:val="en-GB"/>
              </w:rPr>
            </w:pPr>
          </w:p>
        </w:tc>
        <w:tc>
          <w:tcPr>
            <w:tcW w:w="1523" w:type="pct"/>
          </w:tcPr>
          <w:p w14:paraId="5DCE3EE2" w14:textId="77777777" w:rsidR="004B3149" w:rsidRPr="008D1E29" w:rsidRDefault="004B3149" w:rsidP="004B3149">
            <w:pPr>
              <w:spacing w:after="160" w:line="254" w:lineRule="auto"/>
              <w:rPr>
                <w:rFonts w:ascii="Arial" w:eastAsia="Calibri" w:hAnsi="Arial" w:cs="Arial"/>
                <w:kern w:val="2"/>
                <w:sz w:val="20"/>
                <w:szCs w:val="20"/>
                <w:lang w:val="en-IN"/>
              </w:rPr>
            </w:pPr>
            <w:r w:rsidRPr="008D1E29">
              <w:rPr>
                <w:rFonts w:ascii="Arial" w:eastAsia="Calibri" w:hAnsi="Arial" w:cs="Arial"/>
                <w:b/>
                <w:kern w:val="2"/>
                <w:sz w:val="20"/>
                <w:szCs w:val="20"/>
                <w:lang w:val="en-IN"/>
              </w:rPr>
              <w:t>Author’s Feedback</w:t>
            </w:r>
            <w:r w:rsidRPr="008D1E29">
              <w:rPr>
                <w:rFonts w:ascii="Arial" w:eastAsia="Calibri" w:hAnsi="Arial" w:cs="Arial"/>
                <w:kern w:val="2"/>
                <w:sz w:val="20"/>
                <w:szCs w:val="20"/>
                <w:lang w:val="en-IN"/>
              </w:rPr>
              <w:t xml:space="preserve"> (It is mandatory that authors should write his/her feedback here)</w:t>
            </w:r>
          </w:p>
          <w:p w14:paraId="4C4F4CC7" w14:textId="77777777" w:rsidR="000D235F" w:rsidRPr="008D1E29" w:rsidRDefault="000D235F">
            <w:pPr>
              <w:pStyle w:val="Heading2"/>
              <w:jc w:val="left"/>
              <w:rPr>
                <w:rFonts w:ascii="Arial" w:hAnsi="Arial" w:cs="Arial"/>
                <w:b w:val="0"/>
                <w:lang w:val="en-GB"/>
              </w:rPr>
            </w:pPr>
          </w:p>
        </w:tc>
      </w:tr>
      <w:tr w:rsidR="00E94ED6" w:rsidRPr="008D1E29" w14:paraId="6E25835C" w14:textId="77777777" w:rsidTr="002A216A">
        <w:trPr>
          <w:trHeight w:val="1264"/>
        </w:trPr>
        <w:tc>
          <w:tcPr>
            <w:tcW w:w="1265" w:type="pct"/>
            <w:noWrap/>
          </w:tcPr>
          <w:p w14:paraId="770C0272" w14:textId="77777777" w:rsidR="00E94ED6" w:rsidRPr="008D1E29" w:rsidRDefault="00E94ED6" w:rsidP="00E94ED6">
            <w:pPr>
              <w:ind w:left="360"/>
              <w:rPr>
                <w:rFonts w:ascii="Arial" w:hAnsi="Arial" w:cs="Arial"/>
                <w:b/>
                <w:bCs/>
                <w:sz w:val="20"/>
                <w:szCs w:val="20"/>
                <w:lang w:val="en-GB"/>
              </w:rPr>
            </w:pPr>
            <w:r w:rsidRPr="008D1E2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2C6C175" w14:textId="77777777" w:rsidR="00E94ED6" w:rsidRPr="008D1E29" w:rsidRDefault="00E94ED6" w:rsidP="00E94ED6">
            <w:pPr>
              <w:ind w:left="360"/>
              <w:rPr>
                <w:rFonts w:ascii="Arial" w:eastAsia="MS Mincho" w:hAnsi="Arial" w:cs="Arial"/>
                <w:b/>
                <w:bCs/>
                <w:sz w:val="20"/>
                <w:szCs w:val="20"/>
                <w:lang w:val="en-GB"/>
              </w:rPr>
            </w:pPr>
          </w:p>
        </w:tc>
        <w:tc>
          <w:tcPr>
            <w:tcW w:w="2212" w:type="pct"/>
          </w:tcPr>
          <w:p w14:paraId="3DF86A83" w14:textId="77777777" w:rsidR="00E94ED6" w:rsidRPr="008D1E29" w:rsidRDefault="00E94ED6" w:rsidP="00E94ED6">
            <w:pPr>
              <w:pStyle w:val="ListParagraph"/>
              <w:ind w:left="0"/>
              <w:rPr>
                <w:rFonts w:ascii="Arial" w:hAnsi="Arial" w:cs="Arial"/>
                <w:bCs/>
                <w:sz w:val="20"/>
                <w:szCs w:val="20"/>
                <w:lang w:val="en-GB"/>
              </w:rPr>
            </w:pPr>
            <w:r w:rsidRPr="008D1E29">
              <w:rPr>
                <w:rFonts w:ascii="Arial" w:hAnsi="Arial" w:cs="Arial"/>
                <w:bCs/>
                <w:sz w:val="20"/>
                <w:szCs w:val="20"/>
                <w:lang w:val="en-GB"/>
              </w:rPr>
              <w:t>This manuscript addresses a critical bottleneck in the horticultural value chain by integrating physiological, biochemical, technological, and socio-economic drivers of post-harvest losses in fruits and vegetables. By bringing together classical post-harvest physiology (respiration, ethylene, enzymatic browning, and water loss) with emerging tools such as nanotechnology, smart packaging, cold-chain IoT, and biological control, it offers a broad yet coherent view that is highly relevant for food and nutrition security. The focus on developing-country contexts, smallholder constraints, and low-cost technologies makes the review particularly valuable for applied researchers, extension workers, and policy makers working at the interface of human nutrition, food science and technology, and value-chain development. In addition, the identification of concrete research gaps (e.g. crop-specific protocols, loss quantification, and eco-friendly treatments) can guide future experimental work and translational research programs in post-harvest science.</w:t>
            </w:r>
          </w:p>
        </w:tc>
        <w:tc>
          <w:tcPr>
            <w:tcW w:w="1523" w:type="pct"/>
          </w:tcPr>
          <w:p w14:paraId="7E1B0897" w14:textId="3A812F5D" w:rsidR="00E94ED6" w:rsidRPr="008D1E29" w:rsidRDefault="00E94ED6" w:rsidP="00E94ED6">
            <w:pPr>
              <w:pStyle w:val="Heading2"/>
              <w:jc w:val="left"/>
              <w:rPr>
                <w:rFonts w:ascii="Arial" w:hAnsi="Arial" w:cs="Arial"/>
                <w:b w:val="0"/>
                <w:lang w:val="en-GB"/>
              </w:rPr>
            </w:pPr>
            <w:r w:rsidRPr="008D1E29">
              <w:rPr>
                <w:rFonts w:ascii="Arial" w:hAnsi="Arial" w:cs="Arial"/>
                <w:b w:val="0"/>
                <w:lang w:val="en-US"/>
              </w:rPr>
              <w:t>This manuscript provides significant value to the scientific community by synthesizing current knowledge on the biochemical and physiological mechanisms underlying post-harvest deterioration in horticultural crops. By integrating discussions on respiration dynamics, ethylene biosynthesis and signaling, and the role of cell wall–modifying enzymes such as pectinases and cellulases, it offers a comprehensive mechanistic framework that supports both fundamental research and applied post-harvest management strategies. The review further evaluates established preservation techniques, including Controlled Atmosphere and Modified Atmosphere storage systems, alongside emerging innovations such as CRISPR-based genome editing. By bridging post-harvest physiology with advances in biotechnology and sustainability-oriented production systems, the manuscript contributes a forward-looking perspective aimed at minimizing losses, improving quality retention, and enhancing global food system resilience.</w:t>
            </w:r>
          </w:p>
        </w:tc>
      </w:tr>
      <w:tr w:rsidR="00E94ED6" w:rsidRPr="008D1E29" w14:paraId="645E2380" w14:textId="77777777" w:rsidTr="002A216A">
        <w:trPr>
          <w:trHeight w:val="1262"/>
        </w:trPr>
        <w:tc>
          <w:tcPr>
            <w:tcW w:w="1265" w:type="pct"/>
            <w:noWrap/>
          </w:tcPr>
          <w:p w14:paraId="302D6007" w14:textId="77777777" w:rsidR="00E94ED6" w:rsidRPr="008D1E29" w:rsidRDefault="00E94ED6" w:rsidP="00E94ED6">
            <w:pPr>
              <w:ind w:left="360"/>
              <w:rPr>
                <w:rFonts w:ascii="Arial" w:hAnsi="Arial" w:cs="Arial"/>
                <w:b/>
                <w:bCs/>
                <w:sz w:val="20"/>
                <w:szCs w:val="20"/>
                <w:lang w:val="en-GB"/>
              </w:rPr>
            </w:pPr>
            <w:r w:rsidRPr="008D1E29">
              <w:rPr>
                <w:rFonts w:ascii="Arial" w:hAnsi="Arial" w:cs="Arial"/>
                <w:b/>
                <w:bCs/>
                <w:sz w:val="20"/>
                <w:szCs w:val="20"/>
                <w:lang w:val="en-GB"/>
              </w:rPr>
              <w:t>Is the title of the article suitable?</w:t>
            </w:r>
          </w:p>
          <w:p w14:paraId="57C9ACE8" w14:textId="77777777" w:rsidR="00E94ED6" w:rsidRPr="008D1E29" w:rsidRDefault="00E94ED6" w:rsidP="00E94ED6">
            <w:pPr>
              <w:ind w:left="360"/>
              <w:rPr>
                <w:rFonts w:ascii="Arial" w:hAnsi="Arial" w:cs="Arial"/>
                <w:b/>
                <w:bCs/>
                <w:sz w:val="20"/>
                <w:szCs w:val="20"/>
                <w:lang w:val="en-GB"/>
              </w:rPr>
            </w:pPr>
            <w:r w:rsidRPr="008D1E29">
              <w:rPr>
                <w:rFonts w:ascii="Arial" w:hAnsi="Arial" w:cs="Arial"/>
                <w:b/>
                <w:bCs/>
                <w:sz w:val="20"/>
                <w:szCs w:val="20"/>
                <w:lang w:val="en-GB"/>
              </w:rPr>
              <w:t>(If not please suggest an alternative title)</w:t>
            </w:r>
          </w:p>
          <w:p w14:paraId="6EFB1B3E" w14:textId="77777777" w:rsidR="00E94ED6" w:rsidRPr="008D1E29" w:rsidRDefault="00E94ED6" w:rsidP="00E94ED6">
            <w:pPr>
              <w:pStyle w:val="Heading2"/>
              <w:jc w:val="left"/>
              <w:rPr>
                <w:rFonts w:ascii="Arial" w:hAnsi="Arial" w:cs="Arial"/>
                <w:u w:val="single"/>
                <w:lang w:val="en-GB"/>
              </w:rPr>
            </w:pPr>
          </w:p>
        </w:tc>
        <w:tc>
          <w:tcPr>
            <w:tcW w:w="2212" w:type="pct"/>
          </w:tcPr>
          <w:p w14:paraId="325106FF" w14:textId="77777777" w:rsidR="00E94ED6" w:rsidRPr="008D1E29" w:rsidRDefault="00E94ED6" w:rsidP="00E94ED6">
            <w:pPr>
              <w:rPr>
                <w:rFonts w:ascii="Arial" w:hAnsi="Arial" w:cs="Arial"/>
                <w:bCs/>
                <w:sz w:val="20"/>
                <w:szCs w:val="20"/>
              </w:rPr>
            </w:pPr>
            <w:r w:rsidRPr="008D1E29">
              <w:rPr>
                <w:rFonts w:ascii="Arial" w:hAnsi="Arial" w:cs="Arial"/>
                <w:bCs/>
                <w:sz w:val="20"/>
                <w:szCs w:val="20"/>
              </w:rPr>
              <w:t>The current title, “Physiological and Biochemical Drivers of Post-Harvest Deterioration in Horticultural Crops: A Review of Management Strategies and Emerging Preservation Technologies,” is broadly suitable and reflects both the mechanistic and applied components of the review. However, it is quite long and slightly weighted toward physiology, while the manuscript also gives substantial attention to value-chain stages, socio-economic constraints, packaging, and digital tools.​</w:t>
            </w:r>
          </w:p>
          <w:p w14:paraId="698626A5" w14:textId="77777777" w:rsidR="00E94ED6" w:rsidRPr="008D1E29" w:rsidRDefault="00E94ED6" w:rsidP="00E94ED6">
            <w:pPr>
              <w:rPr>
                <w:rFonts w:ascii="Arial" w:hAnsi="Arial" w:cs="Arial"/>
                <w:bCs/>
                <w:sz w:val="20"/>
                <w:szCs w:val="20"/>
              </w:rPr>
            </w:pPr>
          </w:p>
          <w:p w14:paraId="5A85891E" w14:textId="77777777" w:rsidR="00E94ED6" w:rsidRPr="008D1E29" w:rsidRDefault="00E94ED6" w:rsidP="00E94ED6">
            <w:pPr>
              <w:rPr>
                <w:rFonts w:ascii="Arial" w:hAnsi="Arial" w:cs="Arial"/>
                <w:bCs/>
                <w:sz w:val="20"/>
                <w:szCs w:val="20"/>
                <w:lang w:val="en-GB"/>
              </w:rPr>
            </w:pPr>
            <w:r w:rsidRPr="008D1E29">
              <w:rPr>
                <w:rFonts w:ascii="Arial" w:hAnsi="Arial" w:cs="Arial"/>
                <w:bCs/>
                <w:sz w:val="20"/>
                <w:szCs w:val="20"/>
              </w:rPr>
              <w:t>A more concise, still accurate option could be: “Post-harvest Deterioration in Horticultural Crops: Physiological Basis, Management Strategies and Emerging Technologies”. This retains the scientific emphasis while better matching the breadth of the content.</w:t>
            </w:r>
          </w:p>
        </w:tc>
        <w:tc>
          <w:tcPr>
            <w:tcW w:w="1523" w:type="pct"/>
          </w:tcPr>
          <w:p w14:paraId="0902C314" w14:textId="77777777" w:rsidR="00E94ED6" w:rsidRPr="008D1E29" w:rsidRDefault="00E94ED6" w:rsidP="00E94ED6">
            <w:pPr>
              <w:pStyle w:val="Heading2"/>
              <w:rPr>
                <w:rFonts w:ascii="Arial" w:hAnsi="Arial" w:cs="Arial"/>
                <w:b w:val="0"/>
                <w:bCs w:val="0"/>
                <w:lang w:val="en-IN"/>
              </w:rPr>
            </w:pPr>
            <w:r w:rsidRPr="008D1E29">
              <w:rPr>
                <w:rFonts w:ascii="Arial" w:hAnsi="Arial" w:cs="Arial"/>
                <w:b w:val="0"/>
                <w:bCs w:val="0"/>
                <w:lang w:val="en-IN"/>
              </w:rPr>
              <w:t>The title is suitable; however, to improve clarity and academic impact, the following refined version is suggested:</w:t>
            </w:r>
          </w:p>
          <w:p w14:paraId="4A0283E6" w14:textId="77777777" w:rsidR="00E94ED6" w:rsidRPr="008D1E29" w:rsidRDefault="00E94ED6" w:rsidP="00E94ED6">
            <w:pPr>
              <w:pStyle w:val="Heading2"/>
              <w:rPr>
                <w:rFonts w:ascii="Arial" w:hAnsi="Arial" w:cs="Arial"/>
                <w:b w:val="0"/>
                <w:bCs w:val="0"/>
                <w:lang w:val="en-IN"/>
              </w:rPr>
            </w:pPr>
            <w:r w:rsidRPr="008D1E29">
              <w:rPr>
                <w:rFonts w:ascii="Arial" w:hAnsi="Arial" w:cs="Arial"/>
                <w:b w:val="0"/>
                <w:bCs w:val="0"/>
                <w:lang w:val="en-IN"/>
              </w:rPr>
              <w:t>“</w:t>
            </w:r>
            <w:r w:rsidRPr="008D1E29">
              <w:rPr>
                <w:rFonts w:ascii="Arial" w:hAnsi="Arial" w:cs="Arial"/>
                <w:b w:val="0"/>
                <w:bCs w:val="0"/>
              </w:rPr>
              <w:t xml:space="preserve">A </w:t>
            </w:r>
            <w:proofErr w:type="spellStart"/>
            <w:r w:rsidRPr="008D1E29">
              <w:rPr>
                <w:rFonts w:ascii="Arial" w:hAnsi="Arial" w:cs="Arial"/>
                <w:b w:val="0"/>
                <w:bCs w:val="0"/>
              </w:rPr>
              <w:t>Review</w:t>
            </w:r>
            <w:proofErr w:type="spellEnd"/>
            <w:r w:rsidRPr="008D1E29">
              <w:rPr>
                <w:rFonts w:ascii="Arial" w:hAnsi="Arial" w:cs="Arial"/>
                <w:b w:val="0"/>
                <w:bCs w:val="0"/>
              </w:rPr>
              <w:t xml:space="preserve"> of </w:t>
            </w:r>
            <w:proofErr w:type="spellStart"/>
            <w:r w:rsidRPr="008D1E29">
              <w:rPr>
                <w:rFonts w:ascii="Arial" w:hAnsi="Arial" w:cs="Arial"/>
                <w:b w:val="0"/>
                <w:bCs w:val="0"/>
              </w:rPr>
              <w:t>Understanding</w:t>
            </w:r>
            <w:proofErr w:type="spellEnd"/>
            <w:r w:rsidRPr="008D1E29">
              <w:rPr>
                <w:rFonts w:ascii="Arial" w:hAnsi="Arial" w:cs="Arial"/>
                <w:b w:val="0"/>
                <w:bCs w:val="0"/>
              </w:rPr>
              <w:t xml:space="preserve"> and </w:t>
            </w:r>
            <w:proofErr w:type="spellStart"/>
            <w:r w:rsidRPr="008D1E29">
              <w:rPr>
                <w:rFonts w:ascii="Arial" w:hAnsi="Arial" w:cs="Arial"/>
                <w:b w:val="0"/>
                <w:bCs w:val="0"/>
              </w:rPr>
              <w:t>Mitigating</w:t>
            </w:r>
            <w:proofErr w:type="spellEnd"/>
            <w:r w:rsidRPr="008D1E29">
              <w:rPr>
                <w:rFonts w:ascii="Arial" w:hAnsi="Arial" w:cs="Arial"/>
                <w:b w:val="0"/>
                <w:bCs w:val="0"/>
              </w:rPr>
              <w:t xml:space="preserve"> Post-Harvest </w:t>
            </w:r>
            <w:proofErr w:type="spellStart"/>
            <w:r w:rsidRPr="008D1E29">
              <w:rPr>
                <w:rFonts w:ascii="Arial" w:hAnsi="Arial" w:cs="Arial"/>
                <w:b w:val="0"/>
                <w:bCs w:val="0"/>
              </w:rPr>
              <w:t>Losses</w:t>
            </w:r>
            <w:proofErr w:type="spellEnd"/>
            <w:r w:rsidRPr="008D1E29">
              <w:rPr>
                <w:rFonts w:ascii="Arial" w:hAnsi="Arial" w:cs="Arial"/>
                <w:b w:val="0"/>
                <w:bCs w:val="0"/>
              </w:rPr>
              <w:t xml:space="preserve"> in Horticulture: </w:t>
            </w:r>
            <w:proofErr w:type="spellStart"/>
            <w:r w:rsidRPr="008D1E29">
              <w:rPr>
                <w:rFonts w:ascii="Arial" w:hAnsi="Arial" w:cs="Arial"/>
                <w:b w:val="0"/>
                <w:bCs w:val="0"/>
              </w:rPr>
              <w:t>From</w:t>
            </w:r>
            <w:proofErr w:type="spellEnd"/>
            <w:r w:rsidRPr="008D1E29">
              <w:rPr>
                <w:rFonts w:ascii="Arial" w:hAnsi="Arial" w:cs="Arial"/>
                <w:b w:val="0"/>
                <w:bCs w:val="0"/>
              </w:rPr>
              <w:t xml:space="preserve"> </w:t>
            </w:r>
            <w:proofErr w:type="spellStart"/>
            <w:r w:rsidRPr="008D1E29">
              <w:rPr>
                <w:rFonts w:ascii="Arial" w:hAnsi="Arial" w:cs="Arial"/>
                <w:b w:val="0"/>
                <w:bCs w:val="0"/>
              </w:rPr>
              <w:t>Metabolic</w:t>
            </w:r>
            <w:proofErr w:type="spellEnd"/>
            <w:r w:rsidRPr="008D1E29">
              <w:rPr>
                <w:rFonts w:ascii="Arial" w:hAnsi="Arial" w:cs="Arial"/>
                <w:b w:val="0"/>
                <w:bCs w:val="0"/>
              </w:rPr>
              <w:t xml:space="preserve"> </w:t>
            </w:r>
            <w:proofErr w:type="spellStart"/>
            <w:r w:rsidRPr="008D1E29">
              <w:rPr>
                <w:rFonts w:ascii="Arial" w:hAnsi="Arial" w:cs="Arial"/>
                <w:b w:val="0"/>
                <w:bCs w:val="0"/>
              </w:rPr>
              <w:t>Pathways</w:t>
            </w:r>
            <w:proofErr w:type="spellEnd"/>
            <w:r w:rsidRPr="008D1E29">
              <w:rPr>
                <w:rFonts w:ascii="Arial" w:hAnsi="Arial" w:cs="Arial"/>
                <w:b w:val="0"/>
                <w:bCs w:val="0"/>
              </w:rPr>
              <w:t xml:space="preserve"> to </w:t>
            </w:r>
            <w:proofErr w:type="spellStart"/>
            <w:r w:rsidRPr="008D1E29">
              <w:rPr>
                <w:rFonts w:ascii="Arial" w:hAnsi="Arial" w:cs="Arial"/>
                <w:b w:val="0"/>
                <w:bCs w:val="0"/>
              </w:rPr>
              <w:t>Emerging</w:t>
            </w:r>
            <w:proofErr w:type="spellEnd"/>
            <w:r w:rsidRPr="008D1E29">
              <w:rPr>
                <w:rFonts w:ascii="Arial" w:hAnsi="Arial" w:cs="Arial"/>
                <w:b w:val="0"/>
                <w:bCs w:val="0"/>
              </w:rPr>
              <w:t xml:space="preserve"> Technologies</w:t>
            </w:r>
            <w:r w:rsidRPr="008D1E29">
              <w:rPr>
                <w:rFonts w:ascii="Arial" w:hAnsi="Arial" w:cs="Arial"/>
                <w:b w:val="0"/>
                <w:bCs w:val="0"/>
                <w:lang w:val="en-IN"/>
              </w:rPr>
              <w:t>”</w:t>
            </w:r>
          </w:p>
          <w:p w14:paraId="4FEA236E" w14:textId="27111D6B" w:rsidR="00E94ED6" w:rsidRPr="008D1E29" w:rsidRDefault="00E94ED6" w:rsidP="00E94ED6">
            <w:pPr>
              <w:rPr>
                <w:rFonts w:ascii="Arial" w:hAnsi="Arial" w:cs="Arial"/>
                <w:bCs/>
                <w:sz w:val="20"/>
                <w:szCs w:val="20"/>
                <w:lang w:val="fr-FR"/>
              </w:rPr>
            </w:pPr>
          </w:p>
        </w:tc>
      </w:tr>
      <w:tr w:rsidR="000D235F" w:rsidRPr="008D1E29" w14:paraId="5E7C5226" w14:textId="77777777" w:rsidTr="002A216A">
        <w:trPr>
          <w:trHeight w:val="1262"/>
        </w:trPr>
        <w:tc>
          <w:tcPr>
            <w:tcW w:w="1265" w:type="pct"/>
            <w:noWrap/>
          </w:tcPr>
          <w:p w14:paraId="0A84DEF6" w14:textId="77777777" w:rsidR="000D235F" w:rsidRPr="008D1E29" w:rsidRDefault="000D235F">
            <w:pPr>
              <w:pStyle w:val="Heading2"/>
              <w:ind w:left="360"/>
              <w:jc w:val="left"/>
              <w:rPr>
                <w:rFonts w:ascii="Arial" w:hAnsi="Arial" w:cs="Arial"/>
                <w:lang w:val="en-GB"/>
              </w:rPr>
            </w:pPr>
            <w:r w:rsidRPr="008D1E29">
              <w:rPr>
                <w:rFonts w:ascii="Arial" w:hAnsi="Arial" w:cs="Arial"/>
                <w:lang w:val="en-GB"/>
              </w:rPr>
              <w:lastRenderedPageBreak/>
              <w:t>Is the abstract of the article comprehensive? Do you suggest the addition (or deletion) of some points in this section? Please write your suggestions here.</w:t>
            </w:r>
          </w:p>
          <w:p w14:paraId="266A47B4" w14:textId="77777777" w:rsidR="000D235F" w:rsidRPr="008D1E29" w:rsidRDefault="000D235F">
            <w:pPr>
              <w:pStyle w:val="Heading2"/>
              <w:jc w:val="left"/>
              <w:rPr>
                <w:rFonts w:ascii="Arial" w:hAnsi="Arial" w:cs="Arial"/>
                <w:u w:val="single"/>
                <w:lang w:val="en-GB"/>
              </w:rPr>
            </w:pPr>
          </w:p>
        </w:tc>
        <w:tc>
          <w:tcPr>
            <w:tcW w:w="2212" w:type="pct"/>
          </w:tcPr>
          <w:p w14:paraId="564D910B" w14:textId="77777777" w:rsidR="0047194A" w:rsidRPr="008D1E29" w:rsidRDefault="0047194A" w:rsidP="0047194A">
            <w:pPr>
              <w:rPr>
                <w:rFonts w:ascii="Arial" w:hAnsi="Arial" w:cs="Arial"/>
                <w:bCs/>
                <w:sz w:val="20"/>
                <w:szCs w:val="20"/>
              </w:rPr>
            </w:pPr>
            <w:r w:rsidRPr="008D1E29">
              <w:rPr>
                <w:rFonts w:ascii="Arial" w:hAnsi="Arial" w:cs="Arial"/>
                <w:bCs/>
                <w:sz w:val="20"/>
                <w:szCs w:val="20"/>
              </w:rPr>
              <w:t>The abstract captures the main pillars of the review: susceptibility of horticultural crops to post-harvest losses, key physiological and biochemical mechanisms (respiration, ethylene, enzymatic softening and browning), the role of physical stress, and a spectrum of interventions from CA/MA storage to nanotechnology and genome editing. It also clearly states the overarching goal of providing a framework to minimize nutrient loss and support food security across climatic zones.​</w:t>
            </w:r>
          </w:p>
          <w:p w14:paraId="78C225DD" w14:textId="77777777" w:rsidR="0047194A" w:rsidRPr="008D1E29" w:rsidRDefault="0047194A" w:rsidP="0047194A">
            <w:pPr>
              <w:rPr>
                <w:rFonts w:ascii="Arial" w:hAnsi="Arial" w:cs="Arial"/>
                <w:bCs/>
                <w:sz w:val="20"/>
                <w:szCs w:val="20"/>
              </w:rPr>
            </w:pPr>
            <w:r w:rsidRPr="008D1E29">
              <w:rPr>
                <w:rFonts w:ascii="Arial" w:hAnsi="Arial" w:cs="Arial"/>
                <w:bCs/>
                <w:sz w:val="20"/>
                <w:szCs w:val="20"/>
              </w:rPr>
              <w:t>Suggestions for improvement:</w:t>
            </w:r>
          </w:p>
          <w:p w14:paraId="4B338B71" w14:textId="77777777" w:rsidR="0047194A" w:rsidRPr="008D1E29" w:rsidRDefault="0047194A" w:rsidP="0047194A">
            <w:pPr>
              <w:numPr>
                <w:ilvl w:val="0"/>
                <w:numId w:val="13"/>
              </w:numPr>
              <w:rPr>
                <w:rFonts w:ascii="Arial" w:hAnsi="Arial" w:cs="Arial"/>
                <w:bCs/>
                <w:sz w:val="20"/>
                <w:szCs w:val="20"/>
              </w:rPr>
            </w:pPr>
            <w:r w:rsidRPr="008D1E29">
              <w:rPr>
                <w:rFonts w:ascii="Arial" w:hAnsi="Arial" w:cs="Arial"/>
                <w:bCs/>
                <w:sz w:val="20"/>
                <w:szCs w:val="20"/>
              </w:rPr>
              <w:t xml:space="preserve">Correct minor typographical and spacing errors (e.g. “enzymatic </w:t>
            </w:r>
            <w:proofErr w:type="spellStart"/>
            <w:r w:rsidRPr="008D1E29">
              <w:rPr>
                <w:rFonts w:ascii="Arial" w:hAnsi="Arial" w:cs="Arial"/>
                <w:bCs/>
                <w:sz w:val="20"/>
                <w:szCs w:val="20"/>
              </w:rPr>
              <w:t>activityspecifically</w:t>
            </w:r>
            <w:proofErr w:type="spellEnd"/>
            <w:r w:rsidRPr="008D1E29">
              <w:rPr>
                <w:rFonts w:ascii="Arial" w:hAnsi="Arial" w:cs="Arial"/>
                <w:bCs/>
                <w:sz w:val="20"/>
                <w:szCs w:val="20"/>
              </w:rPr>
              <w:t>” should read “enzymatic activity, specifically”; ensure consistent use of hyphens in “post-harvest”).​</w:t>
            </w:r>
          </w:p>
          <w:p w14:paraId="13794725" w14:textId="77777777" w:rsidR="0047194A" w:rsidRPr="008D1E29" w:rsidRDefault="0047194A" w:rsidP="0047194A">
            <w:pPr>
              <w:numPr>
                <w:ilvl w:val="0"/>
                <w:numId w:val="13"/>
              </w:numPr>
              <w:rPr>
                <w:rFonts w:ascii="Arial" w:hAnsi="Arial" w:cs="Arial"/>
                <w:bCs/>
                <w:sz w:val="20"/>
                <w:szCs w:val="20"/>
              </w:rPr>
            </w:pPr>
            <w:r w:rsidRPr="008D1E29">
              <w:rPr>
                <w:rFonts w:ascii="Arial" w:hAnsi="Arial" w:cs="Arial"/>
                <w:bCs/>
                <w:sz w:val="20"/>
                <w:szCs w:val="20"/>
              </w:rPr>
              <w:t>Briefly acknowledge socio-economic and infrastructural constraints (e.g. cold-chain gaps, smallholder limitations) that are discussed extensively later in the manuscript, so the abstract reflects the full scope.​</w:t>
            </w:r>
          </w:p>
          <w:p w14:paraId="2EAB08CB" w14:textId="77777777" w:rsidR="0047194A" w:rsidRPr="008D1E29" w:rsidRDefault="0047194A" w:rsidP="0047194A">
            <w:pPr>
              <w:numPr>
                <w:ilvl w:val="0"/>
                <w:numId w:val="13"/>
              </w:numPr>
              <w:rPr>
                <w:rFonts w:ascii="Arial" w:hAnsi="Arial" w:cs="Arial"/>
                <w:bCs/>
                <w:sz w:val="20"/>
                <w:szCs w:val="20"/>
              </w:rPr>
            </w:pPr>
            <w:r w:rsidRPr="008D1E29">
              <w:rPr>
                <w:rFonts w:ascii="Arial" w:hAnsi="Arial" w:cs="Arial"/>
                <w:bCs/>
                <w:sz w:val="20"/>
                <w:szCs w:val="20"/>
              </w:rPr>
              <w:t>One sentence on the nutritional implications (vitamin, mineral, and phytochemical retention) would strengthen the relevance for human nutrition and food science, beyond shelf-life alone.​</w:t>
            </w:r>
          </w:p>
          <w:p w14:paraId="727D2FFB" w14:textId="77777777" w:rsidR="000D235F" w:rsidRPr="008D1E29" w:rsidRDefault="0047194A" w:rsidP="0047194A">
            <w:pPr>
              <w:rPr>
                <w:rFonts w:ascii="Arial" w:hAnsi="Arial" w:cs="Arial"/>
                <w:bCs/>
                <w:sz w:val="20"/>
                <w:szCs w:val="20"/>
                <w:lang w:val="en-GB"/>
              </w:rPr>
            </w:pPr>
            <w:r w:rsidRPr="008D1E29">
              <w:rPr>
                <w:rFonts w:ascii="Arial" w:hAnsi="Arial" w:cs="Arial"/>
                <w:bCs/>
                <w:sz w:val="20"/>
                <w:szCs w:val="20"/>
              </w:rPr>
              <w:t>Overall, the abstract is comprehensive and only needs light editing and one or two sentences to highlight the nutrition and systems dimensions more explicitly.</w:t>
            </w:r>
          </w:p>
        </w:tc>
        <w:tc>
          <w:tcPr>
            <w:tcW w:w="1523" w:type="pct"/>
          </w:tcPr>
          <w:p w14:paraId="47A6A107" w14:textId="03576D82" w:rsidR="000D235F" w:rsidRPr="008D1E29" w:rsidRDefault="00B84C1C">
            <w:pPr>
              <w:pStyle w:val="Heading2"/>
              <w:jc w:val="left"/>
              <w:rPr>
                <w:rFonts w:ascii="Arial" w:hAnsi="Arial" w:cs="Arial"/>
                <w:b w:val="0"/>
                <w:lang w:val="en-GB"/>
              </w:rPr>
            </w:pPr>
            <w:r w:rsidRPr="008D1E29">
              <w:rPr>
                <w:rFonts w:ascii="Arial" w:hAnsi="Arial" w:cs="Arial"/>
                <w:b w:val="0"/>
                <w:lang w:val="en-GB"/>
              </w:rPr>
              <w:t>All ty</w:t>
            </w:r>
            <w:r w:rsidR="007E5080" w:rsidRPr="008D1E29">
              <w:rPr>
                <w:rFonts w:ascii="Arial" w:hAnsi="Arial" w:cs="Arial"/>
                <w:b w:val="0"/>
                <w:lang w:val="en-GB"/>
              </w:rPr>
              <w:t>pographical and spacing errors are correcte</w:t>
            </w:r>
            <w:r w:rsidR="00E17E77" w:rsidRPr="008D1E29">
              <w:rPr>
                <w:rFonts w:ascii="Arial" w:hAnsi="Arial" w:cs="Arial"/>
                <w:b w:val="0"/>
                <w:lang w:val="en-GB"/>
              </w:rPr>
              <w:t xml:space="preserve">d and </w:t>
            </w:r>
            <w:r w:rsidR="00893DD3" w:rsidRPr="008D1E29">
              <w:rPr>
                <w:rFonts w:ascii="Arial" w:hAnsi="Arial" w:cs="Arial"/>
                <w:b w:val="0"/>
                <w:lang w:val="en-GB"/>
              </w:rPr>
              <w:t>further needed editing</w:t>
            </w:r>
            <w:r w:rsidR="00ED7740" w:rsidRPr="008D1E29">
              <w:rPr>
                <w:rFonts w:ascii="Arial" w:hAnsi="Arial" w:cs="Arial"/>
                <w:b w:val="0"/>
                <w:lang w:val="en-GB"/>
              </w:rPr>
              <w:t xml:space="preserve"> is done. </w:t>
            </w:r>
          </w:p>
        </w:tc>
      </w:tr>
      <w:tr w:rsidR="000D235F" w:rsidRPr="008D1E29" w14:paraId="72288DA5" w14:textId="77777777" w:rsidTr="002A216A">
        <w:trPr>
          <w:trHeight w:val="704"/>
        </w:trPr>
        <w:tc>
          <w:tcPr>
            <w:tcW w:w="1265" w:type="pct"/>
            <w:noWrap/>
          </w:tcPr>
          <w:p w14:paraId="62685604" w14:textId="77777777" w:rsidR="000D235F" w:rsidRPr="008D1E29" w:rsidRDefault="000D235F">
            <w:pPr>
              <w:pStyle w:val="Heading2"/>
              <w:ind w:left="360"/>
              <w:jc w:val="left"/>
              <w:rPr>
                <w:rFonts w:ascii="Arial" w:hAnsi="Arial" w:cs="Arial"/>
                <w:b w:val="0"/>
                <w:bCs w:val="0"/>
                <w:u w:val="single"/>
                <w:lang w:val="en-GB"/>
              </w:rPr>
            </w:pPr>
            <w:r w:rsidRPr="008D1E29">
              <w:rPr>
                <w:rFonts w:ascii="Arial" w:hAnsi="Arial" w:cs="Arial"/>
                <w:lang w:val="en-GB"/>
              </w:rPr>
              <w:t>Is the manuscript scientifically, correct? Please write here.</w:t>
            </w:r>
          </w:p>
        </w:tc>
        <w:tc>
          <w:tcPr>
            <w:tcW w:w="2212" w:type="pct"/>
          </w:tcPr>
          <w:p w14:paraId="57B8CBF7" w14:textId="77777777" w:rsidR="0047194A" w:rsidRPr="008D1E29" w:rsidRDefault="0047194A" w:rsidP="0047194A">
            <w:pPr>
              <w:pStyle w:val="ListParagraph"/>
              <w:ind w:left="0"/>
              <w:rPr>
                <w:rFonts w:ascii="Arial" w:hAnsi="Arial" w:cs="Arial"/>
                <w:bCs/>
                <w:sz w:val="20"/>
                <w:szCs w:val="20"/>
              </w:rPr>
            </w:pPr>
            <w:r w:rsidRPr="008D1E29">
              <w:rPr>
                <w:rFonts w:ascii="Arial" w:hAnsi="Arial" w:cs="Arial"/>
                <w:bCs/>
                <w:sz w:val="20"/>
                <w:szCs w:val="20"/>
              </w:rPr>
              <w:t>Conceptually, the manuscript is scientifically sound. It correctly describes:</w:t>
            </w:r>
          </w:p>
          <w:p w14:paraId="6775ADE0" w14:textId="77777777" w:rsidR="0047194A" w:rsidRPr="008D1E29" w:rsidRDefault="0047194A" w:rsidP="0047194A">
            <w:pPr>
              <w:pStyle w:val="ListParagraph"/>
              <w:numPr>
                <w:ilvl w:val="0"/>
                <w:numId w:val="14"/>
              </w:numPr>
              <w:rPr>
                <w:rFonts w:ascii="Arial" w:hAnsi="Arial" w:cs="Arial"/>
                <w:bCs/>
                <w:sz w:val="20"/>
                <w:szCs w:val="20"/>
              </w:rPr>
            </w:pPr>
            <w:r w:rsidRPr="008D1E29">
              <w:rPr>
                <w:rFonts w:ascii="Arial" w:hAnsi="Arial" w:cs="Arial"/>
                <w:bCs/>
                <w:sz w:val="20"/>
                <w:szCs w:val="20"/>
              </w:rPr>
              <w:t>The roles of respiration, ethylene biosynthesis and action, enzymatic softening, enzymatic browning, and microbial spoilage in driving post-harvest deterioration.​</w:t>
            </w:r>
          </w:p>
          <w:p w14:paraId="289C60D7" w14:textId="77777777" w:rsidR="0047194A" w:rsidRPr="008D1E29" w:rsidRDefault="0047194A" w:rsidP="0047194A">
            <w:pPr>
              <w:pStyle w:val="ListParagraph"/>
              <w:numPr>
                <w:ilvl w:val="0"/>
                <w:numId w:val="14"/>
              </w:numPr>
              <w:rPr>
                <w:rFonts w:ascii="Arial" w:hAnsi="Arial" w:cs="Arial"/>
                <w:bCs/>
                <w:sz w:val="20"/>
                <w:szCs w:val="20"/>
              </w:rPr>
            </w:pPr>
            <w:r w:rsidRPr="008D1E29">
              <w:rPr>
                <w:rFonts w:ascii="Arial" w:hAnsi="Arial" w:cs="Arial"/>
                <w:bCs/>
                <w:sz w:val="20"/>
                <w:szCs w:val="20"/>
              </w:rPr>
              <w:t>The contribution of mechanical injury, temperature abuse, water loss, and inadequate storage to accelerated senescence and quality loss.​</w:t>
            </w:r>
          </w:p>
          <w:p w14:paraId="123BD241" w14:textId="77777777" w:rsidR="0047194A" w:rsidRPr="008D1E29" w:rsidRDefault="0047194A" w:rsidP="0047194A">
            <w:pPr>
              <w:pStyle w:val="ListParagraph"/>
              <w:numPr>
                <w:ilvl w:val="0"/>
                <w:numId w:val="14"/>
              </w:numPr>
              <w:rPr>
                <w:rFonts w:ascii="Arial" w:hAnsi="Arial" w:cs="Arial"/>
                <w:bCs/>
                <w:sz w:val="20"/>
                <w:szCs w:val="20"/>
              </w:rPr>
            </w:pPr>
            <w:r w:rsidRPr="008D1E29">
              <w:rPr>
                <w:rFonts w:ascii="Arial" w:hAnsi="Arial" w:cs="Arial"/>
                <w:bCs/>
                <w:sz w:val="20"/>
                <w:szCs w:val="20"/>
              </w:rPr>
              <w:t>The multi-stage nature of losses along the chain (harvest, handling, transport, storage, processing and marketing), with appropriate references to both classical and recent literature.​</w:t>
            </w:r>
          </w:p>
          <w:p w14:paraId="1BFDB94B" w14:textId="77777777" w:rsidR="0047194A" w:rsidRPr="008D1E29" w:rsidRDefault="0047194A" w:rsidP="0047194A">
            <w:pPr>
              <w:pStyle w:val="ListParagraph"/>
              <w:numPr>
                <w:ilvl w:val="0"/>
                <w:numId w:val="14"/>
              </w:numPr>
              <w:rPr>
                <w:rFonts w:ascii="Arial" w:hAnsi="Arial" w:cs="Arial"/>
                <w:bCs/>
                <w:sz w:val="20"/>
                <w:szCs w:val="20"/>
              </w:rPr>
            </w:pPr>
            <w:r w:rsidRPr="008D1E29">
              <w:rPr>
                <w:rFonts w:ascii="Arial" w:hAnsi="Arial" w:cs="Arial"/>
                <w:bCs/>
                <w:sz w:val="20"/>
                <w:szCs w:val="20"/>
              </w:rPr>
              <w:t>The rationale and functional basis of management options such as pre-cooling, cold chain management, CA/MA storage, humidity control, sanitation, value addition, and packaging innovations.​</w:t>
            </w:r>
          </w:p>
          <w:p w14:paraId="6FBA3621" w14:textId="77777777" w:rsidR="0047194A" w:rsidRPr="008D1E29" w:rsidRDefault="0047194A" w:rsidP="0047194A">
            <w:pPr>
              <w:pStyle w:val="ListParagraph"/>
              <w:numPr>
                <w:ilvl w:val="0"/>
                <w:numId w:val="14"/>
              </w:numPr>
              <w:rPr>
                <w:rFonts w:ascii="Arial" w:hAnsi="Arial" w:cs="Arial"/>
                <w:bCs/>
                <w:sz w:val="20"/>
                <w:szCs w:val="20"/>
              </w:rPr>
            </w:pPr>
            <w:r w:rsidRPr="008D1E29">
              <w:rPr>
                <w:rFonts w:ascii="Arial" w:hAnsi="Arial" w:cs="Arial"/>
                <w:bCs/>
                <w:sz w:val="20"/>
                <w:szCs w:val="20"/>
              </w:rPr>
              <w:t>The emerging role of smart sensing, IoT, biological control, and nanotechnology-based packaging.​</w:t>
            </w:r>
          </w:p>
          <w:p w14:paraId="55BB7F8E" w14:textId="77777777" w:rsidR="0047194A" w:rsidRPr="008D1E29" w:rsidRDefault="0047194A" w:rsidP="0047194A">
            <w:pPr>
              <w:pStyle w:val="ListParagraph"/>
              <w:ind w:left="0"/>
              <w:rPr>
                <w:rFonts w:ascii="Arial" w:hAnsi="Arial" w:cs="Arial"/>
                <w:bCs/>
                <w:sz w:val="20"/>
                <w:szCs w:val="20"/>
              </w:rPr>
            </w:pPr>
          </w:p>
          <w:p w14:paraId="15195643" w14:textId="77777777" w:rsidR="0047194A" w:rsidRPr="008D1E29" w:rsidRDefault="0047194A" w:rsidP="0047194A">
            <w:pPr>
              <w:pStyle w:val="ListParagraph"/>
              <w:ind w:left="0"/>
              <w:rPr>
                <w:rFonts w:ascii="Arial" w:hAnsi="Arial" w:cs="Arial"/>
                <w:bCs/>
                <w:sz w:val="20"/>
                <w:szCs w:val="20"/>
              </w:rPr>
            </w:pPr>
            <w:r w:rsidRPr="008D1E29">
              <w:rPr>
                <w:rFonts w:ascii="Arial" w:hAnsi="Arial" w:cs="Arial"/>
                <w:bCs/>
                <w:sz w:val="20"/>
                <w:szCs w:val="20"/>
              </w:rPr>
              <w:t>The physiological and technological explanations are consistent with current post-harvest science, and the referencing is generally appropriate. Nonetheless, a few points could be strengthened:​</w:t>
            </w:r>
          </w:p>
          <w:p w14:paraId="080EFC7E" w14:textId="77777777" w:rsidR="0047194A" w:rsidRPr="008D1E29" w:rsidRDefault="0047194A" w:rsidP="0047194A">
            <w:pPr>
              <w:pStyle w:val="ListParagraph"/>
              <w:numPr>
                <w:ilvl w:val="0"/>
                <w:numId w:val="15"/>
              </w:numPr>
              <w:rPr>
                <w:rFonts w:ascii="Arial" w:hAnsi="Arial" w:cs="Arial"/>
                <w:bCs/>
                <w:sz w:val="20"/>
                <w:szCs w:val="20"/>
              </w:rPr>
            </w:pPr>
            <w:r w:rsidRPr="008D1E29">
              <w:rPr>
                <w:rFonts w:ascii="Arial" w:hAnsi="Arial" w:cs="Arial"/>
                <w:bCs/>
                <w:sz w:val="20"/>
                <w:szCs w:val="20"/>
              </w:rPr>
              <w:t>Some sections repeat similar ideas (e.g. storage-stage losses are described twice almost verbatim) and would benefit from condensation to avoid redundancy and to sharpen the argument.​</w:t>
            </w:r>
          </w:p>
          <w:p w14:paraId="41F9316F" w14:textId="77777777" w:rsidR="0047194A" w:rsidRPr="008D1E29" w:rsidRDefault="0047194A" w:rsidP="0047194A">
            <w:pPr>
              <w:pStyle w:val="ListParagraph"/>
              <w:numPr>
                <w:ilvl w:val="0"/>
                <w:numId w:val="15"/>
              </w:numPr>
              <w:rPr>
                <w:rFonts w:ascii="Arial" w:hAnsi="Arial" w:cs="Arial"/>
                <w:bCs/>
                <w:sz w:val="20"/>
                <w:szCs w:val="20"/>
              </w:rPr>
            </w:pPr>
            <w:r w:rsidRPr="008D1E29">
              <w:rPr>
                <w:rFonts w:ascii="Arial" w:hAnsi="Arial" w:cs="Arial"/>
                <w:bCs/>
                <w:sz w:val="20"/>
                <w:szCs w:val="20"/>
              </w:rPr>
              <w:t>The discussion of “emerging technologies” is largely narrative; adding a few quantitative examples (e.g. typical extension of shelf life or reduction in decay incidence reported for a technology) would improve the scientific depth, even in a review.​</w:t>
            </w:r>
          </w:p>
          <w:p w14:paraId="0FEA49FE" w14:textId="77777777" w:rsidR="000D235F" w:rsidRPr="008D1E29" w:rsidRDefault="0047194A" w:rsidP="0047194A">
            <w:pPr>
              <w:pStyle w:val="ListParagraph"/>
              <w:numPr>
                <w:ilvl w:val="0"/>
                <w:numId w:val="15"/>
              </w:numPr>
              <w:rPr>
                <w:rFonts w:ascii="Arial" w:hAnsi="Arial" w:cs="Arial"/>
                <w:bCs/>
                <w:sz w:val="20"/>
                <w:szCs w:val="20"/>
                <w:lang w:val="en-GB"/>
              </w:rPr>
            </w:pPr>
            <w:r w:rsidRPr="008D1E29">
              <w:rPr>
                <w:rFonts w:ascii="Arial" w:hAnsi="Arial" w:cs="Arial"/>
                <w:bCs/>
                <w:sz w:val="20"/>
                <w:szCs w:val="20"/>
              </w:rPr>
              <w:t>Where climate change, nutrition, and food security are mentioned, a slightly clearer linkage between specific post-harvest interventions and quantified nutritional outcomes would enrich the manuscript for a food science and human nutrition audience.</w:t>
            </w:r>
          </w:p>
        </w:tc>
        <w:tc>
          <w:tcPr>
            <w:tcW w:w="1523" w:type="pct"/>
          </w:tcPr>
          <w:p w14:paraId="2A254082" w14:textId="4B287156" w:rsidR="000D235F" w:rsidRPr="008D1E29" w:rsidRDefault="00F2339A">
            <w:pPr>
              <w:pStyle w:val="Heading2"/>
              <w:jc w:val="left"/>
              <w:rPr>
                <w:rFonts w:ascii="Arial" w:hAnsi="Arial" w:cs="Arial"/>
                <w:b w:val="0"/>
                <w:lang w:val="en-GB"/>
              </w:rPr>
            </w:pPr>
            <w:r w:rsidRPr="008D1E29">
              <w:rPr>
                <w:rFonts w:ascii="Arial" w:hAnsi="Arial" w:cs="Arial"/>
                <w:b w:val="0"/>
                <w:lang w:val="en-GB"/>
              </w:rPr>
              <w:t xml:space="preserve">Regarding to all correction remarks, as per </w:t>
            </w:r>
            <w:r w:rsidR="002330E8" w:rsidRPr="008D1E29">
              <w:rPr>
                <w:rFonts w:ascii="Arial" w:hAnsi="Arial" w:cs="Arial"/>
                <w:b w:val="0"/>
                <w:lang w:val="en-GB"/>
              </w:rPr>
              <w:t xml:space="preserve">instruction editing is done. Now the document is well corrected as per editor remarks. </w:t>
            </w:r>
          </w:p>
        </w:tc>
      </w:tr>
      <w:tr w:rsidR="000D235F" w:rsidRPr="008D1E29" w14:paraId="6867C9BF" w14:textId="77777777" w:rsidTr="002A216A">
        <w:trPr>
          <w:trHeight w:val="703"/>
        </w:trPr>
        <w:tc>
          <w:tcPr>
            <w:tcW w:w="1265" w:type="pct"/>
            <w:noWrap/>
          </w:tcPr>
          <w:p w14:paraId="18CEEBA7" w14:textId="77777777" w:rsidR="000D235F" w:rsidRPr="008D1E29" w:rsidRDefault="000D235F">
            <w:pPr>
              <w:ind w:left="360"/>
              <w:rPr>
                <w:rFonts w:ascii="Arial" w:hAnsi="Arial" w:cs="Arial"/>
                <w:b/>
                <w:bCs/>
                <w:sz w:val="20"/>
                <w:szCs w:val="20"/>
                <w:lang w:val="en-GB"/>
              </w:rPr>
            </w:pPr>
            <w:r w:rsidRPr="008D1E2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533311F" w14:textId="77777777" w:rsidR="0047194A" w:rsidRPr="008D1E29" w:rsidRDefault="0047194A" w:rsidP="0047194A">
            <w:pPr>
              <w:pStyle w:val="ListParagraph"/>
              <w:ind w:left="0"/>
              <w:rPr>
                <w:rFonts w:ascii="Arial" w:hAnsi="Arial" w:cs="Arial"/>
                <w:bCs/>
                <w:sz w:val="20"/>
                <w:szCs w:val="20"/>
              </w:rPr>
            </w:pPr>
            <w:r w:rsidRPr="008D1E29">
              <w:rPr>
                <w:rFonts w:ascii="Arial" w:hAnsi="Arial" w:cs="Arial"/>
                <w:bCs/>
                <w:sz w:val="20"/>
                <w:szCs w:val="20"/>
              </w:rPr>
              <w:t>The reference list is extensive, spanning foundational works and very recent contributions (2023–2025) on cold-chain technologies, smart systems, and post-harvest innovations. It includes region-specific studies from South Asia and sub-Saharan Africa, which strengthens the practical relevance for developing-country settings. Overall, the references are sufficient, recent, and well aligned with the topics discussed.​</w:t>
            </w:r>
          </w:p>
          <w:p w14:paraId="27F048BB" w14:textId="77777777" w:rsidR="0047194A" w:rsidRPr="008D1E29" w:rsidRDefault="0047194A" w:rsidP="0047194A">
            <w:pPr>
              <w:pStyle w:val="ListParagraph"/>
              <w:ind w:left="0"/>
              <w:rPr>
                <w:rFonts w:ascii="Arial" w:hAnsi="Arial" w:cs="Arial"/>
                <w:bCs/>
                <w:sz w:val="20"/>
                <w:szCs w:val="20"/>
              </w:rPr>
            </w:pPr>
          </w:p>
          <w:p w14:paraId="4822F8F0" w14:textId="77777777" w:rsidR="0047194A" w:rsidRPr="008D1E29" w:rsidRDefault="0047194A" w:rsidP="0047194A">
            <w:pPr>
              <w:pStyle w:val="ListParagraph"/>
              <w:ind w:left="0"/>
              <w:rPr>
                <w:rFonts w:ascii="Arial" w:hAnsi="Arial" w:cs="Arial"/>
                <w:bCs/>
                <w:sz w:val="20"/>
                <w:szCs w:val="20"/>
              </w:rPr>
            </w:pPr>
            <w:r w:rsidRPr="008D1E29">
              <w:rPr>
                <w:rFonts w:ascii="Arial" w:hAnsi="Arial" w:cs="Arial"/>
                <w:bCs/>
                <w:sz w:val="20"/>
                <w:szCs w:val="20"/>
              </w:rPr>
              <w:t>If further strengthening is desired, the authors might consider:</w:t>
            </w:r>
          </w:p>
          <w:p w14:paraId="00B4E236" w14:textId="77777777" w:rsidR="0047194A" w:rsidRPr="008D1E29" w:rsidRDefault="0047194A" w:rsidP="0047194A">
            <w:pPr>
              <w:pStyle w:val="ListParagraph"/>
              <w:numPr>
                <w:ilvl w:val="0"/>
                <w:numId w:val="16"/>
              </w:numPr>
              <w:rPr>
                <w:rFonts w:ascii="Arial" w:hAnsi="Arial" w:cs="Arial"/>
                <w:bCs/>
                <w:sz w:val="20"/>
                <w:szCs w:val="20"/>
              </w:rPr>
            </w:pPr>
            <w:r w:rsidRPr="008D1E29">
              <w:rPr>
                <w:rFonts w:ascii="Arial" w:hAnsi="Arial" w:cs="Arial"/>
                <w:bCs/>
                <w:sz w:val="20"/>
                <w:szCs w:val="20"/>
              </w:rPr>
              <w:t>Adding one or two nutrition-focused references that quantify micronutrient or phytochemical losses in relation to post-harvest handling or storage, to reinforce the nutrition link mentioned in the introduction and conclusion.​</w:t>
            </w:r>
          </w:p>
          <w:p w14:paraId="3656EEFC" w14:textId="77777777" w:rsidR="000D235F" w:rsidRPr="008D1E29" w:rsidRDefault="0047194A" w:rsidP="0047194A">
            <w:pPr>
              <w:pStyle w:val="ListParagraph"/>
              <w:numPr>
                <w:ilvl w:val="0"/>
                <w:numId w:val="16"/>
              </w:numPr>
              <w:rPr>
                <w:rFonts w:ascii="Arial" w:hAnsi="Arial" w:cs="Arial"/>
                <w:bCs/>
                <w:sz w:val="20"/>
                <w:szCs w:val="20"/>
                <w:lang w:val="en-GB"/>
              </w:rPr>
            </w:pPr>
            <w:r w:rsidRPr="008D1E29">
              <w:rPr>
                <w:rFonts w:ascii="Arial" w:hAnsi="Arial" w:cs="Arial"/>
                <w:bCs/>
                <w:sz w:val="20"/>
                <w:szCs w:val="20"/>
              </w:rPr>
              <w:t>Ensuring that each major emerging technology mentioned (e.g. CRISPR-mediated traits for post-harvest stability) is supported by at least one specific, citable example in horticultural crops.</w:t>
            </w:r>
          </w:p>
        </w:tc>
        <w:tc>
          <w:tcPr>
            <w:tcW w:w="1523" w:type="pct"/>
          </w:tcPr>
          <w:p w14:paraId="401B0A52" w14:textId="68C87723" w:rsidR="000D235F" w:rsidRPr="008D1E29" w:rsidRDefault="00E94ED6">
            <w:pPr>
              <w:pStyle w:val="Heading2"/>
              <w:jc w:val="left"/>
              <w:rPr>
                <w:rFonts w:ascii="Arial" w:hAnsi="Arial" w:cs="Arial"/>
                <w:b w:val="0"/>
                <w:lang w:val="en-GB"/>
              </w:rPr>
            </w:pPr>
            <w:r w:rsidRPr="008D1E29">
              <w:rPr>
                <w:rFonts w:ascii="Arial" w:hAnsi="Arial" w:cs="Arial"/>
                <w:b w:val="0"/>
                <w:lang w:val="en-US"/>
              </w:rPr>
              <w:t>The reference list is extensive and includes both foundational studies and recent publications (including 2023–2025) covering cold-chain systems, smart technologies, nanotechnology applications, and post-harvest innovations. Region-specific studies relevant to developing-country contexts have also been retained to enhance applied relevance.</w:t>
            </w:r>
          </w:p>
        </w:tc>
      </w:tr>
      <w:tr w:rsidR="000D235F" w:rsidRPr="008D1E29" w14:paraId="0A6B4C37" w14:textId="77777777" w:rsidTr="002A216A">
        <w:trPr>
          <w:trHeight w:val="386"/>
        </w:trPr>
        <w:tc>
          <w:tcPr>
            <w:tcW w:w="1265" w:type="pct"/>
            <w:noWrap/>
          </w:tcPr>
          <w:p w14:paraId="70B39C0B" w14:textId="77777777" w:rsidR="000D235F" w:rsidRPr="008D1E29" w:rsidRDefault="000D235F">
            <w:pPr>
              <w:pStyle w:val="Heading2"/>
              <w:ind w:left="360"/>
              <w:jc w:val="left"/>
              <w:rPr>
                <w:rFonts w:ascii="Arial" w:hAnsi="Arial" w:cs="Arial"/>
                <w:bCs w:val="0"/>
                <w:lang w:val="en-GB"/>
              </w:rPr>
            </w:pPr>
            <w:r w:rsidRPr="008D1E29">
              <w:rPr>
                <w:rFonts w:ascii="Arial" w:hAnsi="Arial" w:cs="Arial"/>
                <w:bCs w:val="0"/>
                <w:lang w:val="en-GB"/>
              </w:rPr>
              <w:lastRenderedPageBreak/>
              <w:t>Is the language/English quality of the article suitable for scholarly communications?</w:t>
            </w:r>
          </w:p>
          <w:p w14:paraId="35765545" w14:textId="77777777" w:rsidR="000D235F" w:rsidRPr="008D1E29" w:rsidRDefault="000D235F">
            <w:pPr>
              <w:rPr>
                <w:rFonts w:ascii="Arial" w:hAnsi="Arial" w:cs="Arial"/>
                <w:sz w:val="20"/>
                <w:szCs w:val="20"/>
                <w:lang w:val="en-GB"/>
              </w:rPr>
            </w:pPr>
          </w:p>
        </w:tc>
        <w:tc>
          <w:tcPr>
            <w:tcW w:w="2212" w:type="pct"/>
          </w:tcPr>
          <w:p w14:paraId="17B21AE6" w14:textId="77777777" w:rsidR="0047194A" w:rsidRPr="008D1E29" w:rsidRDefault="0047194A" w:rsidP="0047194A">
            <w:pPr>
              <w:rPr>
                <w:rFonts w:ascii="Arial" w:hAnsi="Arial" w:cs="Arial"/>
                <w:sz w:val="20"/>
                <w:szCs w:val="20"/>
              </w:rPr>
            </w:pPr>
            <w:r w:rsidRPr="008D1E29">
              <w:rPr>
                <w:rFonts w:ascii="Arial" w:hAnsi="Arial" w:cs="Arial"/>
                <w:sz w:val="20"/>
                <w:szCs w:val="20"/>
              </w:rPr>
              <w:t xml:space="preserve">The manuscript is </w:t>
            </w:r>
            <w:bookmarkStart w:id="2" w:name="_GoBack"/>
            <w:bookmarkEnd w:id="2"/>
            <w:r w:rsidRPr="008D1E29">
              <w:rPr>
                <w:rFonts w:ascii="Arial" w:hAnsi="Arial" w:cs="Arial"/>
                <w:sz w:val="20"/>
                <w:szCs w:val="20"/>
              </w:rPr>
              <w:t>generally well written, with a clear scientific style and good logical flow between sections. Technical terminology is used correctly and should be accessible to readers in food science, post-harvest technology, and nutrition, especially at graduate level and above.​</w:t>
            </w:r>
          </w:p>
          <w:p w14:paraId="26BEB370" w14:textId="77777777" w:rsidR="0047194A" w:rsidRPr="008D1E29" w:rsidRDefault="0047194A" w:rsidP="0047194A">
            <w:pPr>
              <w:rPr>
                <w:rFonts w:ascii="Arial" w:hAnsi="Arial" w:cs="Arial"/>
                <w:sz w:val="20"/>
                <w:szCs w:val="20"/>
              </w:rPr>
            </w:pPr>
            <w:r w:rsidRPr="008D1E29">
              <w:rPr>
                <w:rFonts w:ascii="Arial" w:hAnsi="Arial" w:cs="Arial"/>
                <w:sz w:val="20"/>
                <w:szCs w:val="20"/>
              </w:rPr>
              <w:t>However, careful language editing is necessary before publication:</w:t>
            </w:r>
          </w:p>
          <w:p w14:paraId="7CF686E8" w14:textId="77777777" w:rsidR="0047194A" w:rsidRPr="008D1E29" w:rsidRDefault="0047194A" w:rsidP="0047194A">
            <w:pPr>
              <w:numPr>
                <w:ilvl w:val="0"/>
                <w:numId w:val="17"/>
              </w:numPr>
              <w:rPr>
                <w:rFonts w:ascii="Arial" w:hAnsi="Arial" w:cs="Arial"/>
                <w:sz w:val="20"/>
                <w:szCs w:val="20"/>
              </w:rPr>
            </w:pPr>
            <w:r w:rsidRPr="008D1E29">
              <w:rPr>
                <w:rFonts w:ascii="Arial" w:hAnsi="Arial" w:cs="Arial"/>
                <w:sz w:val="20"/>
                <w:szCs w:val="20"/>
              </w:rPr>
              <w:t>Several typographical errors and spacing issues appear (e.g. “</w:t>
            </w:r>
            <w:proofErr w:type="spellStart"/>
            <w:r w:rsidRPr="008D1E29">
              <w:rPr>
                <w:rFonts w:ascii="Arial" w:hAnsi="Arial" w:cs="Arial"/>
                <w:sz w:val="20"/>
                <w:szCs w:val="20"/>
              </w:rPr>
              <w:t>activityspecifically</w:t>
            </w:r>
            <w:proofErr w:type="spellEnd"/>
            <w:r w:rsidRPr="008D1E29">
              <w:rPr>
                <w:rFonts w:ascii="Arial" w:hAnsi="Arial" w:cs="Arial"/>
                <w:sz w:val="20"/>
                <w:szCs w:val="20"/>
              </w:rPr>
              <w:t>”, inconsistent “</w:t>
            </w:r>
            <w:proofErr w:type="spellStart"/>
            <w:r w:rsidRPr="008D1E29">
              <w:rPr>
                <w:rFonts w:ascii="Arial" w:hAnsi="Arial" w:cs="Arial"/>
                <w:sz w:val="20"/>
                <w:szCs w:val="20"/>
              </w:rPr>
              <w:t>post harvest</w:t>
            </w:r>
            <w:proofErr w:type="spellEnd"/>
            <w:r w:rsidRPr="008D1E29">
              <w:rPr>
                <w:rFonts w:ascii="Arial" w:hAnsi="Arial" w:cs="Arial"/>
                <w:sz w:val="20"/>
                <w:szCs w:val="20"/>
              </w:rPr>
              <w:t>” vs. “post-harvest”, “food's quality”, “the vegetables' export quality”).​</w:t>
            </w:r>
          </w:p>
          <w:p w14:paraId="18A26D77" w14:textId="77777777" w:rsidR="0047194A" w:rsidRPr="008D1E29" w:rsidRDefault="0047194A" w:rsidP="0047194A">
            <w:pPr>
              <w:numPr>
                <w:ilvl w:val="0"/>
                <w:numId w:val="17"/>
              </w:numPr>
              <w:rPr>
                <w:rFonts w:ascii="Arial" w:hAnsi="Arial" w:cs="Arial"/>
                <w:sz w:val="20"/>
                <w:szCs w:val="20"/>
              </w:rPr>
            </w:pPr>
            <w:r w:rsidRPr="008D1E29">
              <w:rPr>
                <w:rFonts w:ascii="Arial" w:hAnsi="Arial" w:cs="Arial"/>
                <w:sz w:val="20"/>
                <w:szCs w:val="20"/>
              </w:rPr>
              <w:t>There are occasional long sentences that could be split for readability, particularly in sections on socio-economic constraints and emerging technologies.​</w:t>
            </w:r>
          </w:p>
          <w:p w14:paraId="2A4E3963" w14:textId="77777777" w:rsidR="0047194A" w:rsidRPr="008D1E29" w:rsidRDefault="0047194A" w:rsidP="0047194A">
            <w:pPr>
              <w:numPr>
                <w:ilvl w:val="0"/>
                <w:numId w:val="17"/>
              </w:numPr>
              <w:rPr>
                <w:rFonts w:ascii="Arial" w:hAnsi="Arial" w:cs="Arial"/>
                <w:sz w:val="20"/>
                <w:szCs w:val="20"/>
              </w:rPr>
            </w:pPr>
            <w:r w:rsidRPr="008D1E29">
              <w:rPr>
                <w:rFonts w:ascii="Arial" w:hAnsi="Arial" w:cs="Arial"/>
                <w:sz w:val="20"/>
                <w:szCs w:val="20"/>
              </w:rPr>
              <w:t>Minor inconsistencies in tense and article use (e.g. “the horticulture crops survive harvest” vs. “horticultural crops remain physiologically active”) can be smoothed during copy-editing.​</w:t>
            </w:r>
          </w:p>
          <w:p w14:paraId="15FC4590" w14:textId="77777777" w:rsidR="000D235F" w:rsidRPr="008D1E29" w:rsidRDefault="0047194A" w:rsidP="0047194A">
            <w:pPr>
              <w:rPr>
                <w:rFonts w:ascii="Arial" w:hAnsi="Arial" w:cs="Arial"/>
                <w:sz w:val="20"/>
                <w:szCs w:val="20"/>
                <w:lang w:val="en-GB"/>
              </w:rPr>
            </w:pPr>
            <w:r w:rsidRPr="008D1E29">
              <w:rPr>
                <w:rFonts w:ascii="Arial" w:hAnsi="Arial" w:cs="Arial"/>
                <w:sz w:val="20"/>
                <w:szCs w:val="20"/>
              </w:rPr>
              <w:t>With these edits, the language will be fully suitable for scholarly communication.</w:t>
            </w:r>
          </w:p>
        </w:tc>
        <w:tc>
          <w:tcPr>
            <w:tcW w:w="1523" w:type="pct"/>
          </w:tcPr>
          <w:p w14:paraId="33DBAC01" w14:textId="77777777" w:rsidR="00E94ED6" w:rsidRPr="008D1E29" w:rsidRDefault="00E94ED6" w:rsidP="00E94ED6">
            <w:pPr>
              <w:rPr>
                <w:rFonts w:ascii="Arial" w:hAnsi="Arial" w:cs="Arial"/>
                <w:sz w:val="20"/>
                <w:szCs w:val="20"/>
                <w:lang w:val="en-IN"/>
              </w:rPr>
            </w:pPr>
            <w:r w:rsidRPr="008D1E29">
              <w:rPr>
                <w:rFonts w:ascii="Arial" w:hAnsi="Arial" w:cs="Arial"/>
                <w:sz w:val="20"/>
                <w:szCs w:val="20"/>
                <w:lang w:val="en-IN"/>
              </w:rPr>
              <w:t>The manuscript has undergone careful language editing to improve clarity, grammar, and readability. All typographical and spacing errors have been corrected, including inconsistencies in hyphenation (“post-harvest”), article use, and possessive constructions. Long sentences have been revised for clarity, and minor inconsistencies in tense and terminology have been standardized.</w:t>
            </w:r>
          </w:p>
          <w:p w14:paraId="0D626414" w14:textId="77777777" w:rsidR="00E94ED6" w:rsidRPr="008D1E29" w:rsidRDefault="00E94ED6" w:rsidP="00E94ED6">
            <w:pPr>
              <w:rPr>
                <w:rFonts w:ascii="Arial" w:hAnsi="Arial" w:cs="Arial"/>
                <w:sz w:val="20"/>
                <w:szCs w:val="20"/>
                <w:lang w:val="en-IN"/>
              </w:rPr>
            </w:pPr>
            <w:r w:rsidRPr="008D1E29">
              <w:rPr>
                <w:rFonts w:ascii="Arial" w:hAnsi="Arial" w:cs="Arial"/>
                <w:sz w:val="20"/>
                <w:szCs w:val="20"/>
                <w:lang w:val="en-IN"/>
              </w:rPr>
              <w:t>The language is now fully suitable for scholarly communication.</w:t>
            </w:r>
          </w:p>
          <w:p w14:paraId="0A055A71" w14:textId="5C61ED5B" w:rsidR="000D235F" w:rsidRPr="008D1E29" w:rsidRDefault="000D235F">
            <w:pPr>
              <w:rPr>
                <w:rFonts w:ascii="Arial" w:hAnsi="Arial" w:cs="Arial"/>
                <w:sz w:val="20"/>
                <w:szCs w:val="20"/>
                <w:lang w:val="en-GB"/>
              </w:rPr>
            </w:pPr>
          </w:p>
        </w:tc>
      </w:tr>
      <w:tr w:rsidR="000D235F" w:rsidRPr="008D1E29" w14:paraId="24CA9BA9" w14:textId="77777777" w:rsidTr="002A216A">
        <w:trPr>
          <w:trHeight w:val="1178"/>
        </w:trPr>
        <w:tc>
          <w:tcPr>
            <w:tcW w:w="1265" w:type="pct"/>
            <w:noWrap/>
          </w:tcPr>
          <w:p w14:paraId="51577F12" w14:textId="77777777" w:rsidR="000D235F" w:rsidRPr="008D1E29" w:rsidRDefault="000D235F">
            <w:pPr>
              <w:pStyle w:val="Heading2"/>
              <w:jc w:val="left"/>
              <w:rPr>
                <w:rFonts w:ascii="Arial" w:hAnsi="Arial" w:cs="Arial"/>
                <w:b w:val="0"/>
                <w:bCs w:val="0"/>
                <w:lang w:val="en-GB"/>
              </w:rPr>
            </w:pPr>
            <w:r w:rsidRPr="008D1E29">
              <w:rPr>
                <w:rFonts w:ascii="Arial" w:hAnsi="Arial" w:cs="Arial"/>
                <w:bCs w:val="0"/>
                <w:u w:val="single"/>
                <w:lang w:val="en-GB"/>
              </w:rPr>
              <w:t>Optional/General</w:t>
            </w:r>
            <w:r w:rsidRPr="008D1E29">
              <w:rPr>
                <w:rFonts w:ascii="Arial" w:hAnsi="Arial" w:cs="Arial"/>
                <w:bCs w:val="0"/>
                <w:lang w:val="en-GB"/>
              </w:rPr>
              <w:t xml:space="preserve"> </w:t>
            </w:r>
            <w:r w:rsidRPr="008D1E29">
              <w:rPr>
                <w:rFonts w:ascii="Arial" w:hAnsi="Arial" w:cs="Arial"/>
                <w:b w:val="0"/>
                <w:bCs w:val="0"/>
                <w:lang w:val="en-GB"/>
              </w:rPr>
              <w:t>comments</w:t>
            </w:r>
          </w:p>
          <w:p w14:paraId="24B2AC02" w14:textId="77777777" w:rsidR="000D235F" w:rsidRPr="008D1E29" w:rsidRDefault="000D235F">
            <w:pPr>
              <w:pStyle w:val="Heading2"/>
              <w:jc w:val="left"/>
              <w:rPr>
                <w:rFonts w:ascii="Arial" w:hAnsi="Arial" w:cs="Arial"/>
                <w:b w:val="0"/>
                <w:lang w:val="en-GB"/>
              </w:rPr>
            </w:pPr>
          </w:p>
        </w:tc>
        <w:tc>
          <w:tcPr>
            <w:tcW w:w="2212" w:type="pct"/>
          </w:tcPr>
          <w:p w14:paraId="757D93BA" w14:textId="77777777" w:rsidR="00873D16" w:rsidRPr="008D1E29" w:rsidRDefault="00873D16" w:rsidP="00873D16">
            <w:pPr>
              <w:pStyle w:val="NormalWeb"/>
              <w:numPr>
                <w:ilvl w:val="0"/>
                <w:numId w:val="18"/>
              </w:numPr>
              <w:spacing w:before="0" w:beforeAutospacing="0" w:after="0"/>
              <w:rPr>
                <w:rFonts w:ascii="Arial" w:hAnsi="Arial" w:cs="Arial"/>
                <w:sz w:val="20"/>
                <w:szCs w:val="20"/>
              </w:rPr>
            </w:pPr>
            <w:r w:rsidRPr="008D1E29">
              <w:rPr>
                <w:rFonts w:ascii="Arial" w:hAnsi="Arial" w:cs="Arial"/>
                <w:sz w:val="20"/>
                <w:szCs w:val="20"/>
              </w:rPr>
              <w:t>The manuscript is rich in content and reads as a comprehensive teaching resource on post-harvest deterioration and management in horticultural crops, which may be useful for postgraduate courses in food science and post-harvest technology.​</w:t>
            </w:r>
          </w:p>
          <w:p w14:paraId="6D993FF4" w14:textId="77777777" w:rsidR="00873D16" w:rsidRPr="008D1E29" w:rsidRDefault="00873D16" w:rsidP="00873D16">
            <w:pPr>
              <w:pStyle w:val="NormalWeb"/>
              <w:numPr>
                <w:ilvl w:val="0"/>
                <w:numId w:val="18"/>
              </w:numPr>
              <w:spacing w:before="0" w:beforeAutospacing="0" w:after="0"/>
              <w:rPr>
                <w:rFonts w:ascii="Arial" w:hAnsi="Arial" w:cs="Arial"/>
                <w:sz w:val="20"/>
                <w:szCs w:val="20"/>
              </w:rPr>
            </w:pPr>
            <w:r w:rsidRPr="008D1E29">
              <w:rPr>
                <w:rFonts w:ascii="Arial" w:hAnsi="Arial" w:cs="Arial"/>
                <w:sz w:val="20"/>
                <w:szCs w:val="20"/>
              </w:rPr>
              <w:t>Consider adding one schematic figure that integrates the physiological drivers, loss stages, and intervention points into a single conceptual framework; this would help readers visualize where specific technologies and practices act along the chain.​</w:t>
            </w:r>
          </w:p>
          <w:p w14:paraId="2B37575F" w14:textId="77777777" w:rsidR="00873D16" w:rsidRPr="008D1E29" w:rsidRDefault="00873D16" w:rsidP="00873D16">
            <w:pPr>
              <w:pStyle w:val="NormalWeb"/>
              <w:numPr>
                <w:ilvl w:val="0"/>
                <w:numId w:val="18"/>
              </w:numPr>
              <w:spacing w:before="0" w:beforeAutospacing="0" w:after="0"/>
              <w:rPr>
                <w:rFonts w:ascii="Arial" w:hAnsi="Arial" w:cs="Arial"/>
                <w:sz w:val="20"/>
                <w:szCs w:val="20"/>
              </w:rPr>
            </w:pPr>
            <w:r w:rsidRPr="008D1E29">
              <w:rPr>
                <w:rFonts w:ascii="Arial" w:hAnsi="Arial" w:cs="Arial"/>
                <w:sz w:val="20"/>
                <w:szCs w:val="20"/>
              </w:rPr>
              <w:t>Given the strong emphasis on developing-country contexts, a short boxed case study (e.g. for tomatoes or leafy vegetables in a specific region) could illustrate how multiple interventions (harvest timing, pre-cooling, packaging, transport) act together to reduce losses and protect nutritional quality.​</w:t>
            </w:r>
          </w:p>
          <w:p w14:paraId="051FA85D" w14:textId="77777777" w:rsidR="000D235F" w:rsidRPr="008D1E29" w:rsidRDefault="00873D16" w:rsidP="00873D16">
            <w:pPr>
              <w:pStyle w:val="NormalWeb"/>
              <w:numPr>
                <w:ilvl w:val="0"/>
                <w:numId w:val="18"/>
              </w:numPr>
              <w:spacing w:before="0" w:beforeAutospacing="0" w:after="0"/>
              <w:rPr>
                <w:rFonts w:ascii="Arial" w:hAnsi="Arial" w:cs="Arial"/>
                <w:sz w:val="20"/>
                <w:szCs w:val="20"/>
                <w:lang w:val="en-GB"/>
              </w:rPr>
            </w:pPr>
            <w:r w:rsidRPr="008D1E29">
              <w:rPr>
                <w:rFonts w:ascii="Arial" w:hAnsi="Arial" w:cs="Arial"/>
                <w:sz w:val="20"/>
                <w:szCs w:val="20"/>
              </w:rPr>
              <w:t>Finally, tightening the structure by merging overlapping subsections and ensuring a clear line from mechanisms → losses → interventions → research gaps will further enhance the impact and readability of the review.</w:t>
            </w:r>
          </w:p>
        </w:tc>
        <w:tc>
          <w:tcPr>
            <w:tcW w:w="1523" w:type="pct"/>
          </w:tcPr>
          <w:p w14:paraId="61308BF1" w14:textId="77777777" w:rsidR="00E94ED6" w:rsidRPr="008D1E29" w:rsidRDefault="00E94ED6" w:rsidP="00E94ED6">
            <w:pPr>
              <w:rPr>
                <w:rFonts w:ascii="Arial" w:hAnsi="Arial" w:cs="Arial"/>
                <w:sz w:val="20"/>
                <w:szCs w:val="20"/>
                <w:lang w:val="en-IN"/>
              </w:rPr>
            </w:pPr>
            <w:r w:rsidRPr="008D1E29">
              <w:rPr>
                <w:rFonts w:ascii="Arial" w:hAnsi="Arial" w:cs="Arial"/>
                <w:sz w:val="20"/>
                <w:szCs w:val="20"/>
                <w:lang w:val="en-IN"/>
              </w:rPr>
              <w:t>We appreciate the constructive suggestions. In response:</w:t>
            </w:r>
          </w:p>
          <w:p w14:paraId="1E7573D8" w14:textId="77777777" w:rsidR="00E94ED6" w:rsidRPr="008D1E29" w:rsidRDefault="00E94ED6" w:rsidP="00E94ED6">
            <w:pPr>
              <w:numPr>
                <w:ilvl w:val="0"/>
                <w:numId w:val="20"/>
              </w:numPr>
              <w:rPr>
                <w:rFonts w:ascii="Arial" w:hAnsi="Arial" w:cs="Arial"/>
                <w:sz w:val="20"/>
                <w:szCs w:val="20"/>
                <w:lang w:val="en-IN"/>
              </w:rPr>
            </w:pPr>
            <w:r w:rsidRPr="008D1E29">
              <w:rPr>
                <w:rFonts w:ascii="Arial" w:hAnsi="Arial" w:cs="Arial"/>
                <w:sz w:val="20"/>
                <w:szCs w:val="20"/>
                <w:lang w:val="en-IN"/>
              </w:rPr>
              <w:t>The manuscript structure has been tightened by merging overlapping subsections and improving logical flow from mechanisms → loss stages → interventions → research gaps.</w:t>
            </w:r>
          </w:p>
          <w:p w14:paraId="1AE9F066" w14:textId="77777777" w:rsidR="00E94ED6" w:rsidRPr="008D1E29" w:rsidRDefault="00E94ED6" w:rsidP="00E94ED6">
            <w:pPr>
              <w:numPr>
                <w:ilvl w:val="0"/>
                <w:numId w:val="20"/>
              </w:numPr>
              <w:rPr>
                <w:rFonts w:ascii="Arial" w:hAnsi="Arial" w:cs="Arial"/>
                <w:sz w:val="20"/>
                <w:szCs w:val="20"/>
                <w:lang w:val="en-IN"/>
              </w:rPr>
            </w:pPr>
            <w:r w:rsidRPr="008D1E29">
              <w:rPr>
                <w:rFonts w:ascii="Arial" w:hAnsi="Arial" w:cs="Arial"/>
                <w:sz w:val="20"/>
                <w:szCs w:val="20"/>
                <w:lang w:val="en-IN"/>
              </w:rPr>
              <w:t>A conceptual schematic integrating physiological drivers, stages of loss, and intervention points has been considered to enhance visual clarity.</w:t>
            </w:r>
          </w:p>
          <w:p w14:paraId="1BB8451C" w14:textId="77777777" w:rsidR="00E94ED6" w:rsidRPr="008D1E29" w:rsidRDefault="00E94ED6" w:rsidP="00E94ED6">
            <w:pPr>
              <w:numPr>
                <w:ilvl w:val="0"/>
                <w:numId w:val="20"/>
              </w:numPr>
              <w:rPr>
                <w:rFonts w:ascii="Arial" w:hAnsi="Arial" w:cs="Arial"/>
                <w:sz w:val="20"/>
                <w:szCs w:val="20"/>
                <w:lang w:val="en-IN"/>
              </w:rPr>
            </w:pPr>
            <w:r w:rsidRPr="008D1E29">
              <w:rPr>
                <w:rFonts w:ascii="Arial" w:hAnsi="Arial" w:cs="Arial"/>
                <w:sz w:val="20"/>
                <w:szCs w:val="20"/>
                <w:lang w:val="en-IN"/>
              </w:rPr>
              <w:t>The developing-country perspective has been retained and strengthened where appropriate to maintain applied relevance.</w:t>
            </w:r>
          </w:p>
          <w:p w14:paraId="074004AA" w14:textId="77777777" w:rsidR="00E94ED6" w:rsidRPr="008D1E29" w:rsidRDefault="00E94ED6" w:rsidP="00E94ED6">
            <w:pPr>
              <w:numPr>
                <w:ilvl w:val="0"/>
                <w:numId w:val="20"/>
              </w:numPr>
              <w:rPr>
                <w:rFonts w:ascii="Arial" w:hAnsi="Arial" w:cs="Arial"/>
                <w:sz w:val="20"/>
                <w:szCs w:val="20"/>
                <w:lang w:val="en-IN"/>
              </w:rPr>
            </w:pPr>
            <w:r w:rsidRPr="008D1E29">
              <w:rPr>
                <w:rFonts w:ascii="Arial" w:hAnsi="Arial" w:cs="Arial"/>
                <w:sz w:val="20"/>
                <w:szCs w:val="20"/>
                <w:lang w:val="en-IN"/>
              </w:rPr>
              <w:t>Overall readability and coherence have been improved to enhance impact and suitability for postgraduate and professional audiences.</w:t>
            </w:r>
          </w:p>
          <w:p w14:paraId="524C7E47" w14:textId="77777777" w:rsidR="000D235F" w:rsidRPr="008D1E29" w:rsidRDefault="000D235F">
            <w:pPr>
              <w:rPr>
                <w:rFonts w:ascii="Arial" w:hAnsi="Arial" w:cs="Arial"/>
                <w:sz w:val="20"/>
                <w:szCs w:val="20"/>
                <w:lang w:val="en-GB"/>
              </w:rPr>
            </w:pPr>
          </w:p>
          <w:p w14:paraId="0AB793DA" w14:textId="77777777" w:rsidR="00E94ED6" w:rsidRPr="008D1E29" w:rsidRDefault="00E94ED6" w:rsidP="00E94ED6">
            <w:pPr>
              <w:rPr>
                <w:rFonts w:ascii="Arial" w:hAnsi="Arial" w:cs="Arial"/>
                <w:sz w:val="20"/>
                <w:szCs w:val="20"/>
                <w:lang w:val="en-GB"/>
              </w:rPr>
            </w:pPr>
          </w:p>
          <w:p w14:paraId="553F2928" w14:textId="77777777" w:rsidR="00E94ED6" w:rsidRPr="008D1E29" w:rsidRDefault="00E94ED6" w:rsidP="00E94ED6">
            <w:pPr>
              <w:rPr>
                <w:rFonts w:ascii="Arial" w:hAnsi="Arial" w:cs="Arial"/>
                <w:sz w:val="20"/>
                <w:szCs w:val="20"/>
                <w:lang w:val="en-GB"/>
              </w:rPr>
            </w:pPr>
          </w:p>
          <w:p w14:paraId="2A8AAAE3" w14:textId="77777777" w:rsidR="00E94ED6" w:rsidRPr="008D1E29" w:rsidRDefault="00E94ED6" w:rsidP="00E94ED6">
            <w:pPr>
              <w:ind w:firstLine="720"/>
              <w:rPr>
                <w:rFonts w:ascii="Arial" w:hAnsi="Arial" w:cs="Arial"/>
                <w:sz w:val="20"/>
                <w:szCs w:val="20"/>
                <w:lang w:val="en-GB"/>
              </w:rPr>
            </w:pPr>
          </w:p>
        </w:tc>
      </w:tr>
    </w:tbl>
    <w:p w14:paraId="4983A290" w14:textId="77777777" w:rsidR="000D235F" w:rsidRPr="008D1E29" w:rsidRDefault="000D235F" w:rsidP="000D235F">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0D235F" w:rsidRPr="008D1E29" w14:paraId="6961B790"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5A003857" w14:textId="77777777" w:rsidR="000D235F" w:rsidRPr="008D1E29" w:rsidRDefault="000D235F">
            <w:pPr>
              <w:pStyle w:val="NormalWeb"/>
              <w:spacing w:before="0" w:beforeAutospacing="0" w:after="0" w:afterAutospacing="0"/>
              <w:rPr>
                <w:rFonts w:ascii="Arial" w:hAnsi="Arial" w:cs="Arial"/>
                <w:b/>
                <w:sz w:val="20"/>
                <w:szCs w:val="20"/>
                <w:u w:val="single"/>
                <w:lang w:val="en-GB"/>
              </w:rPr>
            </w:pPr>
            <w:r w:rsidRPr="008D1E29">
              <w:rPr>
                <w:rFonts w:ascii="Arial" w:hAnsi="Arial" w:cs="Arial"/>
                <w:b/>
                <w:sz w:val="20"/>
                <w:szCs w:val="20"/>
                <w:highlight w:val="yellow"/>
                <w:u w:val="single"/>
                <w:lang w:val="en-GB"/>
              </w:rPr>
              <w:t>PART  2:</w:t>
            </w:r>
            <w:r w:rsidRPr="008D1E29">
              <w:rPr>
                <w:rFonts w:ascii="Arial" w:hAnsi="Arial" w:cs="Arial"/>
                <w:b/>
                <w:sz w:val="20"/>
                <w:szCs w:val="20"/>
                <w:u w:val="single"/>
                <w:lang w:val="en-GB"/>
              </w:rPr>
              <w:t xml:space="preserve"> </w:t>
            </w:r>
          </w:p>
          <w:p w14:paraId="557E4D20" w14:textId="77777777" w:rsidR="000D235F" w:rsidRPr="008D1E29" w:rsidRDefault="000D235F">
            <w:pPr>
              <w:pStyle w:val="NormalWeb"/>
              <w:spacing w:before="0" w:beforeAutospacing="0" w:after="0" w:afterAutospacing="0"/>
              <w:rPr>
                <w:rFonts w:ascii="Arial" w:hAnsi="Arial" w:cs="Arial"/>
                <w:b/>
                <w:sz w:val="20"/>
                <w:szCs w:val="20"/>
                <w:u w:val="single"/>
                <w:lang w:val="en-GB"/>
              </w:rPr>
            </w:pPr>
          </w:p>
        </w:tc>
      </w:tr>
      <w:tr w:rsidR="000D235F" w:rsidRPr="008D1E29" w14:paraId="46CEA655" w14:textId="77777777">
        <w:trPr>
          <w:trHeight w:val="935"/>
        </w:trPr>
        <w:tc>
          <w:tcPr>
            <w:tcW w:w="1615" w:type="pct"/>
            <w:noWrap/>
            <w:tcMar>
              <w:top w:w="0" w:type="dxa"/>
              <w:left w:w="108" w:type="dxa"/>
              <w:bottom w:w="0" w:type="dxa"/>
              <w:right w:w="108" w:type="dxa"/>
            </w:tcMar>
            <w:vAlign w:val="center"/>
          </w:tcPr>
          <w:p w14:paraId="64CC0194" w14:textId="77777777" w:rsidR="000D235F" w:rsidRPr="008D1E29" w:rsidRDefault="000D235F">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016564AF" w14:textId="77777777" w:rsidR="000D235F" w:rsidRPr="008D1E29" w:rsidRDefault="000D235F">
            <w:pPr>
              <w:pStyle w:val="Heading2"/>
              <w:jc w:val="left"/>
              <w:rPr>
                <w:rFonts w:ascii="Arial" w:hAnsi="Arial" w:cs="Arial"/>
                <w:lang w:val="en-GB"/>
              </w:rPr>
            </w:pPr>
            <w:r w:rsidRPr="008D1E29">
              <w:rPr>
                <w:rFonts w:ascii="Arial" w:hAnsi="Arial" w:cs="Arial"/>
                <w:lang w:val="en-GB"/>
              </w:rPr>
              <w:t>Reviewer’s comment</w:t>
            </w:r>
          </w:p>
        </w:tc>
        <w:tc>
          <w:tcPr>
            <w:tcW w:w="1342" w:type="pct"/>
          </w:tcPr>
          <w:p w14:paraId="29D43FDA" w14:textId="77777777" w:rsidR="004B3149" w:rsidRPr="008D1E29" w:rsidRDefault="004B3149" w:rsidP="004B3149">
            <w:pPr>
              <w:spacing w:after="160" w:line="254" w:lineRule="auto"/>
              <w:rPr>
                <w:rFonts w:ascii="Arial" w:eastAsia="Calibri" w:hAnsi="Arial" w:cs="Arial"/>
                <w:kern w:val="2"/>
                <w:sz w:val="20"/>
                <w:szCs w:val="20"/>
                <w:lang w:val="en-IN"/>
              </w:rPr>
            </w:pPr>
            <w:r w:rsidRPr="008D1E29">
              <w:rPr>
                <w:rFonts w:ascii="Arial" w:eastAsia="Calibri" w:hAnsi="Arial" w:cs="Arial"/>
                <w:b/>
                <w:kern w:val="2"/>
                <w:sz w:val="20"/>
                <w:szCs w:val="20"/>
                <w:lang w:val="en-IN"/>
              </w:rPr>
              <w:t>Author’s Feedback</w:t>
            </w:r>
            <w:r w:rsidRPr="008D1E29">
              <w:rPr>
                <w:rFonts w:ascii="Arial" w:eastAsia="Calibri" w:hAnsi="Arial" w:cs="Arial"/>
                <w:kern w:val="2"/>
                <w:sz w:val="20"/>
                <w:szCs w:val="20"/>
                <w:lang w:val="en-IN"/>
              </w:rPr>
              <w:t xml:space="preserve"> (It is mandatory that authors should write his/her feedback here)</w:t>
            </w:r>
          </w:p>
          <w:p w14:paraId="4EA26377" w14:textId="77777777" w:rsidR="000D235F" w:rsidRPr="008D1E29" w:rsidRDefault="000D235F">
            <w:pPr>
              <w:pStyle w:val="Heading2"/>
              <w:jc w:val="left"/>
              <w:rPr>
                <w:rFonts w:ascii="Arial" w:hAnsi="Arial" w:cs="Arial"/>
                <w:b w:val="0"/>
                <w:lang w:val="en-GB"/>
              </w:rPr>
            </w:pPr>
          </w:p>
        </w:tc>
      </w:tr>
      <w:tr w:rsidR="000D235F" w:rsidRPr="008D1E29" w14:paraId="7240F3AF" w14:textId="77777777">
        <w:trPr>
          <w:trHeight w:val="697"/>
        </w:trPr>
        <w:tc>
          <w:tcPr>
            <w:tcW w:w="1615" w:type="pct"/>
            <w:noWrap/>
            <w:tcMar>
              <w:top w:w="0" w:type="dxa"/>
              <w:left w:w="108" w:type="dxa"/>
              <w:bottom w:w="0" w:type="dxa"/>
              <w:right w:w="108" w:type="dxa"/>
            </w:tcMar>
            <w:vAlign w:val="center"/>
          </w:tcPr>
          <w:p w14:paraId="00CFE1CD" w14:textId="77777777" w:rsidR="000D235F" w:rsidRPr="008D1E29" w:rsidRDefault="000D235F">
            <w:pPr>
              <w:pStyle w:val="NormalWeb"/>
              <w:spacing w:before="0" w:beforeAutospacing="0" w:after="0" w:afterAutospacing="0"/>
              <w:rPr>
                <w:rFonts w:ascii="Arial" w:hAnsi="Arial" w:cs="Arial"/>
                <w:b/>
                <w:sz w:val="20"/>
                <w:szCs w:val="20"/>
                <w:lang w:val="en-GB"/>
              </w:rPr>
            </w:pPr>
            <w:r w:rsidRPr="008D1E29">
              <w:rPr>
                <w:rFonts w:ascii="Arial" w:hAnsi="Arial" w:cs="Arial"/>
                <w:b/>
                <w:sz w:val="20"/>
                <w:szCs w:val="20"/>
                <w:lang w:val="en-GB"/>
              </w:rPr>
              <w:t xml:space="preserve">Are there ethical issues in this manuscript? </w:t>
            </w:r>
          </w:p>
          <w:p w14:paraId="42161D8F" w14:textId="77777777" w:rsidR="000D235F" w:rsidRPr="008D1E29" w:rsidRDefault="000D235F">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6578D79B" w14:textId="77777777" w:rsidR="000D235F" w:rsidRPr="008D1E29" w:rsidRDefault="000D235F">
            <w:pPr>
              <w:pStyle w:val="NormalWeb"/>
              <w:spacing w:before="0" w:beforeAutospacing="0" w:after="0" w:afterAutospacing="0"/>
              <w:rPr>
                <w:rFonts w:ascii="Arial" w:hAnsi="Arial" w:cs="Arial"/>
                <w:i/>
                <w:iCs/>
                <w:sz w:val="20"/>
                <w:szCs w:val="20"/>
                <w:u w:val="single"/>
                <w:lang w:val="en-GB"/>
              </w:rPr>
            </w:pPr>
            <w:r w:rsidRPr="008D1E29">
              <w:rPr>
                <w:rFonts w:ascii="Arial" w:hAnsi="Arial" w:cs="Arial"/>
                <w:i/>
                <w:iCs/>
                <w:sz w:val="20"/>
                <w:szCs w:val="20"/>
                <w:u w:val="single"/>
                <w:lang w:val="en-GB"/>
              </w:rPr>
              <w:t>(If yes, Kindly please write down the ethical issues here in detail)</w:t>
            </w:r>
          </w:p>
          <w:p w14:paraId="67F446BF" w14:textId="77777777" w:rsidR="000D235F" w:rsidRPr="008D1E29" w:rsidRDefault="000D235F">
            <w:pPr>
              <w:pStyle w:val="NormalWeb"/>
              <w:spacing w:before="0" w:beforeAutospacing="0" w:after="0" w:afterAutospacing="0"/>
              <w:rPr>
                <w:rFonts w:ascii="Arial" w:hAnsi="Arial" w:cs="Arial"/>
                <w:sz w:val="20"/>
                <w:szCs w:val="20"/>
              </w:rPr>
            </w:pPr>
          </w:p>
          <w:p w14:paraId="214B0DBE" w14:textId="77777777" w:rsidR="000D235F" w:rsidRPr="008D1E29" w:rsidRDefault="00873D16">
            <w:pPr>
              <w:pStyle w:val="NormalWeb"/>
              <w:spacing w:before="0" w:beforeAutospacing="0" w:after="0" w:afterAutospacing="0"/>
              <w:rPr>
                <w:rFonts w:ascii="Arial" w:hAnsi="Arial" w:cs="Arial"/>
                <w:sz w:val="20"/>
                <w:szCs w:val="20"/>
                <w:lang w:val="en-GB"/>
              </w:rPr>
            </w:pPr>
            <w:r w:rsidRPr="008D1E29">
              <w:rPr>
                <w:rFonts w:ascii="Arial" w:hAnsi="Arial" w:cs="Arial"/>
                <w:sz w:val="20"/>
                <w:szCs w:val="20"/>
                <w:lang w:val="en-GB"/>
              </w:rPr>
              <w:t xml:space="preserve">Based on the sections provided, this work is a narrative review of published literature on </w:t>
            </w:r>
            <w:r w:rsidR="00B712FC" w:rsidRPr="008D1E29">
              <w:rPr>
                <w:rFonts w:ascii="Arial" w:hAnsi="Arial" w:cs="Arial"/>
                <w:sz w:val="20"/>
                <w:szCs w:val="20"/>
                <w:lang w:val="en-GB"/>
              </w:rPr>
              <w:t>post-harvest</w:t>
            </w:r>
            <w:r w:rsidRPr="008D1E29">
              <w:rPr>
                <w:rFonts w:ascii="Arial" w:hAnsi="Arial" w:cs="Arial"/>
                <w:sz w:val="20"/>
                <w:szCs w:val="20"/>
                <w:lang w:val="en-GB"/>
              </w:rPr>
              <w:t xml:space="preserve"> losses and management in horticultural crops. It does not report experiments on human participants, animals, or identifiable personal data, and it does not describe field trials with potential biosafety or environmental release concerns. On that basis, I do not see inherent ethical issues arising from the study design itself.</w:t>
            </w:r>
          </w:p>
        </w:tc>
        <w:tc>
          <w:tcPr>
            <w:tcW w:w="1342" w:type="pct"/>
            <w:vAlign w:val="center"/>
          </w:tcPr>
          <w:p w14:paraId="327085AE" w14:textId="77777777" w:rsidR="00E94ED6" w:rsidRPr="008D1E29" w:rsidRDefault="00E94ED6" w:rsidP="00E94ED6">
            <w:pPr>
              <w:rPr>
                <w:rFonts w:ascii="Arial" w:eastAsia="Arial Unicode MS" w:hAnsi="Arial" w:cs="Arial"/>
                <w:sz w:val="20"/>
                <w:szCs w:val="20"/>
                <w:lang w:val="en-GB"/>
              </w:rPr>
            </w:pPr>
            <w:r w:rsidRPr="008D1E29">
              <w:rPr>
                <w:rFonts w:ascii="Arial" w:eastAsia="Arial Unicode MS" w:hAnsi="Arial" w:cs="Arial"/>
                <w:sz w:val="20"/>
                <w:szCs w:val="20"/>
              </w:rPr>
              <w:t>No ethical issues are associated with this manuscript. The study is a review article based exclusively on previously published literature and does not involve human participants, animals, or experimental procedures requiring ethical approval. All referenced works have been appropriately cited to maintain academic integrity and avoid plagiarism. The manuscript adheres to established ethical standards for scholarly communication.</w:t>
            </w:r>
          </w:p>
          <w:p w14:paraId="21C529F9" w14:textId="77777777" w:rsidR="00E94ED6" w:rsidRPr="008D1E29" w:rsidRDefault="00E94ED6" w:rsidP="00E94ED6">
            <w:pPr>
              <w:rPr>
                <w:rFonts w:ascii="Arial" w:eastAsia="Arial Unicode MS" w:hAnsi="Arial" w:cs="Arial"/>
                <w:sz w:val="20"/>
                <w:szCs w:val="20"/>
                <w:lang w:val="en-GB"/>
              </w:rPr>
            </w:pPr>
          </w:p>
          <w:p w14:paraId="23E7ED0E" w14:textId="77777777" w:rsidR="00E94ED6" w:rsidRPr="008D1E29" w:rsidRDefault="00E94ED6" w:rsidP="00E94ED6">
            <w:pPr>
              <w:rPr>
                <w:rFonts w:ascii="Arial" w:eastAsia="Arial Unicode MS" w:hAnsi="Arial" w:cs="Arial"/>
                <w:sz w:val="20"/>
                <w:szCs w:val="20"/>
                <w:lang w:val="en-GB"/>
              </w:rPr>
            </w:pPr>
          </w:p>
          <w:p w14:paraId="575AEB44" w14:textId="77777777" w:rsidR="000D235F" w:rsidRPr="008D1E29" w:rsidRDefault="000D235F">
            <w:pPr>
              <w:rPr>
                <w:rFonts w:ascii="Arial" w:eastAsia="Arial Unicode MS" w:hAnsi="Arial" w:cs="Arial"/>
                <w:sz w:val="20"/>
                <w:szCs w:val="20"/>
                <w:lang w:val="en-GB"/>
              </w:rPr>
            </w:pPr>
          </w:p>
          <w:p w14:paraId="56008736" w14:textId="77777777" w:rsidR="000D235F" w:rsidRPr="008D1E29" w:rsidRDefault="000D235F">
            <w:pPr>
              <w:rPr>
                <w:rFonts w:ascii="Arial" w:eastAsia="Arial Unicode MS" w:hAnsi="Arial" w:cs="Arial"/>
                <w:sz w:val="20"/>
                <w:szCs w:val="20"/>
                <w:lang w:val="en-GB"/>
              </w:rPr>
            </w:pPr>
          </w:p>
          <w:p w14:paraId="6D5017F4" w14:textId="77777777" w:rsidR="000D235F" w:rsidRPr="008D1E29" w:rsidRDefault="000D235F">
            <w:pPr>
              <w:rPr>
                <w:rFonts w:ascii="Arial" w:eastAsia="Arial Unicode MS" w:hAnsi="Arial" w:cs="Arial"/>
                <w:sz w:val="20"/>
                <w:szCs w:val="20"/>
                <w:lang w:val="en-GB"/>
              </w:rPr>
            </w:pPr>
          </w:p>
          <w:p w14:paraId="34B3D6B7" w14:textId="77777777" w:rsidR="000D235F" w:rsidRPr="008D1E29" w:rsidRDefault="000D235F">
            <w:pPr>
              <w:pStyle w:val="NormalWeb"/>
              <w:spacing w:before="0" w:beforeAutospacing="0" w:after="0" w:afterAutospacing="0"/>
              <w:rPr>
                <w:rFonts w:ascii="Arial" w:hAnsi="Arial" w:cs="Arial"/>
                <w:sz w:val="20"/>
                <w:szCs w:val="20"/>
                <w:lang w:val="en-GB"/>
              </w:rPr>
            </w:pPr>
          </w:p>
        </w:tc>
      </w:tr>
      <w:bookmarkEnd w:id="0"/>
      <w:bookmarkEnd w:id="1"/>
    </w:tbl>
    <w:p w14:paraId="40D16C2C" w14:textId="77777777" w:rsidR="008913D5" w:rsidRPr="008D1E29" w:rsidRDefault="008913D5" w:rsidP="000D235F">
      <w:pPr>
        <w:pStyle w:val="BodyText"/>
        <w:outlineLvl w:val="0"/>
        <w:rPr>
          <w:rFonts w:ascii="Arial" w:hAnsi="Arial" w:cs="Arial"/>
          <w:sz w:val="20"/>
          <w:szCs w:val="20"/>
          <w:lang w:val="en-GB"/>
        </w:rPr>
      </w:pPr>
    </w:p>
    <w:sectPr w:rsidR="008913D5" w:rsidRPr="008D1E29" w:rsidSect="000B1875">
      <w:headerReference w:type="even" r:id="rId9"/>
      <w:headerReference w:type="default" r:id="rId10"/>
      <w:footerReference w:type="even" r:id="rId11"/>
      <w:footerReference w:type="default" r:id="rId12"/>
      <w:headerReference w:type="first" r:id="rId13"/>
      <w:footerReference w:type="first" r:id="rId14"/>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FF609" w14:textId="77777777" w:rsidR="000532A0" w:rsidRPr="0000007A" w:rsidRDefault="000532A0" w:rsidP="0099583E">
      <w:r>
        <w:separator/>
      </w:r>
    </w:p>
  </w:endnote>
  <w:endnote w:type="continuationSeparator" w:id="0">
    <w:p w14:paraId="02E51180" w14:textId="77777777" w:rsidR="000532A0" w:rsidRPr="0000007A" w:rsidRDefault="000532A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92945" w14:textId="77777777" w:rsidR="00E94ED6" w:rsidRDefault="00E94E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9F7D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A1FA3" w:rsidRPr="00DA1FA3">
      <w:rPr>
        <w:sz w:val="16"/>
      </w:rPr>
      <w:t xml:space="preserve">Version: </w:t>
    </w:r>
    <w:r w:rsidR="00B0624A">
      <w:rPr>
        <w:sz w:val="16"/>
      </w:rPr>
      <w:t>3</w:t>
    </w:r>
    <w:r w:rsidR="00DA1FA3" w:rsidRPr="00DA1FA3">
      <w:rPr>
        <w:sz w:val="16"/>
      </w:rPr>
      <w:t xml:space="preserve"> (0</w:t>
    </w:r>
    <w:r w:rsidR="00B0624A">
      <w:rPr>
        <w:sz w:val="16"/>
      </w:rPr>
      <w:t>7</w:t>
    </w:r>
    <w:r w:rsidR="00DA1FA3" w:rsidRPr="00DA1FA3">
      <w:rPr>
        <w:sz w:val="16"/>
      </w:rPr>
      <w:t>-07-2024)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1F39F" w14:textId="77777777" w:rsidR="00E94ED6" w:rsidRDefault="00E94E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59EA8" w14:textId="77777777" w:rsidR="000532A0" w:rsidRPr="0000007A" w:rsidRDefault="000532A0" w:rsidP="0099583E">
      <w:r>
        <w:separator/>
      </w:r>
    </w:p>
  </w:footnote>
  <w:footnote w:type="continuationSeparator" w:id="0">
    <w:p w14:paraId="7BD778BD" w14:textId="77777777" w:rsidR="000532A0" w:rsidRPr="0000007A" w:rsidRDefault="000532A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273E2" w14:textId="77777777" w:rsidR="00E94ED6" w:rsidRDefault="00E94E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A430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29953A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0624A">
      <w:rPr>
        <w:rFonts w:ascii="Arial" w:hAnsi="Arial" w:cs="Arial"/>
        <w:b/>
        <w:bCs/>
        <w:color w:val="003399"/>
        <w:u w:val="single"/>
        <w:lang w:val="en-GB"/>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E6EE0" w14:textId="77777777" w:rsidR="00E94ED6" w:rsidRDefault="00E94E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0" w:hanging="360"/>
      </w:p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 w15:restartNumberingAfterBreak="0">
    <w:nsid w:val="05C91CDB"/>
    <w:multiLevelType w:val="multilevel"/>
    <w:tmpl w:val="6F6C0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63B95"/>
    <w:multiLevelType w:val="multilevel"/>
    <w:tmpl w:val="10E0B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1AB26DF"/>
    <w:multiLevelType w:val="multilevel"/>
    <w:tmpl w:val="DB9EF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5FE47335"/>
    <w:multiLevelType w:val="multilevel"/>
    <w:tmpl w:val="EE945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5F59BF"/>
    <w:multiLevelType w:val="multilevel"/>
    <w:tmpl w:val="92C40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6EAD3D66"/>
    <w:multiLevelType w:val="hybridMultilevel"/>
    <w:tmpl w:val="6C6849C6"/>
    <w:lvl w:ilvl="0" w:tplc="F22E85D4">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30B45D5"/>
    <w:multiLevelType w:val="multilevel"/>
    <w:tmpl w:val="6994C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C494E17"/>
    <w:multiLevelType w:val="multilevel"/>
    <w:tmpl w:val="02DA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11"/>
  </w:num>
  <w:num w:numId="3">
    <w:abstractNumId w:val="10"/>
  </w:num>
  <w:num w:numId="4">
    <w:abstractNumId w:val="12"/>
  </w:num>
  <w:num w:numId="5">
    <w:abstractNumId w:val="8"/>
  </w:num>
  <w:num w:numId="6">
    <w:abstractNumId w:val="0"/>
  </w:num>
  <w:num w:numId="7">
    <w:abstractNumId w:val="5"/>
  </w:num>
  <w:num w:numId="8">
    <w:abstractNumId w:val="16"/>
  </w:num>
  <w:num w:numId="9">
    <w:abstractNumId w:val="13"/>
  </w:num>
  <w:num w:numId="10">
    <w:abstractNumId w:val="3"/>
  </w:num>
  <w:num w:numId="11">
    <w:abstractNumId w:val="2"/>
  </w:num>
  <w:num w:numId="12">
    <w:abstractNumId w:val="7"/>
  </w:num>
  <w:num w:numId="13">
    <w:abstractNumId w:val="4"/>
  </w:num>
  <w:num w:numId="14">
    <w:abstractNumId w:val="19"/>
  </w:num>
  <w:num w:numId="15">
    <w:abstractNumId w:val="18"/>
  </w:num>
  <w:num w:numId="16">
    <w:abstractNumId w:val="1"/>
  </w:num>
  <w:num w:numId="17">
    <w:abstractNumId w:val="15"/>
  </w:num>
  <w:num w:numId="18">
    <w:abstractNumId w:val="9"/>
  </w:num>
  <w:num w:numId="19">
    <w:abstractNumId w:val="1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014E"/>
    <w:rsid w:val="00006187"/>
    <w:rsid w:val="00010403"/>
    <w:rsid w:val="00012552"/>
    <w:rsid w:val="00012C8B"/>
    <w:rsid w:val="00021981"/>
    <w:rsid w:val="000234E1"/>
    <w:rsid w:val="0002598E"/>
    <w:rsid w:val="00037D52"/>
    <w:rsid w:val="00040881"/>
    <w:rsid w:val="000450FC"/>
    <w:rsid w:val="000532A0"/>
    <w:rsid w:val="00056CB0"/>
    <w:rsid w:val="000577C2"/>
    <w:rsid w:val="0006257C"/>
    <w:rsid w:val="00084D7C"/>
    <w:rsid w:val="00091112"/>
    <w:rsid w:val="000936AC"/>
    <w:rsid w:val="00095A59"/>
    <w:rsid w:val="000A2134"/>
    <w:rsid w:val="000A6F41"/>
    <w:rsid w:val="000B1875"/>
    <w:rsid w:val="000B4EE5"/>
    <w:rsid w:val="000B74A1"/>
    <w:rsid w:val="000B757E"/>
    <w:rsid w:val="000C0837"/>
    <w:rsid w:val="000C3B7E"/>
    <w:rsid w:val="000D235F"/>
    <w:rsid w:val="00100577"/>
    <w:rsid w:val="00101322"/>
    <w:rsid w:val="001223AA"/>
    <w:rsid w:val="00136984"/>
    <w:rsid w:val="00144521"/>
    <w:rsid w:val="00150304"/>
    <w:rsid w:val="0015296D"/>
    <w:rsid w:val="0015459A"/>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157DA"/>
    <w:rsid w:val="00220111"/>
    <w:rsid w:val="0022369C"/>
    <w:rsid w:val="002320EB"/>
    <w:rsid w:val="002330E8"/>
    <w:rsid w:val="0023696A"/>
    <w:rsid w:val="002422CB"/>
    <w:rsid w:val="00245E23"/>
    <w:rsid w:val="0025366D"/>
    <w:rsid w:val="00254F80"/>
    <w:rsid w:val="00262634"/>
    <w:rsid w:val="002643B3"/>
    <w:rsid w:val="00275984"/>
    <w:rsid w:val="00280EC9"/>
    <w:rsid w:val="00291D08"/>
    <w:rsid w:val="00293482"/>
    <w:rsid w:val="002A216A"/>
    <w:rsid w:val="002A56DB"/>
    <w:rsid w:val="002B2C23"/>
    <w:rsid w:val="002D7EA9"/>
    <w:rsid w:val="002E1211"/>
    <w:rsid w:val="002E2339"/>
    <w:rsid w:val="002E6D86"/>
    <w:rsid w:val="002F6935"/>
    <w:rsid w:val="00307C1F"/>
    <w:rsid w:val="00312559"/>
    <w:rsid w:val="003204B8"/>
    <w:rsid w:val="0033692F"/>
    <w:rsid w:val="00346223"/>
    <w:rsid w:val="003A04E7"/>
    <w:rsid w:val="003A4991"/>
    <w:rsid w:val="003A6E1A"/>
    <w:rsid w:val="003B2172"/>
    <w:rsid w:val="003C6347"/>
    <w:rsid w:val="003E746A"/>
    <w:rsid w:val="0042465A"/>
    <w:rsid w:val="004356CC"/>
    <w:rsid w:val="00435B36"/>
    <w:rsid w:val="00442B24"/>
    <w:rsid w:val="0044444D"/>
    <w:rsid w:val="0044519B"/>
    <w:rsid w:val="00445B35"/>
    <w:rsid w:val="00446659"/>
    <w:rsid w:val="00457AB1"/>
    <w:rsid w:val="00457BC0"/>
    <w:rsid w:val="00462996"/>
    <w:rsid w:val="004674B4"/>
    <w:rsid w:val="0047194A"/>
    <w:rsid w:val="00495984"/>
    <w:rsid w:val="004B3149"/>
    <w:rsid w:val="004B4CAD"/>
    <w:rsid w:val="004B4FDC"/>
    <w:rsid w:val="004B56A9"/>
    <w:rsid w:val="004C3DF1"/>
    <w:rsid w:val="004D0539"/>
    <w:rsid w:val="004D2E36"/>
    <w:rsid w:val="004D733D"/>
    <w:rsid w:val="00503AB6"/>
    <w:rsid w:val="005047C5"/>
    <w:rsid w:val="00510920"/>
    <w:rsid w:val="00521812"/>
    <w:rsid w:val="00523D2C"/>
    <w:rsid w:val="00531C82"/>
    <w:rsid w:val="005339A8"/>
    <w:rsid w:val="00533FC1"/>
    <w:rsid w:val="0054564B"/>
    <w:rsid w:val="00545A13"/>
    <w:rsid w:val="00546343"/>
    <w:rsid w:val="00557CD3"/>
    <w:rsid w:val="00560D3C"/>
    <w:rsid w:val="00567B63"/>
    <w:rsid w:val="00567DE0"/>
    <w:rsid w:val="005735A5"/>
    <w:rsid w:val="005A5BE0"/>
    <w:rsid w:val="005A61BD"/>
    <w:rsid w:val="005B12E0"/>
    <w:rsid w:val="005B661D"/>
    <w:rsid w:val="005C25A0"/>
    <w:rsid w:val="005D230D"/>
    <w:rsid w:val="005F322F"/>
    <w:rsid w:val="00602F7D"/>
    <w:rsid w:val="00605952"/>
    <w:rsid w:val="00620677"/>
    <w:rsid w:val="00624032"/>
    <w:rsid w:val="00625F66"/>
    <w:rsid w:val="00645A56"/>
    <w:rsid w:val="006532DF"/>
    <w:rsid w:val="0065579D"/>
    <w:rsid w:val="00663792"/>
    <w:rsid w:val="0067046C"/>
    <w:rsid w:val="00676845"/>
    <w:rsid w:val="00680547"/>
    <w:rsid w:val="0068446F"/>
    <w:rsid w:val="0069428E"/>
    <w:rsid w:val="00696CAD"/>
    <w:rsid w:val="006A5E0B"/>
    <w:rsid w:val="006C3797"/>
    <w:rsid w:val="006D0438"/>
    <w:rsid w:val="006E7D6E"/>
    <w:rsid w:val="006F6F2F"/>
    <w:rsid w:val="00701186"/>
    <w:rsid w:val="00707BE1"/>
    <w:rsid w:val="007238EB"/>
    <w:rsid w:val="0072789A"/>
    <w:rsid w:val="007317C3"/>
    <w:rsid w:val="00734756"/>
    <w:rsid w:val="0073538B"/>
    <w:rsid w:val="00737380"/>
    <w:rsid w:val="00741BD0"/>
    <w:rsid w:val="007426E6"/>
    <w:rsid w:val="00746370"/>
    <w:rsid w:val="00766889"/>
    <w:rsid w:val="00766A0D"/>
    <w:rsid w:val="00767F8C"/>
    <w:rsid w:val="00780B67"/>
    <w:rsid w:val="007A1DC2"/>
    <w:rsid w:val="007B1099"/>
    <w:rsid w:val="007B27AE"/>
    <w:rsid w:val="007B6E18"/>
    <w:rsid w:val="007D0246"/>
    <w:rsid w:val="007D06A1"/>
    <w:rsid w:val="007E5080"/>
    <w:rsid w:val="007F5873"/>
    <w:rsid w:val="00806382"/>
    <w:rsid w:val="0081361B"/>
    <w:rsid w:val="00815F94"/>
    <w:rsid w:val="0082130C"/>
    <w:rsid w:val="008224E2"/>
    <w:rsid w:val="008233C6"/>
    <w:rsid w:val="00825DC9"/>
    <w:rsid w:val="0082676D"/>
    <w:rsid w:val="00831055"/>
    <w:rsid w:val="008423BB"/>
    <w:rsid w:val="00846F1F"/>
    <w:rsid w:val="00856A5C"/>
    <w:rsid w:val="0087201B"/>
    <w:rsid w:val="00873D16"/>
    <w:rsid w:val="00877F10"/>
    <w:rsid w:val="00882091"/>
    <w:rsid w:val="008913D5"/>
    <w:rsid w:val="00893DD3"/>
    <w:rsid w:val="00893E75"/>
    <w:rsid w:val="008C24C5"/>
    <w:rsid w:val="008C2778"/>
    <w:rsid w:val="008C2BE6"/>
    <w:rsid w:val="008C2F62"/>
    <w:rsid w:val="008C5754"/>
    <w:rsid w:val="008D020E"/>
    <w:rsid w:val="008D1117"/>
    <w:rsid w:val="008D15A4"/>
    <w:rsid w:val="008D1E29"/>
    <w:rsid w:val="008F36E4"/>
    <w:rsid w:val="009021ED"/>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77E9"/>
    <w:rsid w:val="00A31AAC"/>
    <w:rsid w:val="00A32905"/>
    <w:rsid w:val="00A36C95"/>
    <w:rsid w:val="00A37DE3"/>
    <w:rsid w:val="00A519D1"/>
    <w:rsid w:val="00A62EDA"/>
    <w:rsid w:val="00A6343B"/>
    <w:rsid w:val="00A65C50"/>
    <w:rsid w:val="00A66DD2"/>
    <w:rsid w:val="00AA41B3"/>
    <w:rsid w:val="00AA6670"/>
    <w:rsid w:val="00AB1ED6"/>
    <w:rsid w:val="00AB397D"/>
    <w:rsid w:val="00AB638A"/>
    <w:rsid w:val="00AB6E43"/>
    <w:rsid w:val="00AC1349"/>
    <w:rsid w:val="00AD6C51"/>
    <w:rsid w:val="00AE567C"/>
    <w:rsid w:val="00AF2DD2"/>
    <w:rsid w:val="00AF3016"/>
    <w:rsid w:val="00B03A45"/>
    <w:rsid w:val="00B0624A"/>
    <w:rsid w:val="00B2236C"/>
    <w:rsid w:val="00B22FE6"/>
    <w:rsid w:val="00B2782F"/>
    <w:rsid w:val="00B3033D"/>
    <w:rsid w:val="00B3262C"/>
    <w:rsid w:val="00B356AF"/>
    <w:rsid w:val="00B62087"/>
    <w:rsid w:val="00B62F41"/>
    <w:rsid w:val="00B712FC"/>
    <w:rsid w:val="00B73785"/>
    <w:rsid w:val="00B760E1"/>
    <w:rsid w:val="00B807F8"/>
    <w:rsid w:val="00B84C1C"/>
    <w:rsid w:val="00B858FF"/>
    <w:rsid w:val="00BA1AB3"/>
    <w:rsid w:val="00BA6421"/>
    <w:rsid w:val="00BB34E6"/>
    <w:rsid w:val="00BB4FEC"/>
    <w:rsid w:val="00BC402F"/>
    <w:rsid w:val="00BD0CCC"/>
    <w:rsid w:val="00BD27BA"/>
    <w:rsid w:val="00BE13EF"/>
    <w:rsid w:val="00BE40A5"/>
    <w:rsid w:val="00BE6454"/>
    <w:rsid w:val="00BF39A4"/>
    <w:rsid w:val="00C02797"/>
    <w:rsid w:val="00C07F78"/>
    <w:rsid w:val="00C10283"/>
    <w:rsid w:val="00C110CC"/>
    <w:rsid w:val="00C22886"/>
    <w:rsid w:val="00C25C8F"/>
    <w:rsid w:val="00C263C6"/>
    <w:rsid w:val="00C42A9D"/>
    <w:rsid w:val="00C620A6"/>
    <w:rsid w:val="00C635B6"/>
    <w:rsid w:val="00C63963"/>
    <w:rsid w:val="00C70DFC"/>
    <w:rsid w:val="00C7111F"/>
    <w:rsid w:val="00C82466"/>
    <w:rsid w:val="00C84097"/>
    <w:rsid w:val="00CB429B"/>
    <w:rsid w:val="00CC2753"/>
    <w:rsid w:val="00CD093E"/>
    <w:rsid w:val="00CD1556"/>
    <w:rsid w:val="00CD1FD7"/>
    <w:rsid w:val="00CE199A"/>
    <w:rsid w:val="00CE5AC7"/>
    <w:rsid w:val="00CF0BBB"/>
    <w:rsid w:val="00D1283A"/>
    <w:rsid w:val="00D17979"/>
    <w:rsid w:val="00D2075F"/>
    <w:rsid w:val="00D30961"/>
    <w:rsid w:val="00D3257B"/>
    <w:rsid w:val="00D40416"/>
    <w:rsid w:val="00D45CF7"/>
    <w:rsid w:val="00D471AB"/>
    <w:rsid w:val="00D4782A"/>
    <w:rsid w:val="00D7603E"/>
    <w:rsid w:val="00D81229"/>
    <w:rsid w:val="00D83360"/>
    <w:rsid w:val="00D8579C"/>
    <w:rsid w:val="00D90124"/>
    <w:rsid w:val="00D9392F"/>
    <w:rsid w:val="00DA1FA3"/>
    <w:rsid w:val="00DA41F5"/>
    <w:rsid w:val="00DB5B54"/>
    <w:rsid w:val="00DB7E1B"/>
    <w:rsid w:val="00DC1D81"/>
    <w:rsid w:val="00E17E77"/>
    <w:rsid w:val="00E451EA"/>
    <w:rsid w:val="00E53E52"/>
    <w:rsid w:val="00E57F4B"/>
    <w:rsid w:val="00E63889"/>
    <w:rsid w:val="00E65975"/>
    <w:rsid w:val="00E65EB7"/>
    <w:rsid w:val="00E71C8D"/>
    <w:rsid w:val="00E72360"/>
    <w:rsid w:val="00E94ED6"/>
    <w:rsid w:val="00E972A7"/>
    <w:rsid w:val="00EA2839"/>
    <w:rsid w:val="00EB3E91"/>
    <w:rsid w:val="00EC331A"/>
    <w:rsid w:val="00EC6894"/>
    <w:rsid w:val="00ED6B12"/>
    <w:rsid w:val="00ED7740"/>
    <w:rsid w:val="00EE0D3E"/>
    <w:rsid w:val="00EF2933"/>
    <w:rsid w:val="00EF326D"/>
    <w:rsid w:val="00EF53FE"/>
    <w:rsid w:val="00F2339A"/>
    <w:rsid w:val="00F245A7"/>
    <w:rsid w:val="00F2643C"/>
    <w:rsid w:val="00F3295A"/>
    <w:rsid w:val="00F34D8E"/>
    <w:rsid w:val="00F3669D"/>
    <w:rsid w:val="00F405F8"/>
    <w:rsid w:val="00F41154"/>
    <w:rsid w:val="00F4700F"/>
    <w:rsid w:val="00F51F7F"/>
    <w:rsid w:val="00F573EA"/>
    <w:rsid w:val="00F57E9D"/>
    <w:rsid w:val="00FA07FC"/>
    <w:rsid w:val="00FA6528"/>
    <w:rsid w:val="00FC2E17"/>
    <w:rsid w:val="00FC4B69"/>
    <w:rsid w:val="00FC5C4E"/>
    <w:rsid w:val="00FC6387"/>
    <w:rsid w:val="00FC6802"/>
    <w:rsid w:val="00FD70A7"/>
    <w:rsid w:val="00FE7302"/>
    <w:rsid w:val="00FF09A0"/>
    <w:rsid w:val="00FF12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144BB4"/>
  <w15:chartTrackingRefBased/>
  <w15:docId w15:val="{A611B1AE-A6B2-A847-A9A0-B2C858E50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B2C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3826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987525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5705906">
      <w:bodyDiv w:val="1"/>
      <w:marLeft w:val="0"/>
      <w:marRight w:val="0"/>
      <w:marTop w:val="0"/>
      <w:marBottom w:val="0"/>
      <w:divBdr>
        <w:top w:val="none" w:sz="0" w:space="0" w:color="auto"/>
        <w:left w:val="none" w:sz="0" w:space="0" w:color="auto"/>
        <w:bottom w:val="none" w:sz="0" w:space="0" w:color="auto"/>
        <w:right w:val="none" w:sz="0" w:space="0" w:color="auto"/>
      </w:divBdr>
    </w:div>
    <w:div w:id="1003241645">
      <w:bodyDiv w:val="1"/>
      <w:marLeft w:val="0"/>
      <w:marRight w:val="0"/>
      <w:marTop w:val="0"/>
      <w:marBottom w:val="0"/>
      <w:divBdr>
        <w:top w:val="none" w:sz="0" w:space="0" w:color="auto"/>
        <w:left w:val="none" w:sz="0" w:space="0" w:color="auto"/>
        <w:bottom w:val="none" w:sz="0" w:space="0" w:color="auto"/>
        <w:right w:val="none" w:sz="0" w:space="0" w:color="auto"/>
      </w:divBdr>
    </w:div>
    <w:div w:id="113213799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ejnfs.com/index.php/EJNF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BD4E5-D9E8-4E3A-94AD-902743555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1924</Words>
  <Characters>10972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12871</CharactersWithSpaces>
  <SharedDoc>false</SharedDoc>
  <HLinks>
    <vt:vector size="6" baseType="variant">
      <vt:variant>
        <vt:i4>1441873</vt:i4>
      </vt:variant>
      <vt:variant>
        <vt:i4>0</vt:i4>
      </vt:variant>
      <vt:variant>
        <vt:i4>0</vt:i4>
      </vt:variant>
      <vt:variant>
        <vt:i4>5</vt:i4>
      </vt:variant>
      <vt:variant>
        <vt:lpwstr>https://journalejnfs.com/index.php/EJNFS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6</cp:revision>
  <dcterms:created xsi:type="dcterms:W3CDTF">2026-03-04T08:12:00Z</dcterms:created>
  <dcterms:modified xsi:type="dcterms:W3CDTF">2026-03-05T06:55:00Z</dcterms:modified>
</cp:coreProperties>
</file>