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EC42A3" w14:paraId="77F58261" w14:textId="77777777">
        <w:trPr>
          <w:trHeight w:val="290"/>
        </w:trPr>
        <w:tc>
          <w:tcPr>
            <w:tcW w:w="5000" w:type="pct"/>
            <w:gridSpan w:val="2"/>
            <w:tcBorders>
              <w:top w:val="nil"/>
              <w:left w:val="nil"/>
              <w:right w:val="nil"/>
            </w:tcBorders>
          </w:tcPr>
          <w:p w14:paraId="2CD81049" w14:textId="77777777" w:rsidR="00EC42A3" w:rsidRDefault="00EC42A3">
            <w:pPr>
              <w:pStyle w:val="Heading2"/>
              <w:jc w:val="left"/>
              <w:rPr>
                <w:rFonts w:ascii="Arial" w:hAnsi="Arial" w:cs="Arial"/>
                <w:b w:val="0"/>
                <w:bCs w:val="0"/>
                <w:sz w:val="28"/>
                <w:szCs w:val="28"/>
                <w:lang w:val="en-GB"/>
              </w:rPr>
            </w:pPr>
          </w:p>
        </w:tc>
      </w:tr>
      <w:tr w:rsidR="00EC42A3" w14:paraId="79069E40" w14:textId="77777777">
        <w:trPr>
          <w:trHeight w:val="290"/>
        </w:trPr>
        <w:tc>
          <w:tcPr>
            <w:tcW w:w="1234" w:type="pct"/>
          </w:tcPr>
          <w:p w14:paraId="2097B67B" w14:textId="77777777" w:rsidR="00EC42A3"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7404E3E" w14:textId="77777777" w:rsidR="00EC42A3" w:rsidRDefault="00000000">
            <w:pPr>
              <w:rPr>
                <w:rFonts w:ascii="Arial" w:hAnsi="Arial" w:cs="Arial"/>
                <w:b/>
                <w:bCs/>
                <w:color w:val="0000FF"/>
                <w:sz w:val="20"/>
                <w:szCs w:val="20"/>
              </w:rPr>
            </w:pPr>
            <w:hyperlink r:id="rId8" w:history="1">
              <w:r>
                <w:rPr>
                  <w:rStyle w:val="Hyperlink"/>
                  <w:rFonts w:ascii="Arial" w:hAnsi="Arial" w:cs="Arial"/>
                  <w:b/>
                  <w:bCs/>
                  <w:sz w:val="20"/>
                  <w:szCs w:val="20"/>
                </w:rPr>
                <w:t>Current Journal of Applied Science and Technology</w:t>
              </w:r>
            </w:hyperlink>
          </w:p>
        </w:tc>
      </w:tr>
      <w:tr w:rsidR="00EC42A3" w14:paraId="01E70C33" w14:textId="77777777">
        <w:trPr>
          <w:trHeight w:val="290"/>
        </w:trPr>
        <w:tc>
          <w:tcPr>
            <w:tcW w:w="1234" w:type="pct"/>
          </w:tcPr>
          <w:p w14:paraId="0DF1F5AA" w14:textId="77777777" w:rsidR="00EC42A3"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66A2A57" w14:textId="77777777" w:rsidR="00EC42A3"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Ms_CJAST_155215</w:t>
            </w:r>
          </w:p>
        </w:tc>
      </w:tr>
      <w:tr w:rsidR="00EC42A3" w14:paraId="5272897F" w14:textId="77777777">
        <w:trPr>
          <w:trHeight w:val="650"/>
        </w:trPr>
        <w:tc>
          <w:tcPr>
            <w:tcW w:w="1234" w:type="pct"/>
          </w:tcPr>
          <w:p w14:paraId="17CBA3AC" w14:textId="77777777" w:rsidR="00EC42A3"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A52B83A" w14:textId="77777777" w:rsidR="00EC42A3"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Pharmacological Actions and Adverse Effects of Anabolic–Androgenic Steroids: A Review of Use in Sports and Social Abuse</w:t>
            </w:r>
          </w:p>
        </w:tc>
      </w:tr>
      <w:tr w:rsidR="00EC42A3" w14:paraId="40CC5E5B" w14:textId="77777777">
        <w:trPr>
          <w:trHeight w:val="332"/>
        </w:trPr>
        <w:tc>
          <w:tcPr>
            <w:tcW w:w="1234" w:type="pct"/>
          </w:tcPr>
          <w:p w14:paraId="0F11B3DE" w14:textId="77777777" w:rsidR="00EC42A3"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52E0040" w14:textId="77777777" w:rsidR="00EC42A3"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7B4CB15B" w14:textId="77777777" w:rsidR="00EC42A3" w:rsidRDefault="00EC42A3">
      <w:pPr>
        <w:pStyle w:val="BodyText"/>
        <w:rPr>
          <w:rFonts w:ascii="Arial" w:hAnsi="Arial" w:cs="Arial"/>
          <w:b/>
          <w:bCs/>
          <w:sz w:val="20"/>
          <w:szCs w:val="20"/>
          <w:u w:val="single"/>
          <w:lang w:val="en-GB"/>
        </w:rPr>
      </w:pPr>
    </w:p>
    <w:p w14:paraId="483CEA44" w14:textId="77777777" w:rsidR="00EC42A3" w:rsidRDefault="00EC42A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C42A3" w14:paraId="6CB89E93" w14:textId="77777777">
        <w:tc>
          <w:tcPr>
            <w:tcW w:w="5000" w:type="pct"/>
            <w:gridSpan w:val="3"/>
            <w:tcBorders>
              <w:top w:val="nil"/>
              <w:left w:val="nil"/>
              <w:right w:val="nil"/>
            </w:tcBorders>
            <w:noWrap/>
          </w:tcPr>
          <w:p w14:paraId="63F4166E" w14:textId="77777777" w:rsidR="00EC42A3"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260D7119" w14:textId="77777777" w:rsidR="00EC42A3" w:rsidRDefault="00EC42A3">
            <w:pPr>
              <w:rPr>
                <w:sz w:val="20"/>
                <w:szCs w:val="20"/>
                <w:lang w:val="en-GB"/>
              </w:rPr>
            </w:pPr>
          </w:p>
        </w:tc>
      </w:tr>
      <w:tr w:rsidR="00EC42A3" w14:paraId="3EE83A32" w14:textId="77777777">
        <w:tc>
          <w:tcPr>
            <w:tcW w:w="1265" w:type="pct"/>
            <w:noWrap/>
          </w:tcPr>
          <w:p w14:paraId="01A86D16" w14:textId="77777777" w:rsidR="00EC42A3" w:rsidRDefault="00EC42A3">
            <w:pPr>
              <w:pStyle w:val="Heading2"/>
              <w:jc w:val="left"/>
              <w:rPr>
                <w:rFonts w:ascii="Times New Roman" w:hAnsi="Times New Roman"/>
                <w:lang w:val="en-GB"/>
              </w:rPr>
            </w:pPr>
          </w:p>
        </w:tc>
        <w:tc>
          <w:tcPr>
            <w:tcW w:w="2212" w:type="pct"/>
          </w:tcPr>
          <w:p w14:paraId="356D85E3" w14:textId="77777777" w:rsidR="00EC42A3" w:rsidRDefault="00000000">
            <w:pPr>
              <w:pStyle w:val="Heading2"/>
              <w:jc w:val="left"/>
              <w:rPr>
                <w:rFonts w:ascii="Times New Roman" w:hAnsi="Times New Roman"/>
                <w:lang w:val="en-GB"/>
              </w:rPr>
            </w:pPr>
            <w:r>
              <w:rPr>
                <w:rFonts w:ascii="Times New Roman" w:hAnsi="Times New Roman"/>
                <w:lang w:val="en-GB"/>
              </w:rPr>
              <w:t>Reviewer’s comment</w:t>
            </w:r>
          </w:p>
          <w:p w14:paraId="45B62557" w14:textId="77777777" w:rsidR="00EC42A3" w:rsidRDefault="00EC42A3">
            <w:pPr>
              <w:rPr>
                <w:b/>
                <w:bCs/>
                <w:sz w:val="20"/>
                <w:szCs w:val="20"/>
              </w:rPr>
            </w:pPr>
          </w:p>
          <w:p w14:paraId="77C351AB" w14:textId="77777777" w:rsidR="00EC42A3" w:rsidRDefault="00EC42A3">
            <w:pPr>
              <w:rPr>
                <w:lang w:val="en-GB"/>
              </w:rPr>
            </w:pPr>
          </w:p>
        </w:tc>
        <w:tc>
          <w:tcPr>
            <w:tcW w:w="1523" w:type="pct"/>
          </w:tcPr>
          <w:p w14:paraId="1B210FE0" w14:textId="77777777" w:rsidR="00EC42A3"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6AB680" w14:textId="77777777" w:rsidR="00EC42A3" w:rsidRDefault="00EC42A3">
            <w:pPr>
              <w:pStyle w:val="Heading2"/>
              <w:jc w:val="left"/>
              <w:rPr>
                <w:rFonts w:ascii="Times New Roman" w:hAnsi="Times New Roman"/>
                <w:b w:val="0"/>
                <w:lang w:val="en-GB"/>
              </w:rPr>
            </w:pPr>
          </w:p>
        </w:tc>
      </w:tr>
      <w:tr w:rsidR="00EC42A3" w14:paraId="0AF96D8A" w14:textId="77777777">
        <w:trPr>
          <w:trHeight w:val="1264"/>
        </w:trPr>
        <w:tc>
          <w:tcPr>
            <w:tcW w:w="1265" w:type="pct"/>
            <w:noWrap/>
          </w:tcPr>
          <w:p w14:paraId="6E0D6701" w14:textId="77777777" w:rsidR="00EC42A3"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13357F36" w14:textId="77777777" w:rsidR="00EC42A3" w:rsidRDefault="00EC42A3">
            <w:pPr>
              <w:ind w:left="360"/>
              <w:rPr>
                <w:rFonts w:eastAsia="MS Mincho"/>
                <w:b/>
                <w:bCs/>
                <w:sz w:val="20"/>
                <w:szCs w:val="20"/>
                <w:lang w:val="en-GB"/>
              </w:rPr>
            </w:pPr>
          </w:p>
        </w:tc>
        <w:tc>
          <w:tcPr>
            <w:tcW w:w="2212" w:type="pct"/>
          </w:tcPr>
          <w:p w14:paraId="065DF930" w14:textId="77777777" w:rsidR="00EC42A3" w:rsidRDefault="00000000">
            <w:pPr>
              <w:pStyle w:val="ListParagraph"/>
              <w:ind w:left="0"/>
              <w:rPr>
                <w:b/>
                <w:bCs/>
                <w:sz w:val="20"/>
                <w:szCs w:val="20"/>
                <w:lang w:val="en-GB"/>
              </w:rPr>
            </w:pPr>
            <w:r>
              <w:t>This manuscript is vital for the scientific community as it provides a concise yet comprehensive analysis of the dual nature of AAS, balancing their medical applications with the clinical realities of abuse. It equips healthcare and sports professionals with updated data on multi-system toxicities and emerging trends like SARMs, which are critical for modern diagnosis and anti-doping efforts. Furthermore, the work establishes a necessary foundation for interdisciplinary policies and educational programs aimed at reducing the public health impact of performance-enhancing drugs</w:t>
            </w:r>
          </w:p>
        </w:tc>
        <w:tc>
          <w:tcPr>
            <w:tcW w:w="1523" w:type="pct"/>
          </w:tcPr>
          <w:p w14:paraId="5E2D4D40" w14:textId="0280815E" w:rsidR="00EC42A3" w:rsidRDefault="006A1ABF">
            <w:pPr>
              <w:pStyle w:val="Heading2"/>
              <w:jc w:val="left"/>
              <w:rPr>
                <w:rFonts w:ascii="Times New Roman" w:hAnsi="Times New Roman"/>
                <w:b w:val="0"/>
                <w:lang w:val="en-GB"/>
              </w:rPr>
            </w:pPr>
            <w:r w:rsidRPr="006A1ABF">
              <w:rPr>
                <w:rFonts w:ascii="Times New Roman" w:hAnsi="Times New Roman"/>
                <w:b w:val="0"/>
                <w:highlight w:val="yellow"/>
                <w:lang w:val="en-GB"/>
              </w:rPr>
              <w:t>The manuscript is crucial to the scientific community because it is concise, though sufficient, in the analysis of the dual nature of AAS, putting their medical uses in perspective with the clinical reality of abuse. It provides healthcare and sports practitioners with new information on multi-system toxicities and the latest trends, such as SARMs, that are invaluable in the contemporary diagnoses and anti-doping activities. Moreover, the work provides the requisite underpinning on interdisciplinary policies and educational programs to minimize the public health effects of the performance enhancing drugs.</w:t>
            </w:r>
          </w:p>
        </w:tc>
      </w:tr>
      <w:tr w:rsidR="00EC42A3" w14:paraId="7780B7EB" w14:textId="77777777">
        <w:trPr>
          <w:trHeight w:val="1262"/>
        </w:trPr>
        <w:tc>
          <w:tcPr>
            <w:tcW w:w="1265" w:type="pct"/>
            <w:noWrap/>
          </w:tcPr>
          <w:p w14:paraId="1DEC0015" w14:textId="77777777" w:rsidR="00EC42A3" w:rsidRDefault="00000000">
            <w:pPr>
              <w:ind w:left="360"/>
              <w:rPr>
                <w:b/>
                <w:bCs/>
                <w:sz w:val="20"/>
                <w:szCs w:val="20"/>
                <w:lang w:val="en-GB"/>
              </w:rPr>
            </w:pPr>
            <w:r>
              <w:rPr>
                <w:b/>
                <w:bCs/>
                <w:sz w:val="20"/>
                <w:szCs w:val="20"/>
                <w:lang w:val="en-GB"/>
              </w:rPr>
              <w:t>Is the title of the article suitable?</w:t>
            </w:r>
          </w:p>
          <w:p w14:paraId="01CBDAE8" w14:textId="77777777" w:rsidR="00EC42A3" w:rsidRDefault="00000000">
            <w:pPr>
              <w:ind w:left="360"/>
              <w:rPr>
                <w:b/>
                <w:bCs/>
                <w:sz w:val="20"/>
                <w:szCs w:val="20"/>
                <w:lang w:val="en-GB"/>
              </w:rPr>
            </w:pPr>
            <w:r>
              <w:rPr>
                <w:b/>
                <w:bCs/>
                <w:sz w:val="20"/>
                <w:szCs w:val="20"/>
                <w:lang w:val="en-GB"/>
              </w:rPr>
              <w:t>(If not please suggest an alternative title)</w:t>
            </w:r>
          </w:p>
          <w:p w14:paraId="0499AF61" w14:textId="77777777" w:rsidR="00EC42A3" w:rsidRDefault="00EC42A3">
            <w:pPr>
              <w:pStyle w:val="Heading2"/>
              <w:jc w:val="left"/>
              <w:rPr>
                <w:rFonts w:ascii="Times New Roman" w:hAnsi="Times New Roman"/>
                <w:u w:val="single"/>
                <w:lang w:val="en-GB"/>
              </w:rPr>
            </w:pPr>
          </w:p>
        </w:tc>
        <w:tc>
          <w:tcPr>
            <w:tcW w:w="2212" w:type="pct"/>
          </w:tcPr>
          <w:p w14:paraId="16E9DF74" w14:textId="77777777" w:rsidR="00EC42A3" w:rsidRDefault="00000000">
            <w:pPr>
              <w:ind w:left="360"/>
              <w:rPr>
                <w:b/>
                <w:bCs/>
                <w:sz w:val="20"/>
                <w:szCs w:val="20"/>
                <w:lang w:val="en-GB"/>
              </w:rPr>
            </w:pPr>
            <w:r>
              <w:rPr>
                <w:b/>
                <w:bCs/>
                <w:sz w:val="20"/>
                <w:szCs w:val="20"/>
                <w:lang w:val="en-GB"/>
              </w:rPr>
              <w:t>YES</w:t>
            </w:r>
          </w:p>
        </w:tc>
        <w:tc>
          <w:tcPr>
            <w:tcW w:w="1523" w:type="pct"/>
          </w:tcPr>
          <w:p w14:paraId="252E2CFD" w14:textId="55E5F16F" w:rsidR="00EC42A3" w:rsidRDefault="006A1ABF">
            <w:pPr>
              <w:pStyle w:val="Heading2"/>
              <w:jc w:val="left"/>
              <w:rPr>
                <w:rFonts w:ascii="Times New Roman" w:hAnsi="Times New Roman"/>
                <w:b w:val="0"/>
                <w:lang w:val="en-GB"/>
              </w:rPr>
            </w:pPr>
            <w:r w:rsidRPr="006A1ABF">
              <w:rPr>
                <w:rFonts w:ascii="Times New Roman" w:hAnsi="Times New Roman"/>
                <w:b w:val="0"/>
                <w:highlight w:val="yellow"/>
                <w:lang w:val="en-GB"/>
              </w:rPr>
              <w:t>Yes</w:t>
            </w:r>
          </w:p>
        </w:tc>
      </w:tr>
      <w:tr w:rsidR="00EC42A3" w14:paraId="54C65222" w14:textId="77777777">
        <w:trPr>
          <w:trHeight w:val="1262"/>
        </w:trPr>
        <w:tc>
          <w:tcPr>
            <w:tcW w:w="1265" w:type="pct"/>
            <w:noWrap/>
          </w:tcPr>
          <w:p w14:paraId="201C97F0" w14:textId="77777777" w:rsidR="00EC42A3" w:rsidRDefault="00000000">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03FDA117" w14:textId="77777777" w:rsidR="00EC42A3" w:rsidRDefault="00EC42A3">
            <w:pPr>
              <w:pStyle w:val="Heading2"/>
              <w:jc w:val="left"/>
              <w:rPr>
                <w:rFonts w:ascii="Times New Roman" w:hAnsi="Times New Roman"/>
                <w:u w:val="single"/>
                <w:lang w:val="en-GB"/>
              </w:rPr>
            </w:pPr>
          </w:p>
        </w:tc>
        <w:tc>
          <w:tcPr>
            <w:tcW w:w="2212" w:type="pct"/>
          </w:tcPr>
          <w:p w14:paraId="3419AD19" w14:textId="77777777" w:rsidR="00EC42A3" w:rsidRDefault="00000000">
            <w:pPr>
              <w:ind w:left="360"/>
              <w:rPr>
                <w:b/>
                <w:bCs/>
                <w:sz w:val="20"/>
                <w:szCs w:val="20"/>
                <w:lang w:val="en-GB"/>
              </w:rPr>
            </w:pPr>
            <w:r>
              <w:rPr>
                <w:b/>
                <w:bCs/>
                <w:sz w:val="20"/>
                <w:szCs w:val="20"/>
                <w:lang w:val="en-GB"/>
              </w:rPr>
              <w:t>YES</w:t>
            </w:r>
          </w:p>
        </w:tc>
        <w:tc>
          <w:tcPr>
            <w:tcW w:w="1523" w:type="pct"/>
          </w:tcPr>
          <w:p w14:paraId="58126555" w14:textId="543832D4" w:rsidR="00EC42A3" w:rsidRDefault="006A1ABF">
            <w:pPr>
              <w:pStyle w:val="Heading2"/>
              <w:jc w:val="left"/>
              <w:rPr>
                <w:rFonts w:ascii="Times New Roman" w:hAnsi="Times New Roman"/>
                <w:b w:val="0"/>
                <w:lang w:val="en-GB"/>
              </w:rPr>
            </w:pPr>
            <w:r w:rsidRPr="006A1ABF">
              <w:rPr>
                <w:rFonts w:ascii="Times New Roman" w:hAnsi="Times New Roman"/>
                <w:b w:val="0"/>
                <w:highlight w:val="yellow"/>
                <w:lang w:val="en-GB"/>
              </w:rPr>
              <w:t>Yes</w:t>
            </w:r>
          </w:p>
        </w:tc>
      </w:tr>
      <w:tr w:rsidR="00EC42A3" w14:paraId="4964D435" w14:textId="77777777">
        <w:trPr>
          <w:trHeight w:val="704"/>
        </w:trPr>
        <w:tc>
          <w:tcPr>
            <w:tcW w:w="1265" w:type="pct"/>
            <w:noWrap/>
          </w:tcPr>
          <w:p w14:paraId="5749BD8A" w14:textId="77777777" w:rsidR="00EC42A3" w:rsidRDefault="0000000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42F93325" w14:textId="77777777" w:rsidR="00EC42A3" w:rsidRDefault="00000000">
            <w:pPr>
              <w:pStyle w:val="ListParagraph"/>
              <w:ind w:left="0"/>
              <w:rPr>
                <w:bCs/>
                <w:sz w:val="20"/>
                <w:szCs w:val="20"/>
                <w:lang w:val="en-GB"/>
              </w:rPr>
            </w:pPr>
            <w:r>
              <w:t>In the Introduction, when discussing 19-nortestosterone and DHT derivatives, it would be beneficial to explicitly mention the Anabolic-to-Androgenic (</w:t>
            </w:r>
            <w:proofErr w:type="gramStart"/>
            <w:r>
              <w:t>A:A</w:t>
            </w:r>
            <w:proofErr w:type="gramEnd"/>
            <w:r>
              <w:t>) ratio. Explaining that synthetic modifications aim to maximize the former while minimizing the latter would add pharmacological depth. Also add more review of literature and previous studies done on this particular context.</w:t>
            </w:r>
          </w:p>
        </w:tc>
        <w:tc>
          <w:tcPr>
            <w:tcW w:w="1523" w:type="pct"/>
          </w:tcPr>
          <w:p w14:paraId="6D2BEE60" w14:textId="7FB9955B" w:rsidR="00EC42A3" w:rsidRDefault="00C454F0">
            <w:pPr>
              <w:pStyle w:val="Heading2"/>
              <w:jc w:val="left"/>
              <w:rPr>
                <w:rFonts w:ascii="Times New Roman" w:hAnsi="Times New Roman"/>
                <w:b w:val="0"/>
                <w:lang w:val="en-GB"/>
              </w:rPr>
            </w:pPr>
            <w:r w:rsidRPr="00C454F0">
              <w:rPr>
                <w:rFonts w:ascii="Times New Roman" w:hAnsi="Times New Roman"/>
                <w:b w:val="0"/>
                <w:highlight w:val="yellow"/>
                <w:lang w:val="en-GB"/>
              </w:rPr>
              <w:t>Done</w:t>
            </w:r>
          </w:p>
        </w:tc>
      </w:tr>
      <w:tr w:rsidR="00EC42A3" w14:paraId="03428573" w14:textId="77777777">
        <w:trPr>
          <w:trHeight w:val="703"/>
        </w:trPr>
        <w:tc>
          <w:tcPr>
            <w:tcW w:w="1265" w:type="pct"/>
            <w:noWrap/>
          </w:tcPr>
          <w:p w14:paraId="3C2DCE7E" w14:textId="77777777" w:rsidR="00EC42A3"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44579E6D" w14:textId="77777777" w:rsidR="00EC42A3" w:rsidRDefault="00000000">
            <w:pPr>
              <w:pStyle w:val="ListParagraph"/>
              <w:ind w:left="0"/>
              <w:rPr>
                <w:bCs/>
                <w:sz w:val="20"/>
                <w:szCs w:val="20"/>
                <w:lang w:val="en-GB"/>
              </w:rPr>
            </w:pPr>
            <w:r>
              <w:rPr>
                <w:bCs/>
                <w:sz w:val="20"/>
                <w:szCs w:val="20"/>
                <w:lang w:val="en-GB"/>
              </w:rPr>
              <w:t>YES</w:t>
            </w:r>
          </w:p>
        </w:tc>
        <w:tc>
          <w:tcPr>
            <w:tcW w:w="1523" w:type="pct"/>
          </w:tcPr>
          <w:p w14:paraId="70658F97" w14:textId="0EFDFC67" w:rsidR="00EC42A3" w:rsidRDefault="006A1ABF">
            <w:pPr>
              <w:pStyle w:val="Heading2"/>
              <w:jc w:val="left"/>
              <w:rPr>
                <w:rFonts w:ascii="Times New Roman" w:hAnsi="Times New Roman"/>
                <w:b w:val="0"/>
                <w:lang w:val="en-GB"/>
              </w:rPr>
            </w:pPr>
            <w:r w:rsidRPr="006A1ABF">
              <w:rPr>
                <w:rFonts w:ascii="Times New Roman" w:hAnsi="Times New Roman"/>
                <w:b w:val="0"/>
                <w:highlight w:val="yellow"/>
                <w:lang w:val="en-GB"/>
              </w:rPr>
              <w:t>Yes</w:t>
            </w:r>
          </w:p>
        </w:tc>
      </w:tr>
      <w:tr w:rsidR="00EC42A3" w14:paraId="50781091" w14:textId="77777777">
        <w:trPr>
          <w:trHeight w:val="386"/>
        </w:trPr>
        <w:tc>
          <w:tcPr>
            <w:tcW w:w="1265" w:type="pct"/>
            <w:noWrap/>
          </w:tcPr>
          <w:p w14:paraId="2A064E57" w14:textId="77777777" w:rsidR="00EC42A3" w:rsidRDefault="00000000">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4EF836F9" w14:textId="77777777" w:rsidR="00EC42A3" w:rsidRDefault="00EC42A3">
            <w:pPr>
              <w:rPr>
                <w:sz w:val="20"/>
                <w:szCs w:val="20"/>
                <w:lang w:val="en-GB"/>
              </w:rPr>
            </w:pPr>
          </w:p>
        </w:tc>
        <w:tc>
          <w:tcPr>
            <w:tcW w:w="2212" w:type="pct"/>
          </w:tcPr>
          <w:p w14:paraId="2361D75C" w14:textId="77777777" w:rsidR="00EC42A3" w:rsidRDefault="00000000">
            <w:pPr>
              <w:rPr>
                <w:sz w:val="20"/>
                <w:szCs w:val="20"/>
                <w:lang w:val="en-GB"/>
              </w:rPr>
            </w:pPr>
            <w:r>
              <w:rPr>
                <w:sz w:val="20"/>
                <w:szCs w:val="20"/>
                <w:lang w:val="en-GB"/>
              </w:rPr>
              <w:t>YES</w:t>
            </w:r>
          </w:p>
        </w:tc>
        <w:tc>
          <w:tcPr>
            <w:tcW w:w="1523" w:type="pct"/>
          </w:tcPr>
          <w:p w14:paraId="7B8FA349" w14:textId="34DFA9DD" w:rsidR="00EC42A3" w:rsidRDefault="006A1ABF">
            <w:pPr>
              <w:rPr>
                <w:sz w:val="20"/>
                <w:szCs w:val="20"/>
                <w:lang w:val="en-GB"/>
              </w:rPr>
            </w:pPr>
            <w:r w:rsidRPr="006A1ABF">
              <w:rPr>
                <w:sz w:val="20"/>
                <w:szCs w:val="20"/>
                <w:highlight w:val="yellow"/>
                <w:lang w:val="en-GB"/>
              </w:rPr>
              <w:t>Yes</w:t>
            </w:r>
          </w:p>
        </w:tc>
      </w:tr>
      <w:tr w:rsidR="00EC42A3" w14:paraId="3C5583EC" w14:textId="77777777">
        <w:trPr>
          <w:trHeight w:val="1178"/>
        </w:trPr>
        <w:tc>
          <w:tcPr>
            <w:tcW w:w="1265" w:type="pct"/>
            <w:noWrap/>
          </w:tcPr>
          <w:p w14:paraId="29207DFE" w14:textId="77777777" w:rsidR="00EC42A3" w:rsidRDefault="0000000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5E8E41A7" w14:textId="77777777" w:rsidR="00EC42A3" w:rsidRDefault="00EC42A3">
            <w:pPr>
              <w:pStyle w:val="Heading2"/>
              <w:jc w:val="left"/>
              <w:rPr>
                <w:rFonts w:ascii="Times New Roman" w:hAnsi="Times New Roman"/>
                <w:b w:val="0"/>
                <w:lang w:val="en-GB"/>
              </w:rPr>
            </w:pPr>
          </w:p>
        </w:tc>
        <w:tc>
          <w:tcPr>
            <w:tcW w:w="2212" w:type="pct"/>
          </w:tcPr>
          <w:p w14:paraId="12798F58" w14:textId="77777777" w:rsidR="00EC42A3" w:rsidRDefault="00EC42A3">
            <w:pPr>
              <w:pStyle w:val="NormalWeb"/>
              <w:spacing w:before="0" w:beforeAutospacing="0" w:after="0" w:afterAutospacing="0"/>
              <w:rPr>
                <w:rFonts w:ascii="Times New Roman" w:hAnsi="Times New Roman" w:cs="Times New Roman"/>
                <w:b/>
                <w:sz w:val="20"/>
                <w:szCs w:val="20"/>
                <w:lang w:val="en-GB"/>
              </w:rPr>
            </w:pPr>
          </w:p>
        </w:tc>
        <w:tc>
          <w:tcPr>
            <w:tcW w:w="1523" w:type="pct"/>
          </w:tcPr>
          <w:p w14:paraId="5C7CD71E" w14:textId="77777777" w:rsidR="00EC42A3" w:rsidRDefault="00EC42A3">
            <w:pPr>
              <w:rPr>
                <w:sz w:val="20"/>
                <w:szCs w:val="20"/>
                <w:lang w:val="en-GB"/>
              </w:rPr>
            </w:pPr>
          </w:p>
        </w:tc>
      </w:tr>
    </w:tbl>
    <w:p w14:paraId="37B2CF66" w14:textId="77777777" w:rsidR="00EC42A3" w:rsidRDefault="00EC42A3">
      <w:pPr>
        <w:pStyle w:val="BodyText"/>
        <w:rPr>
          <w:rFonts w:ascii="Times New Roman" w:hAnsi="Times New Roman"/>
          <w:b/>
          <w:bCs/>
          <w:sz w:val="20"/>
          <w:szCs w:val="20"/>
          <w:u w:val="single"/>
          <w:lang w:val="en-GB"/>
        </w:rPr>
      </w:pPr>
    </w:p>
    <w:p w14:paraId="61CB4DA6" w14:textId="77777777" w:rsidR="00EC42A3" w:rsidRDefault="00EC42A3">
      <w:pPr>
        <w:pStyle w:val="BodyText"/>
        <w:rPr>
          <w:rFonts w:ascii="Times New Roman" w:hAnsi="Times New Roman"/>
          <w:b/>
          <w:bCs/>
          <w:sz w:val="20"/>
          <w:szCs w:val="20"/>
          <w:u w:val="single"/>
          <w:lang w:val="en-GB"/>
        </w:rPr>
      </w:pPr>
    </w:p>
    <w:p w14:paraId="4F6ED217" w14:textId="77777777" w:rsidR="00EC42A3" w:rsidRDefault="00EC42A3">
      <w:pPr>
        <w:pStyle w:val="BodyText"/>
        <w:rPr>
          <w:rFonts w:ascii="Times New Roman" w:hAnsi="Times New Roman"/>
          <w:b/>
          <w:bCs/>
          <w:sz w:val="20"/>
          <w:szCs w:val="20"/>
          <w:u w:val="single"/>
          <w:lang w:val="en-GB"/>
        </w:rPr>
      </w:pPr>
    </w:p>
    <w:p w14:paraId="697E8EB3" w14:textId="77777777" w:rsidR="00EC42A3" w:rsidRDefault="00EC42A3">
      <w:pPr>
        <w:pStyle w:val="BodyText"/>
        <w:rPr>
          <w:rFonts w:ascii="Times New Roman" w:hAnsi="Times New Roman"/>
          <w:b/>
          <w:bCs/>
          <w:sz w:val="20"/>
          <w:szCs w:val="20"/>
          <w:u w:val="single"/>
          <w:lang w:val="en-GB"/>
        </w:rPr>
      </w:pPr>
    </w:p>
    <w:p w14:paraId="37355AC5" w14:textId="77777777" w:rsidR="00EC42A3" w:rsidRDefault="00EC42A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EC42A3" w14:paraId="2786EA9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4E80711" w14:textId="77777777" w:rsidR="00EC42A3"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lastRenderedPageBreak/>
              <w:t>PART  2:</w:t>
            </w:r>
            <w:r>
              <w:rPr>
                <w:rFonts w:ascii="Times New Roman" w:hAnsi="Times New Roman" w:cs="Times New Roman"/>
                <w:b/>
                <w:sz w:val="20"/>
                <w:szCs w:val="20"/>
                <w:u w:val="single"/>
                <w:lang w:val="en-GB"/>
              </w:rPr>
              <w:t xml:space="preserve"> </w:t>
            </w:r>
          </w:p>
          <w:p w14:paraId="2463E64D" w14:textId="77777777" w:rsidR="00EC42A3" w:rsidRDefault="00EC42A3">
            <w:pPr>
              <w:pStyle w:val="NormalWeb"/>
              <w:spacing w:before="0" w:beforeAutospacing="0" w:after="0" w:afterAutospacing="0"/>
              <w:rPr>
                <w:rFonts w:ascii="Times New Roman" w:hAnsi="Times New Roman" w:cs="Times New Roman"/>
                <w:b/>
                <w:sz w:val="20"/>
                <w:szCs w:val="20"/>
                <w:u w:val="single"/>
                <w:lang w:val="en-GB"/>
              </w:rPr>
            </w:pPr>
          </w:p>
        </w:tc>
      </w:tr>
      <w:tr w:rsidR="00EC42A3" w14:paraId="022BE572" w14:textId="77777777">
        <w:trPr>
          <w:trHeight w:val="935"/>
        </w:trPr>
        <w:tc>
          <w:tcPr>
            <w:tcW w:w="1615" w:type="pct"/>
            <w:noWrap/>
            <w:tcMar>
              <w:top w:w="0" w:type="dxa"/>
              <w:left w:w="108" w:type="dxa"/>
              <w:bottom w:w="0" w:type="dxa"/>
              <w:right w:w="108" w:type="dxa"/>
            </w:tcMar>
            <w:vAlign w:val="center"/>
          </w:tcPr>
          <w:p w14:paraId="7DE396A5" w14:textId="77777777" w:rsidR="00EC42A3" w:rsidRDefault="00EC42A3">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F1743AF" w14:textId="77777777" w:rsidR="00EC42A3" w:rsidRDefault="00000000">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5A8C6145" w14:textId="77777777" w:rsidR="00EC42A3"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7C85F5" w14:textId="77777777" w:rsidR="00EC42A3" w:rsidRDefault="00EC42A3">
            <w:pPr>
              <w:pStyle w:val="Heading2"/>
              <w:jc w:val="left"/>
              <w:rPr>
                <w:rFonts w:ascii="Times New Roman" w:hAnsi="Times New Roman"/>
                <w:b w:val="0"/>
                <w:lang w:val="en-GB"/>
              </w:rPr>
            </w:pPr>
          </w:p>
        </w:tc>
      </w:tr>
      <w:tr w:rsidR="00EC42A3" w14:paraId="45B0041E" w14:textId="77777777">
        <w:trPr>
          <w:trHeight w:val="697"/>
        </w:trPr>
        <w:tc>
          <w:tcPr>
            <w:tcW w:w="1615" w:type="pct"/>
            <w:noWrap/>
            <w:tcMar>
              <w:top w:w="0" w:type="dxa"/>
              <w:left w:w="108" w:type="dxa"/>
              <w:bottom w:w="0" w:type="dxa"/>
              <w:right w:w="108" w:type="dxa"/>
            </w:tcMar>
            <w:vAlign w:val="center"/>
          </w:tcPr>
          <w:p w14:paraId="690DE6EE" w14:textId="77777777" w:rsidR="00EC42A3"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55613239" w14:textId="77777777" w:rsidR="00EC42A3" w:rsidRDefault="00EC42A3">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CD0858F" w14:textId="77777777" w:rsidR="00EC42A3"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36A0720D" w14:textId="77777777" w:rsidR="00EC42A3" w:rsidRDefault="00EC42A3">
            <w:pPr>
              <w:pStyle w:val="NormalWeb"/>
              <w:spacing w:before="0" w:beforeAutospacing="0" w:after="0" w:afterAutospacing="0"/>
              <w:rPr>
                <w:rFonts w:ascii="Times New Roman" w:hAnsi="Times New Roman" w:cs="Times New Roman"/>
                <w:sz w:val="20"/>
                <w:szCs w:val="20"/>
              </w:rPr>
            </w:pPr>
          </w:p>
          <w:p w14:paraId="444431EB" w14:textId="77777777" w:rsidR="00EC42A3" w:rsidRDefault="00EC42A3">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073BCC02" w14:textId="77777777" w:rsidR="00EC42A3" w:rsidRDefault="00EC42A3">
            <w:pPr>
              <w:rPr>
                <w:rFonts w:eastAsia="Arial Unicode MS"/>
                <w:sz w:val="20"/>
                <w:szCs w:val="20"/>
                <w:lang w:val="en-GB"/>
              </w:rPr>
            </w:pPr>
          </w:p>
          <w:p w14:paraId="1C0E0EB8" w14:textId="4C2C79B9" w:rsidR="00EC42A3" w:rsidRDefault="006A1ABF">
            <w:pPr>
              <w:rPr>
                <w:rFonts w:eastAsia="Arial Unicode MS"/>
                <w:sz w:val="20"/>
                <w:szCs w:val="20"/>
                <w:lang w:val="en-GB"/>
              </w:rPr>
            </w:pPr>
            <w:r w:rsidRPr="006A1ABF">
              <w:rPr>
                <w:rFonts w:eastAsia="Arial Unicode MS"/>
                <w:sz w:val="20"/>
                <w:szCs w:val="20"/>
                <w:highlight w:val="yellow"/>
                <w:lang w:val="en-GB"/>
              </w:rPr>
              <w:t>None</w:t>
            </w:r>
          </w:p>
          <w:p w14:paraId="62575FD7" w14:textId="77777777" w:rsidR="00EC42A3" w:rsidRDefault="00EC42A3">
            <w:pPr>
              <w:rPr>
                <w:rFonts w:eastAsia="Arial Unicode MS"/>
                <w:sz w:val="20"/>
                <w:szCs w:val="20"/>
                <w:lang w:val="en-GB"/>
              </w:rPr>
            </w:pPr>
          </w:p>
          <w:p w14:paraId="4D04A162" w14:textId="77777777" w:rsidR="00EC42A3" w:rsidRDefault="00EC42A3">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C9AD2BC" w14:textId="77777777" w:rsidR="00EC42A3" w:rsidRDefault="00EC42A3">
      <w:pPr>
        <w:pStyle w:val="BodyText"/>
        <w:outlineLvl w:val="0"/>
        <w:rPr>
          <w:rFonts w:ascii="Arial" w:hAnsi="Arial" w:cs="Arial"/>
          <w:sz w:val="20"/>
          <w:szCs w:val="20"/>
          <w:lang w:val="en-GB"/>
        </w:rPr>
      </w:pPr>
    </w:p>
    <w:sectPr w:rsidR="00EC42A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69D58" w14:textId="77777777" w:rsidR="00F312A2" w:rsidRDefault="00F312A2">
      <w:r>
        <w:separator/>
      </w:r>
    </w:p>
  </w:endnote>
  <w:endnote w:type="continuationSeparator" w:id="0">
    <w:p w14:paraId="2F9322A0" w14:textId="77777777" w:rsidR="00F312A2" w:rsidRDefault="00F3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A0EB" w14:textId="77777777" w:rsidR="00EC42A3"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77165" w14:textId="77777777" w:rsidR="00F312A2" w:rsidRDefault="00F312A2">
      <w:r>
        <w:separator/>
      </w:r>
    </w:p>
  </w:footnote>
  <w:footnote w:type="continuationSeparator" w:id="0">
    <w:p w14:paraId="7D15E4D3" w14:textId="77777777" w:rsidR="00F312A2" w:rsidRDefault="00F31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7ACA" w14:textId="77777777" w:rsidR="00EC42A3" w:rsidRDefault="00EC42A3">
    <w:pPr>
      <w:spacing w:before="100" w:beforeAutospacing="1" w:after="100" w:afterAutospacing="1"/>
      <w:jc w:val="center"/>
      <w:rPr>
        <w:rFonts w:ascii="Arial" w:hAnsi="Arial" w:cs="Arial"/>
        <w:b/>
        <w:bCs/>
        <w:color w:val="003399"/>
        <w:szCs w:val="20"/>
        <w:u w:val="single"/>
        <w:lang w:val="en-GB"/>
      </w:rPr>
    </w:pPr>
  </w:p>
  <w:p w14:paraId="68557F3B" w14:textId="77777777" w:rsidR="00EC42A3"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8845577">
    <w:abstractNumId w:val="4"/>
  </w:num>
  <w:num w:numId="2" w16cid:durableId="1853251879">
    <w:abstractNumId w:val="8"/>
  </w:num>
  <w:num w:numId="3" w16cid:durableId="2020572572">
    <w:abstractNumId w:val="7"/>
  </w:num>
  <w:num w:numId="4" w16cid:durableId="605960713">
    <w:abstractNumId w:val="9"/>
  </w:num>
  <w:num w:numId="5" w16cid:durableId="859660792">
    <w:abstractNumId w:val="6"/>
  </w:num>
  <w:num w:numId="6" w16cid:durableId="1829009151">
    <w:abstractNumId w:val="0"/>
  </w:num>
  <w:num w:numId="7" w16cid:durableId="981539450">
    <w:abstractNumId w:val="3"/>
  </w:num>
  <w:num w:numId="8" w16cid:durableId="1683360274">
    <w:abstractNumId w:val="11"/>
  </w:num>
  <w:num w:numId="9" w16cid:durableId="1184249825">
    <w:abstractNumId w:val="10"/>
  </w:num>
  <w:num w:numId="10" w16cid:durableId="1686058046">
    <w:abstractNumId w:val="2"/>
  </w:num>
  <w:num w:numId="11" w16cid:durableId="1898398531">
    <w:abstractNumId w:val="1"/>
  </w:num>
  <w:num w:numId="12" w16cid:durableId="6176849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42A3"/>
    <w:rsid w:val="006A1ABF"/>
    <w:rsid w:val="0085058B"/>
    <w:rsid w:val="00C454F0"/>
    <w:rsid w:val="00EC42A3"/>
    <w:rsid w:val="00F312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1B366"/>
  <w15:chartTrackingRefBased/>
  <w15:docId w15:val="{BA5A1211-D7D8-4CA7-80C5-461929978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113601">
      <w:bodyDiv w:val="1"/>
      <w:marLeft w:val="0"/>
      <w:marRight w:val="0"/>
      <w:marTop w:val="0"/>
      <w:marBottom w:val="0"/>
      <w:divBdr>
        <w:top w:val="none" w:sz="0" w:space="0" w:color="auto"/>
        <w:left w:val="none" w:sz="0" w:space="0" w:color="auto"/>
        <w:bottom w:val="none" w:sz="0" w:space="0" w:color="auto"/>
        <w:right w:val="none" w:sz="0" w:space="0" w:color="auto"/>
      </w:divBdr>
    </w:div>
    <w:div w:id="600992170">
      <w:bodyDiv w:val="1"/>
      <w:marLeft w:val="0"/>
      <w:marRight w:val="0"/>
      <w:marTop w:val="0"/>
      <w:marBottom w:val="0"/>
      <w:divBdr>
        <w:top w:val="none" w:sz="0" w:space="0" w:color="auto"/>
        <w:left w:val="none" w:sz="0" w:space="0" w:color="auto"/>
        <w:bottom w:val="none" w:sz="0" w:space="0" w:color="auto"/>
        <w:right w:val="none" w:sz="0" w:space="0" w:color="auto"/>
      </w:divBdr>
    </w:div>
    <w:div w:id="74634744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60594420">
      <w:bodyDiv w:val="1"/>
      <w:marLeft w:val="0"/>
      <w:marRight w:val="0"/>
      <w:marTop w:val="0"/>
      <w:marBottom w:val="0"/>
      <w:divBdr>
        <w:top w:val="none" w:sz="0" w:space="0" w:color="auto"/>
        <w:left w:val="none" w:sz="0" w:space="0" w:color="auto"/>
        <w:bottom w:val="none" w:sz="0" w:space="0" w:color="auto"/>
        <w:right w:val="none" w:sz="0" w:space="0" w:color="auto"/>
      </w:divBdr>
    </w:div>
    <w:div w:id="20665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05C32-89D6-4CF7-9300-02E908F34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https://journalcjast.com/index.php/CJAST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Soham Bhattacharjee</cp:lastModifiedBy>
  <cp:revision>16</cp:revision>
  <dcterms:created xsi:type="dcterms:W3CDTF">2026-03-19T14:44:00Z</dcterms:created>
  <dcterms:modified xsi:type="dcterms:W3CDTF">2026-03-22T08:59:00Z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efa72e08-3ffc-47f4-a7fd-bd8d7bbf14f2</vt:lpwstr>
  </property>
</Properties>
</file>