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6">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Ms_AJRNH_154951</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Clinical Learning Environment and Readiness for Practice Among Graduating Student Nurses in a Private College in Iloilo City</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iln25hvusotb"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b w:val="0"/>
                <w:bCs w:val="0"/>
                <w:sz w:val="20"/>
                <w:szCs w:val="20"/>
                <w:vertAlign w:val="baseline"/>
              </w:rPr>
            </w:pP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is important for the scientific community, particularly in the field of nursing education, because it provides empirical evidence on the relationship between the clinical learning environment and the readiness of graduating nursing students for professional practice. Understanding this relationship is essential for educators and academic institutions to improve clinical training strategies that better prepare students for real-world healthcare settings. The findings contribute to the growing body of literature on clinical education by highlighting how supportive learning environments can enhance students’ confidence and preparedness. Furthermore, the study offers valuable insights that may guide curriculum development and clinical placement policies to strengthen the transition from student to professional nurse.</w:t>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recognizing the relevance of the study. The authors’ appreciate the positive feedback.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F">
            <w:pPr>
              <w:jc w:val="both"/>
              <w:rPr>
                <w:sz w:val="20"/>
                <w:szCs w:val="20"/>
                <w:vertAlign w:val="baseline"/>
              </w:rPr>
            </w:pPr>
            <w:r w:rsidDel="00000000" w:rsidR="00000000" w:rsidRPr="00000000">
              <w:rPr>
                <w:sz w:val="20"/>
                <w:szCs w:val="20"/>
                <w:vertAlign w:val="baseline"/>
                <w:rtl w:val="0"/>
              </w:rPr>
              <w:t xml:space="preserve">The title “Clinical Learning Environment and Readiness for Practice Among Graduating Student Nurses in a Private College in Iloilo City” is generally appropriate because it clearly reflects the main variables of the study (clinical learning environment and readiness for practice) and identifies the study population (graduating student nurses). It also provides contextual information about the setting, which helps readers understand the scope of the research. However, the title could be made more concise and academically stronger by emphasizing the relationship between the variables.</w:t>
            </w:r>
          </w:p>
        </w:tc>
        <w:tc>
          <w:tcPr>
            <w:vAlign w:val="top"/>
          </w:tcPr>
          <w:p w:rsidR="00000000" w:rsidDel="00000000" w:rsidP="00000000" w:rsidRDefault="00000000" w:rsidRPr="00000000" w14:paraId="0000002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Minor revisions were made with the title, it is now changed to Clinical Learning Environment's Relationship to  Readiness for Practice Among Graduating Student Nurses in a Private College in Iloilo City</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jc w:val="both"/>
              <w:rPr>
                <w:sz w:val="20"/>
                <w:szCs w:val="20"/>
                <w:vertAlign w:val="baseline"/>
              </w:rPr>
            </w:pPr>
            <w:r w:rsidDel="00000000" w:rsidR="00000000" w:rsidRPr="00000000">
              <w:rPr>
                <w:sz w:val="20"/>
                <w:szCs w:val="20"/>
                <w:vertAlign w:val="baseline"/>
                <w:rtl w:val="0"/>
              </w:rPr>
              <w:t xml:space="preserve">The abstract is generally clear and provides the essential components of the study, including the background, objectives, methodology, key findings, and conclusions. It adequately summarizes the focus of the research and allows readers to quickly understand the purpose and significance of the study. However, the abstract could be improved by presenting more specific information about the research design, sample size, and the main statistical results to strengthen its scientific clarity. It is also suggested that the authors briefly mention the type of study design and sampling technique, as well as highlight the most important quantitative findings to make the results section more informative. Additionally, minor revisions for conciseness and clarity may help improve readability and ensure that the abstract fully reflects the key contributions of the study.</w:t>
            </w:r>
          </w:p>
        </w:tc>
        <w:tc>
          <w:tcPr>
            <w:vAlign w:val="top"/>
          </w:tcPr>
          <w:p w:rsidR="00000000" w:rsidDel="00000000" w:rsidP="00000000" w:rsidRDefault="00000000" w:rsidRPr="00000000" w14:paraId="00000024">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that suggestion. To improve the study's scientific clarity and overall structure of the abstract, detailed information about the methods and results were added.and significant values such as the mean scores were mentioned. The research design and sampling technique used were also mentioned in the abstract.</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5">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Overall, the manuscript is scientifically sound and addresses an important topic in nursing education. The study is well organized, and the objectives, methods, results, and conclusions are presented in a logical manner, making the paper easy to follow. The research design and analysis appear appropriate for examining the relationship between the clinical learning environment and readiness for practice among graduating nursing students. However, several minor improvements could further strengthen the manuscript. The authors may consider providing clearer explanations regarding the </w:t>
            </w:r>
            <w:r w:rsidDel="00000000" w:rsidR="00000000" w:rsidRPr="00000000">
              <w:rPr>
                <w:b w:val="1"/>
                <w:bCs w:val="1"/>
                <w:i w:val="1"/>
                <w:iCs w:val="1"/>
                <w:smallCaps w:val="0"/>
                <w:strike w:val="0"/>
                <w:color w:val="000000"/>
                <w:sz w:val="20"/>
                <w:szCs w:val="20"/>
                <w:u w:val="none"/>
                <w:shd w:fill="auto" w:val="clear"/>
                <w:vertAlign w:val="baseline"/>
                <w:rtl w:val="0"/>
              </w:rPr>
              <w:t xml:space="preserve">sampling method</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and giving more detailed information about the </w:t>
            </w:r>
            <w:r w:rsidDel="00000000" w:rsidR="00000000" w:rsidRPr="00000000">
              <w:rPr>
                <w:b w:val="1"/>
                <w:bCs w:val="1"/>
                <w:i w:val="1"/>
                <w:iCs w:val="1"/>
                <w:smallCaps w:val="0"/>
                <w:strike w:val="0"/>
                <w:color w:val="000000"/>
                <w:sz w:val="20"/>
                <w:szCs w:val="20"/>
                <w:u w:val="none"/>
                <w:shd w:fill="auto" w:val="clear"/>
                <w:vertAlign w:val="baseline"/>
                <w:rtl w:val="0"/>
              </w:rPr>
              <w:t xml:space="preserve">instruments</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used, including their reliability or validity. In addition, expanding the discussion by linking the findings more closely with previous studies would help highlight the contribution of this research to the existing literature.</w:t>
            </w:r>
          </w:p>
        </w:tc>
        <w:tc>
          <w:tcPr>
            <w:vAlign w:val="top"/>
          </w:tcPr>
          <w:p w:rsidR="00000000" w:rsidDel="00000000" w:rsidP="00000000" w:rsidRDefault="00000000" w:rsidRPr="00000000" w14:paraId="00000027">
            <w:pPr>
              <w:pStyle w:val="Heading2"/>
              <w:jc w:val="left"/>
              <w:rPr>
                <w:rFonts w:ascii="Times New Roman" w:cs="Times New Roman" w:eastAsia="Times New Roman" w:hAnsi="Times New Roman"/>
                <w:b w:val="0"/>
                <w:bCs w:val="0"/>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jc w:val="left"/>
              <w:rPr>
                <w:rFonts w:ascii="Times New Roman" w:cs="Times New Roman" w:eastAsia="Times New Roman" w:hAnsi="Times New Roman"/>
                <w:b w:val="0"/>
                <w:bCs w:val="0"/>
              </w:rPr>
            </w:pPr>
            <w:r w:rsidDel="00000000" w:rsidR="00000000" w:rsidRPr="00000000">
              <w:rPr>
                <w:rtl w:val="0"/>
              </w:rPr>
            </w:r>
          </w:p>
          <w:p w:rsidR="00000000" w:rsidDel="00000000" w:rsidP="00000000" w:rsidRDefault="00000000" w:rsidRPr="00000000" w14:paraId="0000002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In accordance with the reviewer’s suggestion, the discussion has been expanded. We have integrated additional citations from recent nursing education literature to contextualize our findings regarding the relationship between the CLE and RFP. </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B">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references used in this manuscript are generally relevant to the topic and support the discussion of the clinical learning environment and readiness for practice among nursing students. Most of the cited sources appear appropriate for supporting the theoretical background and interpretation of the findings. However, the manuscript could be strengthened by including more recent studies published within the last five years, particularly those focusing on clinical learning environments, nursing education, and students’ readiness for professional practice. The authors may consider adding several recent international studies to enrich the literature review and discussion sections. Incorporating up-to-date references will help demonstrate the current relevance of the topic and place the study more clearly within the context of contemporary nursing education research.</w:t>
            </w:r>
          </w:p>
        </w:tc>
        <w:tc>
          <w:tcPr>
            <w:vAlign w:val="top"/>
          </w:tcPr>
          <w:p w:rsidR="00000000" w:rsidDel="00000000" w:rsidP="00000000" w:rsidRDefault="00000000" w:rsidRPr="00000000" w14:paraId="0000002D">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reviewer’s insightful recommendation is appreciated by the authors.The reference section has been carefully reviewed and updated to incorporate more recent and relevant scholarly sources related to the clinical learning environment and readiness for practice among nursing students.</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E">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F">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0">
            <w:pPr>
              <w:jc w:val="both"/>
              <w:rPr>
                <w:sz w:val="20"/>
                <w:szCs w:val="20"/>
                <w:vertAlign w:val="baseline"/>
              </w:rPr>
            </w:pPr>
            <w:r w:rsidDel="00000000" w:rsidR="00000000" w:rsidRPr="00000000">
              <w:rPr>
                <w:sz w:val="20"/>
                <w:szCs w:val="20"/>
                <w:vertAlign w:val="baseline"/>
                <w:rtl w:val="0"/>
              </w:rPr>
              <w:t xml:space="preserve">The English used in this manuscript is generally understandable and suitable for scholarly communication. The authors are able to convey the main ideas and findings clearly, and the overall structure of the sentences supports the readability of the paper. However, several minor grammatical and stylistic issues are present throughout the manuscript. It is recommended that the manuscript undergo careful proofreading or professional English editing to improve grammar, sentence structure, and clarity. Such revisions would enhance the overall quality of the manuscript and ensure that the arguments and findings are communicated more effectively to an international academic audience.</w:t>
            </w:r>
          </w:p>
        </w:tc>
        <w:tc>
          <w:tcPr>
            <w:vAlign w:val="top"/>
          </w:tcPr>
          <w:p w:rsidR="00000000" w:rsidDel="00000000" w:rsidP="00000000" w:rsidRDefault="00000000" w:rsidRPr="00000000" w14:paraId="00000031">
            <w:pPr>
              <w:rPr>
                <w:sz w:val="20"/>
                <w:szCs w:val="20"/>
                <w:vertAlign w:val="baseline"/>
              </w:rPr>
            </w:pPr>
            <w:r w:rsidDel="00000000" w:rsidR="00000000" w:rsidRPr="00000000">
              <w:rPr>
                <w:sz w:val="20"/>
                <w:szCs w:val="20"/>
                <w:rtl w:val="0"/>
              </w:rPr>
              <w:t xml:space="preserve">The manuscript has undergone careful proofreading and editing to improve grammar, sentence structure, and clarity.</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3">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Overall, the manuscript addresses an important topic in nursing education, particularly in understanding how the clinical learning environment may influence the readiness of graduating nursing students for professional practice. The study provides useful insights that may help educators and academic institutions improve the quality of clinical training and better prepare students for real healthcare settings. However, several minor revisions could further enhance the quality of the manuscript. The authors are encouraged to </w:t>
            </w:r>
            <w:r w:rsidDel="00000000" w:rsidR="00000000" w:rsidRPr="00000000">
              <w:rPr>
                <w:b w:val="1"/>
                <w:bCs w:val="1"/>
                <w:i w:val="1"/>
                <w:iCs w:val="1"/>
                <w:smallCaps w:val="0"/>
                <w:strike w:val="0"/>
                <w:color w:val="000000"/>
                <w:sz w:val="20"/>
                <w:szCs w:val="20"/>
                <w:u w:val="none"/>
                <w:shd w:fill="auto" w:val="clear"/>
                <w:vertAlign w:val="baseline"/>
                <w:rtl w:val="0"/>
              </w:rPr>
              <w:t xml:space="preserve">strengthen the literature review by including more recent studies</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provide clearer explanations of the research methods and instruments used, and expand the discussion to better relate the findings to existing research. With these improvements, the manuscript has the potential to make a valuable contribution to the field of nursing education.</w:t>
            </w:r>
          </w:p>
        </w:tc>
        <w:tc>
          <w:tcPr>
            <w:vAlign w:val="top"/>
          </w:tcPr>
          <w:p w:rsidR="00000000" w:rsidDel="00000000" w:rsidP="00000000" w:rsidRDefault="00000000" w:rsidRPr="00000000" w14:paraId="00000035">
            <w:pPr>
              <w:pStyle w:val="Heading2"/>
              <w:keepNext w:val="0"/>
              <w:spacing w:after="80" w:before="360" w:lineRule="auto"/>
              <w:jc w:val="left"/>
              <w:rPr>
                <w:sz w:val="20"/>
                <w:szCs w:val="20"/>
              </w:rPr>
            </w:pPr>
            <w:bookmarkStart w:colFirst="0" w:colLast="0" w:name="_8ffmx317g8f8" w:id="1"/>
            <w:bookmarkEnd w:id="1"/>
            <w:r w:rsidDel="00000000" w:rsidR="00000000" w:rsidRPr="00000000">
              <w:rPr>
                <w:rFonts w:ascii="Times New Roman" w:cs="Times New Roman" w:eastAsia="Times New Roman" w:hAnsi="Times New Roman"/>
                <w:b w:val="0"/>
                <w:bCs w:val="0"/>
                <w:rtl w:val="0"/>
              </w:rPr>
              <w:t xml:space="preserve">T</w:t>
            </w:r>
            <w:r w:rsidDel="00000000" w:rsidR="00000000" w:rsidRPr="00000000">
              <w:rPr>
                <w:rFonts w:ascii="Times New Roman" w:cs="Times New Roman" w:eastAsia="Times New Roman" w:hAnsi="Times New Roman"/>
                <w:b w:val="0"/>
                <w:bCs w:val="0"/>
                <w:rtl w:val="0"/>
              </w:rPr>
              <w:t xml:space="preserve">hank you for this suggestion. We revised the literature review to incorporate more recent studies published between 2022 and 2025, including works by Zhang (2022), Falguera (2025), Byrne (2025), Hasanah (2024), Najafi &amp; Nasiri (2024), Braiki (2024), Maalouf &amp; Zaatari (2025), Canta (2025), and Dusaran (2023). We also expanded the discussion to highlight how our findings align with and differ from these studies, particularly in the Philippine context, thereby situating our work within current global and local nursing education research.</w:t>
            </w:r>
            <w:r w:rsidDel="00000000" w:rsidR="00000000" w:rsidRPr="00000000">
              <w:rPr>
                <w:rtl w:val="0"/>
              </w:rPr>
            </w:r>
          </w:p>
          <w:p w:rsidR="00000000" w:rsidDel="00000000" w:rsidP="00000000" w:rsidRDefault="00000000" w:rsidRPr="00000000" w14:paraId="00000036">
            <w:pPr>
              <w:rPr>
                <w:sz w:val="20"/>
                <w:szCs w:val="20"/>
              </w:rPr>
            </w:pPr>
            <w:r w:rsidDel="00000000" w:rsidR="00000000" w:rsidRPr="00000000">
              <w:rPr>
                <w:sz w:val="20"/>
                <w:szCs w:val="20"/>
                <w:rtl w:val="0"/>
              </w:rPr>
              <w:t xml:space="preserve">Thank you for the suggestion with the Methodology as well. We have revised the Methodology section to add clearer understanding. Specifically, we explained more clearly why a descriptive correlational design was appropriate, provided additional detail on the instruments including their reliability, and elaborated on the data collection procedure by specifying the timeframe, sample size, sampling method, and ethical safeguards. These additions strengthen the clarity and completeness of the methodology without altering its original structure</w:t>
            </w:r>
          </w:p>
          <w:p w:rsidR="00000000" w:rsidDel="00000000" w:rsidP="00000000" w:rsidRDefault="00000000" w:rsidRPr="00000000" w14:paraId="00000037">
            <w:pPr>
              <w:rPr>
                <w:sz w:val="20"/>
                <w:szCs w:val="20"/>
              </w:rPr>
            </w:pPr>
            <w:r w:rsidDel="00000000" w:rsidR="00000000" w:rsidRPr="00000000">
              <w:rPr>
                <w:rtl w:val="0"/>
              </w:rPr>
            </w:r>
          </w:p>
        </w:tc>
      </w:tr>
    </w:tb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r5srxmmk25lb" w:id="2"/>
      <w:bookmarkEnd w:id="2"/>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B">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C">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F">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40">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2">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3">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4">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5">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6">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line="276" w:lineRule="auto"/>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The authors confirm there are no ethical issues associated with this manuscript.</w:t>
            </w:r>
            <w:r w:rsidDel="00000000" w:rsidR="00000000" w:rsidRPr="00000000">
              <w:rPr>
                <w:rtl w:val="0"/>
              </w:rPr>
            </w:r>
          </w:p>
          <w:p w:rsidR="00000000" w:rsidDel="00000000" w:rsidP="00000000" w:rsidRDefault="00000000" w:rsidRPr="00000000" w14:paraId="00000048">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9">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A">
      <w:pPr>
        <w:rPr>
          <w:vertAlign w:val="baseline"/>
        </w:rPr>
      </w:pPr>
      <w:r w:rsidDel="00000000" w:rsidR="00000000" w:rsidRPr="00000000">
        <w:rPr>
          <w:rtl w:val="0"/>
        </w:rPr>
      </w:r>
    </w:p>
    <w:p w:rsidR="00000000" w:rsidDel="00000000" w:rsidP="00000000" w:rsidRDefault="00000000" w:rsidRPr="00000000" w14:paraId="0000004B">
      <w:pPr>
        <w:rPr>
          <w:vertAlign w:val="baseline"/>
        </w:rPr>
      </w:pPr>
      <w:r w:rsidDel="00000000" w:rsidR="00000000" w:rsidRPr="00000000">
        <w:rPr>
          <w:rtl w:val="0"/>
        </w:rPr>
      </w:r>
    </w:p>
    <w:p w:rsidR="00000000" w:rsidDel="00000000" w:rsidP="00000000" w:rsidRDefault="00000000" w:rsidRPr="00000000" w14:paraId="0000004C">
      <w:pPr>
        <w:rPr>
          <w:u w:val="single"/>
          <w:vertAlign w:val="baseline"/>
        </w:rPr>
      </w:pPr>
      <w:r w:rsidDel="00000000" w:rsidR="00000000" w:rsidRPr="00000000">
        <w:rPr>
          <w:rtl w:val="0"/>
        </w:rPr>
      </w:r>
    </w:p>
    <w:p w:rsidR="00000000" w:rsidDel="00000000" w:rsidP="00000000" w:rsidRDefault="00000000" w:rsidRPr="00000000" w14:paraId="0000004D">
      <w:pPr>
        <w:rP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7" w:type="default"/>
      <w:footerReference r:id="rId8"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0">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rnh.com/index.php/AJRNH"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