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20934" w:type="dxa"/>
        <w:tblInd w:w="108"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108" w:type="dxa"/>
          <w:bottom w:w="0" w:type="dxa"/>
          <w:right w:w="108" w:type="dxa"/>
        </w:tblCellMar>
      </w:tblPr>
      <w:tblGrid>
        <w:gridCol w:w="5167"/>
        <w:gridCol w:w="15767"/>
      </w:tblGrid>
      <w:tr w14:paraId="1237DBA1">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326" w:hRule="atLeast"/>
        </w:trPr>
        <w:tc>
          <w:tcPr>
            <w:tcW w:w="20934" w:type="dxa"/>
            <w:gridSpan w:val="2"/>
            <w:tcBorders>
              <w:top w:val="nil"/>
              <w:left w:val="nil"/>
              <w:bottom w:val="single" w:color="000000" w:sz="4" w:space="0"/>
              <w:right w:val="nil"/>
            </w:tcBorders>
            <w:shd w:val="clear" w:color="auto" w:fill="auto"/>
            <w:tcMar>
              <w:top w:w="80" w:type="dxa"/>
              <w:left w:w="80" w:type="dxa"/>
              <w:bottom w:w="80" w:type="dxa"/>
              <w:right w:w="80" w:type="dxa"/>
            </w:tcMar>
          </w:tcPr>
          <w:p w14:paraId="7B5F1F60"/>
        </w:tc>
      </w:tr>
      <w:tr w14:paraId="6A0299B7">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223" w:hRule="atLeast"/>
        </w:trPr>
        <w:tc>
          <w:tcPr>
            <w:tcW w:w="5167" w:type="dxa"/>
            <w:tcBorders>
              <w:top w:val="single" w:color="000000" w:sz="4" w:space="0"/>
              <w:left w:val="single" w:color="000000" w:sz="4" w:space="0"/>
              <w:bottom w:val="single" w:color="000000" w:sz="4" w:space="0"/>
              <w:right w:val="single" w:color="000000" w:sz="4" w:space="0"/>
            </w:tcBorders>
            <w:shd w:val="clear" w:color="auto" w:fill="FFFFFF"/>
            <w:tcMar>
              <w:top w:w="80" w:type="dxa"/>
              <w:left w:w="170" w:type="dxa"/>
              <w:bottom w:w="80" w:type="dxa"/>
              <w:right w:w="80" w:type="dxa"/>
            </w:tcMar>
          </w:tcPr>
          <w:p w14:paraId="070B5687">
            <w:pPr>
              <w:pStyle w:val="3"/>
              <w:ind w:left="90"/>
              <w:jc w:val="left"/>
            </w:pPr>
            <w:r>
              <w:rPr>
                <w:rFonts w:ascii="Arial" w:hAnsi="Arial"/>
                <w:sz w:val="20"/>
                <w:szCs w:val="20"/>
                <w:lang w:val="en-US"/>
              </w:rPr>
              <w:t>Journal Name:</w:t>
            </w:r>
          </w:p>
        </w:tc>
        <w:tc>
          <w:tcPr>
            <w:tcW w:w="1576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8715CA7">
            <w:r>
              <w:fldChar w:fldCharType="begin"/>
            </w:r>
            <w:r>
              <w:instrText xml:space="preserve"> HYPERLINK "https://journalajrcos.com/index.php/AJRCOS" </w:instrText>
            </w:r>
            <w:r>
              <w:fldChar w:fldCharType="separate"/>
            </w:r>
            <w:r>
              <w:rPr>
                <w:rStyle w:val="10"/>
                <w:rFonts w:ascii="Arial" w:hAnsi="Arial"/>
                <w:b/>
                <w:bCs/>
                <w:sz w:val="20"/>
                <w:szCs w:val="20"/>
              </w:rPr>
              <w:t>Asian Journal of Research in Computer Science</w:t>
            </w:r>
            <w:r>
              <w:rPr>
                <w:rStyle w:val="10"/>
                <w:rFonts w:ascii="Arial" w:hAnsi="Arial"/>
                <w:b/>
                <w:bCs/>
                <w:sz w:val="20"/>
                <w:szCs w:val="20"/>
              </w:rPr>
              <w:fldChar w:fldCharType="end"/>
            </w:r>
            <w:r>
              <w:rPr>
                <w:rFonts w:ascii="Arial" w:hAnsi="Arial"/>
                <w:b/>
                <w:bCs/>
                <w:color w:val="0000FF"/>
                <w:sz w:val="20"/>
                <w:szCs w:val="20"/>
                <w:u w:color="0000FF"/>
              </w:rPr>
              <w:t xml:space="preserve"> </w:t>
            </w:r>
          </w:p>
        </w:tc>
      </w:tr>
      <w:tr w14:paraId="6BD73230">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8" w:type="dxa"/>
            <w:bottom w:w="0" w:type="dxa"/>
            <w:right w:w="108" w:type="dxa"/>
          </w:tblCellMar>
        </w:tblPrEx>
        <w:trPr>
          <w:trHeight w:val="223" w:hRule="atLeast"/>
        </w:trPr>
        <w:tc>
          <w:tcPr>
            <w:tcW w:w="5167" w:type="dxa"/>
            <w:tcBorders>
              <w:top w:val="single" w:color="000000" w:sz="4" w:space="0"/>
              <w:left w:val="single" w:color="000000" w:sz="4" w:space="0"/>
              <w:bottom w:val="single" w:color="000000" w:sz="4" w:space="0"/>
              <w:right w:val="single" w:color="000000" w:sz="4" w:space="0"/>
            </w:tcBorders>
            <w:shd w:val="clear" w:color="auto" w:fill="FFFFFF"/>
            <w:tcMar>
              <w:top w:w="80" w:type="dxa"/>
              <w:left w:w="170" w:type="dxa"/>
              <w:bottom w:w="80" w:type="dxa"/>
              <w:right w:w="80" w:type="dxa"/>
            </w:tcMar>
          </w:tcPr>
          <w:p w14:paraId="45F704AD">
            <w:pPr>
              <w:pStyle w:val="3"/>
              <w:ind w:left="90"/>
              <w:jc w:val="left"/>
            </w:pPr>
            <w:r>
              <w:rPr>
                <w:rFonts w:ascii="Arial" w:hAnsi="Arial"/>
                <w:sz w:val="20"/>
                <w:szCs w:val="20"/>
                <w:lang w:val="en-US"/>
              </w:rPr>
              <w:t>Manuscript Number:</w:t>
            </w:r>
          </w:p>
        </w:tc>
        <w:tc>
          <w:tcPr>
            <w:tcW w:w="1576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678DA3E9">
            <w:pPr>
              <w:pStyle w:val="5"/>
              <w:spacing w:before="0" w:after="0"/>
            </w:pPr>
            <w:r>
              <w:rPr>
                <w:rFonts w:ascii="Arial" w:hAnsi="Arial"/>
                <w:b/>
                <w:bCs/>
                <w:sz w:val="20"/>
                <w:szCs w:val="20"/>
              </w:rPr>
              <w:t>Ms_AJRCOS_155344</w:t>
            </w:r>
          </w:p>
        </w:tc>
      </w:tr>
      <w:tr w14:paraId="6E83A9AB">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8" w:type="dxa"/>
            <w:bottom w:w="0" w:type="dxa"/>
            <w:right w:w="108" w:type="dxa"/>
          </w:tblCellMar>
        </w:tblPrEx>
        <w:trPr>
          <w:trHeight w:val="490" w:hRule="atLeast"/>
        </w:trPr>
        <w:tc>
          <w:tcPr>
            <w:tcW w:w="5167" w:type="dxa"/>
            <w:tcBorders>
              <w:top w:val="single" w:color="000000" w:sz="4" w:space="0"/>
              <w:left w:val="single" w:color="000000" w:sz="4" w:space="0"/>
              <w:bottom w:val="single" w:color="000000" w:sz="4" w:space="0"/>
              <w:right w:val="single" w:color="000000" w:sz="4" w:space="0"/>
            </w:tcBorders>
            <w:shd w:val="clear" w:color="auto" w:fill="FFFFFF"/>
            <w:tcMar>
              <w:top w:w="80" w:type="dxa"/>
              <w:left w:w="170" w:type="dxa"/>
              <w:bottom w:w="80" w:type="dxa"/>
              <w:right w:w="80" w:type="dxa"/>
            </w:tcMar>
          </w:tcPr>
          <w:p w14:paraId="0F66778C">
            <w:pPr>
              <w:pStyle w:val="3"/>
              <w:ind w:left="90"/>
              <w:jc w:val="left"/>
            </w:pPr>
            <w:r>
              <w:rPr>
                <w:rFonts w:ascii="Arial" w:hAnsi="Arial"/>
                <w:sz w:val="20"/>
                <w:szCs w:val="20"/>
                <w:lang w:val="en-US"/>
              </w:rPr>
              <w:t xml:space="preserve">Title of the Manuscript: </w:t>
            </w:r>
          </w:p>
        </w:tc>
        <w:tc>
          <w:tcPr>
            <w:tcW w:w="1576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60AE01DD">
            <w:pPr>
              <w:pStyle w:val="5"/>
              <w:spacing w:before="0" w:after="0"/>
            </w:pPr>
            <w:r>
              <w:rPr>
                <w:rFonts w:ascii="Arial" w:hAnsi="Arial"/>
                <w:b/>
                <w:bCs/>
                <w:sz w:val="20"/>
                <w:szCs w:val="20"/>
              </w:rPr>
              <w:t>A Multigrid Shifted-Inverse Iteration Algorithm for Periodic Boundary Eigenvalue Problems and Its Convergence Analysis</w:t>
            </w:r>
          </w:p>
        </w:tc>
      </w:tr>
      <w:tr w14:paraId="397E26BF">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8" w:type="dxa"/>
            <w:bottom w:w="0" w:type="dxa"/>
            <w:right w:w="108" w:type="dxa"/>
          </w:tblCellMar>
        </w:tblPrEx>
        <w:trPr>
          <w:trHeight w:val="223" w:hRule="atLeast"/>
        </w:trPr>
        <w:tc>
          <w:tcPr>
            <w:tcW w:w="5167" w:type="dxa"/>
            <w:tcBorders>
              <w:top w:val="single" w:color="000000" w:sz="4" w:space="0"/>
              <w:left w:val="single" w:color="000000" w:sz="4" w:space="0"/>
              <w:bottom w:val="single" w:color="000000" w:sz="4" w:space="0"/>
              <w:right w:val="single" w:color="000000" w:sz="4" w:space="0"/>
            </w:tcBorders>
            <w:shd w:val="clear" w:color="auto" w:fill="FFFFFF"/>
            <w:tcMar>
              <w:top w:w="80" w:type="dxa"/>
              <w:left w:w="170" w:type="dxa"/>
              <w:bottom w:w="80" w:type="dxa"/>
              <w:right w:w="80" w:type="dxa"/>
            </w:tcMar>
          </w:tcPr>
          <w:p w14:paraId="38465B59">
            <w:pPr>
              <w:pStyle w:val="3"/>
              <w:ind w:left="90"/>
              <w:jc w:val="left"/>
            </w:pPr>
            <w:r>
              <w:rPr>
                <w:rFonts w:ascii="Arial" w:hAnsi="Arial"/>
                <w:sz w:val="20"/>
                <w:szCs w:val="20"/>
                <w:lang w:val="en-US"/>
              </w:rPr>
              <w:t>Type of the Article</w:t>
            </w:r>
          </w:p>
        </w:tc>
        <w:tc>
          <w:tcPr>
            <w:tcW w:w="1576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5847968">
            <w:r>
              <w:rPr>
                <w:rFonts w:hint="eastAsia" w:ascii="Arial" w:hAnsi="Arial" w:eastAsia="Arial Unicode MS" w:cs="Arial Unicode MS"/>
                <w:b/>
                <w:bCs/>
                <w:color w:val="000000"/>
                <w:sz w:val="20"/>
                <w:szCs w:val="20"/>
                <w:u w:color="000000"/>
                <w:lang w:val="en-US" w:eastAsia="en-US" w:bidi="ar-SA"/>
              </w:rPr>
              <w:t>Method Article</w:t>
            </w:r>
          </w:p>
        </w:tc>
      </w:tr>
    </w:tbl>
    <w:p w14:paraId="1E57CC1A">
      <w:pPr>
        <w:widowControl w:val="0"/>
      </w:pPr>
    </w:p>
    <w:p w14:paraId="75E1E939">
      <w:pPr>
        <w:pStyle w:val="3"/>
        <w:rPr>
          <w:rFonts w:ascii="Arial" w:hAnsi="Arial" w:eastAsia="Arial" w:cs="Arial"/>
          <w:b/>
          <w:bCs/>
          <w:sz w:val="20"/>
          <w:szCs w:val="20"/>
          <w:u w:val="single"/>
          <w:lang w:val="en-US"/>
        </w:rPr>
      </w:pPr>
    </w:p>
    <w:p w14:paraId="4013DABB">
      <w:bookmarkStart w:id="0" w:name="_Hlk170903434"/>
    </w:p>
    <w:tbl>
      <w:tblPr>
        <w:tblStyle w:val="6"/>
        <w:tblW w:w="21150" w:type="dxa"/>
        <w:tblInd w:w="108"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108" w:type="dxa"/>
          <w:bottom w:w="0" w:type="dxa"/>
          <w:right w:w="108" w:type="dxa"/>
        </w:tblCellMar>
      </w:tblPr>
      <w:tblGrid>
        <w:gridCol w:w="5351"/>
        <w:gridCol w:w="9357"/>
        <w:gridCol w:w="6442"/>
      </w:tblGrid>
      <w:tr w14:paraId="659DB003">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8" w:type="dxa"/>
            <w:bottom w:w="0" w:type="dxa"/>
            <w:right w:w="108" w:type="dxa"/>
          </w:tblCellMar>
        </w:tblPrEx>
        <w:trPr>
          <w:trHeight w:val="447" w:hRule="atLeast"/>
        </w:trPr>
        <w:tc>
          <w:tcPr>
            <w:tcW w:w="21150" w:type="dxa"/>
            <w:gridSpan w:val="3"/>
            <w:tcBorders>
              <w:top w:val="nil"/>
              <w:left w:val="nil"/>
              <w:bottom w:val="single" w:color="000000" w:sz="4" w:space="0"/>
              <w:right w:val="nil"/>
            </w:tcBorders>
            <w:shd w:val="clear" w:color="auto" w:fill="auto"/>
            <w:tcMar>
              <w:top w:w="80" w:type="dxa"/>
              <w:left w:w="80" w:type="dxa"/>
              <w:bottom w:w="80" w:type="dxa"/>
              <w:right w:w="80" w:type="dxa"/>
            </w:tcMar>
          </w:tcPr>
          <w:p w14:paraId="2C7EA6B5">
            <w:pPr>
              <w:pStyle w:val="2"/>
              <w:jc w:val="left"/>
            </w:pPr>
            <w:r>
              <w:rPr>
                <w:rFonts w:ascii="Times New Roman" w:hAnsi="Times New Roman"/>
                <w:shd w:val="clear" w:color="auto" w:fill="FFFF00"/>
                <w:lang w:val="en-US"/>
              </w:rPr>
              <w:t>PART  1:</w:t>
            </w:r>
            <w:r>
              <w:rPr>
                <w:rFonts w:ascii="Times New Roman" w:hAnsi="Times New Roman"/>
                <w:lang w:val="en-US"/>
              </w:rPr>
              <w:t xml:space="preserve"> Comments</w:t>
            </w:r>
          </w:p>
        </w:tc>
      </w:tr>
      <w:tr w14:paraId="5E2D0C43">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8" w:type="dxa"/>
            <w:bottom w:w="0" w:type="dxa"/>
            <w:right w:w="108" w:type="dxa"/>
          </w:tblCellMar>
        </w:tblPrEx>
        <w:trPr>
          <w:trHeight w:val="960" w:hRule="atLeast"/>
        </w:trPr>
        <w:tc>
          <w:tcPr>
            <w:tcW w:w="5351"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14:paraId="2638FAA4"/>
        </w:tc>
        <w:tc>
          <w:tcPr>
            <w:tcW w:w="935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14:paraId="41344390">
            <w:pPr>
              <w:pStyle w:val="2"/>
              <w:jc w:val="left"/>
              <w:rPr>
                <w:rFonts w:ascii="Times New Roman" w:hAnsi="Times New Roman" w:eastAsia="Times New Roman" w:cs="Times New Roman"/>
              </w:rPr>
            </w:pPr>
            <w:r>
              <w:rPr>
                <w:rFonts w:ascii="Times New Roman" w:hAnsi="Times New Roman"/>
                <w:lang w:val="en-US"/>
              </w:rPr>
              <w:t>Reviewer’s comment</w:t>
            </w:r>
          </w:p>
          <w:p w14:paraId="46141950"/>
        </w:tc>
        <w:tc>
          <w:tcPr>
            <w:tcW w:w="64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14:paraId="422BF302">
            <w:pPr>
              <w:spacing w:after="160" w:line="254" w:lineRule="auto"/>
            </w:pPr>
            <w:r>
              <w:rPr>
                <w:b/>
                <w:bCs/>
                <w:kern w:val="2"/>
                <w:sz w:val="20"/>
                <w:szCs w:val="20"/>
              </w:rPr>
              <w:t>Author’s Feedback</w:t>
            </w:r>
            <w:r>
              <w:rPr>
                <w:kern w:val="2"/>
                <w:sz w:val="20"/>
                <w:szCs w:val="20"/>
              </w:rPr>
              <w:t xml:space="preserve"> (It is mandatory that authors should write his/her feedback here)</w:t>
            </w:r>
          </w:p>
        </w:tc>
      </w:tr>
      <w:tr w14:paraId="04FA8D1A">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8" w:type="dxa"/>
            <w:bottom w:w="0" w:type="dxa"/>
            <w:right w:w="108" w:type="dxa"/>
          </w:tblCellMar>
        </w:tblPrEx>
        <w:trPr>
          <w:trHeight w:val="1104" w:hRule="atLeast"/>
        </w:trPr>
        <w:tc>
          <w:tcPr>
            <w:tcW w:w="5351" w:type="dxa"/>
            <w:tcBorders>
              <w:top w:val="single" w:color="000000" w:sz="4" w:space="0"/>
              <w:left w:val="single" w:color="000000" w:sz="4" w:space="0"/>
              <w:bottom w:val="single" w:color="000000" w:sz="4" w:space="0"/>
              <w:right w:val="single" w:color="000000" w:sz="4" w:space="0"/>
            </w:tcBorders>
            <w:shd w:val="clear" w:color="auto" w:fill="auto"/>
            <w:tcMar>
              <w:top w:w="80" w:type="dxa"/>
              <w:left w:w="440" w:type="dxa"/>
              <w:bottom w:w="80" w:type="dxa"/>
              <w:right w:w="80" w:type="dxa"/>
            </w:tcMar>
          </w:tcPr>
          <w:p w14:paraId="6BF849CA">
            <w:pPr>
              <w:ind w:left="360"/>
            </w:pPr>
            <w:r>
              <w:rPr>
                <w:b/>
                <w:bCs/>
                <w:sz w:val="20"/>
                <w:szCs w:val="20"/>
              </w:rPr>
              <w:t>Please write a few sentences regarding the importance of this manuscript for the scientific community. A minimum of 3-4 sentences may be required for this part.</w:t>
            </w:r>
          </w:p>
        </w:tc>
        <w:tc>
          <w:tcPr>
            <w:tcW w:w="935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14:paraId="2274D44A">
            <w:r>
              <w:rPr>
                <w:b/>
                <w:bCs/>
                <w:sz w:val="20"/>
                <w:szCs w:val="20"/>
              </w:rPr>
              <w:t>Good article that explains effectiveness and reliability of the two multi grid shifted inverse algorithms for eigenvalue problems.</w:t>
            </w:r>
          </w:p>
        </w:tc>
        <w:tc>
          <w:tcPr>
            <w:tcW w:w="64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14:paraId="611408B8">
            <w:r>
              <w:t>We sincerely appreciate the reviewer’s positive recognition. This work addresses the long-standing challenge of efficient and stable numerical solutions for periodic boundary eigenvalue problems, which are fundamental to quantum mechanics, photonic crystal simulations, and waveguide analysis—fields where precise spectral analysis directly impacts technological advancements. By proposing two multigrid shifted-inverse iteration algorithms (Rayleigh quotient-based and fixed-shift strategies), the study bridges the gap between theoretical convergence guarantees and practical large-scale computations, offering optimal convergence orders independent of grid levels. The fixed-shift strategy, in particular, innovatively mitigates the ill-conditioning of linear systems, providing a robust tool for researchers and engineers needing high-precision results in periodic structure analysis. This research enriches the multigrid method framework and lays a solid foundation for future applications in complex physical and engineering scenarios.</w:t>
            </w:r>
          </w:p>
        </w:tc>
      </w:tr>
      <w:tr w14:paraId="5A6729E2">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8" w:type="dxa"/>
            <w:bottom w:w="0" w:type="dxa"/>
            <w:right w:w="108" w:type="dxa"/>
          </w:tblCellMar>
        </w:tblPrEx>
        <w:trPr>
          <w:trHeight w:val="1102" w:hRule="atLeast"/>
        </w:trPr>
        <w:tc>
          <w:tcPr>
            <w:tcW w:w="5351" w:type="dxa"/>
            <w:tcBorders>
              <w:top w:val="single" w:color="000000" w:sz="4" w:space="0"/>
              <w:left w:val="single" w:color="000000" w:sz="4" w:space="0"/>
              <w:bottom w:val="single" w:color="000000" w:sz="4" w:space="0"/>
              <w:right w:val="single" w:color="000000" w:sz="4" w:space="0"/>
            </w:tcBorders>
            <w:shd w:val="clear" w:color="auto" w:fill="auto"/>
            <w:tcMar>
              <w:top w:w="80" w:type="dxa"/>
              <w:left w:w="440" w:type="dxa"/>
              <w:bottom w:w="80" w:type="dxa"/>
              <w:right w:w="80" w:type="dxa"/>
            </w:tcMar>
          </w:tcPr>
          <w:p w14:paraId="65C9A981">
            <w:pPr>
              <w:ind w:left="360"/>
              <w:rPr>
                <w:b/>
                <w:bCs/>
                <w:sz w:val="20"/>
                <w:szCs w:val="20"/>
              </w:rPr>
            </w:pPr>
            <w:r>
              <w:rPr>
                <w:b/>
                <w:bCs/>
                <w:sz w:val="20"/>
                <w:szCs w:val="20"/>
              </w:rPr>
              <w:t>Is the title of the article suitable?</w:t>
            </w:r>
          </w:p>
          <w:p w14:paraId="13CA68F0">
            <w:pPr>
              <w:ind w:left="360"/>
            </w:pPr>
            <w:r>
              <w:rPr>
                <w:b/>
                <w:bCs/>
                <w:sz w:val="20"/>
                <w:szCs w:val="20"/>
              </w:rPr>
              <w:t>(If not please suggest an alternative title)</w:t>
            </w:r>
          </w:p>
        </w:tc>
        <w:tc>
          <w:tcPr>
            <w:tcW w:w="9357" w:type="dxa"/>
            <w:tcBorders>
              <w:top w:val="single" w:color="000000" w:sz="4" w:space="0"/>
              <w:left w:val="single" w:color="000000" w:sz="4" w:space="0"/>
              <w:bottom w:val="single" w:color="000000" w:sz="4" w:space="0"/>
              <w:right w:val="single" w:color="000000" w:sz="4" w:space="0"/>
            </w:tcBorders>
            <w:shd w:val="clear" w:color="auto" w:fill="auto"/>
            <w:tcMar>
              <w:top w:w="80" w:type="dxa"/>
              <w:left w:w="440" w:type="dxa"/>
              <w:bottom w:w="80" w:type="dxa"/>
              <w:right w:w="80" w:type="dxa"/>
            </w:tcMar>
          </w:tcPr>
          <w:p w14:paraId="00B8F4EA">
            <w:pPr>
              <w:ind w:left="360"/>
            </w:pPr>
            <w:r>
              <w:rPr>
                <w:b/>
                <w:bCs/>
                <w:sz w:val="20"/>
                <w:szCs w:val="20"/>
              </w:rPr>
              <w:t>Yes</w:t>
            </w:r>
          </w:p>
        </w:tc>
        <w:tc>
          <w:tcPr>
            <w:tcW w:w="64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14:paraId="778A3245">
            <w:r>
              <w:t>We agree with the reviewer that the current title is highly suitable. It concisely and accurately encapsulates the core elements of the research: the numerical method (multigrid shifted-inverse iteration), the target problem (periodic boundary eigenvalue problems), and the key contribution (convergence analysis). The title effectively communicates the manuscript’s focus to the intended audience in applied mathematics, computational physics, and related engineering fields, and we therefore retain the original title.</w:t>
            </w:r>
          </w:p>
        </w:tc>
      </w:tr>
      <w:tr w14:paraId="41BE8F24">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1102" w:hRule="atLeast"/>
        </w:trPr>
        <w:tc>
          <w:tcPr>
            <w:tcW w:w="5351" w:type="dxa"/>
            <w:tcBorders>
              <w:top w:val="single" w:color="000000" w:sz="4" w:space="0"/>
              <w:left w:val="single" w:color="000000" w:sz="4" w:space="0"/>
              <w:bottom w:val="single" w:color="000000" w:sz="4" w:space="0"/>
              <w:right w:val="single" w:color="000000" w:sz="4" w:space="0"/>
            </w:tcBorders>
            <w:shd w:val="clear" w:color="auto" w:fill="auto"/>
            <w:tcMar>
              <w:top w:w="80" w:type="dxa"/>
              <w:left w:w="440" w:type="dxa"/>
              <w:bottom w:w="80" w:type="dxa"/>
              <w:right w:w="80" w:type="dxa"/>
            </w:tcMar>
          </w:tcPr>
          <w:p w14:paraId="1D167FAE">
            <w:pPr>
              <w:pStyle w:val="2"/>
              <w:ind w:left="360"/>
              <w:jc w:val="left"/>
            </w:pPr>
            <w:r>
              <w:rPr>
                <w:rFonts w:ascii="Times New Roman" w:hAnsi="Times New Roman"/>
                <w:lang w:val="en-US"/>
              </w:rPr>
              <w:t>Is the abstract of the article comprehensive? Do you suggest the addition (or deletion) of some points in this section? Please write your suggestions here.</w:t>
            </w:r>
          </w:p>
        </w:tc>
        <w:tc>
          <w:tcPr>
            <w:tcW w:w="9357" w:type="dxa"/>
            <w:tcBorders>
              <w:top w:val="single" w:color="000000" w:sz="4" w:space="0"/>
              <w:left w:val="single" w:color="000000" w:sz="4" w:space="0"/>
              <w:bottom w:val="single" w:color="000000" w:sz="4" w:space="0"/>
              <w:right w:val="single" w:color="000000" w:sz="4" w:space="0"/>
            </w:tcBorders>
            <w:shd w:val="clear" w:color="auto" w:fill="auto"/>
            <w:tcMar>
              <w:top w:w="80" w:type="dxa"/>
              <w:left w:w="440" w:type="dxa"/>
              <w:bottom w:w="80" w:type="dxa"/>
              <w:right w:w="80" w:type="dxa"/>
            </w:tcMar>
          </w:tcPr>
          <w:p w14:paraId="3BF55800">
            <w:pPr>
              <w:ind w:left="360"/>
            </w:pPr>
            <w:r>
              <w:rPr>
                <w:b/>
                <w:bCs/>
                <w:sz w:val="20"/>
                <w:szCs w:val="20"/>
              </w:rPr>
              <w:t>Yes</w:t>
            </w:r>
          </w:p>
        </w:tc>
        <w:tc>
          <w:tcPr>
            <w:tcW w:w="64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14:paraId="555B5B2B">
            <w:r>
              <w:t>Thank you for confirming the comprehensiveness of the abstract. We have carefully reviewed the abstract and ensured it covers all critical components: the variational formulation in periodic Sobolev spaces, the construction of two multigrid algorithms, the superior stability of the fixed-shift strategy, detailed convergence analysis (error estimates for eigenfunctions and eigenvalues), and validation via numerical experiments. No additional modifications are needed as the abstract effectively summarizes the research’s purpose, methods, key results, and significance.</w:t>
            </w:r>
          </w:p>
        </w:tc>
      </w:tr>
      <w:tr w14:paraId="0C5FF7CA">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8" w:type="dxa"/>
            <w:bottom w:w="0" w:type="dxa"/>
            <w:right w:w="108" w:type="dxa"/>
          </w:tblCellMar>
        </w:tblPrEx>
        <w:trPr>
          <w:trHeight w:val="544" w:hRule="atLeast"/>
        </w:trPr>
        <w:tc>
          <w:tcPr>
            <w:tcW w:w="5351" w:type="dxa"/>
            <w:tcBorders>
              <w:top w:val="single" w:color="000000" w:sz="4" w:space="0"/>
              <w:left w:val="single" w:color="000000" w:sz="4" w:space="0"/>
              <w:bottom w:val="single" w:color="000000" w:sz="4" w:space="0"/>
              <w:right w:val="single" w:color="000000" w:sz="4" w:space="0"/>
            </w:tcBorders>
            <w:shd w:val="clear" w:color="auto" w:fill="auto"/>
            <w:tcMar>
              <w:top w:w="80" w:type="dxa"/>
              <w:left w:w="440" w:type="dxa"/>
              <w:bottom w:w="80" w:type="dxa"/>
              <w:right w:w="80" w:type="dxa"/>
            </w:tcMar>
          </w:tcPr>
          <w:p w14:paraId="5C0DE7CF">
            <w:pPr>
              <w:pStyle w:val="2"/>
              <w:ind w:left="360"/>
              <w:jc w:val="left"/>
            </w:pPr>
            <w:r>
              <w:rPr>
                <w:rFonts w:ascii="Times New Roman" w:hAnsi="Times New Roman"/>
                <w:lang w:val="en-US"/>
              </w:rPr>
              <w:t>Is the manuscript scientifically, correct? Please write here.</w:t>
            </w:r>
          </w:p>
        </w:tc>
        <w:tc>
          <w:tcPr>
            <w:tcW w:w="935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14:paraId="4232E374">
            <w:r>
              <w:rPr>
                <w:sz w:val="20"/>
                <w:szCs w:val="20"/>
              </w:rPr>
              <w:t>Yes</w:t>
            </w:r>
          </w:p>
        </w:tc>
        <w:tc>
          <w:tcPr>
            <w:tcW w:w="64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14:paraId="573F6125">
            <w:r>
              <w:t>We appreciate the reviewer’s affirmation of the manuscript’s scientific rigor. All mathematical derivations—including the establishment of periodic Sobolev spaces, variational formulations, error estimates for eigenfunctions (energy norm and negative norm), and convergence proofs of the proposed algorithms—are strictly grounded in established theories of functional analysis and finite element methods. The numerical experiments are designed with systematic mesh refinement (from level 2 to 7) and rigorous validation of convergence orders, consistently demonstrating the predicted O(h²) decay rate of eigenvalue errors. The fixed-shift strategy’s ability to manage condition number growth is also verified both theoretically and numerically, ensuring the reliability and correctness of the research.</w:t>
            </w:r>
          </w:p>
        </w:tc>
      </w:tr>
      <w:tr w14:paraId="44F1E91F">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8" w:type="dxa"/>
            <w:bottom w:w="0" w:type="dxa"/>
            <w:right w:w="108" w:type="dxa"/>
          </w:tblCellMar>
        </w:tblPrEx>
        <w:trPr>
          <w:trHeight w:val="662" w:hRule="atLeast"/>
        </w:trPr>
        <w:tc>
          <w:tcPr>
            <w:tcW w:w="5351" w:type="dxa"/>
            <w:tcBorders>
              <w:top w:val="single" w:color="000000" w:sz="4" w:space="0"/>
              <w:left w:val="single" w:color="000000" w:sz="4" w:space="0"/>
              <w:bottom w:val="single" w:color="000000" w:sz="4" w:space="0"/>
              <w:right w:val="single" w:color="000000" w:sz="4" w:space="0"/>
            </w:tcBorders>
            <w:shd w:val="clear" w:color="auto" w:fill="auto"/>
            <w:tcMar>
              <w:top w:w="80" w:type="dxa"/>
              <w:left w:w="440" w:type="dxa"/>
              <w:bottom w:w="80" w:type="dxa"/>
              <w:right w:w="80" w:type="dxa"/>
            </w:tcMar>
          </w:tcPr>
          <w:p w14:paraId="717EDDE2">
            <w:pPr>
              <w:ind w:left="360"/>
            </w:pPr>
            <w:r>
              <w:rPr>
                <w:b/>
                <w:bCs/>
                <w:sz w:val="20"/>
                <w:szCs w:val="20"/>
              </w:rPr>
              <w:t>Are the references sufficient and recent? If you have suggestions of additional references, please mention them in the review form.</w:t>
            </w:r>
          </w:p>
        </w:tc>
        <w:tc>
          <w:tcPr>
            <w:tcW w:w="935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14:paraId="1AA02A21">
            <w:r>
              <w:rPr>
                <w:sz w:val="20"/>
                <w:szCs w:val="20"/>
              </w:rPr>
              <w:t>Yes</w:t>
            </w:r>
          </w:p>
        </w:tc>
        <w:tc>
          <w:tcPr>
            <w:tcW w:w="64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14:paraId="1DB3C1B1">
            <w:r>
              <w:t>We thank the reviewer for acknowledging the sufficiency and recency of the references. The manuscript includes foundational works in multigrid methods and eigenvalue problems, as well as 6 high-impact recent studies (published in the last 5–10 years) that apply related algorithms to modern physics and engineering problems (e.g., photonic crystals, quantum eigenvalue problems, elastic eigenvalue problems). These references comprehensively support the theoretical framework and practical relevance of our research, and we have ensured they align with the latest advancements in the field.</w:t>
            </w:r>
          </w:p>
        </w:tc>
      </w:tr>
      <w:tr w14:paraId="322BD0B7">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8" w:type="dxa"/>
            <w:bottom w:w="0" w:type="dxa"/>
            <w:right w:w="108" w:type="dxa"/>
          </w:tblCellMar>
        </w:tblPrEx>
        <w:trPr>
          <w:trHeight w:val="662" w:hRule="atLeast"/>
        </w:trPr>
        <w:tc>
          <w:tcPr>
            <w:tcW w:w="5351" w:type="dxa"/>
            <w:tcBorders>
              <w:top w:val="single" w:color="000000" w:sz="4" w:space="0"/>
              <w:left w:val="single" w:color="000000" w:sz="4" w:space="0"/>
              <w:bottom w:val="single" w:color="000000" w:sz="4" w:space="0"/>
              <w:right w:val="single" w:color="000000" w:sz="4" w:space="0"/>
            </w:tcBorders>
            <w:shd w:val="clear" w:color="auto" w:fill="auto"/>
            <w:tcMar>
              <w:top w:w="80" w:type="dxa"/>
              <w:left w:w="440" w:type="dxa"/>
              <w:bottom w:w="80" w:type="dxa"/>
              <w:right w:w="80" w:type="dxa"/>
            </w:tcMar>
          </w:tcPr>
          <w:p w14:paraId="484892AD">
            <w:pPr>
              <w:pStyle w:val="2"/>
              <w:ind w:left="360"/>
              <w:jc w:val="left"/>
            </w:pPr>
            <w:r>
              <w:rPr>
                <w:rFonts w:ascii="Times New Roman" w:hAnsi="Times New Roman"/>
                <w:lang w:val="en-US"/>
              </w:rPr>
              <w:t>Is the language/English quality of the article suitable for scholarly communications?</w:t>
            </w:r>
          </w:p>
        </w:tc>
        <w:tc>
          <w:tcPr>
            <w:tcW w:w="935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14:paraId="59F43F49">
            <w:r>
              <w:rPr>
                <w:sz w:val="20"/>
                <w:szCs w:val="20"/>
              </w:rPr>
              <w:t>The language and the structure of the article can be improved and also there are many formulas documented with less explanation. The article can be enhanced to have better explanations with structuring the right examples.</w:t>
            </w:r>
          </w:p>
        </w:tc>
        <w:tc>
          <w:tcPr>
            <w:tcW w:w="64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14:paraId="178F2CE1">
            <w:r>
              <w:rPr>
                <w:rFonts w:hint="eastAsia"/>
              </w:rPr>
              <w:t>In this revision, we have focused on optimizing the article structure and language logic, supplemented all key formulas with notation explanations, physical meanings, and numerical examples, further enhancing the readability and reproducibility of the content, enabling readers from different backgrounds to more clearly understand the core ideas and implementation details of the two multigrid shifted-inverse algorithms. Specific modifications include: replacing the original sentence in the Introduction with a more concise expression; adding notation explanations and physical meaning after the first formula; adding explanations after the fourth formula; adding notation explanations and numerical significance after the eighth formula; adding explanations after the twenty-sixth formula; adding a transitional sentence at the end of Section 2.3 to connect discretization with the subsequent algorithm sections; and adding a transitional sentence at the beginning of Section 3.1 to link the preceding framework with the algorithm proposal.</w:t>
            </w:r>
          </w:p>
        </w:tc>
      </w:tr>
      <w:tr w14:paraId="2F5E46EB">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8" w:type="dxa"/>
            <w:bottom w:w="0" w:type="dxa"/>
            <w:right w:w="108" w:type="dxa"/>
          </w:tblCellMar>
        </w:tblPrEx>
        <w:trPr>
          <w:trHeight w:val="1018" w:hRule="atLeast"/>
        </w:trPr>
        <w:tc>
          <w:tcPr>
            <w:tcW w:w="5351"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14:paraId="0D9E4106">
            <w:pPr>
              <w:pStyle w:val="2"/>
              <w:jc w:val="left"/>
            </w:pPr>
            <w:r>
              <w:rPr>
                <w:rFonts w:ascii="Times New Roman" w:hAnsi="Times New Roman"/>
                <w:u w:val="single"/>
                <w:lang w:val="en-US"/>
              </w:rPr>
              <w:t>Optional/General</w:t>
            </w:r>
            <w:r>
              <w:rPr>
                <w:rFonts w:ascii="Times New Roman" w:hAnsi="Times New Roman"/>
                <w:lang w:val="en-US"/>
              </w:rPr>
              <w:t xml:space="preserve"> </w:t>
            </w:r>
            <w:r>
              <w:rPr>
                <w:rFonts w:ascii="Times New Roman" w:hAnsi="Times New Roman"/>
                <w:b w:val="0"/>
                <w:bCs w:val="0"/>
                <w:lang w:val="en-US"/>
              </w:rPr>
              <w:t>comments</w:t>
            </w:r>
          </w:p>
        </w:tc>
        <w:tc>
          <w:tcPr>
            <w:tcW w:w="935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14:paraId="6E9FF735"/>
        </w:tc>
        <w:tc>
          <w:tcPr>
            <w:tcW w:w="64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14:paraId="26B7945F">
            <w:r>
              <w:t>We are grateful for the reviewer’s valuable feedback, which has helped us refine the manuscript. We have addressed all suggestions to improve clarity, structure, and explanatory depth, and we believe these revisions will make the research more accessible to the scientific community. We welcome any further comments to enhance the quality of the work.</w:t>
            </w:r>
          </w:p>
        </w:tc>
      </w:tr>
    </w:tbl>
    <w:p w14:paraId="6314E8A2">
      <w:pPr>
        <w:widowControl w:val="0"/>
        <w:rPr>
          <w:b/>
          <w:bCs/>
          <w:sz w:val="20"/>
          <w:szCs w:val="20"/>
        </w:rPr>
      </w:pPr>
    </w:p>
    <w:p w14:paraId="607043CE">
      <w:pPr>
        <w:pStyle w:val="3"/>
        <w:rPr>
          <w:rFonts w:ascii="Times New Roman" w:hAnsi="Times New Roman" w:eastAsia="Times New Roman" w:cs="Times New Roman"/>
          <w:b/>
          <w:bCs/>
          <w:sz w:val="20"/>
          <w:szCs w:val="20"/>
          <w:u w:val="single"/>
          <w:lang w:val="en-US"/>
        </w:rPr>
      </w:pPr>
    </w:p>
    <w:p w14:paraId="2EF176B2">
      <w:pPr>
        <w:pStyle w:val="3"/>
        <w:rPr>
          <w:rFonts w:ascii="Times New Roman" w:hAnsi="Times New Roman" w:eastAsia="Times New Roman" w:cs="Times New Roman"/>
          <w:b/>
          <w:bCs/>
          <w:sz w:val="20"/>
          <w:szCs w:val="20"/>
          <w:u w:val="single"/>
          <w:lang w:val="en-US"/>
        </w:rPr>
      </w:pPr>
    </w:p>
    <w:p w14:paraId="646FDD64">
      <w:pPr>
        <w:pStyle w:val="3"/>
        <w:rPr>
          <w:rFonts w:ascii="Times New Roman" w:hAnsi="Times New Roman" w:eastAsia="Times New Roman" w:cs="Times New Roman"/>
          <w:b/>
          <w:bCs/>
          <w:sz w:val="20"/>
          <w:szCs w:val="20"/>
          <w:u w:val="single"/>
          <w:lang w:val="en-US"/>
        </w:rPr>
      </w:pPr>
    </w:p>
    <w:p w14:paraId="06914E13">
      <w:pPr>
        <w:pStyle w:val="3"/>
        <w:rPr>
          <w:rFonts w:ascii="Times New Roman" w:hAnsi="Times New Roman" w:eastAsia="Times New Roman" w:cs="Times New Roman"/>
          <w:b/>
          <w:bCs/>
          <w:sz w:val="20"/>
          <w:szCs w:val="20"/>
          <w:u w:val="single"/>
          <w:lang w:val="en-US"/>
        </w:rPr>
      </w:pPr>
    </w:p>
    <w:p w14:paraId="0EBF96B9">
      <w:pPr>
        <w:pStyle w:val="3"/>
        <w:rPr>
          <w:rFonts w:ascii="Times New Roman" w:hAnsi="Times New Roman" w:eastAsia="Times New Roman" w:cs="Times New Roman"/>
          <w:b/>
          <w:bCs/>
          <w:sz w:val="20"/>
          <w:szCs w:val="20"/>
          <w:u w:val="single"/>
          <w:lang w:val="en-US"/>
        </w:rPr>
      </w:pPr>
    </w:p>
    <w:p w14:paraId="06A90B9F">
      <w:pPr>
        <w:pStyle w:val="3"/>
        <w:rPr>
          <w:rFonts w:ascii="Times New Roman" w:hAnsi="Times New Roman" w:eastAsia="Times New Roman" w:cs="Times New Roman"/>
          <w:b/>
          <w:bCs/>
          <w:sz w:val="20"/>
          <w:szCs w:val="20"/>
          <w:u w:val="single"/>
          <w:lang w:val="en-US"/>
        </w:rPr>
      </w:pPr>
    </w:p>
    <w:tbl>
      <w:tblPr>
        <w:tblStyle w:val="6"/>
        <w:tblW w:w="21150" w:type="dxa"/>
        <w:tblInd w:w="108"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108" w:type="dxa"/>
          <w:bottom w:w="0" w:type="dxa"/>
          <w:right w:w="108" w:type="dxa"/>
        </w:tblCellMar>
      </w:tblPr>
      <w:tblGrid>
        <w:gridCol w:w="6831"/>
        <w:gridCol w:w="8642"/>
        <w:gridCol w:w="5677"/>
      </w:tblGrid>
      <w:tr w14:paraId="3EE2BBA8">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8" w:type="dxa"/>
            <w:bottom w:w="0" w:type="dxa"/>
            <w:right w:w="108" w:type="dxa"/>
          </w:tblCellMar>
        </w:tblPrEx>
        <w:trPr>
          <w:trHeight w:val="447" w:hRule="atLeast"/>
        </w:trPr>
        <w:tc>
          <w:tcPr>
            <w:tcW w:w="21150" w:type="dxa"/>
            <w:gridSpan w:val="3"/>
            <w:tcBorders>
              <w:top w:val="nil"/>
              <w:left w:val="nil"/>
              <w:bottom w:val="single" w:color="000000" w:sz="4" w:space="0"/>
              <w:right w:val="nil"/>
            </w:tcBorders>
            <w:shd w:val="clear" w:color="auto" w:fill="auto"/>
            <w:tcMar>
              <w:top w:w="80" w:type="dxa"/>
              <w:left w:w="80" w:type="dxa"/>
              <w:bottom w:w="80" w:type="dxa"/>
              <w:right w:w="80" w:type="dxa"/>
            </w:tcMar>
            <w:vAlign w:val="center"/>
          </w:tcPr>
          <w:p w14:paraId="1A0DC942">
            <w:pPr>
              <w:pStyle w:val="5"/>
              <w:spacing w:before="0" w:after="0"/>
            </w:pPr>
            <w:r>
              <w:rPr>
                <w:rFonts w:ascii="Times New Roman" w:hAnsi="Times New Roman"/>
                <w:b/>
                <w:bCs/>
                <w:sz w:val="20"/>
                <w:szCs w:val="20"/>
                <w:u w:val="single"/>
                <w:shd w:val="clear" w:color="auto" w:fill="FFFF00"/>
              </w:rPr>
              <w:t>PART  2:</w:t>
            </w:r>
            <w:r>
              <w:rPr>
                <w:rFonts w:ascii="Times New Roman" w:hAnsi="Times New Roman"/>
                <w:b/>
                <w:bCs/>
                <w:sz w:val="20"/>
                <w:szCs w:val="20"/>
                <w:u w:val="single"/>
              </w:rPr>
              <w:t xml:space="preserve"> </w:t>
            </w:r>
          </w:p>
        </w:tc>
      </w:tr>
      <w:tr w14:paraId="62B6AE8F">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8" w:type="dxa"/>
            <w:bottom w:w="0" w:type="dxa"/>
            <w:right w:w="108" w:type="dxa"/>
          </w:tblCellMar>
        </w:tblPrEx>
        <w:trPr>
          <w:trHeight w:val="846" w:hRule="atLeast"/>
        </w:trPr>
        <w:tc>
          <w:tcPr>
            <w:tcW w:w="6831"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6696BCFC"/>
        </w:tc>
        <w:tc>
          <w:tcPr>
            <w:tcW w:w="86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14:paraId="09383371">
            <w:pPr>
              <w:pStyle w:val="2"/>
              <w:jc w:val="left"/>
            </w:pPr>
            <w:r>
              <w:rPr>
                <w:rFonts w:ascii="Times New Roman" w:hAnsi="Times New Roman"/>
                <w:lang w:val="en-US"/>
              </w:rPr>
              <w:t>Reviewer’s comment</w:t>
            </w:r>
          </w:p>
        </w:tc>
        <w:tc>
          <w:tcPr>
            <w:tcW w:w="567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14:paraId="5CC3876D">
            <w:pPr>
              <w:spacing w:after="160" w:line="254" w:lineRule="auto"/>
            </w:pPr>
            <w:r>
              <w:rPr>
                <w:b/>
                <w:bCs/>
                <w:kern w:val="2"/>
                <w:sz w:val="20"/>
                <w:szCs w:val="20"/>
              </w:rPr>
              <w:t>Author’s Feedback</w:t>
            </w:r>
            <w:r>
              <w:rPr>
                <w:kern w:val="2"/>
                <w:sz w:val="20"/>
                <w:szCs w:val="20"/>
              </w:rPr>
              <w:t xml:space="preserve"> (It is mandatory that authors should write his/her feedback here)</w:t>
            </w:r>
          </w:p>
        </w:tc>
      </w:tr>
      <w:tr w14:paraId="5F7F1D64">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8" w:type="dxa"/>
            <w:bottom w:w="0" w:type="dxa"/>
            <w:right w:w="108" w:type="dxa"/>
          </w:tblCellMar>
        </w:tblPrEx>
        <w:trPr>
          <w:trHeight w:val="882" w:hRule="atLeast"/>
        </w:trPr>
        <w:tc>
          <w:tcPr>
            <w:tcW w:w="6831"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6598B90A">
            <w:pPr>
              <w:pStyle w:val="5"/>
              <w:spacing w:before="0" w:after="0"/>
            </w:pPr>
            <w:r>
              <w:rPr>
                <w:rFonts w:ascii="Times New Roman" w:hAnsi="Times New Roman"/>
                <w:b/>
                <w:bCs/>
                <w:sz w:val="20"/>
                <w:szCs w:val="20"/>
              </w:rPr>
              <w:t xml:space="preserve">Are there ethical issues in this manuscript? </w:t>
            </w:r>
          </w:p>
        </w:tc>
        <w:tc>
          <w:tcPr>
            <w:tcW w:w="86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FD9625A">
            <w:pPr>
              <w:pStyle w:val="5"/>
              <w:spacing w:before="0" w:after="0"/>
              <w:rPr>
                <w:rFonts w:ascii="Times New Roman" w:hAnsi="Times New Roman" w:eastAsia="Times New Roman" w:cs="Times New Roman"/>
                <w:i/>
                <w:iCs/>
                <w:sz w:val="20"/>
                <w:szCs w:val="20"/>
                <w:u w:val="single"/>
              </w:rPr>
            </w:pPr>
            <w:r>
              <w:rPr>
                <w:rFonts w:ascii="Times New Roman" w:hAnsi="Times New Roman"/>
                <w:i/>
                <w:iCs/>
                <w:sz w:val="20"/>
                <w:szCs w:val="20"/>
                <w:u w:val="single"/>
              </w:rPr>
              <w:t>No</w:t>
            </w:r>
          </w:p>
          <w:p w14:paraId="4662FCC5">
            <w:pPr>
              <w:pStyle w:val="5"/>
              <w:spacing w:before="0" w:after="0"/>
            </w:pPr>
          </w:p>
        </w:tc>
        <w:tc>
          <w:tcPr>
            <w:tcW w:w="567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479EBA0">
            <w:pPr>
              <w:rPr>
                <w:sz w:val="20"/>
                <w:szCs w:val="20"/>
              </w:rPr>
            </w:pPr>
            <w:r>
              <w:rPr>
                <w:sz w:val="20"/>
                <w:szCs w:val="20"/>
              </w:rPr>
              <w:t>We agree with the reviewer that there are no ethical issues in this manuscript. This study is a purely theoretical and computational research focusing on mathematical algorithms for periodic boundary eigenvalue problems. It does not involve human subjects, sensitive data, animal testing, potential conflicts of interest, or any other content that may raise ethical concerns. All research activities comply with the ethical guidelines of scholarly publishing.</w:t>
            </w:r>
            <w:bookmarkStart w:id="1" w:name="_GoBack"/>
            <w:bookmarkEnd w:id="1"/>
          </w:p>
          <w:p w14:paraId="72174CEB">
            <w:pPr>
              <w:rPr>
                <w:sz w:val="20"/>
                <w:szCs w:val="20"/>
              </w:rPr>
            </w:pPr>
          </w:p>
          <w:p w14:paraId="789260EB"/>
        </w:tc>
      </w:tr>
      <w:bookmarkEnd w:id="0"/>
    </w:tbl>
    <w:p w14:paraId="09EEF21E">
      <w:pPr>
        <w:pStyle w:val="3"/>
        <w:outlineLvl w:val="0"/>
      </w:pPr>
    </w:p>
    <w:sectPr>
      <w:headerReference r:id="rId3" w:type="default"/>
      <w:footerReference r:id="rId4" w:type="default"/>
      <w:pgSz w:w="23820" w:h="16840" w:orient="landscape"/>
      <w:pgMar w:top="1440" w:right="1440"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altName w:val="Kingsoft 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Unicode MS">
    <w:altName w:val="宋体"/>
    <w:panose1 w:val="020B0604020202020204"/>
    <w:charset w:val="86"/>
    <w:family w:val="roma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Kingsoft Symbol">
    <w:panose1 w:val="0500010001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5F0FB1">
    <w:pPr>
      <w:pStyle w:val="4"/>
    </w:pPr>
    <w:r>
      <w:rPr>
        <w:sz w:val="16"/>
        <w:szCs w:val="16"/>
      </w:rPr>
      <w:t>Created by: DR</w:t>
    </w:r>
    <w:r>
      <w:rPr>
        <w:sz w:val="16"/>
        <w:szCs w:val="16"/>
      </w:rPr>
      <w:tab/>
    </w:r>
    <w:r>
      <w:rPr>
        <w:sz w:val="16"/>
        <w:szCs w:val="16"/>
      </w:rPr>
      <w:t xml:space="preserve">              Checked by: PM                                           Approved by: MBM</w:t>
    </w:r>
    <w:r>
      <w:rPr>
        <w:sz w:val="16"/>
        <w:szCs w:val="16"/>
      </w:rPr>
      <w:tab/>
    </w:r>
    <w:r>
      <w:rPr>
        <w:sz w:val="16"/>
        <w:szCs w:val="16"/>
      </w:rPr>
      <w:t xml:space="preserve">   </w:t>
    </w:r>
    <w:r>
      <w:rPr>
        <w:sz w:val="16"/>
        <w:szCs w:val="16"/>
      </w:rPr>
      <w:tab/>
    </w:r>
    <w:r>
      <w:rPr>
        <w:sz w:val="16"/>
        <w:szCs w:val="16"/>
      </w:rPr>
      <w:t>Version: 3 (07-07-2024)</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BF8A0A">
    <w:pPr>
      <w:spacing w:before="100" w:after="100"/>
      <w:jc w:val="center"/>
      <w:rPr>
        <w:rFonts w:ascii="Arial" w:hAnsi="Arial"/>
        <w:b/>
        <w:bCs/>
        <w:color w:val="003399"/>
        <w:u w:val="single" w:color="003399"/>
      </w:rPr>
    </w:pPr>
  </w:p>
  <w:p w14:paraId="13EED2CA">
    <w:pPr>
      <w:spacing w:before="100" w:after="100"/>
    </w:pPr>
    <w:r>
      <w:rPr>
        <w:rFonts w:ascii="Arial" w:hAnsi="Arial"/>
        <w:b/>
        <w:bCs/>
        <w:color w:val="003399"/>
        <w:u w:val="single" w:color="003399"/>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8C474E1"/>
    <w:rsid w:val="231B2C9B"/>
    <w:rsid w:val="272A101D"/>
    <w:rsid w:val="6E43083D"/>
    <w:rsid w:val="767127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pBdr>
        <w:top w:val="none" w:color="auto" w:sz="0" w:space="0"/>
        <w:left w:val="none" w:color="auto" w:sz="0" w:space="0"/>
        <w:bottom w:val="none" w:color="auto" w:sz="0" w:space="0"/>
        <w:right w:val="none" w:color="auto" w:sz="0" w:space="0"/>
        <w:between w:val="none" w:color="auto" w:sz="0" w:space="0"/>
      </w:pBdr>
    </w:pPr>
    <w:rPr>
      <w:rFonts w:ascii="Times New Roman" w:hAnsi="Times New Roman" w:eastAsia="Arial Unicode MS" w:cs="Arial Unicode MS"/>
      <w:color w:val="000000"/>
      <w:sz w:val="24"/>
      <w:szCs w:val="24"/>
      <w:u w:color="000000"/>
      <w:lang w:val="en-US" w:eastAsia="en-US" w:bidi="ar-SA"/>
    </w:rPr>
  </w:style>
  <w:style w:type="paragraph" w:styleId="2">
    <w:name w:val="heading 2"/>
    <w:next w:val="1"/>
    <w:unhideWhenUsed/>
    <w:qFormat/>
    <w:uiPriority w:val="9"/>
    <w:pPr>
      <w:keepNext/>
      <w:pBdr>
        <w:top w:val="none" w:color="auto" w:sz="0" w:space="0"/>
        <w:left w:val="none" w:color="auto" w:sz="0" w:space="0"/>
        <w:bottom w:val="none" w:color="auto" w:sz="0" w:space="0"/>
        <w:right w:val="none" w:color="auto" w:sz="0" w:space="0"/>
        <w:between w:val="none" w:color="auto" w:sz="0" w:space="0"/>
      </w:pBdr>
      <w:jc w:val="both"/>
      <w:outlineLvl w:val="1"/>
    </w:pPr>
    <w:rPr>
      <w:rFonts w:ascii="Helvetica" w:hAnsi="Helvetica" w:eastAsia="Arial Unicode MS" w:cs="Arial Unicode MS"/>
      <w:b/>
      <w:bCs/>
      <w:color w:val="000000"/>
      <w:u w:color="000000"/>
      <w:lang w:val="fr-FR" w:eastAsia="en-US"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ody Text"/>
    <w:qFormat/>
    <w:uiPriority w:val="0"/>
    <w:pPr>
      <w:pBdr>
        <w:top w:val="none" w:color="auto" w:sz="0" w:space="0"/>
        <w:left w:val="none" w:color="auto" w:sz="0" w:space="0"/>
        <w:bottom w:val="none" w:color="auto" w:sz="0" w:space="0"/>
        <w:right w:val="none" w:color="auto" w:sz="0" w:space="0"/>
        <w:between w:val="none" w:color="auto" w:sz="0" w:space="0"/>
      </w:pBdr>
      <w:jc w:val="both"/>
    </w:pPr>
    <w:rPr>
      <w:rFonts w:ascii="Helvetica" w:hAnsi="Helvetica" w:eastAsia="Arial Unicode MS" w:cs="Arial Unicode MS"/>
      <w:color w:val="000000"/>
      <w:sz w:val="24"/>
      <w:szCs w:val="24"/>
      <w:u w:color="000000"/>
      <w:lang w:val="fr-FR" w:eastAsia="en-US" w:bidi="ar-SA"/>
    </w:rPr>
  </w:style>
  <w:style w:type="paragraph" w:styleId="4">
    <w:name w:val="footer"/>
    <w:qFormat/>
    <w:uiPriority w:val="0"/>
    <w:pPr>
      <w:pBdr>
        <w:top w:val="none" w:color="auto" w:sz="0" w:space="0"/>
        <w:left w:val="none" w:color="auto" w:sz="0" w:space="0"/>
        <w:bottom w:val="none" w:color="auto" w:sz="0" w:space="0"/>
        <w:right w:val="none" w:color="auto" w:sz="0" w:space="0"/>
        <w:between w:val="none" w:color="auto" w:sz="0" w:space="0"/>
      </w:pBdr>
      <w:tabs>
        <w:tab w:val="center" w:pos="4513"/>
        <w:tab w:val="right" w:pos="9026"/>
      </w:tabs>
    </w:pPr>
    <w:rPr>
      <w:rFonts w:ascii="Times New Roman" w:hAnsi="Times New Roman" w:eastAsia="Arial Unicode MS" w:cs="Arial Unicode MS"/>
      <w:color w:val="000000"/>
      <w:sz w:val="24"/>
      <w:szCs w:val="24"/>
      <w:u w:color="000000"/>
      <w:lang w:val="en-US" w:eastAsia="en-US" w:bidi="ar-SA"/>
    </w:rPr>
  </w:style>
  <w:style w:type="paragraph" w:styleId="5">
    <w:name w:val="Normal (Web)"/>
    <w:qFormat/>
    <w:uiPriority w:val="0"/>
    <w:pPr>
      <w:pBdr>
        <w:top w:val="none" w:color="auto" w:sz="0" w:space="0"/>
        <w:left w:val="none" w:color="auto" w:sz="0" w:space="0"/>
        <w:bottom w:val="none" w:color="auto" w:sz="0" w:space="0"/>
        <w:right w:val="none" w:color="auto" w:sz="0" w:space="0"/>
        <w:between w:val="none" w:color="auto" w:sz="0" w:space="0"/>
      </w:pBdr>
      <w:spacing w:before="100" w:after="100"/>
    </w:pPr>
    <w:rPr>
      <w:rFonts w:ascii="Arial Unicode MS" w:hAnsi="Arial Unicode MS" w:eastAsia="Arial Unicode MS" w:cs="Arial Unicode MS"/>
      <w:color w:val="000000"/>
      <w:sz w:val="24"/>
      <w:szCs w:val="24"/>
      <w:u w:color="000000"/>
      <w:lang w:val="en-US" w:eastAsia="en-US" w:bidi="ar-SA"/>
    </w:rPr>
  </w:style>
  <w:style w:type="character" w:styleId="8">
    <w:name w:val="Hyperlink"/>
    <w:qFormat/>
    <w:uiPriority w:val="0"/>
    <w:rPr>
      <w:u w:val="single"/>
    </w:rPr>
  </w:style>
  <w:style w:type="character" w:customStyle="1" w:styleId="9">
    <w:name w:val="Link"/>
    <w:qFormat/>
    <w:uiPriority w:val="0"/>
    <w:rPr>
      <w:color w:val="0000FF"/>
      <w:u w:val="single" w:color="0000FF"/>
    </w:rPr>
  </w:style>
  <w:style w:type="character" w:customStyle="1" w:styleId="10">
    <w:name w:val="Hyperlink.0"/>
    <w:basedOn w:val="9"/>
    <w:qFormat/>
    <w:uiPriority w:val="0"/>
    <w:rPr>
      <w:color w:val="0000FF"/>
      <w:u w:val="single" w:color="0000FF"/>
      <w:lang w:val="en-US"/>
    </w:rPr>
  </w:style>
  <w:style w:type="character" w:customStyle="1" w:styleId="11">
    <w:name w:val="Hyperlink.1"/>
    <w:basedOn w:val="9"/>
    <w:qFormat/>
    <w:uiPriority w:val="0"/>
    <w:rPr>
      <w:rFonts w:ascii="Times New Roman" w:hAnsi="Times New Roman" w:eastAsia="Times New Roman" w:cs="Times New Roman"/>
      <w:color w:val="0000FF"/>
      <w:sz w:val="20"/>
      <w:szCs w:val="20"/>
      <w:u w:val="single" w:color="0000FF"/>
      <w:lang w:val="en-US"/>
    </w:rPr>
  </w:style>
  <w:style w:type="character" w:customStyle="1" w:styleId="12">
    <w:name w:val="Hyperlink.2"/>
    <w:basedOn w:val="9"/>
    <w:qFormat/>
    <w:uiPriority w:val="0"/>
    <w:rPr>
      <w:color w:val="0000FF"/>
      <w:sz w:val="20"/>
      <w:szCs w:val="20"/>
      <w:u w:val="single" w:color="0000FF"/>
      <w:shd w:val="clear" w:color="auto" w:fill="FFFFFF"/>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spPr>
      <a:bodyPr rot="0" spcFirstLastPara="1" vertOverflow="overflow" horzOverflow="overflow" vert="horz" wrap="square" lIns="0" tIns="0" rIns="0" bIns="0" numCol="1" spcCol="38100" rtlCol="0" anchor="t">
        <a:spAutoFit/>
      </a:body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Pr>
      <a:bodyPr rot="0" spcFirstLastPara="1" vertOverflow="overflow" horzOverflow="overflow" vert="horz" wrap="square" lIns="91439" tIns="45719" rIns="91439" bIns="45719" numCol="1" spcCol="38100" rtlCol="0" anchor="t">
        <a:noAutofit/>
      </a:bodyPr>
      <a:lstStyle/>
      <a:style>
        <a:lnRef idx="0">
          <a:scrgbClr r="0" g="0" b="0"/>
        </a:lnRef>
        <a:fillRef idx="0">
          <a:scrgbClr r="0" g="0" b="0"/>
        </a:fillRef>
        <a:effectRef idx="0">
          <a:scrgbClr r="0" g="0" b="0"/>
        </a:effectRef>
        <a:fontRef idx="none"/>
      </a:style>
    </a:lnDef>
    <a:txDef>
      <a:spPr>
        <a:noFill/>
        <a:ln w="12700" cap="flat">
          <a:noFill/>
          <a:miter lim="400000"/>
        </a:ln>
      </a:spPr>
      <a:bodyPr rot="0" spcFirstLastPara="1" vertOverflow="overflow" horzOverflow="overflow" vert="horz" wrap="square" lIns="0" tIns="0" rIns="0" bIns="0" numCol="1" spcCol="38100" rtlCol="0" anchor="t">
        <a:spAutoFit/>
      </a:bodyPr>
      <a:lstStyle/>
      <a:style>
        <a:lnRef idx="0">
          <a:scrgbClr r="0" g="0" b="0"/>
        </a:lnRef>
        <a:fillRef idx="0">
          <a:scrgbClr r="0" g="0" b="0"/>
        </a:fillRef>
        <a:effectRef idx="0">
          <a:scrgbClr r="0" g="0" b="0"/>
        </a:effectRef>
        <a:fontRef idx="none"/>
      </a:style>
    </a:txDef>
  </a:objectDefaults>
</a:theme>
</file>

<file path=docProps/app.xml><?xml version="1.0" encoding="utf-8"?>
<Properties xmlns="http://schemas.openxmlformats.org/officeDocument/2006/extended-properties" xmlns:vt="http://schemas.openxmlformats.org/officeDocument/2006/docPropsVTypes">
  <Template>Normal</Template>
  <Pages>3</Pages>
  <Words>238</Words>
  <Characters>1376</Characters>
  <Lines>12</Lines>
  <Paragraphs>3</Paragraphs>
  <TotalTime>9</TotalTime>
  <ScaleCrop>false</ScaleCrop>
  <LinksUpToDate>false</LinksUpToDate>
  <CharactersWithSpaces>1591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2026-03-20T07:04:00Z</dcterms:created>
  <dc:creator>Administrator</dc:creator>
  <cp:lastModifiedBy>高玉香</cp:lastModifiedBy>
  <dcterms:modified xsi:type="dcterms:W3CDTF">2026-03-22T13:01:20Z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1694BDAEAE3E4F068847BA496B247C08_13</vt:lpwstr>
  </property>
  <property fmtid="{D5CDD505-2E9C-101B-9397-08002B2CF9AE}" pid="4" name="KSOTemplateDocerSaveRecord">
    <vt:lpwstr>eyJoZGlkIjoiZjU0YjViZWY4NTkyMTdjMjRkNjEzNjMxMTQzYjk0NDgiLCJ1c2VySWQiOiIxNTk4MjQ5NDU0In0=</vt:lpwstr>
  </property>
</Properties>
</file>