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71D8A7C" w14:textId="77777777" w:rsidTr="002643B3">
        <w:trPr>
          <w:trHeight w:val="290"/>
        </w:trPr>
        <w:tc>
          <w:tcPr>
            <w:tcW w:w="5000" w:type="pct"/>
            <w:gridSpan w:val="2"/>
            <w:tcBorders>
              <w:top w:val="nil"/>
              <w:left w:val="nil"/>
              <w:right w:val="nil"/>
            </w:tcBorders>
          </w:tcPr>
          <w:p w14:paraId="1D404ED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7D7C0CE" w14:textId="77777777" w:rsidTr="002643B3">
        <w:trPr>
          <w:trHeight w:val="290"/>
        </w:trPr>
        <w:tc>
          <w:tcPr>
            <w:tcW w:w="1234" w:type="pct"/>
          </w:tcPr>
          <w:p w14:paraId="5356A4F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E03837A" w14:textId="77777777" w:rsidR="0000007A" w:rsidRPr="00E65EB7" w:rsidRDefault="00BD028E" w:rsidP="00E65EB7">
            <w:pPr>
              <w:rPr>
                <w:rFonts w:ascii="Arial" w:hAnsi="Arial" w:cs="Arial"/>
                <w:b/>
                <w:bCs/>
                <w:color w:val="0000FF"/>
                <w:sz w:val="20"/>
                <w:szCs w:val="20"/>
              </w:rPr>
            </w:pPr>
            <w:hyperlink r:id="rId8" w:history="1">
              <w:r w:rsidR="00C63A93" w:rsidRPr="0068165E">
                <w:rPr>
                  <w:rStyle w:val="Hyperlink"/>
                  <w:rFonts w:ascii="Arial" w:hAnsi="Arial" w:cs="Arial"/>
                  <w:b/>
                  <w:bCs/>
                  <w:sz w:val="20"/>
                  <w:szCs w:val="20"/>
                </w:rPr>
                <w:t xml:space="preserve">Asian Journal of </w:t>
              </w:r>
              <w:proofErr w:type="spellStart"/>
              <w:r w:rsidR="00C63A93" w:rsidRPr="0068165E">
                <w:rPr>
                  <w:rStyle w:val="Hyperlink"/>
                  <w:rFonts w:ascii="Arial" w:hAnsi="Arial" w:cs="Arial"/>
                  <w:b/>
                  <w:bCs/>
                  <w:sz w:val="20"/>
                  <w:szCs w:val="20"/>
                </w:rPr>
                <w:t>Orthopaedic</w:t>
              </w:r>
              <w:proofErr w:type="spellEnd"/>
              <w:r w:rsidR="00C63A93" w:rsidRPr="0068165E">
                <w:rPr>
                  <w:rStyle w:val="Hyperlink"/>
                  <w:rFonts w:ascii="Arial" w:hAnsi="Arial" w:cs="Arial"/>
                  <w:b/>
                  <w:bCs/>
                  <w:sz w:val="20"/>
                  <w:szCs w:val="20"/>
                </w:rPr>
                <w:t xml:space="preserve"> Research</w:t>
              </w:r>
            </w:hyperlink>
            <w:r w:rsidR="00C63A93" w:rsidRPr="00C63A93">
              <w:rPr>
                <w:rFonts w:ascii="Arial" w:hAnsi="Arial" w:cs="Arial"/>
                <w:b/>
                <w:bCs/>
                <w:color w:val="0000FF"/>
                <w:sz w:val="20"/>
                <w:szCs w:val="20"/>
              </w:rPr>
              <w:t xml:space="preserve"> </w:t>
            </w:r>
          </w:p>
        </w:tc>
      </w:tr>
      <w:tr w:rsidR="0000007A" w:rsidRPr="00F245A7" w14:paraId="7F3ED614" w14:textId="77777777" w:rsidTr="002643B3">
        <w:trPr>
          <w:trHeight w:val="290"/>
        </w:trPr>
        <w:tc>
          <w:tcPr>
            <w:tcW w:w="1234" w:type="pct"/>
          </w:tcPr>
          <w:p w14:paraId="1B0C5E6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48D63EA" w14:textId="77777777" w:rsidR="0000007A" w:rsidRPr="00F245A7" w:rsidRDefault="005E2CE3" w:rsidP="00F3669D">
            <w:pPr>
              <w:pStyle w:val="NormalWeb"/>
              <w:spacing w:before="0" w:beforeAutospacing="0" w:after="0" w:afterAutospacing="0"/>
              <w:rPr>
                <w:rFonts w:ascii="Arial" w:hAnsi="Arial" w:cs="Arial"/>
                <w:b/>
                <w:bCs/>
                <w:sz w:val="20"/>
                <w:szCs w:val="28"/>
                <w:lang w:val="en-GB"/>
              </w:rPr>
            </w:pPr>
            <w:r w:rsidRPr="005E2CE3">
              <w:rPr>
                <w:rFonts w:ascii="Arial" w:hAnsi="Arial" w:cs="Arial"/>
                <w:b/>
                <w:bCs/>
                <w:sz w:val="20"/>
                <w:szCs w:val="28"/>
                <w:lang w:val="en-GB"/>
              </w:rPr>
              <w:t>Ms_AJORR_154529</w:t>
            </w:r>
          </w:p>
        </w:tc>
      </w:tr>
      <w:tr w:rsidR="0000007A" w:rsidRPr="00F245A7" w14:paraId="3EE9DCE0" w14:textId="77777777" w:rsidTr="002643B3">
        <w:trPr>
          <w:trHeight w:val="650"/>
        </w:trPr>
        <w:tc>
          <w:tcPr>
            <w:tcW w:w="1234" w:type="pct"/>
          </w:tcPr>
          <w:p w14:paraId="28A7C7C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7A9247E" w14:textId="77777777" w:rsidR="0000007A" w:rsidRPr="00F245A7" w:rsidRDefault="005E2CE3" w:rsidP="000450FC">
            <w:pPr>
              <w:pStyle w:val="NormalWeb"/>
              <w:spacing w:before="0" w:beforeAutospacing="0" w:after="0" w:afterAutospacing="0"/>
              <w:rPr>
                <w:rFonts w:ascii="Arial" w:hAnsi="Arial" w:cs="Arial"/>
                <w:b/>
                <w:sz w:val="20"/>
                <w:szCs w:val="28"/>
                <w:lang w:val="en-GB"/>
              </w:rPr>
            </w:pPr>
            <w:r w:rsidRPr="005E2CE3">
              <w:rPr>
                <w:rFonts w:ascii="Arial" w:hAnsi="Arial" w:cs="Arial"/>
                <w:b/>
                <w:sz w:val="20"/>
                <w:szCs w:val="28"/>
                <w:lang w:val="en-GB"/>
              </w:rPr>
              <w:t xml:space="preserve">Alkaline Phosphatase, Lactate Dehydrogenase, and IL-1β Expression as Risk Factors for Metastatic Bone Disease in Breast Cancer Patients at Prof. </w:t>
            </w:r>
            <w:proofErr w:type="spellStart"/>
            <w:r w:rsidRPr="005E2CE3">
              <w:rPr>
                <w:rFonts w:ascii="Arial" w:hAnsi="Arial" w:cs="Arial"/>
                <w:b/>
                <w:sz w:val="20"/>
                <w:szCs w:val="28"/>
                <w:lang w:val="en-GB"/>
              </w:rPr>
              <w:t>Dr.</w:t>
            </w:r>
            <w:proofErr w:type="spellEnd"/>
            <w:r w:rsidRPr="005E2CE3">
              <w:rPr>
                <w:rFonts w:ascii="Arial" w:hAnsi="Arial" w:cs="Arial"/>
                <w:b/>
                <w:sz w:val="20"/>
                <w:szCs w:val="28"/>
                <w:lang w:val="en-GB"/>
              </w:rPr>
              <w:t xml:space="preserve"> I.G.N.G </w:t>
            </w:r>
            <w:proofErr w:type="spellStart"/>
            <w:r w:rsidRPr="005E2CE3">
              <w:rPr>
                <w:rFonts w:ascii="Arial" w:hAnsi="Arial" w:cs="Arial"/>
                <w:b/>
                <w:sz w:val="20"/>
                <w:szCs w:val="28"/>
                <w:lang w:val="en-GB"/>
              </w:rPr>
              <w:t>Ngoerah</w:t>
            </w:r>
            <w:proofErr w:type="spellEnd"/>
            <w:r w:rsidRPr="005E2CE3">
              <w:rPr>
                <w:rFonts w:ascii="Arial" w:hAnsi="Arial" w:cs="Arial"/>
                <w:b/>
                <w:sz w:val="20"/>
                <w:szCs w:val="28"/>
                <w:lang w:val="en-GB"/>
              </w:rPr>
              <w:t xml:space="preserve"> General Hospital</w:t>
            </w:r>
          </w:p>
        </w:tc>
      </w:tr>
      <w:tr w:rsidR="00CF0BBB" w:rsidRPr="00F245A7" w14:paraId="7D1B658E" w14:textId="77777777" w:rsidTr="002643B3">
        <w:trPr>
          <w:trHeight w:val="332"/>
        </w:trPr>
        <w:tc>
          <w:tcPr>
            <w:tcW w:w="1234" w:type="pct"/>
          </w:tcPr>
          <w:p w14:paraId="2CCB54D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F81AECB" w14:textId="77777777" w:rsidR="00CF0BBB" w:rsidRPr="00F245A7" w:rsidRDefault="005E2CE3" w:rsidP="000450FC">
            <w:pPr>
              <w:pStyle w:val="NormalWeb"/>
              <w:spacing w:before="0" w:beforeAutospacing="0" w:after="0" w:afterAutospacing="0"/>
              <w:rPr>
                <w:rFonts w:ascii="Arial" w:hAnsi="Arial" w:cs="Arial"/>
                <w:b/>
                <w:sz w:val="20"/>
                <w:szCs w:val="28"/>
                <w:lang w:val="en-GB"/>
              </w:rPr>
            </w:pPr>
            <w:r w:rsidRPr="005E2CE3">
              <w:rPr>
                <w:rFonts w:ascii="Arial" w:hAnsi="Arial" w:cs="Arial"/>
                <w:b/>
                <w:sz w:val="20"/>
                <w:szCs w:val="28"/>
                <w:lang w:val="en-GB"/>
              </w:rPr>
              <w:t>Original Research Article</w:t>
            </w:r>
          </w:p>
        </w:tc>
      </w:tr>
    </w:tbl>
    <w:p w14:paraId="1F13E130" w14:textId="77777777" w:rsidR="00037D52" w:rsidRPr="00F245A7" w:rsidRDefault="00037D52" w:rsidP="0000007A">
      <w:pPr>
        <w:pStyle w:val="BodyText"/>
        <w:rPr>
          <w:rFonts w:ascii="Arial" w:hAnsi="Arial" w:cs="Arial"/>
          <w:b/>
          <w:bCs/>
          <w:sz w:val="20"/>
          <w:szCs w:val="20"/>
          <w:u w:val="single"/>
          <w:lang w:val="en-GB"/>
        </w:rPr>
      </w:pPr>
    </w:p>
    <w:p w14:paraId="1B054C7C" w14:textId="43107D9F" w:rsidR="00436C5B" w:rsidRPr="00900E9B" w:rsidRDefault="00436C5B" w:rsidP="00436C5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6C5B" w:rsidRPr="00900E9B" w14:paraId="4D6FE926" w14:textId="77777777">
        <w:tc>
          <w:tcPr>
            <w:tcW w:w="5000" w:type="pct"/>
            <w:gridSpan w:val="3"/>
            <w:tcBorders>
              <w:top w:val="nil"/>
              <w:left w:val="nil"/>
              <w:right w:val="nil"/>
            </w:tcBorders>
            <w:noWrap/>
          </w:tcPr>
          <w:p w14:paraId="35540352" w14:textId="77777777" w:rsidR="00436C5B" w:rsidRPr="00900E9B" w:rsidRDefault="00436C5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3102532" w14:textId="77777777" w:rsidR="00436C5B" w:rsidRPr="00900E9B" w:rsidRDefault="00436C5B">
            <w:pPr>
              <w:rPr>
                <w:sz w:val="20"/>
                <w:szCs w:val="20"/>
                <w:lang w:val="en-GB"/>
              </w:rPr>
            </w:pPr>
          </w:p>
        </w:tc>
      </w:tr>
      <w:tr w:rsidR="00436C5B" w:rsidRPr="00900E9B" w14:paraId="177A7B98" w14:textId="77777777">
        <w:tc>
          <w:tcPr>
            <w:tcW w:w="1265" w:type="pct"/>
            <w:noWrap/>
          </w:tcPr>
          <w:p w14:paraId="5950258E" w14:textId="77777777" w:rsidR="00436C5B" w:rsidRPr="00900E9B" w:rsidRDefault="00436C5B">
            <w:pPr>
              <w:pStyle w:val="Heading2"/>
              <w:jc w:val="left"/>
              <w:rPr>
                <w:rFonts w:ascii="Times New Roman" w:hAnsi="Times New Roman"/>
                <w:lang w:val="en-GB"/>
              </w:rPr>
            </w:pPr>
          </w:p>
        </w:tc>
        <w:tc>
          <w:tcPr>
            <w:tcW w:w="2212" w:type="pct"/>
          </w:tcPr>
          <w:p w14:paraId="72BD8EC0" w14:textId="77777777" w:rsidR="00436C5B" w:rsidRDefault="00436C5B">
            <w:pPr>
              <w:pStyle w:val="Heading2"/>
              <w:jc w:val="left"/>
              <w:rPr>
                <w:rFonts w:ascii="Times New Roman" w:hAnsi="Times New Roman"/>
                <w:lang w:val="en-GB"/>
              </w:rPr>
            </w:pPr>
            <w:r w:rsidRPr="00900E9B">
              <w:rPr>
                <w:rFonts w:ascii="Times New Roman" w:hAnsi="Times New Roman"/>
                <w:lang w:val="en-GB"/>
              </w:rPr>
              <w:t>Reviewer’s comment</w:t>
            </w:r>
          </w:p>
          <w:p w14:paraId="6D1A579B" w14:textId="77777777" w:rsidR="00222959" w:rsidRDefault="00222959" w:rsidP="00222959">
            <w:pPr>
              <w:rPr>
                <w:b/>
                <w:bCs/>
                <w:sz w:val="20"/>
                <w:szCs w:val="20"/>
              </w:rPr>
            </w:pPr>
          </w:p>
          <w:p w14:paraId="269FB8E4" w14:textId="77777777" w:rsidR="00222959" w:rsidRPr="00222959" w:rsidRDefault="00222959" w:rsidP="00222959">
            <w:pPr>
              <w:rPr>
                <w:lang w:val="en-GB"/>
              </w:rPr>
            </w:pPr>
          </w:p>
        </w:tc>
        <w:tc>
          <w:tcPr>
            <w:tcW w:w="1523" w:type="pct"/>
          </w:tcPr>
          <w:p w14:paraId="5884C5BD" w14:textId="77777777" w:rsidR="008018D9" w:rsidRDefault="008018D9" w:rsidP="008018D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A2C55D" w14:textId="77777777" w:rsidR="00436C5B" w:rsidRPr="00900E9B" w:rsidRDefault="00436C5B">
            <w:pPr>
              <w:pStyle w:val="Heading2"/>
              <w:jc w:val="left"/>
              <w:rPr>
                <w:rFonts w:ascii="Times New Roman" w:hAnsi="Times New Roman"/>
                <w:b w:val="0"/>
                <w:lang w:val="en-GB"/>
              </w:rPr>
            </w:pPr>
          </w:p>
        </w:tc>
      </w:tr>
      <w:tr w:rsidR="00436C5B" w:rsidRPr="00900E9B" w14:paraId="499868BD" w14:textId="77777777">
        <w:trPr>
          <w:trHeight w:val="1264"/>
        </w:trPr>
        <w:tc>
          <w:tcPr>
            <w:tcW w:w="1265" w:type="pct"/>
            <w:noWrap/>
          </w:tcPr>
          <w:p w14:paraId="50E444F8" w14:textId="77777777" w:rsidR="00436C5B" w:rsidRPr="00900E9B" w:rsidRDefault="00436C5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036B442" w14:textId="77777777" w:rsidR="00436C5B" w:rsidRPr="00900E9B" w:rsidRDefault="00436C5B">
            <w:pPr>
              <w:ind w:left="360"/>
              <w:rPr>
                <w:rFonts w:eastAsia="MS Mincho"/>
                <w:b/>
                <w:bCs/>
                <w:sz w:val="20"/>
                <w:szCs w:val="20"/>
                <w:lang w:val="en-GB"/>
              </w:rPr>
            </w:pPr>
          </w:p>
        </w:tc>
        <w:tc>
          <w:tcPr>
            <w:tcW w:w="2212" w:type="pct"/>
          </w:tcPr>
          <w:p w14:paraId="2DAE43D6" w14:textId="77777777" w:rsidR="00436C5B" w:rsidRPr="00900E9B" w:rsidRDefault="00CA3E35">
            <w:pPr>
              <w:pStyle w:val="ListParagraph"/>
              <w:ind w:left="0"/>
              <w:rPr>
                <w:b/>
                <w:bCs/>
                <w:sz w:val="20"/>
                <w:szCs w:val="20"/>
                <w:lang w:val="en-GB"/>
              </w:rPr>
            </w:pPr>
            <w:r w:rsidRPr="00CA3E35">
              <w:rPr>
                <w:b/>
                <w:bCs/>
                <w:sz w:val="20"/>
                <w:szCs w:val="20"/>
              </w:rPr>
              <w:t xml:space="preserve">This manuscript provides important insights into the role of biochemical and inflammatory biomarkers in predicting metastatic bone disease in breast cancer patients. By evaluating alkaline phosphatase (ALP), lactate dehydrogenase (LDH), and IL-1β expression together, the study highlights a potential </w:t>
            </w:r>
            <w:proofErr w:type="spellStart"/>
            <w:r w:rsidRPr="00CA3E35">
              <w:rPr>
                <w:b/>
                <w:bCs/>
                <w:sz w:val="20"/>
                <w:szCs w:val="20"/>
              </w:rPr>
              <w:t>multimarker</w:t>
            </w:r>
            <w:proofErr w:type="spellEnd"/>
            <w:r w:rsidRPr="00CA3E35">
              <w:rPr>
                <w:b/>
                <w:bCs/>
                <w:sz w:val="20"/>
                <w:szCs w:val="20"/>
              </w:rPr>
              <w:t xml:space="preserve"> approach for early identification of patients at higher risk of bone metastasis. The findings contribute to the growing body of evidence supporting the use of accessible laboratory biomarkers for improving clinical decision-making and patient stratification. Ultimately, this research may help clinicians implement earlier monitoring and timely interventions, thereby reducing skeletal complications and improving the quality of life in breast cancer patients.</w:t>
            </w:r>
          </w:p>
        </w:tc>
        <w:tc>
          <w:tcPr>
            <w:tcW w:w="1523" w:type="pct"/>
          </w:tcPr>
          <w:p w14:paraId="116D25E3" w14:textId="77777777" w:rsidR="008C6A20" w:rsidRDefault="008C6A20" w:rsidP="008C6A20">
            <w:r>
              <w:t xml:space="preserve">We sincerely appreciate the reviewer's positive recognition of the significance and clinical relevance of our study. Indeed, our primary aim was to evaluate a </w:t>
            </w:r>
            <w:proofErr w:type="spellStart"/>
            <w:r>
              <w:t>multimarker</w:t>
            </w:r>
            <w:proofErr w:type="spellEnd"/>
            <w:r>
              <w:t xml:space="preserve"> approach combining ALP, LDH, and IL-1β expression to identify breast cancer patients at higher risk of developing metastatic bone disease (MBD). We believe that accessible laboratory biomarkers, when used in combination, have the potential to enhance clinical decision-making and facilitate early interventions that could reduce skeletal complications and improve patient quality of life. We are encouraged by the reviewer's assessment and hope our findings will contribute meaningfully to the growing body of evidence in this field.</w:t>
            </w:r>
          </w:p>
          <w:p w14:paraId="23533156" w14:textId="77777777" w:rsidR="00436C5B" w:rsidRPr="00900E9B" w:rsidRDefault="00436C5B">
            <w:pPr>
              <w:pStyle w:val="Heading2"/>
              <w:jc w:val="left"/>
              <w:rPr>
                <w:rFonts w:ascii="Times New Roman" w:hAnsi="Times New Roman"/>
                <w:b w:val="0"/>
                <w:lang w:val="en-GB"/>
              </w:rPr>
            </w:pPr>
          </w:p>
        </w:tc>
      </w:tr>
      <w:tr w:rsidR="00436C5B" w:rsidRPr="00900E9B" w14:paraId="635EB366" w14:textId="77777777">
        <w:trPr>
          <w:trHeight w:val="1262"/>
        </w:trPr>
        <w:tc>
          <w:tcPr>
            <w:tcW w:w="1265" w:type="pct"/>
            <w:noWrap/>
          </w:tcPr>
          <w:p w14:paraId="76F6F2D9" w14:textId="77777777" w:rsidR="00436C5B" w:rsidRPr="00900E9B" w:rsidRDefault="00436C5B">
            <w:pPr>
              <w:ind w:left="360"/>
              <w:rPr>
                <w:b/>
                <w:bCs/>
                <w:sz w:val="20"/>
                <w:szCs w:val="20"/>
                <w:lang w:val="en-GB"/>
              </w:rPr>
            </w:pPr>
            <w:r w:rsidRPr="00900E9B">
              <w:rPr>
                <w:b/>
                <w:bCs/>
                <w:sz w:val="20"/>
                <w:szCs w:val="20"/>
                <w:lang w:val="en-GB"/>
              </w:rPr>
              <w:t>Is the title of the article suitable?</w:t>
            </w:r>
          </w:p>
          <w:p w14:paraId="7ACF6704" w14:textId="77777777" w:rsidR="00436C5B" w:rsidRPr="00900E9B" w:rsidRDefault="00436C5B">
            <w:pPr>
              <w:ind w:left="360"/>
              <w:rPr>
                <w:b/>
                <w:bCs/>
                <w:sz w:val="20"/>
                <w:szCs w:val="20"/>
                <w:lang w:val="en-GB"/>
              </w:rPr>
            </w:pPr>
            <w:r w:rsidRPr="00900E9B">
              <w:rPr>
                <w:b/>
                <w:bCs/>
                <w:sz w:val="20"/>
                <w:szCs w:val="20"/>
                <w:lang w:val="en-GB"/>
              </w:rPr>
              <w:t>(If not please suggest an alternative title)</w:t>
            </w:r>
          </w:p>
          <w:p w14:paraId="01AFEBC9" w14:textId="77777777" w:rsidR="00436C5B" w:rsidRPr="00900E9B" w:rsidRDefault="00436C5B">
            <w:pPr>
              <w:pStyle w:val="Heading2"/>
              <w:jc w:val="left"/>
              <w:rPr>
                <w:rFonts w:ascii="Times New Roman" w:hAnsi="Times New Roman"/>
                <w:u w:val="single"/>
                <w:lang w:val="en-GB"/>
              </w:rPr>
            </w:pPr>
          </w:p>
        </w:tc>
        <w:tc>
          <w:tcPr>
            <w:tcW w:w="2212" w:type="pct"/>
          </w:tcPr>
          <w:p w14:paraId="54F51DB7" w14:textId="77777777" w:rsidR="00CA3E35" w:rsidRPr="00CA3E35" w:rsidRDefault="00CA3E35" w:rsidP="00CA3E35">
            <w:pPr>
              <w:ind w:left="360"/>
              <w:rPr>
                <w:b/>
                <w:bCs/>
                <w:sz w:val="20"/>
                <w:szCs w:val="20"/>
                <w:lang w:val="en-IN"/>
              </w:rPr>
            </w:pPr>
            <w:r w:rsidRPr="00CA3E35">
              <w:rPr>
                <w:b/>
                <w:bCs/>
                <w:sz w:val="20"/>
                <w:szCs w:val="20"/>
                <w:lang w:val="en-IN"/>
              </w:rPr>
              <w:t>Yes, the title is suitable and clearly reflects the study focus.</w:t>
            </w:r>
          </w:p>
          <w:p w14:paraId="5A81C8F4" w14:textId="77777777" w:rsidR="00436C5B" w:rsidRPr="00CA3E35" w:rsidRDefault="00436C5B">
            <w:pPr>
              <w:ind w:left="360"/>
              <w:rPr>
                <w:b/>
                <w:bCs/>
                <w:sz w:val="20"/>
                <w:szCs w:val="20"/>
                <w:lang w:val="en-IN"/>
              </w:rPr>
            </w:pPr>
          </w:p>
        </w:tc>
        <w:tc>
          <w:tcPr>
            <w:tcW w:w="1523" w:type="pct"/>
          </w:tcPr>
          <w:p w14:paraId="40071075" w14:textId="77777777" w:rsidR="008C6A20" w:rsidRDefault="008C6A20" w:rsidP="008C6A20">
            <w:r>
              <w:t>We thank the reviewer for confirming the suitability of the title. We note that another reviewer has suggested shortening the title by removing the hospital name. In consideration of all reviewer feedback, we have revised the title to: "Association of Alkaline Phosphatase, Lactate Dehydrogenase, and IL-1β Expression with Metastatic Bone Disease in Breast Cancer Patients: A Case-Control Study." We believe this revision maintains clarity while improving conciseness. This change has been reflected in the revised manuscript.</w:t>
            </w:r>
          </w:p>
          <w:p w14:paraId="6A0F2DD8" w14:textId="77777777" w:rsidR="00436C5B" w:rsidRPr="00900E9B" w:rsidRDefault="00436C5B">
            <w:pPr>
              <w:pStyle w:val="Heading2"/>
              <w:jc w:val="left"/>
              <w:rPr>
                <w:rFonts w:ascii="Times New Roman" w:hAnsi="Times New Roman"/>
                <w:b w:val="0"/>
                <w:lang w:val="en-GB"/>
              </w:rPr>
            </w:pPr>
          </w:p>
        </w:tc>
      </w:tr>
      <w:tr w:rsidR="00436C5B" w:rsidRPr="00900E9B" w14:paraId="66E5D1E5" w14:textId="77777777">
        <w:trPr>
          <w:trHeight w:val="1262"/>
        </w:trPr>
        <w:tc>
          <w:tcPr>
            <w:tcW w:w="1265" w:type="pct"/>
            <w:noWrap/>
          </w:tcPr>
          <w:p w14:paraId="43153A87" w14:textId="77777777" w:rsidR="00436C5B" w:rsidRPr="00900E9B" w:rsidRDefault="00436C5B">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0732B28" w14:textId="77777777" w:rsidR="00436C5B" w:rsidRPr="00900E9B" w:rsidRDefault="00436C5B">
            <w:pPr>
              <w:pStyle w:val="Heading2"/>
              <w:jc w:val="left"/>
              <w:rPr>
                <w:rFonts w:ascii="Times New Roman" w:hAnsi="Times New Roman"/>
                <w:u w:val="single"/>
                <w:lang w:val="en-GB"/>
              </w:rPr>
            </w:pPr>
          </w:p>
        </w:tc>
        <w:tc>
          <w:tcPr>
            <w:tcW w:w="2212" w:type="pct"/>
          </w:tcPr>
          <w:p w14:paraId="7D4B5666" w14:textId="77777777" w:rsidR="00CA3E35" w:rsidRPr="00CA3E35" w:rsidRDefault="00CA3E35" w:rsidP="00CA3E35">
            <w:pPr>
              <w:ind w:left="360"/>
              <w:rPr>
                <w:b/>
                <w:bCs/>
                <w:sz w:val="20"/>
                <w:szCs w:val="20"/>
                <w:lang w:val="en-IN"/>
              </w:rPr>
            </w:pPr>
            <w:r w:rsidRPr="00CA3E35">
              <w:rPr>
                <w:b/>
                <w:bCs/>
                <w:sz w:val="20"/>
                <w:szCs w:val="20"/>
                <w:lang w:val="en-IN"/>
              </w:rPr>
              <w:t>Yes, the abstract is comprehensive. However, it may be improved by briefly mentioning the sample size in the opening part and adding a short statement on the clinical implications of using ALP and IL-1β as predictive biomarkers for metastatic bone disease.</w:t>
            </w:r>
          </w:p>
          <w:p w14:paraId="4E3E8216" w14:textId="77777777" w:rsidR="00436C5B" w:rsidRPr="00CA3E35" w:rsidRDefault="00436C5B">
            <w:pPr>
              <w:ind w:left="360"/>
              <w:rPr>
                <w:b/>
                <w:bCs/>
                <w:sz w:val="20"/>
                <w:szCs w:val="20"/>
                <w:lang w:val="en-IN"/>
              </w:rPr>
            </w:pPr>
          </w:p>
        </w:tc>
        <w:tc>
          <w:tcPr>
            <w:tcW w:w="1523" w:type="pct"/>
          </w:tcPr>
          <w:p w14:paraId="4F116992" w14:textId="77777777" w:rsidR="008C6A20" w:rsidRDefault="008C6A20" w:rsidP="008C6A20">
            <w:r>
              <w:t>We thank the reviewer for this constructive suggestion. We have revised the abstract as follows:</w:t>
            </w:r>
            <w:r>
              <w:br/>
            </w:r>
            <w:r>
              <w:br/>
              <w:t>(a) Sample size mentioned in the opening part: The Methodology section of the abstract now clearly states: "Forty-six female breast cancer patients aged 40–65 years were enrolled, including 26 patients with MBD (case group) and 20 without MBD (control group)."</w:t>
            </w:r>
            <w:r>
              <w:br/>
            </w:r>
            <w:r>
              <w:br/>
              <w:t xml:space="preserve">(b) Clinical implications statement added: We have added the following statement to the Conclusion section of the abstract: "The combination of ALP and IL-1β may serve as an accessible and cost-effective </w:t>
            </w:r>
            <w:proofErr w:type="spellStart"/>
            <w:r>
              <w:t>multimarker</w:t>
            </w:r>
            <w:proofErr w:type="spellEnd"/>
            <w:r>
              <w:t xml:space="preserve"> screening tool to identify breast cancer patients at high risk for bone metastasis, enabling earlier clinical intervention and potentially reducing skeletal-related events."</w:t>
            </w:r>
            <w:r>
              <w:br/>
            </w:r>
            <w:r>
              <w:br/>
              <w:t>These changes have been incorporated into the revised manuscript.</w:t>
            </w:r>
          </w:p>
          <w:p w14:paraId="6A0BEF3C" w14:textId="77777777" w:rsidR="00436C5B" w:rsidRPr="00900E9B" w:rsidRDefault="00436C5B">
            <w:pPr>
              <w:pStyle w:val="Heading2"/>
              <w:jc w:val="left"/>
              <w:rPr>
                <w:rFonts w:ascii="Times New Roman" w:hAnsi="Times New Roman"/>
                <w:b w:val="0"/>
                <w:lang w:val="en-GB"/>
              </w:rPr>
            </w:pPr>
          </w:p>
        </w:tc>
      </w:tr>
      <w:tr w:rsidR="00436C5B" w:rsidRPr="00900E9B" w14:paraId="586594E1" w14:textId="77777777">
        <w:trPr>
          <w:trHeight w:val="704"/>
        </w:trPr>
        <w:tc>
          <w:tcPr>
            <w:tcW w:w="1265" w:type="pct"/>
            <w:noWrap/>
          </w:tcPr>
          <w:p w14:paraId="19B23D1F" w14:textId="77777777" w:rsidR="00436C5B" w:rsidRPr="00900E9B" w:rsidRDefault="00436C5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5DF9C8F" w14:textId="77777777" w:rsidR="00436C5B" w:rsidRPr="00C115E9" w:rsidRDefault="00CA3E35">
            <w:pPr>
              <w:pStyle w:val="ListParagraph"/>
              <w:ind w:left="0"/>
              <w:rPr>
                <w:bCs/>
                <w:sz w:val="20"/>
                <w:szCs w:val="20"/>
                <w:lang w:val="en-GB"/>
              </w:rPr>
            </w:pPr>
            <w:r>
              <w:rPr>
                <w:bCs/>
                <w:sz w:val="20"/>
                <w:szCs w:val="20"/>
                <w:lang w:val="en-GB"/>
              </w:rPr>
              <w:t>Yes</w:t>
            </w:r>
          </w:p>
        </w:tc>
        <w:tc>
          <w:tcPr>
            <w:tcW w:w="1523" w:type="pct"/>
          </w:tcPr>
          <w:p w14:paraId="4E861308" w14:textId="77777777" w:rsidR="00CD5389" w:rsidRDefault="00CD5389" w:rsidP="00CD5389">
            <w:r>
              <w:t>We thank the reviewer for confirming the scientific correctness of our manuscript.</w:t>
            </w:r>
          </w:p>
          <w:p w14:paraId="08950821" w14:textId="77777777" w:rsidR="00436C5B" w:rsidRPr="00900E9B" w:rsidRDefault="00436C5B">
            <w:pPr>
              <w:pStyle w:val="Heading2"/>
              <w:jc w:val="left"/>
              <w:rPr>
                <w:rFonts w:ascii="Times New Roman" w:hAnsi="Times New Roman"/>
                <w:b w:val="0"/>
                <w:lang w:val="en-GB"/>
              </w:rPr>
            </w:pPr>
          </w:p>
        </w:tc>
      </w:tr>
      <w:tr w:rsidR="00436C5B" w:rsidRPr="00900E9B" w14:paraId="24B12FEA" w14:textId="77777777">
        <w:trPr>
          <w:trHeight w:val="703"/>
        </w:trPr>
        <w:tc>
          <w:tcPr>
            <w:tcW w:w="1265" w:type="pct"/>
            <w:noWrap/>
          </w:tcPr>
          <w:p w14:paraId="4C0D7319" w14:textId="77777777" w:rsidR="00436C5B" w:rsidRPr="00E10705" w:rsidRDefault="00436C5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B056D7C" w14:textId="77777777" w:rsidR="00436C5B" w:rsidRPr="006F5EBE" w:rsidRDefault="00CA3E35">
            <w:pPr>
              <w:pStyle w:val="ListParagraph"/>
              <w:ind w:left="0"/>
              <w:rPr>
                <w:bCs/>
                <w:sz w:val="20"/>
                <w:szCs w:val="20"/>
                <w:lang w:val="en-GB"/>
              </w:rPr>
            </w:pPr>
            <w:r w:rsidRPr="00CA3E35">
              <w:rPr>
                <w:bCs/>
                <w:sz w:val="20"/>
                <w:szCs w:val="20"/>
              </w:rPr>
              <w:t xml:space="preserve">Yes, the references are generally sufficient and include several relevant studies. However, adding a few more recent studies (2022–2024) on </w:t>
            </w:r>
            <w:r w:rsidRPr="00CA3E35">
              <w:rPr>
                <w:b/>
                <w:bCs/>
                <w:sz w:val="20"/>
                <w:szCs w:val="20"/>
              </w:rPr>
              <w:t>IL-1β signaling and breast cancer bone metastasis</w:t>
            </w:r>
            <w:r w:rsidRPr="00CA3E35">
              <w:rPr>
                <w:bCs/>
                <w:sz w:val="20"/>
                <w:szCs w:val="20"/>
              </w:rPr>
              <w:t xml:space="preserve"> may strengthen the manuscript. For example, recent reviews discussing the role of IL-1β in promoting breast cancer metastasis to bone and its therapeutic targeting could be considered.</w:t>
            </w:r>
          </w:p>
        </w:tc>
        <w:tc>
          <w:tcPr>
            <w:tcW w:w="1523" w:type="pct"/>
          </w:tcPr>
          <w:p w14:paraId="5A45FAFF" w14:textId="77777777" w:rsidR="00CD5389" w:rsidRDefault="00CD5389" w:rsidP="00CD5389">
            <w:r>
              <w:t>We appreciate this valuable suggestion. We have added the following recent references (2022–2024) on IL-1β signaling in breast cancer bone metastasis to strengthen the manuscript:</w:t>
            </w:r>
            <w:r>
              <w:br/>
            </w:r>
            <w:r>
              <w:br/>
              <w:t xml:space="preserve">1. Zhou, J., </w:t>
            </w:r>
            <w:proofErr w:type="spellStart"/>
            <w:r>
              <w:t>Tulotta</w:t>
            </w:r>
            <w:proofErr w:type="spellEnd"/>
            <w:r>
              <w:t xml:space="preserve">, C., &amp; </w:t>
            </w:r>
            <w:proofErr w:type="spellStart"/>
            <w:r>
              <w:t>Ottewell</w:t>
            </w:r>
            <w:proofErr w:type="spellEnd"/>
            <w:r>
              <w:t>, P. D. (2022). IL-1β in breast cancer bone metastasis. Expert Reviews in Molecular Medicine, 24, e11. — This comprehensive review discusses the distinct effects of IL-1β derived from tumor cells and the microenvironment on primary breast tumor growth, EMT induction, tumor cell dissemination, and formation of overt bone metastases.</w:t>
            </w:r>
            <w:r>
              <w:br/>
            </w:r>
            <w:r>
              <w:br/>
              <w:t xml:space="preserve">2. Zhou, J., Down, J. M., George, C. N., Murphy, J., </w:t>
            </w:r>
            <w:proofErr w:type="spellStart"/>
            <w:r>
              <w:t>Lefley</w:t>
            </w:r>
            <w:proofErr w:type="spellEnd"/>
            <w:r>
              <w:t xml:space="preserve">, D. V., </w:t>
            </w:r>
            <w:proofErr w:type="spellStart"/>
            <w:r>
              <w:t>Tulotta</w:t>
            </w:r>
            <w:proofErr w:type="spellEnd"/>
            <w:r>
              <w:t xml:space="preserve">, C., et al. (2022). Novel methods of targeting IL-1 </w:t>
            </w:r>
            <w:proofErr w:type="spellStart"/>
            <w:r>
              <w:t>signalling</w:t>
            </w:r>
            <w:proofErr w:type="spellEnd"/>
            <w:r>
              <w:t xml:space="preserve"> for the treatment of breast cancer bone metastasis. Cancers, 14(19), 4816. — This study investigated novel therapeutic strategies targeting the IL-1β signaling pathway, including Caspase-1 inhibition, and demonstrated that targeting immediately upstream of IL-1β may be a promising strategy for treating breast cancer bone metastasis.</w:t>
            </w:r>
            <w:r>
              <w:br/>
            </w:r>
            <w:r>
              <w:br/>
              <w:t xml:space="preserve">3. Zhou, J., &amp; </w:t>
            </w:r>
            <w:proofErr w:type="spellStart"/>
            <w:r>
              <w:t>Ottewell</w:t>
            </w:r>
            <w:proofErr w:type="spellEnd"/>
            <w:r>
              <w:t xml:space="preserve">, P. D. (2024). The role of IL-1B in breast cancer bone metastasis. Journal of Bone Oncology, 46, 100608. — This recent review discusses the molecular mechanisms by which IL-1β drives the metastatic cascade of breast cancer bone metastasis, including promotion of EMT, </w:t>
            </w:r>
            <w:r>
              <w:lastRenderedPageBreak/>
              <w:t>vascular and immunological changes, homing to bone, and stimulation of the vicious cycle of bone metastases.</w:t>
            </w:r>
            <w:r>
              <w:br/>
            </w:r>
            <w:r>
              <w:br/>
              <w:t>These references have been cited in the Introduction and Discussion sections of the revised manuscript where IL-1β signaling and its role in breast cancer bone metastasis are discussed.</w:t>
            </w:r>
          </w:p>
          <w:p w14:paraId="49BAF761" w14:textId="77777777" w:rsidR="00436C5B" w:rsidRPr="00900E9B" w:rsidRDefault="00436C5B">
            <w:pPr>
              <w:pStyle w:val="Heading2"/>
              <w:jc w:val="left"/>
              <w:rPr>
                <w:rFonts w:ascii="Times New Roman" w:hAnsi="Times New Roman"/>
                <w:b w:val="0"/>
                <w:lang w:val="en-GB"/>
              </w:rPr>
            </w:pPr>
          </w:p>
        </w:tc>
      </w:tr>
      <w:tr w:rsidR="00436C5B" w:rsidRPr="00900E9B" w14:paraId="273DDCF6" w14:textId="77777777">
        <w:trPr>
          <w:trHeight w:val="386"/>
        </w:trPr>
        <w:tc>
          <w:tcPr>
            <w:tcW w:w="1265" w:type="pct"/>
            <w:noWrap/>
          </w:tcPr>
          <w:p w14:paraId="3C87D829" w14:textId="77777777" w:rsidR="00436C5B" w:rsidRPr="00900E9B" w:rsidRDefault="00436C5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27C608E" w14:textId="77777777" w:rsidR="00436C5B" w:rsidRPr="00900E9B" w:rsidRDefault="00436C5B">
            <w:pPr>
              <w:rPr>
                <w:sz w:val="20"/>
                <w:szCs w:val="20"/>
                <w:lang w:val="en-GB"/>
              </w:rPr>
            </w:pPr>
          </w:p>
        </w:tc>
        <w:tc>
          <w:tcPr>
            <w:tcW w:w="2212" w:type="pct"/>
          </w:tcPr>
          <w:p w14:paraId="38910240" w14:textId="77777777" w:rsidR="00436C5B" w:rsidRPr="00900E9B" w:rsidRDefault="00CA3E35">
            <w:pPr>
              <w:rPr>
                <w:sz w:val="20"/>
                <w:szCs w:val="20"/>
                <w:lang w:val="en-GB"/>
              </w:rPr>
            </w:pPr>
            <w:r>
              <w:rPr>
                <w:sz w:val="20"/>
                <w:szCs w:val="20"/>
                <w:lang w:val="en-GB"/>
              </w:rPr>
              <w:t>Yes</w:t>
            </w:r>
          </w:p>
        </w:tc>
        <w:tc>
          <w:tcPr>
            <w:tcW w:w="1523" w:type="pct"/>
          </w:tcPr>
          <w:p w14:paraId="2E1022D9" w14:textId="77777777" w:rsidR="00CD5389" w:rsidRDefault="00CD5389" w:rsidP="00CD5389">
            <w:r>
              <w:t>We thank the reviewer for confirming the suitability of the language quality.</w:t>
            </w:r>
          </w:p>
          <w:p w14:paraId="3C15B141" w14:textId="77777777" w:rsidR="00436C5B" w:rsidRPr="00900E9B" w:rsidRDefault="00436C5B">
            <w:pPr>
              <w:rPr>
                <w:sz w:val="20"/>
                <w:szCs w:val="20"/>
                <w:lang w:val="en-GB"/>
              </w:rPr>
            </w:pPr>
          </w:p>
        </w:tc>
      </w:tr>
      <w:tr w:rsidR="00436C5B" w:rsidRPr="00900E9B" w14:paraId="56A58820" w14:textId="77777777">
        <w:trPr>
          <w:trHeight w:val="1178"/>
        </w:trPr>
        <w:tc>
          <w:tcPr>
            <w:tcW w:w="1265" w:type="pct"/>
            <w:noWrap/>
          </w:tcPr>
          <w:p w14:paraId="0B5294C0" w14:textId="77777777" w:rsidR="00436C5B" w:rsidRPr="00900E9B" w:rsidRDefault="00436C5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A2132E2" w14:textId="77777777" w:rsidR="00436C5B" w:rsidRPr="00900E9B" w:rsidRDefault="00436C5B">
            <w:pPr>
              <w:pStyle w:val="Heading2"/>
              <w:jc w:val="left"/>
              <w:rPr>
                <w:rFonts w:ascii="Times New Roman" w:hAnsi="Times New Roman"/>
                <w:b w:val="0"/>
                <w:lang w:val="en-GB"/>
              </w:rPr>
            </w:pPr>
          </w:p>
        </w:tc>
        <w:tc>
          <w:tcPr>
            <w:tcW w:w="2212" w:type="pct"/>
          </w:tcPr>
          <w:p w14:paraId="66A9FD96" w14:textId="77777777" w:rsidR="00436C5B" w:rsidRPr="000D0955" w:rsidRDefault="00436C5B">
            <w:pPr>
              <w:pStyle w:val="NormalWeb"/>
              <w:spacing w:before="0" w:beforeAutospacing="0" w:after="0" w:afterAutospacing="0"/>
              <w:rPr>
                <w:rFonts w:ascii="Times New Roman" w:hAnsi="Times New Roman" w:cs="Times New Roman"/>
                <w:b/>
                <w:sz w:val="20"/>
                <w:szCs w:val="20"/>
                <w:lang w:val="en-GB"/>
              </w:rPr>
            </w:pPr>
          </w:p>
        </w:tc>
        <w:tc>
          <w:tcPr>
            <w:tcW w:w="1523" w:type="pct"/>
          </w:tcPr>
          <w:p w14:paraId="22725C81" w14:textId="77777777" w:rsidR="00CD5389" w:rsidRDefault="00CD5389" w:rsidP="00CD5389">
            <w:r>
              <w:t>We appreciate the reviewer's thorough evaluation of our manuscript.</w:t>
            </w:r>
          </w:p>
          <w:p w14:paraId="185381C1" w14:textId="77777777" w:rsidR="00436C5B" w:rsidRPr="00900E9B" w:rsidRDefault="00436C5B">
            <w:pPr>
              <w:rPr>
                <w:sz w:val="20"/>
                <w:szCs w:val="20"/>
                <w:lang w:val="en-GB"/>
              </w:rPr>
            </w:pPr>
          </w:p>
        </w:tc>
      </w:tr>
    </w:tbl>
    <w:p w14:paraId="27642A9D" w14:textId="77777777" w:rsidR="00436C5B" w:rsidRPr="00900E9B" w:rsidRDefault="00436C5B" w:rsidP="00436C5B">
      <w:pPr>
        <w:pStyle w:val="BodyText"/>
        <w:rPr>
          <w:rFonts w:ascii="Times New Roman" w:hAnsi="Times New Roman"/>
          <w:b/>
          <w:bCs/>
          <w:sz w:val="20"/>
          <w:szCs w:val="20"/>
          <w:u w:val="single"/>
          <w:lang w:val="en-GB"/>
        </w:rPr>
      </w:pPr>
    </w:p>
    <w:p w14:paraId="7B5244B6" w14:textId="77777777" w:rsidR="00436C5B" w:rsidRDefault="00436C5B" w:rsidP="00436C5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D5B40" w:rsidRPr="00340561" w14:paraId="489CC79F" w14:textId="77777777">
        <w:tc>
          <w:tcPr>
            <w:tcW w:w="5000" w:type="pct"/>
            <w:gridSpan w:val="3"/>
            <w:tcBorders>
              <w:top w:val="nil"/>
              <w:left w:val="nil"/>
              <w:right w:val="nil"/>
            </w:tcBorders>
            <w:noWrap/>
            <w:tcMar>
              <w:top w:w="0" w:type="dxa"/>
              <w:left w:w="108" w:type="dxa"/>
              <w:bottom w:w="0" w:type="dxa"/>
              <w:right w:w="108" w:type="dxa"/>
            </w:tcMar>
            <w:vAlign w:val="center"/>
          </w:tcPr>
          <w:p w14:paraId="1E230509" w14:textId="77777777" w:rsidR="002D5B40" w:rsidRPr="00340561" w:rsidRDefault="002D5B40">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084FAF8" w14:textId="77777777" w:rsidR="002D5B40" w:rsidRPr="00340561" w:rsidRDefault="002D5B40">
            <w:pPr>
              <w:rPr>
                <w:rFonts w:ascii="Arial" w:eastAsia="Arial Unicode MS" w:hAnsi="Arial" w:cs="Arial"/>
                <w:b/>
                <w:sz w:val="20"/>
                <w:szCs w:val="20"/>
                <w:u w:val="single"/>
                <w:lang w:val="en-GB"/>
              </w:rPr>
            </w:pPr>
          </w:p>
        </w:tc>
      </w:tr>
      <w:tr w:rsidR="002D5B40" w:rsidRPr="00340561" w14:paraId="56CF9C23" w14:textId="77777777">
        <w:tc>
          <w:tcPr>
            <w:tcW w:w="1615" w:type="pct"/>
            <w:noWrap/>
            <w:tcMar>
              <w:top w:w="0" w:type="dxa"/>
              <w:left w:w="108" w:type="dxa"/>
              <w:bottom w:w="0" w:type="dxa"/>
              <w:right w:w="108" w:type="dxa"/>
            </w:tcMar>
            <w:vAlign w:val="center"/>
          </w:tcPr>
          <w:p w14:paraId="41A2FC33" w14:textId="77777777" w:rsidR="002D5B40" w:rsidRPr="00340561" w:rsidRDefault="002D5B4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4B1F769" w14:textId="77777777" w:rsidR="002D5B40" w:rsidRPr="00340561" w:rsidRDefault="002D5B4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A6D4A8A" w14:textId="77777777" w:rsidR="002D5B40" w:rsidRPr="008608EB" w:rsidRDefault="002D5B4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DD17058" w14:textId="77777777" w:rsidR="002D5B40" w:rsidRPr="00340561" w:rsidRDefault="002D5B40">
            <w:pPr>
              <w:keepNext/>
              <w:outlineLvl w:val="1"/>
              <w:rPr>
                <w:rFonts w:ascii="Arial" w:eastAsia="MS Mincho" w:hAnsi="Arial" w:cs="Arial"/>
                <w:bCs/>
                <w:sz w:val="20"/>
                <w:szCs w:val="20"/>
                <w:lang w:val="en-GB"/>
              </w:rPr>
            </w:pPr>
          </w:p>
        </w:tc>
      </w:tr>
      <w:tr w:rsidR="002D5B40" w:rsidRPr="00340561" w14:paraId="718427FC" w14:textId="77777777">
        <w:trPr>
          <w:trHeight w:val="890"/>
        </w:trPr>
        <w:tc>
          <w:tcPr>
            <w:tcW w:w="1615" w:type="pct"/>
            <w:noWrap/>
            <w:tcMar>
              <w:top w:w="0" w:type="dxa"/>
              <w:left w:w="108" w:type="dxa"/>
              <w:bottom w:w="0" w:type="dxa"/>
              <w:right w:w="108" w:type="dxa"/>
            </w:tcMar>
            <w:vAlign w:val="center"/>
          </w:tcPr>
          <w:p w14:paraId="75A5BF15" w14:textId="77777777" w:rsidR="002D5B40" w:rsidRPr="00340561" w:rsidRDefault="002D5B4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2A076B2" w14:textId="77777777" w:rsidR="002D5B40" w:rsidRPr="00340561" w:rsidRDefault="002D5B4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0F6846D" w14:textId="77777777" w:rsidR="002D5B40" w:rsidRPr="00340561" w:rsidRDefault="002D5B4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5C430384" w14:textId="77777777" w:rsidR="002D5B40" w:rsidRPr="00340561" w:rsidRDefault="002D5B40">
            <w:pPr>
              <w:rPr>
                <w:rFonts w:ascii="Arial" w:eastAsia="Arial Unicode MS" w:hAnsi="Arial" w:cs="Arial"/>
                <w:sz w:val="20"/>
                <w:szCs w:val="20"/>
                <w:lang w:val="en-GB"/>
              </w:rPr>
            </w:pPr>
          </w:p>
          <w:p w14:paraId="11EAC875" w14:textId="77777777" w:rsidR="002D5B40" w:rsidRPr="00340561" w:rsidRDefault="002D5B40">
            <w:pPr>
              <w:rPr>
                <w:rFonts w:ascii="Arial" w:eastAsia="Arial Unicode MS" w:hAnsi="Arial" w:cs="Arial"/>
                <w:sz w:val="20"/>
                <w:szCs w:val="20"/>
                <w:lang w:val="en-GB"/>
              </w:rPr>
            </w:pPr>
          </w:p>
        </w:tc>
        <w:tc>
          <w:tcPr>
            <w:tcW w:w="1691" w:type="pct"/>
            <w:vAlign w:val="center"/>
          </w:tcPr>
          <w:p w14:paraId="7718DA63" w14:textId="77777777" w:rsidR="00CD5389" w:rsidRDefault="00CD5389" w:rsidP="00CD5389">
            <w:r>
              <w:t xml:space="preserve">There are no ethical issues in this manuscript. The study protocol was approved by the Ethics Committee of the Faculty of Medicine, </w:t>
            </w:r>
            <w:proofErr w:type="spellStart"/>
            <w:r>
              <w:t>Udayana</w:t>
            </w:r>
            <w:proofErr w:type="spellEnd"/>
            <w:r>
              <w:t xml:space="preserve"> University (Reference No. B/1169/UN14.2.2.V.21/PK.03.08./2025). All procedures involving human participants were conducted in accordance with the ethical standards of the institutional research committee and with the 1964 Declaration of Helsinki and its later amendments. Written informed consent was obtained from all participants prior to enrollment. All patient data were anonymized and handled in compliance with data protection regulations.</w:t>
            </w:r>
          </w:p>
          <w:p w14:paraId="0F7EF66A" w14:textId="77777777" w:rsidR="00CD5389" w:rsidRDefault="00CD5389" w:rsidP="00CD5389"/>
          <w:p w14:paraId="14BFE9F2" w14:textId="77777777" w:rsidR="00CD5389" w:rsidRDefault="00CD5389" w:rsidP="00CD5389">
            <w:r>
              <w:t>We hope that the above responses and the corresponding revisions to the manuscript adequately address all the reviewer's concerns. We are grateful for the opportunity to improve our manuscript and look forward to the editorial decision.</w:t>
            </w:r>
          </w:p>
          <w:p w14:paraId="217EAD8D" w14:textId="77777777" w:rsidR="002D5B40" w:rsidRPr="00340561" w:rsidRDefault="002D5B40">
            <w:pPr>
              <w:rPr>
                <w:rFonts w:ascii="Arial" w:eastAsia="Arial Unicode MS" w:hAnsi="Arial" w:cs="Arial"/>
                <w:sz w:val="20"/>
                <w:szCs w:val="20"/>
                <w:lang w:val="en-GB"/>
              </w:rPr>
            </w:pPr>
          </w:p>
          <w:p w14:paraId="13D4BC63" w14:textId="77777777" w:rsidR="002D5B40" w:rsidRPr="00340561" w:rsidRDefault="002D5B40">
            <w:pPr>
              <w:rPr>
                <w:rFonts w:ascii="Arial" w:eastAsia="Arial Unicode MS" w:hAnsi="Arial" w:cs="Arial"/>
                <w:sz w:val="20"/>
                <w:szCs w:val="20"/>
                <w:lang w:val="en-GB"/>
              </w:rPr>
            </w:pPr>
          </w:p>
          <w:p w14:paraId="634BE459" w14:textId="77777777" w:rsidR="002D5B40" w:rsidRPr="00340561" w:rsidRDefault="002D5B40">
            <w:pPr>
              <w:rPr>
                <w:rFonts w:ascii="Arial" w:eastAsia="Arial Unicode MS" w:hAnsi="Arial" w:cs="Arial"/>
                <w:sz w:val="20"/>
                <w:szCs w:val="20"/>
                <w:lang w:val="en-GB"/>
              </w:rPr>
            </w:pPr>
          </w:p>
        </w:tc>
      </w:tr>
      <w:bookmarkEnd w:id="3"/>
    </w:tbl>
    <w:p w14:paraId="75FEDFD6" w14:textId="77777777" w:rsidR="002D5B40" w:rsidRDefault="002D5B40" w:rsidP="002D5B40"/>
    <w:p w14:paraId="4DDE0728" w14:textId="77777777" w:rsidR="002D5B40" w:rsidRDefault="002D5B40" w:rsidP="002D5B40"/>
    <w:p w14:paraId="59C57175" w14:textId="77777777" w:rsidR="002D5B40" w:rsidRPr="00375011" w:rsidRDefault="002D5B40" w:rsidP="002D5B40">
      <w:pPr>
        <w:rPr>
          <w:bCs/>
          <w:u w:val="single"/>
          <w:lang w:val="en-GB"/>
        </w:rPr>
      </w:pPr>
    </w:p>
    <w:bookmarkEnd w:id="4"/>
    <w:p w14:paraId="069E6CE0" w14:textId="77777777" w:rsidR="002D5B40" w:rsidRDefault="002D5B40" w:rsidP="002D5B40"/>
    <w:bookmarkEnd w:id="0"/>
    <w:bookmarkEnd w:id="1"/>
    <w:p w14:paraId="06C378EA" w14:textId="77777777" w:rsidR="00436C5B" w:rsidRDefault="00436C5B" w:rsidP="00436C5B">
      <w:pPr>
        <w:pStyle w:val="BodyText"/>
        <w:rPr>
          <w:rFonts w:ascii="Times New Roman" w:hAnsi="Times New Roman"/>
          <w:b/>
          <w:bCs/>
          <w:sz w:val="20"/>
          <w:szCs w:val="20"/>
          <w:u w:val="single"/>
          <w:lang w:val="en-GB"/>
        </w:rPr>
      </w:pPr>
    </w:p>
    <w:sectPr w:rsidR="00436C5B" w:rsidSect="000918F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4D42D" w14:textId="77777777" w:rsidR="00BD028E" w:rsidRPr="0000007A" w:rsidRDefault="00BD028E" w:rsidP="0099583E">
      <w:r>
        <w:separator/>
      </w:r>
    </w:p>
  </w:endnote>
  <w:endnote w:type="continuationSeparator" w:id="0">
    <w:p w14:paraId="6E0B403C" w14:textId="77777777" w:rsidR="00BD028E" w:rsidRPr="0000007A" w:rsidRDefault="00BD028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9999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B2951" w:rsidRPr="004B2951">
      <w:rPr>
        <w:sz w:val="16"/>
      </w:rPr>
      <w:t xml:space="preserve">Version: </w:t>
    </w:r>
    <w:r w:rsidR="00BA6E0B">
      <w:rPr>
        <w:sz w:val="16"/>
      </w:rPr>
      <w:t>3</w:t>
    </w:r>
    <w:r w:rsidR="004B2951" w:rsidRPr="004B2951">
      <w:rPr>
        <w:sz w:val="16"/>
      </w:rPr>
      <w:t xml:space="preserve"> (0</w:t>
    </w:r>
    <w:r w:rsidR="00BA6E0B">
      <w:rPr>
        <w:sz w:val="16"/>
      </w:rPr>
      <w:t>7</w:t>
    </w:r>
    <w:r w:rsidR="004B2951" w:rsidRPr="004B2951">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F2956" w14:textId="77777777" w:rsidR="00BD028E" w:rsidRPr="0000007A" w:rsidRDefault="00BD028E" w:rsidP="0099583E">
      <w:r>
        <w:separator/>
      </w:r>
    </w:p>
  </w:footnote>
  <w:footnote w:type="continuationSeparator" w:id="0">
    <w:p w14:paraId="480DE219" w14:textId="77777777" w:rsidR="00BD028E" w:rsidRPr="0000007A" w:rsidRDefault="00BD028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17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5B3F1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A6E0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8FE"/>
    <w:rsid w:val="000936AC"/>
    <w:rsid w:val="00095A59"/>
    <w:rsid w:val="000A2134"/>
    <w:rsid w:val="000A6F41"/>
    <w:rsid w:val="000B4EE5"/>
    <w:rsid w:val="000B74A1"/>
    <w:rsid w:val="000B757E"/>
    <w:rsid w:val="000C0837"/>
    <w:rsid w:val="000C3B7E"/>
    <w:rsid w:val="00100577"/>
    <w:rsid w:val="00101322"/>
    <w:rsid w:val="001228F3"/>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959"/>
    <w:rsid w:val="0022369C"/>
    <w:rsid w:val="002320EB"/>
    <w:rsid w:val="0023696A"/>
    <w:rsid w:val="002422CB"/>
    <w:rsid w:val="00245E23"/>
    <w:rsid w:val="00247240"/>
    <w:rsid w:val="0025366D"/>
    <w:rsid w:val="00254F80"/>
    <w:rsid w:val="00262634"/>
    <w:rsid w:val="002643B3"/>
    <w:rsid w:val="00275984"/>
    <w:rsid w:val="00280EC9"/>
    <w:rsid w:val="00291D08"/>
    <w:rsid w:val="00293482"/>
    <w:rsid w:val="002C44C0"/>
    <w:rsid w:val="002D5B40"/>
    <w:rsid w:val="002D7EA9"/>
    <w:rsid w:val="002E1211"/>
    <w:rsid w:val="002E2339"/>
    <w:rsid w:val="002E6D86"/>
    <w:rsid w:val="002F6935"/>
    <w:rsid w:val="00312559"/>
    <w:rsid w:val="0031595B"/>
    <w:rsid w:val="003204B8"/>
    <w:rsid w:val="0033692F"/>
    <w:rsid w:val="00346223"/>
    <w:rsid w:val="003A04E7"/>
    <w:rsid w:val="003A4991"/>
    <w:rsid w:val="003A6E1A"/>
    <w:rsid w:val="003B2172"/>
    <w:rsid w:val="003E746A"/>
    <w:rsid w:val="0042465A"/>
    <w:rsid w:val="004356CC"/>
    <w:rsid w:val="00435B36"/>
    <w:rsid w:val="00436C5B"/>
    <w:rsid w:val="00442B24"/>
    <w:rsid w:val="0044444D"/>
    <w:rsid w:val="0044519B"/>
    <w:rsid w:val="00445B35"/>
    <w:rsid w:val="00446659"/>
    <w:rsid w:val="00453CC1"/>
    <w:rsid w:val="0045644E"/>
    <w:rsid w:val="00457AB1"/>
    <w:rsid w:val="00457BC0"/>
    <w:rsid w:val="00462996"/>
    <w:rsid w:val="004674B4"/>
    <w:rsid w:val="004916B7"/>
    <w:rsid w:val="004A4C0D"/>
    <w:rsid w:val="004B2951"/>
    <w:rsid w:val="004B4CAD"/>
    <w:rsid w:val="004B4FDC"/>
    <w:rsid w:val="004C3DF1"/>
    <w:rsid w:val="004D2E36"/>
    <w:rsid w:val="00503AB6"/>
    <w:rsid w:val="005047C5"/>
    <w:rsid w:val="00510920"/>
    <w:rsid w:val="00521812"/>
    <w:rsid w:val="00523D2C"/>
    <w:rsid w:val="00531C82"/>
    <w:rsid w:val="005339A8"/>
    <w:rsid w:val="00533FC1"/>
    <w:rsid w:val="00542634"/>
    <w:rsid w:val="005435A2"/>
    <w:rsid w:val="0054564B"/>
    <w:rsid w:val="00545A13"/>
    <w:rsid w:val="00546343"/>
    <w:rsid w:val="00557CD3"/>
    <w:rsid w:val="00560D3C"/>
    <w:rsid w:val="00567DE0"/>
    <w:rsid w:val="005735A5"/>
    <w:rsid w:val="0059748A"/>
    <w:rsid w:val="005A5BE0"/>
    <w:rsid w:val="005B12E0"/>
    <w:rsid w:val="005B62C5"/>
    <w:rsid w:val="005C25A0"/>
    <w:rsid w:val="005D230D"/>
    <w:rsid w:val="005E2CE3"/>
    <w:rsid w:val="00602F7D"/>
    <w:rsid w:val="00605952"/>
    <w:rsid w:val="00620677"/>
    <w:rsid w:val="00624032"/>
    <w:rsid w:val="00631215"/>
    <w:rsid w:val="00645A56"/>
    <w:rsid w:val="006532DF"/>
    <w:rsid w:val="0065579D"/>
    <w:rsid w:val="00663792"/>
    <w:rsid w:val="0067046C"/>
    <w:rsid w:val="00676845"/>
    <w:rsid w:val="00680547"/>
    <w:rsid w:val="0068165E"/>
    <w:rsid w:val="0068446F"/>
    <w:rsid w:val="0069428E"/>
    <w:rsid w:val="00696CAD"/>
    <w:rsid w:val="006A5E0B"/>
    <w:rsid w:val="006C3797"/>
    <w:rsid w:val="006E7D6E"/>
    <w:rsid w:val="006F6F2F"/>
    <w:rsid w:val="00701186"/>
    <w:rsid w:val="00707BE1"/>
    <w:rsid w:val="007207EE"/>
    <w:rsid w:val="007238EB"/>
    <w:rsid w:val="0072789A"/>
    <w:rsid w:val="007317C3"/>
    <w:rsid w:val="00734756"/>
    <w:rsid w:val="0073538B"/>
    <w:rsid w:val="00741BD0"/>
    <w:rsid w:val="007426E6"/>
    <w:rsid w:val="00746370"/>
    <w:rsid w:val="00766889"/>
    <w:rsid w:val="00766A0D"/>
    <w:rsid w:val="00767F8C"/>
    <w:rsid w:val="00780B67"/>
    <w:rsid w:val="007A328D"/>
    <w:rsid w:val="007B1099"/>
    <w:rsid w:val="007B6E18"/>
    <w:rsid w:val="007D0246"/>
    <w:rsid w:val="007E30FC"/>
    <w:rsid w:val="007F5873"/>
    <w:rsid w:val="008018D9"/>
    <w:rsid w:val="00806382"/>
    <w:rsid w:val="00815F94"/>
    <w:rsid w:val="0082130C"/>
    <w:rsid w:val="008224E2"/>
    <w:rsid w:val="00825DC9"/>
    <w:rsid w:val="0082676D"/>
    <w:rsid w:val="00830CBD"/>
    <w:rsid w:val="00831055"/>
    <w:rsid w:val="008423BB"/>
    <w:rsid w:val="00846F1F"/>
    <w:rsid w:val="00856880"/>
    <w:rsid w:val="0087201B"/>
    <w:rsid w:val="00877F10"/>
    <w:rsid w:val="00882091"/>
    <w:rsid w:val="008913D5"/>
    <w:rsid w:val="00893E75"/>
    <w:rsid w:val="00896BBC"/>
    <w:rsid w:val="008A6CB4"/>
    <w:rsid w:val="008C2778"/>
    <w:rsid w:val="008C2F62"/>
    <w:rsid w:val="008C6A20"/>
    <w:rsid w:val="008D020E"/>
    <w:rsid w:val="008D1117"/>
    <w:rsid w:val="008D15A4"/>
    <w:rsid w:val="008F36E4"/>
    <w:rsid w:val="00923BDA"/>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6B5D"/>
    <w:rsid w:val="00AA41B3"/>
    <w:rsid w:val="00AA6670"/>
    <w:rsid w:val="00AB1ED6"/>
    <w:rsid w:val="00AB397D"/>
    <w:rsid w:val="00AB638A"/>
    <w:rsid w:val="00AB6B88"/>
    <w:rsid w:val="00AB6E43"/>
    <w:rsid w:val="00AC1349"/>
    <w:rsid w:val="00AC1E3D"/>
    <w:rsid w:val="00AD6C51"/>
    <w:rsid w:val="00AF3016"/>
    <w:rsid w:val="00B03A45"/>
    <w:rsid w:val="00B2236C"/>
    <w:rsid w:val="00B22FE6"/>
    <w:rsid w:val="00B3033D"/>
    <w:rsid w:val="00B356AF"/>
    <w:rsid w:val="00B62087"/>
    <w:rsid w:val="00B62F41"/>
    <w:rsid w:val="00B73785"/>
    <w:rsid w:val="00B760E1"/>
    <w:rsid w:val="00B807F8"/>
    <w:rsid w:val="00B858FF"/>
    <w:rsid w:val="00BA19A0"/>
    <w:rsid w:val="00BA1AB3"/>
    <w:rsid w:val="00BA6421"/>
    <w:rsid w:val="00BA6E0B"/>
    <w:rsid w:val="00BB34E6"/>
    <w:rsid w:val="00BB4FEC"/>
    <w:rsid w:val="00BC402F"/>
    <w:rsid w:val="00BD028E"/>
    <w:rsid w:val="00BD27BA"/>
    <w:rsid w:val="00BE13EF"/>
    <w:rsid w:val="00BE40A5"/>
    <w:rsid w:val="00BE6454"/>
    <w:rsid w:val="00BF39A4"/>
    <w:rsid w:val="00C02797"/>
    <w:rsid w:val="00C10283"/>
    <w:rsid w:val="00C110CC"/>
    <w:rsid w:val="00C22886"/>
    <w:rsid w:val="00C25C8F"/>
    <w:rsid w:val="00C263C6"/>
    <w:rsid w:val="00C635B6"/>
    <w:rsid w:val="00C63A93"/>
    <w:rsid w:val="00C70DFC"/>
    <w:rsid w:val="00C82466"/>
    <w:rsid w:val="00C84097"/>
    <w:rsid w:val="00CA3E35"/>
    <w:rsid w:val="00CB429B"/>
    <w:rsid w:val="00CC2753"/>
    <w:rsid w:val="00CD093E"/>
    <w:rsid w:val="00CD1556"/>
    <w:rsid w:val="00CD1FD7"/>
    <w:rsid w:val="00CD5389"/>
    <w:rsid w:val="00CE199A"/>
    <w:rsid w:val="00CE5AC7"/>
    <w:rsid w:val="00CF0BBB"/>
    <w:rsid w:val="00D035AD"/>
    <w:rsid w:val="00D1283A"/>
    <w:rsid w:val="00D17979"/>
    <w:rsid w:val="00D2075F"/>
    <w:rsid w:val="00D3257B"/>
    <w:rsid w:val="00D40416"/>
    <w:rsid w:val="00D45CF7"/>
    <w:rsid w:val="00D4782A"/>
    <w:rsid w:val="00D7603E"/>
    <w:rsid w:val="00D77521"/>
    <w:rsid w:val="00D8579C"/>
    <w:rsid w:val="00D90124"/>
    <w:rsid w:val="00D9392F"/>
    <w:rsid w:val="00DA41F5"/>
    <w:rsid w:val="00DB5B54"/>
    <w:rsid w:val="00DB74DC"/>
    <w:rsid w:val="00DB7E1B"/>
    <w:rsid w:val="00DC1D81"/>
    <w:rsid w:val="00E25D03"/>
    <w:rsid w:val="00E451EA"/>
    <w:rsid w:val="00E53E52"/>
    <w:rsid w:val="00E57F4B"/>
    <w:rsid w:val="00E63889"/>
    <w:rsid w:val="00E65EB7"/>
    <w:rsid w:val="00E71C8D"/>
    <w:rsid w:val="00E72360"/>
    <w:rsid w:val="00E81BCF"/>
    <w:rsid w:val="00E972A7"/>
    <w:rsid w:val="00EA2839"/>
    <w:rsid w:val="00EB3E91"/>
    <w:rsid w:val="00EC6894"/>
    <w:rsid w:val="00ED6B12"/>
    <w:rsid w:val="00EE0D3E"/>
    <w:rsid w:val="00EE259B"/>
    <w:rsid w:val="00EF326D"/>
    <w:rsid w:val="00EF53FE"/>
    <w:rsid w:val="00F245A7"/>
    <w:rsid w:val="00F2643C"/>
    <w:rsid w:val="00F3295A"/>
    <w:rsid w:val="00F34D8E"/>
    <w:rsid w:val="00F3669D"/>
    <w:rsid w:val="00F405F8"/>
    <w:rsid w:val="00F41154"/>
    <w:rsid w:val="00F4700F"/>
    <w:rsid w:val="00F51F7F"/>
    <w:rsid w:val="00F573EA"/>
    <w:rsid w:val="00F57E9D"/>
    <w:rsid w:val="00F93F6E"/>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5CB73"/>
  <w15:chartTrackingRefBased/>
  <w15:docId w15:val="{19B441AE-D1AE-A944-9361-12AE818D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81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79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38419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662703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5540131">
      <w:bodyDiv w:val="1"/>
      <w:marLeft w:val="0"/>
      <w:marRight w:val="0"/>
      <w:marTop w:val="0"/>
      <w:marBottom w:val="0"/>
      <w:divBdr>
        <w:top w:val="none" w:sz="0" w:space="0" w:color="auto"/>
        <w:left w:val="none" w:sz="0" w:space="0" w:color="auto"/>
        <w:bottom w:val="none" w:sz="0" w:space="0" w:color="auto"/>
        <w:right w:val="none" w:sz="0" w:space="0" w:color="auto"/>
      </w:divBdr>
    </w:div>
    <w:div w:id="11423804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1955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1005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rr.com/index.php/AJO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25139-DA7A-43D5-8B56-431BADFB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Links>
    <vt:vector size="6" baseType="variant">
      <vt:variant>
        <vt:i4>1441873</vt:i4>
      </vt:variant>
      <vt:variant>
        <vt:i4>0</vt:i4>
      </vt:variant>
      <vt:variant>
        <vt:i4>0</vt:i4>
      </vt:variant>
      <vt:variant>
        <vt:i4>5</vt:i4>
      </vt:variant>
      <vt:variant>
        <vt:lpwstr>https://journalajorr.com/index.php/AJORR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2026-03-07T17:18:00Z</dcterms:created>
  <dcterms:modified xsi:type="dcterms:W3CDTF">2026-03-09T07:27:00Z</dcterms:modified>
</cp:coreProperties>
</file>