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360E7A8" w14:textId="77777777" w:rsidTr="002643B3">
        <w:trPr>
          <w:trHeight w:val="290"/>
        </w:trPr>
        <w:tc>
          <w:tcPr>
            <w:tcW w:w="5000" w:type="pct"/>
            <w:gridSpan w:val="2"/>
            <w:tcBorders>
              <w:top w:val="nil"/>
              <w:left w:val="nil"/>
              <w:right w:val="nil"/>
            </w:tcBorders>
          </w:tcPr>
          <w:p w14:paraId="7153B558"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7E487B5" w14:textId="77777777" w:rsidTr="002643B3">
        <w:trPr>
          <w:trHeight w:val="290"/>
        </w:trPr>
        <w:tc>
          <w:tcPr>
            <w:tcW w:w="1234" w:type="pct"/>
          </w:tcPr>
          <w:p w14:paraId="27A3E71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5E4DC4E" w14:textId="77777777" w:rsidR="0000007A" w:rsidRPr="00E65EB7" w:rsidRDefault="000E1770" w:rsidP="00E65EB7">
            <w:pPr>
              <w:rPr>
                <w:rFonts w:ascii="Arial" w:hAnsi="Arial" w:cs="Arial"/>
                <w:b/>
                <w:bCs/>
                <w:color w:val="0000FF"/>
                <w:sz w:val="20"/>
                <w:szCs w:val="20"/>
              </w:rPr>
            </w:pPr>
            <w:hyperlink r:id="rId8" w:history="1">
              <w:r w:rsidR="00C63A93" w:rsidRPr="0068165E">
                <w:rPr>
                  <w:rStyle w:val="Hyperlink"/>
                  <w:rFonts w:ascii="Arial" w:hAnsi="Arial" w:cs="Arial"/>
                  <w:b/>
                  <w:bCs/>
                  <w:sz w:val="20"/>
                  <w:szCs w:val="20"/>
                </w:rPr>
                <w:t xml:space="preserve">Asian Journal of </w:t>
              </w:r>
              <w:proofErr w:type="spellStart"/>
              <w:r w:rsidR="00C63A93" w:rsidRPr="0068165E">
                <w:rPr>
                  <w:rStyle w:val="Hyperlink"/>
                  <w:rFonts w:ascii="Arial" w:hAnsi="Arial" w:cs="Arial"/>
                  <w:b/>
                  <w:bCs/>
                  <w:sz w:val="20"/>
                  <w:szCs w:val="20"/>
                </w:rPr>
                <w:t>Orthopaedic</w:t>
              </w:r>
              <w:proofErr w:type="spellEnd"/>
              <w:r w:rsidR="00C63A93" w:rsidRPr="0068165E">
                <w:rPr>
                  <w:rStyle w:val="Hyperlink"/>
                  <w:rFonts w:ascii="Arial" w:hAnsi="Arial" w:cs="Arial"/>
                  <w:b/>
                  <w:bCs/>
                  <w:sz w:val="20"/>
                  <w:szCs w:val="20"/>
                </w:rPr>
                <w:t xml:space="preserve"> Research</w:t>
              </w:r>
            </w:hyperlink>
            <w:r w:rsidR="00C63A93" w:rsidRPr="00C63A93">
              <w:rPr>
                <w:rFonts w:ascii="Arial" w:hAnsi="Arial" w:cs="Arial"/>
                <w:b/>
                <w:bCs/>
                <w:color w:val="0000FF"/>
                <w:sz w:val="20"/>
                <w:szCs w:val="20"/>
              </w:rPr>
              <w:t xml:space="preserve"> </w:t>
            </w:r>
          </w:p>
        </w:tc>
      </w:tr>
      <w:tr w:rsidR="0000007A" w:rsidRPr="00F245A7" w14:paraId="40CF01ED" w14:textId="77777777" w:rsidTr="002643B3">
        <w:trPr>
          <w:trHeight w:val="290"/>
        </w:trPr>
        <w:tc>
          <w:tcPr>
            <w:tcW w:w="1234" w:type="pct"/>
          </w:tcPr>
          <w:p w14:paraId="25370FC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C64599F" w14:textId="77777777" w:rsidR="0000007A" w:rsidRPr="00F245A7" w:rsidRDefault="005E2CE3" w:rsidP="00F3669D">
            <w:pPr>
              <w:pStyle w:val="NormalWeb"/>
              <w:spacing w:before="0" w:beforeAutospacing="0" w:after="0" w:afterAutospacing="0"/>
              <w:rPr>
                <w:rFonts w:ascii="Arial" w:hAnsi="Arial" w:cs="Arial"/>
                <w:b/>
                <w:bCs/>
                <w:sz w:val="20"/>
                <w:szCs w:val="28"/>
                <w:lang w:val="en-GB"/>
              </w:rPr>
            </w:pPr>
            <w:r w:rsidRPr="005E2CE3">
              <w:rPr>
                <w:rFonts w:ascii="Arial" w:hAnsi="Arial" w:cs="Arial"/>
                <w:b/>
                <w:bCs/>
                <w:sz w:val="20"/>
                <w:szCs w:val="28"/>
                <w:lang w:val="en-GB"/>
              </w:rPr>
              <w:t>Ms_AJORR_154529</w:t>
            </w:r>
          </w:p>
        </w:tc>
      </w:tr>
      <w:tr w:rsidR="0000007A" w:rsidRPr="00F245A7" w14:paraId="137FC6C9" w14:textId="77777777" w:rsidTr="002643B3">
        <w:trPr>
          <w:trHeight w:val="650"/>
        </w:trPr>
        <w:tc>
          <w:tcPr>
            <w:tcW w:w="1234" w:type="pct"/>
          </w:tcPr>
          <w:p w14:paraId="6089C0C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FB590C6" w14:textId="77777777" w:rsidR="0000007A" w:rsidRPr="00F245A7" w:rsidRDefault="005E2CE3" w:rsidP="000450FC">
            <w:pPr>
              <w:pStyle w:val="NormalWeb"/>
              <w:spacing w:before="0" w:beforeAutospacing="0" w:after="0" w:afterAutospacing="0"/>
              <w:rPr>
                <w:rFonts w:ascii="Arial" w:hAnsi="Arial" w:cs="Arial"/>
                <w:b/>
                <w:sz w:val="20"/>
                <w:szCs w:val="28"/>
                <w:lang w:val="en-GB"/>
              </w:rPr>
            </w:pPr>
            <w:r w:rsidRPr="005E2CE3">
              <w:rPr>
                <w:rFonts w:ascii="Arial" w:hAnsi="Arial" w:cs="Arial"/>
                <w:b/>
                <w:sz w:val="20"/>
                <w:szCs w:val="28"/>
                <w:lang w:val="en-GB"/>
              </w:rPr>
              <w:t xml:space="preserve">Alkaline Phosphatase, Lactate Dehydrogenase, and IL-1β Expression as Risk Factors for Metastatic Bone Disease in Breast Cancer Patients at Prof. </w:t>
            </w:r>
            <w:proofErr w:type="spellStart"/>
            <w:r w:rsidRPr="005E2CE3">
              <w:rPr>
                <w:rFonts w:ascii="Arial" w:hAnsi="Arial" w:cs="Arial"/>
                <w:b/>
                <w:sz w:val="20"/>
                <w:szCs w:val="28"/>
                <w:lang w:val="en-GB"/>
              </w:rPr>
              <w:t>Dr.</w:t>
            </w:r>
            <w:proofErr w:type="spellEnd"/>
            <w:r w:rsidRPr="005E2CE3">
              <w:rPr>
                <w:rFonts w:ascii="Arial" w:hAnsi="Arial" w:cs="Arial"/>
                <w:b/>
                <w:sz w:val="20"/>
                <w:szCs w:val="28"/>
                <w:lang w:val="en-GB"/>
              </w:rPr>
              <w:t xml:space="preserve"> I.G.N.G </w:t>
            </w:r>
            <w:proofErr w:type="spellStart"/>
            <w:r w:rsidRPr="005E2CE3">
              <w:rPr>
                <w:rFonts w:ascii="Arial" w:hAnsi="Arial" w:cs="Arial"/>
                <w:b/>
                <w:sz w:val="20"/>
                <w:szCs w:val="28"/>
                <w:lang w:val="en-GB"/>
              </w:rPr>
              <w:t>Ngoerah</w:t>
            </w:r>
            <w:proofErr w:type="spellEnd"/>
            <w:r w:rsidRPr="005E2CE3">
              <w:rPr>
                <w:rFonts w:ascii="Arial" w:hAnsi="Arial" w:cs="Arial"/>
                <w:b/>
                <w:sz w:val="20"/>
                <w:szCs w:val="28"/>
                <w:lang w:val="en-GB"/>
              </w:rPr>
              <w:t xml:space="preserve"> General Hospital</w:t>
            </w:r>
          </w:p>
        </w:tc>
      </w:tr>
      <w:tr w:rsidR="00CF0BBB" w:rsidRPr="00F245A7" w14:paraId="706EA7E4" w14:textId="77777777" w:rsidTr="002643B3">
        <w:trPr>
          <w:trHeight w:val="332"/>
        </w:trPr>
        <w:tc>
          <w:tcPr>
            <w:tcW w:w="1234" w:type="pct"/>
          </w:tcPr>
          <w:p w14:paraId="27F9D21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5FE1B6B" w14:textId="77777777" w:rsidR="00CF0BBB" w:rsidRPr="00F245A7" w:rsidRDefault="005E2CE3" w:rsidP="000450FC">
            <w:pPr>
              <w:pStyle w:val="NormalWeb"/>
              <w:spacing w:before="0" w:beforeAutospacing="0" w:after="0" w:afterAutospacing="0"/>
              <w:rPr>
                <w:rFonts w:ascii="Arial" w:hAnsi="Arial" w:cs="Arial"/>
                <w:b/>
                <w:sz w:val="20"/>
                <w:szCs w:val="28"/>
                <w:lang w:val="en-GB"/>
              </w:rPr>
            </w:pPr>
            <w:r w:rsidRPr="005E2CE3">
              <w:rPr>
                <w:rFonts w:ascii="Arial" w:hAnsi="Arial" w:cs="Arial"/>
                <w:b/>
                <w:sz w:val="20"/>
                <w:szCs w:val="28"/>
                <w:lang w:val="en-GB"/>
              </w:rPr>
              <w:t>Original Research Article</w:t>
            </w:r>
          </w:p>
        </w:tc>
      </w:tr>
    </w:tbl>
    <w:p w14:paraId="602BD5BB" w14:textId="77777777" w:rsidR="00436C5B" w:rsidRPr="00900E9B" w:rsidRDefault="00436C5B" w:rsidP="00436C5B">
      <w:pPr>
        <w:pStyle w:val="BodyText"/>
        <w:rPr>
          <w:rFonts w:ascii="Times New Roman" w:hAnsi="Times New Roman"/>
          <w:sz w:val="20"/>
          <w:szCs w:val="20"/>
          <w:lang w:val="en-GB"/>
        </w:rPr>
      </w:pPr>
      <w:bookmarkStart w:id="0" w:name="_Hlk171324449"/>
    </w:p>
    <w:p w14:paraId="0CB3432C" w14:textId="77777777" w:rsidR="00436C5B" w:rsidRPr="00900E9B" w:rsidRDefault="00436C5B" w:rsidP="00436C5B">
      <w:pPr>
        <w:pStyle w:val="BodyText"/>
        <w:rPr>
          <w:rFonts w:ascii="Times New Roman" w:hAnsi="Times New Roman"/>
          <w:sz w:val="20"/>
          <w:szCs w:val="20"/>
          <w:lang w:val="en-GB"/>
        </w:rPr>
      </w:pPr>
    </w:p>
    <w:p w14:paraId="5424B976" w14:textId="77777777" w:rsidR="00436C5B" w:rsidRPr="00900E9B" w:rsidRDefault="00436C5B" w:rsidP="00436C5B">
      <w:pPr>
        <w:pStyle w:val="BodyText"/>
        <w:rPr>
          <w:rFonts w:ascii="Times New Roman" w:hAnsi="Times New Roman"/>
          <w:b/>
          <w:sz w:val="20"/>
          <w:szCs w:val="20"/>
          <w:u w:val="single"/>
          <w:lang w:val="en-GB"/>
        </w:rPr>
      </w:pPr>
    </w:p>
    <w:p w14:paraId="1FEBD2D7" w14:textId="77777777" w:rsidR="00436C5B" w:rsidRPr="00900E9B" w:rsidRDefault="00436C5B" w:rsidP="00436C5B">
      <w:pPr>
        <w:pStyle w:val="BodyText"/>
        <w:ind w:left="1440"/>
        <w:rPr>
          <w:rFonts w:ascii="Times New Roman" w:hAnsi="Times New Roman"/>
          <w:bCs/>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36C5B" w:rsidRPr="00900E9B" w14:paraId="5F6B4086" w14:textId="77777777">
        <w:tc>
          <w:tcPr>
            <w:tcW w:w="5000" w:type="pct"/>
            <w:gridSpan w:val="3"/>
            <w:tcBorders>
              <w:top w:val="nil"/>
              <w:left w:val="nil"/>
              <w:right w:val="nil"/>
            </w:tcBorders>
            <w:noWrap/>
          </w:tcPr>
          <w:p w14:paraId="7D96C627" w14:textId="28DF0CCD" w:rsidR="00436C5B" w:rsidRPr="00900E9B" w:rsidRDefault="00436C5B">
            <w:pPr>
              <w:pStyle w:val="Heading2"/>
              <w:jc w:val="left"/>
              <w:rPr>
                <w:rFonts w:ascii="Times New Roman" w:hAnsi="Times New Roman"/>
                <w:lang w:val="en-GB"/>
              </w:rPr>
            </w:pPr>
            <w:bookmarkStart w:id="1" w:name="_Hlk170903434"/>
            <w:bookmarkStart w:id="2" w:name="_GoBack"/>
            <w:bookmarkEnd w:id="2"/>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C3CB151" w14:textId="77777777" w:rsidR="00436C5B" w:rsidRPr="00900E9B" w:rsidRDefault="00436C5B">
            <w:pPr>
              <w:rPr>
                <w:sz w:val="20"/>
                <w:szCs w:val="20"/>
                <w:lang w:val="en-GB"/>
              </w:rPr>
            </w:pPr>
          </w:p>
        </w:tc>
      </w:tr>
      <w:tr w:rsidR="00436C5B" w:rsidRPr="00900E9B" w14:paraId="6E6EF4CE" w14:textId="77777777">
        <w:tc>
          <w:tcPr>
            <w:tcW w:w="1265" w:type="pct"/>
            <w:noWrap/>
          </w:tcPr>
          <w:p w14:paraId="30973530" w14:textId="77777777" w:rsidR="00436C5B" w:rsidRPr="00900E9B" w:rsidRDefault="00436C5B">
            <w:pPr>
              <w:pStyle w:val="Heading2"/>
              <w:jc w:val="left"/>
              <w:rPr>
                <w:rFonts w:ascii="Times New Roman" w:hAnsi="Times New Roman"/>
                <w:lang w:val="en-GB"/>
              </w:rPr>
            </w:pPr>
          </w:p>
        </w:tc>
        <w:tc>
          <w:tcPr>
            <w:tcW w:w="2212" w:type="pct"/>
          </w:tcPr>
          <w:p w14:paraId="33E04A7B" w14:textId="77777777" w:rsidR="00436C5B" w:rsidRDefault="00436C5B">
            <w:pPr>
              <w:pStyle w:val="Heading2"/>
              <w:jc w:val="left"/>
              <w:rPr>
                <w:rFonts w:ascii="Times New Roman" w:hAnsi="Times New Roman"/>
                <w:lang w:val="en-GB"/>
              </w:rPr>
            </w:pPr>
            <w:r w:rsidRPr="00900E9B">
              <w:rPr>
                <w:rFonts w:ascii="Times New Roman" w:hAnsi="Times New Roman"/>
                <w:lang w:val="en-GB"/>
              </w:rPr>
              <w:t>Reviewer’s comment</w:t>
            </w:r>
          </w:p>
          <w:p w14:paraId="3E961492" w14:textId="77777777" w:rsidR="00222959" w:rsidRPr="00222959" w:rsidRDefault="00222959" w:rsidP="00D146DF">
            <w:pPr>
              <w:rPr>
                <w:lang w:val="en-GB"/>
              </w:rPr>
            </w:pPr>
          </w:p>
        </w:tc>
        <w:tc>
          <w:tcPr>
            <w:tcW w:w="1523" w:type="pct"/>
          </w:tcPr>
          <w:p w14:paraId="1E9FEE3F" w14:textId="77777777" w:rsidR="008018D9" w:rsidRDefault="008018D9" w:rsidP="008018D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883AC1E" w14:textId="77777777" w:rsidR="00436C5B" w:rsidRPr="00900E9B" w:rsidRDefault="00436C5B">
            <w:pPr>
              <w:pStyle w:val="Heading2"/>
              <w:jc w:val="left"/>
              <w:rPr>
                <w:rFonts w:ascii="Times New Roman" w:hAnsi="Times New Roman"/>
                <w:b w:val="0"/>
                <w:lang w:val="en-GB"/>
              </w:rPr>
            </w:pPr>
          </w:p>
        </w:tc>
      </w:tr>
      <w:tr w:rsidR="00436C5B" w:rsidRPr="00900E9B" w14:paraId="288CB782" w14:textId="77777777" w:rsidTr="006104CD">
        <w:trPr>
          <w:trHeight w:val="756"/>
        </w:trPr>
        <w:tc>
          <w:tcPr>
            <w:tcW w:w="1265" w:type="pct"/>
            <w:noWrap/>
          </w:tcPr>
          <w:p w14:paraId="31B2710F" w14:textId="77777777" w:rsidR="00436C5B" w:rsidRPr="00900E9B" w:rsidRDefault="00436C5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5A8076B" w14:textId="77777777" w:rsidR="00436C5B" w:rsidRPr="00900E9B" w:rsidRDefault="00436C5B">
            <w:pPr>
              <w:ind w:left="360"/>
              <w:rPr>
                <w:rFonts w:eastAsia="MS Mincho"/>
                <w:b/>
                <w:bCs/>
                <w:sz w:val="20"/>
                <w:szCs w:val="20"/>
                <w:lang w:val="en-GB"/>
              </w:rPr>
            </w:pPr>
          </w:p>
        </w:tc>
        <w:tc>
          <w:tcPr>
            <w:tcW w:w="2212" w:type="pct"/>
          </w:tcPr>
          <w:p w14:paraId="3A316BD6" w14:textId="77777777" w:rsidR="00436C5B" w:rsidRPr="00900E9B" w:rsidRDefault="006104CD">
            <w:pPr>
              <w:pStyle w:val="ListParagraph"/>
              <w:ind w:left="0"/>
              <w:rPr>
                <w:b/>
                <w:bCs/>
                <w:sz w:val="20"/>
                <w:szCs w:val="20"/>
                <w:lang w:val="en-GB"/>
              </w:rPr>
            </w:pPr>
            <w:r>
              <w:rPr>
                <w:b/>
                <w:bCs/>
                <w:sz w:val="20"/>
                <w:szCs w:val="20"/>
                <w:lang w:val="en-GB"/>
              </w:rPr>
              <w:t xml:space="preserve">The authors analysed and compared the raise in LDH, serum alkaline phosphatase and Interleukin 1beta in patients of breast cancer with and without metastatic bone disease. </w:t>
            </w:r>
          </w:p>
        </w:tc>
        <w:tc>
          <w:tcPr>
            <w:tcW w:w="1523" w:type="pct"/>
          </w:tcPr>
          <w:p w14:paraId="1502D406" w14:textId="77777777" w:rsidR="00436C5B" w:rsidRPr="00DA752D" w:rsidRDefault="00DA752D" w:rsidP="00DA752D">
            <w:r>
              <w:t xml:space="preserve">We thank the reviewer for this summary of our study. Indeed, the primary objective of our research was to analyze and compare the levels of ALP, LDH, and IL-1β expression between breast cancer patients with and without metastatic bone disease (MBD), and to evaluate the combined predictive value of these biomarkers. We believe that this </w:t>
            </w:r>
            <w:proofErr w:type="spellStart"/>
            <w:r>
              <w:t>multimarker</w:t>
            </w:r>
            <w:proofErr w:type="spellEnd"/>
            <w:r>
              <w:t xml:space="preserve"> approach provides clinically relevant insights for early identification of patients at high risk of skeletal metastasis, which could facilitate timely clinical intervention.</w:t>
            </w:r>
          </w:p>
        </w:tc>
      </w:tr>
      <w:tr w:rsidR="00436C5B" w:rsidRPr="00900E9B" w14:paraId="0C585B3D" w14:textId="77777777" w:rsidTr="006104CD">
        <w:trPr>
          <w:trHeight w:val="619"/>
        </w:trPr>
        <w:tc>
          <w:tcPr>
            <w:tcW w:w="1265" w:type="pct"/>
            <w:noWrap/>
          </w:tcPr>
          <w:p w14:paraId="3968BB16" w14:textId="77777777" w:rsidR="00436C5B" w:rsidRPr="00900E9B" w:rsidRDefault="00436C5B">
            <w:pPr>
              <w:ind w:left="360"/>
              <w:rPr>
                <w:b/>
                <w:bCs/>
                <w:sz w:val="20"/>
                <w:szCs w:val="20"/>
                <w:lang w:val="en-GB"/>
              </w:rPr>
            </w:pPr>
            <w:r w:rsidRPr="00900E9B">
              <w:rPr>
                <w:b/>
                <w:bCs/>
                <w:sz w:val="20"/>
                <w:szCs w:val="20"/>
                <w:lang w:val="en-GB"/>
              </w:rPr>
              <w:t>Is the title of the article suitable?</w:t>
            </w:r>
          </w:p>
          <w:p w14:paraId="01DE1210" w14:textId="77777777" w:rsidR="00436C5B" w:rsidRPr="00900E9B" w:rsidRDefault="00436C5B" w:rsidP="006104CD">
            <w:pPr>
              <w:ind w:left="360"/>
              <w:rPr>
                <w:u w:val="single"/>
                <w:lang w:val="en-GB"/>
              </w:rPr>
            </w:pPr>
            <w:r w:rsidRPr="00900E9B">
              <w:rPr>
                <w:b/>
                <w:bCs/>
                <w:sz w:val="20"/>
                <w:szCs w:val="20"/>
                <w:lang w:val="en-GB"/>
              </w:rPr>
              <w:t>(If not please suggest an alternative title</w:t>
            </w:r>
          </w:p>
        </w:tc>
        <w:tc>
          <w:tcPr>
            <w:tcW w:w="2212" w:type="pct"/>
          </w:tcPr>
          <w:p w14:paraId="3F67A5D6" w14:textId="77777777" w:rsidR="00436C5B" w:rsidRPr="00900E9B" w:rsidRDefault="006104CD" w:rsidP="006104CD">
            <w:pPr>
              <w:rPr>
                <w:b/>
                <w:bCs/>
                <w:sz w:val="20"/>
                <w:szCs w:val="20"/>
                <w:lang w:val="en-GB"/>
              </w:rPr>
            </w:pPr>
            <w:r>
              <w:rPr>
                <w:b/>
                <w:bCs/>
                <w:sz w:val="20"/>
                <w:szCs w:val="20"/>
                <w:lang w:val="en-GB"/>
              </w:rPr>
              <w:t>No, it is not. The words ‘</w:t>
            </w:r>
            <w:r w:rsidRPr="005E2CE3">
              <w:rPr>
                <w:rFonts w:ascii="Arial" w:hAnsi="Arial" w:cs="Arial"/>
                <w:b/>
                <w:sz w:val="20"/>
                <w:szCs w:val="28"/>
                <w:lang w:val="en-GB"/>
              </w:rPr>
              <w:t xml:space="preserve">at Prof. </w:t>
            </w:r>
            <w:proofErr w:type="spellStart"/>
            <w:r w:rsidRPr="005E2CE3">
              <w:rPr>
                <w:rFonts w:ascii="Arial" w:hAnsi="Arial" w:cs="Arial"/>
                <w:b/>
                <w:sz w:val="20"/>
                <w:szCs w:val="28"/>
                <w:lang w:val="en-GB"/>
              </w:rPr>
              <w:t>Dr.</w:t>
            </w:r>
            <w:proofErr w:type="spellEnd"/>
            <w:r w:rsidRPr="005E2CE3">
              <w:rPr>
                <w:rFonts w:ascii="Arial" w:hAnsi="Arial" w:cs="Arial"/>
                <w:b/>
                <w:sz w:val="20"/>
                <w:szCs w:val="28"/>
                <w:lang w:val="en-GB"/>
              </w:rPr>
              <w:t xml:space="preserve"> I.G.N.G </w:t>
            </w:r>
            <w:proofErr w:type="spellStart"/>
            <w:r w:rsidRPr="005E2CE3">
              <w:rPr>
                <w:rFonts w:ascii="Arial" w:hAnsi="Arial" w:cs="Arial"/>
                <w:b/>
                <w:sz w:val="20"/>
                <w:szCs w:val="28"/>
                <w:lang w:val="en-GB"/>
              </w:rPr>
              <w:t>Ngoerah</w:t>
            </w:r>
            <w:proofErr w:type="spellEnd"/>
            <w:r w:rsidRPr="005E2CE3">
              <w:rPr>
                <w:rFonts w:ascii="Arial" w:hAnsi="Arial" w:cs="Arial"/>
                <w:b/>
                <w:sz w:val="20"/>
                <w:szCs w:val="28"/>
                <w:lang w:val="en-GB"/>
              </w:rPr>
              <w:t xml:space="preserve"> General Hospital</w:t>
            </w:r>
            <w:r>
              <w:rPr>
                <w:rFonts w:ascii="Arial" w:hAnsi="Arial" w:cs="Arial"/>
                <w:b/>
                <w:sz w:val="20"/>
                <w:szCs w:val="28"/>
                <w:lang w:val="en-GB"/>
              </w:rPr>
              <w:t>’ may be safely deleted</w:t>
            </w:r>
          </w:p>
        </w:tc>
        <w:tc>
          <w:tcPr>
            <w:tcW w:w="1523" w:type="pct"/>
          </w:tcPr>
          <w:p w14:paraId="0651DB2A" w14:textId="77777777" w:rsidR="00DA752D" w:rsidRDefault="00DA752D" w:rsidP="00DA752D">
            <w:r>
              <w:t>We thank the reviewer for this suggestion. We agree that removing the hospital name from the title improves readability and generalizability. We have revised the title to:</w:t>
            </w:r>
            <w:r>
              <w:br/>
            </w:r>
            <w:r>
              <w:br/>
              <w:t>"Association of Alkaline Phosphatase, Lactate Dehydrogenase, and IL-1β Expression with Metastatic Bone Disease in Breast Cancer Patients: A Case-Control Study"</w:t>
            </w:r>
            <w:r>
              <w:br/>
            </w:r>
            <w:r>
              <w:br/>
              <w:t>The study setting is now mentioned only in the Abstract and Methodology sections. This change has been reflected in the revised manuscript.</w:t>
            </w:r>
          </w:p>
          <w:p w14:paraId="0D518B44" w14:textId="77777777" w:rsidR="00DA752D" w:rsidRPr="00DA752D" w:rsidRDefault="00DA752D" w:rsidP="00DA752D">
            <w:pPr>
              <w:jc w:val="center"/>
              <w:rPr>
                <w:lang w:val="en-GB"/>
              </w:rPr>
            </w:pPr>
          </w:p>
        </w:tc>
      </w:tr>
      <w:tr w:rsidR="00436C5B" w:rsidRPr="00900E9B" w14:paraId="6958875D" w14:textId="77777777">
        <w:trPr>
          <w:trHeight w:val="1262"/>
        </w:trPr>
        <w:tc>
          <w:tcPr>
            <w:tcW w:w="1265" w:type="pct"/>
            <w:noWrap/>
          </w:tcPr>
          <w:p w14:paraId="34B0FB18" w14:textId="77777777" w:rsidR="00436C5B" w:rsidRPr="00900E9B" w:rsidRDefault="00436C5B">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49D8996" w14:textId="77777777" w:rsidR="00436C5B" w:rsidRPr="00900E9B" w:rsidRDefault="00436C5B">
            <w:pPr>
              <w:pStyle w:val="Heading2"/>
              <w:jc w:val="left"/>
              <w:rPr>
                <w:rFonts w:ascii="Times New Roman" w:hAnsi="Times New Roman"/>
                <w:u w:val="single"/>
                <w:lang w:val="en-GB"/>
              </w:rPr>
            </w:pPr>
          </w:p>
        </w:tc>
        <w:tc>
          <w:tcPr>
            <w:tcW w:w="2212" w:type="pct"/>
          </w:tcPr>
          <w:p w14:paraId="2AB3E602" w14:textId="77777777" w:rsidR="00436C5B" w:rsidRPr="00900E9B" w:rsidRDefault="006104CD" w:rsidP="006104CD">
            <w:pPr>
              <w:rPr>
                <w:b/>
                <w:bCs/>
                <w:sz w:val="20"/>
                <w:szCs w:val="20"/>
                <w:lang w:val="en-GB"/>
              </w:rPr>
            </w:pPr>
            <w:r>
              <w:rPr>
                <w:b/>
                <w:bCs/>
                <w:sz w:val="20"/>
                <w:szCs w:val="20"/>
                <w:lang w:val="en-GB"/>
              </w:rPr>
              <w:t>It should be made clear as to whether the raise in the 3 markers is the cause or the result of the metastases</w:t>
            </w:r>
          </w:p>
        </w:tc>
        <w:tc>
          <w:tcPr>
            <w:tcW w:w="1523" w:type="pct"/>
          </w:tcPr>
          <w:p w14:paraId="528B9C23" w14:textId="77777777" w:rsidR="00DA752D" w:rsidRDefault="00DA752D" w:rsidP="00DA752D">
            <w:r>
              <w:t>We greatly appreciate this important observation. The reviewer raises a fundamental point regarding the direction of causality. We acknowledge that in a case-control study design, the observed associations between elevated biomarker levels and MBD cannot establish causality — only association.</w:t>
            </w:r>
            <w:r>
              <w:br/>
            </w:r>
            <w:r>
              <w:br/>
              <w:t>We have revised the abstract to clarify this point. The revised Aims section now reads: "This study aimed to evaluate the associations of alkaline phosphatase (ALP), lactate dehydrogenase (LDH), and interleukin-1β (IL-1β) expression with metastatic bone disease (MBD) in breast cancer patients, and to determine their predictive value as risk markers."</w:t>
            </w:r>
            <w:r>
              <w:br/>
            </w:r>
            <w:r>
              <w:br/>
              <w:t>Furthermore, we have added clarifying language in both the abstract conclusion and the Discussion section:</w:t>
            </w:r>
            <w:r>
              <w:br/>
            </w:r>
            <w:r>
              <w:br/>
              <w:t>In the abstract: "These associations, observed in a case-control design, suggest that elevated ALP and IL-1β may serve as predictive biomarkers for the presence of MBD, although the cross-sectional nature of this study does not permit determination of a causal relationship. Prospective longitudinal studies are needed to establish whether these biomarker elevations precede or result from bone metastasis."</w:t>
            </w:r>
            <w:r>
              <w:br/>
            </w:r>
            <w:r>
              <w:br/>
              <w:t>In the Discussion section, we have added the following paragraph: "It is important to note that the elevated levels of ALP, LDH, and IL-1β observed in MBD patients may reflect the pathological consequences of bone metastasis rather than serve as causative factors. Specifically, elevated ALP likely results from increased osteoblastic activity in response to metastatic bone remodeling, while elevated LDH reflects the heightened metabolic demands of tumor cells and tissue injury associated with metastatic disease. For IL-1β, the relationship is more complex: preclinical evidence suggests that IL-1β produced by primary breast tumor cells may actively drive metastasis to bone through promotion of EMT and expansion of the bone metastatic niche (</w:t>
            </w:r>
            <w:proofErr w:type="spellStart"/>
            <w:r>
              <w:t>Tulotta</w:t>
            </w:r>
            <w:proofErr w:type="spellEnd"/>
            <w:r>
              <w:t xml:space="preserve"> and </w:t>
            </w:r>
            <w:proofErr w:type="spellStart"/>
            <w:r>
              <w:t>Ottewell</w:t>
            </w:r>
            <w:proofErr w:type="spellEnd"/>
            <w:r>
              <w:t xml:space="preserve">, 2018; Zhou and </w:t>
            </w:r>
            <w:proofErr w:type="spellStart"/>
            <w:r>
              <w:t>Ottewell</w:t>
            </w:r>
            <w:proofErr w:type="spellEnd"/>
            <w:r>
              <w:t>, 2024), while IL-1β is also upregulated as a consequence of tumor-bone cell interactions once metastasis has occurred. Therefore, IL-1β may play a dual role as both a contributor to and a consequence of the metastatic process. The case-control design of the present study does not permit definitive determination of the temporal or causal relationship between biomarker elevation and MBD, and prospective longitudinal studies with serial biomarker measurements are warranted to address this question."</w:t>
            </w:r>
          </w:p>
          <w:p w14:paraId="50F1DA82" w14:textId="77777777" w:rsidR="00436C5B" w:rsidRPr="00900E9B" w:rsidRDefault="00436C5B">
            <w:pPr>
              <w:pStyle w:val="Heading2"/>
              <w:jc w:val="left"/>
              <w:rPr>
                <w:rFonts w:ascii="Times New Roman" w:hAnsi="Times New Roman"/>
                <w:b w:val="0"/>
                <w:lang w:val="en-GB"/>
              </w:rPr>
            </w:pPr>
          </w:p>
        </w:tc>
      </w:tr>
      <w:tr w:rsidR="00436C5B" w:rsidRPr="00900E9B" w14:paraId="460AA54F" w14:textId="77777777">
        <w:trPr>
          <w:trHeight w:val="704"/>
        </w:trPr>
        <w:tc>
          <w:tcPr>
            <w:tcW w:w="1265" w:type="pct"/>
            <w:noWrap/>
          </w:tcPr>
          <w:p w14:paraId="044DE856" w14:textId="77777777" w:rsidR="00436C5B" w:rsidRPr="00900E9B" w:rsidRDefault="00436C5B">
            <w:pPr>
              <w:pStyle w:val="Heading2"/>
              <w:ind w:left="360"/>
              <w:jc w:val="left"/>
              <w:rPr>
                <w:b w:val="0"/>
                <w:bCs w:val="0"/>
                <w:u w:val="single"/>
                <w:lang w:val="en-GB"/>
              </w:rPr>
            </w:pPr>
            <w:r w:rsidRPr="00900E9B">
              <w:rPr>
                <w:rFonts w:ascii="Times New Roman" w:hAnsi="Times New Roman"/>
                <w:lang w:val="en-GB"/>
              </w:rPr>
              <w:lastRenderedPageBreak/>
              <w:t xml:space="preserve">Is the </w:t>
            </w:r>
            <w:r>
              <w:rPr>
                <w:rFonts w:ascii="Times New Roman" w:hAnsi="Times New Roman"/>
                <w:lang w:val="en-GB"/>
              </w:rPr>
              <w:t>manuscript scientifically, correct? Please write here.</w:t>
            </w:r>
          </w:p>
        </w:tc>
        <w:tc>
          <w:tcPr>
            <w:tcW w:w="2212" w:type="pct"/>
          </w:tcPr>
          <w:p w14:paraId="3BD6CDC9" w14:textId="77777777" w:rsidR="00436C5B" w:rsidRDefault="006104CD">
            <w:pPr>
              <w:pStyle w:val="ListParagraph"/>
              <w:ind w:left="0"/>
              <w:rPr>
                <w:bCs/>
                <w:sz w:val="20"/>
                <w:szCs w:val="20"/>
                <w:lang w:val="en-GB"/>
              </w:rPr>
            </w:pPr>
            <w:r>
              <w:rPr>
                <w:bCs/>
                <w:sz w:val="20"/>
                <w:szCs w:val="20"/>
                <w:lang w:val="en-GB"/>
              </w:rPr>
              <w:t xml:space="preserve">That SAP and LDH raise in metastatic bone disease is very well known. The raise of IL1b is documented. </w:t>
            </w:r>
          </w:p>
          <w:p w14:paraId="3AA167BE" w14:textId="77777777" w:rsidR="006104CD" w:rsidRDefault="006104CD">
            <w:pPr>
              <w:pStyle w:val="ListParagraph"/>
              <w:ind w:left="0"/>
              <w:rPr>
                <w:bCs/>
                <w:sz w:val="20"/>
                <w:szCs w:val="20"/>
                <w:lang w:val="en-GB"/>
              </w:rPr>
            </w:pPr>
            <w:r>
              <w:rPr>
                <w:bCs/>
                <w:sz w:val="20"/>
                <w:szCs w:val="20"/>
                <w:lang w:val="en-GB"/>
              </w:rPr>
              <w:t xml:space="preserve">Most people believe that the raise is the result of metastases, not the cause. </w:t>
            </w:r>
          </w:p>
          <w:p w14:paraId="5D15C80D" w14:textId="77777777" w:rsidR="006104CD" w:rsidRDefault="006104CD">
            <w:pPr>
              <w:pStyle w:val="ListParagraph"/>
              <w:ind w:left="0"/>
              <w:rPr>
                <w:bCs/>
                <w:sz w:val="20"/>
                <w:szCs w:val="20"/>
                <w:lang w:val="en-GB"/>
              </w:rPr>
            </w:pPr>
            <w:r>
              <w:rPr>
                <w:bCs/>
                <w:sz w:val="20"/>
                <w:szCs w:val="20"/>
                <w:lang w:val="en-GB"/>
              </w:rPr>
              <w:t xml:space="preserve">In the era of bone scan and PET CT, serum markers are of little use. </w:t>
            </w:r>
          </w:p>
          <w:p w14:paraId="27A8875F" w14:textId="77777777" w:rsidR="006104CD" w:rsidRPr="00C115E9" w:rsidRDefault="006104CD">
            <w:pPr>
              <w:pStyle w:val="ListParagraph"/>
              <w:ind w:left="0"/>
              <w:rPr>
                <w:bCs/>
                <w:sz w:val="20"/>
                <w:szCs w:val="20"/>
                <w:lang w:val="en-GB"/>
              </w:rPr>
            </w:pPr>
            <w:r>
              <w:rPr>
                <w:bCs/>
                <w:sz w:val="20"/>
                <w:szCs w:val="20"/>
                <w:lang w:val="en-GB"/>
              </w:rPr>
              <w:t xml:space="preserve">Had the authors used serial serum markers to predict occurrence of bone disease or progression of the same, it  would be of great help. LDH and SAP exist in more than one isoform. They can be raised in such diverse conditions as intravascular </w:t>
            </w:r>
            <w:proofErr w:type="spellStart"/>
            <w:r>
              <w:rPr>
                <w:bCs/>
                <w:sz w:val="20"/>
                <w:szCs w:val="20"/>
                <w:lang w:val="en-GB"/>
              </w:rPr>
              <w:t>hemolysis</w:t>
            </w:r>
            <w:proofErr w:type="spellEnd"/>
            <w:r>
              <w:rPr>
                <w:bCs/>
                <w:sz w:val="20"/>
                <w:szCs w:val="20"/>
                <w:lang w:val="en-GB"/>
              </w:rPr>
              <w:t xml:space="preserve"> to liver disease.</w:t>
            </w:r>
          </w:p>
        </w:tc>
        <w:tc>
          <w:tcPr>
            <w:tcW w:w="1523" w:type="pct"/>
          </w:tcPr>
          <w:p w14:paraId="075E0987" w14:textId="77777777" w:rsidR="00DA752D" w:rsidRDefault="00DA752D" w:rsidP="00DA752D">
            <w:r>
              <w:t>We sincerely appreciate the reviewer's thorough and expert commentary. These are critical points that we have carefully addressed in the revised manuscript:</w:t>
            </w:r>
            <w:r>
              <w:br/>
            </w:r>
            <w:r>
              <w:br/>
              <w:t>(a) Regarding causality vs. consequence: We fully agree with the reviewer that elevated ALP and LDH in the context of MBD are most likely a consequence of the metastatic process rather than a cause. We have revised the Discussion to explicitly state this. For ALP, the elevation reflects osteoblastic bone remodeling activity triggered by metastatic deposits. For LDH, the elevation reflects increased tumor metabolic activity and tissue injury. We have added a paragraph in the Discussion (see response to Comment 3) clearly stating that our findings demonstrate associations, not causal relationships, and that "most of the biomarker elevations observed likely represent the pathological consequences of established bone metastasis rather than causative factors."</w:t>
            </w:r>
            <w:r>
              <w:br/>
            </w:r>
            <w:r>
              <w:br/>
              <w:t xml:space="preserve">For IL-1β, we note that the situation may be somewhat different from ALP and LDH: preclinical evidence from </w:t>
            </w:r>
            <w:proofErr w:type="spellStart"/>
            <w:r>
              <w:t>Ottewell</w:t>
            </w:r>
            <w:proofErr w:type="spellEnd"/>
            <w:r>
              <w:t xml:space="preserve"> and colleagues (2019; Zhou et al., 2024) has demonstrated that IL-1β expression in primary breast tumors — measured before metastasis has occurred — is associated with increased risk of future bone relapse. This suggests that IL-1β may play an upstream, causative role in driving bone metastasis, unlike the more reactive elevations seen with ALP and LDH. We have clarified this nuance in the revised Discussion.</w:t>
            </w:r>
            <w:r>
              <w:br/>
            </w:r>
            <w:r>
              <w:br/>
              <w:t>(b) Regarding the limited utility of serum markers in the era of bone scan and PET-CT: We acknowledge this important point. We have added the following paragraph to the Discussion: "We acknowledge that in contemporary clinical practice, advanced imaging modalities such as bone scintigraphy and PET-CT remain the gold standard for detecting and monitoring bone metastasis, and serum biomarkers alone cannot replace these imaging tools. However, we propose that serum markers such as ALP and tissue-based markers such as IL-1β may have complementary value in clinical settings where access to advanced imaging is limited, or as adjunctive screening tools to identify patients who may benefit from earlier or more frequent imaging surveillance. This is particularly relevant in resource-limited settings in developing countries where PET-CT availability may be constrained."</w:t>
            </w:r>
            <w:r>
              <w:br/>
            </w:r>
            <w:r>
              <w:br/>
              <w:t xml:space="preserve">(c) Regarding serial biomarker measurements: We agree with the reviewer that serial (longitudinal) biomarker measurements would have been far more informative for predicting the occurrence or progression of bone disease. We have acknowledged this as a key limitation of our study and have </w:t>
            </w:r>
            <w:r>
              <w:lastRenderedPageBreak/>
              <w:t>added the following statement: "A major limitation of this study is the use of single time-point biomarker measurements in a case-control design, which does not capture temporal changes in biomarker levels. Serial biomarker monitoring in a prospective cohort study would be essential to determine whether rising ALP, LDH, or IL-1β levels can predict the onset or progression of bone metastasis before clinical or radiological detection. Future studies employing serial measurements are strongly recommended."</w:t>
            </w:r>
            <w:r>
              <w:br/>
            </w:r>
            <w:r>
              <w:br/>
              <w:t>(d) Regarding multiple isoforms of ALP and LDH and non-specificity: We appreciate the reviewer highlighting this important limitation. We have added the following to the Discussion: "It should be noted that both ALP and LDH exist in multiple isoforms. Total serum ALP reflects contributions from bone, liver, kidney, and intestinal isoenzymes, and can be elevated in diverse conditions including hepatobiliary disease, chronic kidney disease, and pregnancy. Similarly, LDH comprises five isoenzymes (LDH-1 to LDH-5) and can be elevated in conditions such as intravascular hemolysis, liver disease, myocardial infarction, and other tissue injuries. In the present study, we measured total serum ALP and LDH rather than their bone-specific isoforms (bone-specific alkaline phosphatase [BAP] and LDH-5, respectively), which may have reduced the specificity of our findings. We excluded patients with active inflammatory diseases and other known causes of non-specific biomarker elevation; however, subclinical conditions cannot be entirely ruled out. Future studies should consider measuring bone-specific ALP (BAP) and LDH isoenzyme fractionation to improve biomarker specificity for detecting MBD."</w:t>
            </w:r>
          </w:p>
          <w:p w14:paraId="3DA0347E" w14:textId="77777777" w:rsidR="00436C5B" w:rsidRPr="00900E9B" w:rsidRDefault="00436C5B">
            <w:pPr>
              <w:pStyle w:val="Heading2"/>
              <w:jc w:val="left"/>
              <w:rPr>
                <w:rFonts w:ascii="Times New Roman" w:hAnsi="Times New Roman"/>
                <w:b w:val="0"/>
                <w:lang w:val="en-GB"/>
              </w:rPr>
            </w:pPr>
          </w:p>
        </w:tc>
      </w:tr>
      <w:tr w:rsidR="00436C5B" w:rsidRPr="00900E9B" w14:paraId="0718B8EC" w14:textId="77777777">
        <w:trPr>
          <w:trHeight w:val="703"/>
        </w:trPr>
        <w:tc>
          <w:tcPr>
            <w:tcW w:w="1265" w:type="pct"/>
            <w:noWrap/>
          </w:tcPr>
          <w:p w14:paraId="217491E1" w14:textId="77777777" w:rsidR="00436C5B" w:rsidRPr="00E10705" w:rsidRDefault="00436C5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00D37D6" w14:textId="77777777" w:rsidR="00436C5B" w:rsidRPr="006F5EBE" w:rsidRDefault="006104CD">
            <w:pPr>
              <w:pStyle w:val="ListParagraph"/>
              <w:ind w:left="0"/>
              <w:rPr>
                <w:bCs/>
                <w:sz w:val="20"/>
                <w:szCs w:val="20"/>
                <w:lang w:val="en-GB"/>
              </w:rPr>
            </w:pPr>
            <w:r>
              <w:rPr>
                <w:bCs/>
                <w:sz w:val="20"/>
                <w:szCs w:val="20"/>
                <w:lang w:val="en-GB"/>
              </w:rPr>
              <w:t>Sufficient and recent</w:t>
            </w:r>
          </w:p>
        </w:tc>
        <w:tc>
          <w:tcPr>
            <w:tcW w:w="1523" w:type="pct"/>
          </w:tcPr>
          <w:p w14:paraId="6623D113" w14:textId="77777777" w:rsidR="00436C5B" w:rsidRPr="00DA752D" w:rsidRDefault="00DA752D">
            <w:pPr>
              <w:pStyle w:val="Heading2"/>
              <w:jc w:val="left"/>
              <w:rPr>
                <w:rFonts w:ascii="Times New Roman" w:hAnsi="Times New Roman"/>
                <w:b w:val="0"/>
                <w:bCs w:val="0"/>
                <w:lang w:val="en-GB"/>
              </w:rPr>
            </w:pPr>
            <w:proofErr w:type="spellStart"/>
            <w:r w:rsidRPr="00DA752D">
              <w:rPr>
                <w:rFonts w:ascii="Times New Roman" w:hAnsi="Times New Roman"/>
                <w:b w:val="0"/>
                <w:bCs w:val="0"/>
              </w:rPr>
              <w:t>We</w:t>
            </w:r>
            <w:proofErr w:type="spellEnd"/>
            <w:r w:rsidRPr="00DA752D">
              <w:rPr>
                <w:rFonts w:ascii="Times New Roman" w:hAnsi="Times New Roman"/>
                <w:b w:val="0"/>
                <w:bCs w:val="0"/>
              </w:rPr>
              <w:t xml:space="preserve"> </w:t>
            </w:r>
            <w:proofErr w:type="spellStart"/>
            <w:r w:rsidRPr="00DA752D">
              <w:rPr>
                <w:rFonts w:ascii="Times New Roman" w:hAnsi="Times New Roman"/>
                <w:b w:val="0"/>
                <w:bCs w:val="0"/>
              </w:rPr>
              <w:t>thank</w:t>
            </w:r>
            <w:proofErr w:type="spellEnd"/>
            <w:r w:rsidRPr="00DA752D">
              <w:rPr>
                <w:rFonts w:ascii="Times New Roman" w:hAnsi="Times New Roman"/>
                <w:b w:val="0"/>
                <w:bCs w:val="0"/>
              </w:rPr>
              <w:t xml:space="preserve"> the </w:t>
            </w:r>
            <w:proofErr w:type="spellStart"/>
            <w:r w:rsidRPr="00DA752D">
              <w:rPr>
                <w:rFonts w:ascii="Times New Roman" w:hAnsi="Times New Roman"/>
                <w:b w:val="0"/>
                <w:bCs w:val="0"/>
              </w:rPr>
              <w:t>reviewer</w:t>
            </w:r>
            <w:proofErr w:type="spellEnd"/>
            <w:r w:rsidRPr="00DA752D">
              <w:rPr>
                <w:rFonts w:ascii="Times New Roman" w:hAnsi="Times New Roman"/>
                <w:b w:val="0"/>
                <w:bCs w:val="0"/>
              </w:rPr>
              <w:t xml:space="preserve"> for </w:t>
            </w:r>
            <w:proofErr w:type="spellStart"/>
            <w:r w:rsidRPr="00DA752D">
              <w:rPr>
                <w:rFonts w:ascii="Times New Roman" w:hAnsi="Times New Roman"/>
                <w:b w:val="0"/>
                <w:bCs w:val="0"/>
              </w:rPr>
              <w:t>confirming</w:t>
            </w:r>
            <w:proofErr w:type="spellEnd"/>
            <w:r w:rsidRPr="00DA752D">
              <w:rPr>
                <w:rFonts w:ascii="Times New Roman" w:hAnsi="Times New Roman"/>
                <w:b w:val="0"/>
                <w:bCs w:val="0"/>
              </w:rPr>
              <w:t xml:space="preserve"> the </w:t>
            </w:r>
            <w:proofErr w:type="spellStart"/>
            <w:r w:rsidRPr="00DA752D">
              <w:rPr>
                <w:rFonts w:ascii="Times New Roman" w:hAnsi="Times New Roman"/>
                <w:b w:val="0"/>
                <w:bCs w:val="0"/>
              </w:rPr>
              <w:t>adequacy</w:t>
            </w:r>
            <w:proofErr w:type="spellEnd"/>
            <w:r w:rsidRPr="00DA752D">
              <w:rPr>
                <w:rFonts w:ascii="Times New Roman" w:hAnsi="Times New Roman"/>
                <w:b w:val="0"/>
                <w:bCs w:val="0"/>
              </w:rPr>
              <w:t xml:space="preserve"> and </w:t>
            </w:r>
            <w:proofErr w:type="spellStart"/>
            <w:r w:rsidRPr="00DA752D">
              <w:rPr>
                <w:rFonts w:ascii="Times New Roman" w:hAnsi="Times New Roman"/>
                <w:b w:val="0"/>
                <w:bCs w:val="0"/>
              </w:rPr>
              <w:t>currency</w:t>
            </w:r>
            <w:proofErr w:type="spellEnd"/>
            <w:r w:rsidRPr="00DA752D">
              <w:rPr>
                <w:rFonts w:ascii="Times New Roman" w:hAnsi="Times New Roman"/>
                <w:b w:val="0"/>
                <w:bCs w:val="0"/>
              </w:rPr>
              <w:t xml:space="preserve"> of </w:t>
            </w:r>
            <w:proofErr w:type="spellStart"/>
            <w:r w:rsidRPr="00DA752D">
              <w:rPr>
                <w:rFonts w:ascii="Times New Roman" w:hAnsi="Times New Roman"/>
                <w:b w:val="0"/>
                <w:bCs w:val="0"/>
              </w:rPr>
              <w:t>our</w:t>
            </w:r>
            <w:proofErr w:type="spellEnd"/>
            <w:r w:rsidRPr="00DA752D">
              <w:rPr>
                <w:rFonts w:ascii="Times New Roman" w:hAnsi="Times New Roman"/>
                <w:b w:val="0"/>
                <w:bCs w:val="0"/>
              </w:rPr>
              <w:t xml:space="preserve"> </w:t>
            </w:r>
            <w:proofErr w:type="spellStart"/>
            <w:r w:rsidRPr="00DA752D">
              <w:rPr>
                <w:rFonts w:ascii="Times New Roman" w:hAnsi="Times New Roman"/>
                <w:b w:val="0"/>
                <w:bCs w:val="0"/>
              </w:rPr>
              <w:t>references</w:t>
            </w:r>
            <w:proofErr w:type="spellEnd"/>
            <w:r w:rsidRPr="00DA752D">
              <w:rPr>
                <w:rFonts w:ascii="Times New Roman" w:hAnsi="Times New Roman"/>
                <w:b w:val="0"/>
                <w:bCs w:val="0"/>
              </w:rPr>
              <w:t xml:space="preserve">. In </w:t>
            </w:r>
            <w:proofErr w:type="spellStart"/>
            <w:r w:rsidRPr="00DA752D">
              <w:rPr>
                <w:rFonts w:ascii="Times New Roman" w:hAnsi="Times New Roman"/>
                <w:b w:val="0"/>
                <w:bCs w:val="0"/>
              </w:rPr>
              <w:t>response</w:t>
            </w:r>
            <w:proofErr w:type="spellEnd"/>
            <w:r w:rsidRPr="00DA752D">
              <w:rPr>
                <w:rFonts w:ascii="Times New Roman" w:hAnsi="Times New Roman"/>
                <w:b w:val="0"/>
                <w:bCs w:val="0"/>
              </w:rPr>
              <w:t xml:space="preserve"> to suggestions </w:t>
            </w:r>
            <w:proofErr w:type="spellStart"/>
            <w:r w:rsidRPr="00DA752D">
              <w:rPr>
                <w:rFonts w:ascii="Times New Roman" w:hAnsi="Times New Roman"/>
                <w:b w:val="0"/>
                <w:bCs w:val="0"/>
              </w:rPr>
              <w:t>from</w:t>
            </w:r>
            <w:proofErr w:type="spellEnd"/>
            <w:r w:rsidRPr="00DA752D">
              <w:rPr>
                <w:rFonts w:ascii="Times New Roman" w:hAnsi="Times New Roman"/>
                <w:b w:val="0"/>
                <w:bCs w:val="0"/>
              </w:rPr>
              <w:t xml:space="preserve"> </w:t>
            </w:r>
            <w:proofErr w:type="spellStart"/>
            <w:r w:rsidRPr="00DA752D">
              <w:rPr>
                <w:rFonts w:ascii="Times New Roman" w:hAnsi="Times New Roman"/>
                <w:b w:val="0"/>
                <w:bCs w:val="0"/>
              </w:rPr>
              <w:t>another</w:t>
            </w:r>
            <w:proofErr w:type="spellEnd"/>
            <w:r w:rsidRPr="00DA752D">
              <w:rPr>
                <w:rFonts w:ascii="Times New Roman" w:hAnsi="Times New Roman"/>
                <w:b w:val="0"/>
                <w:bCs w:val="0"/>
              </w:rPr>
              <w:t xml:space="preserve"> </w:t>
            </w:r>
            <w:proofErr w:type="spellStart"/>
            <w:r w:rsidRPr="00DA752D">
              <w:rPr>
                <w:rFonts w:ascii="Times New Roman" w:hAnsi="Times New Roman"/>
                <w:b w:val="0"/>
                <w:bCs w:val="0"/>
              </w:rPr>
              <w:t>reviewer</w:t>
            </w:r>
            <w:proofErr w:type="spellEnd"/>
            <w:r w:rsidRPr="00DA752D">
              <w:rPr>
                <w:rFonts w:ascii="Times New Roman" w:hAnsi="Times New Roman"/>
                <w:b w:val="0"/>
                <w:bCs w:val="0"/>
              </w:rPr>
              <w:t xml:space="preserve">, </w:t>
            </w:r>
            <w:proofErr w:type="spellStart"/>
            <w:r w:rsidRPr="00DA752D">
              <w:rPr>
                <w:rFonts w:ascii="Times New Roman" w:hAnsi="Times New Roman"/>
                <w:b w:val="0"/>
                <w:bCs w:val="0"/>
              </w:rPr>
              <w:t>we</w:t>
            </w:r>
            <w:proofErr w:type="spellEnd"/>
            <w:r w:rsidRPr="00DA752D">
              <w:rPr>
                <w:rFonts w:ascii="Times New Roman" w:hAnsi="Times New Roman"/>
                <w:b w:val="0"/>
                <w:bCs w:val="0"/>
              </w:rPr>
              <w:t xml:space="preserve"> have </w:t>
            </w:r>
            <w:proofErr w:type="spellStart"/>
            <w:r w:rsidRPr="00DA752D">
              <w:rPr>
                <w:rFonts w:ascii="Times New Roman" w:hAnsi="Times New Roman"/>
                <w:b w:val="0"/>
                <w:bCs w:val="0"/>
              </w:rPr>
              <w:t>added</w:t>
            </w:r>
            <w:proofErr w:type="spellEnd"/>
            <w:r w:rsidRPr="00DA752D">
              <w:rPr>
                <w:rFonts w:ascii="Times New Roman" w:hAnsi="Times New Roman"/>
                <w:b w:val="0"/>
                <w:bCs w:val="0"/>
              </w:rPr>
              <w:t xml:space="preserve"> </w:t>
            </w:r>
            <w:proofErr w:type="spellStart"/>
            <w:r w:rsidRPr="00DA752D">
              <w:rPr>
                <w:rFonts w:ascii="Times New Roman" w:hAnsi="Times New Roman"/>
                <w:b w:val="0"/>
                <w:bCs w:val="0"/>
              </w:rPr>
              <w:t>three</w:t>
            </w:r>
            <w:proofErr w:type="spellEnd"/>
            <w:r w:rsidRPr="00DA752D">
              <w:rPr>
                <w:rFonts w:ascii="Times New Roman" w:hAnsi="Times New Roman"/>
                <w:b w:val="0"/>
                <w:bCs w:val="0"/>
              </w:rPr>
              <w:t xml:space="preserve"> </w:t>
            </w:r>
            <w:proofErr w:type="spellStart"/>
            <w:r w:rsidRPr="00DA752D">
              <w:rPr>
                <w:rFonts w:ascii="Times New Roman" w:hAnsi="Times New Roman"/>
                <w:b w:val="0"/>
                <w:bCs w:val="0"/>
              </w:rPr>
              <w:t>recent</w:t>
            </w:r>
            <w:proofErr w:type="spellEnd"/>
            <w:r w:rsidRPr="00DA752D">
              <w:rPr>
                <w:rFonts w:ascii="Times New Roman" w:hAnsi="Times New Roman"/>
                <w:b w:val="0"/>
                <w:bCs w:val="0"/>
              </w:rPr>
              <w:t xml:space="preserve"> </w:t>
            </w:r>
            <w:proofErr w:type="spellStart"/>
            <w:r w:rsidRPr="00DA752D">
              <w:rPr>
                <w:rFonts w:ascii="Times New Roman" w:hAnsi="Times New Roman"/>
                <w:b w:val="0"/>
                <w:bCs w:val="0"/>
              </w:rPr>
              <w:t>references</w:t>
            </w:r>
            <w:proofErr w:type="spellEnd"/>
            <w:r w:rsidRPr="00DA752D">
              <w:rPr>
                <w:rFonts w:ascii="Times New Roman" w:hAnsi="Times New Roman"/>
                <w:b w:val="0"/>
                <w:bCs w:val="0"/>
              </w:rPr>
              <w:t xml:space="preserve"> (2022–2024) on IL-1β </w:t>
            </w:r>
            <w:proofErr w:type="spellStart"/>
            <w:r w:rsidRPr="00DA752D">
              <w:rPr>
                <w:rFonts w:ascii="Times New Roman" w:hAnsi="Times New Roman"/>
                <w:b w:val="0"/>
                <w:bCs w:val="0"/>
              </w:rPr>
              <w:t>signaling</w:t>
            </w:r>
            <w:proofErr w:type="spellEnd"/>
            <w:r w:rsidRPr="00DA752D">
              <w:rPr>
                <w:rFonts w:ascii="Times New Roman" w:hAnsi="Times New Roman"/>
                <w:b w:val="0"/>
                <w:bCs w:val="0"/>
              </w:rPr>
              <w:t xml:space="preserve"> in </w:t>
            </w:r>
            <w:proofErr w:type="spellStart"/>
            <w:r w:rsidRPr="00DA752D">
              <w:rPr>
                <w:rFonts w:ascii="Times New Roman" w:hAnsi="Times New Roman"/>
                <w:b w:val="0"/>
                <w:bCs w:val="0"/>
              </w:rPr>
              <w:t>breast</w:t>
            </w:r>
            <w:proofErr w:type="spellEnd"/>
            <w:r w:rsidRPr="00DA752D">
              <w:rPr>
                <w:rFonts w:ascii="Times New Roman" w:hAnsi="Times New Roman"/>
                <w:b w:val="0"/>
                <w:bCs w:val="0"/>
              </w:rPr>
              <w:t xml:space="preserve"> cancer </w:t>
            </w:r>
            <w:proofErr w:type="spellStart"/>
            <w:r w:rsidRPr="00DA752D">
              <w:rPr>
                <w:rFonts w:ascii="Times New Roman" w:hAnsi="Times New Roman"/>
                <w:b w:val="0"/>
                <w:bCs w:val="0"/>
              </w:rPr>
              <w:t>bone</w:t>
            </w:r>
            <w:proofErr w:type="spellEnd"/>
            <w:r w:rsidRPr="00DA752D">
              <w:rPr>
                <w:rFonts w:ascii="Times New Roman" w:hAnsi="Times New Roman"/>
                <w:b w:val="0"/>
                <w:bCs w:val="0"/>
              </w:rPr>
              <w:t xml:space="preserve"> </w:t>
            </w:r>
            <w:proofErr w:type="spellStart"/>
            <w:r w:rsidRPr="00DA752D">
              <w:rPr>
                <w:rFonts w:ascii="Times New Roman" w:hAnsi="Times New Roman"/>
                <w:b w:val="0"/>
                <w:bCs w:val="0"/>
              </w:rPr>
              <w:t>metastasis</w:t>
            </w:r>
            <w:proofErr w:type="spellEnd"/>
            <w:r w:rsidRPr="00DA752D">
              <w:rPr>
                <w:rFonts w:ascii="Times New Roman" w:hAnsi="Times New Roman"/>
                <w:b w:val="0"/>
                <w:bCs w:val="0"/>
              </w:rPr>
              <w:t xml:space="preserve"> to </w:t>
            </w:r>
            <w:proofErr w:type="spellStart"/>
            <w:r w:rsidRPr="00DA752D">
              <w:rPr>
                <w:rFonts w:ascii="Times New Roman" w:hAnsi="Times New Roman"/>
                <w:b w:val="0"/>
                <w:bCs w:val="0"/>
              </w:rPr>
              <w:t>further</w:t>
            </w:r>
            <w:proofErr w:type="spellEnd"/>
            <w:r w:rsidRPr="00DA752D">
              <w:rPr>
                <w:rFonts w:ascii="Times New Roman" w:hAnsi="Times New Roman"/>
                <w:b w:val="0"/>
                <w:bCs w:val="0"/>
              </w:rPr>
              <w:t xml:space="preserve"> </w:t>
            </w:r>
            <w:proofErr w:type="spellStart"/>
            <w:r w:rsidRPr="00DA752D">
              <w:rPr>
                <w:rFonts w:ascii="Times New Roman" w:hAnsi="Times New Roman"/>
                <w:b w:val="0"/>
                <w:bCs w:val="0"/>
              </w:rPr>
              <w:t>strengthen</w:t>
            </w:r>
            <w:proofErr w:type="spellEnd"/>
            <w:r w:rsidRPr="00DA752D">
              <w:rPr>
                <w:rFonts w:ascii="Times New Roman" w:hAnsi="Times New Roman"/>
                <w:b w:val="0"/>
                <w:bCs w:val="0"/>
              </w:rPr>
              <w:t xml:space="preserve"> the </w:t>
            </w:r>
            <w:proofErr w:type="spellStart"/>
            <w:r w:rsidRPr="00DA752D">
              <w:rPr>
                <w:rFonts w:ascii="Times New Roman" w:hAnsi="Times New Roman"/>
                <w:b w:val="0"/>
                <w:bCs w:val="0"/>
              </w:rPr>
              <w:t>manuscript</w:t>
            </w:r>
            <w:proofErr w:type="spellEnd"/>
            <w:r w:rsidRPr="00DA752D">
              <w:rPr>
                <w:rFonts w:ascii="Times New Roman" w:hAnsi="Times New Roman"/>
                <w:b w:val="0"/>
                <w:bCs w:val="0"/>
              </w:rPr>
              <w:t>.</w:t>
            </w:r>
          </w:p>
        </w:tc>
      </w:tr>
      <w:tr w:rsidR="00436C5B" w:rsidRPr="00900E9B" w14:paraId="4FF735B2" w14:textId="77777777">
        <w:trPr>
          <w:trHeight w:val="386"/>
        </w:trPr>
        <w:tc>
          <w:tcPr>
            <w:tcW w:w="1265" w:type="pct"/>
            <w:noWrap/>
          </w:tcPr>
          <w:p w14:paraId="5A7AE23E" w14:textId="77777777" w:rsidR="00436C5B" w:rsidRPr="00900E9B" w:rsidRDefault="00436C5B">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7463A51" w14:textId="77777777" w:rsidR="00436C5B" w:rsidRPr="00900E9B" w:rsidRDefault="00436C5B">
            <w:pPr>
              <w:rPr>
                <w:sz w:val="20"/>
                <w:szCs w:val="20"/>
                <w:lang w:val="en-GB"/>
              </w:rPr>
            </w:pPr>
          </w:p>
        </w:tc>
        <w:tc>
          <w:tcPr>
            <w:tcW w:w="2212" w:type="pct"/>
          </w:tcPr>
          <w:p w14:paraId="1C380E71" w14:textId="77777777" w:rsidR="00436C5B" w:rsidRPr="00900E9B" w:rsidRDefault="006104CD">
            <w:pPr>
              <w:rPr>
                <w:sz w:val="20"/>
                <w:szCs w:val="20"/>
                <w:lang w:val="en-GB"/>
              </w:rPr>
            </w:pPr>
            <w:r>
              <w:rPr>
                <w:sz w:val="20"/>
                <w:szCs w:val="20"/>
                <w:lang w:val="en-GB"/>
              </w:rPr>
              <w:t>Suitable</w:t>
            </w:r>
          </w:p>
        </w:tc>
        <w:tc>
          <w:tcPr>
            <w:tcW w:w="1523" w:type="pct"/>
          </w:tcPr>
          <w:p w14:paraId="2D8ED6CD" w14:textId="77777777" w:rsidR="00DA752D" w:rsidRDefault="00DA752D" w:rsidP="00DA752D">
            <w:r>
              <w:t>We thank the reviewer for confirming the suitability of the language quality.</w:t>
            </w:r>
          </w:p>
          <w:p w14:paraId="5BD33077" w14:textId="77777777" w:rsidR="00436C5B" w:rsidRPr="00900E9B" w:rsidRDefault="00436C5B">
            <w:pPr>
              <w:rPr>
                <w:sz w:val="20"/>
                <w:szCs w:val="20"/>
                <w:lang w:val="en-GB"/>
              </w:rPr>
            </w:pPr>
          </w:p>
        </w:tc>
      </w:tr>
      <w:tr w:rsidR="00436C5B" w:rsidRPr="00900E9B" w14:paraId="234A46BD" w14:textId="77777777">
        <w:trPr>
          <w:trHeight w:val="1178"/>
        </w:trPr>
        <w:tc>
          <w:tcPr>
            <w:tcW w:w="1265" w:type="pct"/>
            <w:noWrap/>
          </w:tcPr>
          <w:p w14:paraId="59D3E027" w14:textId="77777777" w:rsidR="00436C5B" w:rsidRPr="00900E9B" w:rsidRDefault="00436C5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04B26FD" w14:textId="77777777" w:rsidR="00436C5B" w:rsidRPr="00900E9B" w:rsidRDefault="00436C5B">
            <w:pPr>
              <w:pStyle w:val="Heading2"/>
              <w:jc w:val="left"/>
              <w:rPr>
                <w:rFonts w:ascii="Times New Roman" w:hAnsi="Times New Roman"/>
                <w:b w:val="0"/>
                <w:lang w:val="en-GB"/>
              </w:rPr>
            </w:pPr>
          </w:p>
        </w:tc>
        <w:tc>
          <w:tcPr>
            <w:tcW w:w="2212" w:type="pct"/>
          </w:tcPr>
          <w:p w14:paraId="4E238430" w14:textId="77777777" w:rsidR="00436C5B" w:rsidRPr="000D0955" w:rsidRDefault="006104C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Ideally, the comparison should have been between those with bone only metastases versus those with bone and other organ </w:t>
            </w:r>
            <w:proofErr w:type="spellStart"/>
            <w:r>
              <w:rPr>
                <w:rFonts w:ascii="Times New Roman" w:hAnsi="Times New Roman" w:cs="Times New Roman"/>
                <w:b/>
                <w:sz w:val="20"/>
                <w:szCs w:val="20"/>
                <w:lang w:val="en-GB"/>
              </w:rPr>
              <w:t>mets</w:t>
            </w:r>
            <w:proofErr w:type="spellEnd"/>
            <w:r>
              <w:rPr>
                <w:rFonts w:ascii="Times New Roman" w:hAnsi="Times New Roman" w:cs="Times New Roman"/>
                <w:b/>
                <w:sz w:val="20"/>
                <w:szCs w:val="20"/>
                <w:lang w:val="en-GB"/>
              </w:rPr>
              <w:t xml:space="preserve"> versus non-bony metastases.</w:t>
            </w:r>
          </w:p>
        </w:tc>
        <w:tc>
          <w:tcPr>
            <w:tcW w:w="1523" w:type="pct"/>
          </w:tcPr>
          <w:p w14:paraId="4392FBD4" w14:textId="77777777" w:rsidR="00DA752D" w:rsidRDefault="00DA752D" w:rsidP="00DA752D">
            <w:r>
              <w:t>We sincerely appreciate this methodological suggestion. The reviewer proposes an ideal three-group comparison: (</w:t>
            </w:r>
            <w:proofErr w:type="spellStart"/>
            <w:r>
              <w:t>i</w:t>
            </w:r>
            <w:proofErr w:type="spellEnd"/>
            <w:r>
              <w:t>) bone-only metastases, (ii) bone + other organ metastases, and (iii) non-bony metastases. We agree that such a design would provide more nuanced insights into whether these biomarkers are specific to bone metastasis or are elevated in metastatic disease in general.</w:t>
            </w:r>
            <w:r>
              <w:br/>
            </w:r>
            <w:r>
              <w:br/>
              <w:t>We have addressed this point in the revised manuscript as follows:</w:t>
            </w:r>
            <w:r>
              <w:br/>
            </w:r>
            <w:r>
              <w:br/>
              <w:t>In the Discussion (Limitations section), we have added: "Another limitation of this study is the dichotomous grouping of patients into MBD and non-MBD groups without further subclassification. Ideally, a more refined comparison would include three groups: (</w:t>
            </w:r>
            <w:proofErr w:type="spellStart"/>
            <w:r>
              <w:t>i</w:t>
            </w:r>
            <w:proofErr w:type="spellEnd"/>
            <w:r>
              <w:t>) patients with bone-only metastases, (ii) patients with bone and other organ metastases, and (iii) patients with non-bony metastases only. Such a design would enable determination of whether the observed biomarker elevations are specific to bone metastasis or are associated with metastatic disease in general. In the present study, our exclusion criteria included patients with metastasis to sites other than bone, meaning the MBD group comprised patients with bone metastasis (with or without other sites of involvement), while the control group consisted of breast cancer patients without any evidence of bone metastasis. Future studies with larger sample sizes should adopt a multi-group comparison design to better characterize the specificity of these biomarkers for bone metastasis."</w:t>
            </w:r>
            <w:r>
              <w:br/>
            </w:r>
            <w:r>
              <w:br/>
              <w:t>We believe this acknowledgment strengthens the transparency of our manuscript and provides clear direction for future research.</w:t>
            </w:r>
          </w:p>
          <w:p w14:paraId="78D3DE69" w14:textId="77777777" w:rsidR="00DA752D" w:rsidRDefault="00DA752D" w:rsidP="00DA752D"/>
          <w:p w14:paraId="73085FA6" w14:textId="77777777" w:rsidR="00436C5B" w:rsidRPr="00900E9B" w:rsidRDefault="00436C5B">
            <w:pPr>
              <w:rPr>
                <w:sz w:val="20"/>
                <w:szCs w:val="20"/>
                <w:lang w:val="en-GB"/>
              </w:rPr>
            </w:pPr>
          </w:p>
        </w:tc>
      </w:tr>
    </w:tbl>
    <w:p w14:paraId="738875A2" w14:textId="77777777" w:rsidR="00436C5B" w:rsidRPr="00900E9B" w:rsidRDefault="00436C5B" w:rsidP="00436C5B">
      <w:pPr>
        <w:pStyle w:val="BodyText"/>
        <w:rPr>
          <w:rFonts w:ascii="Times New Roman" w:hAnsi="Times New Roman"/>
          <w:b/>
          <w:bCs/>
          <w:sz w:val="20"/>
          <w:szCs w:val="20"/>
          <w:u w:val="single"/>
          <w:lang w:val="en-GB"/>
        </w:rPr>
      </w:pPr>
    </w:p>
    <w:p w14:paraId="5515B1CD" w14:textId="77777777" w:rsidR="00436C5B" w:rsidRPr="00900E9B" w:rsidRDefault="00436C5B" w:rsidP="00436C5B">
      <w:pPr>
        <w:pStyle w:val="BodyText"/>
        <w:rPr>
          <w:rFonts w:ascii="Times New Roman" w:hAnsi="Times New Roman"/>
          <w:b/>
          <w:bCs/>
          <w:sz w:val="20"/>
          <w:szCs w:val="20"/>
          <w:u w:val="single"/>
          <w:lang w:val="en-GB"/>
        </w:rPr>
      </w:pPr>
    </w:p>
    <w:p w14:paraId="3C52D92B" w14:textId="77777777" w:rsidR="00436C5B" w:rsidRPr="00900E9B" w:rsidRDefault="00436C5B" w:rsidP="00436C5B">
      <w:pPr>
        <w:pStyle w:val="BodyText"/>
        <w:rPr>
          <w:rFonts w:ascii="Times New Roman" w:hAnsi="Times New Roman"/>
          <w:b/>
          <w:bCs/>
          <w:sz w:val="20"/>
          <w:szCs w:val="20"/>
          <w:u w:val="single"/>
          <w:lang w:val="en-GB"/>
        </w:rPr>
      </w:pPr>
    </w:p>
    <w:p w14:paraId="51621C57" w14:textId="77777777" w:rsidR="00436C5B" w:rsidRPr="00900E9B" w:rsidRDefault="00436C5B" w:rsidP="00436C5B">
      <w:pPr>
        <w:pStyle w:val="BodyText"/>
        <w:rPr>
          <w:rFonts w:ascii="Times New Roman" w:hAnsi="Times New Roman"/>
          <w:b/>
          <w:bCs/>
          <w:sz w:val="20"/>
          <w:szCs w:val="20"/>
          <w:u w:val="single"/>
          <w:lang w:val="en-GB"/>
        </w:rPr>
      </w:pPr>
    </w:p>
    <w:p w14:paraId="3BE607A7" w14:textId="77777777" w:rsidR="00436C5B" w:rsidRPr="00900E9B" w:rsidRDefault="00436C5B" w:rsidP="00436C5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875BA" w:rsidRPr="00340561" w14:paraId="79B203BD" w14:textId="77777777">
        <w:tc>
          <w:tcPr>
            <w:tcW w:w="5000" w:type="pct"/>
            <w:gridSpan w:val="3"/>
            <w:tcBorders>
              <w:top w:val="nil"/>
              <w:left w:val="nil"/>
              <w:right w:val="nil"/>
            </w:tcBorders>
            <w:noWrap/>
            <w:tcMar>
              <w:top w:w="0" w:type="dxa"/>
              <w:left w:w="108" w:type="dxa"/>
              <w:bottom w:w="0" w:type="dxa"/>
              <w:right w:w="108" w:type="dxa"/>
            </w:tcMar>
            <w:vAlign w:val="center"/>
          </w:tcPr>
          <w:p w14:paraId="02C0678A" w14:textId="77777777" w:rsidR="00B875BA" w:rsidRPr="00340561" w:rsidRDefault="00B875BA">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2A50D2C1" w14:textId="77777777" w:rsidR="00B875BA" w:rsidRPr="00340561" w:rsidRDefault="00B875BA">
            <w:pPr>
              <w:rPr>
                <w:rFonts w:ascii="Arial" w:eastAsia="Arial Unicode MS" w:hAnsi="Arial" w:cs="Arial"/>
                <w:b/>
                <w:sz w:val="20"/>
                <w:szCs w:val="20"/>
                <w:u w:val="single"/>
                <w:lang w:val="en-GB"/>
              </w:rPr>
            </w:pPr>
          </w:p>
        </w:tc>
      </w:tr>
      <w:tr w:rsidR="00B875BA" w:rsidRPr="00340561" w14:paraId="7089966D" w14:textId="77777777">
        <w:tc>
          <w:tcPr>
            <w:tcW w:w="1615" w:type="pct"/>
            <w:noWrap/>
            <w:tcMar>
              <w:top w:w="0" w:type="dxa"/>
              <w:left w:w="108" w:type="dxa"/>
              <w:bottom w:w="0" w:type="dxa"/>
              <w:right w:w="108" w:type="dxa"/>
            </w:tcMar>
            <w:vAlign w:val="center"/>
          </w:tcPr>
          <w:p w14:paraId="3D466165" w14:textId="77777777" w:rsidR="00B875BA" w:rsidRPr="00340561" w:rsidRDefault="00B875B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0134392" w14:textId="77777777" w:rsidR="00B875BA" w:rsidRPr="00340561" w:rsidRDefault="00B875BA">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0E1416C0" w14:textId="77777777" w:rsidR="00B875BA" w:rsidRPr="008608EB" w:rsidRDefault="00B875BA">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33B98E01" w14:textId="77777777" w:rsidR="00B875BA" w:rsidRPr="00340561" w:rsidRDefault="00B875BA">
            <w:pPr>
              <w:keepNext/>
              <w:outlineLvl w:val="1"/>
              <w:rPr>
                <w:rFonts w:ascii="Arial" w:eastAsia="MS Mincho" w:hAnsi="Arial" w:cs="Arial"/>
                <w:bCs/>
                <w:sz w:val="20"/>
                <w:szCs w:val="20"/>
                <w:lang w:val="en-GB"/>
              </w:rPr>
            </w:pPr>
          </w:p>
        </w:tc>
      </w:tr>
      <w:tr w:rsidR="00B875BA" w:rsidRPr="00340561" w14:paraId="077C32FC" w14:textId="77777777">
        <w:trPr>
          <w:trHeight w:val="890"/>
        </w:trPr>
        <w:tc>
          <w:tcPr>
            <w:tcW w:w="1615" w:type="pct"/>
            <w:noWrap/>
            <w:tcMar>
              <w:top w:w="0" w:type="dxa"/>
              <w:left w:w="108" w:type="dxa"/>
              <w:bottom w:w="0" w:type="dxa"/>
              <w:right w:w="108" w:type="dxa"/>
            </w:tcMar>
            <w:vAlign w:val="center"/>
          </w:tcPr>
          <w:p w14:paraId="695CBA2C" w14:textId="77777777" w:rsidR="00B875BA" w:rsidRPr="00340561" w:rsidRDefault="00B875BA">
            <w:pPr>
              <w:rPr>
                <w:rFonts w:ascii="Arial" w:eastAsia="Arial Unicode MS" w:hAnsi="Arial" w:cs="Arial"/>
                <w:b/>
                <w:sz w:val="20"/>
                <w:szCs w:val="20"/>
                <w:lang w:val="en-GB"/>
              </w:rPr>
            </w:pPr>
            <w:r w:rsidRPr="00340561">
              <w:rPr>
                <w:rFonts w:ascii="Arial" w:eastAsia="Arial Unicode MS" w:hAnsi="Arial" w:cs="Arial"/>
                <w:b/>
                <w:sz w:val="20"/>
                <w:szCs w:val="20"/>
                <w:lang w:val="en-GB"/>
              </w:rPr>
              <w:lastRenderedPageBreak/>
              <w:t xml:space="preserve">Are there ethical issues in this manuscript? </w:t>
            </w:r>
          </w:p>
          <w:p w14:paraId="255F1D73" w14:textId="77777777" w:rsidR="00B875BA" w:rsidRPr="00340561" w:rsidRDefault="00B875B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CF99B18" w14:textId="77777777" w:rsidR="00B875BA" w:rsidRPr="00340561" w:rsidRDefault="00B875BA">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1EBFCB27" w14:textId="77777777" w:rsidR="00B875BA" w:rsidRPr="00340561" w:rsidRDefault="00B875BA">
            <w:pPr>
              <w:rPr>
                <w:rFonts w:ascii="Arial" w:eastAsia="Arial Unicode MS" w:hAnsi="Arial" w:cs="Arial"/>
                <w:sz w:val="20"/>
                <w:szCs w:val="20"/>
                <w:lang w:val="en-GB"/>
              </w:rPr>
            </w:pPr>
          </w:p>
          <w:p w14:paraId="3EE14C11" w14:textId="77777777" w:rsidR="00B875BA" w:rsidRPr="00340561" w:rsidRDefault="00B875BA">
            <w:pPr>
              <w:rPr>
                <w:rFonts w:ascii="Arial" w:eastAsia="Arial Unicode MS" w:hAnsi="Arial" w:cs="Arial"/>
                <w:sz w:val="20"/>
                <w:szCs w:val="20"/>
                <w:lang w:val="en-GB"/>
              </w:rPr>
            </w:pPr>
          </w:p>
        </w:tc>
        <w:tc>
          <w:tcPr>
            <w:tcW w:w="1691" w:type="pct"/>
            <w:vAlign w:val="center"/>
          </w:tcPr>
          <w:p w14:paraId="64300B27" w14:textId="77777777" w:rsidR="00DA752D" w:rsidRDefault="00DA752D" w:rsidP="00DA752D">
            <w:r>
              <w:t>We sincerely appreciate this methodological suggestion. The reviewer proposes an ideal three-group comparison: (</w:t>
            </w:r>
            <w:proofErr w:type="spellStart"/>
            <w:r>
              <w:t>i</w:t>
            </w:r>
            <w:proofErr w:type="spellEnd"/>
            <w:r>
              <w:t>) bone-only metastases, (ii) bone + other organ metastases, and (iii) non-bony metastases. We agree that such a design would provide more nuanced insights into whether these biomarkers are specific to bone metastasis or are elevated in metastatic disease in general.</w:t>
            </w:r>
            <w:r>
              <w:br/>
            </w:r>
            <w:r>
              <w:br/>
              <w:t>We have addressed this point in the revised manuscript as follows:</w:t>
            </w:r>
            <w:r>
              <w:br/>
            </w:r>
            <w:r>
              <w:br/>
              <w:t>In the Discussion (Limitations section), we have added: "Another limitation of this study is the dichotomous grouping of patients into MBD and non-MBD groups without further subclassification. Ideally, a more refined comparison would include three groups: (</w:t>
            </w:r>
            <w:proofErr w:type="spellStart"/>
            <w:r>
              <w:t>i</w:t>
            </w:r>
            <w:proofErr w:type="spellEnd"/>
            <w:r>
              <w:t>) patients with bone-only metastases, (ii) patients with bone and other organ metastases, and (iii) patients with non-bony metastases only. Such a design would enable determination of whether the observed biomarker elevations are specific to bone metastasis or are associated with metastatic disease in general. In the present study, our exclusion criteria included patients with metastasis to sites other than bone, meaning the MBD group comprised patients with bone metastasis (with or without other sites of involvement), while the control group consisted of breast cancer patients without any evidence of bone metastasis. Future studies with larger sample sizes should adopt a multi-group comparison design to better characterize the specificity of these biomarkers for bone metastasis."</w:t>
            </w:r>
            <w:r>
              <w:br/>
            </w:r>
            <w:r>
              <w:br/>
              <w:t>We believe this acknowledgment strengthens the transparency of our manuscript and provides clear direction for future research.</w:t>
            </w:r>
          </w:p>
          <w:p w14:paraId="2228D559" w14:textId="77777777" w:rsidR="00B875BA" w:rsidRPr="00340561" w:rsidRDefault="00B875BA">
            <w:pPr>
              <w:rPr>
                <w:rFonts w:ascii="Arial" w:eastAsia="Arial Unicode MS" w:hAnsi="Arial" w:cs="Arial"/>
                <w:sz w:val="20"/>
                <w:szCs w:val="20"/>
                <w:lang w:val="en-GB"/>
              </w:rPr>
            </w:pPr>
          </w:p>
          <w:p w14:paraId="138D8CAE" w14:textId="77777777" w:rsidR="00B875BA" w:rsidRPr="00340561" w:rsidRDefault="00B875BA">
            <w:pPr>
              <w:rPr>
                <w:rFonts w:ascii="Arial" w:eastAsia="Arial Unicode MS" w:hAnsi="Arial" w:cs="Arial"/>
                <w:sz w:val="20"/>
                <w:szCs w:val="20"/>
                <w:lang w:val="en-GB"/>
              </w:rPr>
            </w:pPr>
          </w:p>
          <w:p w14:paraId="385A9E6B" w14:textId="77777777" w:rsidR="00B875BA" w:rsidRPr="00340561" w:rsidRDefault="00B875BA">
            <w:pPr>
              <w:rPr>
                <w:rFonts w:ascii="Arial" w:eastAsia="Arial Unicode MS" w:hAnsi="Arial" w:cs="Arial"/>
                <w:sz w:val="20"/>
                <w:szCs w:val="20"/>
                <w:lang w:val="en-GB"/>
              </w:rPr>
            </w:pPr>
          </w:p>
        </w:tc>
      </w:tr>
      <w:bookmarkEnd w:id="3"/>
    </w:tbl>
    <w:p w14:paraId="42BCA54B" w14:textId="77777777" w:rsidR="00B875BA" w:rsidRDefault="00B875BA" w:rsidP="00B875BA"/>
    <w:p w14:paraId="5A1E0D7B" w14:textId="77777777" w:rsidR="00B875BA" w:rsidRDefault="00B875BA" w:rsidP="00B875BA"/>
    <w:p w14:paraId="4DF7FC5A" w14:textId="77777777" w:rsidR="00B875BA" w:rsidRPr="00375011" w:rsidRDefault="00B875BA" w:rsidP="00B875BA">
      <w:pPr>
        <w:rPr>
          <w:bCs/>
          <w:u w:val="single"/>
          <w:lang w:val="en-GB"/>
        </w:rPr>
      </w:pPr>
    </w:p>
    <w:bookmarkEnd w:id="4"/>
    <w:p w14:paraId="3D98EC47" w14:textId="77777777" w:rsidR="00B875BA" w:rsidRDefault="00B875BA" w:rsidP="00B875BA"/>
    <w:bookmarkEnd w:id="0"/>
    <w:bookmarkEnd w:id="1"/>
    <w:p w14:paraId="2EAD22A1" w14:textId="77777777" w:rsidR="00436C5B" w:rsidRPr="00900E9B" w:rsidRDefault="00436C5B" w:rsidP="00436C5B">
      <w:pPr>
        <w:pStyle w:val="BodyText"/>
        <w:rPr>
          <w:rFonts w:ascii="Times New Roman" w:hAnsi="Times New Roman"/>
          <w:b/>
          <w:bCs/>
          <w:sz w:val="20"/>
          <w:szCs w:val="20"/>
          <w:u w:val="single"/>
          <w:lang w:val="en-GB"/>
        </w:rPr>
      </w:pPr>
    </w:p>
    <w:sectPr w:rsidR="00436C5B" w:rsidRPr="00900E9B" w:rsidSect="000918F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B5485" w14:textId="77777777" w:rsidR="000E1770" w:rsidRPr="0000007A" w:rsidRDefault="000E1770" w:rsidP="0099583E">
      <w:r>
        <w:separator/>
      </w:r>
    </w:p>
  </w:endnote>
  <w:endnote w:type="continuationSeparator" w:id="0">
    <w:p w14:paraId="1FC1C866" w14:textId="77777777" w:rsidR="000E1770" w:rsidRPr="0000007A" w:rsidRDefault="000E177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C608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B2951" w:rsidRPr="004B2951">
      <w:rPr>
        <w:sz w:val="16"/>
      </w:rPr>
      <w:t xml:space="preserve">Version: </w:t>
    </w:r>
    <w:r w:rsidR="00BA6E0B">
      <w:rPr>
        <w:sz w:val="16"/>
      </w:rPr>
      <w:t>3</w:t>
    </w:r>
    <w:r w:rsidR="004B2951" w:rsidRPr="004B2951">
      <w:rPr>
        <w:sz w:val="16"/>
      </w:rPr>
      <w:t xml:space="preserve"> (0</w:t>
    </w:r>
    <w:r w:rsidR="00BA6E0B">
      <w:rPr>
        <w:sz w:val="16"/>
      </w:rPr>
      <w:t>7</w:t>
    </w:r>
    <w:r w:rsidR="004B2951" w:rsidRPr="004B2951">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4D876" w14:textId="77777777" w:rsidR="000E1770" w:rsidRPr="0000007A" w:rsidRDefault="000E1770" w:rsidP="0099583E">
      <w:r>
        <w:separator/>
      </w:r>
    </w:p>
  </w:footnote>
  <w:footnote w:type="continuationSeparator" w:id="0">
    <w:p w14:paraId="37D2A8E4" w14:textId="77777777" w:rsidR="000E1770" w:rsidRPr="0000007A" w:rsidRDefault="000E177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0F76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71FC95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A6E0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8FE"/>
    <w:rsid w:val="000936AC"/>
    <w:rsid w:val="00095A59"/>
    <w:rsid w:val="000A2134"/>
    <w:rsid w:val="000A6F41"/>
    <w:rsid w:val="000B4EE5"/>
    <w:rsid w:val="000B74A1"/>
    <w:rsid w:val="000B757E"/>
    <w:rsid w:val="000C0837"/>
    <w:rsid w:val="000C3B7E"/>
    <w:rsid w:val="000E1770"/>
    <w:rsid w:val="00100577"/>
    <w:rsid w:val="00101322"/>
    <w:rsid w:val="001228F3"/>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A9B"/>
    <w:rsid w:val="00220111"/>
    <w:rsid w:val="00222959"/>
    <w:rsid w:val="0022369C"/>
    <w:rsid w:val="002320EB"/>
    <w:rsid w:val="0023696A"/>
    <w:rsid w:val="002422CB"/>
    <w:rsid w:val="00245E23"/>
    <w:rsid w:val="0025366D"/>
    <w:rsid w:val="00254F80"/>
    <w:rsid w:val="00262634"/>
    <w:rsid w:val="002643B3"/>
    <w:rsid w:val="00275984"/>
    <w:rsid w:val="00280EC9"/>
    <w:rsid w:val="00291D08"/>
    <w:rsid w:val="00293482"/>
    <w:rsid w:val="002C44C0"/>
    <w:rsid w:val="002D7EA9"/>
    <w:rsid w:val="002E1211"/>
    <w:rsid w:val="002E2339"/>
    <w:rsid w:val="002E6D86"/>
    <w:rsid w:val="002F2AEB"/>
    <w:rsid w:val="002F6935"/>
    <w:rsid w:val="003121F8"/>
    <w:rsid w:val="00312559"/>
    <w:rsid w:val="0031595B"/>
    <w:rsid w:val="003204B8"/>
    <w:rsid w:val="0033692F"/>
    <w:rsid w:val="00346223"/>
    <w:rsid w:val="003A04E7"/>
    <w:rsid w:val="003A4991"/>
    <w:rsid w:val="003A6E1A"/>
    <w:rsid w:val="003B2172"/>
    <w:rsid w:val="003E746A"/>
    <w:rsid w:val="0042465A"/>
    <w:rsid w:val="004356CC"/>
    <w:rsid w:val="00435B36"/>
    <w:rsid w:val="00436C5B"/>
    <w:rsid w:val="00442B24"/>
    <w:rsid w:val="0044444D"/>
    <w:rsid w:val="0044519B"/>
    <w:rsid w:val="00445B35"/>
    <w:rsid w:val="00446659"/>
    <w:rsid w:val="00457AB1"/>
    <w:rsid w:val="00457BC0"/>
    <w:rsid w:val="00462996"/>
    <w:rsid w:val="004674B4"/>
    <w:rsid w:val="004916B7"/>
    <w:rsid w:val="004B2951"/>
    <w:rsid w:val="004B4CAD"/>
    <w:rsid w:val="004B4FDC"/>
    <w:rsid w:val="004C3DF1"/>
    <w:rsid w:val="004C6345"/>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76E8"/>
    <w:rsid w:val="0059748A"/>
    <w:rsid w:val="005A5BE0"/>
    <w:rsid w:val="005B12E0"/>
    <w:rsid w:val="005B62C5"/>
    <w:rsid w:val="005C25A0"/>
    <w:rsid w:val="005D230D"/>
    <w:rsid w:val="005E2CE3"/>
    <w:rsid w:val="00602F7D"/>
    <w:rsid w:val="00605952"/>
    <w:rsid w:val="006104CD"/>
    <w:rsid w:val="00620677"/>
    <w:rsid w:val="00624032"/>
    <w:rsid w:val="00631215"/>
    <w:rsid w:val="00645A56"/>
    <w:rsid w:val="006532DF"/>
    <w:rsid w:val="0065579D"/>
    <w:rsid w:val="00663792"/>
    <w:rsid w:val="0067046C"/>
    <w:rsid w:val="00676845"/>
    <w:rsid w:val="00680547"/>
    <w:rsid w:val="0068165E"/>
    <w:rsid w:val="0068446F"/>
    <w:rsid w:val="0069428E"/>
    <w:rsid w:val="00696CAD"/>
    <w:rsid w:val="006A5E0B"/>
    <w:rsid w:val="006C3797"/>
    <w:rsid w:val="006E7D6E"/>
    <w:rsid w:val="006F6F2F"/>
    <w:rsid w:val="00701186"/>
    <w:rsid w:val="00707BE1"/>
    <w:rsid w:val="007207EE"/>
    <w:rsid w:val="007238EB"/>
    <w:rsid w:val="0072789A"/>
    <w:rsid w:val="007317C3"/>
    <w:rsid w:val="00734756"/>
    <w:rsid w:val="0073538B"/>
    <w:rsid w:val="00741BD0"/>
    <w:rsid w:val="007426E6"/>
    <w:rsid w:val="00746370"/>
    <w:rsid w:val="00766889"/>
    <w:rsid w:val="00766A0D"/>
    <w:rsid w:val="00767F8C"/>
    <w:rsid w:val="00780B67"/>
    <w:rsid w:val="007A328D"/>
    <w:rsid w:val="007B1099"/>
    <w:rsid w:val="007B6E18"/>
    <w:rsid w:val="007D0246"/>
    <w:rsid w:val="007E30FC"/>
    <w:rsid w:val="007F5873"/>
    <w:rsid w:val="008018D9"/>
    <w:rsid w:val="00806382"/>
    <w:rsid w:val="00815F94"/>
    <w:rsid w:val="0082130C"/>
    <w:rsid w:val="008224E2"/>
    <w:rsid w:val="00825DC9"/>
    <w:rsid w:val="0082676D"/>
    <w:rsid w:val="00830CBD"/>
    <w:rsid w:val="00831055"/>
    <w:rsid w:val="008423BB"/>
    <w:rsid w:val="00846F1F"/>
    <w:rsid w:val="0087201B"/>
    <w:rsid w:val="00877F10"/>
    <w:rsid w:val="00882091"/>
    <w:rsid w:val="008913D5"/>
    <w:rsid w:val="00893E75"/>
    <w:rsid w:val="00896BBC"/>
    <w:rsid w:val="008A6CB4"/>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0BD8"/>
    <w:rsid w:val="00AA41B3"/>
    <w:rsid w:val="00AA6670"/>
    <w:rsid w:val="00AB1ED6"/>
    <w:rsid w:val="00AB397D"/>
    <w:rsid w:val="00AB638A"/>
    <w:rsid w:val="00AB6B88"/>
    <w:rsid w:val="00AB6E43"/>
    <w:rsid w:val="00AC1349"/>
    <w:rsid w:val="00AC1E3D"/>
    <w:rsid w:val="00AD6C51"/>
    <w:rsid w:val="00AF3016"/>
    <w:rsid w:val="00B03A45"/>
    <w:rsid w:val="00B2236C"/>
    <w:rsid w:val="00B22FE6"/>
    <w:rsid w:val="00B3033D"/>
    <w:rsid w:val="00B356AF"/>
    <w:rsid w:val="00B62087"/>
    <w:rsid w:val="00B62F41"/>
    <w:rsid w:val="00B73785"/>
    <w:rsid w:val="00B760E1"/>
    <w:rsid w:val="00B807F8"/>
    <w:rsid w:val="00B858FF"/>
    <w:rsid w:val="00B875BA"/>
    <w:rsid w:val="00BA19A0"/>
    <w:rsid w:val="00BA1AB3"/>
    <w:rsid w:val="00BA6421"/>
    <w:rsid w:val="00BA6E0B"/>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3A93"/>
    <w:rsid w:val="00C70DFC"/>
    <w:rsid w:val="00C76C77"/>
    <w:rsid w:val="00C82466"/>
    <w:rsid w:val="00C84097"/>
    <w:rsid w:val="00CB429B"/>
    <w:rsid w:val="00CC04CF"/>
    <w:rsid w:val="00CC2753"/>
    <w:rsid w:val="00CD093E"/>
    <w:rsid w:val="00CD1556"/>
    <w:rsid w:val="00CD1FD7"/>
    <w:rsid w:val="00CE199A"/>
    <w:rsid w:val="00CE5AC7"/>
    <w:rsid w:val="00CF0BBB"/>
    <w:rsid w:val="00D1283A"/>
    <w:rsid w:val="00D146DF"/>
    <w:rsid w:val="00D17979"/>
    <w:rsid w:val="00D2075F"/>
    <w:rsid w:val="00D3257B"/>
    <w:rsid w:val="00D40416"/>
    <w:rsid w:val="00D45CF7"/>
    <w:rsid w:val="00D4782A"/>
    <w:rsid w:val="00D7603E"/>
    <w:rsid w:val="00D8579C"/>
    <w:rsid w:val="00D90124"/>
    <w:rsid w:val="00D9392F"/>
    <w:rsid w:val="00DA41F5"/>
    <w:rsid w:val="00DA752D"/>
    <w:rsid w:val="00DB5B54"/>
    <w:rsid w:val="00DB74DC"/>
    <w:rsid w:val="00DB7E1B"/>
    <w:rsid w:val="00DC1D81"/>
    <w:rsid w:val="00E451EA"/>
    <w:rsid w:val="00E53E52"/>
    <w:rsid w:val="00E57F4B"/>
    <w:rsid w:val="00E63889"/>
    <w:rsid w:val="00E65EB7"/>
    <w:rsid w:val="00E71C8D"/>
    <w:rsid w:val="00E72360"/>
    <w:rsid w:val="00E972A7"/>
    <w:rsid w:val="00EA2839"/>
    <w:rsid w:val="00EB3E91"/>
    <w:rsid w:val="00EC6894"/>
    <w:rsid w:val="00ED6B12"/>
    <w:rsid w:val="00EE0D3E"/>
    <w:rsid w:val="00EE259B"/>
    <w:rsid w:val="00EF326D"/>
    <w:rsid w:val="00EF53FE"/>
    <w:rsid w:val="00F245A7"/>
    <w:rsid w:val="00F2643C"/>
    <w:rsid w:val="00F3295A"/>
    <w:rsid w:val="00F34D8E"/>
    <w:rsid w:val="00F3669D"/>
    <w:rsid w:val="00F405F8"/>
    <w:rsid w:val="00F41154"/>
    <w:rsid w:val="00F4700F"/>
    <w:rsid w:val="00F51F7F"/>
    <w:rsid w:val="00F573EA"/>
    <w:rsid w:val="00F57E9D"/>
    <w:rsid w:val="00F615FD"/>
    <w:rsid w:val="00F93F6E"/>
    <w:rsid w:val="00FA6528"/>
    <w:rsid w:val="00FC2E17"/>
    <w:rsid w:val="00FC33B0"/>
    <w:rsid w:val="00FC6387"/>
    <w:rsid w:val="00FC6802"/>
    <w:rsid w:val="00FD70A7"/>
    <w:rsid w:val="00FE4C59"/>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9C617"/>
  <w15:chartTrackingRefBased/>
  <w15:docId w15:val="{406CC826-1F82-634E-98B8-2EF66DE0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81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1379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2384197">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662703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25540131">
      <w:bodyDiv w:val="1"/>
      <w:marLeft w:val="0"/>
      <w:marRight w:val="0"/>
      <w:marTop w:val="0"/>
      <w:marBottom w:val="0"/>
      <w:divBdr>
        <w:top w:val="none" w:sz="0" w:space="0" w:color="auto"/>
        <w:left w:val="none" w:sz="0" w:space="0" w:color="auto"/>
        <w:bottom w:val="none" w:sz="0" w:space="0" w:color="auto"/>
        <w:right w:val="none" w:sz="0" w:space="0" w:color="auto"/>
      </w:divBdr>
    </w:div>
    <w:div w:id="114238043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195580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1005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rr.com/index.php/AJO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CFEDF-AFD9-477C-9ABC-5A9655547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2088</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13964</CharactersWithSpaces>
  <SharedDoc>false</SharedDoc>
  <HLinks>
    <vt:vector size="6" baseType="variant">
      <vt:variant>
        <vt:i4>1441873</vt:i4>
      </vt:variant>
      <vt:variant>
        <vt:i4>0</vt:i4>
      </vt:variant>
      <vt:variant>
        <vt:i4>0</vt:i4>
      </vt:variant>
      <vt:variant>
        <vt:i4>5</vt:i4>
      </vt:variant>
      <vt:variant>
        <vt:lpwstr>https://journalajorr.com/index.php/AJORR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2026-03-07T09:58:00Z</dcterms:created>
  <dcterms:modified xsi:type="dcterms:W3CDTF">2026-03-09T07:27:00Z</dcterms:modified>
</cp:coreProperties>
</file>