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66E5597" w14:textId="77777777" w:rsidTr="002643B3">
        <w:trPr>
          <w:trHeight w:val="290"/>
        </w:trPr>
        <w:tc>
          <w:tcPr>
            <w:tcW w:w="5000" w:type="pct"/>
            <w:gridSpan w:val="2"/>
            <w:tcBorders>
              <w:top w:val="nil"/>
              <w:left w:val="nil"/>
              <w:right w:val="nil"/>
            </w:tcBorders>
          </w:tcPr>
          <w:p w14:paraId="718069F8"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33CE301" w14:textId="77777777" w:rsidTr="002643B3">
        <w:trPr>
          <w:trHeight w:val="290"/>
        </w:trPr>
        <w:tc>
          <w:tcPr>
            <w:tcW w:w="1234" w:type="pct"/>
          </w:tcPr>
          <w:p w14:paraId="31D65D7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7CD8A3C" w14:textId="77777777" w:rsidR="0000007A" w:rsidRPr="00E65EB7" w:rsidRDefault="00C65DF6" w:rsidP="00E65EB7">
            <w:pPr>
              <w:rPr>
                <w:rFonts w:ascii="Arial" w:hAnsi="Arial" w:cs="Arial"/>
                <w:b/>
                <w:bCs/>
                <w:color w:val="0000FF"/>
                <w:sz w:val="20"/>
                <w:szCs w:val="20"/>
              </w:rPr>
            </w:pPr>
            <w:hyperlink r:id="rId8" w:history="1">
              <w:r w:rsidR="00C63A93" w:rsidRPr="0068165E">
                <w:rPr>
                  <w:rStyle w:val="Hyperlink"/>
                  <w:rFonts w:ascii="Arial" w:hAnsi="Arial" w:cs="Arial"/>
                  <w:b/>
                  <w:bCs/>
                  <w:sz w:val="20"/>
                  <w:szCs w:val="20"/>
                </w:rPr>
                <w:t xml:space="preserve">Asian Journal of </w:t>
              </w:r>
              <w:proofErr w:type="spellStart"/>
              <w:r w:rsidR="00C63A93" w:rsidRPr="0068165E">
                <w:rPr>
                  <w:rStyle w:val="Hyperlink"/>
                  <w:rFonts w:ascii="Arial" w:hAnsi="Arial" w:cs="Arial"/>
                  <w:b/>
                  <w:bCs/>
                  <w:sz w:val="20"/>
                  <w:szCs w:val="20"/>
                </w:rPr>
                <w:t>Orthopaedic</w:t>
              </w:r>
              <w:proofErr w:type="spellEnd"/>
              <w:r w:rsidR="00C63A93" w:rsidRPr="0068165E">
                <w:rPr>
                  <w:rStyle w:val="Hyperlink"/>
                  <w:rFonts w:ascii="Arial" w:hAnsi="Arial" w:cs="Arial"/>
                  <w:b/>
                  <w:bCs/>
                  <w:sz w:val="20"/>
                  <w:szCs w:val="20"/>
                </w:rPr>
                <w:t xml:space="preserve"> Research</w:t>
              </w:r>
            </w:hyperlink>
            <w:r w:rsidR="00C63A93" w:rsidRPr="00C63A93">
              <w:rPr>
                <w:rFonts w:ascii="Arial" w:hAnsi="Arial" w:cs="Arial"/>
                <w:b/>
                <w:bCs/>
                <w:color w:val="0000FF"/>
                <w:sz w:val="20"/>
                <w:szCs w:val="20"/>
              </w:rPr>
              <w:t xml:space="preserve"> </w:t>
            </w:r>
          </w:p>
        </w:tc>
      </w:tr>
      <w:tr w:rsidR="0000007A" w:rsidRPr="00F245A7" w14:paraId="3AB7D68D" w14:textId="77777777" w:rsidTr="002643B3">
        <w:trPr>
          <w:trHeight w:val="290"/>
        </w:trPr>
        <w:tc>
          <w:tcPr>
            <w:tcW w:w="1234" w:type="pct"/>
          </w:tcPr>
          <w:p w14:paraId="01DD9AF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D8DF9E0" w14:textId="77777777" w:rsidR="0000007A" w:rsidRPr="00F245A7" w:rsidRDefault="005E2CE3" w:rsidP="00F3669D">
            <w:pPr>
              <w:pStyle w:val="NormalWeb"/>
              <w:spacing w:before="0" w:beforeAutospacing="0" w:after="0" w:afterAutospacing="0"/>
              <w:rPr>
                <w:rFonts w:ascii="Arial" w:hAnsi="Arial" w:cs="Arial"/>
                <w:b/>
                <w:bCs/>
                <w:sz w:val="20"/>
                <w:szCs w:val="28"/>
                <w:lang w:val="en-GB"/>
              </w:rPr>
            </w:pPr>
            <w:r w:rsidRPr="005E2CE3">
              <w:rPr>
                <w:rFonts w:ascii="Arial" w:hAnsi="Arial" w:cs="Arial"/>
                <w:b/>
                <w:bCs/>
                <w:sz w:val="20"/>
                <w:szCs w:val="28"/>
                <w:lang w:val="en-GB"/>
              </w:rPr>
              <w:t>Ms_AJORR_154529</w:t>
            </w:r>
          </w:p>
        </w:tc>
      </w:tr>
      <w:tr w:rsidR="0000007A" w:rsidRPr="00F245A7" w14:paraId="194126F4" w14:textId="77777777" w:rsidTr="002643B3">
        <w:trPr>
          <w:trHeight w:val="650"/>
        </w:trPr>
        <w:tc>
          <w:tcPr>
            <w:tcW w:w="1234" w:type="pct"/>
          </w:tcPr>
          <w:p w14:paraId="39AEB75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EBC4F75" w14:textId="77777777" w:rsidR="0000007A" w:rsidRPr="00F245A7" w:rsidRDefault="005E2CE3" w:rsidP="000450FC">
            <w:pPr>
              <w:pStyle w:val="NormalWeb"/>
              <w:spacing w:before="0" w:beforeAutospacing="0" w:after="0" w:afterAutospacing="0"/>
              <w:rPr>
                <w:rFonts w:ascii="Arial" w:hAnsi="Arial" w:cs="Arial"/>
                <w:b/>
                <w:sz w:val="20"/>
                <w:szCs w:val="28"/>
                <w:lang w:val="en-GB"/>
              </w:rPr>
            </w:pPr>
            <w:r w:rsidRPr="005E2CE3">
              <w:rPr>
                <w:rFonts w:ascii="Arial" w:hAnsi="Arial" w:cs="Arial"/>
                <w:b/>
                <w:sz w:val="20"/>
                <w:szCs w:val="28"/>
                <w:lang w:val="en-GB"/>
              </w:rPr>
              <w:t>Alkaline Phosphatase, Lactate Dehydrogenase, and IL-1β Expression as Risk Factors for Metastatic Bone Disease in Breast Cancer Patients at Prof. Dr. I.G.N.G Ngoerah General Hospital</w:t>
            </w:r>
          </w:p>
        </w:tc>
      </w:tr>
      <w:tr w:rsidR="00CF0BBB" w:rsidRPr="00F245A7" w14:paraId="6BB505F7" w14:textId="77777777" w:rsidTr="002643B3">
        <w:trPr>
          <w:trHeight w:val="332"/>
        </w:trPr>
        <w:tc>
          <w:tcPr>
            <w:tcW w:w="1234" w:type="pct"/>
          </w:tcPr>
          <w:p w14:paraId="7380243F"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5FB7B47" w14:textId="77777777" w:rsidR="00CF0BBB" w:rsidRPr="00F245A7" w:rsidRDefault="005E2CE3" w:rsidP="000450FC">
            <w:pPr>
              <w:pStyle w:val="NormalWeb"/>
              <w:spacing w:before="0" w:beforeAutospacing="0" w:after="0" w:afterAutospacing="0"/>
              <w:rPr>
                <w:rFonts w:ascii="Arial" w:hAnsi="Arial" w:cs="Arial"/>
                <w:b/>
                <w:sz w:val="20"/>
                <w:szCs w:val="28"/>
                <w:lang w:val="en-GB"/>
              </w:rPr>
            </w:pPr>
            <w:r w:rsidRPr="005E2CE3">
              <w:rPr>
                <w:rFonts w:ascii="Arial" w:hAnsi="Arial" w:cs="Arial"/>
                <w:b/>
                <w:sz w:val="20"/>
                <w:szCs w:val="28"/>
                <w:lang w:val="en-GB"/>
              </w:rPr>
              <w:t>Original Research Article</w:t>
            </w:r>
          </w:p>
        </w:tc>
      </w:tr>
    </w:tbl>
    <w:p w14:paraId="17A261D7" w14:textId="5E57F212" w:rsidR="00436C5B" w:rsidRPr="00900E9B" w:rsidRDefault="00436C5B" w:rsidP="00436C5B">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36C5B" w:rsidRPr="00900E9B" w14:paraId="1A751BAF" w14:textId="77777777" w:rsidTr="006B32AC">
        <w:tc>
          <w:tcPr>
            <w:tcW w:w="5000" w:type="pct"/>
            <w:gridSpan w:val="3"/>
            <w:tcBorders>
              <w:top w:val="nil"/>
              <w:left w:val="nil"/>
              <w:right w:val="nil"/>
            </w:tcBorders>
            <w:noWrap/>
          </w:tcPr>
          <w:p w14:paraId="4B903877" w14:textId="77777777" w:rsidR="00436C5B" w:rsidRPr="00900E9B" w:rsidRDefault="00436C5B">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6D31261" w14:textId="77777777" w:rsidR="00436C5B" w:rsidRPr="00900E9B" w:rsidRDefault="00436C5B">
            <w:pPr>
              <w:rPr>
                <w:sz w:val="20"/>
                <w:szCs w:val="20"/>
                <w:lang w:val="en-GB"/>
              </w:rPr>
            </w:pPr>
          </w:p>
        </w:tc>
      </w:tr>
      <w:tr w:rsidR="00436C5B" w:rsidRPr="00900E9B" w14:paraId="33DE923E" w14:textId="77777777" w:rsidTr="006B32AC">
        <w:tc>
          <w:tcPr>
            <w:tcW w:w="1265" w:type="pct"/>
            <w:noWrap/>
          </w:tcPr>
          <w:p w14:paraId="19B3D993" w14:textId="77777777" w:rsidR="00436C5B" w:rsidRPr="00900E9B" w:rsidRDefault="00436C5B">
            <w:pPr>
              <w:pStyle w:val="Heading2"/>
              <w:jc w:val="left"/>
              <w:rPr>
                <w:rFonts w:ascii="Times New Roman" w:hAnsi="Times New Roman"/>
                <w:lang w:val="en-GB"/>
              </w:rPr>
            </w:pPr>
          </w:p>
        </w:tc>
        <w:tc>
          <w:tcPr>
            <w:tcW w:w="2212" w:type="pct"/>
          </w:tcPr>
          <w:p w14:paraId="23AE9D71" w14:textId="77777777" w:rsidR="00436C5B" w:rsidRDefault="00436C5B">
            <w:pPr>
              <w:pStyle w:val="Heading2"/>
              <w:jc w:val="left"/>
              <w:rPr>
                <w:rFonts w:ascii="Times New Roman" w:hAnsi="Times New Roman"/>
                <w:lang w:val="en-GB"/>
              </w:rPr>
            </w:pPr>
            <w:r w:rsidRPr="00900E9B">
              <w:rPr>
                <w:rFonts w:ascii="Times New Roman" w:hAnsi="Times New Roman"/>
                <w:lang w:val="en-GB"/>
              </w:rPr>
              <w:t>Reviewer’s comment</w:t>
            </w:r>
          </w:p>
          <w:p w14:paraId="6FC47FBE" w14:textId="77777777" w:rsidR="00222959" w:rsidRPr="00222959" w:rsidRDefault="00222959" w:rsidP="00AE626A">
            <w:pPr>
              <w:rPr>
                <w:lang w:val="en-GB"/>
              </w:rPr>
            </w:pPr>
          </w:p>
        </w:tc>
        <w:tc>
          <w:tcPr>
            <w:tcW w:w="1523" w:type="pct"/>
          </w:tcPr>
          <w:p w14:paraId="606587B2" w14:textId="77777777" w:rsidR="008018D9" w:rsidRDefault="008018D9" w:rsidP="008018D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2139241" w14:textId="77777777" w:rsidR="00436C5B" w:rsidRPr="00900E9B" w:rsidRDefault="00436C5B">
            <w:pPr>
              <w:pStyle w:val="Heading2"/>
              <w:jc w:val="left"/>
              <w:rPr>
                <w:rFonts w:ascii="Times New Roman" w:hAnsi="Times New Roman"/>
                <w:b w:val="0"/>
                <w:lang w:val="en-GB"/>
              </w:rPr>
            </w:pPr>
          </w:p>
        </w:tc>
      </w:tr>
      <w:tr w:rsidR="00436C5B" w:rsidRPr="00900E9B" w14:paraId="28C98F64" w14:textId="77777777" w:rsidTr="006B32AC">
        <w:trPr>
          <w:trHeight w:val="1264"/>
        </w:trPr>
        <w:tc>
          <w:tcPr>
            <w:tcW w:w="1265" w:type="pct"/>
            <w:noWrap/>
          </w:tcPr>
          <w:p w14:paraId="7C9D2B10" w14:textId="77777777" w:rsidR="00436C5B" w:rsidRPr="00900E9B" w:rsidRDefault="00436C5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489FD26" w14:textId="77777777" w:rsidR="00436C5B" w:rsidRPr="00900E9B" w:rsidRDefault="00436C5B">
            <w:pPr>
              <w:ind w:left="360"/>
              <w:rPr>
                <w:rFonts w:eastAsia="MS Mincho"/>
                <w:b/>
                <w:bCs/>
                <w:sz w:val="20"/>
                <w:szCs w:val="20"/>
                <w:lang w:val="en-GB"/>
              </w:rPr>
            </w:pPr>
          </w:p>
        </w:tc>
        <w:tc>
          <w:tcPr>
            <w:tcW w:w="2212" w:type="pct"/>
          </w:tcPr>
          <w:p w14:paraId="2CC169B5" w14:textId="4C3CC445" w:rsidR="00436C5B" w:rsidRPr="00526103" w:rsidRDefault="00526103">
            <w:pPr>
              <w:pStyle w:val="ListParagraph"/>
              <w:ind w:left="0"/>
              <w:rPr>
                <w:sz w:val="20"/>
                <w:szCs w:val="20"/>
                <w:lang w:val="en-GB"/>
              </w:rPr>
            </w:pPr>
            <w:r>
              <w:rPr>
                <w:sz w:val="20"/>
                <w:szCs w:val="20"/>
                <w:lang w:val="en-GB"/>
              </w:rPr>
              <w:t xml:space="preserve">This manuscript addresses an important clinical issue related to the early identification of metastatic bone disease (MBD) in breast cancer patients. The study evaluates the potential predictive roles of three biomarkers alkaline phosphatase (ALP), lactate dehydrogenase (LDH), and IL-1β expression which are biologically relevant to </w:t>
            </w:r>
            <w:proofErr w:type="spellStart"/>
            <w:r>
              <w:rPr>
                <w:sz w:val="20"/>
                <w:szCs w:val="20"/>
                <w:lang w:val="en-GB"/>
              </w:rPr>
              <w:t>tumor</w:t>
            </w:r>
            <w:proofErr w:type="spellEnd"/>
            <w:r>
              <w:rPr>
                <w:sz w:val="20"/>
                <w:szCs w:val="20"/>
                <w:lang w:val="en-GB"/>
              </w:rPr>
              <w:t xml:space="preserve"> metabolism, inflammation, and bone </w:t>
            </w:r>
            <w:proofErr w:type="spellStart"/>
            <w:r>
              <w:rPr>
                <w:sz w:val="20"/>
                <w:szCs w:val="20"/>
                <w:lang w:val="en-GB"/>
              </w:rPr>
              <w:t>remodeling</w:t>
            </w:r>
            <w:proofErr w:type="spellEnd"/>
            <w:r>
              <w:rPr>
                <w:sz w:val="20"/>
                <w:szCs w:val="20"/>
                <w:lang w:val="en-GB"/>
              </w:rPr>
              <w:t>. Identifying reliable predictors of bone metastasis could assist clinicians in earlier detection, risk stratification, and timely intervention, thereby improving patient outcomes and quality of life. The study contributes to existing literature by assessing the combined predictive value of these biomarkers within a single cohort, which may provide insights for future biomarker-based screening strategies.</w:t>
            </w:r>
          </w:p>
        </w:tc>
        <w:tc>
          <w:tcPr>
            <w:tcW w:w="1523" w:type="pct"/>
          </w:tcPr>
          <w:p w14:paraId="61A284B9" w14:textId="77777777" w:rsidR="00D852D8" w:rsidRDefault="00D852D8" w:rsidP="00D852D8">
            <w:r>
              <w:t>We greatly appreciate the reviewer's recognition of the significance of our study. We agree that the identification of reliable biomarkers for early detection of metastatic bone disease (MBD) in breast cancer patients is a critical clinical need. Our study aimed to address this gap by evaluating the combined predictive value of ALP, LDH, and IL-1β expression within a single cohort, which, to our knowledge, has not been previously investigated. We hope that our findings will contribute to the development of biomarker-based screening strategies to improve clinical outcomes for breast cancer patients at risk of skeletal metastasis.</w:t>
            </w:r>
          </w:p>
          <w:p w14:paraId="1301027F" w14:textId="77777777" w:rsidR="00436C5B" w:rsidRPr="00900E9B" w:rsidRDefault="00436C5B">
            <w:pPr>
              <w:pStyle w:val="Heading2"/>
              <w:jc w:val="left"/>
              <w:rPr>
                <w:rFonts w:ascii="Times New Roman" w:hAnsi="Times New Roman"/>
                <w:b w:val="0"/>
                <w:lang w:val="en-GB"/>
              </w:rPr>
            </w:pPr>
          </w:p>
        </w:tc>
      </w:tr>
      <w:tr w:rsidR="00436C5B" w:rsidRPr="00900E9B" w14:paraId="718249B5" w14:textId="77777777" w:rsidTr="006B32AC">
        <w:trPr>
          <w:trHeight w:val="1262"/>
        </w:trPr>
        <w:tc>
          <w:tcPr>
            <w:tcW w:w="1265" w:type="pct"/>
            <w:noWrap/>
          </w:tcPr>
          <w:p w14:paraId="578EAD38" w14:textId="77777777" w:rsidR="00436C5B" w:rsidRPr="00900E9B" w:rsidRDefault="00436C5B">
            <w:pPr>
              <w:ind w:left="360"/>
              <w:rPr>
                <w:b/>
                <w:bCs/>
                <w:sz w:val="20"/>
                <w:szCs w:val="20"/>
                <w:lang w:val="en-GB"/>
              </w:rPr>
            </w:pPr>
            <w:r w:rsidRPr="00900E9B">
              <w:rPr>
                <w:b/>
                <w:bCs/>
                <w:sz w:val="20"/>
                <w:szCs w:val="20"/>
                <w:lang w:val="en-GB"/>
              </w:rPr>
              <w:t>Is the title of the article suitable?</w:t>
            </w:r>
          </w:p>
          <w:p w14:paraId="17981889" w14:textId="77777777" w:rsidR="00436C5B" w:rsidRPr="00900E9B" w:rsidRDefault="00436C5B">
            <w:pPr>
              <w:ind w:left="360"/>
              <w:rPr>
                <w:b/>
                <w:bCs/>
                <w:sz w:val="20"/>
                <w:szCs w:val="20"/>
                <w:lang w:val="en-GB"/>
              </w:rPr>
            </w:pPr>
            <w:r w:rsidRPr="00900E9B">
              <w:rPr>
                <w:b/>
                <w:bCs/>
                <w:sz w:val="20"/>
                <w:szCs w:val="20"/>
                <w:lang w:val="en-GB"/>
              </w:rPr>
              <w:t>(If not please suggest an alternative title)</w:t>
            </w:r>
          </w:p>
          <w:p w14:paraId="40F1F56B" w14:textId="77777777" w:rsidR="00436C5B" w:rsidRPr="00900E9B" w:rsidRDefault="00436C5B">
            <w:pPr>
              <w:pStyle w:val="Heading2"/>
              <w:jc w:val="left"/>
              <w:rPr>
                <w:rFonts w:ascii="Times New Roman" w:hAnsi="Times New Roman"/>
                <w:u w:val="single"/>
                <w:lang w:val="en-GB"/>
              </w:rPr>
            </w:pPr>
          </w:p>
        </w:tc>
        <w:tc>
          <w:tcPr>
            <w:tcW w:w="2212" w:type="pct"/>
          </w:tcPr>
          <w:p w14:paraId="1D60E5CF" w14:textId="4D2CD59D" w:rsidR="00436C5B" w:rsidRPr="00442A50" w:rsidRDefault="00DD44E7" w:rsidP="00442A50">
            <w:pPr>
              <w:rPr>
                <w:sz w:val="20"/>
                <w:szCs w:val="20"/>
                <w:lang w:val="en-GB"/>
              </w:rPr>
            </w:pPr>
            <w:r>
              <w:rPr>
                <w:sz w:val="20"/>
                <w:szCs w:val="20"/>
                <w:lang w:val="en-GB"/>
              </w:rPr>
              <w:t>The title is generally appropriate and reflects the key variables and study population. However, it is slightly lengthy and could be simplified to improve readability. A possible alternative title could be: “Association of Alkaline Phosphatase, Lactate Dehydrogenase, and IL-1β Expression with Metastatic Bone Disease in Breast Cancer Patients: A Case-Control Study.”</w:t>
            </w:r>
          </w:p>
        </w:tc>
        <w:tc>
          <w:tcPr>
            <w:tcW w:w="1523" w:type="pct"/>
          </w:tcPr>
          <w:p w14:paraId="1BAE614D" w14:textId="77777777" w:rsidR="00D852D8" w:rsidRDefault="00D852D8" w:rsidP="00D852D8">
            <w:r>
              <w:t>We thank the reviewer for this suggestion. We agree that the original title was somewhat lengthy. We have adopted the reviewer's recommended alternative title to improve clarity and readability. The revised title is now:</w:t>
            </w:r>
            <w:r>
              <w:br/>
            </w:r>
            <w:r>
              <w:br/>
              <w:t>"Association of Alkaline Phosphatase, Lactate Dehydrogenase, and IL-1β Expression with Metastatic Bone Disease in Breast Cancer Patients: A Case-Control Study"</w:t>
            </w:r>
            <w:r>
              <w:br/>
            </w:r>
            <w:r>
              <w:br/>
              <w:t>This change has been reflected in the revised manuscript.</w:t>
            </w:r>
          </w:p>
          <w:p w14:paraId="295D0B2B" w14:textId="77777777" w:rsidR="00436C5B" w:rsidRPr="00900E9B" w:rsidRDefault="00436C5B">
            <w:pPr>
              <w:pStyle w:val="Heading2"/>
              <w:jc w:val="left"/>
              <w:rPr>
                <w:rFonts w:ascii="Times New Roman" w:hAnsi="Times New Roman"/>
                <w:b w:val="0"/>
                <w:lang w:val="en-GB"/>
              </w:rPr>
            </w:pPr>
          </w:p>
        </w:tc>
      </w:tr>
      <w:tr w:rsidR="00436C5B" w:rsidRPr="00900E9B" w14:paraId="5FDEEF2E" w14:textId="77777777" w:rsidTr="006B32AC">
        <w:trPr>
          <w:trHeight w:val="1262"/>
        </w:trPr>
        <w:tc>
          <w:tcPr>
            <w:tcW w:w="1265" w:type="pct"/>
            <w:noWrap/>
          </w:tcPr>
          <w:p w14:paraId="2E52A3D5" w14:textId="77777777" w:rsidR="00436C5B" w:rsidRPr="00900E9B" w:rsidRDefault="00436C5B">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363FE9E" w14:textId="77777777" w:rsidR="00436C5B" w:rsidRPr="00900E9B" w:rsidRDefault="00436C5B">
            <w:pPr>
              <w:pStyle w:val="Heading2"/>
              <w:jc w:val="left"/>
              <w:rPr>
                <w:rFonts w:ascii="Times New Roman" w:hAnsi="Times New Roman"/>
                <w:u w:val="single"/>
                <w:lang w:val="en-GB"/>
              </w:rPr>
            </w:pPr>
          </w:p>
        </w:tc>
        <w:tc>
          <w:tcPr>
            <w:tcW w:w="2212" w:type="pct"/>
          </w:tcPr>
          <w:p w14:paraId="1E2BBDE1" w14:textId="130122D9" w:rsidR="00436C5B" w:rsidRPr="001152A7" w:rsidRDefault="001152A7" w:rsidP="001152A7">
            <w:pPr>
              <w:rPr>
                <w:sz w:val="20"/>
                <w:szCs w:val="20"/>
                <w:lang w:val="en-GB"/>
              </w:rPr>
            </w:pPr>
            <w:r>
              <w:rPr>
                <w:sz w:val="20"/>
                <w:szCs w:val="20"/>
                <w:lang w:val="en-GB"/>
              </w:rPr>
              <w:t>The abstract adequately summarizes the background, study design, methods, results, and conclusions of the study, and the objectives and key findings are clearly presented. However, a few minor improvements could enhance clarity and completeness. It would be helpful to explicitly mention the sample size in the methods portion of the abstract to allow readers to quickly understand the study scale. Additionally, the statistical methods could be summarized more concisely by focusing only on the key analyses performed. The authors may also consider briefly mentioning a study limitation, such as the relatively small sample size or the single-</w:t>
            </w:r>
            <w:proofErr w:type="spellStart"/>
            <w:r>
              <w:rPr>
                <w:sz w:val="20"/>
                <w:szCs w:val="20"/>
                <w:lang w:val="en-GB"/>
              </w:rPr>
              <w:t>center</w:t>
            </w:r>
            <w:proofErr w:type="spellEnd"/>
            <w:r>
              <w:rPr>
                <w:sz w:val="20"/>
                <w:szCs w:val="20"/>
                <w:lang w:val="en-GB"/>
              </w:rPr>
              <w:t xml:space="preserve"> design, in the concluding sentence to improve transparency. Overall, the abstract is informative and well structured but could benefit from slight refinement for greater clarity.</w:t>
            </w:r>
          </w:p>
        </w:tc>
        <w:tc>
          <w:tcPr>
            <w:tcW w:w="1523" w:type="pct"/>
          </w:tcPr>
          <w:p w14:paraId="67A7F633" w14:textId="77777777" w:rsidR="00D852D8" w:rsidRDefault="00D852D8" w:rsidP="00D852D8">
            <w:r>
              <w:t>We appreciate the reviewer's detailed feedback on the abstract. We have revised the abstract as follows:</w:t>
            </w:r>
            <w:r>
              <w:br/>
            </w:r>
            <w:r>
              <w:br/>
              <w:t>(a) Sample size explicitly mentioned: We have ensured the sample size is clearly stated in the Methodology section of the abstract. The revised sentence now reads: "Forty-six female breast cancer patients aged 40–65 years were enrolled, including 26 patients with MBD (case group) and 20 without MBD (control group)."</w:t>
            </w:r>
            <w:r>
              <w:br/>
            </w:r>
            <w:r>
              <w:br/>
              <w:t>(b) Statistical methods summarized more concisely: We have streamlined the statistical methods description to focus on the key analyses. The revised sentence now reads: "Bivariate analysis was performed using the Chi-square test, and multivariate logistic regression was used to identify independent predictors. The IL-1β cut-off value was determined by ROC curve analysis."</w:t>
            </w:r>
            <w:r>
              <w:br/>
            </w:r>
            <w:r>
              <w:br/>
              <w:t>(c) Study limitation added to concluding sentence: We have added a brief mention of the study limitation in the conclusion of the abstract. The revised concluding sentence now reads: "Elevated ALP levels and high IL-1β expression are significant independent predictors of MBD in breast cancer patients and may support early identification of high-risk patients for timely intervention. However, these findings should be validated in larger, multicenter cohorts."</w:t>
            </w:r>
            <w:r>
              <w:br/>
            </w:r>
            <w:r>
              <w:br/>
              <w:t>These changes have been incorporated into the revised manuscript.</w:t>
            </w:r>
          </w:p>
          <w:p w14:paraId="0F202959" w14:textId="77777777" w:rsidR="00436C5B" w:rsidRPr="00900E9B" w:rsidRDefault="00436C5B">
            <w:pPr>
              <w:pStyle w:val="Heading2"/>
              <w:jc w:val="left"/>
              <w:rPr>
                <w:rFonts w:ascii="Times New Roman" w:hAnsi="Times New Roman"/>
                <w:b w:val="0"/>
                <w:lang w:val="en-GB"/>
              </w:rPr>
            </w:pPr>
          </w:p>
        </w:tc>
      </w:tr>
      <w:tr w:rsidR="00436C5B" w:rsidRPr="00900E9B" w14:paraId="61EEC38A" w14:textId="77777777" w:rsidTr="006B32AC">
        <w:trPr>
          <w:trHeight w:val="704"/>
        </w:trPr>
        <w:tc>
          <w:tcPr>
            <w:tcW w:w="1265" w:type="pct"/>
            <w:noWrap/>
          </w:tcPr>
          <w:p w14:paraId="068AAC3A" w14:textId="77777777" w:rsidR="00436C5B" w:rsidRPr="00900E9B" w:rsidRDefault="00436C5B">
            <w:pPr>
              <w:pStyle w:val="Heading2"/>
              <w:ind w:left="360"/>
              <w:jc w:val="left"/>
              <w:rPr>
                <w:b w:val="0"/>
                <w:bCs w:val="0"/>
                <w:u w:val="single"/>
                <w:lang w:val="en-GB"/>
              </w:rPr>
            </w:pPr>
            <w:r w:rsidRPr="00900E9B">
              <w:rPr>
                <w:rFonts w:ascii="Times New Roman" w:hAnsi="Times New Roman"/>
                <w:lang w:val="en-GB"/>
              </w:rPr>
              <w:lastRenderedPageBreak/>
              <w:t xml:space="preserve">Is the </w:t>
            </w:r>
            <w:r>
              <w:rPr>
                <w:rFonts w:ascii="Times New Roman" w:hAnsi="Times New Roman"/>
                <w:lang w:val="en-GB"/>
              </w:rPr>
              <w:t>manuscript scientifically, correct? Please write here.</w:t>
            </w:r>
          </w:p>
        </w:tc>
        <w:tc>
          <w:tcPr>
            <w:tcW w:w="2212" w:type="pct"/>
          </w:tcPr>
          <w:p w14:paraId="10FDF1DC" w14:textId="46686470" w:rsidR="00436C5B" w:rsidRPr="00C115E9" w:rsidRDefault="000E263E">
            <w:pPr>
              <w:pStyle w:val="ListParagraph"/>
              <w:ind w:left="0"/>
              <w:rPr>
                <w:bCs/>
                <w:sz w:val="20"/>
                <w:szCs w:val="20"/>
                <w:lang w:val="en-GB"/>
              </w:rPr>
            </w:pPr>
            <w:r>
              <w:rPr>
                <w:bCs/>
                <w:sz w:val="20"/>
                <w:szCs w:val="20"/>
                <w:lang w:val="en-GB"/>
              </w:rPr>
              <w:t>The manuscript is generally scientifically sound and the case-control design is appropriate for evaluating the association between biomarkers and metastatic bone disease. The methodology and statistical analyses are adequately described. However, the relatively small sample size and the imbalance in disease stage between groups may limit generalizability and should be discussed more clearly as study limitations. Clarification regarding potential confounding factors in the regression analysis would also strengthen the methodological transparency.</w:t>
            </w:r>
          </w:p>
        </w:tc>
        <w:tc>
          <w:tcPr>
            <w:tcW w:w="1523" w:type="pct"/>
          </w:tcPr>
          <w:p w14:paraId="729E3722" w14:textId="77777777" w:rsidR="00D852D8" w:rsidRDefault="00D852D8" w:rsidP="00D852D8">
            <w:r>
              <w:t>We thank the reviewer for acknowledging the scientific soundness of our study. We have addressed the specific concerns as follows:</w:t>
            </w:r>
            <w:r>
              <w:br/>
            </w:r>
            <w:r>
              <w:br/>
              <w:t>(a) Study limitations — small sample size and disease stage imbalance: We have expanded the limitations discussion in the revised manuscript. The following paragraph has been added to Section 3.6 (Multivariate Logistic Regression Analysis):</w:t>
            </w:r>
            <w:r>
              <w:br/>
            </w:r>
            <w:r>
              <w:br/>
              <w:t>"This study has several limitations that should be acknowledged. First, the relatively small sample size (n=46) may limit the statistical power and generalizability of the findings. Second, the inherent imbalance in disease staging between the case and control groups — with all MBD patients classified as stage IV while the control group predominantly comprised stage II and III patients — is a recognized limitation of the case-control design in metastatic disease research. This stage disparity may have influenced the observed biomarker levels, as tumor burden itself may contribute to elevated ALP and LDH levels. Third, the single-center design at Prof. Dr. I.G.N.G Ngoerah General Hospital in Bali limits the external validity of the results to other populations and clinical settings. Future studies with larger sample sizes, multicenter designs, and prospective follow-up are warranted to validate and refine the predictive model."</w:t>
            </w:r>
            <w:r>
              <w:br/>
            </w:r>
            <w:r>
              <w:br/>
              <w:t>(b) Confounding factors in regression analysis: We have added clarification regarding the handling of potential confounders. The following text has been added to the methodology and discussion sections:</w:t>
            </w:r>
            <w:r>
              <w:br/>
            </w:r>
            <w:r>
              <w:br/>
              <w:t>"In the multivariate logistic regression model, all variables with P &lt; .25 in bivariate analysis were included to control for potential confounders. Although age, family history of cancer, ethnicity, and lifestyle factors (alcohol consumption and smoking history) were evaluated in the baseline characteristics, these variables did not meet the threshold for inclusion in the multivariate model (P &gt; .25). The stage imbalance between groups is a potential confounding factor; however, since all MBD patients were inherently stage IV by definition (distant metastasis), adjusting for stage in the regression model would introduce collinearity with the outcome variable. This limitation is acknowledged and discussed accordingly."</w:t>
            </w:r>
          </w:p>
          <w:p w14:paraId="79342EA7" w14:textId="77777777" w:rsidR="00436C5B" w:rsidRPr="00900E9B" w:rsidRDefault="00436C5B">
            <w:pPr>
              <w:pStyle w:val="Heading2"/>
              <w:jc w:val="left"/>
              <w:rPr>
                <w:rFonts w:ascii="Times New Roman" w:hAnsi="Times New Roman"/>
                <w:b w:val="0"/>
                <w:lang w:val="en-GB"/>
              </w:rPr>
            </w:pPr>
          </w:p>
        </w:tc>
      </w:tr>
      <w:tr w:rsidR="00436C5B" w:rsidRPr="00900E9B" w14:paraId="63851998" w14:textId="77777777" w:rsidTr="006B32AC">
        <w:trPr>
          <w:trHeight w:val="703"/>
        </w:trPr>
        <w:tc>
          <w:tcPr>
            <w:tcW w:w="1265" w:type="pct"/>
            <w:noWrap/>
          </w:tcPr>
          <w:p w14:paraId="1FD05D2D" w14:textId="77777777" w:rsidR="00436C5B" w:rsidRPr="00E10705" w:rsidRDefault="00436C5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7934B3C" w14:textId="608B5C2F" w:rsidR="00436C5B" w:rsidRPr="006F5EBE" w:rsidRDefault="00AC323E">
            <w:pPr>
              <w:pStyle w:val="ListParagraph"/>
              <w:ind w:left="0"/>
              <w:rPr>
                <w:bCs/>
                <w:sz w:val="20"/>
                <w:szCs w:val="20"/>
                <w:lang w:val="en-GB"/>
              </w:rPr>
            </w:pPr>
            <w:r>
              <w:rPr>
                <w:bCs/>
                <w:sz w:val="20"/>
                <w:szCs w:val="20"/>
                <w:lang w:val="en-GB"/>
              </w:rPr>
              <w:t xml:space="preserve">The references are relevant and appropriately support the background and discussion </w:t>
            </w:r>
            <w:r w:rsidR="00707E61">
              <w:rPr>
                <w:bCs/>
                <w:sz w:val="20"/>
                <w:szCs w:val="20"/>
                <w:lang w:val="en-GB"/>
              </w:rPr>
              <w:t>sections.</w:t>
            </w:r>
          </w:p>
        </w:tc>
        <w:tc>
          <w:tcPr>
            <w:tcW w:w="1523" w:type="pct"/>
          </w:tcPr>
          <w:p w14:paraId="08BA0601" w14:textId="5F61791F" w:rsidR="00436C5B" w:rsidRPr="00D852D8" w:rsidRDefault="00D852D8">
            <w:pPr>
              <w:pStyle w:val="Heading2"/>
              <w:jc w:val="left"/>
              <w:rPr>
                <w:rFonts w:ascii="Times New Roman" w:hAnsi="Times New Roman"/>
                <w:b w:val="0"/>
                <w:bCs w:val="0"/>
                <w:lang w:val="en-GB"/>
              </w:rPr>
            </w:pPr>
            <w:proofErr w:type="spellStart"/>
            <w:r w:rsidRPr="00D852D8">
              <w:rPr>
                <w:rFonts w:ascii="Times New Roman" w:hAnsi="Times New Roman"/>
                <w:b w:val="0"/>
                <w:bCs w:val="0"/>
              </w:rPr>
              <w:t>We</w:t>
            </w:r>
            <w:proofErr w:type="spellEnd"/>
            <w:r w:rsidRPr="00D852D8">
              <w:rPr>
                <w:rFonts w:ascii="Times New Roman" w:hAnsi="Times New Roman"/>
                <w:b w:val="0"/>
                <w:bCs w:val="0"/>
              </w:rPr>
              <w:t xml:space="preserve"> </w:t>
            </w:r>
            <w:proofErr w:type="spellStart"/>
            <w:r w:rsidRPr="00D852D8">
              <w:rPr>
                <w:rFonts w:ascii="Times New Roman" w:hAnsi="Times New Roman"/>
                <w:b w:val="0"/>
                <w:bCs w:val="0"/>
              </w:rPr>
              <w:t>thank</w:t>
            </w:r>
            <w:proofErr w:type="spellEnd"/>
            <w:r w:rsidRPr="00D852D8">
              <w:rPr>
                <w:rFonts w:ascii="Times New Roman" w:hAnsi="Times New Roman"/>
                <w:b w:val="0"/>
                <w:bCs w:val="0"/>
              </w:rPr>
              <w:t xml:space="preserve"> the </w:t>
            </w:r>
            <w:proofErr w:type="spellStart"/>
            <w:r w:rsidRPr="00D852D8">
              <w:rPr>
                <w:rFonts w:ascii="Times New Roman" w:hAnsi="Times New Roman"/>
                <w:b w:val="0"/>
                <w:bCs w:val="0"/>
              </w:rPr>
              <w:t>reviewer</w:t>
            </w:r>
            <w:proofErr w:type="spellEnd"/>
            <w:r w:rsidRPr="00D852D8">
              <w:rPr>
                <w:rFonts w:ascii="Times New Roman" w:hAnsi="Times New Roman"/>
                <w:b w:val="0"/>
                <w:bCs w:val="0"/>
              </w:rPr>
              <w:t xml:space="preserve"> for </w:t>
            </w:r>
            <w:proofErr w:type="spellStart"/>
            <w:r w:rsidRPr="00D852D8">
              <w:rPr>
                <w:rFonts w:ascii="Times New Roman" w:hAnsi="Times New Roman"/>
                <w:b w:val="0"/>
                <w:bCs w:val="0"/>
              </w:rPr>
              <w:t>confirming</w:t>
            </w:r>
            <w:proofErr w:type="spellEnd"/>
            <w:r w:rsidRPr="00D852D8">
              <w:rPr>
                <w:rFonts w:ascii="Times New Roman" w:hAnsi="Times New Roman"/>
                <w:b w:val="0"/>
                <w:bCs w:val="0"/>
              </w:rPr>
              <w:t xml:space="preserve"> the </w:t>
            </w:r>
            <w:proofErr w:type="spellStart"/>
            <w:r w:rsidRPr="00D852D8">
              <w:rPr>
                <w:rFonts w:ascii="Times New Roman" w:hAnsi="Times New Roman"/>
                <w:b w:val="0"/>
                <w:bCs w:val="0"/>
              </w:rPr>
              <w:t>adequacy</w:t>
            </w:r>
            <w:proofErr w:type="spellEnd"/>
            <w:r w:rsidRPr="00D852D8">
              <w:rPr>
                <w:rFonts w:ascii="Times New Roman" w:hAnsi="Times New Roman"/>
                <w:b w:val="0"/>
                <w:bCs w:val="0"/>
              </w:rPr>
              <w:t xml:space="preserve"> and relevance of </w:t>
            </w:r>
            <w:proofErr w:type="spellStart"/>
            <w:r w:rsidRPr="00D852D8">
              <w:rPr>
                <w:rFonts w:ascii="Times New Roman" w:hAnsi="Times New Roman"/>
                <w:b w:val="0"/>
                <w:bCs w:val="0"/>
              </w:rPr>
              <w:t>our</w:t>
            </w:r>
            <w:proofErr w:type="spellEnd"/>
            <w:r w:rsidRPr="00D852D8">
              <w:rPr>
                <w:rFonts w:ascii="Times New Roman" w:hAnsi="Times New Roman"/>
                <w:b w:val="0"/>
                <w:bCs w:val="0"/>
              </w:rPr>
              <w:t xml:space="preserve"> </w:t>
            </w:r>
            <w:proofErr w:type="spellStart"/>
            <w:r w:rsidRPr="00D852D8">
              <w:rPr>
                <w:rFonts w:ascii="Times New Roman" w:hAnsi="Times New Roman"/>
                <w:b w:val="0"/>
                <w:bCs w:val="0"/>
              </w:rPr>
              <w:t>references</w:t>
            </w:r>
            <w:proofErr w:type="spellEnd"/>
            <w:r w:rsidRPr="00D852D8">
              <w:rPr>
                <w:rFonts w:ascii="Times New Roman" w:hAnsi="Times New Roman"/>
                <w:b w:val="0"/>
                <w:bCs w:val="0"/>
              </w:rPr>
              <w:t xml:space="preserve">. No changes </w:t>
            </w:r>
            <w:proofErr w:type="spellStart"/>
            <w:r w:rsidRPr="00D852D8">
              <w:rPr>
                <w:rFonts w:ascii="Times New Roman" w:hAnsi="Times New Roman"/>
                <w:b w:val="0"/>
                <w:bCs w:val="0"/>
              </w:rPr>
              <w:t>were</w:t>
            </w:r>
            <w:proofErr w:type="spellEnd"/>
            <w:r w:rsidRPr="00D852D8">
              <w:rPr>
                <w:rFonts w:ascii="Times New Roman" w:hAnsi="Times New Roman"/>
                <w:b w:val="0"/>
                <w:bCs w:val="0"/>
              </w:rPr>
              <w:t xml:space="preserve"> made to the </w:t>
            </w:r>
            <w:proofErr w:type="spellStart"/>
            <w:r w:rsidRPr="00D852D8">
              <w:rPr>
                <w:rFonts w:ascii="Times New Roman" w:hAnsi="Times New Roman"/>
                <w:b w:val="0"/>
                <w:bCs w:val="0"/>
              </w:rPr>
              <w:t>reference</w:t>
            </w:r>
            <w:proofErr w:type="spellEnd"/>
            <w:r w:rsidRPr="00D852D8">
              <w:rPr>
                <w:rFonts w:ascii="Times New Roman" w:hAnsi="Times New Roman"/>
                <w:b w:val="0"/>
                <w:bCs w:val="0"/>
              </w:rPr>
              <w:t xml:space="preserve"> </w:t>
            </w:r>
            <w:proofErr w:type="spellStart"/>
            <w:r w:rsidRPr="00D852D8">
              <w:rPr>
                <w:rFonts w:ascii="Times New Roman" w:hAnsi="Times New Roman"/>
                <w:b w:val="0"/>
                <w:bCs w:val="0"/>
              </w:rPr>
              <w:t>list</w:t>
            </w:r>
            <w:proofErr w:type="spellEnd"/>
            <w:r w:rsidRPr="00D852D8">
              <w:rPr>
                <w:rFonts w:ascii="Times New Roman" w:hAnsi="Times New Roman"/>
                <w:b w:val="0"/>
                <w:bCs w:val="0"/>
              </w:rPr>
              <w:t xml:space="preserve">, as the </w:t>
            </w:r>
            <w:proofErr w:type="spellStart"/>
            <w:r w:rsidRPr="00D852D8">
              <w:rPr>
                <w:rFonts w:ascii="Times New Roman" w:hAnsi="Times New Roman"/>
                <w:b w:val="0"/>
                <w:bCs w:val="0"/>
              </w:rPr>
              <w:t>reviewer</w:t>
            </w:r>
            <w:proofErr w:type="spellEnd"/>
            <w:r w:rsidRPr="00D852D8">
              <w:rPr>
                <w:rFonts w:ascii="Times New Roman" w:hAnsi="Times New Roman"/>
                <w:b w:val="0"/>
                <w:bCs w:val="0"/>
              </w:rPr>
              <w:t xml:space="preserve"> </w:t>
            </w:r>
            <w:proofErr w:type="spellStart"/>
            <w:r w:rsidRPr="00D852D8">
              <w:rPr>
                <w:rFonts w:ascii="Times New Roman" w:hAnsi="Times New Roman"/>
                <w:b w:val="0"/>
                <w:bCs w:val="0"/>
              </w:rPr>
              <w:t>did</w:t>
            </w:r>
            <w:proofErr w:type="spellEnd"/>
            <w:r w:rsidRPr="00D852D8">
              <w:rPr>
                <w:rFonts w:ascii="Times New Roman" w:hAnsi="Times New Roman"/>
                <w:b w:val="0"/>
                <w:bCs w:val="0"/>
              </w:rPr>
              <w:t xml:space="preserve"> not </w:t>
            </w:r>
            <w:proofErr w:type="spellStart"/>
            <w:r w:rsidRPr="00D852D8">
              <w:rPr>
                <w:rFonts w:ascii="Times New Roman" w:hAnsi="Times New Roman"/>
                <w:b w:val="0"/>
                <w:bCs w:val="0"/>
              </w:rPr>
              <w:t>identify</w:t>
            </w:r>
            <w:proofErr w:type="spellEnd"/>
            <w:r w:rsidRPr="00D852D8">
              <w:rPr>
                <w:rFonts w:ascii="Times New Roman" w:hAnsi="Times New Roman"/>
                <w:b w:val="0"/>
                <w:bCs w:val="0"/>
              </w:rPr>
              <w:t xml:space="preserve"> </w:t>
            </w:r>
            <w:proofErr w:type="spellStart"/>
            <w:r w:rsidRPr="00D852D8">
              <w:rPr>
                <w:rFonts w:ascii="Times New Roman" w:hAnsi="Times New Roman"/>
                <w:b w:val="0"/>
                <w:bCs w:val="0"/>
              </w:rPr>
              <w:t>any</w:t>
            </w:r>
            <w:proofErr w:type="spellEnd"/>
            <w:r w:rsidRPr="00D852D8">
              <w:rPr>
                <w:rFonts w:ascii="Times New Roman" w:hAnsi="Times New Roman"/>
                <w:b w:val="0"/>
                <w:bCs w:val="0"/>
              </w:rPr>
              <w:t xml:space="preserve"> </w:t>
            </w:r>
            <w:proofErr w:type="spellStart"/>
            <w:r w:rsidRPr="00D852D8">
              <w:rPr>
                <w:rFonts w:ascii="Times New Roman" w:hAnsi="Times New Roman"/>
                <w:b w:val="0"/>
                <w:bCs w:val="0"/>
              </w:rPr>
              <w:t>additional</w:t>
            </w:r>
            <w:proofErr w:type="spellEnd"/>
            <w:r w:rsidRPr="00D852D8">
              <w:rPr>
                <w:rFonts w:ascii="Times New Roman" w:hAnsi="Times New Roman"/>
                <w:b w:val="0"/>
                <w:bCs w:val="0"/>
              </w:rPr>
              <w:t xml:space="preserve"> </w:t>
            </w:r>
            <w:proofErr w:type="spellStart"/>
            <w:r w:rsidRPr="00D852D8">
              <w:rPr>
                <w:rFonts w:ascii="Times New Roman" w:hAnsi="Times New Roman"/>
                <w:b w:val="0"/>
                <w:bCs w:val="0"/>
              </w:rPr>
              <w:t>references</w:t>
            </w:r>
            <w:proofErr w:type="spellEnd"/>
            <w:r w:rsidRPr="00D852D8">
              <w:rPr>
                <w:rFonts w:ascii="Times New Roman" w:hAnsi="Times New Roman"/>
                <w:b w:val="0"/>
                <w:bCs w:val="0"/>
              </w:rPr>
              <w:t xml:space="preserve"> </w:t>
            </w:r>
            <w:proofErr w:type="spellStart"/>
            <w:r w:rsidRPr="00D852D8">
              <w:rPr>
                <w:rFonts w:ascii="Times New Roman" w:hAnsi="Times New Roman"/>
                <w:b w:val="0"/>
                <w:bCs w:val="0"/>
              </w:rPr>
              <w:t>that</w:t>
            </w:r>
            <w:proofErr w:type="spellEnd"/>
            <w:r w:rsidRPr="00D852D8">
              <w:rPr>
                <w:rFonts w:ascii="Times New Roman" w:hAnsi="Times New Roman"/>
                <w:b w:val="0"/>
                <w:bCs w:val="0"/>
              </w:rPr>
              <w:t xml:space="preserve"> </w:t>
            </w:r>
            <w:proofErr w:type="spellStart"/>
            <w:r w:rsidRPr="00D852D8">
              <w:rPr>
                <w:rFonts w:ascii="Times New Roman" w:hAnsi="Times New Roman"/>
                <w:b w:val="0"/>
                <w:bCs w:val="0"/>
              </w:rPr>
              <w:t>needed</w:t>
            </w:r>
            <w:proofErr w:type="spellEnd"/>
            <w:r w:rsidRPr="00D852D8">
              <w:rPr>
                <w:rFonts w:ascii="Times New Roman" w:hAnsi="Times New Roman"/>
                <w:b w:val="0"/>
                <w:bCs w:val="0"/>
              </w:rPr>
              <w:t xml:space="preserve"> to </w:t>
            </w:r>
            <w:proofErr w:type="spellStart"/>
            <w:r w:rsidRPr="00D852D8">
              <w:rPr>
                <w:rFonts w:ascii="Times New Roman" w:hAnsi="Times New Roman"/>
                <w:b w:val="0"/>
                <w:bCs w:val="0"/>
              </w:rPr>
              <w:t>be</w:t>
            </w:r>
            <w:proofErr w:type="spellEnd"/>
            <w:r w:rsidRPr="00D852D8">
              <w:rPr>
                <w:rFonts w:ascii="Times New Roman" w:hAnsi="Times New Roman"/>
                <w:b w:val="0"/>
                <w:bCs w:val="0"/>
              </w:rPr>
              <w:t xml:space="preserve"> </w:t>
            </w:r>
            <w:proofErr w:type="spellStart"/>
            <w:r w:rsidRPr="00D852D8">
              <w:rPr>
                <w:rFonts w:ascii="Times New Roman" w:hAnsi="Times New Roman"/>
                <w:b w:val="0"/>
                <w:bCs w:val="0"/>
              </w:rPr>
              <w:t>included</w:t>
            </w:r>
            <w:proofErr w:type="spellEnd"/>
          </w:p>
        </w:tc>
      </w:tr>
      <w:tr w:rsidR="00436C5B" w:rsidRPr="00900E9B" w14:paraId="23140BE0" w14:textId="77777777" w:rsidTr="006B32AC">
        <w:trPr>
          <w:trHeight w:val="386"/>
        </w:trPr>
        <w:tc>
          <w:tcPr>
            <w:tcW w:w="1265" w:type="pct"/>
            <w:noWrap/>
          </w:tcPr>
          <w:p w14:paraId="0433D622" w14:textId="77777777" w:rsidR="00436C5B" w:rsidRPr="00900E9B" w:rsidRDefault="00436C5B">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3AA77C5" w14:textId="77777777" w:rsidR="00436C5B" w:rsidRPr="00900E9B" w:rsidRDefault="00436C5B">
            <w:pPr>
              <w:rPr>
                <w:sz w:val="20"/>
                <w:szCs w:val="20"/>
                <w:lang w:val="en-GB"/>
              </w:rPr>
            </w:pPr>
          </w:p>
        </w:tc>
        <w:tc>
          <w:tcPr>
            <w:tcW w:w="2212" w:type="pct"/>
          </w:tcPr>
          <w:p w14:paraId="4DC19ADB" w14:textId="3AEEBC26" w:rsidR="00436C5B" w:rsidRPr="00900E9B" w:rsidRDefault="00215148">
            <w:pPr>
              <w:rPr>
                <w:sz w:val="20"/>
                <w:szCs w:val="20"/>
                <w:lang w:val="en-GB"/>
              </w:rPr>
            </w:pPr>
            <w:r>
              <w:rPr>
                <w:sz w:val="20"/>
                <w:szCs w:val="20"/>
                <w:lang w:val="en-GB"/>
              </w:rPr>
              <w:t>The manuscript is generally understandable and written in formal academic language. However, minor grammatical errors, long sentences, and slight repetition in some sections affect readability.</w:t>
            </w:r>
          </w:p>
        </w:tc>
        <w:tc>
          <w:tcPr>
            <w:tcW w:w="1523" w:type="pct"/>
          </w:tcPr>
          <w:p w14:paraId="175E98AE" w14:textId="30900CA2" w:rsidR="00436C5B" w:rsidRPr="00D852D8" w:rsidRDefault="00D852D8">
            <w:pPr>
              <w:rPr>
                <w:sz w:val="20"/>
                <w:szCs w:val="20"/>
                <w:lang w:val="en-GB"/>
              </w:rPr>
            </w:pPr>
            <w:r>
              <w:t>We appreciate the reviewer's feedback on the language quality. We have carefully reviewed the entire manuscript to correct minor grammatical errors, shorten overly long sentences, and eliminate unnecessary repetition. Specific changes include:</w:t>
            </w:r>
            <w:r>
              <w:br/>
            </w:r>
            <w:r>
              <w:br/>
              <w:t>(a) Long compound sentences in the Introduction section have been divided into shorter, clearer statements for improved readability.</w:t>
            </w:r>
            <w:r>
              <w:br/>
            </w:r>
            <w:r>
              <w:br/>
              <w:t>(b) Repetitive phrasing in the Results and Discussion section (particularly in Sections 3.3–3.5 regarding the bivariate analysis descriptions) has been revised to reduce redundancy while maintaining clarity.</w:t>
            </w:r>
            <w:r>
              <w:br/>
            </w:r>
            <w:r>
              <w:br/>
              <w:t>(c) Minor grammatical corrections have been made throughout the manuscript, including subject-verb agreement, article usage, and punctuation.</w:t>
            </w:r>
            <w:r>
              <w:br/>
            </w:r>
            <w:r>
              <w:br/>
              <w:t>All language revisions are highlighted in red in the revised manuscript.</w:t>
            </w:r>
          </w:p>
        </w:tc>
      </w:tr>
      <w:tr w:rsidR="00436C5B" w:rsidRPr="00900E9B" w14:paraId="17D5FD7A" w14:textId="77777777" w:rsidTr="006B32AC">
        <w:trPr>
          <w:trHeight w:val="1178"/>
        </w:trPr>
        <w:tc>
          <w:tcPr>
            <w:tcW w:w="1265" w:type="pct"/>
            <w:noWrap/>
          </w:tcPr>
          <w:p w14:paraId="531860D9" w14:textId="77777777" w:rsidR="00436C5B" w:rsidRPr="00900E9B" w:rsidRDefault="00436C5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94841D1" w14:textId="77777777" w:rsidR="00436C5B" w:rsidRPr="00900E9B" w:rsidRDefault="00436C5B">
            <w:pPr>
              <w:pStyle w:val="Heading2"/>
              <w:jc w:val="left"/>
              <w:rPr>
                <w:rFonts w:ascii="Times New Roman" w:hAnsi="Times New Roman"/>
                <w:b w:val="0"/>
                <w:lang w:val="en-GB"/>
              </w:rPr>
            </w:pPr>
          </w:p>
        </w:tc>
        <w:tc>
          <w:tcPr>
            <w:tcW w:w="2212" w:type="pct"/>
          </w:tcPr>
          <w:p w14:paraId="1411D8BA" w14:textId="02DC49D7" w:rsidR="00436C5B" w:rsidRPr="000D0955" w:rsidRDefault="006B32AC">
            <w:pPr>
              <w:pStyle w:val="NormalWeb"/>
              <w:spacing w:before="0" w:beforeAutospacing="0" w:after="0" w:afterAutospacing="0"/>
              <w:rPr>
                <w:rFonts w:ascii="Times New Roman" w:hAnsi="Times New Roman" w:cs="Times New Roman"/>
                <w:b/>
                <w:sz w:val="20"/>
                <w:szCs w:val="20"/>
                <w:lang w:val="en-GB"/>
              </w:rPr>
            </w:pPr>
            <w:r w:rsidRPr="006B32AC">
              <w:rPr>
                <w:rFonts w:ascii="Times New Roman" w:hAnsi="Times New Roman" w:cs="Times New Roman"/>
                <w:b/>
                <w:sz w:val="20"/>
                <w:szCs w:val="20"/>
                <w:lang w:val="en-GB"/>
              </w:rPr>
              <w:t>The study presents clinically relevant findings, particularly regarding the predictive role of ALP and IL-1β in metastatic bone disease. The use of ROC analysis and logistic regression strengthens the statistical interpretation. However, the authors should provide a clearer discussion of study limitations, including the small sample size and single-</w:t>
            </w:r>
            <w:proofErr w:type="spellStart"/>
            <w:r w:rsidRPr="006B32AC">
              <w:rPr>
                <w:rFonts w:ascii="Times New Roman" w:hAnsi="Times New Roman" w:cs="Times New Roman"/>
                <w:b/>
                <w:sz w:val="20"/>
                <w:szCs w:val="20"/>
                <w:lang w:val="en-GB"/>
              </w:rPr>
              <w:t>center</w:t>
            </w:r>
            <w:proofErr w:type="spellEnd"/>
            <w:r w:rsidRPr="006B32AC">
              <w:rPr>
                <w:rFonts w:ascii="Times New Roman" w:hAnsi="Times New Roman" w:cs="Times New Roman"/>
                <w:b/>
                <w:sz w:val="20"/>
                <w:szCs w:val="20"/>
                <w:lang w:val="en-GB"/>
              </w:rPr>
              <w:t xml:space="preserve"> design. Future research involving larger, </w:t>
            </w:r>
            <w:proofErr w:type="spellStart"/>
            <w:r w:rsidRPr="006B32AC">
              <w:rPr>
                <w:rFonts w:ascii="Times New Roman" w:hAnsi="Times New Roman" w:cs="Times New Roman"/>
                <w:b/>
                <w:sz w:val="20"/>
                <w:szCs w:val="20"/>
                <w:lang w:val="en-GB"/>
              </w:rPr>
              <w:t>multicenter</w:t>
            </w:r>
            <w:proofErr w:type="spellEnd"/>
            <w:r w:rsidRPr="006B32AC">
              <w:rPr>
                <w:rFonts w:ascii="Times New Roman" w:hAnsi="Times New Roman" w:cs="Times New Roman"/>
                <w:b/>
                <w:sz w:val="20"/>
                <w:szCs w:val="20"/>
                <w:lang w:val="en-GB"/>
              </w:rPr>
              <w:t xml:space="preserve"> cohorts would be valuable to validate the findings and improve the predictive model.</w:t>
            </w:r>
          </w:p>
        </w:tc>
        <w:tc>
          <w:tcPr>
            <w:tcW w:w="1523" w:type="pct"/>
          </w:tcPr>
          <w:p w14:paraId="5C7A0F72" w14:textId="77777777" w:rsidR="00D852D8" w:rsidRDefault="00D852D8" w:rsidP="00D852D8">
            <w:r>
              <w:t>We sincerely thank the reviewer for the positive assessment of our study findings and statistical methodology. As detailed in our response to Comment 4 above, we have substantially expanded the discussion of study limitations in the revised manuscript. Specifically, we have:</w:t>
            </w:r>
            <w:r>
              <w:br/>
            </w:r>
            <w:r>
              <w:br/>
              <w:t>(a) Added a dedicated limitations paragraph discussing the small sample size (n=46), the inherent stage imbalance between groups, and the single-center design.</w:t>
            </w:r>
            <w:r>
              <w:br/>
            </w:r>
            <w:r>
              <w:br/>
              <w:t>(b) Clarified the handling of potential confounding factors in the regression analysis.</w:t>
            </w:r>
            <w:r>
              <w:br/>
            </w:r>
            <w:r>
              <w:br/>
              <w:t>(c) Strengthened the recommendation for future research by explicitly calling for larger, multicenter, prospective studies to validate the predictive model. The revised conclusion now reads: "Future studies with larger sample sizes, multicenter designs, and prospective follow-up are warranted to validate and refine the predictive model and to assess the clinical applicability of the ALP and IL-1β combination as a screening tool for metastatic bone disease in breast cancer patients."</w:t>
            </w:r>
            <w:r>
              <w:br/>
            </w:r>
            <w:r>
              <w:br/>
              <w:t>We believe these revisions have meaningfully improved the transparency and completeness of our manuscript.</w:t>
            </w:r>
          </w:p>
          <w:p w14:paraId="0BB41D55" w14:textId="5FD2AEFD" w:rsidR="00436C5B" w:rsidRPr="00D852D8" w:rsidRDefault="00436C5B"/>
        </w:tc>
      </w:tr>
    </w:tbl>
    <w:p w14:paraId="076A029F" w14:textId="77777777" w:rsidR="00436C5B" w:rsidRPr="00900E9B" w:rsidRDefault="00436C5B" w:rsidP="00436C5B">
      <w:pPr>
        <w:pStyle w:val="BodyText"/>
        <w:rPr>
          <w:rFonts w:ascii="Times New Roman" w:hAnsi="Times New Roman"/>
          <w:b/>
          <w:bCs/>
          <w:sz w:val="20"/>
          <w:szCs w:val="20"/>
          <w:u w:val="single"/>
          <w:lang w:val="en-GB"/>
        </w:rPr>
      </w:pPr>
    </w:p>
    <w:p w14:paraId="08F34450" w14:textId="77777777" w:rsidR="00436C5B" w:rsidRPr="00900E9B" w:rsidRDefault="00436C5B" w:rsidP="00436C5B">
      <w:pPr>
        <w:pStyle w:val="BodyText"/>
        <w:rPr>
          <w:rFonts w:ascii="Times New Roman" w:hAnsi="Times New Roman"/>
          <w:b/>
          <w:bCs/>
          <w:sz w:val="20"/>
          <w:szCs w:val="20"/>
          <w:u w:val="single"/>
          <w:lang w:val="en-GB"/>
        </w:rPr>
      </w:pPr>
    </w:p>
    <w:p w14:paraId="77906D87" w14:textId="77777777" w:rsidR="00436C5B" w:rsidRPr="00900E9B" w:rsidRDefault="00436C5B" w:rsidP="00436C5B">
      <w:pPr>
        <w:pStyle w:val="BodyText"/>
        <w:rPr>
          <w:rFonts w:ascii="Times New Roman" w:hAnsi="Times New Roman"/>
          <w:b/>
          <w:bCs/>
          <w:sz w:val="20"/>
          <w:szCs w:val="20"/>
          <w:u w:val="single"/>
          <w:lang w:val="en-GB"/>
        </w:rPr>
      </w:pPr>
    </w:p>
    <w:p w14:paraId="7AC6C448" w14:textId="77777777" w:rsidR="00436C5B" w:rsidRPr="00900E9B" w:rsidRDefault="00436C5B" w:rsidP="00436C5B">
      <w:pPr>
        <w:pStyle w:val="BodyText"/>
        <w:rPr>
          <w:rFonts w:ascii="Times New Roman" w:hAnsi="Times New Roman"/>
          <w:b/>
          <w:bCs/>
          <w:sz w:val="20"/>
          <w:szCs w:val="20"/>
          <w:u w:val="single"/>
          <w:lang w:val="en-GB"/>
        </w:rPr>
      </w:pPr>
    </w:p>
    <w:p w14:paraId="3665021B" w14:textId="77777777" w:rsidR="00436C5B" w:rsidRPr="00900E9B" w:rsidRDefault="00436C5B" w:rsidP="00436C5B">
      <w:pPr>
        <w:pStyle w:val="BodyText"/>
        <w:rPr>
          <w:rFonts w:ascii="Times New Roman" w:hAnsi="Times New Roman"/>
          <w:b/>
          <w:bCs/>
          <w:sz w:val="20"/>
          <w:szCs w:val="20"/>
          <w:u w:val="single"/>
          <w:lang w:val="en-GB"/>
        </w:rPr>
      </w:pPr>
    </w:p>
    <w:p w14:paraId="5C0E9AB3" w14:textId="77777777" w:rsidR="00436C5B" w:rsidRPr="00900E9B" w:rsidRDefault="00436C5B" w:rsidP="00436C5B">
      <w:pPr>
        <w:pStyle w:val="BodyText"/>
        <w:rPr>
          <w:rFonts w:ascii="Times New Roman" w:hAnsi="Times New Roman"/>
          <w:b/>
          <w:bCs/>
          <w:sz w:val="20"/>
          <w:szCs w:val="20"/>
          <w:u w:val="single"/>
          <w:lang w:val="en-GB"/>
        </w:rPr>
      </w:pPr>
    </w:p>
    <w:p w14:paraId="3751BD83" w14:textId="77777777" w:rsidR="00436C5B" w:rsidRPr="00900E9B" w:rsidRDefault="00436C5B" w:rsidP="00436C5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B908D4" w:rsidRPr="00340561" w14:paraId="6069728E" w14:textId="77777777" w:rsidTr="008931CE">
        <w:tc>
          <w:tcPr>
            <w:tcW w:w="5000" w:type="pct"/>
            <w:gridSpan w:val="3"/>
            <w:tcBorders>
              <w:top w:val="nil"/>
              <w:left w:val="nil"/>
              <w:right w:val="nil"/>
            </w:tcBorders>
            <w:noWrap/>
            <w:tcMar>
              <w:top w:w="0" w:type="dxa"/>
              <w:left w:w="108" w:type="dxa"/>
              <w:bottom w:w="0" w:type="dxa"/>
              <w:right w:w="108" w:type="dxa"/>
            </w:tcMar>
            <w:vAlign w:val="center"/>
          </w:tcPr>
          <w:p w14:paraId="3E2B72F9" w14:textId="77777777" w:rsidR="00B908D4" w:rsidRPr="00340561" w:rsidRDefault="00B908D4" w:rsidP="008931CE">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23E69832" w14:textId="77777777" w:rsidR="00B908D4" w:rsidRPr="00340561" w:rsidRDefault="00B908D4" w:rsidP="008931CE">
            <w:pPr>
              <w:rPr>
                <w:rFonts w:ascii="Arial" w:eastAsia="Arial Unicode MS" w:hAnsi="Arial" w:cs="Arial"/>
                <w:b/>
                <w:sz w:val="20"/>
                <w:szCs w:val="20"/>
                <w:u w:val="single"/>
                <w:lang w:val="en-GB"/>
              </w:rPr>
            </w:pPr>
          </w:p>
        </w:tc>
      </w:tr>
      <w:tr w:rsidR="00B908D4" w:rsidRPr="00340561" w14:paraId="21884BB4" w14:textId="77777777" w:rsidTr="008931CE">
        <w:tc>
          <w:tcPr>
            <w:tcW w:w="1615" w:type="pct"/>
            <w:noWrap/>
            <w:tcMar>
              <w:top w:w="0" w:type="dxa"/>
              <w:left w:w="108" w:type="dxa"/>
              <w:bottom w:w="0" w:type="dxa"/>
              <w:right w:w="108" w:type="dxa"/>
            </w:tcMar>
            <w:vAlign w:val="center"/>
          </w:tcPr>
          <w:p w14:paraId="485C9ADC" w14:textId="77777777" w:rsidR="00B908D4" w:rsidRPr="00340561" w:rsidRDefault="00B908D4" w:rsidP="008931CE">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3ADCBA1" w14:textId="77777777" w:rsidR="00B908D4" w:rsidRPr="00340561" w:rsidRDefault="00B908D4" w:rsidP="008931CE">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5D69B3EE" w14:textId="77777777" w:rsidR="00B908D4" w:rsidRPr="008608EB" w:rsidRDefault="00B908D4" w:rsidP="008931CE">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3B28A680" w14:textId="77777777" w:rsidR="00B908D4" w:rsidRPr="00340561" w:rsidRDefault="00B908D4" w:rsidP="008931CE">
            <w:pPr>
              <w:keepNext/>
              <w:outlineLvl w:val="1"/>
              <w:rPr>
                <w:rFonts w:ascii="Arial" w:eastAsia="MS Mincho" w:hAnsi="Arial" w:cs="Arial"/>
                <w:bCs/>
                <w:sz w:val="20"/>
                <w:szCs w:val="20"/>
                <w:lang w:val="en-GB"/>
              </w:rPr>
            </w:pPr>
          </w:p>
        </w:tc>
      </w:tr>
      <w:tr w:rsidR="00B908D4" w:rsidRPr="00340561" w14:paraId="7305B9A5" w14:textId="77777777" w:rsidTr="008931CE">
        <w:trPr>
          <w:trHeight w:val="890"/>
        </w:trPr>
        <w:tc>
          <w:tcPr>
            <w:tcW w:w="1615" w:type="pct"/>
            <w:noWrap/>
            <w:tcMar>
              <w:top w:w="0" w:type="dxa"/>
              <w:left w:w="108" w:type="dxa"/>
              <w:bottom w:w="0" w:type="dxa"/>
              <w:right w:w="108" w:type="dxa"/>
            </w:tcMar>
            <w:vAlign w:val="center"/>
          </w:tcPr>
          <w:p w14:paraId="04CCEBA5" w14:textId="77777777" w:rsidR="00B908D4" w:rsidRPr="00340561" w:rsidRDefault="00B908D4" w:rsidP="008931CE">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4478D5B5" w14:textId="77777777" w:rsidR="00B908D4" w:rsidRPr="00340561" w:rsidRDefault="00B908D4" w:rsidP="008931C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AAB6681" w14:textId="77777777" w:rsidR="00B908D4" w:rsidRPr="00340561" w:rsidRDefault="00B908D4" w:rsidP="008931CE">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4C885654" w14:textId="77777777" w:rsidR="00B908D4" w:rsidRPr="00340561" w:rsidRDefault="00B908D4" w:rsidP="008931CE">
            <w:pPr>
              <w:rPr>
                <w:rFonts w:ascii="Arial" w:eastAsia="Arial Unicode MS" w:hAnsi="Arial" w:cs="Arial"/>
                <w:sz w:val="20"/>
                <w:szCs w:val="20"/>
                <w:lang w:val="en-GB"/>
              </w:rPr>
            </w:pPr>
          </w:p>
          <w:p w14:paraId="2564AAD6" w14:textId="77777777" w:rsidR="00B908D4" w:rsidRPr="00340561" w:rsidRDefault="00B908D4" w:rsidP="008931CE">
            <w:pPr>
              <w:rPr>
                <w:rFonts w:ascii="Arial" w:eastAsia="Arial Unicode MS" w:hAnsi="Arial" w:cs="Arial"/>
                <w:sz w:val="20"/>
                <w:szCs w:val="20"/>
                <w:lang w:val="en-GB"/>
              </w:rPr>
            </w:pPr>
          </w:p>
        </w:tc>
        <w:tc>
          <w:tcPr>
            <w:tcW w:w="1691" w:type="pct"/>
            <w:vAlign w:val="center"/>
          </w:tcPr>
          <w:p w14:paraId="09DD5242" w14:textId="77777777" w:rsidR="00D852D8" w:rsidRDefault="00D852D8" w:rsidP="00D852D8">
            <w:r>
              <w:t>There are no ethical issues in this manuscript. The study protocol was approved by the Ethics Committee of the Faculty of Medicine, Udayana University (Reference No. B/1169/UN14.2.</w:t>
            </w:r>
            <w:proofErr w:type="gramStart"/>
            <w:r>
              <w:t>2.V.</w:t>
            </w:r>
            <w:proofErr w:type="gramEnd"/>
            <w:r>
              <w:t>21/PK.03.08./2025). All procedures involving human participants were conducted in accordance with the ethical standards of the institutional research committee and with the 1964 Declaration of Helsinki and its later amendments. Written informed consent was obtained from all participants prior to enrollment. All patient data were anonymized and handled in compliance with data protection regulations. No vulnerable populations were specifically targeted, and the study did not involve any experimental interventions beyond standard clinical assessments.</w:t>
            </w:r>
          </w:p>
          <w:p w14:paraId="0AA955B1" w14:textId="77777777" w:rsidR="00D852D8" w:rsidRDefault="00D852D8" w:rsidP="00D852D8"/>
          <w:p w14:paraId="1D49251E" w14:textId="77777777" w:rsidR="00D852D8" w:rsidRDefault="00D852D8" w:rsidP="00D852D8">
            <w:r>
              <w:t>We hope that the above responses and the corresponding revisions to the manuscript adequately address all the reviewer's concerns. We are grateful for the opportunity to improve our manuscript and look forward to the editorial decision.</w:t>
            </w:r>
          </w:p>
          <w:p w14:paraId="21FA90D0" w14:textId="77777777" w:rsidR="00B908D4" w:rsidRPr="00340561" w:rsidRDefault="00B908D4" w:rsidP="008931CE">
            <w:pPr>
              <w:rPr>
                <w:rFonts w:ascii="Arial" w:eastAsia="Arial Unicode MS" w:hAnsi="Arial" w:cs="Arial"/>
                <w:sz w:val="20"/>
                <w:szCs w:val="20"/>
                <w:lang w:val="en-GB"/>
              </w:rPr>
            </w:pPr>
          </w:p>
          <w:p w14:paraId="24923077" w14:textId="77777777" w:rsidR="00B908D4" w:rsidRPr="00340561" w:rsidRDefault="00B908D4" w:rsidP="008931CE">
            <w:pPr>
              <w:rPr>
                <w:rFonts w:ascii="Arial" w:eastAsia="Arial Unicode MS" w:hAnsi="Arial" w:cs="Arial"/>
                <w:sz w:val="20"/>
                <w:szCs w:val="20"/>
                <w:lang w:val="en-GB"/>
              </w:rPr>
            </w:pPr>
          </w:p>
          <w:p w14:paraId="175A01DA" w14:textId="77777777" w:rsidR="00B908D4" w:rsidRPr="00340561" w:rsidRDefault="00B908D4" w:rsidP="008931CE">
            <w:pPr>
              <w:rPr>
                <w:rFonts w:ascii="Arial" w:eastAsia="Arial Unicode MS" w:hAnsi="Arial" w:cs="Arial"/>
                <w:sz w:val="20"/>
                <w:szCs w:val="20"/>
                <w:lang w:val="en-GB"/>
              </w:rPr>
            </w:pPr>
          </w:p>
        </w:tc>
      </w:tr>
      <w:bookmarkEnd w:id="3"/>
    </w:tbl>
    <w:p w14:paraId="3DAFEAA6" w14:textId="77777777" w:rsidR="00B908D4" w:rsidRDefault="00B908D4" w:rsidP="00B908D4"/>
    <w:p w14:paraId="20C9B7F3" w14:textId="77777777" w:rsidR="00B908D4" w:rsidRDefault="00B908D4" w:rsidP="00B908D4"/>
    <w:p w14:paraId="75A2B05A" w14:textId="77777777" w:rsidR="00B908D4" w:rsidRPr="00375011" w:rsidRDefault="00B908D4" w:rsidP="00B908D4">
      <w:pPr>
        <w:rPr>
          <w:bCs/>
          <w:u w:val="single"/>
          <w:lang w:val="en-GB"/>
        </w:rPr>
      </w:pPr>
    </w:p>
    <w:bookmarkEnd w:id="4"/>
    <w:p w14:paraId="7D546D0B" w14:textId="77777777" w:rsidR="00B908D4" w:rsidRDefault="00B908D4" w:rsidP="00B908D4"/>
    <w:bookmarkEnd w:id="0"/>
    <w:bookmarkEnd w:id="1"/>
    <w:p w14:paraId="55E0276D" w14:textId="77777777" w:rsidR="00436C5B" w:rsidRPr="00900E9B" w:rsidRDefault="00436C5B" w:rsidP="00436C5B">
      <w:pPr>
        <w:pStyle w:val="BodyText"/>
        <w:rPr>
          <w:rFonts w:ascii="Times New Roman" w:hAnsi="Times New Roman"/>
          <w:b/>
          <w:bCs/>
          <w:sz w:val="20"/>
          <w:szCs w:val="20"/>
          <w:u w:val="single"/>
          <w:lang w:val="en-GB"/>
        </w:rPr>
      </w:pPr>
    </w:p>
    <w:sectPr w:rsidR="00436C5B" w:rsidRPr="00900E9B" w:rsidSect="000918F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99640" w14:textId="77777777" w:rsidR="00C65DF6" w:rsidRPr="0000007A" w:rsidRDefault="00C65DF6" w:rsidP="0099583E">
      <w:r>
        <w:separator/>
      </w:r>
    </w:p>
  </w:endnote>
  <w:endnote w:type="continuationSeparator" w:id="0">
    <w:p w14:paraId="32B5419E" w14:textId="77777777" w:rsidR="00C65DF6" w:rsidRPr="0000007A" w:rsidRDefault="00C65DF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A14D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B2951" w:rsidRPr="004B2951">
      <w:rPr>
        <w:sz w:val="16"/>
      </w:rPr>
      <w:t xml:space="preserve">Version: </w:t>
    </w:r>
    <w:r w:rsidR="00BA6E0B">
      <w:rPr>
        <w:sz w:val="16"/>
      </w:rPr>
      <w:t>3</w:t>
    </w:r>
    <w:r w:rsidR="004B2951" w:rsidRPr="004B2951">
      <w:rPr>
        <w:sz w:val="16"/>
      </w:rPr>
      <w:t xml:space="preserve"> (0</w:t>
    </w:r>
    <w:r w:rsidR="00BA6E0B">
      <w:rPr>
        <w:sz w:val="16"/>
      </w:rPr>
      <w:t>7</w:t>
    </w:r>
    <w:r w:rsidR="004B2951" w:rsidRPr="004B2951">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C2ED0" w14:textId="77777777" w:rsidR="00C65DF6" w:rsidRPr="0000007A" w:rsidRDefault="00C65DF6" w:rsidP="0099583E">
      <w:r>
        <w:separator/>
      </w:r>
    </w:p>
  </w:footnote>
  <w:footnote w:type="continuationSeparator" w:id="0">
    <w:p w14:paraId="1127CCB7" w14:textId="77777777" w:rsidR="00C65DF6" w:rsidRPr="0000007A" w:rsidRDefault="00C65DF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213D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23F797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A6E0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8FE"/>
    <w:rsid w:val="000936AC"/>
    <w:rsid w:val="00095A59"/>
    <w:rsid w:val="000A2134"/>
    <w:rsid w:val="000A6F41"/>
    <w:rsid w:val="000B4EE5"/>
    <w:rsid w:val="000B74A1"/>
    <w:rsid w:val="000B757E"/>
    <w:rsid w:val="000C0837"/>
    <w:rsid w:val="000C3B7E"/>
    <w:rsid w:val="000E263E"/>
    <w:rsid w:val="000F3115"/>
    <w:rsid w:val="00100577"/>
    <w:rsid w:val="00101322"/>
    <w:rsid w:val="001152A7"/>
    <w:rsid w:val="001228F3"/>
    <w:rsid w:val="00135515"/>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0880"/>
    <w:rsid w:val="002011F3"/>
    <w:rsid w:val="00201B85"/>
    <w:rsid w:val="00202E80"/>
    <w:rsid w:val="002105F7"/>
    <w:rsid w:val="00211496"/>
    <w:rsid w:val="00215148"/>
    <w:rsid w:val="00220111"/>
    <w:rsid w:val="00222959"/>
    <w:rsid w:val="0022369C"/>
    <w:rsid w:val="002320EB"/>
    <w:rsid w:val="0023696A"/>
    <w:rsid w:val="002422CB"/>
    <w:rsid w:val="00245E23"/>
    <w:rsid w:val="0025366D"/>
    <w:rsid w:val="00253E91"/>
    <w:rsid w:val="00254F80"/>
    <w:rsid w:val="00262634"/>
    <w:rsid w:val="002643B3"/>
    <w:rsid w:val="00275984"/>
    <w:rsid w:val="00280EC9"/>
    <w:rsid w:val="00291D08"/>
    <w:rsid w:val="00293482"/>
    <w:rsid w:val="002C44C0"/>
    <w:rsid w:val="002D7EA9"/>
    <w:rsid w:val="002E1211"/>
    <w:rsid w:val="002E2339"/>
    <w:rsid w:val="002E6D86"/>
    <w:rsid w:val="002F6935"/>
    <w:rsid w:val="00312559"/>
    <w:rsid w:val="0031595B"/>
    <w:rsid w:val="003204B8"/>
    <w:rsid w:val="0033692F"/>
    <w:rsid w:val="00346223"/>
    <w:rsid w:val="003A04E7"/>
    <w:rsid w:val="003A4991"/>
    <w:rsid w:val="003A6E1A"/>
    <w:rsid w:val="003B2172"/>
    <w:rsid w:val="003E746A"/>
    <w:rsid w:val="0042465A"/>
    <w:rsid w:val="004356CC"/>
    <w:rsid w:val="00435B36"/>
    <w:rsid w:val="00436C5B"/>
    <w:rsid w:val="00442A50"/>
    <w:rsid w:val="00442B24"/>
    <w:rsid w:val="0044444D"/>
    <w:rsid w:val="0044519B"/>
    <w:rsid w:val="00445B35"/>
    <w:rsid w:val="00446659"/>
    <w:rsid w:val="00457AB1"/>
    <w:rsid w:val="00457BC0"/>
    <w:rsid w:val="00462996"/>
    <w:rsid w:val="004674B4"/>
    <w:rsid w:val="004916B7"/>
    <w:rsid w:val="004B2951"/>
    <w:rsid w:val="004B4CAD"/>
    <w:rsid w:val="004B4FDC"/>
    <w:rsid w:val="004C3DF1"/>
    <w:rsid w:val="004D2E36"/>
    <w:rsid w:val="00503AB6"/>
    <w:rsid w:val="005047C5"/>
    <w:rsid w:val="00510920"/>
    <w:rsid w:val="00521812"/>
    <w:rsid w:val="00523D2C"/>
    <w:rsid w:val="00526103"/>
    <w:rsid w:val="00531C82"/>
    <w:rsid w:val="005339A8"/>
    <w:rsid w:val="00533FC1"/>
    <w:rsid w:val="0054564B"/>
    <w:rsid w:val="00545A13"/>
    <w:rsid w:val="00546343"/>
    <w:rsid w:val="00557CD3"/>
    <w:rsid w:val="00560D3C"/>
    <w:rsid w:val="005659FC"/>
    <w:rsid w:val="00567DE0"/>
    <w:rsid w:val="005735A5"/>
    <w:rsid w:val="0059748A"/>
    <w:rsid w:val="005A5BE0"/>
    <w:rsid w:val="005B12E0"/>
    <w:rsid w:val="005B62C5"/>
    <w:rsid w:val="005C25A0"/>
    <w:rsid w:val="005D230D"/>
    <w:rsid w:val="005E2CE3"/>
    <w:rsid w:val="00602F7D"/>
    <w:rsid w:val="00605952"/>
    <w:rsid w:val="00620677"/>
    <w:rsid w:val="00624032"/>
    <w:rsid w:val="00631215"/>
    <w:rsid w:val="00645A56"/>
    <w:rsid w:val="006532DF"/>
    <w:rsid w:val="0065579D"/>
    <w:rsid w:val="00663792"/>
    <w:rsid w:val="0067046C"/>
    <w:rsid w:val="00676845"/>
    <w:rsid w:val="00680547"/>
    <w:rsid w:val="0068165E"/>
    <w:rsid w:val="0068446F"/>
    <w:rsid w:val="0069428E"/>
    <w:rsid w:val="00696CAD"/>
    <w:rsid w:val="006A5E0B"/>
    <w:rsid w:val="006B32AC"/>
    <w:rsid w:val="006C3797"/>
    <w:rsid w:val="006E7D6E"/>
    <w:rsid w:val="006F6F2F"/>
    <w:rsid w:val="00701186"/>
    <w:rsid w:val="00707BE1"/>
    <w:rsid w:val="00707E61"/>
    <w:rsid w:val="007207EE"/>
    <w:rsid w:val="007238EB"/>
    <w:rsid w:val="0072789A"/>
    <w:rsid w:val="007317C3"/>
    <w:rsid w:val="00734756"/>
    <w:rsid w:val="0073538B"/>
    <w:rsid w:val="00741BD0"/>
    <w:rsid w:val="007426E6"/>
    <w:rsid w:val="00746370"/>
    <w:rsid w:val="00766889"/>
    <w:rsid w:val="00766A0D"/>
    <w:rsid w:val="00767F8C"/>
    <w:rsid w:val="00780B67"/>
    <w:rsid w:val="007A328D"/>
    <w:rsid w:val="007B1099"/>
    <w:rsid w:val="007B6E18"/>
    <w:rsid w:val="007D0246"/>
    <w:rsid w:val="007E1EEC"/>
    <w:rsid w:val="007E30FC"/>
    <w:rsid w:val="007F5873"/>
    <w:rsid w:val="008018D9"/>
    <w:rsid w:val="00806382"/>
    <w:rsid w:val="00815F94"/>
    <w:rsid w:val="0082130C"/>
    <w:rsid w:val="008224E2"/>
    <w:rsid w:val="00825DC9"/>
    <w:rsid w:val="0082676D"/>
    <w:rsid w:val="00830CBD"/>
    <w:rsid w:val="00831055"/>
    <w:rsid w:val="008423BB"/>
    <w:rsid w:val="00846F1F"/>
    <w:rsid w:val="0087201B"/>
    <w:rsid w:val="00877F10"/>
    <w:rsid w:val="00882091"/>
    <w:rsid w:val="008913D5"/>
    <w:rsid w:val="00893686"/>
    <w:rsid w:val="00893E75"/>
    <w:rsid w:val="00896BBC"/>
    <w:rsid w:val="008A6CB4"/>
    <w:rsid w:val="008C2778"/>
    <w:rsid w:val="008C2F62"/>
    <w:rsid w:val="008D020E"/>
    <w:rsid w:val="008D1117"/>
    <w:rsid w:val="008D15A4"/>
    <w:rsid w:val="008E700F"/>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157AE"/>
    <w:rsid w:val="00A31AAC"/>
    <w:rsid w:val="00A32905"/>
    <w:rsid w:val="00A36C95"/>
    <w:rsid w:val="00A37DE3"/>
    <w:rsid w:val="00A519D1"/>
    <w:rsid w:val="00A6343B"/>
    <w:rsid w:val="00A65C50"/>
    <w:rsid w:val="00A66DD2"/>
    <w:rsid w:val="00AA41B3"/>
    <w:rsid w:val="00AA6670"/>
    <w:rsid w:val="00AB1ED6"/>
    <w:rsid w:val="00AB397D"/>
    <w:rsid w:val="00AB638A"/>
    <w:rsid w:val="00AB6B88"/>
    <w:rsid w:val="00AB6E43"/>
    <w:rsid w:val="00AC1349"/>
    <w:rsid w:val="00AC1E3D"/>
    <w:rsid w:val="00AC323E"/>
    <w:rsid w:val="00AD6C51"/>
    <w:rsid w:val="00AE626A"/>
    <w:rsid w:val="00AF3016"/>
    <w:rsid w:val="00B03A45"/>
    <w:rsid w:val="00B2236C"/>
    <w:rsid w:val="00B22FE6"/>
    <w:rsid w:val="00B2680A"/>
    <w:rsid w:val="00B3033D"/>
    <w:rsid w:val="00B356AF"/>
    <w:rsid w:val="00B62087"/>
    <w:rsid w:val="00B62F41"/>
    <w:rsid w:val="00B73785"/>
    <w:rsid w:val="00B760E1"/>
    <w:rsid w:val="00B807F8"/>
    <w:rsid w:val="00B858FF"/>
    <w:rsid w:val="00B908D4"/>
    <w:rsid w:val="00BA19A0"/>
    <w:rsid w:val="00BA1AB3"/>
    <w:rsid w:val="00BA6421"/>
    <w:rsid w:val="00BA6E0B"/>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3A93"/>
    <w:rsid w:val="00C65DF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2D8"/>
    <w:rsid w:val="00D8579C"/>
    <w:rsid w:val="00D90124"/>
    <w:rsid w:val="00D9392F"/>
    <w:rsid w:val="00DA41F5"/>
    <w:rsid w:val="00DA7316"/>
    <w:rsid w:val="00DB5B54"/>
    <w:rsid w:val="00DB74DC"/>
    <w:rsid w:val="00DB7E1B"/>
    <w:rsid w:val="00DC1D81"/>
    <w:rsid w:val="00DD44E7"/>
    <w:rsid w:val="00E451EA"/>
    <w:rsid w:val="00E53E52"/>
    <w:rsid w:val="00E57F4B"/>
    <w:rsid w:val="00E63889"/>
    <w:rsid w:val="00E65EB7"/>
    <w:rsid w:val="00E71C8D"/>
    <w:rsid w:val="00E72360"/>
    <w:rsid w:val="00E972A7"/>
    <w:rsid w:val="00EA2839"/>
    <w:rsid w:val="00EB3E91"/>
    <w:rsid w:val="00EC1C65"/>
    <w:rsid w:val="00EC6894"/>
    <w:rsid w:val="00ED6B12"/>
    <w:rsid w:val="00EE0D3E"/>
    <w:rsid w:val="00EE259B"/>
    <w:rsid w:val="00EF326D"/>
    <w:rsid w:val="00EF53FE"/>
    <w:rsid w:val="00F245A7"/>
    <w:rsid w:val="00F2643C"/>
    <w:rsid w:val="00F3295A"/>
    <w:rsid w:val="00F34D8E"/>
    <w:rsid w:val="00F3669D"/>
    <w:rsid w:val="00F405F8"/>
    <w:rsid w:val="00F41154"/>
    <w:rsid w:val="00F4700F"/>
    <w:rsid w:val="00F51F7F"/>
    <w:rsid w:val="00F573EA"/>
    <w:rsid w:val="00F57E9D"/>
    <w:rsid w:val="00F86B4C"/>
    <w:rsid w:val="00F93F6E"/>
    <w:rsid w:val="00FA6528"/>
    <w:rsid w:val="00FC2E17"/>
    <w:rsid w:val="00FC6387"/>
    <w:rsid w:val="00FC6802"/>
    <w:rsid w:val="00FD70A7"/>
    <w:rsid w:val="00FE4043"/>
    <w:rsid w:val="00FF09A0"/>
    <w:rsid w:val="00FF64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5985AE"/>
  <w15:chartTrackingRefBased/>
  <w15:docId w15:val="{188B6708-821C-7D46-B024-069DC3E6A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81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1379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2384197">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662703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25540131">
      <w:bodyDiv w:val="1"/>
      <w:marLeft w:val="0"/>
      <w:marRight w:val="0"/>
      <w:marTop w:val="0"/>
      <w:marBottom w:val="0"/>
      <w:divBdr>
        <w:top w:val="none" w:sz="0" w:space="0" w:color="auto"/>
        <w:left w:val="none" w:sz="0" w:space="0" w:color="auto"/>
        <w:bottom w:val="none" w:sz="0" w:space="0" w:color="auto"/>
        <w:right w:val="none" w:sz="0" w:space="0" w:color="auto"/>
      </w:divBdr>
    </w:div>
    <w:div w:id="114238043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195580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1005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orr.com/index.php/AJO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6FD3C-CFB3-4752-86C4-316372274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1882</Words>
  <Characters>10731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https://journalajorr.com/index.php/AJORR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7</cp:revision>
  <dcterms:created xsi:type="dcterms:W3CDTF">2026-03-05T00:29:00Z</dcterms:created>
  <dcterms:modified xsi:type="dcterms:W3CDTF">2026-03-09T07:27:00Z</dcterms:modified>
</cp:coreProperties>
</file>