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B2775" w:rsidRDefault="001B277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B2775">
        <w:trPr>
          <w:trHeight w:val="290"/>
        </w:trPr>
        <w:tc>
          <w:tcPr>
            <w:tcW w:w="20934" w:type="dxa"/>
            <w:gridSpan w:val="2"/>
            <w:tcBorders>
              <w:top w:val="nil"/>
              <w:left w:val="nil"/>
              <w:right w:val="nil"/>
            </w:tcBorders>
          </w:tcPr>
          <w:p w:rsidR="001B2775" w:rsidRDefault="001B2775">
            <w:pPr>
              <w:pStyle w:val="Heading2"/>
              <w:keepNext w:val="0"/>
              <w:jc w:val="left"/>
              <w:rPr>
                <w:rFonts w:ascii="Arial" w:eastAsia="Arial" w:hAnsi="Arial" w:cs="Arial"/>
                <w:b w:val="0"/>
                <w:bCs w:val="0"/>
                <w:sz w:val="28"/>
                <w:szCs w:val="28"/>
              </w:rPr>
            </w:pPr>
          </w:p>
        </w:tc>
      </w:tr>
      <w:tr w:rsidR="001B2775">
        <w:trPr>
          <w:trHeight w:val="290"/>
        </w:trPr>
        <w:tc>
          <w:tcPr>
            <w:tcW w:w="5167" w:type="dxa"/>
          </w:tcPr>
          <w:p w:rsidR="001B2775" w:rsidRDefault="00A9684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B2775" w:rsidRDefault="00A9684C">
            <w:pPr>
              <w:rPr>
                <w:rFonts w:ascii="Arial" w:eastAsia="Arial" w:hAnsi="Arial" w:cs="Arial"/>
                <w:color w:val="0000FF"/>
                <w:sz w:val="20"/>
                <w:szCs w:val="20"/>
              </w:rPr>
            </w:pPr>
            <w:hyperlink r:id="rId7">
              <w:r>
                <w:rPr>
                  <w:rFonts w:ascii="Arial" w:eastAsia="Arial" w:hAnsi="Arial" w:cs="Arial"/>
                  <w:b/>
                  <w:bCs/>
                  <w:color w:val="0000FF"/>
                  <w:sz w:val="20"/>
                  <w:szCs w:val="20"/>
                  <w:u w:val="single"/>
                </w:rPr>
                <w:t xml:space="preserve">Asian Journal of Dental Sciences </w:t>
              </w:r>
            </w:hyperlink>
            <w:r>
              <w:rPr>
                <w:rFonts w:ascii="Arial" w:eastAsia="Arial" w:hAnsi="Arial" w:cs="Arial"/>
                <w:b/>
                <w:bCs/>
                <w:color w:val="0000FF"/>
                <w:sz w:val="20"/>
                <w:szCs w:val="20"/>
              </w:rPr>
              <w:t xml:space="preserve"> </w:t>
            </w:r>
          </w:p>
        </w:tc>
      </w:tr>
      <w:tr w:rsidR="001B2775">
        <w:trPr>
          <w:trHeight w:val="290"/>
        </w:trPr>
        <w:tc>
          <w:tcPr>
            <w:tcW w:w="5167" w:type="dxa"/>
          </w:tcPr>
          <w:p w:rsidR="001B2775" w:rsidRDefault="00A9684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B2775" w:rsidRDefault="00A9684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Ms_AJDS_153818</w:t>
            </w:r>
          </w:p>
        </w:tc>
      </w:tr>
      <w:tr w:rsidR="001B2775">
        <w:trPr>
          <w:trHeight w:val="650"/>
        </w:trPr>
        <w:tc>
          <w:tcPr>
            <w:tcW w:w="5167" w:type="dxa"/>
          </w:tcPr>
          <w:p w:rsidR="001B2775" w:rsidRDefault="00A9684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B2775" w:rsidRDefault="00A9684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KNOWLEDGE AND AWARENESS ABOUT DIABETES AND PERIODONTAL DISEASE AMONG UNDER GRADUATE STUDENTS</w:t>
            </w:r>
          </w:p>
        </w:tc>
      </w:tr>
      <w:tr w:rsidR="001B2775">
        <w:trPr>
          <w:trHeight w:val="332"/>
        </w:trPr>
        <w:tc>
          <w:tcPr>
            <w:tcW w:w="5167" w:type="dxa"/>
          </w:tcPr>
          <w:p w:rsidR="001B2775" w:rsidRDefault="00A9684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B2775" w:rsidRDefault="00A9684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article</w:t>
            </w:r>
          </w:p>
        </w:tc>
      </w:tr>
    </w:tbl>
    <w:p w:rsidR="001B2775" w:rsidRDefault="001B2775">
      <w:pPr>
        <w:pBdr>
          <w:top w:val="nil"/>
          <w:left w:val="nil"/>
          <w:bottom w:val="nil"/>
          <w:right w:val="nil"/>
          <w:between w:val="nil"/>
        </w:pBdr>
        <w:jc w:val="both"/>
        <w:rPr>
          <w:rFonts w:ascii="Arial" w:eastAsia="Arial" w:hAnsi="Arial" w:cs="Arial"/>
          <w:color w:val="000000"/>
          <w:sz w:val="20"/>
          <w:szCs w:val="20"/>
          <w:u w:val="single"/>
        </w:rPr>
      </w:pPr>
      <w:bookmarkStart w:id="0" w:name="_pu3q6tr0rvgc" w:colFirst="0" w:colLast="0"/>
      <w:bookmarkEnd w:id="0"/>
    </w:p>
    <w:p w:rsidR="001B2775" w:rsidRDefault="001B2775">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B2775">
        <w:tc>
          <w:tcPr>
            <w:tcW w:w="21150" w:type="dxa"/>
            <w:gridSpan w:val="3"/>
            <w:tcBorders>
              <w:top w:val="nil"/>
              <w:left w:val="nil"/>
              <w:right w:val="nil"/>
            </w:tcBorders>
          </w:tcPr>
          <w:p w:rsidR="001B2775" w:rsidRDefault="00A9684C">
            <w:pPr>
              <w:pStyle w:val="Heading2"/>
              <w:keepNext w:val="0"/>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1B2775" w:rsidRDefault="001B2775">
            <w:pPr>
              <w:rPr>
                <w:sz w:val="20"/>
                <w:szCs w:val="20"/>
              </w:rPr>
            </w:pPr>
          </w:p>
        </w:tc>
      </w:tr>
      <w:tr w:rsidR="001B2775">
        <w:tc>
          <w:tcPr>
            <w:tcW w:w="5351" w:type="dxa"/>
          </w:tcPr>
          <w:p w:rsidR="001B2775" w:rsidRDefault="001B2775">
            <w:pPr>
              <w:pStyle w:val="Heading2"/>
              <w:keepNext w:val="0"/>
              <w:jc w:val="left"/>
              <w:rPr>
                <w:rFonts w:ascii="Times New Roman" w:eastAsia="Times New Roman" w:hAnsi="Times New Roman" w:cs="Times New Roman"/>
              </w:rPr>
            </w:pPr>
          </w:p>
        </w:tc>
        <w:tc>
          <w:tcPr>
            <w:tcW w:w="9357" w:type="dxa"/>
          </w:tcPr>
          <w:p w:rsidR="001B2775" w:rsidRDefault="00A9684C">
            <w:pPr>
              <w:pStyle w:val="Heading2"/>
              <w:keepNext w:val="0"/>
              <w:jc w:val="left"/>
              <w:rPr>
                <w:rFonts w:ascii="Times New Roman" w:eastAsia="Times New Roman" w:hAnsi="Times New Roman" w:cs="Times New Roman"/>
              </w:rPr>
            </w:pPr>
            <w:r>
              <w:rPr>
                <w:rFonts w:ascii="Times New Roman" w:eastAsia="Times New Roman" w:hAnsi="Times New Roman" w:cs="Times New Roman"/>
              </w:rPr>
              <w:t>Reviewer’s comment</w:t>
            </w:r>
          </w:p>
          <w:p w:rsidR="001B2775" w:rsidRDefault="001B2775">
            <w:pPr>
              <w:rPr>
                <w:sz w:val="20"/>
                <w:szCs w:val="20"/>
              </w:rPr>
            </w:pPr>
          </w:p>
          <w:p w:rsidR="001B2775" w:rsidRDefault="001B2775"/>
        </w:tc>
        <w:tc>
          <w:tcPr>
            <w:tcW w:w="6442" w:type="dxa"/>
          </w:tcPr>
          <w:p w:rsidR="001B2775" w:rsidRDefault="00A9684C">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1B2775" w:rsidRDefault="001B2775">
            <w:pPr>
              <w:pStyle w:val="Heading2"/>
              <w:keepNext w:val="0"/>
              <w:jc w:val="left"/>
              <w:rPr>
                <w:rFonts w:ascii="Times New Roman" w:eastAsia="Times New Roman" w:hAnsi="Times New Roman" w:cs="Times New Roman"/>
                <w:b w:val="0"/>
                <w:bCs w:val="0"/>
              </w:rPr>
            </w:pPr>
          </w:p>
        </w:tc>
      </w:tr>
      <w:tr w:rsidR="001B2775">
        <w:trPr>
          <w:trHeight w:val="1264"/>
        </w:trPr>
        <w:tc>
          <w:tcPr>
            <w:tcW w:w="5351" w:type="dxa"/>
          </w:tcPr>
          <w:p w:rsidR="001B2775" w:rsidRDefault="00A9684C">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1B2775" w:rsidRDefault="001B2775">
            <w:pPr>
              <w:ind w:left="360"/>
              <w:rPr>
                <w:sz w:val="20"/>
                <w:szCs w:val="20"/>
              </w:rPr>
            </w:pPr>
          </w:p>
        </w:tc>
        <w:tc>
          <w:tcPr>
            <w:tcW w:w="9357" w:type="dxa"/>
          </w:tcPr>
          <w:p w:rsidR="001B2775" w:rsidRDefault="00A9684C">
            <w:pPr>
              <w:pBdr>
                <w:top w:val="nil"/>
                <w:left w:val="nil"/>
                <w:bottom w:val="nil"/>
                <w:right w:val="nil"/>
                <w:between w:val="nil"/>
              </w:pBdr>
              <w:rPr>
                <w:color w:val="000000"/>
                <w:sz w:val="20"/>
                <w:szCs w:val="20"/>
              </w:rPr>
            </w:pPr>
            <w:r>
              <w:rPr>
                <w:color w:val="000000"/>
              </w:rPr>
              <w:t xml:space="preserve">the topic is significant, the scientific contribution is modest because similar studies have already been widely published in different populations. </w:t>
            </w:r>
          </w:p>
        </w:tc>
        <w:tc>
          <w:tcPr>
            <w:tcW w:w="6442" w:type="dxa"/>
          </w:tcPr>
          <w:p w:rsidR="001B2775" w:rsidRDefault="00A9684C">
            <w:pPr>
              <w:spacing w:before="240" w:after="240" w:line="276" w:lineRule="auto"/>
              <w:rPr>
                <w:rFonts w:ascii="Arial" w:eastAsia="Arial" w:hAnsi="Arial" w:cs="Arial"/>
                <w:sz w:val="22"/>
                <w:szCs w:val="22"/>
              </w:rPr>
            </w:pPr>
            <w:r>
              <w:rPr>
                <w:rFonts w:ascii="Arial" w:eastAsia="Arial" w:hAnsi="Arial" w:cs="Arial"/>
                <w:sz w:val="22"/>
                <w:szCs w:val="22"/>
              </w:rPr>
              <w:t>This manuscript holds substantial relevance for the scientific community as it strengthens the existing ev</w:t>
            </w:r>
            <w:r>
              <w:rPr>
                <w:rFonts w:ascii="Arial" w:eastAsia="Arial" w:hAnsi="Arial" w:cs="Arial"/>
                <w:sz w:val="22"/>
                <w:szCs w:val="22"/>
              </w:rPr>
              <w:t>idence on the bidirectional relationship between diabetes and periodontal disease, a key component of oral–systemic health research. By systematically evaluating the knowledge of undergraduate dental students, the study identifies critical gaps in professi</w:t>
            </w:r>
            <w:r>
              <w:rPr>
                <w:rFonts w:ascii="Arial" w:eastAsia="Arial" w:hAnsi="Arial" w:cs="Arial"/>
                <w:sz w:val="22"/>
                <w:szCs w:val="22"/>
              </w:rPr>
              <w:t>onal preparedness that may impact future clinical decision-making and interdisciplinary management. The findings offer data-driven insights that can inform curriculum restructuring and competency-based educational reforms in dental training programs. Furth</w:t>
            </w:r>
            <w:r>
              <w:rPr>
                <w:rFonts w:ascii="Arial" w:eastAsia="Arial" w:hAnsi="Arial" w:cs="Arial"/>
                <w:sz w:val="22"/>
                <w:szCs w:val="22"/>
              </w:rPr>
              <w:t>ermore, this research supports the broader scientific movement toward integrated healthcare models, emphasizing the importance of collaborative approaches in improving patient outcomes.</w:t>
            </w:r>
          </w:p>
          <w:p w:rsidR="001B2775" w:rsidRDefault="001B2775">
            <w:pPr>
              <w:pStyle w:val="Heading2"/>
              <w:keepNext w:val="0"/>
              <w:jc w:val="left"/>
              <w:rPr>
                <w:rFonts w:ascii="Times New Roman" w:eastAsia="Times New Roman" w:hAnsi="Times New Roman" w:cs="Times New Roman"/>
                <w:b w:val="0"/>
                <w:bCs w:val="0"/>
              </w:rPr>
            </w:pPr>
          </w:p>
        </w:tc>
      </w:tr>
      <w:tr w:rsidR="001B2775">
        <w:trPr>
          <w:trHeight w:val="1262"/>
        </w:trPr>
        <w:tc>
          <w:tcPr>
            <w:tcW w:w="5351" w:type="dxa"/>
          </w:tcPr>
          <w:p w:rsidR="001B2775" w:rsidRDefault="00A9684C">
            <w:pPr>
              <w:ind w:left="360"/>
              <w:rPr>
                <w:sz w:val="20"/>
                <w:szCs w:val="20"/>
              </w:rPr>
            </w:pPr>
            <w:r>
              <w:rPr>
                <w:b/>
                <w:bCs/>
                <w:sz w:val="20"/>
                <w:szCs w:val="20"/>
              </w:rPr>
              <w:t>Is the title of the article suitable?</w:t>
            </w:r>
          </w:p>
          <w:p w:rsidR="001B2775" w:rsidRDefault="00A9684C">
            <w:pPr>
              <w:ind w:left="360"/>
              <w:rPr>
                <w:sz w:val="20"/>
                <w:szCs w:val="20"/>
              </w:rPr>
            </w:pPr>
            <w:r>
              <w:rPr>
                <w:b/>
                <w:bCs/>
                <w:sz w:val="20"/>
                <w:szCs w:val="20"/>
              </w:rPr>
              <w:t>(If not please suggest an alte</w:t>
            </w:r>
            <w:r>
              <w:rPr>
                <w:b/>
                <w:bCs/>
                <w:sz w:val="20"/>
                <w:szCs w:val="20"/>
              </w:rPr>
              <w:t>rnative title)</w:t>
            </w:r>
          </w:p>
          <w:p w:rsidR="001B2775" w:rsidRDefault="001B2775">
            <w:pPr>
              <w:pStyle w:val="Heading2"/>
              <w:keepNext w:val="0"/>
              <w:jc w:val="left"/>
              <w:rPr>
                <w:rFonts w:ascii="Times New Roman" w:eastAsia="Times New Roman" w:hAnsi="Times New Roman" w:cs="Times New Roman"/>
                <w:u w:val="single"/>
              </w:rPr>
            </w:pPr>
          </w:p>
        </w:tc>
        <w:tc>
          <w:tcPr>
            <w:tcW w:w="9357" w:type="dxa"/>
          </w:tcPr>
          <w:p w:rsidR="001B2775" w:rsidRDefault="00A9684C">
            <w:pPr>
              <w:ind w:left="360"/>
            </w:pPr>
            <w:r>
              <w:t>The title but lacks specificity.</w:t>
            </w:r>
          </w:p>
          <w:p w:rsidR="001B2775" w:rsidRDefault="00A9684C">
            <w:pPr>
              <w:spacing w:before="280" w:after="280"/>
            </w:pPr>
            <w:proofErr w:type="gramStart"/>
            <w:r>
              <w:t>  It</w:t>
            </w:r>
            <w:proofErr w:type="gramEnd"/>
            <w:r>
              <w:t xml:space="preserve"> does not specify that the population consists of </w:t>
            </w:r>
            <w:r>
              <w:rPr>
                <w:i/>
                <w:iCs/>
              </w:rPr>
              <w:t>dental students</w:t>
            </w:r>
            <w:r>
              <w:t>.</w:t>
            </w:r>
          </w:p>
          <w:p w:rsidR="001B2775" w:rsidRDefault="00A9684C">
            <w:pPr>
              <w:spacing w:before="280" w:after="280"/>
            </w:pPr>
            <w:proofErr w:type="gramStart"/>
            <w:r>
              <w:t>  It</w:t>
            </w:r>
            <w:proofErr w:type="gramEnd"/>
            <w:r>
              <w:t xml:space="preserve"> does not mention the study design.</w:t>
            </w:r>
          </w:p>
          <w:p w:rsidR="001B2775" w:rsidRDefault="00A9684C">
            <w:pPr>
              <w:spacing w:before="280" w:after="280"/>
            </w:pPr>
            <w:proofErr w:type="gramStart"/>
            <w:r>
              <w:t>  It</w:t>
            </w:r>
            <w:proofErr w:type="gramEnd"/>
            <w:r>
              <w:t xml:space="preserve"> does not specify the institution or geographic location.</w:t>
            </w:r>
          </w:p>
          <w:p w:rsidR="001B2775" w:rsidRDefault="001B2775">
            <w:pPr>
              <w:ind w:left="360"/>
              <w:rPr>
                <w:sz w:val="20"/>
                <w:szCs w:val="20"/>
              </w:rPr>
            </w:pPr>
          </w:p>
        </w:tc>
        <w:tc>
          <w:tcPr>
            <w:tcW w:w="6442" w:type="dxa"/>
          </w:tcPr>
          <w:p w:rsidR="001B2775" w:rsidRDefault="00A9684C">
            <w:pPr>
              <w:spacing w:before="240" w:after="240" w:line="276" w:lineRule="auto"/>
              <w:rPr>
                <w:rFonts w:ascii="Arial" w:eastAsia="Arial" w:hAnsi="Arial" w:cs="Arial"/>
                <w:sz w:val="22"/>
                <w:szCs w:val="22"/>
              </w:rPr>
            </w:pPr>
            <w:r>
              <w:rPr>
                <w:rFonts w:ascii="Arial" w:eastAsia="Arial" w:hAnsi="Arial" w:cs="Arial"/>
                <w:sz w:val="22"/>
                <w:szCs w:val="22"/>
              </w:rPr>
              <w:t>We sincerely thank the reviewer for this valuable observation. We agree that using both “knowledge” and “awareness” may create conceptual ambiguity. Based on the primary focus of our questionnaire, which assessed factual understanding through structured qu</w:t>
            </w:r>
            <w:r>
              <w:rPr>
                <w:rFonts w:ascii="Arial" w:eastAsia="Arial" w:hAnsi="Arial" w:cs="Arial"/>
                <w:sz w:val="22"/>
                <w:szCs w:val="22"/>
              </w:rPr>
              <w:t>estions with objectively correct responses, we have retained the construct “knowledge” throughout the manuscript. An explicit operational definition of “knowledge” has now been added to the methodology section to ensure conceptual clarity.</w:t>
            </w:r>
          </w:p>
          <w:p w:rsidR="001B2775" w:rsidRDefault="00A9684C">
            <w:pPr>
              <w:spacing w:before="240" w:after="240" w:line="276" w:lineRule="auto"/>
              <w:rPr>
                <w:rFonts w:ascii="Arial" w:eastAsia="Arial" w:hAnsi="Arial" w:cs="Arial"/>
                <w:b/>
                <w:bCs/>
                <w:sz w:val="22"/>
                <w:szCs w:val="22"/>
              </w:rPr>
            </w:pPr>
            <w:r>
              <w:rPr>
                <w:rFonts w:ascii="Arial" w:eastAsia="Arial" w:hAnsi="Arial" w:cs="Arial"/>
                <w:sz w:val="22"/>
                <w:szCs w:val="22"/>
              </w:rPr>
              <w:t>The title has be</w:t>
            </w:r>
            <w:r>
              <w:rPr>
                <w:rFonts w:ascii="Arial" w:eastAsia="Arial" w:hAnsi="Arial" w:cs="Arial"/>
                <w:sz w:val="22"/>
                <w:szCs w:val="22"/>
              </w:rPr>
              <w:t>en revised accordingly to:</w:t>
            </w:r>
            <w:r>
              <w:rPr>
                <w:rFonts w:ascii="Arial" w:eastAsia="Arial" w:hAnsi="Arial" w:cs="Arial"/>
                <w:sz w:val="22"/>
                <w:szCs w:val="22"/>
              </w:rPr>
              <w:br/>
              <w:t xml:space="preserve"> </w:t>
            </w:r>
            <w:r>
              <w:rPr>
                <w:rFonts w:ascii="Arial" w:eastAsia="Arial" w:hAnsi="Arial" w:cs="Arial"/>
                <w:b/>
                <w:bCs/>
                <w:sz w:val="22"/>
                <w:szCs w:val="22"/>
              </w:rPr>
              <w:t>“Knowledge of the Bidirectional Relationship Between Diabetes Mellitus and Periodontal Disease Among Undergraduate Dental Students: A Cross-Sectional Study.”</w:t>
            </w:r>
          </w:p>
          <w:p w:rsidR="001B2775" w:rsidRDefault="00A9684C">
            <w:pPr>
              <w:spacing w:before="240" w:after="240" w:line="276" w:lineRule="auto"/>
              <w:rPr>
                <w:rFonts w:ascii="Arial" w:eastAsia="Arial" w:hAnsi="Arial" w:cs="Arial"/>
                <w:sz w:val="22"/>
                <w:szCs w:val="22"/>
              </w:rPr>
            </w:pPr>
            <w:r>
              <w:rPr>
                <w:rFonts w:ascii="Arial" w:eastAsia="Arial" w:hAnsi="Arial" w:cs="Arial"/>
                <w:sz w:val="22"/>
                <w:szCs w:val="22"/>
              </w:rPr>
              <w:lastRenderedPageBreak/>
              <w:t>“Knowledge” – clear measurable construct</w:t>
            </w:r>
            <w:r>
              <w:rPr>
                <w:rFonts w:ascii="Arial" w:eastAsia="Arial" w:hAnsi="Arial" w:cs="Arial"/>
                <w:sz w:val="22"/>
                <w:szCs w:val="22"/>
              </w:rPr>
              <w:br/>
            </w:r>
            <w:r>
              <w:rPr>
                <w:rFonts w:ascii="Arial" w:eastAsia="Arial" w:hAnsi="Arial" w:cs="Arial"/>
                <w:sz w:val="22"/>
                <w:szCs w:val="22"/>
              </w:rPr>
              <w:t>“Bidirectional relationship” – scientific clarity</w:t>
            </w:r>
            <w:r>
              <w:rPr>
                <w:rFonts w:ascii="Arial" w:eastAsia="Arial" w:hAnsi="Arial" w:cs="Arial"/>
                <w:sz w:val="22"/>
                <w:szCs w:val="22"/>
              </w:rPr>
              <w:br/>
              <w:t>“Undergraduate dental students” – population clearly mentioned</w:t>
            </w:r>
            <w:r>
              <w:rPr>
                <w:rFonts w:ascii="Arial" w:eastAsia="Arial" w:hAnsi="Arial" w:cs="Arial"/>
                <w:sz w:val="22"/>
                <w:szCs w:val="22"/>
              </w:rPr>
              <w:br/>
              <w:t>“Cross-sectional study” – study design included</w:t>
            </w:r>
          </w:p>
          <w:p w:rsidR="001B2775" w:rsidRDefault="001B2775">
            <w:pPr>
              <w:spacing w:before="240" w:after="240" w:line="276" w:lineRule="auto"/>
              <w:rPr>
                <w:rFonts w:ascii="Arial" w:eastAsia="Arial" w:hAnsi="Arial" w:cs="Arial"/>
                <w:b/>
                <w:bCs/>
                <w:sz w:val="22"/>
                <w:szCs w:val="22"/>
              </w:rPr>
            </w:pPr>
          </w:p>
        </w:tc>
      </w:tr>
      <w:tr w:rsidR="001B2775">
        <w:trPr>
          <w:trHeight w:val="1262"/>
        </w:trPr>
        <w:tc>
          <w:tcPr>
            <w:tcW w:w="5351" w:type="dxa"/>
          </w:tcPr>
          <w:p w:rsidR="001B2775" w:rsidRDefault="00A9684C">
            <w:pPr>
              <w:pStyle w:val="Heading2"/>
              <w:keepNext w:val="0"/>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w:t>
            </w:r>
            <w:r>
              <w:rPr>
                <w:rFonts w:ascii="Times New Roman" w:eastAsia="Times New Roman" w:hAnsi="Times New Roman" w:cs="Times New Roman"/>
              </w:rPr>
              <w:t>me points in this section? Please write your suggestions here.</w:t>
            </w:r>
          </w:p>
          <w:p w:rsidR="001B2775" w:rsidRDefault="001B2775">
            <w:pPr>
              <w:pStyle w:val="Heading2"/>
              <w:keepNext w:val="0"/>
              <w:jc w:val="left"/>
              <w:rPr>
                <w:rFonts w:ascii="Times New Roman" w:eastAsia="Times New Roman" w:hAnsi="Times New Roman" w:cs="Times New Roman"/>
                <w:u w:val="single"/>
              </w:rPr>
            </w:pPr>
          </w:p>
        </w:tc>
        <w:tc>
          <w:tcPr>
            <w:tcW w:w="9357" w:type="dxa"/>
          </w:tcPr>
          <w:p w:rsidR="001B2775" w:rsidRDefault="00A9684C">
            <w:pPr>
              <w:spacing w:after="280"/>
            </w:pPr>
            <w:r>
              <w:t>The abstract is incomplete and requires major revision.</w:t>
            </w:r>
          </w:p>
          <w:p w:rsidR="001B2775" w:rsidRDefault="00A9684C">
            <w:pPr>
              <w:spacing w:before="280" w:after="280"/>
            </w:pPr>
            <w:r>
              <w:rPr>
                <w:b/>
                <w:bCs/>
              </w:rPr>
              <w:t>Concerns:</w:t>
            </w:r>
          </w:p>
          <w:p w:rsidR="001B2775" w:rsidRDefault="00A9684C">
            <w:pPr>
              <w:numPr>
                <w:ilvl w:val="0"/>
                <w:numId w:val="1"/>
              </w:numPr>
              <w:spacing w:before="280"/>
            </w:pPr>
            <w:r>
              <w:t>The structured format is inconsistent.</w:t>
            </w:r>
          </w:p>
          <w:p w:rsidR="001B2775" w:rsidRDefault="00A9684C">
            <w:pPr>
              <w:numPr>
                <w:ilvl w:val="0"/>
                <w:numId w:val="1"/>
              </w:numPr>
            </w:pPr>
            <w:r>
              <w:t>The methodology lacks specific details (sampling method, statistical test used, total score range).</w:t>
            </w:r>
          </w:p>
          <w:p w:rsidR="001B2775" w:rsidRDefault="00A9684C">
            <w:pPr>
              <w:numPr>
                <w:ilvl w:val="0"/>
                <w:numId w:val="1"/>
              </w:numPr>
            </w:pPr>
            <w:r>
              <w:t>Results are overly generalized and do not include numerical findings (mean score, ANOVA results).</w:t>
            </w:r>
          </w:p>
          <w:p w:rsidR="001B2775" w:rsidRDefault="00A9684C">
            <w:pPr>
              <w:numPr>
                <w:ilvl w:val="0"/>
                <w:numId w:val="1"/>
              </w:numPr>
            </w:pPr>
            <w:r>
              <w:t>No statistical values (F-value, p-value) are reported.</w:t>
            </w:r>
          </w:p>
          <w:p w:rsidR="001B2775" w:rsidRDefault="00A9684C">
            <w:pPr>
              <w:numPr>
                <w:ilvl w:val="0"/>
                <w:numId w:val="1"/>
              </w:numPr>
              <w:spacing w:after="280"/>
            </w:pPr>
            <w:r>
              <w:t>The</w:t>
            </w:r>
            <w:r>
              <w:t xml:space="preserve"> conclusion is not clear and not fully aligned with results.</w:t>
            </w:r>
          </w:p>
          <w:p w:rsidR="001B2775" w:rsidRDefault="001B2775">
            <w:pPr>
              <w:ind w:left="360"/>
              <w:rPr>
                <w:sz w:val="20"/>
                <w:szCs w:val="20"/>
              </w:rPr>
            </w:pPr>
          </w:p>
        </w:tc>
        <w:tc>
          <w:tcPr>
            <w:tcW w:w="6442" w:type="dxa"/>
          </w:tcPr>
          <w:p w:rsidR="001B2775" w:rsidRDefault="00A9684C">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We sincerely thank the reviewer for the detailed and constructive feedback. The abstract has been thoroughly revised to align with standard scientific structure and reporting guidelines.</w:t>
            </w:r>
          </w:p>
          <w:p w:rsidR="001B2775" w:rsidRDefault="00A9684C">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bac</w:t>
            </w:r>
            <w:r>
              <w:rPr>
                <w:rFonts w:ascii="Times New Roman" w:eastAsia="Times New Roman" w:hAnsi="Times New Roman" w:cs="Times New Roman"/>
                <w:b w:val="0"/>
                <w:bCs w:val="0"/>
              </w:rPr>
              <w:t>kground section has been condensed to focus specifically on diabetes mellitus, periodontal disease, their bidirectional relationship, and the rationale for assessing undergraduate dental students.</w:t>
            </w:r>
          </w:p>
          <w:p w:rsidR="001B2775" w:rsidRDefault="00A9684C">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methodology section has been expanded to include the fi</w:t>
            </w:r>
            <w:r>
              <w:rPr>
                <w:rFonts w:ascii="Times New Roman" w:eastAsia="Times New Roman" w:hAnsi="Times New Roman" w:cs="Times New Roman"/>
                <w:b w:val="0"/>
                <w:bCs w:val="0"/>
              </w:rPr>
              <w:t>nal sample size (N = 142), the institution name (</w:t>
            </w:r>
            <w:proofErr w:type="spellStart"/>
            <w:r>
              <w:rPr>
                <w:rFonts w:ascii="Times New Roman" w:eastAsia="Times New Roman" w:hAnsi="Times New Roman" w:cs="Times New Roman"/>
                <w:b w:val="0"/>
                <w:bCs w:val="0"/>
              </w:rPr>
              <w:t>Adhiparasakthi</w:t>
            </w:r>
            <w:proofErr w:type="spellEnd"/>
            <w:r>
              <w:rPr>
                <w:rFonts w:ascii="Times New Roman" w:eastAsia="Times New Roman" w:hAnsi="Times New Roman" w:cs="Times New Roman"/>
                <w:b w:val="0"/>
                <w:bCs w:val="0"/>
              </w:rPr>
              <w:t xml:space="preserve"> Dental College and Hospital, </w:t>
            </w:r>
            <w:proofErr w:type="spellStart"/>
            <w:r>
              <w:rPr>
                <w:rFonts w:ascii="Times New Roman" w:eastAsia="Times New Roman" w:hAnsi="Times New Roman" w:cs="Times New Roman"/>
                <w:b w:val="0"/>
                <w:bCs w:val="0"/>
              </w:rPr>
              <w:t>Melmaruvathur</w:t>
            </w:r>
            <w:proofErr w:type="spellEnd"/>
            <w:r>
              <w:rPr>
                <w:rFonts w:ascii="Times New Roman" w:eastAsia="Times New Roman" w:hAnsi="Times New Roman" w:cs="Times New Roman"/>
                <w:b w:val="0"/>
                <w:bCs w:val="0"/>
              </w:rPr>
              <w:t>), details of the knowledge scoring system (maximum score of 17), and the statistical analysis performed (one-way ANOVA).</w:t>
            </w:r>
          </w:p>
          <w:p w:rsidR="001B2775" w:rsidRDefault="00A9684C">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results section has been</w:t>
            </w:r>
            <w:r>
              <w:rPr>
                <w:rFonts w:ascii="Times New Roman" w:eastAsia="Times New Roman" w:hAnsi="Times New Roman" w:cs="Times New Roman"/>
                <w:b w:val="0"/>
                <w:bCs w:val="0"/>
              </w:rPr>
              <w:t xml:space="preserve"> strengthened by incorporating the overall mean knowledge score (13.59 ± 3.72), academic year–wise score distribution, and the statistical significance value (</w:t>
            </w:r>
            <w:proofErr w:type="gramStart"/>
            <w:r>
              <w:rPr>
                <w:rFonts w:ascii="Times New Roman" w:eastAsia="Times New Roman" w:hAnsi="Times New Roman" w:cs="Times New Roman"/>
                <w:b w:val="0"/>
                <w:bCs w:val="0"/>
              </w:rPr>
              <w:t>F(</w:t>
            </w:r>
            <w:proofErr w:type="gramEnd"/>
            <w:r>
              <w:rPr>
                <w:rFonts w:ascii="Times New Roman" w:eastAsia="Times New Roman" w:hAnsi="Times New Roman" w:cs="Times New Roman"/>
                <w:b w:val="0"/>
                <w:bCs w:val="0"/>
              </w:rPr>
              <w:t>4,137) = 9.07, p &lt; 0.001).</w:t>
            </w:r>
          </w:p>
          <w:p w:rsidR="001B2775" w:rsidRDefault="00A9684C">
            <w:pPr>
              <w:pStyle w:val="Heading2"/>
              <w:spacing w:before="240" w:after="240"/>
              <w:jc w:val="left"/>
              <w:rPr>
                <w:rFonts w:ascii="Times New Roman" w:eastAsia="Times New Roman" w:hAnsi="Times New Roman" w:cs="Times New Roman"/>
                <w:b w:val="0"/>
                <w:bCs w:val="0"/>
              </w:rPr>
            </w:pPr>
            <w:bookmarkStart w:id="1" w:name="_vqkbb1prutd1" w:colFirst="0" w:colLast="0"/>
            <w:bookmarkEnd w:id="1"/>
            <w:r>
              <w:rPr>
                <w:rFonts w:ascii="Times New Roman" w:eastAsia="Times New Roman" w:hAnsi="Times New Roman" w:cs="Times New Roman"/>
                <w:b w:val="0"/>
                <w:bCs w:val="0"/>
              </w:rPr>
              <w:t>The conclusion has been refined to clearly emphasize the implication</w:t>
            </w:r>
            <w:r>
              <w:rPr>
                <w:rFonts w:ascii="Times New Roman" w:eastAsia="Times New Roman" w:hAnsi="Times New Roman" w:cs="Times New Roman"/>
                <w:b w:val="0"/>
                <w:bCs w:val="0"/>
              </w:rPr>
              <w:t>s for curriculum enhancement and early integration of oral–systemic health education.</w:t>
            </w:r>
          </w:p>
          <w:p w:rsidR="001B2775" w:rsidRDefault="001B2775">
            <w:pPr>
              <w:pStyle w:val="Heading2"/>
              <w:keepNext w:val="0"/>
              <w:jc w:val="left"/>
              <w:rPr>
                <w:rFonts w:ascii="Times New Roman" w:eastAsia="Times New Roman" w:hAnsi="Times New Roman" w:cs="Times New Roman"/>
                <w:b w:val="0"/>
                <w:bCs w:val="0"/>
              </w:rPr>
            </w:pPr>
          </w:p>
        </w:tc>
      </w:tr>
      <w:tr w:rsidR="001B2775">
        <w:trPr>
          <w:trHeight w:val="704"/>
        </w:trPr>
        <w:tc>
          <w:tcPr>
            <w:tcW w:w="5351" w:type="dxa"/>
          </w:tcPr>
          <w:p w:rsidR="001B2775" w:rsidRDefault="00A9684C">
            <w:pPr>
              <w:pStyle w:val="Heading2"/>
              <w:keepNext w:val="0"/>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1B2775" w:rsidRDefault="00A9684C">
            <w:pPr>
              <w:spacing w:after="280"/>
            </w:pPr>
            <w:r>
              <w:t>The manuscript is generally scientifically sound in terms of biological concepts and statistical analysis. However, several methodological and reporting weaknesses reduce its scientific rigor:</w:t>
            </w:r>
          </w:p>
          <w:p w:rsidR="001B2775" w:rsidRDefault="00A9684C">
            <w:pPr>
              <w:spacing w:before="280" w:after="280"/>
            </w:pPr>
            <w:r>
              <w:rPr>
                <w:b/>
                <w:bCs/>
              </w:rPr>
              <w:t>Major Concerns:</w:t>
            </w:r>
          </w:p>
          <w:p w:rsidR="001B2775" w:rsidRDefault="00A9684C">
            <w:pPr>
              <w:numPr>
                <w:ilvl w:val="0"/>
                <w:numId w:val="2"/>
              </w:numPr>
              <w:spacing w:before="280"/>
            </w:pPr>
            <w:r>
              <w:t>Inconsistency in sample size (143 mentioned ear</w:t>
            </w:r>
            <w:r>
              <w:t>lier; 142 reported in results).</w:t>
            </w:r>
          </w:p>
          <w:p w:rsidR="001B2775" w:rsidRDefault="00A9684C">
            <w:pPr>
              <w:numPr>
                <w:ilvl w:val="0"/>
                <w:numId w:val="2"/>
              </w:numPr>
            </w:pPr>
            <w:r>
              <w:t>Convenience sampling reduces generalizability.</w:t>
            </w:r>
          </w:p>
          <w:p w:rsidR="001B2775" w:rsidRDefault="00A9684C">
            <w:pPr>
              <w:numPr>
                <w:ilvl w:val="0"/>
                <w:numId w:val="2"/>
              </w:numPr>
            </w:pPr>
            <w:r>
              <w:t>Extremely unequal group sizes (e.g., interns n=88 vs first year n=7) may violate ANOVA assumptions.</w:t>
            </w:r>
          </w:p>
          <w:p w:rsidR="001B2775" w:rsidRDefault="00A9684C">
            <w:pPr>
              <w:numPr>
                <w:ilvl w:val="0"/>
                <w:numId w:val="2"/>
              </w:numPr>
            </w:pPr>
            <w:r>
              <w:t>No post-hoc analysis reported after significant ANOVA.</w:t>
            </w:r>
          </w:p>
          <w:p w:rsidR="001B2775" w:rsidRDefault="00A9684C">
            <w:pPr>
              <w:numPr>
                <w:ilvl w:val="0"/>
                <w:numId w:val="2"/>
              </w:numPr>
            </w:pPr>
            <w:r>
              <w:t>No reliability coeffic</w:t>
            </w:r>
            <w:r>
              <w:t>ient (Cronbach’s alpha) reported for questionnaire.</w:t>
            </w:r>
          </w:p>
          <w:p w:rsidR="001B2775" w:rsidRDefault="00A9684C">
            <w:pPr>
              <w:numPr>
                <w:ilvl w:val="0"/>
                <w:numId w:val="2"/>
              </w:numPr>
            </w:pPr>
            <w:r>
              <w:t>No effect size reported.</w:t>
            </w:r>
          </w:p>
          <w:p w:rsidR="001B2775" w:rsidRDefault="00A9684C">
            <w:pPr>
              <w:numPr>
                <w:ilvl w:val="0"/>
                <w:numId w:val="2"/>
              </w:numPr>
            </w:pPr>
            <w:r>
              <w:t>No mention of power calculation details.</w:t>
            </w:r>
          </w:p>
          <w:p w:rsidR="001B2775" w:rsidRDefault="00A9684C">
            <w:pPr>
              <w:numPr>
                <w:ilvl w:val="0"/>
                <w:numId w:val="2"/>
              </w:numPr>
              <w:spacing w:after="280"/>
            </w:pPr>
            <w:r>
              <w:t>No confidence intervals provided.</w:t>
            </w:r>
          </w:p>
          <w:p w:rsidR="001B2775" w:rsidRDefault="001B2775">
            <w:pPr>
              <w:pBdr>
                <w:top w:val="nil"/>
                <w:left w:val="nil"/>
                <w:bottom w:val="nil"/>
                <w:right w:val="nil"/>
                <w:between w:val="nil"/>
              </w:pBdr>
              <w:rPr>
                <w:color w:val="000000"/>
                <w:sz w:val="20"/>
                <w:szCs w:val="20"/>
              </w:rPr>
            </w:pPr>
          </w:p>
        </w:tc>
        <w:tc>
          <w:tcPr>
            <w:tcW w:w="6442" w:type="dxa"/>
          </w:tcPr>
          <w:p w:rsidR="001B2775" w:rsidRDefault="00A9684C">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We sincerely appreciate the reviewer’s insightful and constructive evaluation of our manuscript. We are grateful for the recognition that the core finding—demonstrating progressive improvement in knowledge of diabetes–periodontal disease relationship with </w:t>
            </w:r>
            <w:r>
              <w:rPr>
                <w:rFonts w:ascii="Times New Roman" w:eastAsia="Times New Roman" w:hAnsi="Times New Roman" w:cs="Times New Roman"/>
                <w:b w:val="0"/>
                <w:bCs w:val="0"/>
              </w:rPr>
              <w:t>academic advancement—is scientifically plausible.</w:t>
            </w:r>
          </w:p>
          <w:p w:rsidR="001B2775" w:rsidRDefault="00A9684C">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acknowledge the methodological concerns highlighted and have revised the manuscript accordingly:</w:t>
            </w:r>
          </w:p>
          <w:p w:rsidR="001B2775" w:rsidRDefault="00A9684C">
            <w:pPr>
              <w:pStyle w:val="Heading2"/>
              <w:numPr>
                <w:ilvl w:val="0"/>
                <w:numId w:val="3"/>
              </w:numPr>
              <w:spacing w:before="240"/>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imbalance in sample distribution has been explicitly clarified and its potential influence on statisti</w:t>
            </w:r>
            <w:r>
              <w:rPr>
                <w:rFonts w:ascii="Times New Roman" w:eastAsia="Times New Roman" w:hAnsi="Times New Roman" w:cs="Times New Roman"/>
                <w:b w:val="0"/>
                <w:bCs w:val="0"/>
              </w:rPr>
              <w:t>cal power has been discussed.</w:t>
            </w:r>
            <w:r>
              <w:rPr>
                <w:rFonts w:ascii="Times New Roman" w:eastAsia="Times New Roman" w:hAnsi="Times New Roman" w:cs="Times New Roman"/>
                <w:b w:val="0"/>
                <w:bCs w:val="0"/>
              </w:rPr>
              <w:br/>
            </w:r>
          </w:p>
          <w:p w:rsidR="001B2775" w:rsidRDefault="00A9684C">
            <w:pPr>
              <w:pStyle w:val="Heading2"/>
              <w:numPr>
                <w:ilvl w:val="0"/>
                <w:numId w:val="3"/>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possibility of selection bias has been transparently addressed.</w:t>
            </w:r>
            <w:r>
              <w:rPr>
                <w:rFonts w:ascii="Times New Roman" w:eastAsia="Times New Roman" w:hAnsi="Times New Roman" w:cs="Times New Roman"/>
                <w:b w:val="0"/>
                <w:bCs w:val="0"/>
              </w:rPr>
              <w:br/>
            </w:r>
          </w:p>
          <w:p w:rsidR="001B2775" w:rsidRDefault="00A9684C">
            <w:pPr>
              <w:pStyle w:val="Heading2"/>
              <w:numPr>
                <w:ilvl w:val="0"/>
                <w:numId w:val="3"/>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Reliability analysis of the questionnaire has now been conducted, and the reliability coefficient has been incorporated into the methodology and results sec</w:t>
            </w:r>
            <w:r>
              <w:rPr>
                <w:rFonts w:ascii="Times New Roman" w:eastAsia="Times New Roman" w:hAnsi="Times New Roman" w:cs="Times New Roman"/>
                <w:b w:val="0"/>
                <w:bCs w:val="0"/>
              </w:rPr>
              <w:t>tions.</w:t>
            </w:r>
            <w:r>
              <w:rPr>
                <w:rFonts w:ascii="Times New Roman" w:eastAsia="Times New Roman" w:hAnsi="Times New Roman" w:cs="Times New Roman"/>
                <w:b w:val="0"/>
                <w:bCs w:val="0"/>
              </w:rPr>
              <w:br/>
            </w:r>
          </w:p>
          <w:p w:rsidR="001B2775" w:rsidRDefault="00A9684C">
            <w:pPr>
              <w:pStyle w:val="Heading2"/>
              <w:numPr>
                <w:ilvl w:val="0"/>
                <w:numId w:val="3"/>
              </w:numPr>
              <w:spacing w:after="240"/>
              <w:jc w:val="left"/>
              <w:rPr>
                <w:rFonts w:ascii="Times New Roman" w:eastAsia="Times New Roman" w:hAnsi="Times New Roman" w:cs="Times New Roman"/>
                <w:b w:val="0"/>
                <w:bCs w:val="0"/>
              </w:rPr>
            </w:pPr>
            <w:bookmarkStart w:id="2" w:name="_byrrw06nkmwa" w:colFirst="0" w:colLast="0"/>
            <w:bookmarkEnd w:id="2"/>
            <w:r>
              <w:rPr>
                <w:rFonts w:ascii="Times New Roman" w:eastAsia="Times New Roman" w:hAnsi="Times New Roman" w:cs="Times New Roman"/>
                <w:b w:val="0"/>
                <w:bCs w:val="0"/>
              </w:rPr>
              <w:t>The potential impact of confounding variables has been elaborated in the discussion, with clear acknowledgment of study limitations.</w:t>
            </w:r>
            <w:r>
              <w:rPr>
                <w:rFonts w:ascii="Times New Roman" w:eastAsia="Times New Roman" w:hAnsi="Times New Roman" w:cs="Times New Roman"/>
                <w:b w:val="0"/>
                <w:bCs w:val="0"/>
              </w:rPr>
              <w:br/>
            </w:r>
          </w:p>
          <w:p w:rsidR="001B2775" w:rsidRDefault="00A9684C">
            <w:pPr>
              <w:pStyle w:val="Heading2"/>
              <w:spacing w:before="240" w:after="240"/>
              <w:jc w:val="left"/>
              <w:rPr>
                <w:rFonts w:ascii="Times New Roman" w:eastAsia="Times New Roman" w:hAnsi="Times New Roman" w:cs="Times New Roman"/>
                <w:b w:val="0"/>
                <w:bCs w:val="0"/>
              </w:rPr>
            </w:pPr>
            <w:bookmarkStart w:id="3" w:name="_30msxrn3rkeb" w:colFirst="0" w:colLast="0"/>
            <w:bookmarkEnd w:id="3"/>
            <w:r>
              <w:rPr>
                <w:rFonts w:ascii="Times New Roman" w:eastAsia="Times New Roman" w:hAnsi="Times New Roman" w:cs="Times New Roman"/>
                <w:b w:val="0"/>
                <w:bCs w:val="0"/>
              </w:rPr>
              <w:t xml:space="preserve">These revisions aim to improve methodological transparency and strengthen the scientific rigor of the manuscript. </w:t>
            </w:r>
            <w:r>
              <w:rPr>
                <w:rFonts w:ascii="Times New Roman" w:eastAsia="Times New Roman" w:hAnsi="Times New Roman" w:cs="Times New Roman"/>
                <w:b w:val="0"/>
                <w:bCs w:val="0"/>
              </w:rPr>
              <w:t>We sincerely thank the reviewer for the valuable suggestions that have enhanced the overall quality of our work.</w:t>
            </w:r>
          </w:p>
          <w:p w:rsidR="001B2775" w:rsidRDefault="001B2775">
            <w:pPr>
              <w:pStyle w:val="Heading2"/>
              <w:keepNext w:val="0"/>
              <w:jc w:val="left"/>
              <w:rPr>
                <w:rFonts w:ascii="Times New Roman" w:eastAsia="Times New Roman" w:hAnsi="Times New Roman" w:cs="Times New Roman"/>
                <w:b w:val="0"/>
                <w:bCs w:val="0"/>
              </w:rPr>
            </w:pPr>
          </w:p>
        </w:tc>
      </w:tr>
      <w:tr w:rsidR="001B2775">
        <w:trPr>
          <w:trHeight w:val="703"/>
        </w:trPr>
        <w:tc>
          <w:tcPr>
            <w:tcW w:w="5351" w:type="dxa"/>
          </w:tcPr>
          <w:p w:rsidR="001B2775" w:rsidRDefault="00A9684C">
            <w:pPr>
              <w:ind w:left="360"/>
              <w:rPr>
                <w:sz w:val="20"/>
                <w:szCs w:val="20"/>
              </w:rPr>
            </w:pPr>
            <w:r>
              <w:rPr>
                <w:b/>
                <w:bCs/>
                <w:sz w:val="20"/>
                <w:szCs w:val="20"/>
              </w:rPr>
              <w:lastRenderedPageBreak/>
              <w:t>Are the references sufficient and recent? If you have suggestions of additional references, please mention them in the review form.</w:t>
            </w:r>
          </w:p>
        </w:tc>
        <w:tc>
          <w:tcPr>
            <w:tcW w:w="9357" w:type="dxa"/>
          </w:tcPr>
          <w:p w:rsidR="001B2775" w:rsidRDefault="00A9684C">
            <w:pPr>
              <w:spacing w:after="280"/>
            </w:pPr>
            <w:proofErr w:type="gramStart"/>
            <w:r>
              <w:t>  Some</w:t>
            </w:r>
            <w:proofErr w:type="gramEnd"/>
            <w:r>
              <w:t xml:space="preserve"> references are duplicated (Sanz et al., 2018 appears twice).</w:t>
            </w:r>
          </w:p>
          <w:p w:rsidR="001B2775" w:rsidRDefault="00A9684C">
            <w:pPr>
              <w:spacing w:before="280" w:after="280"/>
            </w:pPr>
            <w:proofErr w:type="gramStart"/>
            <w:r>
              <w:t>  Several</w:t>
            </w:r>
            <w:proofErr w:type="gramEnd"/>
            <w:r>
              <w:t xml:space="preserve"> references are outdated (1993, 1998).</w:t>
            </w:r>
          </w:p>
          <w:p w:rsidR="001B2775" w:rsidRDefault="00A9684C">
            <w:pPr>
              <w:spacing w:before="280" w:after="280"/>
            </w:pPr>
            <w:proofErr w:type="gramStart"/>
            <w:r>
              <w:t>  Very</w:t>
            </w:r>
            <w:proofErr w:type="gramEnd"/>
            <w:r>
              <w:t xml:space="preserve"> few recent (2022–2025) peer-reviewed studies are included.</w:t>
            </w:r>
          </w:p>
          <w:p w:rsidR="001B2775" w:rsidRDefault="00A9684C">
            <w:pPr>
              <w:spacing w:before="280" w:after="280"/>
            </w:pPr>
            <w:proofErr w:type="gramStart"/>
            <w:r>
              <w:t>  Some</w:t>
            </w:r>
            <w:proofErr w:type="gramEnd"/>
            <w:r>
              <w:t xml:space="preserve"> citations are inconsistently formatted.</w:t>
            </w:r>
          </w:p>
          <w:p w:rsidR="001B2775" w:rsidRDefault="001B2775">
            <w:pPr>
              <w:pBdr>
                <w:top w:val="nil"/>
                <w:left w:val="nil"/>
                <w:bottom w:val="nil"/>
                <w:right w:val="nil"/>
                <w:between w:val="nil"/>
              </w:pBdr>
              <w:rPr>
                <w:color w:val="000000"/>
                <w:sz w:val="20"/>
                <w:szCs w:val="20"/>
              </w:rPr>
            </w:pPr>
          </w:p>
        </w:tc>
        <w:tc>
          <w:tcPr>
            <w:tcW w:w="6442" w:type="dxa"/>
          </w:tcPr>
          <w:p w:rsidR="001B2775" w:rsidRDefault="00A9684C">
            <w:pPr>
              <w:pStyle w:val="Heading2"/>
              <w:jc w:val="left"/>
              <w:rPr>
                <w:rFonts w:ascii="Times New Roman" w:eastAsia="Times New Roman" w:hAnsi="Times New Roman" w:cs="Times New Roman"/>
                <w:b w:val="0"/>
                <w:bCs w:val="0"/>
              </w:rPr>
            </w:pPr>
            <w:bookmarkStart w:id="4" w:name="_drw8zttet8n" w:colFirst="0" w:colLast="0"/>
            <w:bookmarkEnd w:id="4"/>
            <w:r>
              <w:rPr>
                <w:rFonts w:ascii="Times New Roman" w:eastAsia="Times New Roman" w:hAnsi="Times New Roman" w:cs="Times New Roman"/>
                <w:b w:val="0"/>
                <w:bCs w:val="0"/>
              </w:rPr>
              <w:t>We sincerely thank the reviewer for the valuable comment regarding the references. We agree that incorporating more recent studies would strengthen the manuscript. Accordingly, we have updated the reference list by including relevant studies published betw</w:t>
            </w:r>
            <w:r>
              <w:rPr>
                <w:rFonts w:ascii="Times New Roman" w:eastAsia="Times New Roman" w:hAnsi="Times New Roman" w:cs="Times New Roman"/>
                <w:b w:val="0"/>
                <w:bCs w:val="0"/>
              </w:rPr>
              <w:t>een 2020–2025. While some older references were retained due to their landmark significance, the overall evidence base has now been strengthened with recent literature.</w:t>
            </w:r>
          </w:p>
        </w:tc>
      </w:tr>
      <w:tr w:rsidR="001B2775">
        <w:trPr>
          <w:trHeight w:val="386"/>
        </w:trPr>
        <w:tc>
          <w:tcPr>
            <w:tcW w:w="5351" w:type="dxa"/>
          </w:tcPr>
          <w:p w:rsidR="001B2775" w:rsidRDefault="00A9684C">
            <w:pPr>
              <w:pStyle w:val="Heading2"/>
              <w:keepNext w:val="0"/>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1B2775" w:rsidRDefault="001B2775">
            <w:pPr>
              <w:rPr>
                <w:sz w:val="20"/>
                <w:szCs w:val="20"/>
              </w:rPr>
            </w:pPr>
          </w:p>
        </w:tc>
        <w:tc>
          <w:tcPr>
            <w:tcW w:w="9357" w:type="dxa"/>
          </w:tcPr>
          <w:p w:rsidR="001B2775" w:rsidRDefault="00A9684C">
            <w:pPr>
              <w:rPr>
                <w:sz w:val="20"/>
                <w:szCs w:val="20"/>
              </w:rPr>
            </w:pPr>
            <w:r>
              <w:rPr>
                <w:sz w:val="20"/>
                <w:szCs w:val="20"/>
              </w:rPr>
              <w:t>yes</w:t>
            </w:r>
          </w:p>
        </w:tc>
        <w:tc>
          <w:tcPr>
            <w:tcW w:w="6442" w:type="dxa"/>
          </w:tcPr>
          <w:p w:rsidR="001B2775" w:rsidRDefault="00A9684C">
            <w:pPr>
              <w:pStyle w:val="Heading2"/>
              <w:keepNext w:val="0"/>
              <w:jc w:val="left"/>
              <w:rPr>
                <w:rFonts w:ascii="Times New Roman" w:eastAsia="Times New Roman" w:hAnsi="Times New Roman" w:cs="Times New Roman"/>
                <w:b w:val="0"/>
                <w:bCs w:val="0"/>
              </w:rPr>
            </w:pPr>
            <w:bookmarkStart w:id="5" w:name="_8rzyu9mimbje" w:colFirst="0" w:colLast="0"/>
            <w:bookmarkEnd w:id="5"/>
            <w:r>
              <w:rPr>
                <w:rFonts w:ascii="Times New Roman" w:eastAsia="Times New Roman" w:hAnsi="Times New Roman" w:cs="Times New Roman"/>
                <w:b w:val="0"/>
                <w:bCs w:val="0"/>
              </w:rPr>
              <w:t xml:space="preserve">We thank the reviewer for the constructive feedback regarding language quality. We acknowledge that certain sections required improvement in clarity and conciseness. The manuscript has now undergone thorough language editing to correct grammatical errors, </w:t>
            </w:r>
            <w:r>
              <w:rPr>
                <w:rFonts w:ascii="Times New Roman" w:eastAsia="Times New Roman" w:hAnsi="Times New Roman" w:cs="Times New Roman"/>
                <w:b w:val="0"/>
                <w:bCs w:val="0"/>
              </w:rPr>
              <w:t>remove repetitive content, and improve overall flow. We believe the revised version presents the content in a clearer and more professional manner suitable for scholarly communication</w:t>
            </w:r>
          </w:p>
        </w:tc>
      </w:tr>
      <w:tr w:rsidR="001B2775">
        <w:trPr>
          <w:trHeight w:val="1178"/>
        </w:trPr>
        <w:tc>
          <w:tcPr>
            <w:tcW w:w="5351" w:type="dxa"/>
          </w:tcPr>
          <w:p w:rsidR="001B2775" w:rsidRDefault="00A9684C">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1B2775" w:rsidRDefault="001B2775">
            <w:pPr>
              <w:pStyle w:val="Heading2"/>
              <w:keepNext w:val="0"/>
              <w:jc w:val="left"/>
              <w:rPr>
                <w:rFonts w:ascii="Times New Roman" w:eastAsia="Times New Roman" w:hAnsi="Times New Roman" w:cs="Times New Roman"/>
                <w:b w:val="0"/>
                <w:bCs w:val="0"/>
              </w:rPr>
            </w:pPr>
          </w:p>
        </w:tc>
        <w:tc>
          <w:tcPr>
            <w:tcW w:w="9357" w:type="dxa"/>
          </w:tcPr>
          <w:p w:rsidR="001B2775" w:rsidRDefault="00A9684C">
            <w:pPr>
              <w:spacing w:after="280"/>
            </w:pPr>
            <w:proofErr w:type="gramStart"/>
            <w:r>
              <w:t>  No</w:t>
            </w:r>
            <w:proofErr w:type="gramEnd"/>
            <w:r>
              <w:t xml:space="preserve"> ethical approval number mentioned.</w:t>
            </w:r>
          </w:p>
          <w:p w:rsidR="001B2775" w:rsidRDefault="00A9684C">
            <w:pPr>
              <w:spacing w:before="280" w:after="280"/>
            </w:pPr>
            <w:proofErr w:type="gramStart"/>
            <w:r>
              <w:t>  Tables</w:t>
            </w:r>
            <w:proofErr w:type="gramEnd"/>
            <w:r>
              <w:t xml:space="preserve"> are not properly formatted.</w:t>
            </w:r>
          </w:p>
          <w:p w:rsidR="001B2775" w:rsidRDefault="001B2775">
            <w:pPr>
              <w:pBdr>
                <w:top w:val="nil"/>
                <w:left w:val="nil"/>
                <w:bottom w:val="nil"/>
                <w:right w:val="nil"/>
                <w:between w:val="nil"/>
              </w:pBdr>
              <w:rPr>
                <w:color w:val="000000"/>
                <w:sz w:val="20"/>
                <w:szCs w:val="20"/>
              </w:rPr>
            </w:pPr>
          </w:p>
        </w:tc>
        <w:tc>
          <w:tcPr>
            <w:tcW w:w="6442" w:type="dxa"/>
          </w:tcPr>
          <w:p w:rsidR="001B2775" w:rsidRDefault="001B2775">
            <w:pPr>
              <w:rPr>
                <w:sz w:val="20"/>
                <w:szCs w:val="20"/>
              </w:rPr>
            </w:pPr>
          </w:p>
        </w:tc>
      </w:tr>
    </w:tbl>
    <w:p w:rsidR="001B2775" w:rsidRDefault="001B2775">
      <w:pPr>
        <w:pBdr>
          <w:top w:val="nil"/>
          <w:left w:val="nil"/>
          <w:bottom w:val="nil"/>
          <w:right w:val="nil"/>
          <w:between w:val="nil"/>
        </w:pBdr>
        <w:jc w:val="both"/>
        <w:rPr>
          <w:color w:val="000000"/>
          <w:sz w:val="20"/>
          <w:szCs w:val="20"/>
          <w:u w:val="single"/>
        </w:rPr>
      </w:pPr>
      <w:bookmarkStart w:id="6" w:name="_GoBack"/>
      <w:bookmarkEnd w:id="6"/>
    </w:p>
    <w:tbl>
      <w:tblPr>
        <w:tblStyle w:val="a2"/>
        <w:tblW w:w="2113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25"/>
        <w:gridCol w:w="8625"/>
        <w:gridCol w:w="5685"/>
      </w:tblGrid>
      <w:tr w:rsidR="001B2775">
        <w:trPr>
          <w:trHeight w:val="237"/>
        </w:trPr>
        <w:tc>
          <w:tcPr>
            <w:tcW w:w="21135" w:type="dxa"/>
            <w:gridSpan w:val="3"/>
            <w:tcBorders>
              <w:top w:val="nil"/>
              <w:left w:val="nil"/>
              <w:right w:val="nil"/>
            </w:tcBorders>
            <w:tcMar>
              <w:top w:w="0" w:type="dxa"/>
              <w:left w:w="108" w:type="dxa"/>
              <w:bottom w:w="0" w:type="dxa"/>
              <w:right w:w="108" w:type="dxa"/>
            </w:tcMar>
            <w:vAlign w:val="center"/>
          </w:tcPr>
          <w:p w:rsidR="001B2775" w:rsidRDefault="00A9684C">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1B2775" w:rsidRDefault="001B2775">
            <w:pPr>
              <w:pBdr>
                <w:top w:val="nil"/>
                <w:left w:val="nil"/>
                <w:bottom w:val="nil"/>
                <w:right w:val="nil"/>
                <w:between w:val="nil"/>
              </w:pBdr>
              <w:rPr>
                <w:color w:val="000000"/>
                <w:sz w:val="20"/>
                <w:szCs w:val="20"/>
                <w:u w:val="single"/>
              </w:rPr>
            </w:pPr>
          </w:p>
        </w:tc>
      </w:tr>
      <w:tr w:rsidR="001B2775">
        <w:trPr>
          <w:trHeight w:val="935"/>
        </w:trPr>
        <w:tc>
          <w:tcPr>
            <w:tcW w:w="6825" w:type="dxa"/>
            <w:tcMar>
              <w:top w:w="0" w:type="dxa"/>
              <w:left w:w="108" w:type="dxa"/>
              <w:bottom w:w="0" w:type="dxa"/>
              <w:right w:w="108" w:type="dxa"/>
            </w:tcMar>
            <w:vAlign w:val="center"/>
          </w:tcPr>
          <w:p w:rsidR="001B2775" w:rsidRDefault="001B2775">
            <w:pPr>
              <w:pBdr>
                <w:top w:val="nil"/>
                <w:left w:val="nil"/>
                <w:bottom w:val="nil"/>
                <w:right w:val="nil"/>
                <w:between w:val="nil"/>
              </w:pBdr>
              <w:rPr>
                <w:color w:val="000000"/>
                <w:sz w:val="20"/>
                <w:szCs w:val="20"/>
              </w:rPr>
            </w:pPr>
          </w:p>
        </w:tc>
        <w:tc>
          <w:tcPr>
            <w:tcW w:w="8625" w:type="dxa"/>
            <w:tcMar>
              <w:top w:w="0" w:type="dxa"/>
              <w:left w:w="108" w:type="dxa"/>
              <w:bottom w:w="0" w:type="dxa"/>
              <w:right w:w="108" w:type="dxa"/>
            </w:tcMar>
          </w:tcPr>
          <w:p w:rsidR="001B2775" w:rsidRDefault="00A9684C">
            <w:pPr>
              <w:pStyle w:val="Heading2"/>
              <w:keepNext w:val="0"/>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85" w:type="dxa"/>
          </w:tcPr>
          <w:p w:rsidR="001B2775" w:rsidRDefault="00A9684C">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1B2775" w:rsidRDefault="00A9684C">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b w:val="0"/>
                <w:bCs w:val="0"/>
                <w:i/>
                <w:iCs/>
              </w:rPr>
              <w:t>)</w:t>
            </w:r>
          </w:p>
        </w:tc>
      </w:tr>
      <w:tr w:rsidR="001B2775">
        <w:trPr>
          <w:trHeight w:val="697"/>
        </w:trPr>
        <w:tc>
          <w:tcPr>
            <w:tcW w:w="6825" w:type="dxa"/>
            <w:tcMar>
              <w:top w:w="0" w:type="dxa"/>
              <w:left w:w="108" w:type="dxa"/>
              <w:bottom w:w="0" w:type="dxa"/>
              <w:right w:w="108" w:type="dxa"/>
            </w:tcMar>
            <w:vAlign w:val="center"/>
          </w:tcPr>
          <w:p w:rsidR="001B2775" w:rsidRDefault="00A9684C">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1B2775" w:rsidRDefault="001B2775">
            <w:pPr>
              <w:pBdr>
                <w:top w:val="nil"/>
                <w:left w:val="nil"/>
                <w:bottom w:val="nil"/>
                <w:right w:val="nil"/>
                <w:between w:val="nil"/>
              </w:pBdr>
              <w:rPr>
                <w:color w:val="000000"/>
                <w:sz w:val="20"/>
                <w:szCs w:val="20"/>
              </w:rPr>
            </w:pPr>
          </w:p>
        </w:tc>
        <w:tc>
          <w:tcPr>
            <w:tcW w:w="8625" w:type="dxa"/>
            <w:tcMar>
              <w:top w:w="0" w:type="dxa"/>
              <w:left w:w="108" w:type="dxa"/>
              <w:bottom w:w="0" w:type="dxa"/>
              <w:right w:w="108" w:type="dxa"/>
            </w:tcMar>
            <w:vAlign w:val="center"/>
          </w:tcPr>
          <w:p w:rsidR="001B2775" w:rsidRDefault="00A9684C">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1B2775" w:rsidRDefault="001B2775">
            <w:pPr>
              <w:pBdr>
                <w:top w:val="nil"/>
                <w:left w:val="nil"/>
                <w:bottom w:val="nil"/>
                <w:right w:val="nil"/>
                <w:between w:val="nil"/>
              </w:pBdr>
              <w:rPr>
                <w:color w:val="000000"/>
                <w:sz w:val="20"/>
                <w:szCs w:val="20"/>
              </w:rPr>
            </w:pPr>
          </w:p>
          <w:p w:rsidR="001B2775" w:rsidRDefault="00A9684C">
            <w:pPr>
              <w:pBdr>
                <w:top w:val="nil"/>
                <w:left w:val="nil"/>
                <w:bottom w:val="nil"/>
                <w:right w:val="nil"/>
                <w:between w:val="nil"/>
              </w:pBdr>
              <w:rPr>
                <w:color w:val="000000"/>
                <w:sz w:val="20"/>
                <w:szCs w:val="20"/>
              </w:rPr>
            </w:pPr>
            <w:r>
              <w:rPr>
                <w:color w:val="000000"/>
                <w:sz w:val="20"/>
                <w:szCs w:val="20"/>
              </w:rPr>
              <w:t>no</w:t>
            </w:r>
          </w:p>
        </w:tc>
        <w:tc>
          <w:tcPr>
            <w:tcW w:w="5685" w:type="dxa"/>
            <w:vAlign w:val="center"/>
          </w:tcPr>
          <w:p w:rsidR="001B2775" w:rsidRDefault="001B2775">
            <w:pPr>
              <w:spacing w:before="240" w:after="240"/>
              <w:rPr>
                <w:sz w:val="20"/>
                <w:szCs w:val="20"/>
              </w:rPr>
            </w:pPr>
          </w:p>
          <w:p w:rsidR="001B2775" w:rsidRDefault="00A9684C">
            <w:pPr>
              <w:rPr>
                <w:sz w:val="20"/>
                <w:szCs w:val="20"/>
              </w:rPr>
            </w:pPr>
            <w:r>
              <w:rPr>
                <w:sz w:val="20"/>
                <w:szCs w:val="20"/>
              </w:rPr>
              <w:t>We thank for reviewer</w:t>
            </w:r>
          </w:p>
          <w:p w:rsidR="001B2775" w:rsidRDefault="001B2775">
            <w:pPr>
              <w:rPr>
                <w:sz w:val="20"/>
                <w:szCs w:val="20"/>
              </w:rPr>
            </w:pPr>
          </w:p>
          <w:p w:rsidR="001B2775" w:rsidRDefault="001B2775">
            <w:pPr>
              <w:rPr>
                <w:sz w:val="20"/>
                <w:szCs w:val="20"/>
              </w:rPr>
            </w:pPr>
          </w:p>
          <w:p w:rsidR="001B2775" w:rsidRDefault="001B2775">
            <w:pPr>
              <w:pBdr>
                <w:top w:val="nil"/>
                <w:left w:val="nil"/>
                <w:bottom w:val="nil"/>
                <w:right w:val="nil"/>
                <w:between w:val="nil"/>
              </w:pBdr>
              <w:rPr>
                <w:color w:val="000000"/>
                <w:sz w:val="20"/>
                <w:szCs w:val="20"/>
              </w:rPr>
            </w:pPr>
          </w:p>
        </w:tc>
      </w:tr>
    </w:tbl>
    <w:p w:rsidR="001B2775" w:rsidRDefault="001B2775">
      <w:pPr>
        <w:pBdr>
          <w:top w:val="nil"/>
          <w:left w:val="nil"/>
          <w:bottom w:val="nil"/>
          <w:right w:val="nil"/>
          <w:between w:val="nil"/>
        </w:pBdr>
        <w:jc w:val="both"/>
        <w:rPr>
          <w:rFonts w:ascii="Arial" w:eastAsia="Arial" w:hAnsi="Arial" w:cs="Arial"/>
          <w:color w:val="000000"/>
          <w:sz w:val="20"/>
          <w:szCs w:val="20"/>
        </w:rPr>
      </w:pPr>
    </w:p>
    <w:sectPr w:rsidR="001B2775">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9684C" w:rsidRDefault="00A9684C">
      <w:r>
        <w:separator/>
      </w:r>
    </w:p>
  </w:endnote>
  <w:endnote w:type="continuationSeparator" w:id="0">
    <w:p w:rsidR="00A9684C" w:rsidRDefault="00A968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E2326AC0-D53F-4944-96B2-C283F19E7690}"/>
  </w:font>
  <w:font w:name="Courier New">
    <w:panose1 w:val="02070309020205020404"/>
    <w:charset w:val="00"/>
    <w:family w:val="modern"/>
    <w:pitch w:val="fixed"/>
    <w:sig w:usb0="E0002EFF" w:usb1="C0007843" w:usb2="00000009" w:usb3="00000000" w:csb0="000001FF" w:csb1="00000000"/>
  </w:font>
  <w:font w:name="Helvetica Neue">
    <w:charset w:val="00"/>
    <w:family w:val="auto"/>
    <w:pitch w:val="default"/>
    <w:embedRegular r:id="rId2" w:fontKey="{2E8D5935-8ED1-44C2-ADFE-43514967FDCA}"/>
    <w:embedBold r:id="rId3" w:fontKey="{6AC6512F-4C07-4F65-A6C5-69866B06E05A}"/>
  </w:font>
  <w:font w:name="Arimo">
    <w:charset w:val="00"/>
    <w:family w:val="auto"/>
    <w:pitch w:val="default"/>
    <w:embedBold r:id="rId4" w:fontKey="{F8D94716-0DAA-4285-A29B-7B5E3674A3F1}"/>
  </w:font>
  <w:font w:name="Georgia">
    <w:panose1 w:val="02040502050405020303"/>
    <w:charset w:val="00"/>
    <w:family w:val="roman"/>
    <w:pitch w:val="variable"/>
    <w:sig w:usb0="00000287" w:usb1="00000000" w:usb2="00000000" w:usb3="00000000" w:csb0="0000009F" w:csb1="00000000"/>
    <w:embedItalic r:id="rId5" w:fontKey="{519082C1-3342-456B-8A17-8BAE227D54C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6" w:fontKey="{0514D838-23FB-4BE8-B603-A5B3178DDAAC}"/>
  </w:font>
  <w:font w:name="Cambria">
    <w:panose1 w:val="02040503050406030204"/>
    <w:charset w:val="00"/>
    <w:family w:val="roman"/>
    <w:pitch w:val="variable"/>
    <w:sig w:usb0="E00006FF" w:usb1="420024FF" w:usb2="02000000" w:usb3="00000000" w:csb0="0000019F" w:csb1="00000000"/>
    <w:embedRegular r:id="rId7" w:fontKey="{D953FD77-325B-47FC-81A9-5114027B28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2775" w:rsidRDefault="00A9684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9684C" w:rsidRDefault="00A9684C">
      <w:r>
        <w:separator/>
      </w:r>
    </w:p>
  </w:footnote>
  <w:footnote w:type="continuationSeparator" w:id="0">
    <w:p w:rsidR="00A9684C" w:rsidRDefault="00A968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2775" w:rsidRDefault="001B2775">
    <w:pPr>
      <w:spacing w:after="280"/>
      <w:jc w:val="center"/>
      <w:rPr>
        <w:rFonts w:ascii="Arial" w:eastAsia="Arial" w:hAnsi="Arial" w:cs="Arial"/>
        <w:color w:val="003399"/>
        <w:u w:val="single"/>
      </w:rPr>
    </w:pPr>
  </w:p>
  <w:p w:rsidR="001B2775" w:rsidRDefault="00A9684C">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334D89"/>
    <w:multiLevelType w:val="multilevel"/>
    <w:tmpl w:val="7C8EB7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2B521C96"/>
    <w:multiLevelType w:val="multilevel"/>
    <w:tmpl w:val="D23A7FF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2" w15:restartNumberingAfterBreak="0">
    <w:nsid w:val="683F11B3"/>
    <w:multiLevelType w:val="multilevel"/>
    <w:tmpl w:val="89806EB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2775"/>
    <w:rsid w:val="001B2775"/>
    <w:rsid w:val="0050025B"/>
    <w:rsid w:val="00A968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DE8BE7"/>
  <w15:docId w15:val="{8402AFD7-CC96-471A-BFBB-80597DB15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ds.com/index.php/AJDS"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1185</Words>
  <Characters>6760</Characters>
  <Application>Microsoft Office Word</Application>
  <DocSecurity>0</DocSecurity>
  <Lines>56</Lines>
  <Paragraphs>15</Paragraphs>
  <ScaleCrop>false</ScaleCrop>
  <Company/>
  <LinksUpToDate>false</LinksUpToDate>
  <CharactersWithSpaces>7930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2</cp:revision>
  <dcterms:created xsi:type="dcterms:W3CDTF">2026-02-27T05:26:00Z</dcterms:created>
  <dcterms:modified xsi:type="dcterms:W3CDTF">2026-02-27T05:27:00Z</dcterms:modified>
</cp:coreProperties>
</file>