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25E3FB8" w14:textId="77777777" w:rsidTr="002643B3">
        <w:trPr>
          <w:trHeight w:val="290"/>
        </w:trPr>
        <w:tc>
          <w:tcPr>
            <w:tcW w:w="5000" w:type="pct"/>
            <w:gridSpan w:val="2"/>
            <w:tcBorders>
              <w:top w:val="nil"/>
              <w:left w:val="nil"/>
              <w:right w:val="nil"/>
            </w:tcBorders>
          </w:tcPr>
          <w:p w14:paraId="3FE6BFF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2EF975F" w14:textId="77777777" w:rsidTr="002643B3">
        <w:trPr>
          <w:trHeight w:val="290"/>
        </w:trPr>
        <w:tc>
          <w:tcPr>
            <w:tcW w:w="1234" w:type="pct"/>
          </w:tcPr>
          <w:p w14:paraId="44BF2E0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556184F" w14:textId="77777777" w:rsidR="0000007A" w:rsidRPr="00E65EB7" w:rsidRDefault="00605729" w:rsidP="00E65EB7">
            <w:pPr>
              <w:rPr>
                <w:rFonts w:ascii="Arial" w:hAnsi="Arial" w:cs="Arial"/>
                <w:b/>
                <w:bCs/>
                <w:color w:val="0000FF"/>
                <w:sz w:val="20"/>
                <w:szCs w:val="20"/>
              </w:rPr>
            </w:pPr>
            <w:hyperlink r:id="rId8" w:history="1">
              <w:r w:rsidR="00FF01D8" w:rsidRPr="008F7DFE">
                <w:rPr>
                  <w:rStyle w:val="Hyperlink"/>
                  <w:rFonts w:ascii="Arial" w:hAnsi="Arial" w:cs="Arial"/>
                  <w:b/>
                  <w:bCs/>
                  <w:sz w:val="20"/>
                  <w:szCs w:val="20"/>
                </w:rPr>
                <w:t>Asian Journal of Advanced Research and Reports</w:t>
              </w:r>
            </w:hyperlink>
            <w:r w:rsidR="00FF01D8" w:rsidRPr="00FF01D8">
              <w:rPr>
                <w:rFonts w:ascii="Arial" w:hAnsi="Arial" w:cs="Arial"/>
                <w:b/>
                <w:bCs/>
                <w:color w:val="0000FF"/>
                <w:sz w:val="20"/>
                <w:szCs w:val="20"/>
              </w:rPr>
              <w:t xml:space="preserve"> </w:t>
            </w:r>
          </w:p>
        </w:tc>
      </w:tr>
      <w:tr w:rsidR="0000007A" w:rsidRPr="00F245A7" w14:paraId="1D93FC08" w14:textId="77777777" w:rsidTr="002643B3">
        <w:trPr>
          <w:trHeight w:val="290"/>
        </w:trPr>
        <w:tc>
          <w:tcPr>
            <w:tcW w:w="1234" w:type="pct"/>
          </w:tcPr>
          <w:p w14:paraId="3C8ED6F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EDA08E4" w14:textId="77777777" w:rsidR="0000007A" w:rsidRPr="00F245A7" w:rsidRDefault="001D1FBB" w:rsidP="00F3669D">
            <w:pPr>
              <w:pStyle w:val="NormalWeb"/>
              <w:spacing w:before="0" w:beforeAutospacing="0" w:after="0" w:afterAutospacing="0"/>
              <w:rPr>
                <w:rFonts w:ascii="Arial" w:hAnsi="Arial" w:cs="Arial"/>
                <w:b/>
                <w:bCs/>
                <w:sz w:val="20"/>
                <w:szCs w:val="28"/>
                <w:lang w:val="en-GB"/>
              </w:rPr>
            </w:pPr>
            <w:r w:rsidRPr="001D1FBB">
              <w:rPr>
                <w:rFonts w:ascii="Arial" w:hAnsi="Arial" w:cs="Arial"/>
                <w:b/>
                <w:bCs/>
                <w:sz w:val="20"/>
                <w:szCs w:val="28"/>
                <w:lang w:val="en-GB"/>
              </w:rPr>
              <w:t>Ms_AJARR_153984</w:t>
            </w:r>
          </w:p>
        </w:tc>
      </w:tr>
      <w:tr w:rsidR="0000007A" w:rsidRPr="00F245A7" w14:paraId="3403AC82" w14:textId="77777777" w:rsidTr="002643B3">
        <w:trPr>
          <w:trHeight w:val="650"/>
        </w:trPr>
        <w:tc>
          <w:tcPr>
            <w:tcW w:w="1234" w:type="pct"/>
          </w:tcPr>
          <w:p w14:paraId="5138734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DAB69B8" w14:textId="77777777" w:rsidR="0000007A" w:rsidRPr="00F245A7" w:rsidRDefault="00AA213B" w:rsidP="000450FC">
            <w:pPr>
              <w:pStyle w:val="NormalWeb"/>
              <w:spacing w:before="0" w:beforeAutospacing="0" w:after="0" w:afterAutospacing="0"/>
              <w:rPr>
                <w:rFonts w:ascii="Arial" w:hAnsi="Arial" w:cs="Arial"/>
                <w:b/>
                <w:sz w:val="20"/>
                <w:szCs w:val="28"/>
                <w:lang w:val="en-GB"/>
              </w:rPr>
            </w:pPr>
            <w:r w:rsidRPr="00AA213B">
              <w:rPr>
                <w:rFonts w:ascii="Arial" w:hAnsi="Arial" w:cs="Arial"/>
                <w:b/>
                <w:sz w:val="20"/>
                <w:szCs w:val="28"/>
                <w:lang w:val="en-GB"/>
              </w:rPr>
              <w:t>ANALYSIS OF DIETARY, SOCIO-ECONOMIC AND BEHAVIORAL FACTORS ASSOCIATED WITH OBESITY AMONG ADULTS IN NGOZI COMMUNE: AN ANALYTICAL CASE-CONTROL STUDY</w:t>
            </w:r>
          </w:p>
        </w:tc>
      </w:tr>
      <w:tr w:rsidR="00CF0BBB" w:rsidRPr="00F245A7" w14:paraId="764B5E7F" w14:textId="77777777" w:rsidTr="009659E8">
        <w:trPr>
          <w:trHeight w:val="556"/>
        </w:trPr>
        <w:tc>
          <w:tcPr>
            <w:tcW w:w="1234" w:type="pct"/>
          </w:tcPr>
          <w:p w14:paraId="0BFDCA0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23C1702"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447525DF" w14:textId="77777777" w:rsidR="00037D52" w:rsidRPr="00F245A7" w:rsidRDefault="00037D52" w:rsidP="0000007A">
      <w:pPr>
        <w:pStyle w:val="BodyText"/>
        <w:rPr>
          <w:rFonts w:ascii="Arial" w:hAnsi="Arial" w:cs="Arial"/>
          <w:b/>
          <w:bCs/>
          <w:sz w:val="20"/>
          <w:szCs w:val="20"/>
          <w:u w:val="single"/>
          <w:lang w:val="en-GB"/>
        </w:rPr>
      </w:pPr>
    </w:p>
    <w:p w14:paraId="0F97FFB2" w14:textId="19405E8C" w:rsidR="002C4B47" w:rsidRPr="00900E9B" w:rsidRDefault="002C4B47" w:rsidP="002C4B47">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900E9B" w14:paraId="60FDD12E" w14:textId="77777777">
        <w:tc>
          <w:tcPr>
            <w:tcW w:w="5000" w:type="pct"/>
            <w:gridSpan w:val="3"/>
            <w:tcBorders>
              <w:top w:val="nil"/>
              <w:left w:val="nil"/>
              <w:right w:val="nil"/>
            </w:tcBorders>
            <w:noWrap/>
          </w:tcPr>
          <w:p w14:paraId="5538FB92" w14:textId="77777777" w:rsidR="002C4B47" w:rsidRPr="00900E9B" w:rsidRDefault="002C4B4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617FAD1" w14:textId="77777777" w:rsidR="002C4B47" w:rsidRPr="00900E9B" w:rsidRDefault="002C4B47">
            <w:pPr>
              <w:rPr>
                <w:sz w:val="20"/>
                <w:szCs w:val="20"/>
                <w:lang w:val="en-GB"/>
              </w:rPr>
            </w:pPr>
          </w:p>
        </w:tc>
      </w:tr>
      <w:tr w:rsidR="002C4B47" w:rsidRPr="00900E9B" w14:paraId="00A6913E" w14:textId="77777777">
        <w:tc>
          <w:tcPr>
            <w:tcW w:w="1265" w:type="pct"/>
            <w:noWrap/>
          </w:tcPr>
          <w:p w14:paraId="044EC6D4" w14:textId="77777777" w:rsidR="002C4B47" w:rsidRPr="00900E9B" w:rsidRDefault="002C4B47">
            <w:pPr>
              <w:pStyle w:val="Heading2"/>
              <w:jc w:val="left"/>
              <w:rPr>
                <w:rFonts w:ascii="Times New Roman" w:hAnsi="Times New Roman"/>
                <w:lang w:val="en-GB"/>
              </w:rPr>
            </w:pPr>
          </w:p>
        </w:tc>
        <w:tc>
          <w:tcPr>
            <w:tcW w:w="2212" w:type="pct"/>
          </w:tcPr>
          <w:p w14:paraId="5D2E62D2" w14:textId="77777777" w:rsidR="002C4B47" w:rsidRDefault="002C4B47">
            <w:pPr>
              <w:pStyle w:val="Heading2"/>
              <w:jc w:val="left"/>
              <w:rPr>
                <w:rFonts w:ascii="Times New Roman" w:hAnsi="Times New Roman"/>
                <w:lang w:val="en-GB"/>
              </w:rPr>
            </w:pPr>
            <w:r w:rsidRPr="00900E9B">
              <w:rPr>
                <w:rFonts w:ascii="Times New Roman" w:hAnsi="Times New Roman"/>
                <w:lang w:val="en-GB"/>
              </w:rPr>
              <w:t>Reviewer’s comment</w:t>
            </w:r>
          </w:p>
          <w:p w14:paraId="5791E7C8" w14:textId="77777777" w:rsidR="00A04350" w:rsidRDefault="00A04350" w:rsidP="00A04350">
            <w:pPr>
              <w:rPr>
                <w:b/>
                <w:bCs/>
                <w:sz w:val="20"/>
                <w:szCs w:val="20"/>
              </w:rPr>
            </w:pPr>
          </w:p>
          <w:p w14:paraId="1375C72A" w14:textId="77777777" w:rsidR="00A04350" w:rsidRPr="00A04350" w:rsidRDefault="00A04350" w:rsidP="00A04350">
            <w:pPr>
              <w:rPr>
                <w:lang w:val="en-GB"/>
              </w:rPr>
            </w:pPr>
          </w:p>
        </w:tc>
        <w:tc>
          <w:tcPr>
            <w:tcW w:w="1523" w:type="pct"/>
          </w:tcPr>
          <w:p w14:paraId="28665221" w14:textId="77777777" w:rsidR="006740EB" w:rsidRPr="006740EB" w:rsidRDefault="006740EB" w:rsidP="006740EB">
            <w:pPr>
              <w:spacing w:after="160" w:line="256" w:lineRule="auto"/>
              <w:rPr>
                <w:rFonts w:eastAsia="Calibri"/>
                <w:kern w:val="2"/>
                <w:sz w:val="20"/>
                <w:szCs w:val="20"/>
                <w:lang w:val="en-IN"/>
              </w:rPr>
            </w:pPr>
            <w:r w:rsidRPr="006740EB">
              <w:rPr>
                <w:rFonts w:eastAsia="Calibri"/>
                <w:b/>
                <w:kern w:val="2"/>
                <w:sz w:val="20"/>
                <w:szCs w:val="20"/>
                <w:lang w:val="en-IN"/>
              </w:rPr>
              <w:t>Author’s Feedback</w:t>
            </w:r>
            <w:r w:rsidRPr="006740EB">
              <w:rPr>
                <w:rFonts w:eastAsia="Calibri"/>
                <w:kern w:val="2"/>
                <w:sz w:val="20"/>
                <w:szCs w:val="20"/>
                <w:lang w:val="en-IN"/>
              </w:rPr>
              <w:t xml:space="preserve"> (It is mandatory that authors should write his/her feedback here)</w:t>
            </w:r>
          </w:p>
          <w:p w14:paraId="7869747B" w14:textId="77777777" w:rsidR="002C4B47" w:rsidRPr="00900E9B" w:rsidRDefault="002C4B47">
            <w:pPr>
              <w:pStyle w:val="Heading2"/>
              <w:jc w:val="left"/>
              <w:rPr>
                <w:rFonts w:ascii="Times New Roman" w:hAnsi="Times New Roman"/>
                <w:b w:val="0"/>
                <w:lang w:val="en-GB"/>
              </w:rPr>
            </w:pPr>
          </w:p>
        </w:tc>
      </w:tr>
      <w:tr w:rsidR="002C4B47" w:rsidRPr="00900E9B" w14:paraId="31CBAABD" w14:textId="77777777">
        <w:trPr>
          <w:trHeight w:val="1264"/>
        </w:trPr>
        <w:tc>
          <w:tcPr>
            <w:tcW w:w="1265" w:type="pct"/>
            <w:noWrap/>
          </w:tcPr>
          <w:p w14:paraId="111EA30F" w14:textId="77777777" w:rsidR="002C4B47" w:rsidRPr="00900E9B" w:rsidRDefault="002C4B47">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F623E61" w14:textId="77777777" w:rsidR="002C4B47" w:rsidRPr="00900E9B" w:rsidRDefault="002C4B47">
            <w:pPr>
              <w:ind w:left="360"/>
              <w:rPr>
                <w:rFonts w:eastAsia="MS Mincho"/>
                <w:b/>
                <w:bCs/>
                <w:sz w:val="20"/>
                <w:szCs w:val="20"/>
                <w:lang w:val="en-GB"/>
              </w:rPr>
            </w:pPr>
          </w:p>
        </w:tc>
        <w:tc>
          <w:tcPr>
            <w:tcW w:w="2212" w:type="pct"/>
          </w:tcPr>
          <w:p w14:paraId="570002F7" w14:textId="77777777" w:rsidR="002C4B47" w:rsidRPr="00900E9B" w:rsidRDefault="00CA6D4D">
            <w:pPr>
              <w:pStyle w:val="ListParagraph"/>
              <w:ind w:left="0"/>
              <w:rPr>
                <w:b/>
                <w:bCs/>
                <w:sz w:val="20"/>
                <w:szCs w:val="20"/>
                <w:lang w:val="en-GB"/>
              </w:rPr>
            </w:pPr>
            <w:r>
              <w:rPr>
                <w:b/>
                <w:bCs/>
                <w:sz w:val="20"/>
                <w:szCs w:val="20"/>
                <w:lang w:val="en-GB"/>
              </w:rPr>
              <w:t xml:space="preserve">Obesity is considered as a global health crisis which is affected by multifaceted factors and results chronic </w:t>
            </w:r>
            <w:r w:rsidR="00255212">
              <w:rPr>
                <w:b/>
                <w:bCs/>
                <w:sz w:val="20"/>
                <w:szCs w:val="20"/>
                <w:lang w:val="en-GB"/>
              </w:rPr>
              <w:t>illnesses.</w:t>
            </w:r>
            <w:r>
              <w:rPr>
                <w:b/>
                <w:bCs/>
                <w:sz w:val="20"/>
                <w:szCs w:val="20"/>
                <w:lang w:val="en-GB"/>
              </w:rPr>
              <w:t xml:space="preserve"> It also imposes high financial cost. It</w:t>
            </w:r>
            <w:r w:rsidR="00255212">
              <w:rPr>
                <w:b/>
                <w:bCs/>
                <w:sz w:val="20"/>
                <w:szCs w:val="20"/>
                <w:lang w:val="en-GB"/>
              </w:rPr>
              <w:t xml:space="preserve"> is crucial</w:t>
            </w:r>
            <w:r>
              <w:rPr>
                <w:b/>
                <w:bCs/>
                <w:sz w:val="20"/>
                <w:szCs w:val="20"/>
                <w:lang w:val="en-GB"/>
              </w:rPr>
              <w:t xml:space="preserve"> to address the influencing factors of obesity for implementing strategic measures. The</w:t>
            </w:r>
            <w:r w:rsidR="00255212">
              <w:rPr>
                <w:b/>
                <w:bCs/>
                <w:sz w:val="20"/>
                <w:szCs w:val="20"/>
                <w:lang w:val="en-GB"/>
              </w:rPr>
              <w:t xml:space="preserve"> identification of specific</w:t>
            </w:r>
            <w:r>
              <w:rPr>
                <w:b/>
                <w:bCs/>
                <w:sz w:val="20"/>
                <w:szCs w:val="20"/>
                <w:lang w:val="en-GB"/>
              </w:rPr>
              <w:t xml:space="preserve"> factors or reasons of obesity among adults in a specific region is </w:t>
            </w:r>
            <w:r w:rsidR="00255212">
              <w:rPr>
                <w:b/>
                <w:bCs/>
                <w:sz w:val="20"/>
                <w:szCs w:val="20"/>
                <w:lang w:val="en-GB"/>
              </w:rPr>
              <w:t xml:space="preserve">a prerequisite of any policy intervention. This manuscript on adult obesity is expected to throw lights on future research and policy intervention for minimizing this crisis of obesity. </w:t>
            </w:r>
          </w:p>
        </w:tc>
        <w:tc>
          <w:tcPr>
            <w:tcW w:w="1523" w:type="pct"/>
          </w:tcPr>
          <w:p w14:paraId="367E994B" w14:textId="77777777" w:rsidR="002C4B47" w:rsidRPr="008A63DD" w:rsidRDefault="007647FC" w:rsidP="008A63DD">
            <w:pPr>
              <w:pStyle w:val="Heading2"/>
              <w:spacing w:line="360" w:lineRule="auto"/>
              <w:rPr>
                <w:rFonts w:ascii="Times New Roman" w:hAnsi="Times New Roman"/>
                <w:b w:val="0"/>
                <w:sz w:val="24"/>
                <w:szCs w:val="24"/>
                <w:lang w:val="en-GB"/>
              </w:rPr>
            </w:pPr>
            <w:r w:rsidRPr="008A63DD">
              <w:rPr>
                <w:rFonts w:ascii="Times New Roman" w:hAnsi="Times New Roman"/>
                <w:b w:val="0"/>
                <w:sz w:val="24"/>
                <w:szCs w:val="24"/>
                <w:lang w:val="en-US"/>
              </w:rPr>
              <w:t>This manuscript addresses obesity as an emerging public health challenge in low-income countries undergoing rapid nutritional and socio-economic transition. By applying an analytical case-control design at the commune level in Burundi, the study provides rare locally generated empirical evidence on dietary, socio-economic, behavioral and familial determinants of adult obesity in a context where such data remain scarce. The findings contribute to the scientific understanding of the double burden of malnutrition in sub-Saharan Africa and highlight the complex interaction between income dynamics, dietary diversity and familial predisposition. Moreover, the study offers context-specific insights that can inform evidence-based prevention strategies and guide future research on obesity in transitional African settings.</w:t>
            </w:r>
          </w:p>
        </w:tc>
      </w:tr>
      <w:tr w:rsidR="002C4B47" w:rsidRPr="00900E9B" w14:paraId="4FCD83D1" w14:textId="77777777">
        <w:trPr>
          <w:trHeight w:val="1262"/>
        </w:trPr>
        <w:tc>
          <w:tcPr>
            <w:tcW w:w="1265" w:type="pct"/>
            <w:noWrap/>
          </w:tcPr>
          <w:p w14:paraId="6D61DBFD" w14:textId="77777777" w:rsidR="002C4B47" w:rsidRPr="00900E9B" w:rsidRDefault="002C4B47">
            <w:pPr>
              <w:ind w:left="360"/>
              <w:rPr>
                <w:b/>
                <w:bCs/>
                <w:sz w:val="20"/>
                <w:szCs w:val="20"/>
                <w:lang w:val="en-GB"/>
              </w:rPr>
            </w:pPr>
            <w:r w:rsidRPr="00900E9B">
              <w:rPr>
                <w:b/>
                <w:bCs/>
                <w:sz w:val="20"/>
                <w:szCs w:val="20"/>
                <w:lang w:val="en-GB"/>
              </w:rPr>
              <w:t>Is the title of the article suitable?</w:t>
            </w:r>
          </w:p>
          <w:p w14:paraId="5E41761D" w14:textId="77777777" w:rsidR="002C4B47" w:rsidRPr="00900E9B" w:rsidRDefault="002C4B47">
            <w:pPr>
              <w:ind w:left="360"/>
              <w:rPr>
                <w:b/>
                <w:bCs/>
                <w:sz w:val="20"/>
                <w:szCs w:val="20"/>
                <w:lang w:val="en-GB"/>
              </w:rPr>
            </w:pPr>
            <w:r w:rsidRPr="00900E9B">
              <w:rPr>
                <w:b/>
                <w:bCs/>
                <w:sz w:val="20"/>
                <w:szCs w:val="20"/>
                <w:lang w:val="en-GB"/>
              </w:rPr>
              <w:t>(If not please suggest an alternative title)</w:t>
            </w:r>
          </w:p>
          <w:p w14:paraId="105D2475" w14:textId="77777777" w:rsidR="002C4B47" w:rsidRPr="00900E9B" w:rsidRDefault="002C4B47">
            <w:pPr>
              <w:pStyle w:val="Heading2"/>
              <w:jc w:val="left"/>
              <w:rPr>
                <w:rFonts w:ascii="Times New Roman" w:hAnsi="Times New Roman"/>
                <w:u w:val="single"/>
                <w:lang w:val="en-GB"/>
              </w:rPr>
            </w:pPr>
          </w:p>
        </w:tc>
        <w:tc>
          <w:tcPr>
            <w:tcW w:w="2212" w:type="pct"/>
          </w:tcPr>
          <w:p w14:paraId="604C61E3" w14:textId="77777777" w:rsidR="002C4B47" w:rsidRPr="00900E9B" w:rsidRDefault="00255212">
            <w:pPr>
              <w:ind w:left="360"/>
              <w:rPr>
                <w:b/>
                <w:bCs/>
                <w:sz w:val="20"/>
                <w:szCs w:val="20"/>
                <w:lang w:val="en-GB"/>
              </w:rPr>
            </w:pPr>
            <w:r>
              <w:rPr>
                <w:b/>
                <w:bCs/>
                <w:sz w:val="20"/>
                <w:szCs w:val="20"/>
                <w:lang w:val="en-GB"/>
              </w:rPr>
              <w:t>YES. It is suitable</w:t>
            </w:r>
          </w:p>
        </w:tc>
        <w:tc>
          <w:tcPr>
            <w:tcW w:w="1523" w:type="pct"/>
          </w:tcPr>
          <w:p w14:paraId="6D5422F2" w14:textId="77777777" w:rsidR="002C4B47" w:rsidRPr="00900E9B" w:rsidRDefault="002C4B47">
            <w:pPr>
              <w:pStyle w:val="Heading2"/>
              <w:jc w:val="left"/>
              <w:rPr>
                <w:rFonts w:ascii="Times New Roman" w:hAnsi="Times New Roman"/>
                <w:b w:val="0"/>
                <w:lang w:val="en-GB"/>
              </w:rPr>
            </w:pPr>
          </w:p>
        </w:tc>
      </w:tr>
      <w:tr w:rsidR="002C4B47" w:rsidRPr="00900E9B" w14:paraId="597895FC" w14:textId="77777777">
        <w:trPr>
          <w:trHeight w:val="1262"/>
        </w:trPr>
        <w:tc>
          <w:tcPr>
            <w:tcW w:w="1265" w:type="pct"/>
            <w:noWrap/>
          </w:tcPr>
          <w:p w14:paraId="1A46C3F7" w14:textId="77777777" w:rsidR="002C4B47" w:rsidRPr="00900E9B" w:rsidRDefault="002C4B47">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7D8A8CF" w14:textId="77777777" w:rsidR="002C4B47" w:rsidRPr="00900E9B" w:rsidRDefault="002C4B47">
            <w:pPr>
              <w:pStyle w:val="Heading2"/>
              <w:jc w:val="left"/>
              <w:rPr>
                <w:rFonts w:ascii="Times New Roman" w:hAnsi="Times New Roman"/>
                <w:u w:val="single"/>
                <w:lang w:val="en-GB"/>
              </w:rPr>
            </w:pPr>
          </w:p>
        </w:tc>
        <w:tc>
          <w:tcPr>
            <w:tcW w:w="2212" w:type="pct"/>
          </w:tcPr>
          <w:p w14:paraId="3DD0CB04" w14:textId="77777777" w:rsidR="002C4B47" w:rsidRPr="00900E9B" w:rsidRDefault="00255212">
            <w:pPr>
              <w:ind w:left="360"/>
              <w:rPr>
                <w:b/>
                <w:bCs/>
                <w:sz w:val="20"/>
                <w:szCs w:val="20"/>
                <w:lang w:val="en-GB"/>
              </w:rPr>
            </w:pPr>
            <w:r>
              <w:rPr>
                <w:b/>
                <w:bCs/>
                <w:sz w:val="20"/>
                <w:szCs w:val="20"/>
                <w:lang w:val="en-GB"/>
              </w:rPr>
              <w:t xml:space="preserve">The abstract should be more comprehensive. Introduction should be less, mention the major findings and keyword should be limited to four/five words. </w:t>
            </w:r>
          </w:p>
        </w:tc>
        <w:tc>
          <w:tcPr>
            <w:tcW w:w="1523" w:type="pct"/>
          </w:tcPr>
          <w:p w14:paraId="0E092CAD" w14:textId="77777777" w:rsidR="007647FC" w:rsidRPr="007647FC" w:rsidRDefault="007647FC" w:rsidP="007647FC">
            <w:pPr>
              <w:spacing w:before="100" w:beforeAutospacing="1" w:after="100" w:afterAutospacing="1"/>
              <w:rPr>
                <w:lang w:eastAsia="fr-FR"/>
              </w:rPr>
            </w:pPr>
            <w:r w:rsidRPr="007647FC">
              <w:rPr>
                <w:b/>
                <w:bCs/>
                <w:lang w:eastAsia="fr-FR"/>
              </w:rPr>
              <w:t>Background:</w:t>
            </w:r>
            <w:r w:rsidRPr="007647FC">
              <w:rPr>
                <w:lang w:eastAsia="fr-FR"/>
              </w:rPr>
              <w:t xml:space="preserve"> Obesity is an emerging public health challenge in low-income countries undergoing rapid nutritional and socio-economic transition. Local analytical evidence remains limited in Burundi.</w:t>
            </w:r>
          </w:p>
          <w:p w14:paraId="1103A29F" w14:textId="77777777" w:rsidR="007647FC" w:rsidRPr="007647FC" w:rsidRDefault="007647FC" w:rsidP="007647FC">
            <w:pPr>
              <w:spacing w:before="100" w:beforeAutospacing="1" w:after="100" w:afterAutospacing="1"/>
              <w:rPr>
                <w:lang w:eastAsia="fr-FR"/>
              </w:rPr>
            </w:pPr>
            <w:r w:rsidRPr="007647FC">
              <w:rPr>
                <w:b/>
                <w:bCs/>
                <w:lang w:eastAsia="fr-FR"/>
              </w:rPr>
              <w:t>Methods:</w:t>
            </w:r>
            <w:r w:rsidRPr="007647FC">
              <w:rPr>
                <w:lang w:eastAsia="fr-FR"/>
              </w:rPr>
              <w:t xml:space="preserve"> An analytical case-control study was conducted among 90 adults (30 obese cases and 60 normal-weight controls) in Ngozi Commune. Data collection included structured questionnaires, anthropometric measurements, blood pressure and capillary blood glucose testing. Bivariate and multivariate logistic regression analyses were performed. Statistical significance was set at p &lt; 0.05.</w:t>
            </w:r>
          </w:p>
          <w:p w14:paraId="538262F6" w14:textId="77777777" w:rsidR="007647FC" w:rsidRPr="007647FC" w:rsidRDefault="007647FC" w:rsidP="007647FC">
            <w:pPr>
              <w:spacing w:before="100" w:beforeAutospacing="1" w:after="100" w:afterAutospacing="1"/>
              <w:rPr>
                <w:lang w:val="fr-FR" w:eastAsia="fr-FR"/>
              </w:rPr>
            </w:pPr>
            <w:r w:rsidRPr="007647FC">
              <w:rPr>
                <w:b/>
                <w:bCs/>
                <w:lang w:eastAsia="fr-FR"/>
              </w:rPr>
              <w:t>Results:</w:t>
            </w:r>
            <w:r w:rsidRPr="007647FC">
              <w:rPr>
                <w:lang w:eastAsia="fr-FR"/>
              </w:rPr>
              <w:t xml:space="preserve"> Independent determinants of obesity included female sex (</w:t>
            </w:r>
            <w:proofErr w:type="spellStart"/>
            <w:r w:rsidRPr="007647FC">
              <w:rPr>
                <w:lang w:eastAsia="fr-FR"/>
              </w:rPr>
              <w:t>aOR</w:t>
            </w:r>
            <w:proofErr w:type="spellEnd"/>
            <w:r w:rsidRPr="007647FC">
              <w:rPr>
                <w:lang w:eastAsia="fr-FR"/>
              </w:rPr>
              <w:t>=2.71; 95% CI: 1.04–7.09), household income &gt;300,000 BIF (</w:t>
            </w:r>
            <w:proofErr w:type="spellStart"/>
            <w:r w:rsidRPr="007647FC">
              <w:rPr>
                <w:lang w:eastAsia="fr-FR"/>
              </w:rPr>
              <w:t>aOR</w:t>
            </w:r>
            <w:proofErr w:type="spellEnd"/>
            <w:r w:rsidRPr="007647FC">
              <w:rPr>
                <w:lang w:eastAsia="fr-FR"/>
              </w:rPr>
              <w:t>=4.32; 95% CI: 1.45–12.89), non-consumption of legumes/nuts (</w:t>
            </w:r>
            <w:proofErr w:type="spellStart"/>
            <w:r w:rsidRPr="007647FC">
              <w:rPr>
                <w:lang w:eastAsia="fr-FR"/>
              </w:rPr>
              <w:t>aOR</w:t>
            </w:r>
            <w:proofErr w:type="spellEnd"/>
            <w:r w:rsidRPr="007647FC">
              <w:rPr>
                <w:lang w:eastAsia="fr-FR"/>
              </w:rPr>
              <w:t>=5.85; 95% CI: 1.34–25.53), and family history of obesity (</w:t>
            </w:r>
            <w:proofErr w:type="spellStart"/>
            <w:r w:rsidRPr="007647FC">
              <w:rPr>
                <w:lang w:eastAsia="fr-FR"/>
              </w:rPr>
              <w:t>aOR</w:t>
            </w:r>
            <w:proofErr w:type="spellEnd"/>
            <w:r w:rsidRPr="007647FC">
              <w:rPr>
                <w:lang w:eastAsia="fr-FR"/>
              </w:rPr>
              <w:t xml:space="preserve">=4.19; 95% CI: 1.51–11.61). Low dietary diversity was significantly associated in bivariate analysis (OR=2.29; p=0.030). </w:t>
            </w:r>
            <w:proofErr w:type="spellStart"/>
            <w:r w:rsidRPr="007647FC">
              <w:rPr>
                <w:lang w:val="fr-FR" w:eastAsia="fr-FR"/>
              </w:rPr>
              <w:t>Behavioral</w:t>
            </w:r>
            <w:proofErr w:type="spellEnd"/>
            <w:r w:rsidRPr="007647FC">
              <w:rPr>
                <w:lang w:val="fr-FR" w:eastAsia="fr-FR"/>
              </w:rPr>
              <w:t xml:space="preserve"> </w:t>
            </w:r>
            <w:proofErr w:type="spellStart"/>
            <w:r w:rsidRPr="007647FC">
              <w:rPr>
                <w:lang w:val="fr-FR" w:eastAsia="fr-FR"/>
              </w:rPr>
              <w:t>factors</w:t>
            </w:r>
            <w:proofErr w:type="spellEnd"/>
            <w:r w:rsidRPr="007647FC">
              <w:rPr>
                <w:lang w:val="fr-FR" w:eastAsia="fr-FR"/>
              </w:rPr>
              <w:t xml:space="preserve"> </w:t>
            </w:r>
            <w:proofErr w:type="spellStart"/>
            <w:r w:rsidRPr="007647FC">
              <w:rPr>
                <w:lang w:val="fr-FR" w:eastAsia="fr-FR"/>
              </w:rPr>
              <w:t>were</w:t>
            </w:r>
            <w:proofErr w:type="spellEnd"/>
            <w:r w:rsidRPr="007647FC">
              <w:rPr>
                <w:lang w:val="fr-FR" w:eastAsia="fr-FR"/>
              </w:rPr>
              <w:t xml:space="preserve"> not </w:t>
            </w:r>
            <w:proofErr w:type="spellStart"/>
            <w:r w:rsidRPr="007647FC">
              <w:rPr>
                <w:lang w:val="fr-FR" w:eastAsia="fr-FR"/>
              </w:rPr>
              <w:t>statistically</w:t>
            </w:r>
            <w:proofErr w:type="spellEnd"/>
            <w:r w:rsidRPr="007647FC">
              <w:rPr>
                <w:lang w:val="fr-FR" w:eastAsia="fr-FR"/>
              </w:rPr>
              <w:t xml:space="preserve"> </w:t>
            </w:r>
            <w:proofErr w:type="spellStart"/>
            <w:r w:rsidRPr="007647FC">
              <w:rPr>
                <w:lang w:val="fr-FR" w:eastAsia="fr-FR"/>
              </w:rPr>
              <w:t>significant</w:t>
            </w:r>
            <w:proofErr w:type="spellEnd"/>
            <w:r w:rsidRPr="007647FC">
              <w:rPr>
                <w:lang w:val="fr-FR" w:eastAsia="fr-FR"/>
              </w:rPr>
              <w:t>.</w:t>
            </w:r>
          </w:p>
          <w:p w14:paraId="4C1B4FDB" w14:textId="77777777" w:rsidR="007647FC" w:rsidRPr="007647FC" w:rsidRDefault="007647FC" w:rsidP="007647FC">
            <w:pPr>
              <w:spacing w:before="100" w:beforeAutospacing="1" w:after="100" w:afterAutospacing="1"/>
              <w:rPr>
                <w:lang w:eastAsia="fr-FR"/>
              </w:rPr>
            </w:pPr>
            <w:r w:rsidRPr="007647FC">
              <w:rPr>
                <w:b/>
                <w:bCs/>
                <w:lang w:eastAsia="fr-FR"/>
              </w:rPr>
              <w:t>Conclusion:</w:t>
            </w:r>
            <w:r w:rsidRPr="007647FC">
              <w:rPr>
                <w:lang w:eastAsia="fr-FR"/>
              </w:rPr>
              <w:t xml:space="preserve"> Obesity in Ngozi Commune appears primarily driven by dietary quality, socio-economic conditions and familial susceptibility. Integrated prevention strategies promoting dietary diversification, gender-sensitive interventions and early risk screening are recommended.</w:t>
            </w:r>
          </w:p>
          <w:p w14:paraId="4ED37241" w14:textId="77777777" w:rsidR="007647FC" w:rsidRPr="007647FC" w:rsidRDefault="007647FC" w:rsidP="007647FC">
            <w:pPr>
              <w:spacing w:before="100" w:beforeAutospacing="1" w:after="100" w:afterAutospacing="1"/>
              <w:rPr>
                <w:lang w:eastAsia="fr-FR"/>
              </w:rPr>
            </w:pPr>
            <w:r w:rsidRPr="007647FC">
              <w:rPr>
                <w:b/>
                <w:bCs/>
                <w:lang w:eastAsia="fr-FR"/>
              </w:rPr>
              <w:t>Keywords:</w:t>
            </w:r>
            <w:r w:rsidRPr="007647FC">
              <w:rPr>
                <w:lang w:eastAsia="fr-FR"/>
              </w:rPr>
              <w:t xml:space="preserve"> Obesity; Dietary diversity; Socio-economic factors; Case-control study; Burundi.</w:t>
            </w:r>
          </w:p>
          <w:p w14:paraId="20D2FE75" w14:textId="77777777" w:rsidR="002C4B47" w:rsidRPr="007647FC" w:rsidRDefault="002C4B47">
            <w:pPr>
              <w:pStyle w:val="Heading2"/>
              <w:jc w:val="left"/>
              <w:rPr>
                <w:rFonts w:ascii="Times New Roman" w:hAnsi="Times New Roman"/>
                <w:b w:val="0"/>
                <w:lang w:val="en-US"/>
              </w:rPr>
            </w:pPr>
          </w:p>
        </w:tc>
      </w:tr>
      <w:tr w:rsidR="002C4B47" w:rsidRPr="00900E9B" w14:paraId="56A32024" w14:textId="77777777">
        <w:trPr>
          <w:trHeight w:val="704"/>
        </w:trPr>
        <w:tc>
          <w:tcPr>
            <w:tcW w:w="1265" w:type="pct"/>
            <w:noWrap/>
          </w:tcPr>
          <w:p w14:paraId="021EC954" w14:textId="77777777" w:rsidR="002C4B47" w:rsidRPr="00900E9B" w:rsidRDefault="002C4B47">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21E5AC1" w14:textId="77777777" w:rsidR="002C4B47" w:rsidRPr="00AB4558" w:rsidRDefault="00255212">
            <w:pPr>
              <w:pStyle w:val="ListParagraph"/>
              <w:ind w:left="0"/>
              <w:rPr>
                <w:b/>
                <w:sz w:val="20"/>
                <w:szCs w:val="20"/>
                <w:lang w:val="en-GB"/>
              </w:rPr>
            </w:pPr>
            <w:r w:rsidRPr="00AB4558">
              <w:rPr>
                <w:b/>
                <w:sz w:val="20"/>
                <w:szCs w:val="20"/>
                <w:lang w:val="en-GB"/>
              </w:rPr>
              <w:t xml:space="preserve"> Yes. It may be considered as scientifically correct</w:t>
            </w:r>
          </w:p>
        </w:tc>
        <w:tc>
          <w:tcPr>
            <w:tcW w:w="1523" w:type="pct"/>
          </w:tcPr>
          <w:p w14:paraId="118C83A6" w14:textId="77777777" w:rsidR="002C4B47" w:rsidRPr="00900E9B" w:rsidRDefault="002C4B47">
            <w:pPr>
              <w:pStyle w:val="Heading2"/>
              <w:jc w:val="left"/>
              <w:rPr>
                <w:rFonts w:ascii="Times New Roman" w:hAnsi="Times New Roman"/>
                <w:b w:val="0"/>
                <w:lang w:val="en-GB"/>
              </w:rPr>
            </w:pPr>
          </w:p>
        </w:tc>
      </w:tr>
      <w:tr w:rsidR="002C4B47" w:rsidRPr="00900E9B" w14:paraId="3931F656" w14:textId="77777777">
        <w:trPr>
          <w:trHeight w:val="703"/>
        </w:trPr>
        <w:tc>
          <w:tcPr>
            <w:tcW w:w="1265" w:type="pct"/>
            <w:noWrap/>
          </w:tcPr>
          <w:p w14:paraId="4B14DEB1" w14:textId="77777777" w:rsidR="002C4B47" w:rsidRPr="00E10705" w:rsidRDefault="002C4B47">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AB00F6D" w14:textId="77777777" w:rsidR="002C4B47" w:rsidRPr="00AB4558" w:rsidRDefault="00255212">
            <w:pPr>
              <w:pStyle w:val="ListParagraph"/>
              <w:ind w:left="0"/>
              <w:rPr>
                <w:b/>
                <w:sz w:val="20"/>
                <w:szCs w:val="20"/>
                <w:lang w:val="en-GB"/>
              </w:rPr>
            </w:pPr>
            <w:r w:rsidRPr="00AB4558">
              <w:rPr>
                <w:b/>
                <w:sz w:val="20"/>
                <w:szCs w:val="20"/>
                <w:lang w:val="en-GB"/>
              </w:rPr>
              <w:t xml:space="preserve"> Add more recent references </w:t>
            </w:r>
            <w:proofErr w:type="gramStart"/>
            <w:r w:rsidRPr="00AB4558">
              <w:rPr>
                <w:b/>
                <w:sz w:val="20"/>
                <w:szCs w:val="20"/>
                <w:lang w:val="en-GB"/>
              </w:rPr>
              <w:t>( last</w:t>
            </w:r>
            <w:proofErr w:type="gramEnd"/>
            <w:r w:rsidRPr="00AB4558">
              <w:rPr>
                <w:b/>
                <w:sz w:val="20"/>
                <w:szCs w:val="20"/>
                <w:lang w:val="en-GB"/>
              </w:rPr>
              <w:t xml:space="preserve"> 5 years) </w:t>
            </w:r>
            <w:r w:rsidR="001F2622" w:rsidRPr="00AB4558">
              <w:rPr>
                <w:b/>
                <w:sz w:val="20"/>
                <w:szCs w:val="20"/>
                <w:lang w:val="en-GB"/>
              </w:rPr>
              <w:t xml:space="preserve">. The socio-economic and other scenario has been changing rapidly. It is better to concentrate on recent references instead of old references. </w:t>
            </w:r>
          </w:p>
        </w:tc>
        <w:tc>
          <w:tcPr>
            <w:tcW w:w="1523" w:type="pct"/>
          </w:tcPr>
          <w:p w14:paraId="4F4CD4B7" w14:textId="77777777" w:rsidR="002C4B47" w:rsidRPr="007647FC" w:rsidRDefault="007647FC">
            <w:pPr>
              <w:pStyle w:val="Heading2"/>
              <w:jc w:val="left"/>
              <w:rPr>
                <w:rFonts w:ascii="Times New Roman" w:hAnsi="Times New Roman"/>
                <w:bCs w:val="0"/>
                <w:sz w:val="24"/>
                <w:szCs w:val="24"/>
                <w:lang w:val="en-US"/>
              </w:rPr>
            </w:pPr>
            <w:r w:rsidRPr="007647FC">
              <w:rPr>
                <w:rFonts w:ascii="Times New Roman" w:hAnsi="Times New Roman"/>
                <w:bCs w:val="0"/>
                <w:sz w:val="24"/>
                <w:szCs w:val="24"/>
                <w:lang w:val="en-US"/>
              </w:rPr>
              <w:t>Section 1.1 Background and Justification</w:t>
            </w:r>
          </w:p>
          <w:p w14:paraId="51893DBB" w14:textId="77777777" w:rsidR="007647FC" w:rsidRDefault="007647FC" w:rsidP="007647FC">
            <w:r>
              <w:t>Recent global estimates indicate that obesity prevalence continues to accelerate, particularly in low- and middle-income countries. The World Obesity Federation (2023) projects a substantial rise in obesity rates across sub-Saharan Africa over the next decade. Similarly, the Global Burden of Disease Study 2022 confirms that high body mass index remains a leading contributor to cardiovascular morbidity and mortality worldwide, with increasing impact in African regions (GBD 2022 Risk Factors Collaborators, 2023). These findings highlight the urgency of generating updated local evidence to guide prevention strategies.</w:t>
            </w:r>
          </w:p>
          <w:p w14:paraId="19121331" w14:textId="77777777" w:rsidR="007647FC" w:rsidRPr="007647FC" w:rsidRDefault="007647FC" w:rsidP="007647FC">
            <w:pPr>
              <w:numPr>
                <w:ilvl w:val="0"/>
                <w:numId w:val="13"/>
              </w:numPr>
            </w:pPr>
            <w:r w:rsidRPr="007647FC">
              <w:t xml:space="preserve">World Obesity Federation. (2023). </w:t>
            </w:r>
            <w:r w:rsidRPr="007647FC">
              <w:rPr>
                <w:i/>
                <w:iCs/>
              </w:rPr>
              <w:t>World Obesity Atlas 2023.</w:t>
            </w:r>
          </w:p>
          <w:p w14:paraId="6576F3A0" w14:textId="77777777" w:rsidR="007647FC" w:rsidRPr="007647FC" w:rsidRDefault="007647FC" w:rsidP="007647FC">
            <w:pPr>
              <w:numPr>
                <w:ilvl w:val="0"/>
                <w:numId w:val="13"/>
              </w:numPr>
              <w:rPr>
                <w:lang w:val="fr-FR"/>
              </w:rPr>
            </w:pPr>
            <w:r w:rsidRPr="007647FC">
              <w:lastRenderedPageBreak/>
              <w:t xml:space="preserve">GBD 2022 Risk Factors Collaborators. (2023). Global burden of 87 risk factors in 204 countries and territories, 1990–2022. </w:t>
            </w:r>
            <w:r w:rsidRPr="007647FC">
              <w:rPr>
                <w:i/>
                <w:iCs/>
                <w:lang w:val="fr-FR"/>
              </w:rPr>
              <w:t>The Lancet.</w:t>
            </w:r>
            <w:r>
              <w:rPr>
                <w:i/>
                <w:iCs/>
                <w:lang w:val="fr-FR"/>
              </w:rPr>
              <w:br/>
            </w:r>
          </w:p>
          <w:p w14:paraId="1F6D1D24" w14:textId="77777777" w:rsidR="007647FC" w:rsidRDefault="007647FC" w:rsidP="007647FC">
            <w:pPr>
              <w:rPr>
                <w:b/>
                <w:bCs/>
              </w:rPr>
            </w:pPr>
            <w:r w:rsidRPr="007647FC">
              <w:t xml:space="preserve">Section </w:t>
            </w:r>
            <w:r w:rsidRPr="007647FC">
              <w:rPr>
                <w:b/>
                <w:bCs/>
              </w:rPr>
              <w:t>3.2.2 Paradoxical Link Between High Income and Obesity</w:t>
            </w:r>
            <w:r>
              <w:rPr>
                <w:b/>
                <w:bCs/>
              </w:rPr>
              <w:t>:</w:t>
            </w:r>
          </w:p>
          <w:p w14:paraId="3803A3A7" w14:textId="77777777" w:rsidR="007647FC" w:rsidRDefault="007647FC" w:rsidP="007647FC">
            <w:pPr>
              <w:jc w:val="both"/>
            </w:pPr>
            <w:r w:rsidRPr="007647FC">
              <w:t>Recent analyses further demonstrate that rising incomes in transitional economies are increasingly associated with shifts toward ultra-processed and energy-dense foods. Monteiro et al. (2019) describe the expansion of ultra-processed food consumption as a key driver of obesity in middle-income settings. Moreover, Popkin, Corvalan and Grummer-Strawn (2020) emphasize that rapid urbanization and dietary commercialization are accelerating the double burden of malnutrition in sub-Saharan Africa.</w:t>
            </w:r>
          </w:p>
          <w:p w14:paraId="7EAA12A2" w14:textId="77777777" w:rsidR="005A1E98" w:rsidRDefault="005A1E98" w:rsidP="005A1E98">
            <w:pPr>
              <w:numPr>
                <w:ilvl w:val="0"/>
                <w:numId w:val="14"/>
              </w:numPr>
              <w:jc w:val="both"/>
            </w:pPr>
            <w:r w:rsidRPr="005A1E98">
              <w:t xml:space="preserve">Monteiro CA, Cannon G, Levy RB, </w:t>
            </w:r>
            <w:proofErr w:type="spellStart"/>
            <w:r w:rsidRPr="005A1E98">
              <w:t>Moubarac</w:t>
            </w:r>
            <w:proofErr w:type="spellEnd"/>
            <w:r w:rsidRPr="005A1E98">
              <w:t xml:space="preserve"> JC, </w:t>
            </w:r>
            <w:proofErr w:type="spellStart"/>
            <w:r w:rsidRPr="005A1E98">
              <w:t>Louzada</w:t>
            </w:r>
            <w:proofErr w:type="spellEnd"/>
            <w:r w:rsidRPr="005A1E98">
              <w:t xml:space="preserve"> ML, Rauber F, et al. Ultra-processed foods: What they are and how to identify them. </w:t>
            </w:r>
            <w:r w:rsidRPr="005A1E98">
              <w:rPr>
                <w:i/>
                <w:iCs/>
              </w:rPr>
              <w:t xml:space="preserve">Public Health </w:t>
            </w:r>
            <w:proofErr w:type="spellStart"/>
            <w:r w:rsidRPr="005A1E98">
              <w:rPr>
                <w:i/>
                <w:iCs/>
              </w:rPr>
              <w:t>Nutr</w:t>
            </w:r>
            <w:proofErr w:type="spellEnd"/>
            <w:r w:rsidRPr="005A1E98">
              <w:t>. 2019;22(5):936–941.</w:t>
            </w:r>
          </w:p>
          <w:p w14:paraId="5D99D04E" w14:textId="77777777" w:rsidR="005A1E98" w:rsidRPr="005A1E98" w:rsidRDefault="005A1E98" w:rsidP="005A1E98">
            <w:pPr>
              <w:numPr>
                <w:ilvl w:val="0"/>
                <w:numId w:val="14"/>
              </w:numPr>
              <w:jc w:val="both"/>
            </w:pPr>
            <w:r w:rsidRPr="005A1E98">
              <w:t xml:space="preserve">Popkin BM, Corvalan C, Grummer-Strawn LM. Dynamics of the double burden of malnutrition and the changing nutrition reality. </w:t>
            </w:r>
            <w:r w:rsidRPr="005A1E98">
              <w:rPr>
                <w:i/>
                <w:iCs/>
                <w:lang w:val="fr-FR"/>
              </w:rPr>
              <w:t>Lancet</w:t>
            </w:r>
            <w:r w:rsidRPr="005A1E98">
              <w:rPr>
                <w:lang w:val="fr-FR"/>
              </w:rPr>
              <w:t>. 2020;395(10217):65–74.</w:t>
            </w:r>
          </w:p>
          <w:p w14:paraId="70D91920" w14:textId="77777777" w:rsidR="00F41004" w:rsidRDefault="00F41004" w:rsidP="007647FC">
            <w:pPr>
              <w:jc w:val="both"/>
            </w:pPr>
          </w:p>
          <w:p w14:paraId="53A5C3D4" w14:textId="77777777" w:rsidR="007647FC" w:rsidRDefault="005A1E98" w:rsidP="007647FC">
            <w:pPr>
              <w:jc w:val="both"/>
            </w:pPr>
            <w:r w:rsidRPr="005A1E98">
              <w:t xml:space="preserve">Section </w:t>
            </w:r>
            <w:r w:rsidRPr="005A1E98">
              <w:rPr>
                <w:b/>
                <w:bCs/>
              </w:rPr>
              <w:t>3.2 Discussion</w:t>
            </w:r>
            <w:r w:rsidRPr="005A1E98">
              <w:t xml:space="preserve"> — at the end of first paragraph.</w:t>
            </w:r>
          </w:p>
          <w:p w14:paraId="195688BD" w14:textId="77777777" w:rsidR="005A1E98" w:rsidRDefault="005A1E98" w:rsidP="007647FC">
            <w:pPr>
              <w:jc w:val="both"/>
            </w:pPr>
            <w:r w:rsidRPr="005A1E98">
              <w:t>Recent regional evidence confirms similar patterns across sub-Saharan Africa. A pooled analysis by the NCD Risk Factor Collaboration (2022) demonstrates widening gender disparities in obesity prevalence, particularly among adult women in African countries. Additionally, Ntandou-Bouzitou et al. (2022) report that urbanization and income growth are significant predictors of obesity in Central African populations.</w:t>
            </w:r>
          </w:p>
          <w:p w14:paraId="27C883A4" w14:textId="77777777" w:rsidR="005A1E98" w:rsidRDefault="005A1E98" w:rsidP="007647FC">
            <w:pPr>
              <w:jc w:val="both"/>
            </w:pPr>
          </w:p>
          <w:p w14:paraId="526F0145" w14:textId="77777777" w:rsidR="005A1E98" w:rsidRDefault="005A1E98" w:rsidP="005A1E98">
            <w:pPr>
              <w:numPr>
                <w:ilvl w:val="0"/>
                <w:numId w:val="15"/>
              </w:numPr>
              <w:jc w:val="both"/>
            </w:pPr>
            <w:r w:rsidRPr="005A1E98">
              <w:t xml:space="preserve">NCD Risk Factor Collaboration (NCD-RisC). Worldwide trends in body-mass index, underweight, overweight, and obesity from 1975 to 2022: A pooled analysis of population-based measurement studies. </w:t>
            </w:r>
            <w:r w:rsidRPr="005A1E98">
              <w:rPr>
                <w:i/>
                <w:iCs/>
              </w:rPr>
              <w:t>Lancet</w:t>
            </w:r>
            <w:r w:rsidRPr="005A1E98">
              <w:t>. 2022;403(10431):1027–1050.</w:t>
            </w:r>
          </w:p>
          <w:p w14:paraId="079093FA" w14:textId="77777777" w:rsidR="005A1E98" w:rsidRPr="005A1E98" w:rsidRDefault="005A1E98" w:rsidP="005A1E98">
            <w:pPr>
              <w:numPr>
                <w:ilvl w:val="0"/>
                <w:numId w:val="15"/>
              </w:numPr>
              <w:jc w:val="both"/>
            </w:pPr>
            <w:r w:rsidRPr="005A1E98">
              <w:t xml:space="preserve">Ntandou-Bouzitou G, Mbanya JC, Bigna JJ. Urbanisation and the double burden of malnutrition in Cameroon: A systematic review and meta-analysis. </w:t>
            </w:r>
            <w:proofErr w:type="spellStart"/>
            <w:r w:rsidRPr="005A1E98">
              <w:rPr>
                <w:i/>
                <w:iCs/>
                <w:lang w:val="fr-FR"/>
              </w:rPr>
              <w:t>Nutr</w:t>
            </w:r>
            <w:proofErr w:type="spellEnd"/>
            <w:r w:rsidRPr="005A1E98">
              <w:rPr>
                <w:i/>
                <w:iCs/>
                <w:lang w:val="fr-FR"/>
              </w:rPr>
              <w:t xml:space="preserve"> </w:t>
            </w:r>
            <w:proofErr w:type="spellStart"/>
            <w:r w:rsidRPr="005A1E98">
              <w:rPr>
                <w:i/>
                <w:iCs/>
                <w:lang w:val="fr-FR"/>
              </w:rPr>
              <w:t>Health</w:t>
            </w:r>
            <w:proofErr w:type="spellEnd"/>
            <w:r w:rsidRPr="005A1E98">
              <w:rPr>
                <w:lang w:val="fr-FR"/>
              </w:rPr>
              <w:t>. 2022;28(1):45–57.</w:t>
            </w:r>
          </w:p>
          <w:p w14:paraId="5089A47A" w14:textId="77777777" w:rsidR="005A1E98" w:rsidRDefault="005A1E98" w:rsidP="007647FC">
            <w:pPr>
              <w:jc w:val="both"/>
            </w:pPr>
          </w:p>
          <w:p w14:paraId="4B77C12C" w14:textId="77777777" w:rsidR="005A1E98" w:rsidRDefault="005A1E98" w:rsidP="007647FC">
            <w:pPr>
              <w:jc w:val="both"/>
              <w:rPr>
                <w:b/>
                <w:bCs/>
              </w:rPr>
            </w:pPr>
            <w:r w:rsidRPr="005A1E98">
              <w:t xml:space="preserve">Section </w:t>
            </w:r>
            <w:r w:rsidRPr="005A1E98">
              <w:rPr>
                <w:b/>
                <w:bCs/>
              </w:rPr>
              <w:t>3.2.6 Low Dietary Diversity as a Risk Marker</w:t>
            </w:r>
          </w:p>
          <w:p w14:paraId="4C3AA18E" w14:textId="77777777" w:rsidR="005A1E98" w:rsidRDefault="005A1E98" w:rsidP="007647FC">
            <w:pPr>
              <w:jc w:val="both"/>
            </w:pPr>
            <w:r w:rsidRPr="005A1E98">
              <w:t xml:space="preserve">More recent studies reinforce the importance of dietary diversity in obesity prevention. Ochieng et al. (2023) report that inadequate dietary diversity is increasingly associated with both micronutrient deficiencies and overweight in African </w:t>
            </w:r>
            <w:r w:rsidRPr="005A1E98">
              <w:lastRenderedPageBreak/>
              <w:t>populations undergoing nutritional transition. These findings support the present study’s observation that low dietary diversity constitutes a significant obesity risk marker</w:t>
            </w:r>
          </w:p>
          <w:p w14:paraId="0054A5FF" w14:textId="77777777" w:rsidR="005A1E98" w:rsidRDefault="005A1E98" w:rsidP="005A1E98">
            <w:pPr>
              <w:numPr>
                <w:ilvl w:val="0"/>
                <w:numId w:val="16"/>
              </w:numPr>
              <w:jc w:val="both"/>
            </w:pPr>
            <w:r w:rsidRPr="005A1E98">
              <w:rPr>
                <w:lang w:val="it-IT"/>
              </w:rPr>
              <w:t xml:space="preserve">Ochieng J, Afolabi WA, Senbanjo IO. </w:t>
            </w:r>
            <w:r w:rsidRPr="005A1E98">
              <w:t xml:space="preserve">Dietary diversity and its association with nutritional status in Africa: A systematic review. </w:t>
            </w:r>
            <w:r w:rsidRPr="005A1E98">
              <w:rPr>
                <w:i/>
                <w:iCs/>
              </w:rPr>
              <w:t>Nutrients</w:t>
            </w:r>
            <w:r w:rsidRPr="005A1E98">
              <w:t>. 2023;15(4):936.</w:t>
            </w:r>
          </w:p>
          <w:p w14:paraId="4A70E035" w14:textId="77777777" w:rsidR="005A1E98" w:rsidRDefault="005A1E98" w:rsidP="007647FC">
            <w:pPr>
              <w:jc w:val="both"/>
            </w:pPr>
          </w:p>
          <w:p w14:paraId="6756306A" w14:textId="77777777" w:rsidR="005A1E98" w:rsidRDefault="005A1E98" w:rsidP="007647FC">
            <w:pPr>
              <w:jc w:val="both"/>
            </w:pPr>
            <w:r w:rsidRPr="005A1E98">
              <w:t>End of Conclusion section.</w:t>
            </w:r>
          </w:p>
          <w:p w14:paraId="708C2E98" w14:textId="77777777" w:rsidR="005A1E98" w:rsidRPr="007647FC" w:rsidRDefault="005A1E98" w:rsidP="007647FC">
            <w:pPr>
              <w:jc w:val="both"/>
            </w:pPr>
            <w:r w:rsidRPr="005A1E98">
              <w:t>These recommendations are consistent with recent WHO guidelines emphasizing integrated approaches to obesity prevention and non-communicable disease control in low-resource settings (WHO, 2023).</w:t>
            </w:r>
          </w:p>
          <w:p w14:paraId="4CE46020" w14:textId="77777777" w:rsidR="007647FC" w:rsidRDefault="007647FC" w:rsidP="007647FC"/>
          <w:p w14:paraId="70487C78" w14:textId="77777777" w:rsidR="005A1E98" w:rsidRDefault="005A1E98" w:rsidP="005A1E98">
            <w:pPr>
              <w:numPr>
                <w:ilvl w:val="0"/>
                <w:numId w:val="16"/>
              </w:numPr>
            </w:pPr>
            <w:r w:rsidRPr="005A1E98">
              <w:t xml:space="preserve">World Health Organization. </w:t>
            </w:r>
            <w:r w:rsidRPr="005A1E98">
              <w:rPr>
                <w:i/>
                <w:iCs/>
              </w:rPr>
              <w:t>Global report on hypertension: The race against a silent killer</w:t>
            </w:r>
            <w:r w:rsidRPr="005A1E98">
              <w:t>. Geneva: World Health Organization; 2023.</w:t>
            </w:r>
          </w:p>
          <w:p w14:paraId="27DC076C" w14:textId="77777777" w:rsidR="005A1E98" w:rsidRDefault="005A1E98" w:rsidP="005A1E98">
            <w:pPr>
              <w:numPr>
                <w:ilvl w:val="0"/>
                <w:numId w:val="16"/>
              </w:numPr>
            </w:pPr>
            <w:r w:rsidRPr="005A1E98">
              <w:t xml:space="preserve">World Health Organization. </w:t>
            </w:r>
            <w:r w:rsidRPr="005A1E98">
              <w:rPr>
                <w:i/>
                <w:iCs/>
              </w:rPr>
              <w:t>Obesity and overweight</w:t>
            </w:r>
            <w:r w:rsidRPr="005A1E98">
              <w:t>. Geneva: World Health Organization; 2023</w:t>
            </w:r>
          </w:p>
          <w:p w14:paraId="3F158F94" w14:textId="77777777" w:rsidR="007647FC" w:rsidRPr="007647FC" w:rsidRDefault="007647FC" w:rsidP="007647FC"/>
        </w:tc>
      </w:tr>
      <w:tr w:rsidR="002C4B47" w:rsidRPr="00900E9B" w14:paraId="163FE4D6" w14:textId="77777777">
        <w:trPr>
          <w:trHeight w:val="386"/>
        </w:trPr>
        <w:tc>
          <w:tcPr>
            <w:tcW w:w="1265" w:type="pct"/>
            <w:noWrap/>
          </w:tcPr>
          <w:p w14:paraId="4CC4055A" w14:textId="77777777" w:rsidR="002C4B47" w:rsidRPr="00900E9B" w:rsidRDefault="002C4B47">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70E2BCF" w14:textId="77777777" w:rsidR="002C4B47" w:rsidRPr="00900E9B" w:rsidRDefault="002C4B47">
            <w:pPr>
              <w:rPr>
                <w:sz w:val="20"/>
                <w:szCs w:val="20"/>
                <w:lang w:val="en-GB"/>
              </w:rPr>
            </w:pPr>
          </w:p>
        </w:tc>
        <w:tc>
          <w:tcPr>
            <w:tcW w:w="2212" w:type="pct"/>
          </w:tcPr>
          <w:p w14:paraId="15B35D13" w14:textId="77777777" w:rsidR="002C4B47" w:rsidRPr="00AB4558" w:rsidRDefault="001F2622">
            <w:pPr>
              <w:rPr>
                <w:b/>
                <w:sz w:val="20"/>
                <w:szCs w:val="20"/>
                <w:lang w:val="en-GB"/>
              </w:rPr>
            </w:pPr>
            <w:r w:rsidRPr="00AB4558">
              <w:rPr>
                <w:b/>
                <w:sz w:val="20"/>
                <w:szCs w:val="20"/>
                <w:lang w:val="en-GB"/>
              </w:rPr>
              <w:t xml:space="preserve"> YES</w:t>
            </w:r>
          </w:p>
        </w:tc>
        <w:tc>
          <w:tcPr>
            <w:tcW w:w="1523" w:type="pct"/>
          </w:tcPr>
          <w:p w14:paraId="1D065036" w14:textId="77777777" w:rsidR="002C4B47" w:rsidRPr="00900E9B" w:rsidRDefault="002C4B47">
            <w:pPr>
              <w:rPr>
                <w:sz w:val="20"/>
                <w:szCs w:val="20"/>
                <w:lang w:val="en-GB"/>
              </w:rPr>
            </w:pPr>
          </w:p>
        </w:tc>
      </w:tr>
      <w:tr w:rsidR="002C4B47" w:rsidRPr="00900E9B" w14:paraId="219D6410" w14:textId="77777777">
        <w:trPr>
          <w:trHeight w:val="1178"/>
        </w:trPr>
        <w:tc>
          <w:tcPr>
            <w:tcW w:w="1265" w:type="pct"/>
            <w:noWrap/>
          </w:tcPr>
          <w:p w14:paraId="2C3AA894" w14:textId="77777777" w:rsidR="002C4B47" w:rsidRPr="00900E9B" w:rsidRDefault="002C4B47">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621081" w14:textId="77777777" w:rsidR="002C4B47" w:rsidRPr="00900E9B" w:rsidRDefault="002C4B47">
            <w:pPr>
              <w:pStyle w:val="Heading2"/>
              <w:jc w:val="left"/>
              <w:rPr>
                <w:rFonts w:ascii="Times New Roman" w:hAnsi="Times New Roman"/>
                <w:b w:val="0"/>
                <w:lang w:val="en-GB"/>
              </w:rPr>
            </w:pPr>
          </w:p>
        </w:tc>
        <w:tc>
          <w:tcPr>
            <w:tcW w:w="2212" w:type="pct"/>
          </w:tcPr>
          <w:p w14:paraId="0A1FFD6F" w14:textId="77777777" w:rsidR="002C4B47" w:rsidRPr="000D0955" w:rsidRDefault="002C4B47">
            <w:pPr>
              <w:pStyle w:val="NormalWeb"/>
              <w:spacing w:before="0" w:beforeAutospacing="0" w:after="0" w:afterAutospacing="0"/>
              <w:rPr>
                <w:rFonts w:ascii="Times New Roman" w:hAnsi="Times New Roman" w:cs="Times New Roman"/>
                <w:b/>
                <w:sz w:val="20"/>
                <w:szCs w:val="20"/>
                <w:lang w:val="en-GB"/>
              </w:rPr>
            </w:pPr>
          </w:p>
        </w:tc>
        <w:tc>
          <w:tcPr>
            <w:tcW w:w="1523" w:type="pct"/>
          </w:tcPr>
          <w:p w14:paraId="084A3344" w14:textId="77777777" w:rsidR="002C4B47" w:rsidRPr="00900E9B" w:rsidRDefault="002C4B47">
            <w:pPr>
              <w:rPr>
                <w:sz w:val="20"/>
                <w:szCs w:val="20"/>
                <w:lang w:val="en-GB"/>
              </w:rPr>
            </w:pPr>
          </w:p>
        </w:tc>
      </w:tr>
    </w:tbl>
    <w:p w14:paraId="2E1481AC" w14:textId="77777777" w:rsidR="002C4B47" w:rsidRDefault="002C4B47" w:rsidP="002C4B4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76A8D" w:rsidRPr="00340561" w14:paraId="3F086533" w14:textId="77777777">
        <w:tc>
          <w:tcPr>
            <w:tcW w:w="5000" w:type="pct"/>
            <w:gridSpan w:val="3"/>
            <w:tcBorders>
              <w:top w:val="nil"/>
              <w:left w:val="nil"/>
              <w:right w:val="nil"/>
            </w:tcBorders>
            <w:noWrap/>
            <w:tcMar>
              <w:top w:w="0" w:type="dxa"/>
              <w:left w:w="108" w:type="dxa"/>
              <w:bottom w:w="0" w:type="dxa"/>
              <w:right w:w="108" w:type="dxa"/>
            </w:tcMar>
            <w:vAlign w:val="center"/>
          </w:tcPr>
          <w:p w14:paraId="63BF5E60" w14:textId="77777777" w:rsidR="00776A8D" w:rsidRPr="00340561" w:rsidRDefault="00776A8D">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F94803C" w14:textId="77777777" w:rsidR="00776A8D" w:rsidRPr="00340561" w:rsidRDefault="00776A8D">
            <w:pPr>
              <w:rPr>
                <w:rFonts w:ascii="Arial" w:eastAsia="Arial Unicode MS" w:hAnsi="Arial" w:cs="Arial"/>
                <w:b/>
                <w:sz w:val="20"/>
                <w:szCs w:val="20"/>
                <w:u w:val="single"/>
                <w:lang w:val="en-GB"/>
              </w:rPr>
            </w:pPr>
          </w:p>
        </w:tc>
      </w:tr>
      <w:tr w:rsidR="00776A8D" w:rsidRPr="00340561" w14:paraId="7C8818F8" w14:textId="77777777">
        <w:tc>
          <w:tcPr>
            <w:tcW w:w="1615" w:type="pct"/>
            <w:noWrap/>
            <w:tcMar>
              <w:top w:w="0" w:type="dxa"/>
              <w:left w:w="108" w:type="dxa"/>
              <w:bottom w:w="0" w:type="dxa"/>
              <w:right w:w="108" w:type="dxa"/>
            </w:tcMar>
            <w:vAlign w:val="center"/>
          </w:tcPr>
          <w:p w14:paraId="401F227B" w14:textId="77777777" w:rsidR="00776A8D" w:rsidRPr="00340561" w:rsidRDefault="00776A8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57A9111" w14:textId="77777777" w:rsidR="00776A8D" w:rsidRPr="00340561" w:rsidRDefault="00776A8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A1BFE7C" w14:textId="77777777" w:rsidR="00776A8D" w:rsidRPr="008608EB" w:rsidRDefault="00776A8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EFEB590" w14:textId="77777777" w:rsidR="00776A8D" w:rsidRPr="00340561" w:rsidRDefault="00776A8D">
            <w:pPr>
              <w:keepNext/>
              <w:outlineLvl w:val="1"/>
              <w:rPr>
                <w:rFonts w:ascii="Arial" w:eastAsia="MS Mincho" w:hAnsi="Arial" w:cs="Arial"/>
                <w:bCs/>
                <w:sz w:val="20"/>
                <w:szCs w:val="20"/>
                <w:lang w:val="en-GB"/>
              </w:rPr>
            </w:pPr>
          </w:p>
        </w:tc>
      </w:tr>
      <w:tr w:rsidR="00776A8D" w:rsidRPr="00340561" w14:paraId="79CAD9BB" w14:textId="77777777">
        <w:trPr>
          <w:trHeight w:val="890"/>
        </w:trPr>
        <w:tc>
          <w:tcPr>
            <w:tcW w:w="1615" w:type="pct"/>
            <w:noWrap/>
            <w:tcMar>
              <w:top w:w="0" w:type="dxa"/>
              <w:left w:w="108" w:type="dxa"/>
              <w:bottom w:w="0" w:type="dxa"/>
              <w:right w:w="108" w:type="dxa"/>
            </w:tcMar>
            <w:vAlign w:val="center"/>
          </w:tcPr>
          <w:p w14:paraId="0C32E320" w14:textId="77777777" w:rsidR="00776A8D" w:rsidRPr="00340561" w:rsidRDefault="00776A8D">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73FEE03" w14:textId="77777777" w:rsidR="00776A8D" w:rsidRPr="00340561" w:rsidRDefault="00776A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A9AA317" w14:textId="77777777" w:rsidR="00776A8D" w:rsidRPr="00340561" w:rsidRDefault="00776A8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696F4D18" w14:textId="77777777" w:rsidR="00776A8D" w:rsidRPr="00340561" w:rsidRDefault="00776A8D">
            <w:pPr>
              <w:rPr>
                <w:rFonts w:ascii="Arial" w:eastAsia="Arial Unicode MS" w:hAnsi="Arial" w:cs="Arial"/>
                <w:sz w:val="20"/>
                <w:szCs w:val="20"/>
                <w:lang w:val="en-GB"/>
              </w:rPr>
            </w:pPr>
          </w:p>
          <w:p w14:paraId="6DED8435" w14:textId="77777777" w:rsidR="00776A8D" w:rsidRPr="00340561" w:rsidRDefault="00776A8D">
            <w:pPr>
              <w:rPr>
                <w:rFonts w:ascii="Arial" w:eastAsia="Arial Unicode MS" w:hAnsi="Arial" w:cs="Arial"/>
                <w:sz w:val="20"/>
                <w:szCs w:val="20"/>
                <w:lang w:val="en-GB"/>
              </w:rPr>
            </w:pPr>
          </w:p>
        </w:tc>
        <w:tc>
          <w:tcPr>
            <w:tcW w:w="1691" w:type="pct"/>
            <w:vAlign w:val="center"/>
          </w:tcPr>
          <w:p w14:paraId="4BF5D413" w14:textId="77777777" w:rsidR="00776A8D" w:rsidRPr="00340561" w:rsidRDefault="00776A8D">
            <w:pPr>
              <w:rPr>
                <w:rFonts w:ascii="Arial" w:eastAsia="Arial Unicode MS" w:hAnsi="Arial" w:cs="Arial"/>
                <w:sz w:val="20"/>
                <w:szCs w:val="20"/>
                <w:lang w:val="en-GB"/>
              </w:rPr>
            </w:pPr>
          </w:p>
          <w:p w14:paraId="30D5A941" w14:textId="77777777" w:rsidR="00776A8D" w:rsidRPr="00340561" w:rsidRDefault="00776A8D">
            <w:pPr>
              <w:rPr>
                <w:rFonts w:ascii="Arial" w:eastAsia="Arial Unicode MS" w:hAnsi="Arial" w:cs="Arial"/>
                <w:sz w:val="20"/>
                <w:szCs w:val="20"/>
                <w:lang w:val="en-GB"/>
              </w:rPr>
            </w:pPr>
          </w:p>
          <w:p w14:paraId="0FCAFFFA" w14:textId="77777777" w:rsidR="00776A8D" w:rsidRPr="00340561" w:rsidRDefault="00776A8D">
            <w:pPr>
              <w:rPr>
                <w:rFonts w:ascii="Arial" w:eastAsia="Arial Unicode MS" w:hAnsi="Arial" w:cs="Arial"/>
                <w:sz w:val="20"/>
                <w:szCs w:val="20"/>
                <w:lang w:val="en-GB"/>
              </w:rPr>
            </w:pPr>
          </w:p>
        </w:tc>
      </w:tr>
      <w:bookmarkEnd w:id="3"/>
    </w:tbl>
    <w:p w14:paraId="760FD8CF" w14:textId="77777777" w:rsidR="00776A8D" w:rsidRDefault="00776A8D" w:rsidP="00776A8D"/>
    <w:p w14:paraId="58FD8365" w14:textId="77777777" w:rsidR="00776A8D" w:rsidRDefault="00776A8D" w:rsidP="00776A8D"/>
    <w:p w14:paraId="10A69FD2" w14:textId="77777777" w:rsidR="00776A8D" w:rsidRPr="00375011" w:rsidRDefault="00776A8D" w:rsidP="00776A8D">
      <w:pPr>
        <w:rPr>
          <w:bCs/>
          <w:u w:val="single"/>
          <w:lang w:val="en-GB"/>
        </w:rPr>
      </w:pPr>
    </w:p>
    <w:bookmarkEnd w:id="4"/>
    <w:p w14:paraId="634E04DE" w14:textId="77777777" w:rsidR="00776A8D" w:rsidRDefault="00776A8D" w:rsidP="00776A8D"/>
    <w:bookmarkEnd w:id="0"/>
    <w:bookmarkEnd w:id="1"/>
    <w:p w14:paraId="431DA0B9" w14:textId="77777777" w:rsidR="00776A8D" w:rsidRPr="00900E9B" w:rsidRDefault="00776A8D" w:rsidP="002C4B47">
      <w:pPr>
        <w:pStyle w:val="BodyText"/>
        <w:rPr>
          <w:rFonts w:ascii="Times New Roman" w:hAnsi="Times New Roman"/>
          <w:b/>
          <w:bCs/>
          <w:sz w:val="20"/>
          <w:szCs w:val="20"/>
          <w:u w:val="single"/>
          <w:lang w:val="en-GB"/>
        </w:rPr>
      </w:pPr>
    </w:p>
    <w:sectPr w:rsidR="00776A8D" w:rsidRPr="00900E9B"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6393D" w14:textId="77777777" w:rsidR="00605729" w:rsidRPr="0000007A" w:rsidRDefault="00605729" w:rsidP="0099583E">
      <w:r>
        <w:separator/>
      </w:r>
    </w:p>
  </w:endnote>
  <w:endnote w:type="continuationSeparator" w:id="0">
    <w:p w14:paraId="76747416" w14:textId="77777777" w:rsidR="00605729" w:rsidRPr="0000007A" w:rsidRDefault="0060572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90A0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35FFA" w14:textId="77777777" w:rsidR="00605729" w:rsidRPr="0000007A" w:rsidRDefault="00605729" w:rsidP="0099583E">
      <w:r>
        <w:separator/>
      </w:r>
    </w:p>
  </w:footnote>
  <w:footnote w:type="continuationSeparator" w:id="0">
    <w:p w14:paraId="1764272C" w14:textId="77777777" w:rsidR="00605729" w:rsidRPr="0000007A" w:rsidRDefault="0060572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BBE8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1B8713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193385"/>
    <w:multiLevelType w:val="hybridMultilevel"/>
    <w:tmpl w:val="79ECB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91658F"/>
    <w:multiLevelType w:val="hybridMultilevel"/>
    <w:tmpl w:val="EF7AD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340F3"/>
    <w:multiLevelType w:val="hybridMultilevel"/>
    <w:tmpl w:val="4BEABB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CBB1F8F"/>
    <w:multiLevelType w:val="hybridMultilevel"/>
    <w:tmpl w:val="D2DE4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8"/>
  </w:num>
  <w:num w:numId="4">
    <w:abstractNumId w:val="11"/>
  </w:num>
  <w:num w:numId="5">
    <w:abstractNumId w:val="7"/>
  </w:num>
  <w:num w:numId="6">
    <w:abstractNumId w:val="0"/>
  </w:num>
  <w:num w:numId="7">
    <w:abstractNumId w:val="4"/>
  </w:num>
  <w:num w:numId="8">
    <w:abstractNumId w:val="14"/>
  </w:num>
  <w:num w:numId="9">
    <w:abstractNumId w:val="13"/>
  </w:num>
  <w:num w:numId="10">
    <w:abstractNumId w:val="3"/>
  </w:num>
  <w:num w:numId="11">
    <w:abstractNumId w:val="2"/>
  </w:num>
  <w:num w:numId="12">
    <w:abstractNumId w:val="6"/>
  </w:num>
  <w:num w:numId="13">
    <w:abstractNumId w:val="12"/>
  </w:num>
  <w:num w:numId="14">
    <w:abstractNumId w:val="15"/>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0333"/>
    <w:rsid w:val="000A2134"/>
    <w:rsid w:val="000A2F7F"/>
    <w:rsid w:val="000A6F41"/>
    <w:rsid w:val="000B4323"/>
    <w:rsid w:val="000B4EE5"/>
    <w:rsid w:val="000B74A1"/>
    <w:rsid w:val="000B757E"/>
    <w:rsid w:val="000C0837"/>
    <w:rsid w:val="000C3B7E"/>
    <w:rsid w:val="00100577"/>
    <w:rsid w:val="00101322"/>
    <w:rsid w:val="0010712A"/>
    <w:rsid w:val="00136984"/>
    <w:rsid w:val="001410E7"/>
    <w:rsid w:val="00144521"/>
    <w:rsid w:val="00150304"/>
    <w:rsid w:val="0015296D"/>
    <w:rsid w:val="0016109F"/>
    <w:rsid w:val="001631B9"/>
    <w:rsid w:val="00163622"/>
    <w:rsid w:val="001645A2"/>
    <w:rsid w:val="00164F4E"/>
    <w:rsid w:val="00165685"/>
    <w:rsid w:val="0017480A"/>
    <w:rsid w:val="001766DF"/>
    <w:rsid w:val="00184644"/>
    <w:rsid w:val="0018753A"/>
    <w:rsid w:val="0019527A"/>
    <w:rsid w:val="00197E68"/>
    <w:rsid w:val="001A1605"/>
    <w:rsid w:val="001B0C63"/>
    <w:rsid w:val="001B4E05"/>
    <w:rsid w:val="001D192C"/>
    <w:rsid w:val="001D1FBB"/>
    <w:rsid w:val="001D3A1D"/>
    <w:rsid w:val="001E4B3D"/>
    <w:rsid w:val="001F24FF"/>
    <w:rsid w:val="001F2622"/>
    <w:rsid w:val="001F2913"/>
    <w:rsid w:val="001F707F"/>
    <w:rsid w:val="002011F3"/>
    <w:rsid w:val="00201B85"/>
    <w:rsid w:val="00202E80"/>
    <w:rsid w:val="00203F8D"/>
    <w:rsid w:val="002105F7"/>
    <w:rsid w:val="00220111"/>
    <w:rsid w:val="0022369C"/>
    <w:rsid w:val="002320EB"/>
    <w:rsid w:val="0023696A"/>
    <w:rsid w:val="002422CB"/>
    <w:rsid w:val="00245E23"/>
    <w:rsid w:val="0025366D"/>
    <w:rsid w:val="00254F80"/>
    <w:rsid w:val="00255212"/>
    <w:rsid w:val="00262634"/>
    <w:rsid w:val="002643B3"/>
    <w:rsid w:val="00275984"/>
    <w:rsid w:val="00276EA3"/>
    <w:rsid w:val="00280EC9"/>
    <w:rsid w:val="00291D08"/>
    <w:rsid w:val="00293482"/>
    <w:rsid w:val="002C4B47"/>
    <w:rsid w:val="002D7EA9"/>
    <w:rsid w:val="002E1211"/>
    <w:rsid w:val="002E2339"/>
    <w:rsid w:val="002E25D9"/>
    <w:rsid w:val="002E6D86"/>
    <w:rsid w:val="002F09D9"/>
    <w:rsid w:val="002F6935"/>
    <w:rsid w:val="00312559"/>
    <w:rsid w:val="00314954"/>
    <w:rsid w:val="003204B8"/>
    <w:rsid w:val="0033692F"/>
    <w:rsid w:val="00346223"/>
    <w:rsid w:val="003A04E7"/>
    <w:rsid w:val="003A4991"/>
    <w:rsid w:val="003A6E1A"/>
    <w:rsid w:val="003B2172"/>
    <w:rsid w:val="003C7AAA"/>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76CAE"/>
    <w:rsid w:val="004B4CAD"/>
    <w:rsid w:val="004B4FDC"/>
    <w:rsid w:val="004C3DF1"/>
    <w:rsid w:val="004D2E36"/>
    <w:rsid w:val="004E520E"/>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1E98"/>
    <w:rsid w:val="005A5BE0"/>
    <w:rsid w:val="005B12E0"/>
    <w:rsid w:val="005C25A0"/>
    <w:rsid w:val="005D230D"/>
    <w:rsid w:val="00602F7D"/>
    <w:rsid w:val="00605729"/>
    <w:rsid w:val="00605952"/>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A5E0B"/>
    <w:rsid w:val="006C3797"/>
    <w:rsid w:val="006E7D6E"/>
    <w:rsid w:val="006F6F2F"/>
    <w:rsid w:val="00701186"/>
    <w:rsid w:val="00707BE1"/>
    <w:rsid w:val="00721C49"/>
    <w:rsid w:val="007238EB"/>
    <w:rsid w:val="0072789A"/>
    <w:rsid w:val="007317C3"/>
    <w:rsid w:val="00734756"/>
    <w:rsid w:val="0073538B"/>
    <w:rsid w:val="00741BD0"/>
    <w:rsid w:val="007426E6"/>
    <w:rsid w:val="00746370"/>
    <w:rsid w:val="007647FC"/>
    <w:rsid w:val="00766889"/>
    <w:rsid w:val="00766A0D"/>
    <w:rsid w:val="00767F8C"/>
    <w:rsid w:val="00776A8D"/>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52C4D"/>
    <w:rsid w:val="00860EFE"/>
    <w:rsid w:val="008616B6"/>
    <w:rsid w:val="0087201B"/>
    <w:rsid w:val="00877F10"/>
    <w:rsid w:val="00882091"/>
    <w:rsid w:val="008913D5"/>
    <w:rsid w:val="00893E75"/>
    <w:rsid w:val="008A63DD"/>
    <w:rsid w:val="008C2778"/>
    <w:rsid w:val="008C2F62"/>
    <w:rsid w:val="008C6E4E"/>
    <w:rsid w:val="008D020E"/>
    <w:rsid w:val="008D1117"/>
    <w:rsid w:val="008D15A4"/>
    <w:rsid w:val="008F36E4"/>
    <w:rsid w:val="008F7DFE"/>
    <w:rsid w:val="00933C8B"/>
    <w:rsid w:val="009553EC"/>
    <w:rsid w:val="009659E8"/>
    <w:rsid w:val="0097330E"/>
    <w:rsid w:val="00974330"/>
    <w:rsid w:val="0097498C"/>
    <w:rsid w:val="00982766"/>
    <w:rsid w:val="009852C4"/>
    <w:rsid w:val="00985F26"/>
    <w:rsid w:val="0099583E"/>
    <w:rsid w:val="009A0242"/>
    <w:rsid w:val="009A59ED"/>
    <w:rsid w:val="009B5AA8"/>
    <w:rsid w:val="009C45A0"/>
    <w:rsid w:val="009C5642"/>
    <w:rsid w:val="009D12C4"/>
    <w:rsid w:val="009E13C3"/>
    <w:rsid w:val="009E6A30"/>
    <w:rsid w:val="009E79E5"/>
    <w:rsid w:val="009F07D4"/>
    <w:rsid w:val="009F29EB"/>
    <w:rsid w:val="00A001A0"/>
    <w:rsid w:val="00A04350"/>
    <w:rsid w:val="00A12C83"/>
    <w:rsid w:val="00A31AAC"/>
    <w:rsid w:val="00A32905"/>
    <w:rsid w:val="00A36C95"/>
    <w:rsid w:val="00A37DE3"/>
    <w:rsid w:val="00A519D1"/>
    <w:rsid w:val="00A6343B"/>
    <w:rsid w:val="00A65C50"/>
    <w:rsid w:val="00A66DD2"/>
    <w:rsid w:val="00AA213B"/>
    <w:rsid w:val="00AA41B3"/>
    <w:rsid w:val="00AA6670"/>
    <w:rsid w:val="00AB1ED6"/>
    <w:rsid w:val="00AB397D"/>
    <w:rsid w:val="00AB4558"/>
    <w:rsid w:val="00AB638A"/>
    <w:rsid w:val="00AB6E43"/>
    <w:rsid w:val="00AC1349"/>
    <w:rsid w:val="00AD6C51"/>
    <w:rsid w:val="00AF3016"/>
    <w:rsid w:val="00B03A45"/>
    <w:rsid w:val="00B2236C"/>
    <w:rsid w:val="00B22FE6"/>
    <w:rsid w:val="00B3033D"/>
    <w:rsid w:val="00B30733"/>
    <w:rsid w:val="00B356AF"/>
    <w:rsid w:val="00B37752"/>
    <w:rsid w:val="00B5605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32"/>
    <w:rsid w:val="00C22886"/>
    <w:rsid w:val="00C25C8F"/>
    <w:rsid w:val="00C263C6"/>
    <w:rsid w:val="00C635B6"/>
    <w:rsid w:val="00C70DFC"/>
    <w:rsid w:val="00C82466"/>
    <w:rsid w:val="00C84097"/>
    <w:rsid w:val="00CA3280"/>
    <w:rsid w:val="00CA6D4D"/>
    <w:rsid w:val="00CB4256"/>
    <w:rsid w:val="00CB429B"/>
    <w:rsid w:val="00CC2753"/>
    <w:rsid w:val="00CD093E"/>
    <w:rsid w:val="00CD1556"/>
    <w:rsid w:val="00CD1FD7"/>
    <w:rsid w:val="00CE199A"/>
    <w:rsid w:val="00CE5AC7"/>
    <w:rsid w:val="00CF0BBB"/>
    <w:rsid w:val="00CF5B71"/>
    <w:rsid w:val="00D1283A"/>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51EA"/>
    <w:rsid w:val="00E4578A"/>
    <w:rsid w:val="00E53E52"/>
    <w:rsid w:val="00E57F4B"/>
    <w:rsid w:val="00E63889"/>
    <w:rsid w:val="00E65EB7"/>
    <w:rsid w:val="00E71C8D"/>
    <w:rsid w:val="00E72360"/>
    <w:rsid w:val="00E935A7"/>
    <w:rsid w:val="00E972A7"/>
    <w:rsid w:val="00EA2839"/>
    <w:rsid w:val="00EB3E91"/>
    <w:rsid w:val="00EB73C6"/>
    <w:rsid w:val="00EC375D"/>
    <w:rsid w:val="00EC6894"/>
    <w:rsid w:val="00ED6B12"/>
    <w:rsid w:val="00EE0D3E"/>
    <w:rsid w:val="00EF326D"/>
    <w:rsid w:val="00EF53FE"/>
    <w:rsid w:val="00F245A7"/>
    <w:rsid w:val="00F2643C"/>
    <w:rsid w:val="00F3018E"/>
    <w:rsid w:val="00F3295A"/>
    <w:rsid w:val="00F34D8E"/>
    <w:rsid w:val="00F3669D"/>
    <w:rsid w:val="00F405F8"/>
    <w:rsid w:val="00F41004"/>
    <w:rsid w:val="00F41154"/>
    <w:rsid w:val="00F4700F"/>
    <w:rsid w:val="00F51F7F"/>
    <w:rsid w:val="00F573EA"/>
    <w:rsid w:val="00F57E9D"/>
    <w:rsid w:val="00FA6528"/>
    <w:rsid w:val="00FC2E17"/>
    <w:rsid w:val="00FC6387"/>
    <w:rsid w:val="00FC6802"/>
    <w:rsid w:val="00FD70A7"/>
    <w:rsid w:val="00FF01D8"/>
    <w:rsid w:val="00FF09A0"/>
    <w:rsid w:val="00FF34BA"/>
    <w:rsid w:val="00FF3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3979F"/>
  <w15:chartTrackingRefBased/>
  <w15:docId w15:val="{29F707D1-6062-468F-BDA9-6D035706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507408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B5548-F7FD-4F97-92D2-A62532F2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1242</Words>
  <Characters>7086</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8312</CharactersWithSpaces>
  <SharedDoc>false</SharedDoc>
  <HLinks>
    <vt:vector size="6" baseType="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2026-03-01T20:50:00Z</dcterms:created>
  <dcterms:modified xsi:type="dcterms:W3CDTF">2026-03-02T06:10:00Z</dcterms:modified>
</cp:coreProperties>
</file>