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5E86" w:rsidRPr="007B023B" w:rsidRDefault="00BF5E86">
      <w:pPr>
        <w:rPr>
          <w:rFonts w:ascii="Arial" w:hAnsi="Arial" w:cs="Arial"/>
          <w:sz w:val="20"/>
          <w:szCs w:val="20"/>
        </w:rPr>
      </w:pPr>
    </w:p>
    <w:p w:rsidR="00BF5E86" w:rsidRPr="007B023B" w:rsidRDefault="00BF5E86">
      <w:pPr>
        <w:spacing w:before="167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3"/>
      </w:tblGrid>
      <w:tr w:rsidR="00BF5E86" w:rsidRPr="007B023B">
        <w:trPr>
          <w:trHeight w:val="290"/>
        </w:trPr>
        <w:tc>
          <w:tcPr>
            <w:tcW w:w="5166" w:type="dxa"/>
          </w:tcPr>
          <w:p w:rsidR="00BF5E86" w:rsidRPr="007B023B" w:rsidRDefault="00F974F4">
            <w:pPr>
              <w:pStyle w:val="TableParagraph"/>
              <w:spacing w:before="2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B023B">
              <w:rPr>
                <w:rFonts w:ascii="Arial" w:hAnsi="Arial" w:cs="Arial"/>
                <w:sz w:val="20"/>
                <w:szCs w:val="20"/>
              </w:rPr>
              <w:t>Journal</w:t>
            </w:r>
            <w:r w:rsidRPr="007B023B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3" w:type="dxa"/>
          </w:tcPr>
          <w:p w:rsidR="00BF5E86" w:rsidRPr="007B023B" w:rsidRDefault="00B10F7E">
            <w:pPr>
              <w:pStyle w:val="TableParagraph"/>
              <w:spacing w:before="32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F974F4" w:rsidRPr="007B023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F974F4" w:rsidRPr="007B023B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F974F4" w:rsidRPr="007B023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F974F4" w:rsidRPr="007B023B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F974F4" w:rsidRPr="007B023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F974F4" w:rsidRPr="007B023B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F974F4" w:rsidRPr="007B023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Advanced</w:t>
              </w:r>
              <w:r w:rsidR="00F974F4" w:rsidRPr="007B023B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F974F4" w:rsidRPr="007B023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="00F974F4" w:rsidRPr="007B023B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F974F4" w:rsidRPr="007B023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F974F4" w:rsidRPr="007B023B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F974F4" w:rsidRPr="007B023B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Reports</w:t>
              </w:r>
            </w:hyperlink>
          </w:p>
        </w:tc>
      </w:tr>
      <w:tr w:rsidR="00BF5E86" w:rsidRPr="007B023B">
        <w:trPr>
          <w:trHeight w:val="290"/>
        </w:trPr>
        <w:tc>
          <w:tcPr>
            <w:tcW w:w="5166" w:type="dxa"/>
          </w:tcPr>
          <w:p w:rsidR="00BF5E86" w:rsidRPr="007B023B" w:rsidRDefault="00F974F4">
            <w:pPr>
              <w:pStyle w:val="TableParagraph"/>
              <w:spacing w:before="3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B023B">
              <w:rPr>
                <w:rFonts w:ascii="Arial" w:hAnsi="Arial" w:cs="Arial"/>
                <w:sz w:val="20"/>
                <w:szCs w:val="20"/>
              </w:rPr>
              <w:t>Manuscript</w:t>
            </w:r>
            <w:r w:rsidRPr="007B023B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3" w:type="dxa"/>
          </w:tcPr>
          <w:p w:rsidR="00BF5E86" w:rsidRPr="007B023B" w:rsidRDefault="00F974F4">
            <w:pPr>
              <w:pStyle w:val="TableParagraph"/>
              <w:spacing w:before="33"/>
              <w:rPr>
                <w:rFonts w:ascii="Arial" w:hAnsi="Arial" w:cs="Arial"/>
                <w:b/>
                <w:sz w:val="20"/>
                <w:szCs w:val="20"/>
              </w:rPr>
            </w:pPr>
            <w:r w:rsidRPr="007B023B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Ms_AJARR_153549</w:t>
            </w:r>
          </w:p>
        </w:tc>
      </w:tr>
      <w:tr w:rsidR="00BF5E86" w:rsidRPr="007B023B">
        <w:trPr>
          <w:trHeight w:val="650"/>
        </w:trPr>
        <w:tc>
          <w:tcPr>
            <w:tcW w:w="5166" w:type="dxa"/>
          </w:tcPr>
          <w:p w:rsidR="00BF5E86" w:rsidRPr="007B023B" w:rsidRDefault="00F974F4">
            <w:pPr>
              <w:pStyle w:val="TableParagraph"/>
              <w:spacing w:before="2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B023B">
              <w:rPr>
                <w:rFonts w:ascii="Arial" w:hAnsi="Arial" w:cs="Arial"/>
                <w:sz w:val="20"/>
                <w:szCs w:val="20"/>
              </w:rPr>
              <w:t>Title</w:t>
            </w:r>
            <w:r w:rsidRPr="007B023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of</w:t>
            </w:r>
            <w:r w:rsidRPr="007B023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the</w:t>
            </w:r>
            <w:r w:rsidRPr="007B023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3" w:type="dxa"/>
          </w:tcPr>
          <w:p w:rsidR="00BF5E86" w:rsidRPr="007B023B" w:rsidRDefault="00F974F4">
            <w:pPr>
              <w:pStyle w:val="TableParagraph"/>
              <w:spacing w:before="212"/>
              <w:rPr>
                <w:rFonts w:ascii="Arial" w:hAnsi="Arial" w:cs="Arial"/>
                <w:b/>
                <w:sz w:val="20"/>
                <w:szCs w:val="20"/>
              </w:rPr>
            </w:pPr>
            <w:r w:rsidRPr="007B023B">
              <w:rPr>
                <w:rFonts w:ascii="Arial" w:hAnsi="Arial" w:cs="Arial"/>
                <w:b/>
                <w:sz w:val="20"/>
                <w:szCs w:val="20"/>
              </w:rPr>
              <w:t>BIOCHEMISTRY</w:t>
            </w:r>
            <w:r w:rsidRPr="007B023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B023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b/>
                <w:sz w:val="20"/>
                <w:szCs w:val="20"/>
              </w:rPr>
              <w:t>PHYSI</w:t>
            </w:r>
            <w:bookmarkStart w:id="0" w:name="_GoBack"/>
            <w:bookmarkEnd w:id="0"/>
            <w:r w:rsidRPr="007B023B">
              <w:rPr>
                <w:rFonts w:ascii="Arial" w:hAnsi="Arial" w:cs="Arial"/>
                <w:b/>
                <w:sz w:val="20"/>
                <w:szCs w:val="20"/>
              </w:rPr>
              <w:t>OLOGY</w:t>
            </w:r>
            <w:r w:rsidRPr="007B023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B023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b/>
                <w:sz w:val="20"/>
                <w:szCs w:val="20"/>
              </w:rPr>
              <w:t>LIPID</w:t>
            </w:r>
            <w:r w:rsidRPr="007B023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b/>
                <w:sz w:val="20"/>
                <w:szCs w:val="20"/>
              </w:rPr>
              <w:t>METABOLISM</w:t>
            </w:r>
            <w:r w:rsidRPr="007B023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B023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b/>
                <w:sz w:val="20"/>
                <w:szCs w:val="20"/>
              </w:rPr>
              <w:t>PREGNANCY:</w:t>
            </w:r>
            <w:r w:rsidRPr="007B023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7B023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b/>
                <w:sz w:val="20"/>
                <w:szCs w:val="20"/>
              </w:rPr>
              <w:t>CLINICAL</w:t>
            </w:r>
            <w:r w:rsidRPr="007B023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</w:t>
            </w:r>
          </w:p>
        </w:tc>
      </w:tr>
      <w:tr w:rsidR="00BF5E86" w:rsidRPr="007B023B">
        <w:trPr>
          <w:trHeight w:val="330"/>
        </w:trPr>
        <w:tc>
          <w:tcPr>
            <w:tcW w:w="5166" w:type="dxa"/>
          </w:tcPr>
          <w:p w:rsidR="00BF5E86" w:rsidRPr="007B023B" w:rsidRDefault="00F974F4">
            <w:pPr>
              <w:pStyle w:val="TableParagraph"/>
              <w:spacing w:before="2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B023B">
              <w:rPr>
                <w:rFonts w:ascii="Arial" w:hAnsi="Arial" w:cs="Arial"/>
                <w:sz w:val="20"/>
                <w:szCs w:val="20"/>
              </w:rPr>
              <w:t>Type</w:t>
            </w:r>
            <w:r w:rsidRPr="007B023B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of</w:t>
            </w:r>
            <w:r w:rsidRPr="007B023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the</w:t>
            </w:r>
            <w:r w:rsidRPr="007B023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3" w:type="dxa"/>
          </w:tcPr>
          <w:p w:rsidR="00BF5E86" w:rsidRPr="007B023B" w:rsidRDefault="00F974F4">
            <w:pPr>
              <w:pStyle w:val="TableParagraph"/>
              <w:spacing w:before="52"/>
              <w:rPr>
                <w:rFonts w:ascii="Arial" w:hAnsi="Arial" w:cs="Arial"/>
                <w:b/>
                <w:sz w:val="20"/>
                <w:szCs w:val="20"/>
              </w:rPr>
            </w:pPr>
            <w:r w:rsidRPr="007B023B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7B023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:rsidR="00BF5E86" w:rsidRPr="007B023B" w:rsidRDefault="00BF5E86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6"/>
        <w:gridCol w:w="9357"/>
        <w:gridCol w:w="6441"/>
      </w:tblGrid>
      <w:tr w:rsidR="00BF5E86" w:rsidRPr="007B023B">
        <w:trPr>
          <w:trHeight w:val="472"/>
        </w:trPr>
        <w:tc>
          <w:tcPr>
            <w:tcW w:w="21154" w:type="dxa"/>
            <w:gridSpan w:val="3"/>
            <w:tcBorders>
              <w:top w:val="nil"/>
              <w:left w:val="nil"/>
              <w:right w:val="nil"/>
            </w:tcBorders>
          </w:tcPr>
          <w:p w:rsidR="00BF5E86" w:rsidRPr="007B023B" w:rsidRDefault="00BF5E86">
            <w:pPr>
              <w:pStyle w:val="TableParagraph"/>
              <w:spacing w:line="25" w:lineRule="exact"/>
              <w:ind w:left="115"/>
              <w:rPr>
                <w:rFonts w:ascii="Arial" w:hAnsi="Arial" w:cs="Arial"/>
                <w:sz w:val="20"/>
                <w:szCs w:val="20"/>
              </w:rPr>
            </w:pPr>
          </w:p>
          <w:p w:rsidR="00BF5E86" w:rsidRPr="007B023B" w:rsidRDefault="00F974F4">
            <w:pPr>
              <w:pStyle w:val="TableParagraph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 w:rsidRPr="007B023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7B023B">
              <w:rPr>
                <w:rFonts w:ascii="Arial" w:hAnsi="Arial" w:cs="Arial"/>
                <w:b/>
                <w:color w:val="000000"/>
                <w:spacing w:val="48"/>
                <w:sz w:val="20"/>
                <w:szCs w:val="20"/>
                <w:highlight w:val="yellow"/>
              </w:rPr>
              <w:t xml:space="preserve"> </w:t>
            </w:r>
            <w:r w:rsidRPr="007B023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7B023B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 xml:space="preserve"> Comments</w:t>
            </w:r>
          </w:p>
        </w:tc>
      </w:tr>
      <w:tr w:rsidR="00BF5E86" w:rsidRPr="007B023B">
        <w:trPr>
          <w:trHeight w:val="970"/>
        </w:trPr>
        <w:tc>
          <w:tcPr>
            <w:tcW w:w="5356" w:type="dxa"/>
          </w:tcPr>
          <w:p w:rsidR="00BF5E86" w:rsidRPr="007B023B" w:rsidRDefault="00BF5E8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BF5E86" w:rsidRPr="007B023B" w:rsidRDefault="00F974F4">
            <w:pPr>
              <w:pStyle w:val="TableParagraph"/>
              <w:spacing w:line="223" w:lineRule="exact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7B023B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7B023B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BF5E86" w:rsidRPr="007B023B" w:rsidRDefault="00BF5E86">
            <w:pPr>
              <w:pStyle w:val="TableParagraph"/>
              <w:ind w:left="105" w:right="138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441" w:type="dxa"/>
          </w:tcPr>
          <w:p w:rsidR="00BF5E86" w:rsidRPr="007B023B" w:rsidRDefault="00F974F4">
            <w:pPr>
              <w:pStyle w:val="TableParagraph"/>
              <w:spacing w:line="256" w:lineRule="auto"/>
              <w:ind w:right="724"/>
              <w:rPr>
                <w:rFonts w:ascii="Arial" w:hAnsi="Arial" w:cs="Arial"/>
                <w:sz w:val="20"/>
                <w:szCs w:val="20"/>
              </w:rPr>
            </w:pPr>
            <w:r w:rsidRPr="007B023B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7B023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7B023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(It</w:t>
            </w:r>
            <w:r w:rsidRPr="007B023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is</w:t>
            </w:r>
            <w:r w:rsidRPr="007B023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mandatory</w:t>
            </w:r>
            <w:r w:rsidRPr="007B023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that</w:t>
            </w:r>
            <w:r w:rsidRPr="007B023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authors</w:t>
            </w:r>
            <w:r w:rsidRPr="007B023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should</w:t>
            </w:r>
            <w:r w:rsidRPr="007B023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write</w:t>
            </w:r>
            <w:r w:rsidRPr="007B023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BF5E86" w:rsidRPr="007B023B">
        <w:trPr>
          <w:trHeight w:val="1610"/>
        </w:trPr>
        <w:tc>
          <w:tcPr>
            <w:tcW w:w="5356" w:type="dxa"/>
          </w:tcPr>
          <w:p w:rsidR="00BF5E86" w:rsidRPr="007B023B" w:rsidRDefault="00F974F4">
            <w:pPr>
              <w:pStyle w:val="TableParagraph"/>
              <w:ind w:left="470" w:right="205"/>
              <w:rPr>
                <w:rFonts w:ascii="Arial" w:hAnsi="Arial" w:cs="Arial"/>
                <w:b/>
                <w:sz w:val="20"/>
                <w:szCs w:val="20"/>
              </w:rPr>
            </w:pPr>
            <w:r w:rsidRPr="007B023B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B023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7B023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7B023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7B023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7B023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7B023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B023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7B023B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7" w:type="dxa"/>
          </w:tcPr>
          <w:p w:rsidR="00BF5E86" w:rsidRPr="007B023B" w:rsidRDefault="00F974F4">
            <w:pPr>
              <w:pStyle w:val="TableParagraph"/>
              <w:ind w:left="105" w:right="138"/>
              <w:rPr>
                <w:rFonts w:ascii="Arial" w:hAnsi="Arial" w:cs="Arial"/>
                <w:sz w:val="20"/>
                <w:szCs w:val="20"/>
              </w:rPr>
            </w:pPr>
            <w:r w:rsidRPr="007B023B">
              <w:rPr>
                <w:rFonts w:ascii="Arial" w:hAnsi="Arial" w:cs="Arial"/>
                <w:sz w:val="20"/>
                <w:szCs w:val="20"/>
              </w:rPr>
              <w:t>The manuscript provides a comprehensive examination of the biochemical and physiological alterations in lipid metabolism during pregnancy, a subject of significant relevance to maternal and fetal health outcomes. As the prevalence of conditions such</w:t>
            </w:r>
            <w:r w:rsidRPr="007B023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as gestational diabetes mellitus and hypertensive disorders continues to increase, a thorough understanding of these metabolic adaptations is essential for clinicians, researchers, and postgraduate students in obstetrics, endocrinology, and metabolic medicine. The topic is well-suited to a review article; however,</w:t>
            </w:r>
            <w:r w:rsidRPr="007B023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enhancements</w:t>
            </w:r>
            <w:r w:rsidRPr="007B023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in</w:t>
            </w:r>
            <w:r w:rsidRPr="007B023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analytical</w:t>
            </w:r>
            <w:r w:rsidRPr="007B023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depth</w:t>
            </w:r>
            <w:r w:rsidRPr="007B023B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and</w:t>
            </w:r>
            <w:r w:rsidRPr="007B023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incorporation</w:t>
            </w:r>
            <w:r w:rsidRPr="007B023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of</w:t>
            </w:r>
            <w:r w:rsidRPr="007B023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more</w:t>
            </w:r>
            <w:r w:rsidRPr="007B023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recent</w:t>
            </w:r>
            <w:r w:rsidRPr="007B023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findings</w:t>
            </w:r>
            <w:r w:rsidRPr="007B023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would</w:t>
            </w:r>
            <w:r w:rsidRPr="007B023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further</w:t>
            </w:r>
            <w:r w:rsidRPr="007B023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strengthen</w:t>
            </w:r>
            <w:r w:rsidRPr="007B023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its</w:t>
            </w:r>
          </w:p>
          <w:p w:rsidR="00BF5E86" w:rsidRPr="007B023B" w:rsidRDefault="00F974F4">
            <w:pPr>
              <w:pStyle w:val="TableParagraph"/>
              <w:spacing w:line="217" w:lineRule="exact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7B023B">
              <w:rPr>
                <w:rFonts w:ascii="Arial" w:hAnsi="Arial" w:cs="Arial"/>
                <w:spacing w:val="-2"/>
                <w:sz w:val="20"/>
                <w:szCs w:val="20"/>
              </w:rPr>
              <w:t>contribution.</w:t>
            </w:r>
          </w:p>
        </w:tc>
        <w:tc>
          <w:tcPr>
            <w:tcW w:w="6441" w:type="dxa"/>
          </w:tcPr>
          <w:p w:rsidR="00BF5E86" w:rsidRPr="007B023B" w:rsidRDefault="00BF5E8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5E86" w:rsidRPr="007B023B">
        <w:trPr>
          <w:trHeight w:val="1260"/>
        </w:trPr>
        <w:tc>
          <w:tcPr>
            <w:tcW w:w="5356" w:type="dxa"/>
          </w:tcPr>
          <w:p w:rsidR="00BF5E86" w:rsidRPr="007B023B" w:rsidRDefault="00F974F4">
            <w:pPr>
              <w:pStyle w:val="TableParagraph"/>
              <w:spacing w:line="223" w:lineRule="exact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7B023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B023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B023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7B023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B023B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B023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7B023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suitable?</w:t>
            </w:r>
          </w:p>
          <w:p w:rsidR="00BF5E86" w:rsidRPr="007B023B" w:rsidRDefault="00F974F4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7B023B">
              <w:rPr>
                <w:rFonts w:ascii="Arial" w:hAnsi="Arial" w:cs="Arial"/>
                <w:b/>
                <w:sz w:val="20"/>
                <w:szCs w:val="20"/>
              </w:rPr>
              <w:t>(If not</w:t>
            </w:r>
            <w:r w:rsidRPr="007B023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B023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7B023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7B023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7B023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7" w:type="dxa"/>
          </w:tcPr>
          <w:p w:rsidR="00BF5E86" w:rsidRPr="007B023B" w:rsidRDefault="00F974F4">
            <w:pPr>
              <w:pStyle w:val="TableParagraph"/>
              <w:ind w:left="465"/>
              <w:rPr>
                <w:rFonts w:ascii="Arial" w:hAnsi="Arial" w:cs="Arial"/>
                <w:sz w:val="20"/>
                <w:szCs w:val="20"/>
              </w:rPr>
            </w:pPr>
            <w:r w:rsidRPr="007B023B">
              <w:rPr>
                <w:rFonts w:ascii="Arial" w:hAnsi="Arial" w:cs="Arial"/>
                <w:sz w:val="20"/>
                <w:szCs w:val="20"/>
              </w:rPr>
              <w:t>The</w:t>
            </w:r>
            <w:r w:rsidRPr="007B023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title</w:t>
            </w:r>
            <w:r w:rsidRPr="007B023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is</w:t>
            </w:r>
            <w:r w:rsidRPr="007B023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clear</w:t>
            </w:r>
            <w:r w:rsidRPr="007B023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and</w:t>
            </w:r>
            <w:r w:rsidRPr="007B023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appropriately</w:t>
            </w:r>
            <w:r w:rsidRPr="007B023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aligned</w:t>
            </w:r>
            <w:r w:rsidRPr="007B023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with</w:t>
            </w:r>
            <w:r w:rsidRPr="007B023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the</w:t>
            </w:r>
            <w:r w:rsidRPr="007B023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manuscript's</w:t>
            </w:r>
            <w:r w:rsidRPr="007B023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content,</w:t>
            </w:r>
            <w:r w:rsidRPr="007B023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effectively</w:t>
            </w:r>
            <w:r w:rsidRPr="007B023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conveying</w:t>
            </w:r>
            <w:r w:rsidRPr="007B023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its</w:t>
            </w:r>
            <w:r w:rsidRPr="007B023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primary focus. While a minor adjustment could be done.</w:t>
            </w:r>
          </w:p>
        </w:tc>
        <w:tc>
          <w:tcPr>
            <w:tcW w:w="6441" w:type="dxa"/>
          </w:tcPr>
          <w:p w:rsidR="00BF5E86" w:rsidRPr="007B023B" w:rsidRDefault="009D41B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B023B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BF5E86" w:rsidRPr="007B023B">
        <w:trPr>
          <w:trHeight w:val="1610"/>
        </w:trPr>
        <w:tc>
          <w:tcPr>
            <w:tcW w:w="5356" w:type="dxa"/>
          </w:tcPr>
          <w:p w:rsidR="00BF5E86" w:rsidRPr="007B023B" w:rsidRDefault="00F974F4">
            <w:pPr>
              <w:pStyle w:val="TableParagraph"/>
              <w:ind w:left="470" w:right="205"/>
              <w:rPr>
                <w:rFonts w:ascii="Arial" w:hAnsi="Arial" w:cs="Arial"/>
                <w:b/>
                <w:sz w:val="20"/>
                <w:szCs w:val="20"/>
              </w:rPr>
            </w:pPr>
            <w:r w:rsidRPr="007B023B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7B023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B023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7B023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7B023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7B023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B023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7B023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7B023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B023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7" w:type="dxa"/>
          </w:tcPr>
          <w:p w:rsidR="00BF5E86" w:rsidRPr="007B023B" w:rsidRDefault="00F974F4">
            <w:pPr>
              <w:pStyle w:val="TableParagraph"/>
              <w:spacing w:line="224" w:lineRule="exact"/>
              <w:ind w:left="515"/>
              <w:rPr>
                <w:rFonts w:ascii="Arial" w:hAnsi="Arial" w:cs="Arial"/>
                <w:sz w:val="20"/>
                <w:szCs w:val="20"/>
              </w:rPr>
            </w:pPr>
            <w:r w:rsidRPr="007B023B">
              <w:rPr>
                <w:rFonts w:ascii="Arial" w:hAnsi="Arial" w:cs="Arial"/>
                <w:sz w:val="20"/>
                <w:szCs w:val="20"/>
              </w:rPr>
              <w:t>Improvements</w:t>
            </w:r>
            <w:r w:rsidRPr="007B023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could</w:t>
            </w:r>
            <w:r w:rsidRPr="007B023B">
              <w:rPr>
                <w:rFonts w:ascii="Arial" w:hAnsi="Arial" w:cs="Arial"/>
                <w:spacing w:val="-2"/>
                <w:sz w:val="20"/>
                <w:szCs w:val="20"/>
              </w:rPr>
              <w:t xml:space="preserve"> include:</w:t>
            </w:r>
          </w:p>
          <w:p w:rsidR="00BF5E86" w:rsidRPr="007B023B" w:rsidRDefault="00F974F4">
            <w:pPr>
              <w:pStyle w:val="TableParagraph"/>
              <w:ind w:left="465" w:right="3053"/>
              <w:rPr>
                <w:rFonts w:ascii="Arial" w:hAnsi="Arial" w:cs="Arial"/>
                <w:sz w:val="20"/>
                <w:szCs w:val="20"/>
              </w:rPr>
            </w:pPr>
            <w:r w:rsidRPr="007B023B">
              <w:rPr>
                <w:rFonts w:ascii="Arial" w:hAnsi="Arial" w:cs="Arial"/>
                <w:sz w:val="20"/>
                <w:szCs w:val="20"/>
              </w:rPr>
              <w:t>Explicitly outlining the review's primary objectives at the start. Incorporating brief mentions of significant clinical relevance. Concluding</w:t>
            </w:r>
            <w:r w:rsidRPr="007B023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with</w:t>
            </w:r>
            <w:r w:rsidRPr="007B023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a</w:t>
            </w:r>
            <w:r w:rsidRPr="007B023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compact</w:t>
            </w:r>
            <w:r w:rsidRPr="007B023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statement</w:t>
            </w:r>
            <w:r w:rsidRPr="007B023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on</w:t>
            </w:r>
            <w:r w:rsidRPr="007B023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its</w:t>
            </w:r>
            <w:r w:rsidRPr="007B023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wider</w:t>
            </w:r>
            <w:r w:rsidRPr="007B023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implications.</w:t>
            </w:r>
          </w:p>
          <w:p w:rsidR="00BF5E86" w:rsidRPr="007B023B" w:rsidRDefault="00F974F4">
            <w:pPr>
              <w:pStyle w:val="TableParagraph"/>
              <w:ind w:left="465"/>
              <w:rPr>
                <w:rFonts w:ascii="Arial" w:hAnsi="Arial" w:cs="Arial"/>
                <w:sz w:val="20"/>
                <w:szCs w:val="20"/>
              </w:rPr>
            </w:pPr>
            <w:r w:rsidRPr="007B023B">
              <w:rPr>
                <w:rFonts w:ascii="Arial" w:hAnsi="Arial" w:cs="Arial"/>
                <w:sz w:val="20"/>
                <w:szCs w:val="20"/>
              </w:rPr>
              <w:t>In</w:t>
            </w:r>
            <w:r w:rsidRPr="007B023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its</w:t>
            </w:r>
            <w:r w:rsidRPr="007B023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present</w:t>
            </w:r>
            <w:r w:rsidRPr="007B023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form,</w:t>
            </w:r>
            <w:r w:rsidRPr="007B023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it</w:t>
            </w:r>
            <w:r w:rsidRPr="007B023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comes</w:t>
            </w:r>
            <w:r w:rsidRPr="007B023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across</w:t>
            </w:r>
            <w:r w:rsidRPr="007B023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as</w:t>
            </w:r>
            <w:r w:rsidRPr="007B023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somewhat</w:t>
            </w:r>
            <w:r w:rsidRPr="007B023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="00B277E5" w:rsidRPr="007B023B">
              <w:rPr>
                <w:rFonts w:ascii="Arial" w:hAnsi="Arial" w:cs="Arial"/>
                <w:sz w:val="20"/>
                <w:szCs w:val="20"/>
              </w:rPr>
              <w:t>unclear</w:t>
            </w:r>
            <w:r w:rsidRPr="007B023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and</w:t>
            </w:r>
            <w:r w:rsidRPr="007B023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would</w:t>
            </w:r>
            <w:r w:rsidRPr="007B023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gain</w:t>
            </w:r>
            <w:r w:rsidRPr="007B023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from</w:t>
            </w:r>
            <w:r w:rsidRPr="007B023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more</w:t>
            </w:r>
            <w:r w:rsidRPr="007B023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concise</w:t>
            </w:r>
            <w:r w:rsidRPr="007B023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phrasing</w:t>
            </w:r>
            <w:r w:rsidRPr="007B023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to</w:t>
            </w:r>
            <w:r w:rsidRPr="007B023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better engage readers.</w:t>
            </w:r>
          </w:p>
        </w:tc>
        <w:tc>
          <w:tcPr>
            <w:tcW w:w="6441" w:type="dxa"/>
          </w:tcPr>
          <w:p w:rsidR="00BF5E86" w:rsidRPr="007B023B" w:rsidRDefault="009D41B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B023B">
              <w:rPr>
                <w:rFonts w:ascii="Arial" w:hAnsi="Arial" w:cs="Arial"/>
                <w:sz w:val="20"/>
                <w:szCs w:val="20"/>
              </w:rPr>
              <w:t>All corrections are done</w:t>
            </w:r>
          </w:p>
        </w:tc>
      </w:tr>
      <w:tr w:rsidR="00BF5E86" w:rsidRPr="007B023B">
        <w:trPr>
          <w:trHeight w:val="2300"/>
        </w:trPr>
        <w:tc>
          <w:tcPr>
            <w:tcW w:w="5356" w:type="dxa"/>
          </w:tcPr>
          <w:p w:rsidR="00BF5E86" w:rsidRPr="007B023B" w:rsidRDefault="00F974F4">
            <w:pPr>
              <w:pStyle w:val="TableParagraph"/>
              <w:ind w:left="470" w:right="205"/>
              <w:rPr>
                <w:rFonts w:ascii="Arial" w:hAnsi="Arial" w:cs="Arial"/>
                <w:b/>
                <w:sz w:val="20"/>
                <w:szCs w:val="20"/>
              </w:rPr>
            </w:pPr>
            <w:r w:rsidRPr="007B023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B023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B023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7B023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7B023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7B023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B023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7B023B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7" w:type="dxa"/>
          </w:tcPr>
          <w:p w:rsidR="00BF5E86" w:rsidRPr="007B023B" w:rsidRDefault="00F974F4">
            <w:pPr>
              <w:pStyle w:val="TableParagraph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7B023B">
              <w:rPr>
                <w:rFonts w:ascii="Arial" w:hAnsi="Arial" w:cs="Arial"/>
                <w:sz w:val="20"/>
                <w:szCs w:val="20"/>
              </w:rPr>
              <w:t>The</w:t>
            </w:r>
            <w:r w:rsidRPr="007B023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manuscript</w:t>
            </w:r>
            <w:r w:rsidRPr="007B023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presents</w:t>
            </w:r>
            <w:r w:rsidRPr="007B023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7B023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accurate</w:t>
            </w:r>
            <w:r w:rsidRPr="007B023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information,</w:t>
            </w:r>
            <w:r w:rsidRPr="007B023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detailing</w:t>
            </w:r>
            <w:r w:rsidRPr="007B023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the</w:t>
            </w:r>
            <w:r w:rsidRPr="007B023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standard</w:t>
            </w:r>
            <w:r w:rsidRPr="007B023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lipid</w:t>
            </w:r>
            <w:r w:rsidRPr="007B023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modifications</w:t>
            </w:r>
            <w:r w:rsidRPr="007B023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during pregnancy,</w:t>
            </w:r>
            <w:r w:rsidRPr="007B023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the</w:t>
            </w:r>
            <w:r w:rsidRPr="007B023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impact</w:t>
            </w:r>
            <w:r w:rsidRPr="007B023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of</w:t>
            </w:r>
            <w:r w:rsidRPr="007B023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hormones,</w:t>
            </w:r>
            <w:r w:rsidRPr="007B023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and</w:t>
            </w:r>
            <w:r w:rsidRPr="007B023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trimester-specific</w:t>
            </w:r>
            <w:r w:rsidRPr="007B023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developments</w:t>
            </w:r>
            <w:r w:rsidRPr="007B023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in</w:t>
            </w:r>
            <w:r w:rsidRPr="007B023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a</w:t>
            </w:r>
            <w:r w:rsidRPr="007B023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structured</w:t>
            </w:r>
            <w:r w:rsidRPr="007B023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fashion.</w:t>
            </w:r>
            <w:r w:rsidRPr="007B023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However,</w:t>
            </w:r>
            <w:r w:rsidRPr="007B023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it primarily offers a descriptive overview lacking substantial critical examination. Recommendations include: Enhancing analytical depth beyond basic summarization.</w:t>
            </w:r>
          </w:p>
          <w:p w:rsidR="00BF5E86" w:rsidRPr="007B023B" w:rsidRDefault="00F974F4">
            <w:pPr>
              <w:pStyle w:val="TableParagraph"/>
              <w:ind w:left="105" w:right="381"/>
              <w:rPr>
                <w:rFonts w:ascii="Arial" w:hAnsi="Arial" w:cs="Arial"/>
                <w:sz w:val="20"/>
                <w:szCs w:val="20"/>
              </w:rPr>
            </w:pPr>
            <w:r w:rsidRPr="007B023B">
              <w:rPr>
                <w:rFonts w:ascii="Arial" w:hAnsi="Arial" w:cs="Arial"/>
                <w:sz w:val="20"/>
                <w:szCs w:val="20"/>
              </w:rPr>
              <w:t xml:space="preserve">Clearly differentiating between typical physiological adaptations and </w:t>
            </w:r>
            <w:proofErr w:type="spellStart"/>
            <w:r w:rsidRPr="007B023B">
              <w:rPr>
                <w:rFonts w:ascii="Arial" w:hAnsi="Arial" w:cs="Arial"/>
                <w:sz w:val="20"/>
                <w:szCs w:val="20"/>
              </w:rPr>
              <w:t>dyslipidemic</w:t>
            </w:r>
            <w:proofErr w:type="spellEnd"/>
            <w:r w:rsidRPr="007B023B">
              <w:rPr>
                <w:rFonts w:ascii="Arial" w:hAnsi="Arial" w:cs="Arial"/>
                <w:sz w:val="20"/>
                <w:szCs w:val="20"/>
              </w:rPr>
              <w:t xml:space="preserve"> abnormalities. Incorporating</w:t>
            </w:r>
            <w:r w:rsidRPr="007B023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recent</w:t>
            </w:r>
            <w:r w:rsidRPr="007B023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discoveries</w:t>
            </w:r>
            <w:r w:rsidRPr="007B023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related</w:t>
            </w:r>
            <w:r w:rsidRPr="007B023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to</w:t>
            </w:r>
            <w:r w:rsidRPr="007B023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molecular</w:t>
            </w:r>
            <w:r w:rsidRPr="007B023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regulators</w:t>
            </w:r>
            <w:r w:rsidRPr="007B023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and</w:t>
            </w:r>
            <w:r w:rsidRPr="007B023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placental</w:t>
            </w:r>
            <w:r w:rsidRPr="007B023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lipid</w:t>
            </w:r>
            <w:r w:rsidRPr="007B023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transport</w:t>
            </w:r>
            <w:r w:rsidRPr="007B023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processes. Discussing the persistent cardiometabolic implications for mothers following pregnancy.</w:t>
            </w:r>
          </w:p>
          <w:p w:rsidR="00BF5E86" w:rsidRPr="007B023B" w:rsidRDefault="00F974F4">
            <w:pPr>
              <w:pStyle w:val="TableParagraph"/>
              <w:ind w:left="105" w:right="138"/>
              <w:rPr>
                <w:rFonts w:ascii="Arial" w:hAnsi="Arial" w:cs="Arial"/>
                <w:sz w:val="20"/>
                <w:szCs w:val="20"/>
              </w:rPr>
            </w:pPr>
            <w:r w:rsidRPr="007B023B">
              <w:rPr>
                <w:rFonts w:ascii="Arial" w:hAnsi="Arial" w:cs="Arial"/>
                <w:sz w:val="20"/>
                <w:szCs w:val="20"/>
              </w:rPr>
              <w:t>The</w:t>
            </w:r>
            <w:r w:rsidRPr="007B023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fundamental</w:t>
            </w:r>
            <w:r w:rsidRPr="007B023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content</w:t>
            </w:r>
            <w:r w:rsidRPr="007B023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is</w:t>
            </w:r>
            <w:r w:rsidRPr="007B023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dependable,</w:t>
            </w:r>
            <w:r w:rsidRPr="007B023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yet</w:t>
            </w:r>
            <w:r w:rsidRPr="007B023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integrating</w:t>
            </w:r>
            <w:r w:rsidRPr="007B023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additional</w:t>
            </w:r>
            <w:r w:rsidRPr="007B023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interpretive</w:t>
            </w:r>
            <w:r w:rsidRPr="007B023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elements</w:t>
            </w:r>
            <w:r w:rsidRPr="007B023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would</w:t>
            </w:r>
            <w:r w:rsidRPr="007B023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significantly improve its quality.</w:t>
            </w:r>
          </w:p>
        </w:tc>
        <w:tc>
          <w:tcPr>
            <w:tcW w:w="6441" w:type="dxa"/>
          </w:tcPr>
          <w:p w:rsidR="00BF5E86" w:rsidRPr="007B023B" w:rsidRDefault="00CF77F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B023B">
              <w:rPr>
                <w:rFonts w:ascii="Arial" w:hAnsi="Arial" w:cs="Arial"/>
                <w:sz w:val="20"/>
                <w:szCs w:val="20"/>
              </w:rPr>
              <w:t>All corrections have been incorporated</w:t>
            </w:r>
          </w:p>
        </w:tc>
      </w:tr>
      <w:tr w:rsidR="00BF5E86" w:rsidRPr="007B023B">
        <w:trPr>
          <w:trHeight w:val="1380"/>
        </w:trPr>
        <w:tc>
          <w:tcPr>
            <w:tcW w:w="5356" w:type="dxa"/>
          </w:tcPr>
          <w:p w:rsidR="00BF5E86" w:rsidRPr="007B023B" w:rsidRDefault="00F974F4">
            <w:pPr>
              <w:pStyle w:val="TableParagraph"/>
              <w:ind w:left="470" w:right="205"/>
              <w:rPr>
                <w:rFonts w:ascii="Arial" w:hAnsi="Arial" w:cs="Arial"/>
                <w:b/>
                <w:sz w:val="20"/>
                <w:szCs w:val="20"/>
              </w:rPr>
            </w:pPr>
            <w:r w:rsidRPr="007B023B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B023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B023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7B023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7B023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B023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7B023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7B023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7B023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7" w:type="dxa"/>
          </w:tcPr>
          <w:p w:rsidR="00BF5E86" w:rsidRPr="007B023B" w:rsidRDefault="00F974F4">
            <w:pPr>
              <w:pStyle w:val="TableParagraph"/>
              <w:ind w:left="105" w:right="361"/>
              <w:rPr>
                <w:rFonts w:ascii="Arial" w:hAnsi="Arial" w:cs="Arial"/>
                <w:sz w:val="20"/>
                <w:szCs w:val="20"/>
              </w:rPr>
            </w:pPr>
            <w:r w:rsidRPr="007B023B">
              <w:rPr>
                <w:rFonts w:ascii="Arial" w:hAnsi="Arial" w:cs="Arial"/>
                <w:sz w:val="20"/>
                <w:szCs w:val="20"/>
              </w:rPr>
              <w:t>The references are appropriate and fulfill their purpose effectively. However, incorporating additional publications from the past 3-4 years would enhance the manuscript's currency. This area of research advances rapidly, particularly in relation to gestational complications, making the addition of</w:t>
            </w:r>
            <w:r w:rsidRPr="007B023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recent systematic reviews, meta-analyses,</w:t>
            </w:r>
            <w:r w:rsidRPr="007B023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and</w:t>
            </w:r>
            <w:r w:rsidRPr="007B023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clinical</w:t>
            </w:r>
            <w:r w:rsidRPr="007B023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perspectives</w:t>
            </w:r>
            <w:r w:rsidRPr="007B023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highly</w:t>
            </w:r>
            <w:r w:rsidRPr="007B023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beneficial.</w:t>
            </w:r>
            <w:r w:rsidRPr="007B023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The</w:t>
            </w:r>
            <w:r w:rsidRPr="007B023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current</w:t>
            </w:r>
            <w:r w:rsidRPr="007B023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list</w:t>
            </w:r>
            <w:r w:rsidRPr="007B023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is</w:t>
            </w:r>
            <w:r w:rsidRPr="007B023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adequate,</w:t>
            </w:r>
            <w:r w:rsidRPr="007B023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yet</w:t>
            </w:r>
            <w:r w:rsidRPr="007B023B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some</w:t>
            </w:r>
            <w:r w:rsidRPr="007B023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expansion</w:t>
            </w:r>
            <w:r w:rsidRPr="007B023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and updates would be advantageous.</w:t>
            </w:r>
          </w:p>
        </w:tc>
        <w:tc>
          <w:tcPr>
            <w:tcW w:w="6441" w:type="dxa"/>
          </w:tcPr>
          <w:p w:rsidR="00BF5E86" w:rsidRPr="007B023B" w:rsidRDefault="004145E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B023B">
              <w:rPr>
                <w:rFonts w:ascii="Arial" w:hAnsi="Arial" w:cs="Arial"/>
                <w:sz w:val="20"/>
                <w:szCs w:val="20"/>
              </w:rPr>
              <w:t xml:space="preserve">Ok </w:t>
            </w:r>
          </w:p>
        </w:tc>
      </w:tr>
      <w:tr w:rsidR="00BF5E86" w:rsidRPr="007B023B">
        <w:trPr>
          <w:trHeight w:val="689"/>
        </w:trPr>
        <w:tc>
          <w:tcPr>
            <w:tcW w:w="5356" w:type="dxa"/>
          </w:tcPr>
          <w:p w:rsidR="00BF5E86" w:rsidRPr="007B023B" w:rsidRDefault="00F974F4">
            <w:pPr>
              <w:pStyle w:val="TableParagraph"/>
              <w:ind w:left="470" w:right="205"/>
              <w:rPr>
                <w:rFonts w:ascii="Arial" w:hAnsi="Arial" w:cs="Arial"/>
                <w:b/>
                <w:sz w:val="20"/>
                <w:szCs w:val="20"/>
              </w:rPr>
            </w:pPr>
            <w:r w:rsidRPr="007B023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B023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B023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7B023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7B023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B023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B023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7B023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7" w:type="dxa"/>
          </w:tcPr>
          <w:p w:rsidR="00BF5E86" w:rsidRPr="007B023B" w:rsidRDefault="00F974F4">
            <w:pPr>
              <w:pStyle w:val="TableParagraph"/>
              <w:ind w:left="105" w:right="180"/>
              <w:rPr>
                <w:rFonts w:ascii="Arial" w:hAnsi="Arial" w:cs="Arial"/>
                <w:sz w:val="20"/>
                <w:szCs w:val="20"/>
              </w:rPr>
            </w:pPr>
            <w:r w:rsidRPr="007B023B">
              <w:rPr>
                <w:rFonts w:ascii="Arial" w:hAnsi="Arial" w:cs="Arial"/>
                <w:sz w:val="20"/>
                <w:szCs w:val="20"/>
              </w:rPr>
              <w:t>The</w:t>
            </w:r>
            <w:r w:rsidRPr="007B023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language</w:t>
            </w:r>
            <w:r w:rsidRPr="007B023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is</w:t>
            </w:r>
            <w:r w:rsidRPr="007B023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mostly</w:t>
            </w:r>
            <w:r w:rsidRPr="007B023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clear</w:t>
            </w:r>
            <w:r w:rsidRPr="007B023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and</w:t>
            </w:r>
            <w:r w:rsidRPr="007B023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the</w:t>
            </w:r>
            <w:r w:rsidRPr="007B023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structure</w:t>
            </w:r>
            <w:r w:rsidRPr="007B023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holds</w:t>
            </w:r>
            <w:r w:rsidRPr="007B023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up</w:t>
            </w:r>
            <w:r w:rsidRPr="007B023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well.</w:t>
            </w:r>
            <w:r w:rsidRPr="007B023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Just</w:t>
            </w:r>
            <w:r w:rsidRPr="007B023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needs</w:t>
            </w:r>
            <w:r w:rsidRPr="007B023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some</w:t>
            </w:r>
            <w:r w:rsidRPr="007B023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minor</w:t>
            </w:r>
            <w:r w:rsidRPr="007B023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fixes</w:t>
            </w:r>
            <w:r w:rsidRPr="007B023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for</w:t>
            </w:r>
            <w:r w:rsidRPr="007B023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grammar</w:t>
            </w:r>
            <w:r w:rsidRPr="007B023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and</w:t>
            </w:r>
            <w:r w:rsidRPr="007B023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a</w:t>
            </w:r>
            <w:r w:rsidRPr="007B023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bit of polishing .</w:t>
            </w:r>
          </w:p>
        </w:tc>
        <w:tc>
          <w:tcPr>
            <w:tcW w:w="6441" w:type="dxa"/>
          </w:tcPr>
          <w:p w:rsidR="00BF5E86" w:rsidRPr="007B023B" w:rsidRDefault="00BF5E8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5E86" w:rsidRPr="007B023B">
        <w:trPr>
          <w:trHeight w:val="1175"/>
        </w:trPr>
        <w:tc>
          <w:tcPr>
            <w:tcW w:w="5356" w:type="dxa"/>
          </w:tcPr>
          <w:p w:rsidR="00BF5E86" w:rsidRPr="007B023B" w:rsidRDefault="00F974F4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7B023B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7B023B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7" w:type="dxa"/>
          </w:tcPr>
          <w:p w:rsidR="00BF5E86" w:rsidRPr="007B023B" w:rsidRDefault="000E141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B023B">
              <w:rPr>
                <w:rFonts w:ascii="Arial" w:hAnsi="Arial" w:cs="Arial"/>
                <w:sz w:val="20"/>
                <w:szCs w:val="20"/>
              </w:rPr>
              <w:t>This</w:t>
            </w:r>
            <w:r w:rsidRPr="007B023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manuscript</w:t>
            </w:r>
            <w:r w:rsidRPr="007B023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hits</w:t>
            </w:r>
            <w:r w:rsidRPr="007B023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on</w:t>
            </w:r>
            <w:r w:rsidRPr="007B023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a</w:t>
            </w:r>
            <w:r w:rsidRPr="007B023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timely</w:t>
            </w:r>
            <w:r w:rsidRPr="007B023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topic</w:t>
            </w:r>
            <w:r w:rsidRPr="007B023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and</w:t>
            </w:r>
            <w:r w:rsidRPr="007B023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holds</w:t>
            </w:r>
            <w:r w:rsidRPr="007B023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up</w:t>
            </w:r>
            <w:r w:rsidRPr="007B023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7B023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for</w:t>
            </w:r>
            <w:r w:rsidRPr="007B023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the</w:t>
            </w:r>
            <w:r w:rsidRPr="007B023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most</w:t>
            </w:r>
            <w:r w:rsidRPr="007B023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part.</w:t>
            </w:r>
            <w:r w:rsidRPr="007B023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Still,</w:t>
            </w:r>
            <w:r w:rsidRPr="007B023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it</w:t>
            </w:r>
            <w:r w:rsidRPr="007B023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could</w:t>
            </w:r>
            <w:r w:rsidRPr="007B023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use</w:t>
            </w:r>
            <w:r w:rsidRPr="007B023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some</w:t>
            </w:r>
            <w:r w:rsidRPr="007B023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work</w:t>
            </w:r>
            <w:r w:rsidRPr="007B023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B023B">
              <w:rPr>
                <w:rFonts w:ascii="Arial" w:hAnsi="Arial" w:cs="Arial"/>
                <w:sz w:val="20"/>
                <w:szCs w:val="20"/>
              </w:rPr>
              <w:t>on deeper analysis, newer refs, and clearer prose to get it over the line for publication.</w:t>
            </w:r>
          </w:p>
        </w:tc>
        <w:tc>
          <w:tcPr>
            <w:tcW w:w="6441" w:type="dxa"/>
          </w:tcPr>
          <w:p w:rsidR="00BF5E86" w:rsidRPr="007B023B" w:rsidRDefault="00A7691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B023B">
              <w:rPr>
                <w:rFonts w:ascii="Arial" w:hAnsi="Arial" w:cs="Arial"/>
                <w:sz w:val="20"/>
                <w:szCs w:val="20"/>
              </w:rPr>
              <w:t xml:space="preserve">Corrected </w:t>
            </w:r>
          </w:p>
        </w:tc>
      </w:tr>
    </w:tbl>
    <w:p w:rsidR="00BF5E86" w:rsidRPr="007B023B" w:rsidRDefault="00BF5E86">
      <w:pPr>
        <w:pStyle w:val="TableParagraph"/>
        <w:rPr>
          <w:rFonts w:ascii="Arial" w:hAnsi="Arial" w:cs="Arial"/>
          <w:sz w:val="20"/>
          <w:szCs w:val="20"/>
        </w:rPr>
        <w:sectPr w:rsidR="00BF5E86" w:rsidRPr="007B023B">
          <w:headerReference w:type="default" r:id="rId7"/>
          <w:footerReference w:type="default" r:id="rId8"/>
          <w:pgSz w:w="23820" w:h="16840" w:orient="landscape"/>
          <w:pgMar w:top="1520" w:right="1275" w:bottom="880" w:left="1275" w:header="1283" w:footer="693" w:gutter="0"/>
          <w:cols w:space="720"/>
        </w:sectPr>
      </w:pPr>
    </w:p>
    <w:p w:rsidR="00BF5E86" w:rsidRPr="007B023B" w:rsidRDefault="00BF5E86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0"/>
        <w:gridCol w:w="7279"/>
        <w:gridCol w:w="7267"/>
      </w:tblGrid>
      <w:tr w:rsidR="00935CD0" w:rsidRPr="007B023B" w:rsidTr="002F6AF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5CD0" w:rsidRPr="007B023B" w:rsidRDefault="00935CD0" w:rsidP="002F6AF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7B023B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7B023B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935CD0" w:rsidRPr="007B023B" w:rsidRDefault="00935CD0" w:rsidP="002F6AF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35CD0" w:rsidRPr="007B023B" w:rsidTr="002F6AFE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5CD0" w:rsidRPr="007B023B" w:rsidRDefault="00935CD0" w:rsidP="002F6AF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CD0" w:rsidRPr="007B023B" w:rsidRDefault="00935CD0" w:rsidP="002F6AF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B023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:rsidR="00935CD0" w:rsidRPr="007B023B" w:rsidRDefault="00935CD0" w:rsidP="002F6AF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B023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B023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35CD0" w:rsidRPr="007B023B" w:rsidRDefault="00935CD0" w:rsidP="002F6AF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35CD0" w:rsidRPr="007B023B" w:rsidTr="002F6AFE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5CD0" w:rsidRPr="007B023B" w:rsidRDefault="00935CD0" w:rsidP="002F6AFE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B023B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935CD0" w:rsidRPr="007B023B" w:rsidRDefault="00935CD0" w:rsidP="002F6AF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5CD0" w:rsidRPr="007B023B" w:rsidRDefault="00935CD0" w:rsidP="002F6AFE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B023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935CD0" w:rsidRPr="007B023B" w:rsidRDefault="00935CD0" w:rsidP="002F6AF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35CD0" w:rsidRPr="007B023B" w:rsidRDefault="00935CD0" w:rsidP="002F6AF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:rsidR="00935CD0" w:rsidRPr="007B023B" w:rsidRDefault="00935CD0" w:rsidP="002F6AF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35CD0" w:rsidRPr="007B023B" w:rsidRDefault="00935CD0" w:rsidP="002F6AF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35CD0" w:rsidRPr="007B023B" w:rsidRDefault="00935CD0" w:rsidP="002F6AF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935CD0" w:rsidRPr="007B023B" w:rsidRDefault="00935CD0" w:rsidP="00935CD0">
      <w:pPr>
        <w:rPr>
          <w:rFonts w:ascii="Arial" w:hAnsi="Arial" w:cs="Arial"/>
          <w:sz w:val="20"/>
          <w:szCs w:val="20"/>
        </w:rPr>
      </w:pPr>
    </w:p>
    <w:p w:rsidR="00935CD0" w:rsidRPr="007B023B" w:rsidRDefault="00935CD0" w:rsidP="00935CD0">
      <w:pPr>
        <w:rPr>
          <w:rFonts w:ascii="Arial" w:hAnsi="Arial" w:cs="Arial"/>
          <w:sz w:val="20"/>
          <w:szCs w:val="20"/>
        </w:rPr>
      </w:pPr>
    </w:p>
    <w:p w:rsidR="00935CD0" w:rsidRPr="007B023B" w:rsidRDefault="00935CD0" w:rsidP="00935CD0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:rsidR="00935CD0" w:rsidRPr="007B023B" w:rsidRDefault="00935CD0" w:rsidP="00935CD0">
      <w:pPr>
        <w:rPr>
          <w:rFonts w:ascii="Arial" w:hAnsi="Arial" w:cs="Arial"/>
          <w:sz w:val="20"/>
          <w:szCs w:val="20"/>
        </w:rPr>
      </w:pPr>
    </w:p>
    <w:p w:rsidR="00BF5E86" w:rsidRPr="007B023B" w:rsidRDefault="00BF5E86">
      <w:pPr>
        <w:rPr>
          <w:rFonts w:ascii="Arial" w:hAnsi="Arial" w:cs="Arial"/>
          <w:sz w:val="20"/>
          <w:szCs w:val="20"/>
        </w:rPr>
      </w:pPr>
    </w:p>
    <w:sectPr w:rsidR="00BF5E86" w:rsidRPr="007B023B">
      <w:pgSz w:w="23820" w:h="16840" w:orient="landscape"/>
      <w:pgMar w:top="1540" w:right="1275" w:bottom="880" w:left="1275" w:header="1283" w:footer="69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0F7E" w:rsidRDefault="00B10F7E">
      <w:r>
        <w:separator/>
      </w:r>
    </w:p>
  </w:endnote>
  <w:endnote w:type="continuationSeparator" w:id="0">
    <w:p w:rsidR="00B10F7E" w:rsidRDefault="00B10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5E86" w:rsidRDefault="00F974F4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>
              <wp:simplePos x="0" y="0"/>
              <wp:positionH relativeFrom="page">
                <wp:posOffset>902017</wp:posOffset>
              </wp:positionH>
              <wp:positionV relativeFrom="page">
                <wp:posOffset>10113595</wp:posOffset>
              </wp:positionV>
              <wp:extent cx="66167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F5E86" w:rsidRDefault="00F974F4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35pt;width:52.1pt;height:10.9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" filled="f" stroked="f">
              <v:textbox inset="0,0,0,0">
                <w:txbxContent>
                  <w:p w:rsidR="00BF5E86" w:rsidRDefault="00F974F4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2172080</wp:posOffset>
              </wp:positionH>
              <wp:positionV relativeFrom="page">
                <wp:posOffset>10113595</wp:posOffset>
              </wp:positionV>
              <wp:extent cx="70612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612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F5E86" w:rsidRDefault="00F974F4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171.05pt;margin-top:796.35pt;width:55.6pt;height:10.9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" filled="f" stroked="f">
              <v:textbox inset="0,0,0,0">
                <w:txbxContent>
                  <w:p w:rsidR="00BF5E86" w:rsidRDefault="00F974F4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3943440</wp:posOffset>
              </wp:positionH>
              <wp:positionV relativeFrom="page">
                <wp:posOffset>10113595</wp:posOffset>
              </wp:positionV>
              <wp:extent cx="861694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694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F5E86" w:rsidRDefault="00F974F4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10.5pt;margin-top:796.35pt;width:67.85pt;height:10.9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" filled="f" stroked="f">
              <v:textbox inset="0,0,0,0">
                <w:txbxContent>
                  <w:p w:rsidR="00BF5E86" w:rsidRDefault="00F974F4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5474970</wp:posOffset>
              </wp:positionH>
              <wp:positionV relativeFrom="page">
                <wp:posOffset>10113595</wp:posOffset>
              </wp:positionV>
              <wp:extent cx="1021715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F5E86" w:rsidRDefault="00F974F4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431.1pt;margin-top:796.35pt;width:80.45pt;height:10.9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" filled="f" stroked="f">
              <v:textbox inset="0,0,0,0">
                <w:txbxContent>
                  <w:p w:rsidR="00BF5E86" w:rsidRDefault="00F974F4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0F7E" w:rsidRDefault="00B10F7E">
      <w:r>
        <w:separator/>
      </w:r>
    </w:p>
  </w:footnote>
  <w:footnote w:type="continuationSeparator" w:id="0">
    <w:p w:rsidR="00B10F7E" w:rsidRDefault="00B10F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5E86" w:rsidRDefault="00F974F4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>
              <wp:simplePos x="0" y="0"/>
              <wp:positionH relativeFrom="page">
                <wp:posOffset>902017</wp:posOffset>
              </wp:positionH>
              <wp:positionV relativeFrom="page">
                <wp:posOffset>802217</wp:posOffset>
              </wp:positionV>
              <wp:extent cx="110045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045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F5E86" w:rsidRDefault="00F974F4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15pt;width:86.6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" filled="f" stroked="f">
              <v:textbox inset="0,0,0,0">
                <w:txbxContent>
                  <w:p w:rsidR="00BF5E86" w:rsidRDefault="00F974F4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F5E86"/>
    <w:rsid w:val="00001E2C"/>
    <w:rsid w:val="000405E1"/>
    <w:rsid w:val="000E141E"/>
    <w:rsid w:val="00236A2A"/>
    <w:rsid w:val="00276537"/>
    <w:rsid w:val="00302E78"/>
    <w:rsid w:val="003125E2"/>
    <w:rsid w:val="003A3F24"/>
    <w:rsid w:val="003B7CBC"/>
    <w:rsid w:val="004145E2"/>
    <w:rsid w:val="00592758"/>
    <w:rsid w:val="006E12F9"/>
    <w:rsid w:val="007B023B"/>
    <w:rsid w:val="007D4BBB"/>
    <w:rsid w:val="008672A4"/>
    <w:rsid w:val="00935CD0"/>
    <w:rsid w:val="009D41BC"/>
    <w:rsid w:val="00A76913"/>
    <w:rsid w:val="00B10F7E"/>
    <w:rsid w:val="00B277E5"/>
    <w:rsid w:val="00B816BD"/>
    <w:rsid w:val="00BE60E8"/>
    <w:rsid w:val="00BF5E86"/>
    <w:rsid w:val="00CF77FB"/>
    <w:rsid w:val="00D530DA"/>
    <w:rsid w:val="00D92F9E"/>
    <w:rsid w:val="00F9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38455CA-8A32-4D97-A75A-74A09C33F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character" w:styleId="Hyperlink">
    <w:name w:val="Hyperlink"/>
    <w:basedOn w:val="DefaultParagraphFont"/>
    <w:uiPriority w:val="99"/>
    <w:semiHidden/>
    <w:unhideWhenUsed/>
    <w:rsid w:val="00302E7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arr.com/index.php/AJAR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638</Words>
  <Characters>3637</Characters>
  <Application>Microsoft Office Word</Application>
  <DocSecurity>0</DocSecurity>
  <Lines>30</Lines>
  <Paragraphs>8</Paragraphs>
  <ScaleCrop>false</ScaleCrop>
  <Company/>
  <LinksUpToDate>false</LinksUpToDate>
  <CharactersWithSpaces>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1022</cp:lastModifiedBy>
  <cp:revision>24</cp:revision>
  <dcterms:created xsi:type="dcterms:W3CDTF">2026-02-18T04:55:00Z</dcterms:created>
  <dcterms:modified xsi:type="dcterms:W3CDTF">2026-02-24T11:52:00Z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2026-02-17T00:00:00Z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2026-02-18T00:00:00Z</vt:filetime>
  </property>
</Properties>
</file>