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4FB6AA">
      <w:pPr>
        <w:spacing w:before="174"/>
        <w:rPr>
          <w:sz w:val="20"/>
        </w:rPr>
      </w:pPr>
    </w:p>
    <w:tbl>
      <w:tblPr>
        <w:tblStyle w:val="4"/>
        <w:tblW w:w="0" w:type="auto"/>
        <w:tblInd w:w="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165"/>
        <w:gridCol w:w="15768"/>
      </w:tblGrid>
      <w:tr w14:paraId="6B2942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7" w:hRule="atLeast"/>
        </w:trPr>
        <w:tc>
          <w:tcPr>
            <w:tcW w:w="5165" w:type="dxa"/>
          </w:tcPr>
          <w:p w14:paraId="2FA38C68">
            <w:pPr>
              <w:pStyle w:val="8"/>
              <w:spacing w:line="229" w:lineRule="exact"/>
              <w:ind w:left="94"/>
              <w:rPr>
                <w:rFonts w:ascii="Arial MT"/>
                <w:sz w:val="20"/>
              </w:rPr>
            </w:pPr>
            <w:r>
              <w:rPr>
                <w:rFonts w:ascii="Arial MT"/>
                <w:sz w:val="20"/>
              </w:rPr>
              <w:t>Journal</w:t>
            </w:r>
            <w:r>
              <w:rPr>
                <w:rFonts w:ascii="Arial MT"/>
                <w:spacing w:val="-7"/>
                <w:sz w:val="20"/>
              </w:rPr>
              <w:t xml:space="preserve"> </w:t>
            </w:r>
            <w:r>
              <w:rPr>
                <w:rFonts w:ascii="Arial MT"/>
                <w:spacing w:val="-2"/>
                <w:sz w:val="20"/>
              </w:rPr>
              <w:t>Name:</w:t>
            </w:r>
          </w:p>
        </w:tc>
        <w:tc>
          <w:tcPr>
            <w:tcW w:w="15768" w:type="dxa"/>
          </w:tcPr>
          <w:p w14:paraId="4820AE15">
            <w:pPr>
              <w:pStyle w:val="8"/>
              <w:spacing w:before="28"/>
              <w:ind w:left="110"/>
              <w:rPr>
                <w:rFonts w:ascii="Arial"/>
                <w:b/>
                <w:sz w:val="20"/>
              </w:rPr>
            </w:pPr>
            <w:r>
              <w:rPr>
                <w:rFonts w:ascii="Arial"/>
                <w:b/>
                <w:color w:val="0000FF"/>
                <w:sz w:val="20"/>
                <w:u w:val="single" w:color="0000FF"/>
              </w:rPr>
              <w:t>Advances</w:t>
            </w:r>
            <w:r>
              <w:rPr>
                <w:rFonts w:ascii="Arial"/>
                <w:b/>
                <w:color w:val="0000FF"/>
                <w:spacing w:val="-6"/>
                <w:sz w:val="20"/>
                <w:u w:val="single" w:color="0000FF"/>
              </w:rPr>
              <w:t xml:space="preserve"> </w:t>
            </w:r>
            <w:r>
              <w:rPr>
                <w:rFonts w:ascii="Arial"/>
                <w:b/>
                <w:color w:val="0000FF"/>
                <w:sz w:val="20"/>
                <w:u w:val="single" w:color="0000FF"/>
              </w:rPr>
              <w:t>in</w:t>
            </w:r>
            <w:r>
              <w:rPr>
                <w:rFonts w:ascii="Arial"/>
                <w:b/>
                <w:color w:val="0000FF"/>
                <w:spacing w:val="-5"/>
                <w:sz w:val="20"/>
                <w:u w:val="single" w:color="0000FF"/>
              </w:rPr>
              <w:t xml:space="preserve"> </w:t>
            </w:r>
            <w:r>
              <w:rPr>
                <w:rFonts w:ascii="Arial"/>
                <w:b/>
                <w:color w:val="0000FF"/>
                <w:spacing w:val="-2"/>
                <w:sz w:val="20"/>
                <w:u w:val="single" w:color="0000FF"/>
              </w:rPr>
              <w:t>Research</w:t>
            </w:r>
          </w:p>
        </w:tc>
      </w:tr>
      <w:tr w14:paraId="031D0E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2" w:hRule="atLeast"/>
        </w:trPr>
        <w:tc>
          <w:tcPr>
            <w:tcW w:w="5165" w:type="dxa"/>
          </w:tcPr>
          <w:p w14:paraId="462C94A8">
            <w:pPr>
              <w:pStyle w:val="8"/>
              <w:spacing w:line="229" w:lineRule="exact"/>
              <w:ind w:left="94"/>
              <w:rPr>
                <w:rFonts w:ascii="Arial MT"/>
                <w:sz w:val="20"/>
              </w:rPr>
            </w:pPr>
            <w:r>
              <w:rPr>
                <w:rFonts w:ascii="Arial MT"/>
                <w:sz w:val="20"/>
              </w:rPr>
              <w:t>Manuscript</w:t>
            </w:r>
            <w:r>
              <w:rPr>
                <w:rFonts w:ascii="Arial MT"/>
                <w:spacing w:val="-11"/>
                <w:sz w:val="20"/>
              </w:rPr>
              <w:t xml:space="preserve"> </w:t>
            </w:r>
            <w:r>
              <w:rPr>
                <w:rFonts w:ascii="Arial MT"/>
                <w:spacing w:val="-2"/>
                <w:sz w:val="20"/>
              </w:rPr>
              <w:t>Number:</w:t>
            </w:r>
          </w:p>
        </w:tc>
        <w:tc>
          <w:tcPr>
            <w:tcW w:w="15768" w:type="dxa"/>
          </w:tcPr>
          <w:p w14:paraId="22F054D1">
            <w:pPr>
              <w:pStyle w:val="8"/>
              <w:spacing w:before="28"/>
              <w:ind w:left="110"/>
              <w:rPr>
                <w:rFonts w:ascii="Arial"/>
                <w:b/>
                <w:sz w:val="20"/>
              </w:rPr>
            </w:pPr>
            <w:r>
              <w:rPr>
                <w:rFonts w:ascii="Arial"/>
                <w:b/>
                <w:spacing w:val="-2"/>
                <w:sz w:val="20"/>
              </w:rPr>
              <w:t>Ms_AIR_155332</w:t>
            </w:r>
          </w:p>
        </w:tc>
      </w:tr>
      <w:tr w14:paraId="0FC576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5165" w:type="dxa"/>
          </w:tcPr>
          <w:p w14:paraId="5A284EB1">
            <w:pPr>
              <w:pStyle w:val="8"/>
              <w:spacing w:line="229" w:lineRule="exact"/>
              <w:ind w:left="94"/>
              <w:rPr>
                <w:rFonts w:ascii="Arial MT"/>
                <w:sz w:val="20"/>
              </w:rPr>
            </w:pPr>
            <w:r>
              <w:rPr>
                <w:rFonts w:ascii="Arial MT"/>
                <w:sz w:val="20"/>
              </w:rPr>
              <w:t>Title</w:t>
            </w:r>
            <w:r>
              <w:rPr>
                <w:rFonts w:ascii="Arial MT"/>
                <w:spacing w:val="-4"/>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Manuscript:</w:t>
            </w:r>
          </w:p>
        </w:tc>
        <w:tc>
          <w:tcPr>
            <w:tcW w:w="15768" w:type="dxa"/>
          </w:tcPr>
          <w:p w14:paraId="3A453568">
            <w:pPr>
              <w:pStyle w:val="8"/>
              <w:spacing w:before="206"/>
              <w:ind w:left="110"/>
              <w:rPr>
                <w:rFonts w:ascii="Arial"/>
                <w:b/>
                <w:sz w:val="20"/>
              </w:rPr>
            </w:pPr>
            <w:r>
              <w:rPr>
                <w:rFonts w:ascii="Arial"/>
                <w:b/>
                <w:sz w:val="20"/>
              </w:rPr>
              <w:t>Foamed</w:t>
            </w:r>
            <w:r>
              <w:rPr>
                <w:rFonts w:ascii="Arial"/>
                <w:b/>
                <w:spacing w:val="-10"/>
                <w:sz w:val="20"/>
              </w:rPr>
              <w:t xml:space="preserve"> </w:t>
            </w:r>
            <w:r>
              <w:rPr>
                <w:rFonts w:ascii="Arial"/>
                <w:b/>
                <w:sz w:val="20"/>
              </w:rPr>
              <w:t>Red</w:t>
            </w:r>
            <w:r>
              <w:rPr>
                <w:rFonts w:ascii="Arial"/>
                <w:b/>
                <w:spacing w:val="-9"/>
                <w:sz w:val="20"/>
              </w:rPr>
              <w:t xml:space="preserve"> </w:t>
            </w:r>
            <w:r>
              <w:rPr>
                <w:rFonts w:ascii="Arial"/>
                <w:b/>
                <w:sz w:val="20"/>
              </w:rPr>
              <w:t>Mud-Based</w:t>
            </w:r>
            <w:r>
              <w:rPr>
                <w:rFonts w:ascii="Arial"/>
                <w:b/>
                <w:spacing w:val="-9"/>
                <w:sz w:val="20"/>
              </w:rPr>
              <w:t xml:space="preserve"> </w:t>
            </w:r>
            <w:r>
              <w:rPr>
                <w:rFonts w:ascii="Arial"/>
                <w:b/>
                <w:sz w:val="20"/>
              </w:rPr>
              <w:t>Geopolymer</w:t>
            </w:r>
            <w:r>
              <w:rPr>
                <w:rFonts w:ascii="Arial"/>
                <w:b/>
                <w:spacing w:val="-10"/>
                <w:sz w:val="20"/>
              </w:rPr>
              <w:t xml:space="preserve"> </w:t>
            </w:r>
            <w:r>
              <w:rPr>
                <w:rFonts w:ascii="Arial"/>
                <w:b/>
                <w:sz w:val="20"/>
              </w:rPr>
              <w:t>Concrete:</w:t>
            </w:r>
            <w:r>
              <w:rPr>
                <w:rFonts w:ascii="Arial"/>
                <w:b/>
                <w:spacing w:val="-9"/>
                <w:sz w:val="20"/>
              </w:rPr>
              <w:t xml:space="preserve"> </w:t>
            </w:r>
            <w:r>
              <w:rPr>
                <w:rFonts w:ascii="Arial"/>
                <w:b/>
                <w:sz w:val="20"/>
              </w:rPr>
              <w:t>A</w:t>
            </w:r>
            <w:r>
              <w:rPr>
                <w:rFonts w:ascii="Arial"/>
                <w:b/>
                <w:spacing w:val="-10"/>
                <w:sz w:val="20"/>
              </w:rPr>
              <w:t xml:space="preserve"> </w:t>
            </w:r>
            <w:r>
              <w:rPr>
                <w:rFonts w:ascii="Arial"/>
                <w:b/>
                <w:sz w:val="20"/>
              </w:rPr>
              <w:t>Comprehensive</w:t>
            </w:r>
            <w:r>
              <w:rPr>
                <w:rFonts w:ascii="Arial"/>
                <w:b/>
                <w:spacing w:val="-9"/>
                <w:sz w:val="20"/>
              </w:rPr>
              <w:t xml:space="preserve"> </w:t>
            </w:r>
            <w:r>
              <w:rPr>
                <w:rFonts w:ascii="Arial"/>
                <w:b/>
                <w:sz w:val="20"/>
              </w:rPr>
              <w:t>Review</w:t>
            </w:r>
            <w:r>
              <w:rPr>
                <w:rFonts w:ascii="Arial"/>
                <w:b/>
                <w:spacing w:val="-10"/>
                <w:sz w:val="20"/>
              </w:rPr>
              <w:t xml:space="preserve"> </w:t>
            </w:r>
            <w:r>
              <w:rPr>
                <w:rFonts w:ascii="Arial"/>
                <w:b/>
                <w:sz w:val="20"/>
              </w:rPr>
              <w:t>of</w:t>
            </w:r>
            <w:r>
              <w:rPr>
                <w:rFonts w:ascii="Arial"/>
                <w:b/>
                <w:spacing w:val="-9"/>
                <w:sz w:val="20"/>
              </w:rPr>
              <w:t xml:space="preserve"> </w:t>
            </w:r>
            <w:r>
              <w:rPr>
                <w:rFonts w:ascii="Arial"/>
                <w:b/>
                <w:sz w:val="20"/>
              </w:rPr>
              <w:t>Synthesis,</w:t>
            </w:r>
            <w:r>
              <w:rPr>
                <w:rFonts w:ascii="Arial"/>
                <w:b/>
                <w:spacing w:val="-10"/>
                <w:sz w:val="20"/>
              </w:rPr>
              <w:t xml:space="preserve"> </w:t>
            </w:r>
            <w:r>
              <w:rPr>
                <w:rFonts w:ascii="Arial"/>
                <w:b/>
                <w:sz w:val="20"/>
              </w:rPr>
              <w:t>Microstructure,</w:t>
            </w:r>
            <w:r>
              <w:rPr>
                <w:rFonts w:ascii="Arial"/>
                <w:b/>
                <w:spacing w:val="-9"/>
                <w:sz w:val="20"/>
              </w:rPr>
              <w:t xml:space="preserve"> </w:t>
            </w:r>
            <w:r>
              <w:rPr>
                <w:rFonts w:ascii="Arial"/>
                <w:b/>
                <w:sz w:val="20"/>
              </w:rPr>
              <w:t>and</w:t>
            </w:r>
            <w:r>
              <w:rPr>
                <w:rFonts w:ascii="Arial"/>
                <w:b/>
                <w:spacing w:val="-9"/>
                <w:sz w:val="20"/>
              </w:rPr>
              <w:t xml:space="preserve"> </w:t>
            </w:r>
            <w:r>
              <w:rPr>
                <w:rFonts w:ascii="Arial"/>
                <w:b/>
                <w:sz w:val="20"/>
              </w:rPr>
              <w:t>Thermo-Mechanical</w:t>
            </w:r>
            <w:r>
              <w:rPr>
                <w:rFonts w:ascii="Arial"/>
                <w:b/>
                <w:spacing w:val="-9"/>
                <w:sz w:val="20"/>
              </w:rPr>
              <w:t xml:space="preserve"> </w:t>
            </w:r>
            <w:r>
              <w:rPr>
                <w:rFonts w:ascii="Arial"/>
                <w:b/>
                <w:spacing w:val="-2"/>
                <w:sz w:val="20"/>
              </w:rPr>
              <w:t>Performance</w:t>
            </w:r>
          </w:p>
        </w:tc>
      </w:tr>
      <w:tr w14:paraId="75F2E1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5" w:hRule="atLeast"/>
        </w:trPr>
        <w:tc>
          <w:tcPr>
            <w:tcW w:w="5165" w:type="dxa"/>
          </w:tcPr>
          <w:p w14:paraId="0D85F1CC">
            <w:pPr>
              <w:pStyle w:val="8"/>
              <w:spacing w:line="229" w:lineRule="exact"/>
              <w:ind w:left="94"/>
              <w:rPr>
                <w:rFonts w:ascii="Arial MT"/>
                <w:sz w:val="20"/>
              </w:rPr>
            </w:pPr>
            <w:r>
              <w:rPr>
                <w:rFonts w:ascii="Arial MT"/>
                <w:sz w:val="20"/>
              </w:rPr>
              <w:t>Type</w:t>
            </w:r>
            <w:r>
              <w:rPr>
                <w:rFonts w:ascii="Arial MT"/>
                <w:spacing w:val="-3"/>
                <w:sz w:val="20"/>
              </w:rPr>
              <w:t xml:space="preserve"> </w:t>
            </w:r>
            <w:r>
              <w:rPr>
                <w:rFonts w:ascii="Arial MT"/>
                <w:sz w:val="20"/>
              </w:rPr>
              <w:t>of</w:t>
            </w:r>
            <w:r>
              <w:rPr>
                <w:rFonts w:ascii="Arial MT"/>
                <w:spacing w:val="-3"/>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68" w:type="dxa"/>
          </w:tcPr>
          <w:p w14:paraId="68575045">
            <w:pPr>
              <w:pStyle w:val="8"/>
              <w:spacing w:before="52"/>
              <w:ind w:left="110"/>
              <w:rPr>
                <w:rFonts w:ascii="Arial"/>
                <w:b/>
                <w:sz w:val="20"/>
              </w:rPr>
            </w:pPr>
            <w:r>
              <w:rPr>
                <w:rFonts w:ascii="Arial"/>
                <w:b/>
                <w:sz w:val="20"/>
              </w:rPr>
              <w:t>Minireview</w:t>
            </w:r>
            <w:r>
              <w:rPr>
                <w:rFonts w:ascii="Arial"/>
                <w:b/>
                <w:spacing w:val="-12"/>
                <w:sz w:val="20"/>
              </w:rPr>
              <w:t xml:space="preserve"> </w:t>
            </w:r>
            <w:r>
              <w:rPr>
                <w:rFonts w:ascii="Arial"/>
                <w:b/>
                <w:spacing w:val="-2"/>
                <w:sz w:val="20"/>
              </w:rPr>
              <w:t>Article</w:t>
            </w:r>
          </w:p>
        </w:tc>
      </w:tr>
    </w:tbl>
    <w:tbl>
      <w:tblPr>
        <w:tblStyle w:val="4"/>
        <w:tblpPr w:leftFromText="180" w:rightFromText="180" w:vertAnchor="text" w:horzAnchor="page" w:tblpX="1446" w:tblpY="1210"/>
        <w:tblW w:w="4849"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4683"/>
        <w:gridCol w:w="9289"/>
        <w:gridCol w:w="6390"/>
      </w:tblGrid>
      <w:tr w14:paraId="410BA7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9" w:hRule="atLeast"/>
        </w:trPr>
        <w:tc>
          <w:tcPr>
            <w:tcW w:w="1150" w:type="pct"/>
          </w:tcPr>
          <w:p w14:paraId="48B1C8D3">
            <w:pPr>
              <w:pStyle w:val="8"/>
              <w:ind w:left="0"/>
              <w:rPr>
                <w:sz w:val="20"/>
              </w:rPr>
            </w:pPr>
          </w:p>
        </w:tc>
        <w:tc>
          <w:tcPr>
            <w:tcW w:w="2281" w:type="pct"/>
          </w:tcPr>
          <w:p w14:paraId="5C98FC1A">
            <w:pPr>
              <w:pStyle w:val="8"/>
              <w:rPr>
                <w:b/>
                <w:sz w:val="20"/>
              </w:rPr>
            </w:pPr>
            <w:r>
              <w:rPr>
                <w:b/>
                <w:sz w:val="20"/>
              </w:rPr>
              <w:t>Reviewer’s</w:t>
            </w:r>
            <w:r>
              <w:rPr>
                <w:b/>
                <w:spacing w:val="-12"/>
                <w:sz w:val="20"/>
              </w:rPr>
              <w:t xml:space="preserve"> </w:t>
            </w:r>
            <w:r>
              <w:rPr>
                <w:b/>
                <w:spacing w:val="-2"/>
                <w:sz w:val="20"/>
              </w:rPr>
              <w:t>comment</w:t>
            </w:r>
          </w:p>
          <w:p w14:paraId="4A260F3B">
            <w:pPr>
              <w:pStyle w:val="8"/>
              <w:ind w:right="22"/>
              <w:rPr>
                <w:b/>
                <w:sz w:val="20"/>
              </w:rPr>
            </w:pPr>
          </w:p>
        </w:tc>
        <w:tc>
          <w:tcPr>
            <w:tcW w:w="1569" w:type="pct"/>
          </w:tcPr>
          <w:p w14:paraId="35D39059">
            <w:pPr>
              <w:pStyle w:val="8"/>
              <w:spacing w:before="5" w:line="254" w:lineRule="auto"/>
              <w:ind w:right="664"/>
              <w:rPr>
                <w:sz w:val="20"/>
              </w:rPr>
            </w:pPr>
            <w:r>
              <w:rPr>
                <w:b/>
                <w:sz w:val="20"/>
              </w:rPr>
              <w:t>Author’s</w:t>
            </w:r>
            <w:r>
              <w:rPr>
                <w:b/>
                <w:spacing w:val="-5"/>
                <w:sz w:val="20"/>
              </w:rPr>
              <w:t xml:space="preserve"> </w:t>
            </w:r>
            <w:r>
              <w:rPr>
                <w:b/>
                <w:sz w:val="20"/>
              </w:rPr>
              <w:t>Feedback</w:t>
            </w:r>
            <w:r>
              <w:rPr>
                <w:b/>
                <w:spacing w:val="-6"/>
                <w:sz w:val="20"/>
              </w:rPr>
              <w:t xml:space="preserve"> </w:t>
            </w:r>
            <w:r>
              <w:rPr>
                <w:sz w:val="20"/>
              </w:rPr>
              <w:t>(It</w:t>
            </w:r>
            <w:r>
              <w:rPr>
                <w:spacing w:val="-5"/>
                <w:sz w:val="20"/>
              </w:rPr>
              <w:t xml:space="preserve"> </w:t>
            </w:r>
            <w:r>
              <w:rPr>
                <w:sz w:val="20"/>
              </w:rPr>
              <w:t>is</w:t>
            </w:r>
            <w:r>
              <w:rPr>
                <w:spacing w:val="-5"/>
                <w:sz w:val="20"/>
              </w:rPr>
              <w:t xml:space="preserve"> </w:t>
            </w:r>
            <w:r>
              <w:rPr>
                <w:sz w:val="20"/>
              </w:rPr>
              <w:t>mandatory</w:t>
            </w:r>
            <w:r>
              <w:rPr>
                <w:spacing w:val="-5"/>
                <w:sz w:val="20"/>
              </w:rPr>
              <w:t xml:space="preserve"> </w:t>
            </w:r>
            <w:r>
              <w:rPr>
                <w:sz w:val="20"/>
              </w:rPr>
              <w:t>that</w:t>
            </w:r>
            <w:r>
              <w:rPr>
                <w:spacing w:val="-5"/>
                <w:sz w:val="20"/>
              </w:rPr>
              <w:t xml:space="preserve"> </w:t>
            </w:r>
            <w:r>
              <w:rPr>
                <w:sz w:val="20"/>
              </w:rPr>
              <w:t>authors</w:t>
            </w:r>
            <w:r>
              <w:rPr>
                <w:spacing w:val="-5"/>
                <w:sz w:val="20"/>
              </w:rPr>
              <w:t xml:space="preserve"> </w:t>
            </w:r>
            <w:r>
              <w:rPr>
                <w:sz w:val="20"/>
              </w:rPr>
              <w:t>should</w:t>
            </w:r>
            <w:r>
              <w:rPr>
                <w:spacing w:val="-5"/>
                <w:sz w:val="20"/>
              </w:rPr>
              <w:t xml:space="preserve"> </w:t>
            </w:r>
            <w:r>
              <w:rPr>
                <w:sz w:val="20"/>
              </w:rPr>
              <w:t>write</w:t>
            </w:r>
            <w:r>
              <w:rPr>
                <w:spacing w:val="-5"/>
                <w:sz w:val="20"/>
              </w:rPr>
              <w:t xml:space="preserve"> </w:t>
            </w:r>
            <w:r>
              <w:rPr>
                <w:sz w:val="20"/>
              </w:rPr>
              <w:t>his/her feedback here)</w:t>
            </w:r>
          </w:p>
        </w:tc>
      </w:tr>
      <w:tr w14:paraId="64830B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68" w:hRule="atLeast"/>
        </w:trPr>
        <w:tc>
          <w:tcPr>
            <w:tcW w:w="1150" w:type="pct"/>
          </w:tcPr>
          <w:p w14:paraId="6C4EBA43">
            <w:pPr>
              <w:pStyle w:val="8"/>
              <w:ind w:left="465" w:right="146"/>
              <w:rPr>
                <w:b/>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6"/>
                <w:sz w:val="20"/>
              </w:rPr>
              <w:t xml:space="preserve"> </w:t>
            </w:r>
            <w:r>
              <w:rPr>
                <w:b/>
                <w:sz w:val="20"/>
              </w:rPr>
              <w:t>few</w:t>
            </w:r>
            <w:r>
              <w:rPr>
                <w:b/>
                <w:spacing w:val="-6"/>
                <w:sz w:val="20"/>
              </w:rPr>
              <w:t xml:space="preserve"> </w:t>
            </w:r>
            <w:r>
              <w:rPr>
                <w:b/>
                <w:sz w:val="20"/>
              </w:rPr>
              <w:t>sentences</w:t>
            </w:r>
            <w:r>
              <w:rPr>
                <w:b/>
                <w:spacing w:val="-6"/>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2281" w:type="pct"/>
          </w:tcPr>
          <w:p w14:paraId="220F7CB9">
            <w:pPr>
              <w:pStyle w:val="8"/>
              <w:ind w:right="94"/>
              <w:jc w:val="both"/>
              <w:rPr>
                <w:sz w:val="20"/>
              </w:rPr>
            </w:pPr>
            <w:r>
              <w:rPr>
                <w:sz w:val="20"/>
              </w:rPr>
              <w:t>This manuscript makes a significant contribution to the scientific community by addressing the urgent need for the</w:t>
            </w:r>
            <w:r>
              <w:rPr>
                <w:spacing w:val="-5"/>
                <w:sz w:val="20"/>
              </w:rPr>
              <w:t xml:space="preserve"> </w:t>
            </w:r>
            <w:r>
              <w:rPr>
                <w:sz w:val="20"/>
              </w:rPr>
              <w:t>high-value</w:t>
            </w:r>
            <w:r>
              <w:rPr>
                <w:spacing w:val="-5"/>
                <w:sz w:val="20"/>
              </w:rPr>
              <w:t xml:space="preserve"> </w:t>
            </w:r>
            <w:r>
              <w:rPr>
                <w:sz w:val="20"/>
              </w:rPr>
              <w:t>utilization</w:t>
            </w:r>
            <w:r>
              <w:rPr>
                <w:spacing w:val="-5"/>
                <w:sz w:val="20"/>
              </w:rPr>
              <w:t xml:space="preserve"> </w:t>
            </w:r>
            <w:r>
              <w:rPr>
                <w:sz w:val="20"/>
              </w:rPr>
              <w:t>of</w:t>
            </w:r>
            <w:r>
              <w:rPr>
                <w:spacing w:val="-5"/>
                <w:sz w:val="20"/>
              </w:rPr>
              <w:t xml:space="preserve"> </w:t>
            </w:r>
            <w:r>
              <w:rPr>
                <w:sz w:val="20"/>
              </w:rPr>
              <w:t>red</w:t>
            </w:r>
            <w:r>
              <w:rPr>
                <w:spacing w:val="-5"/>
                <w:sz w:val="20"/>
              </w:rPr>
              <w:t xml:space="preserve"> </w:t>
            </w:r>
            <w:r>
              <w:rPr>
                <w:sz w:val="20"/>
              </w:rPr>
              <w:t>mud-based</w:t>
            </w:r>
            <w:r>
              <w:rPr>
                <w:spacing w:val="-6"/>
                <w:sz w:val="20"/>
              </w:rPr>
              <w:t xml:space="preserve"> </w:t>
            </w:r>
            <w:r>
              <w:rPr>
                <w:sz w:val="20"/>
              </w:rPr>
              <w:t>concrete,</w:t>
            </w:r>
            <w:r>
              <w:rPr>
                <w:spacing w:val="-5"/>
                <w:sz w:val="20"/>
              </w:rPr>
              <w:t xml:space="preserve"> </w:t>
            </w:r>
            <w:r>
              <w:rPr>
                <w:sz w:val="20"/>
              </w:rPr>
              <w:t>a</w:t>
            </w:r>
            <w:r>
              <w:rPr>
                <w:spacing w:val="-5"/>
                <w:sz w:val="20"/>
              </w:rPr>
              <w:t xml:space="preserve"> </w:t>
            </w:r>
            <w:r>
              <w:rPr>
                <w:sz w:val="20"/>
              </w:rPr>
              <w:t>critical</w:t>
            </w:r>
            <w:r>
              <w:rPr>
                <w:spacing w:val="-5"/>
                <w:sz w:val="20"/>
              </w:rPr>
              <w:t xml:space="preserve"> </w:t>
            </w:r>
            <w:r>
              <w:rPr>
                <w:sz w:val="20"/>
              </w:rPr>
              <w:t>step</w:t>
            </w:r>
            <w:r>
              <w:rPr>
                <w:spacing w:val="-5"/>
                <w:sz w:val="20"/>
              </w:rPr>
              <w:t xml:space="preserve"> </w:t>
            </w:r>
            <w:r>
              <w:rPr>
                <w:sz w:val="20"/>
              </w:rPr>
              <w:t>toward</w:t>
            </w:r>
            <w:r>
              <w:rPr>
                <w:spacing w:val="-6"/>
                <w:sz w:val="20"/>
              </w:rPr>
              <w:t xml:space="preserve"> </w:t>
            </w:r>
            <w:r>
              <w:rPr>
                <w:sz w:val="20"/>
              </w:rPr>
              <w:t>the</w:t>
            </w:r>
            <w:r>
              <w:rPr>
                <w:spacing w:val="-5"/>
                <w:sz w:val="20"/>
              </w:rPr>
              <w:t xml:space="preserve"> </w:t>
            </w:r>
            <w:r>
              <w:rPr>
                <w:sz w:val="20"/>
              </w:rPr>
              <w:t>high-value</w:t>
            </w:r>
            <w:r>
              <w:rPr>
                <w:spacing w:val="-5"/>
                <w:sz w:val="20"/>
              </w:rPr>
              <w:t xml:space="preserve"> </w:t>
            </w:r>
            <w:r>
              <w:rPr>
                <w:sz w:val="20"/>
              </w:rPr>
              <w:t>utilization</w:t>
            </w:r>
            <w:r>
              <w:rPr>
                <w:spacing w:val="-5"/>
                <w:sz w:val="20"/>
              </w:rPr>
              <w:t xml:space="preserve"> </w:t>
            </w:r>
            <w:r>
              <w:rPr>
                <w:sz w:val="20"/>
              </w:rPr>
              <w:t>of</w:t>
            </w:r>
            <w:r>
              <w:rPr>
                <w:spacing w:val="-5"/>
                <w:sz w:val="20"/>
              </w:rPr>
              <w:t xml:space="preserve"> </w:t>
            </w:r>
            <w:r>
              <w:rPr>
                <w:sz w:val="20"/>
              </w:rPr>
              <w:t>a</w:t>
            </w:r>
            <w:r>
              <w:rPr>
                <w:spacing w:val="-5"/>
                <w:sz w:val="20"/>
              </w:rPr>
              <w:t xml:space="preserve"> </w:t>
            </w:r>
            <w:r>
              <w:rPr>
                <w:sz w:val="20"/>
              </w:rPr>
              <w:t>globally abundant industrial waste. The authors highlight four (4) major research areas namely foaming technology, red mud modification, aggregate synergy and microstructural performance, offering a low-carbon alternative to traditional insulation materials. Furthermore, the work advances the understanding of microstructural mechanisms, specifically identifying red mud’s emerging role as a foam-stabilizing component that improves slurry rheology and bubble stability. By clearly identifying core research gaps, such as the mechanisms of performance</w:t>
            </w:r>
            <w:r>
              <w:rPr>
                <w:spacing w:val="-3"/>
                <w:sz w:val="20"/>
              </w:rPr>
              <w:t xml:space="preserve"> </w:t>
            </w:r>
            <w:r>
              <w:rPr>
                <w:sz w:val="20"/>
              </w:rPr>
              <w:t>degradation</w:t>
            </w:r>
            <w:r>
              <w:rPr>
                <w:spacing w:val="-3"/>
                <w:sz w:val="20"/>
              </w:rPr>
              <w:t xml:space="preserve"> </w:t>
            </w:r>
            <w:r>
              <w:rPr>
                <w:sz w:val="20"/>
              </w:rPr>
              <w:t>at</w:t>
            </w:r>
            <w:r>
              <w:rPr>
                <w:spacing w:val="-2"/>
                <w:sz w:val="20"/>
              </w:rPr>
              <w:t xml:space="preserve"> </w:t>
            </w:r>
            <w:r>
              <w:rPr>
                <w:sz w:val="20"/>
              </w:rPr>
              <w:t>high</w:t>
            </w:r>
            <w:r>
              <w:rPr>
                <w:spacing w:val="-3"/>
                <w:sz w:val="20"/>
              </w:rPr>
              <w:t xml:space="preserve"> </w:t>
            </w:r>
            <w:r>
              <w:rPr>
                <w:sz w:val="20"/>
              </w:rPr>
              <w:t>red</w:t>
            </w:r>
            <w:r>
              <w:rPr>
                <w:spacing w:val="-3"/>
                <w:sz w:val="20"/>
              </w:rPr>
              <w:t xml:space="preserve"> </w:t>
            </w:r>
            <w:r>
              <w:rPr>
                <w:sz w:val="20"/>
              </w:rPr>
              <w:t>mud</w:t>
            </w:r>
            <w:r>
              <w:rPr>
                <w:spacing w:val="-3"/>
                <w:sz w:val="20"/>
              </w:rPr>
              <w:t xml:space="preserve"> </w:t>
            </w:r>
            <w:r>
              <w:rPr>
                <w:sz w:val="20"/>
              </w:rPr>
              <w:t>content</w:t>
            </w:r>
            <w:r>
              <w:rPr>
                <w:spacing w:val="-2"/>
                <w:sz w:val="20"/>
              </w:rPr>
              <w:t xml:space="preserve"> </w:t>
            </w:r>
            <w:r>
              <w:rPr>
                <w:sz w:val="20"/>
              </w:rPr>
              <w:t>and</w:t>
            </w:r>
            <w:r>
              <w:rPr>
                <w:spacing w:val="-3"/>
                <w:sz w:val="20"/>
              </w:rPr>
              <w:t xml:space="preserve"> </w:t>
            </w:r>
            <w:r>
              <w:rPr>
                <w:sz w:val="20"/>
              </w:rPr>
              <w:t>the</w:t>
            </w:r>
            <w:r>
              <w:rPr>
                <w:spacing w:val="-3"/>
                <w:sz w:val="20"/>
              </w:rPr>
              <w:t xml:space="preserve"> </w:t>
            </w:r>
            <w:r>
              <w:rPr>
                <w:sz w:val="20"/>
              </w:rPr>
              <w:t>lack</w:t>
            </w:r>
            <w:r>
              <w:rPr>
                <w:spacing w:val="-3"/>
                <w:sz w:val="20"/>
              </w:rPr>
              <w:t xml:space="preserve"> </w:t>
            </w:r>
            <w:r>
              <w:rPr>
                <w:sz w:val="20"/>
              </w:rPr>
              <w:t>of</w:t>
            </w:r>
            <w:r>
              <w:rPr>
                <w:spacing w:val="-3"/>
                <w:sz w:val="20"/>
              </w:rPr>
              <w:t xml:space="preserve"> </w:t>
            </w:r>
            <w:r>
              <w:rPr>
                <w:sz w:val="20"/>
              </w:rPr>
              <w:t>long-term</w:t>
            </w:r>
            <w:r>
              <w:rPr>
                <w:spacing w:val="-3"/>
                <w:sz w:val="20"/>
              </w:rPr>
              <w:t xml:space="preserve"> </w:t>
            </w:r>
            <w:r>
              <w:rPr>
                <w:sz w:val="20"/>
              </w:rPr>
              <w:t>durability</w:t>
            </w:r>
            <w:r>
              <w:rPr>
                <w:spacing w:val="-3"/>
                <w:sz w:val="20"/>
              </w:rPr>
              <w:t xml:space="preserve"> </w:t>
            </w:r>
            <w:r>
              <w:rPr>
                <w:sz w:val="20"/>
              </w:rPr>
              <w:t>data,</w:t>
            </w:r>
            <w:r>
              <w:rPr>
                <w:spacing w:val="-2"/>
                <w:sz w:val="20"/>
              </w:rPr>
              <w:t xml:space="preserve"> </w:t>
            </w:r>
            <w:r>
              <w:rPr>
                <w:sz w:val="20"/>
              </w:rPr>
              <w:t>the</w:t>
            </w:r>
            <w:r>
              <w:rPr>
                <w:spacing w:val="-3"/>
                <w:sz w:val="20"/>
              </w:rPr>
              <w:t xml:space="preserve"> </w:t>
            </w:r>
            <w:r>
              <w:rPr>
                <w:sz w:val="20"/>
              </w:rPr>
              <w:t>review</w:t>
            </w:r>
            <w:r>
              <w:rPr>
                <w:spacing w:val="-3"/>
                <w:sz w:val="20"/>
              </w:rPr>
              <w:t xml:space="preserve"> </w:t>
            </w:r>
            <w:r>
              <w:rPr>
                <w:sz w:val="20"/>
              </w:rPr>
              <w:t>provides</w:t>
            </w:r>
            <w:r>
              <w:rPr>
                <w:spacing w:val="-3"/>
                <w:sz w:val="20"/>
              </w:rPr>
              <w:t xml:space="preserve"> </w:t>
            </w:r>
            <w:r>
              <w:rPr>
                <w:sz w:val="20"/>
              </w:rPr>
              <w:t>a</w:t>
            </w:r>
          </w:p>
          <w:p w14:paraId="66DCB5F7">
            <w:pPr>
              <w:pStyle w:val="8"/>
              <w:spacing w:line="208" w:lineRule="exact"/>
              <w:jc w:val="both"/>
              <w:rPr>
                <w:sz w:val="20"/>
              </w:rPr>
            </w:pPr>
            <w:r>
              <w:rPr>
                <w:sz w:val="20"/>
              </w:rPr>
              <w:t>clear</w:t>
            </w:r>
            <w:r>
              <w:rPr>
                <w:spacing w:val="-6"/>
                <w:sz w:val="20"/>
              </w:rPr>
              <w:t xml:space="preserve"> </w:t>
            </w:r>
            <w:r>
              <w:rPr>
                <w:sz w:val="20"/>
              </w:rPr>
              <w:t>and</w:t>
            </w:r>
            <w:r>
              <w:rPr>
                <w:spacing w:val="-5"/>
                <w:sz w:val="20"/>
              </w:rPr>
              <w:t xml:space="preserve"> </w:t>
            </w:r>
            <w:r>
              <w:rPr>
                <w:sz w:val="20"/>
              </w:rPr>
              <w:t>valuable</w:t>
            </w:r>
            <w:r>
              <w:rPr>
                <w:spacing w:val="-6"/>
                <w:sz w:val="20"/>
              </w:rPr>
              <w:t xml:space="preserve"> </w:t>
            </w:r>
            <w:r>
              <w:rPr>
                <w:sz w:val="20"/>
              </w:rPr>
              <w:t>roadmap</w:t>
            </w:r>
            <w:r>
              <w:rPr>
                <w:spacing w:val="-5"/>
                <w:sz w:val="20"/>
              </w:rPr>
              <w:t xml:space="preserve"> </w:t>
            </w:r>
            <w:r>
              <w:rPr>
                <w:sz w:val="20"/>
              </w:rPr>
              <w:t>for</w:t>
            </w:r>
            <w:r>
              <w:rPr>
                <w:spacing w:val="-6"/>
                <w:sz w:val="20"/>
              </w:rPr>
              <w:t xml:space="preserve"> </w:t>
            </w:r>
            <w:r>
              <w:rPr>
                <w:sz w:val="20"/>
              </w:rPr>
              <w:t>future</w:t>
            </w:r>
            <w:r>
              <w:rPr>
                <w:spacing w:val="-5"/>
                <w:sz w:val="20"/>
              </w:rPr>
              <w:t xml:space="preserve"> </w:t>
            </w:r>
            <w:r>
              <w:rPr>
                <w:spacing w:val="-2"/>
                <w:sz w:val="20"/>
              </w:rPr>
              <w:t>investigations.</w:t>
            </w:r>
          </w:p>
        </w:tc>
        <w:tc>
          <w:tcPr>
            <w:tcW w:w="1569" w:type="pct"/>
            <w:vAlign w:val="top"/>
          </w:tcPr>
          <w:p w14:paraId="04E9A74C">
            <w:pPr>
              <w:pStyle w:val="8"/>
              <w:ind w:left="0"/>
              <w:jc w:val="both"/>
              <w:rPr>
                <w:rFonts w:hint="default" w:eastAsia="宋体"/>
                <w:sz w:val="20"/>
                <w:lang w:val="en-US" w:eastAsia="zh-CN"/>
              </w:rPr>
            </w:pPr>
          </w:p>
        </w:tc>
      </w:tr>
      <w:tr w14:paraId="59DDDD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1" w:hRule="atLeast"/>
        </w:trPr>
        <w:tc>
          <w:tcPr>
            <w:tcW w:w="1150" w:type="pct"/>
          </w:tcPr>
          <w:p w14:paraId="5160AB7F">
            <w:pPr>
              <w:pStyle w:val="8"/>
              <w:ind w:left="465"/>
              <w:rPr>
                <w:b/>
                <w:sz w:val="20"/>
              </w:rPr>
            </w:pPr>
            <w:r>
              <w:rPr>
                <w:b/>
                <w:sz w:val="20"/>
              </w:rPr>
              <w:t>Is</w:t>
            </w:r>
            <w:r>
              <w:rPr>
                <w:b/>
                <w:spacing w:val="-4"/>
                <w:sz w:val="20"/>
              </w:rPr>
              <w:t xml:space="preserve"> </w:t>
            </w:r>
            <w:r>
              <w:rPr>
                <w:b/>
                <w:sz w:val="20"/>
              </w:rPr>
              <w:t>the</w:t>
            </w:r>
            <w:r>
              <w:rPr>
                <w:b/>
                <w:spacing w:val="-4"/>
                <w:sz w:val="20"/>
              </w:rPr>
              <w:t xml:space="preserve"> </w:t>
            </w:r>
            <w:r>
              <w:rPr>
                <w:b/>
                <w:sz w:val="20"/>
              </w:rPr>
              <w:t>title</w:t>
            </w:r>
            <w:r>
              <w:rPr>
                <w:b/>
                <w:spacing w:val="-3"/>
                <w:sz w:val="20"/>
              </w:rPr>
              <w:t xml:space="preserve"> </w:t>
            </w:r>
            <w:r>
              <w:rPr>
                <w:b/>
                <w:sz w:val="20"/>
              </w:rPr>
              <w:t>of</w:t>
            </w:r>
            <w:r>
              <w:rPr>
                <w:b/>
                <w:spacing w:val="-4"/>
                <w:sz w:val="20"/>
              </w:rPr>
              <w:t xml:space="preserve"> </w:t>
            </w:r>
            <w:r>
              <w:rPr>
                <w:b/>
                <w:sz w:val="20"/>
              </w:rPr>
              <w:t>the</w:t>
            </w:r>
            <w:r>
              <w:rPr>
                <w:b/>
                <w:spacing w:val="-4"/>
                <w:sz w:val="20"/>
              </w:rPr>
              <w:t xml:space="preserve"> </w:t>
            </w:r>
            <w:r>
              <w:rPr>
                <w:b/>
                <w:sz w:val="20"/>
              </w:rPr>
              <w:t>article</w:t>
            </w:r>
            <w:r>
              <w:rPr>
                <w:b/>
                <w:spacing w:val="-3"/>
                <w:sz w:val="20"/>
              </w:rPr>
              <w:t xml:space="preserve"> </w:t>
            </w:r>
            <w:r>
              <w:rPr>
                <w:b/>
                <w:spacing w:val="-2"/>
                <w:sz w:val="20"/>
              </w:rPr>
              <w:t>suitable?</w:t>
            </w:r>
          </w:p>
          <w:p w14:paraId="5FD567FB">
            <w:pPr>
              <w:pStyle w:val="8"/>
              <w:ind w:left="465"/>
              <w:rPr>
                <w:b/>
                <w:sz w:val="20"/>
              </w:rPr>
            </w:pPr>
            <w:r>
              <w:rPr>
                <w:b/>
                <w:sz w:val="20"/>
              </w:rPr>
              <w:t>(If</w:t>
            </w:r>
            <w:r>
              <w:rPr>
                <w:b/>
                <w:spacing w:val="-6"/>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6"/>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2281" w:type="pct"/>
          </w:tcPr>
          <w:p w14:paraId="58A2FE76">
            <w:pPr>
              <w:pStyle w:val="8"/>
              <w:ind w:right="276"/>
              <w:jc w:val="both"/>
              <w:rPr>
                <w:sz w:val="20"/>
              </w:rPr>
            </w:pPr>
            <w:r>
              <w:rPr>
                <w:sz w:val="20"/>
              </w:rPr>
              <w:t>Generally</w:t>
            </w:r>
            <w:r>
              <w:rPr>
                <w:spacing w:val="-2"/>
                <w:sz w:val="20"/>
              </w:rPr>
              <w:t xml:space="preserve"> </w:t>
            </w:r>
            <w:r>
              <w:rPr>
                <w:sz w:val="20"/>
              </w:rPr>
              <w:t>suitable</w:t>
            </w:r>
            <w:r>
              <w:rPr>
                <w:spacing w:val="-2"/>
                <w:sz w:val="20"/>
              </w:rPr>
              <w:t xml:space="preserve"> </w:t>
            </w:r>
            <w:r>
              <w:rPr>
                <w:sz w:val="20"/>
              </w:rPr>
              <w:t>but</w:t>
            </w:r>
            <w:r>
              <w:rPr>
                <w:spacing w:val="-2"/>
                <w:sz w:val="20"/>
              </w:rPr>
              <w:t xml:space="preserve"> </w:t>
            </w:r>
            <w:r>
              <w:rPr>
                <w:sz w:val="20"/>
              </w:rPr>
              <w:t>may</w:t>
            </w:r>
            <w:r>
              <w:rPr>
                <w:spacing w:val="-2"/>
                <w:sz w:val="20"/>
              </w:rPr>
              <w:t xml:space="preserve"> </w:t>
            </w:r>
            <w:r>
              <w:rPr>
                <w:sz w:val="20"/>
              </w:rPr>
              <w:t>be</w:t>
            </w:r>
            <w:r>
              <w:rPr>
                <w:spacing w:val="-2"/>
                <w:sz w:val="20"/>
              </w:rPr>
              <w:t xml:space="preserve"> </w:t>
            </w:r>
            <w:r>
              <w:rPr>
                <w:sz w:val="20"/>
              </w:rPr>
              <w:t>slightly</w:t>
            </w:r>
            <w:r>
              <w:rPr>
                <w:spacing w:val="-2"/>
                <w:sz w:val="20"/>
              </w:rPr>
              <w:t xml:space="preserve"> </w:t>
            </w:r>
            <w:r>
              <w:rPr>
                <w:sz w:val="20"/>
              </w:rPr>
              <w:t>restrictive</w:t>
            </w:r>
            <w:r>
              <w:rPr>
                <w:spacing w:val="-2"/>
                <w:sz w:val="20"/>
              </w:rPr>
              <w:t xml:space="preserve"> </w:t>
            </w:r>
            <w:r>
              <w:rPr>
                <w:sz w:val="20"/>
              </w:rPr>
              <w:t>based</w:t>
            </w:r>
            <w:r>
              <w:rPr>
                <w:spacing w:val="-2"/>
                <w:sz w:val="20"/>
              </w:rPr>
              <w:t xml:space="preserve"> </w:t>
            </w:r>
            <w:r>
              <w:rPr>
                <w:sz w:val="20"/>
              </w:rPr>
              <w:t>on</w:t>
            </w:r>
            <w:r>
              <w:rPr>
                <w:spacing w:val="-2"/>
                <w:sz w:val="20"/>
              </w:rPr>
              <w:t xml:space="preserve"> </w:t>
            </w:r>
            <w:r>
              <w:rPr>
                <w:sz w:val="20"/>
              </w:rPr>
              <w:t>the</w:t>
            </w:r>
            <w:r>
              <w:rPr>
                <w:spacing w:val="-2"/>
                <w:sz w:val="20"/>
              </w:rPr>
              <w:t xml:space="preserve"> </w:t>
            </w:r>
            <w:r>
              <w:rPr>
                <w:sz w:val="20"/>
              </w:rPr>
              <w:t>full</w:t>
            </w:r>
            <w:r>
              <w:rPr>
                <w:spacing w:val="-2"/>
                <w:sz w:val="20"/>
              </w:rPr>
              <w:t xml:space="preserve"> </w:t>
            </w:r>
            <w:r>
              <w:rPr>
                <w:sz w:val="20"/>
              </w:rPr>
              <w:t>scope</w:t>
            </w:r>
            <w:r>
              <w:rPr>
                <w:spacing w:val="-2"/>
                <w:sz w:val="20"/>
              </w:rPr>
              <w:t xml:space="preserve"> </w:t>
            </w:r>
            <w:r>
              <w:rPr>
                <w:sz w:val="20"/>
              </w:rPr>
              <w:t>of</w:t>
            </w:r>
            <w:r>
              <w:rPr>
                <w:spacing w:val="-2"/>
                <w:sz w:val="20"/>
              </w:rPr>
              <w:t xml:space="preserve"> </w:t>
            </w:r>
            <w:r>
              <w:rPr>
                <w:sz w:val="20"/>
              </w:rPr>
              <w:t>the</w:t>
            </w:r>
            <w:r>
              <w:rPr>
                <w:spacing w:val="-2"/>
                <w:sz w:val="20"/>
              </w:rPr>
              <w:t xml:space="preserve"> </w:t>
            </w:r>
            <w:r>
              <w:rPr>
                <w:sz w:val="20"/>
              </w:rPr>
              <w:t>manuscript.</w:t>
            </w:r>
            <w:r>
              <w:rPr>
                <w:spacing w:val="-2"/>
                <w:sz w:val="20"/>
              </w:rPr>
              <w:t xml:space="preserve"> </w:t>
            </w:r>
            <w:r>
              <w:rPr>
                <w:sz w:val="20"/>
              </w:rPr>
              <w:t>The</w:t>
            </w:r>
            <w:r>
              <w:rPr>
                <w:spacing w:val="-2"/>
                <w:sz w:val="20"/>
              </w:rPr>
              <w:t xml:space="preserve"> </w:t>
            </w:r>
            <w:r>
              <w:rPr>
                <w:sz w:val="20"/>
              </w:rPr>
              <w:t>paper</w:t>
            </w:r>
            <w:r>
              <w:rPr>
                <w:spacing w:val="-2"/>
                <w:sz w:val="20"/>
              </w:rPr>
              <w:t xml:space="preserve"> </w:t>
            </w:r>
            <w:r>
              <w:rPr>
                <w:sz w:val="20"/>
              </w:rPr>
              <w:t>not</w:t>
            </w:r>
            <w:r>
              <w:rPr>
                <w:spacing w:val="-2"/>
                <w:sz w:val="20"/>
              </w:rPr>
              <w:t xml:space="preserve"> </w:t>
            </w:r>
            <w:r>
              <w:rPr>
                <w:sz w:val="20"/>
              </w:rPr>
              <w:t>only focuses</w:t>
            </w:r>
            <w:r>
              <w:rPr>
                <w:spacing w:val="-4"/>
                <w:sz w:val="20"/>
              </w:rPr>
              <w:t xml:space="preserve"> </w:t>
            </w:r>
            <w:r>
              <w:rPr>
                <w:sz w:val="20"/>
              </w:rPr>
              <w:t>exclusively</w:t>
            </w:r>
            <w:r>
              <w:rPr>
                <w:spacing w:val="-4"/>
                <w:sz w:val="20"/>
              </w:rPr>
              <w:t xml:space="preserve"> </w:t>
            </w:r>
            <w:r>
              <w:rPr>
                <w:sz w:val="20"/>
              </w:rPr>
              <w:t>on</w:t>
            </w:r>
            <w:r>
              <w:rPr>
                <w:spacing w:val="-4"/>
                <w:sz w:val="20"/>
              </w:rPr>
              <w:t xml:space="preserve"> </w:t>
            </w:r>
            <w:r>
              <w:rPr>
                <w:sz w:val="20"/>
              </w:rPr>
              <w:t>alkali-activated</w:t>
            </w:r>
            <w:r>
              <w:rPr>
                <w:spacing w:val="-4"/>
                <w:sz w:val="20"/>
              </w:rPr>
              <w:t xml:space="preserve"> </w:t>
            </w:r>
            <w:r>
              <w:rPr>
                <w:sz w:val="20"/>
              </w:rPr>
              <w:t>systems.</w:t>
            </w:r>
            <w:r>
              <w:rPr>
                <w:spacing w:val="-4"/>
                <w:sz w:val="20"/>
              </w:rPr>
              <w:t xml:space="preserve"> </w:t>
            </w:r>
            <w:r>
              <w:rPr>
                <w:sz w:val="20"/>
              </w:rPr>
              <w:t>However,</w:t>
            </w:r>
            <w:r>
              <w:rPr>
                <w:spacing w:val="-3"/>
                <w:sz w:val="20"/>
              </w:rPr>
              <w:t xml:space="preserve"> </w:t>
            </w:r>
            <w:r>
              <w:rPr>
                <w:sz w:val="20"/>
              </w:rPr>
              <w:t>it</w:t>
            </w:r>
            <w:r>
              <w:rPr>
                <w:spacing w:val="-4"/>
                <w:sz w:val="20"/>
              </w:rPr>
              <w:t xml:space="preserve"> </w:t>
            </w:r>
            <w:r>
              <w:rPr>
                <w:sz w:val="20"/>
              </w:rPr>
              <w:t>includes</w:t>
            </w:r>
            <w:r>
              <w:rPr>
                <w:spacing w:val="-4"/>
                <w:sz w:val="20"/>
              </w:rPr>
              <w:t xml:space="preserve"> </w:t>
            </w:r>
            <w:r>
              <w:rPr>
                <w:sz w:val="20"/>
              </w:rPr>
              <w:t>the</w:t>
            </w:r>
            <w:r>
              <w:rPr>
                <w:spacing w:val="-4"/>
                <w:sz w:val="20"/>
              </w:rPr>
              <w:t xml:space="preserve"> </w:t>
            </w:r>
            <w:r>
              <w:rPr>
                <w:sz w:val="20"/>
              </w:rPr>
              <w:t>cement-blended</w:t>
            </w:r>
            <w:r>
              <w:rPr>
                <w:spacing w:val="-4"/>
                <w:sz w:val="20"/>
              </w:rPr>
              <w:t xml:space="preserve"> </w:t>
            </w:r>
            <w:r>
              <w:rPr>
                <w:sz w:val="20"/>
              </w:rPr>
              <w:t>systems</w:t>
            </w:r>
            <w:r>
              <w:rPr>
                <w:spacing w:val="-4"/>
                <w:sz w:val="20"/>
              </w:rPr>
              <w:t xml:space="preserve"> </w:t>
            </w:r>
            <w:r>
              <w:rPr>
                <w:sz w:val="20"/>
              </w:rPr>
              <w:t>described</w:t>
            </w:r>
            <w:r>
              <w:rPr>
                <w:spacing w:val="-4"/>
                <w:sz w:val="20"/>
              </w:rPr>
              <w:t xml:space="preserve"> </w:t>
            </w:r>
            <w:r>
              <w:rPr>
                <w:sz w:val="20"/>
              </w:rPr>
              <w:t>in the text, a more inclusive title would be more accurate.</w:t>
            </w:r>
          </w:p>
          <w:p w14:paraId="561A00E8">
            <w:pPr>
              <w:pStyle w:val="8"/>
              <w:spacing w:before="1"/>
              <w:ind w:right="145"/>
              <w:jc w:val="both"/>
              <w:rPr>
                <w:sz w:val="20"/>
              </w:rPr>
            </w:pPr>
            <w:r>
              <w:rPr>
                <w:b/>
                <w:sz w:val="20"/>
              </w:rPr>
              <w:t>Foamed</w:t>
            </w:r>
            <w:r>
              <w:rPr>
                <w:b/>
                <w:spacing w:val="-3"/>
                <w:sz w:val="20"/>
              </w:rPr>
              <w:t xml:space="preserve"> </w:t>
            </w:r>
            <w:r>
              <w:rPr>
                <w:b/>
                <w:sz w:val="20"/>
              </w:rPr>
              <w:t>Red</w:t>
            </w:r>
            <w:r>
              <w:rPr>
                <w:b/>
                <w:spacing w:val="-3"/>
                <w:sz w:val="20"/>
              </w:rPr>
              <w:t xml:space="preserve"> </w:t>
            </w:r>
            <w:r>
              <w:rPr>
                <w:b/>
                <w:sz w:val="20"/>
              </w:rPr>
              <w:t>Mud-Based</w:t>
            </w:r>
            <w:r>
              <w:rPr>
                <w:b/>
                <w:spacing w:val="-3"/>
                <w:sz w:val="20"/>
              </w:rPr>
              <w:t xml:space="preserve"> </w:t>
            </w:r>
            <w:r>
              <w:rPr>
                <w:b/>
                <w:sz w:val="20"/>
              </w:rPr>
              <w:t>Concrete</w:t>
            </w:r>
            <w:r>
              <w:rPr>
                <w:sz w:val="20"/>
              </w:rPr>
              <w:t>:</w:t>
            </w:r>
            <w:r>
              <w:rPr>
                <w:spacing w:val="-3"/>
                <w:sz w:val="20"/>
              </w:rPr>
              <w:t xml:space="preserve"> </w:t>
            </w:r>
            <w:r>
              <w:rPr>
                <w:sz w:val="20"/>
              </w:rPr>
              <w:t>A</w:t>
            </w:r>
            <w:r>
              <w:rPr>
                <w:spacing w:val="-4"/>
                <w:sz w:val="20"/>
              </w:rPr>
              <w:t xml:space="preserve"> </w:t>
            </w:r>
            <w:r>
              <w:rPr>
                <w:sz w:val="20"/>
              </w:rPr>
              <w:t>Comprehensive</w:t>
            </w:r>
            <w:r>
              <w:rPr>
                <w:spacing w:val="-3"/>
                <w:sz w:val="20"/>
              </w:rPr>
              <w:t xml:space="preserve"> </w:t>
            </w:r>
            <w:r>
              <w:rPr>
                <w:sz w:val="20"/>
              </w:rPr>
              <w:t>Review</w:t>
            </w:r>
            <w:r>
              <w:rPr>
                <w:spacing w:val="-4"/>
                <w:sz w:val="20"/>
              </w:rPr>
              <w:t xml:space="preserve"> </w:t>
            </w:r>
            <w:r>
              <w:rPr>
                <w:sz w:val="20"/>
              </w:rPr>
              <w:t>of</w:t>
            </w:r>
            <w:r>
              <w:rPr>
                <w:spacing w:val="-3"/>
                <w:sz w:val="20"/>
              </w:rPr>
              <w:t xml:space="preserve"> </w:t>
            </w:r>
            <w:r>
              <w:rPr>
                <w:sz w:val="20"/>
              </w:rPr>
              <w:t>Synthesis,</w:t>
            </w:r>
            <w:r>
              <w:rPr>
                <w:spacing w:val="-3"/>
                <w:sz w:val="20"/>
              </w:rPr>
              <w:t xml:space="preserve"> </w:t>
            </w:r>
            <w:r>
              <w:rPr>
                <w:sz w:val="20"/>
              </w:rPr>
              <w:t>Microstructural</w:t>
            </w:r>
            <w:r>
              <w:rPr>
                <w:spacing w:val="-3"/>
                <w:sz w:val="20"/>
              </w:rPr>
              <w:t xml:space="preserve"> </w:t>
            </w:r>
            <w:r>
              <w:rPr>
                <w:sz w:val="20"/>
              </w:rPr>
              <w:t>Mechanisms,</w:t>
            </w:r>
            <w:r>
              <w:rPr>
                <w:spacing w:val="-3"/>
                <w:sz w:val="20"/>
              </w:rPr>
              <w:t xml:space="preserve"> </w:t>
            </w:r>
            <w:r>
              <w:rPr>
                <w:sz w:val="20"/>
              </w:rPr>
              <w:t>and Thermo-Mechanical Performance.</w:t>
            </w:r>
          </w:p>
        </w:tc>
        <w:tc>
          <w:tcPr>
            <w:tcW w:w="1569" w:type="pct"/>
            <w:vAlign w:val="top"/>
          </w:tcPr>
          <w:p w14:paraId="24C64BA9">
            <w:pPr>
              <w:pStyle w:val="8"/>
              <w:ind w:left="0"/>
              <w:jc w:val="center"/>
              <w:rPr>
                <w:rFonts w:hint="default" w:eastAsia="宋体"/>
                <w:sz w:val="20"/>
                <w:lang w:val="en-US" w:eastAsia="zh-CN"/>
              </w:rPr>
            </w:pPr>
          </w:p>
        </w:tc>
      </w:tr>
      <w:tr w14:paraId="15E330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2" w:hRule="atLeast"/>
        </w:trPr>
        <w:tc>
          <w:tcPr>
            <w:tcW w:w="1150" w:type="pct"/>
          </w:tcPr>
          <w:p w14:paraId="371BF28D">
            <w:pPr>
              <w:pStyle w:val="8"/>
              <w:ind w:left="465" w:right="146"/>
              <w:rPr>
                <w:b/>
                <w:sz w:val="20"/>
              </w:rPr>
            </w:pPr>
            <w:r>
              <w:rPr>
                <w:b/>
                <w:sz w:val="20"/>
              </w:rPr>
              <w:t>Is the abstract of the article comprehensive? Do you suggest</w:t>
            </w:r>
            <w:r>
              <w:rPr>
                <w:b/>
                <w:spacing w:val="-5"/>
                <w:sz w:val="20"/>
              </w:rPr>
              <w:t xml:space="preserve"> </w:t>
            </w:r>
            <w:r>
              <w:rPr>
                <w:b/>
                <w:sz w:val="20"/>
              </w:rPr>
              <w:t>the</w:t>
            </w:r>
            <w:r>
              <w:rPr>
                <w:b/>
                <w:spacing w:val="-5"/>
                <w:sz w:val="20"/>
              </w:rPr>
              <w:t xml:space="preserve"> </w:t>
            </w:r>
            <w:r>
              <w:rPr>
                <w:b/>
                <w:sz w:val="20"/>
              </w:rPr>
              <w:t>addition</w:t>
            </w:r>
            <w:r>
              <w:rPr>
                <w:b/>
                <w:spacing w:val="-5"/>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5"/>
                <w:sz w:val="20"/>
              </w:rPr>
              <w:t xml:space="preserve"> </w:t>
            </w:r>
            <w:r>
              <w:rPr>
                <w:b/>
                <w:sz w:val="20"/>
              </w:rPr>
              <w:t>in</w:t>
            </w:r>
            <w:r>
              <w:rPr>
                <w:b/>
                <w:spacing w:val="-5"/>
                <w:sz w:val="20"/>
              </w:rPr>
              <w:t xml:space="preserve"> </w:t>
            </w:r>
            <w:r>
              <w:rPr>
                <w:b/>
                <w:sz w:val="20"/>
              </w:rPr>
              <w:t>this section? Please write your suggestions here.</w:t>
            </w:r>
          </w:p>
        </w:tc>
        <w:tc>
          <w:tcPr>
            <w:tcW w:w="2281" w:type="pct"/>
          </w:tcPr>
          <w:p w14:paraId="5A6AB6C6">
            <w:pPr>
              <w:pStyle w:val="8"/>
              <w:ind w:right="96"/>
              <w:jc w:val="both"/>
              <w:rPr>
                <w:sz w:val="20"/>
              </w:rPr>
            </w:pPr>
            <w:r>
              <w:rPr>
                <w:sz w:val="20"/>
              </w:rPr>
              <w:t xml:space="preserve">The abstract is well-structured but if the author decide to broaden the title (as discussed previously), ensure the abstract uses the term </w:t>
            </w:r>
            <w:r>
              <w:rPr>
                <w:b/>
                <w:sz w:val="20"/>
              </w:rPr>
              <w:t xml:space="preserve">"foamed red mud-based concrete (FRMC)" </w:t>
            </w:r>
            <w:r>
              <w:rPr>
                <w:sz w:val="20"/>
              </w:rPr>
              <w:t>consistently rather than just "geopolymer concrete" to reflect the inclusion of OPC-blended systems.</w:t>
            </w:r>
          </w:p>
          <w:p w14:paraId="4B84D1B5">
            <w:pPr>
              <w:pStyle w:val="8"/>
              <w:spacing w:before="1"/>
              <w:ind w:right="96"/>
              <w:jc w:val="both"/>
              <w:rPr>
                <w:sz w:val="20"/>
              </w:rPr>
            </w:pPr>
            <w:r>
              <w:rPr>
                <w:sz w:val="20"/>
              </w:rPr>
              <w:t>The</w:t>
            </w:r>
            <w:r>
              <w:rPr>
                <w:spacing w:val="-7"/>
                <w:sz w:val="20"/>
              </w:rPr>
              <w:t xml:space="preserve"> </w:t>
            </w:r>
            <w:r>
              <w:rPr>
                <w:sz w:val="20"/>
              </w:rPr>
              <w:t>abstract</w:t>
            </w:r>
            <w:r>
              <w:rPr>
                <w:spacing w:val="-6"/>
                <w:sz w:val="20"/>
              </w:rPr>
              <w:t xml:space="preserve"> </w:t>
            </w:r>
            <w:r>
              <w:rPr>
                <w:sz w:val="20"/>
              </w:rPr>
              <w:t>ends</w:t>
            </w:r>
            <w:r>
              <w:rPr>
                <w:spacing w:val="-7"/>
                <w:sz w:val="20"/>
              </w:rPr>
              <w:t xml:space="preserve"> </w:t>
            </w:r>
            <w:r>
              <w:rPr>
                <w:sz w:val="20"/>
              </w:rPr>
              <w:t>with</w:t>
            </w:r>
            <w:r>
              <w:rPr>
                <w:spacing w:val="-7"/>
                <w:sz w:val="20"/>
              </w:rPr>
              <w:t xml:space="preserve"> </w:t>
            </w:r>
            <w:r>
              <w:rPr>
                <w:sz w:val="20"/>
              </w:rPr>
              <w:t>the</w:t>
            </w:r>
            <w:r>
              <w:rPr>
                <w:spacing w:val="-7"/>
                <w:sz w:val="20"/>
              </w:rPr>
              <w:t xml:space="preserve"> </w:t>
            </w:r>
            <w:r>
              <w:rPr>
                <w:sz w:val="20"/>
              </w:rPr>
              <w:t>promising</w:t>
            </w:r>
            <w:r>
              <w:rPr>
                <w:spacing w:val="-7"/>
                <w:sz w:val="20"/>
              </w:rPr>
              <w:t xml:space="preserve"> </w:t>
            </w:r>
            <w:r>
              <w:rPr>
                <w:sz w:val="20"/>
              </w:rPr>
              <w:t>performance</w:t>
            </w:r>
            <w:r>
              <w:rPr>
                <w:spacing w:val="-7"/>
                <w:sz w:val="20"/>
              </w:rPr>
              <w:t xml:space="preserve"> </w:t>
            </w:r>
            <w:r>
              <w:rPr>
                <w:sz w:val="20"/>
              </w:rPr>
              <w:t>data.</w:t>
            </w:r>
            <w:r>
              <w:rPr>
                <w:spacing w:val="-6"/>
                <w:sz w:val="20"/>
              </w:rPr>
              <w:t xml:space="preserve"> </w:t>
            </w:r>
            <w:r>
              <w:rPr>
                <w:sz w:val="20"/>
              </w:rPr>
              <w:t>It</w:t>
            </w:r>
            <w:r>
              <w:rPr>
                <w:spacing w:val="-7"/>
                <w:sz w:val="20"/>
              </w:rPr>
              <w:t xml:space="preserve"> </w:t>
            </w:r>
            <w:r>
              <w:rPr>
                <w:sz w:val="20"/>
              </w:rPr>
              <w:t>is</w:t>
            </w:r>
            <w:r>
              <w:rPr>
                <w:spacing w:val="-7"/>
                <w:sz w:val="20"/>
              </w:rPr>
              <w:t xml:space="preserve"> </w:t>
            </w:r>
            <w:r>
              <w:rPr>
                <w:sz w:val="20"/>
              </w:rPr>
              <w:t>suggested</w:t>
            </w:r>
            <w:r>
              <w:rPr>
                <w:spacing w:val="-7"/>
                <w:sz w:val="20"/>
              </w:rPr>
              <w:t xml:space="preserve"> </w:t>
            </w:r>
            <w:r>
              <w:rPr>
                <w:sz w:val="20"/>
              </w:rPr>
              <w:t>to</w:t>
            </w:r>
            <w:r>
              <w:rPr>
                <w:spacing w:val="-7"/>
                <w:sz w:val="20"/>
              </w:rPr>
              <w:t xml:space="preserve"> </w:t>
            </w:r>
            <w:r>
              <w:rPr>
                <w:sz w:val="20"/>
              </w:rPr>
              <w:t>briefly</w:t>
            </w:r>
            <w:r>
              <w:rPr>
                <w:spacing w:val="-7"/>
                <w:sz w:val="20"/>
              </w:rPr>
              <w:t xml:space="preserve"> </w:t>
            </w:r>
            <w:r>
              <w:rPr>
                <w:sz w:val="20"/>
              </w:rPr>
              <w:t>summarize</w:t>
            </w:r>
            <w:r>
              <w:rPr>
                <w:spacing w:val="-7"/>
                <w:sz w:val="20"/>
              </w:rPr>
              <w:t xml:space="preserve"> </w:t>
            </w:r>
            <w:r>
              <w:rPr>
                <w:sz w:val="20"/>
              </w:rPr>
              <w:t>the</w:t>
            </w:r>
            <w:r>
              <w:rPr>
                <w:spacing w:val="-7"/>
                <w:sz w:val="20"/>
              </w:rPr>
              <w:t xml:space="preserve"> </w:t>
            </w:r>
            <w:r>
              <w:rPr>
                <w:sz w:val="20"/>
              </w:rPr>
              <w:t>main</w:t>
            </w:r>
            <w:r>
              <w:rPr>
                <w:spacing w:val="-7"/>
                <w:sz w:val="20"/>
              </w:rPr>
              <w:t xml:space="preserve"> </w:t>
            </w:r>
            <w:r>
              <w:rPr>
                <w:sz w:val="20"/>
              </w:rPr>
              <w:t>conclusions regarding the current limitation and future research needs.</w:t>
            </w:r>
          </w:p>
        </w:tc>
        <w:tc>
          <w:tcPr>
            <w:tcW w:w="1569" w:type="pct"/>
            <w:vAlign w:val="top"/>
          </w:tcPr>
          <w:p w14:paraId="22B076A4">
            <w:pPr>
              <w:pStyle w:val="8"/>
              <w:ind w:left="0"/>
              <w:jc w:val="center"/>
              <w:rPr>
                <w:rFonts w:hint="eastAsia" w:eastAsia="宋体"/>
                <w:sz w:val="20"/>
                <w:lang w:val="en-US" w:eastAsia="zh-CN"/>
              </w:rPr>
            </w:pPr>
          </w:p>
        </w:tc>
      </w:tr>
      <w:tr w14:paraId="60A680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5" w:hRule="atLeast"/>
        </w:trPr>
        <w:tc>
          <w:tcPr>
            <w:tcW w:w="1150" w:type="pct"/>
          </w:tcPr>
          <w:p w14:paraId="6FE58EF7">
            <w:pPr>
              <w:pStyle w:val="8"/>
              <w:ind w:left="465" w:right="146"/>
              <w:rPr>
                <w:b/>
                <w:sz w:val="20"/>
              </w:rPr>
            </w:pPr>
            <w:r>
              <w:rPr>
                <w:b/>
                <w:sz w:val="20"/>
              </w:rPr>
              <w:t>Is</w:t>
            </w:r>
            <w:r>
              <w:rPr>
                <w:b/>
                <w:spacing w:val="-6"/>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scientifically,</w:t>
            </w:r>
            <w:r>
              <w:rPr>
                <w:b/>
                <w:spacing w:val="-6"/>
                <w:sz w:val="20"/>
              </w:rPr>
              <w:t xml:space="preserve"> </w:t>
            </w:r>
            <w:r>
              <w:rPr>
                <w:b/>
                <w:sz w:val="20"/>
              </w:rPr>
              <w:t>correct?</w:t>
            </w:r>
            <w:r>
              <w:rPr>
                <w:b/>
                <w:spacing w:val="-6"/>
                <w:sz w:val="20"/>
              </w:rPr>
              <w:t xml:space="preserve"> </w:t>
            </w:r>
            <w:r>
              <w:rPr>
                <w:b/>
                <w:sz w:val="20"/>
              </w:rPr>
              <w:t>Please</w:t>
            </w:r>
            <w:r>
              <w:rPr>
                <w:b/>
                <w:spacing w:val="-6"/>
                <w:sz w:val="20"/>
              </w:rPr>
              <w:t xml:space="preserve"> </w:t>
            </w:r>
            <w:r>
              <w:rPr>
                <w:b/>
                <w:sz w:val="20"/>
              </w:rPr>
              <w:t xml:space="preserve">write </w:t>
            </w:r>
            <w:r>
              <w:rPr>
                <w:b/>
                <w:spacing w:val="-2"/>
                <w:sz w:val="20"/>
              </w:rPr>
              <w:t>here.</w:t>
            </w:r>
          </w:p>
        </w:tc>
        <w:tc>
          <w:tcPr>
            <w:tcW w:w="2281" w:type="pct"/>
          </w:tcPr>
          <w:p w14:paraId="1D2D61CF">
            <w:pPr>
              <w:pStyle w:val="8"/>
              <w:rPr>
                <w:sz w:val="20"/>
              </w:rPr>
            </w:pPr>
            <w:r>
              <w:rPr>
                <w:sz w:val="20"/>
              </w:rPr>
              <w:t>Yes,</w:t>
            </w:r>
            <w:r>
              <w:rPr>
                <w:spacing w:val="-7"/>
                <w:sz w:val="20"/>
              </w:rPr>
              <w:t xml:space="preserve"> </w:t>
            </w:r>
            <w:r>
              <w:rPr>
                <w:sz w:val="20"/>
              </w:rPr>
              <w:t>the</w:t>
            </w:r>
            <w:r>
              <w:rPr>
                <w:spacing w:val="-7"/>
                <w:sz w:val="20"/>
              </w:rPr>
              <w:t xml:space="preserve"> </w:t>
            </w:r>
            <w:r>
              <w:rPr>
                <w:sz w:val="20"/>
              </w:rPr>
              <w:t>manuscript</w:t>
            </w:r>
            <w:r>
              <w:rPr>
                <w:spacing w:val="-7"/>
                <w:sz w:val="20"/>
              </w:rPr>
              <w:t xml:space="preserve"> </w:t>
            </w:r>
            <w:r>
              <w:rPr>
                <w:sz w:val="20"/>
              </w:rPr>
              <w:t>is</w:t>
            </w:r>
            <w:r>
              <w:rPr>
                <w:spacing w:val="-7"/>
                <w:sz w:val="20"/>
              </w:rPr>
              <w:t xml:space="preserve"> </w:t>
            </w:r>
            <w:r>
              <w:rPr>
                <w:sz w:val="20"/>
              </w:rPr>
              <w:t>scientifically</w:t>
            </w:r>
            <w:r>
              <w:rPr>
                <w:spacing w:val="-7"/>
                <w:sz w:val="20"/>
              </w:rPr>
              <w:t xml:space="preserve"> </w:t>
            </w:r>
            <w:r>
              <w:rPr>
                <w:spacing w:val="-2"/>
                <w:sz w:val="20"/>
              </w:rPr>
              <w:t>correct.</w:t>
            </w:r>
          </w:p>
        </w:tc>
        <w:tc>
          <w:tcPr>
            <w:tcW w:w="1569" w:type="pct"/>
          </w:tcPr>
          <w:p w14:paraId="5CFF0A1B">
            <w:pPr>
              <w:pStyle w:val="8"/>
              <w:ind w:left="0"/>
              <w:rPr>
                <w:sz w:val="20"/>
              </w:rPr>
            </w:pPr>
          </w:p>
        </w:tc>
      </w:tr>
      <w:tr w14:paraId="43835A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0" w:hRule="atLeast"/>
        </w:trPr>
        <w:tc>
          <w:tcPr>
            <w:tcW w:w="1150" w:type="pct"/>
          </w:tcPr>
          <w:p w14:paraId="4C6D2A06">
            <w:pPr>
              <w:pStyle w:val="8"/>
              <w:spacing w:line="230" w:lineRule="atLeast"/>
              <w:ind w:left="465" w:right="146"/>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5"/>
                <w:sz w:val="20"/>
              </w:rPr>
              <w:t xml:space="preserve"> </w:t>
            </w:r>
            <w:r>
              <w:rPr>
                <w:b/>
                <w:sz w:val="20"/>
              </w:rPr>
              <w:t>sufficient</w:t>
            </w:r>
            <w:r>
              <w:rPr>
                <w:b/>
                <w:spacing w:val="-5"/>
                <w:sz w:val="20"/>
              </w:rPr>
              <w:t xml:space="preserve"> </w:t>
            </w:r>
            <w:r>
              <w:rPr>
                <w:b/>
                <w:sz w:val="20"/>
              </w:rPr>
              <w:t>and</w:t>
            </w:r>
            <w:r>
              <w:rPr>
                <w:b/>
                <w:spacing w:val="-5"/>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5"/>
                <w:sz w:val="20"/>
              </w:rPr>
              <w:t xml:space="preserve"> </w:t>
            </w:r>
            <w:r>
              <w:rPr>
                <w:b/>
                <w:sz w:val="20"/>
              </w:rPr>
              <w:t>have suggestions of additional references, please mention them in the review form.</w:t>
            </w:r>
          </w:p>
        </w:tc>
        <w:tc>
          <w:tcPr>
            <w:tcW w:w="2281" w:type="pct"/>
          </w:tcPr>
          <w:p w14:paraId="2158F2DD">
            <w:pPr>
              <w:pStyle w:val="8"/>
              <w:rPr>
                <w:sz w:val="20"/>
              </w:rPr>
            </w:pPr>
            <w:r>
              <w:rPr>
                <w:sz w:val="20"/>
              </w:rPr>
              <w:t>The</w:t>
            </w:r>
            <w:r>
              <w:rPr>
                <w:spacing w:val="20"/>
                <w:sz w:val="20"/>
              </w:rPr>
              <w:t xml:space="preserve"> </w:t>
            </w:r>
            <w:r>
              <w:rPr>
                <w:sz w:val="20"/>
              </w:rPr>
              <w:t>references</w:t>
            </w:r>
            <w:r>
              <w:rPr>
                <w:spacing w:val="20"/>
                <w:sz w:val="20"/>
              </w:rPr>
              <w:t xml:space="preserve"> </w:t>
            </w:r>
            <w:r>
              <w:rPr>
                <w:sz w:val="20"/>
              </w:rPr>
              <w:t>provided</w:t>
            </w:r>
            <w:r>
              <w:rPr>
                <w:spacing w:val="19"/>
                <w:sz w:val="20"/>
              </w:rPr>
              <w:t xml:space="preserve"> </w:t>
            </w:r>
            <w:r>
              <w:rPr>
                <w:sz w:val="20"/>
              </w:rPr>
              <w:t>are</w:t>
            </w:r>
            <w:r>
              <w:rPr>
                <w:spacing w:val="20"/>
                <w:sz w:val="20"/>
              </w:rPr>
              <w:t xml:space="preserve"> </w:t>
            </w:r>
            <w:r>
              <w:rPr>
                <w:sz w:val="20"/>
              </w:rPr>
              <w:t>exceptionally</w:t>
            </w:r>
            <w:r>
              <w:rPr>
                <w:spacing w:val="21"/>
                <w:sz w:val="20"/>
              </w:rPr>
              <w:t xml:space="preserve"> </w:t>
            </w:r>
            <w:r>
              <w:rPr>
                <w:sz w:val="20"/>
              </w:rPr>
              <w:t>recent,</w:t>
            </w:r>
            <w:r>
              <w:rPr>
                <w:spacing w:val="20"/>
                <w:sz w:val="20"/>
              </w:rPr>
              <w:t xml:space="preserve"> </w:t>
            </w:r>
            <w:r>
              <w:rPr>
                <w:sz w:val="20"/>
              </w:rPr>
              <w:t>but</w:t>
            </w:r>
            <w:r>
              <w:rPr>
                <w:spacing w:val="20"/>
                <w:sz w:val="20"/>
              </w:rPr>
              <w:t xml:space="preserve"> </w:t>
            </w:r>
            <w:r>
              <w:rPr>
                <w:sz w:val="20"/>
              </w:rPr>
              <w:t>their</w:t>
            </w:r>
            <w:r>
              <w:rPr>
                <w:spacing w:val="20"/>
                <w:sz w:val="20"/>
              </w:rPr>
              <w:t xml:space="preserve"> </w:t>
            </w:r>
            <w:r>
              <w:rPr>
                <w:sz w:val="20"/>
              </w:rPr>
              <w:t>sufficiency</w:t>
            </w:r>
            <w:r>
              <w:rPr>
                <w:spacing w:val="19"/>
                <w:sz w:val="20"/>
              </w:rPr>
              <w:t xml:space="preserve"> </w:t>
            </w:r>
            <w:r>
              <w:rPr>
                <w:sz w:val="20"/>
              </w:rPr>
              <w:t>may</w:t>
            </w:r>
            <w:r>
              <w:rPr>
                <w:spacing w:val="20"/>
                <w:sz w:val="20"/>
              </w:rPr>
              <w:t xml:space="preserve"> </w:t>
            </w:r>
            <w:r>
              <w:rPr>
                <w:sz w:val="20"/>
              </w:rPr>
              <w:t>be</w:t>
            </w:r>
            <w:r>
              <w:rPr>
                <w:spacing w:val="20"/>
                <w:sz w:val="20"/>
              </w:rPr>
              <w:t xml:space="preserve"> </w:t>
            </w:r>
            <w:r>
              <w:rPr>
                <w:sz w:val="20"/>
              </w:rPr>
              <w:t>questioned</w:t>
            </w:r>
            <w:r>
              <w:rPr>
                <w:spacing w:val="20"/>
                <w:sz w:val="20"/>
              </w:rPr>
              <w:t xml:space="preserve"> </w:t>
            </w:r>
            <w:r>
              <w:rPr>
                <w:sz w:val="20"/>
              </w:rPr>
              <w:t>for</w:t>
            </w:r>
            <w:r>
              <w:rPr>
                <w:spacing w:val="20"/>
                <w:sz w:val="20"/>
              </w:rPr>
              <w:t xml:space="preserve"> </w:t>
            </w:r>
            <w:r>
              <w:rPr>
                <w:sz w:val="20"/>
              </w:rPr>
              <w:t>a</w:t>
            </w:r>
            <w:r>
              <w:rPr>
                <w:spacing w:val="20"/>
                <w:sz w:val="20"/>
              </w:rPr>
              <w:t xml:space="preserve"> </w:t>
            </w:r>
            <w:r>
              <w:rPr>
                <w:sz w:val="20"/>
              </w:rPr>
              <w:t>paper</w:t>
            </w:r>
            <w:r>
              <w:rPr>
                <w:spacing w:val="20"/>
                <w:sz w:val="20"/>
              </w:rPr>
              <w:t xml:space="preserve"> </w:t>
            </w:r>
            <w:r>
              <w:rPr>
                <w:sz w:val="20"/>
              </w:rPr>
              <w:t>titled</w:t>
            </w:r>
            <w:r>
              <w:rPr>
                <w:spacing w:val="20"/>
                <w:sz w:val="20"/>
              </w:rPr>
              <w:t xml:space="preserve"> </w:t>
            </w:r>
            <w:r>
              <w:rPr>
                <w:sz w:val="20"/>
              </w:rPr>
              <w:t>a "Comprehensive Review." For a review of this scope, 30 references is relatively low.</w:t>
            </w:r>
          </w:p>
        </w:tc>
        <w:tc>
          <w:tcPr>
            <w:tcW w:w="1569" w:type="pct"/>
          </w:tcPr>
          <w:p w14:paraId="43EBB0F4">
            <w:pPr>
              <w:pStyle w:val="8"/>
              <w:ind w:left="0"/>
              <w:rPr>
                <w:sz w:val="20"/>
              </w:rPr>
            </w:pPr>
            <w:bookmarkStart w:id="0" w:name="_GoBack"/>
            <w:r>
              <w:rPr>
                <w:sz w:val="20"/>
              </w:rPr>
              <w:t>We agree that broader literature coverage is important for a manuscript presented as a comprehensive review. In the revised version, the number of references has been increased from 30 to 45, with additional relevant studies incorporated throughout the manuscript to strengthen its comprehensiveness and literature coverage.</w:t>
            </w:r>
            <w:bookmarkEnd w:id="0"/>
          </w:p>
        </w:tc>
      </w:tr>
    </w:tbl>
    <w:p w14:paraId="385D974A">
      <w:pPr>
        <w:pStyle w:val="2"/>
        <w:spacing w:before="83"/>
        <w:ind w:left="128"/>
        <w:rPr>
          <w:color w:val="000000"/>
          <w:highlight w:val="yellow"/>
        </w:rPr>
      </w:pPr>
    </w:p>
    <w:p w14:paraId="5BC9DD4F">
      <w:pPr>
        <w:pStyle w:val="2"/>
        <w:spacing w:before="83"/>
        <w:ind w:left="128"/>
        <w:rPr>
          <w:color w:val="000000"/>
          <w:highlight w:val="yellow"/>
        </w:rPr>
      </w:pPr>
    </w:p>
    <w:p w14:paraId="40D213FC">
      <w:pPr>
        <w:pStyle w:val="2"/>
        <w:spacing w:before="83"/>
        <w:ind w:left="128"/>
      </w:pPr>
      <w:r>
        <w:rPr>
          <w:color w:val="000000"/>
          <w:highlight w:val="yellow"/>
        </w:rPr>
        <w:t>PART</w:t>
      </w:r>
      <w:r>
        <w:rPr>
          <w:color w:val="000000"/>
          <w:spacing w:val="43"/>
          <w:highlight w:val="yellow"/>
        </w:rPr>
        <w:t xml:space="preserve"> </w:t>
      </w:r>
      <w:r>
        <w:rPr>
          <w:color w:val="000000"/>
          <w:highlight w:val="yellow"/>
        </w:rPr>
        <w:t>1:</w:t>
      </w:r>
      <w:r>
        <w:rPr>
          <w:color w:val="000000"/>
          <w:spacing w:val="-3"/>
        </w:rPr>
        <w:t xml:space="preserve"> </w:t>
      </w:r>
      <w:r>
        <w:rPr>
          <w:color w:val="000000"/>
          <w:spacing w:val="-2"/>
        </w:rPr>
        <w:t>Comments</w:t>
      </w:r>
    </w:p>
    <w:p w14:paraId="1758A835">
      <w:pPr>
        <w:rPr>
          <w:sz w:val="20"/>
        </w:rPr>
        <w:sectPr>
          <w:headerReference r:id="rId3" w:type="default"/>
          <w:footerReference r:id="rId4" w:type="default"/>
          <w:type w:val="continuous"/>
          <w:pgSz w:w="23820" w:h="16840" w:orient="landscape"/>
          <w:pgMar w:top="1740" w:right="1417" w:bottom="880" w:left="1417" w:header="1285" w:footer="695" w:gutter="0"/>
          <w:pgNumType w:start="1"/>
          <w:cols w:space="720" w:num="1"/>
        </w:sectPr>
      </w:pPr>
    </w:p>
    <w:tbl>
      <w:tblPr>
        <w:tblStyle w:val="4"/>
        <w:tblpPr w:leftFromText="180" w:rightFromText="180" w:vertAnchor="text" w:horzAnchor="margin" w:tblpY="48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99"/>
        <w:gridCol w:w="9259"/>
        <w:gridCol w:w="6374"/>
      </w:tblGrid>
      <w:tr w14:paraId="55D4F3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5" w:hRule="atLeast"/>
        </w:trPr>
        <w:tc>
          <w:tcPr>
            <w:tcW w:w="5299" w:type="dxa"/>
          </w:tcPr>
          <w:p w14:paraId="2B0FAA31">
            <w:pPr>
              <w:pStyle w:val="8"/>
              <w:ind w:left="465" w:right="146"/>
              <w:rPr>
                <w:b/>
                <w:sz w:val="20"/>
              </w:rPr>
            </w:pPr>
            <w:r>
              <w:rPr>
                <w:b/>
                <w:sz w:val="20"/>
              </w:rPr>
              <w:t>Is</w:t>
            </w:r>
            <w:r>
              <w:rPr>
                <w:b/>
                <w:spacing w:val="-6"/>
                <w:sz w:val="20"/>
              </w:rPr>
              <w:t xml:space="preserve"> </w:t>
            </w:r>
            <w:r>
              <w:rPr>
                <w:b/>
                <w:sz w:val="20"/>
              </w:rPr>
              <w:t>the</w:t>
            </w:r>
            <w:r>
              <w:rPr>
                <w:b/>
                <w:spacing w:val="-6"/>
                <w:sz w:val="20"/>
              </w:rPr>
              <w:t xml:space="preserve"> </w:t>
            </w:r>
            <w:r>
              <w:rPr>
                <w:b/>
                <w:sz w:val="20"/>
              </w:rPr>
              <w:t>language/English</w:t>
            </w:r>
            <w:r>
              <w:rPr>
                <w:b/>
                <w:spacing w:val="-6"/>
                <w:sz w:val="20"/>
              </w:rPr>
              <w:t xml:space="preserve"> </w:t>
            </w:r>
            <w:r>
              <w:rPr>
                <w:b/>
                <w:sz w:val="20"/>
              </w:rPr>
              <w:t>quality</w:t>
            </w:r>
            <w:r>
              <w:rPr>
                <w:b/>
                <w:spacing w:val="-6"/>
                <w:sz w:val="20"/>
              </w:rPr>
              <w:t xml:space="preserve"> </w:t>
            </w:r>
            <w:r>
              <w:rPr>
                <w:b/>
                <w:sz w:val="20"/>
              </w:rPr>
              <w:t>of</w:t>
            </w:r>
            <w:r>
              <w:rPr>
                <w:b/>
                <w:spacing w:val="-6"/>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259" w:type="dxa"/>
          </w:tcPr>
          <w:p w14:paraId="559C5310">
            <w:pPr>
              <w:pStyle w:val="8"/>
              <w:rPr>
                <w:sz w:val="20"/>
              </w:rPr>
            </w:pPr>
            <w:r>
              <w:rPr>
                <w:sz w:val="20"/>
              </w:rPr>
              <w:t>Yes,</w:t>
            </w:r>
            <w:r>
              <w:rPr>
                <w:spacing w:val="-6"/>
                <w:sz w:val="20"/>
              </w:rPr>
              <w:t xml:space="preserve"> </w:t>
            </w:r>
            <w:r>
              <w:rPr>
                <w:sz w:val="20"/>
              </w:rPr>
              <w:t>the</w:t>
            </w:r>
            <w:r>
              <w:rPr>
                <w:spacing w:val="-5"/>
                <w:sz w:val="20"/>
              </w:rPr>
              <w:t xml:space="preserve"> </w:t>
            </w:r>
            <w:r>
              <w:rPr>
                <w:sz w:val="20"/>
              </w:rPr>
              <w:t>English</w:t>
            </w:r>
            <w:r>
              <w:rPr>
                <w:spacing w:val="-5"/>
                <w:sz w:val="20"/>
              </w:rPr>
              <w:t xml:space="preserve"> </w:t>
            </w:r>
            <w:r>
              <w:rPr>
                <w:sz w:val="20"/>
              </w:rPr>
              <w:t>language</w:t>
            </w:r>
            <w:r>
              <w:rPr>
                <w:spacing w:val="-6"/>
                <w:sz w:val="20"/>
              </w:rPr>
              <w:t xml:space="preserve"> </w:t>
            </w:r>
            <w:r>
              <w:rPr>
                <w:sz w:val="20"/>
              </w:rPr>
              <w:t>quality</w:t>
            </w:r>
            <w:r>
              <w:rPr>
                <w:spacing w:val="-5"/>
                <w:sz w:val="20"/>
              </w:rPr>
              <w:t xml:space="preserve"> </w:t>
            </w:r>
            <w:r>
              <w:rPr>
                <w:sz w:val="20"/>
              </w:rPr>
              <w:t>is</w:t>
            </w:r>
            <w:r>
              <w:rPr>
                <w:spacing w:val="-5"/>
                <w:sz w:val="20"/>
              </w:rPr>
              <w:t xml:space="preserve"> </w:t>
            </w:r>
            <w:r>
              <w:rPr>
                <w:spacing w:val="-2"/>
                <w:sz w:val="20"/>
              </w:rPr>
              <w:t>suitable.</w:t>
            </w:r>
          </w:p>
        </w:tc>
        <w:tc>
          <w:tcPr>
            <w:tcW w:w="6374" w:type="dxa"/>
          </w:tcPr>
          <w:p w14:paraId="30A6312A">
            <w:pPr>
              <w:pStyle w:val="8"/>
              <w:ind w:left="0"/>
              <w:rPr>
                <w:sz w:val="20"/>
              </w:rPr>
            </w:pPr>
          </w:p>
        </w:tc>
      </w:tr>
      <w:tr w14:paraId="4C7BC0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06" w:hRule="atLeast"/>
        </w:trPr>
        <w:tc>
          <w:tcPr>
            <w:tcW w:w="5299" w:type="dxa"/>
          </w:tcPr>
          <w:p w14:paraId="148400D9">
            <w:pPr>
              <w:pStyle w:val="8"/>
              <w:rPr>
                <w:sz w:val="20"/>
              </w:rPr>
            </w:pPr>
            <w:r>
              <w:rPr>
                <w:b/>
                <w:spacing w:val="-2"/>
                <w:sz w:val="20"/>
                <w:u w:val="single"/>
              </w:rPr>
              <w:t>Optional/General</w:t>
            </w:r>
            <w:r>
              <w:rPr>
                <w:b/>
                <w:spacing w:val="14"/>
                <w:sz w:val="20"/>
              </w:rPr>
              <w:t xml:space="preserve"> </w:t>
            </w:r>
            <w:r>
              <w:rPr>
                <w:spacing w:val="-2"/>
                <w:sz w:val="20"/>
              </w:rPr>
              <w:t>comments</w:t>
            </w:r>
          </w:p>
        </w:tc>
        <w:tc>
          <w:tcPr>
            <w:tcW w:w="9259" w:type="dxa"/>
          </w:tcPr>
          <w:p w14:paraId="4E61DBF5">
            <w:pPr>
              <w:pStyle w:val="8"/>
              <w:jc w:val="both"/>
              <w:rPr>
                <w:sz w:val="20"/>
              </w:rPr>
            </w:pPr>
            <w:r>
              <w:rPr>
                <w:sz w:val="20"/>
              </w:rPr>
              <w:t>Based</w:t>
            </w:r>
            <w:r>
              <w:rPr>
                <w:spacing w:val="-6"/>
                <w:sz w:val="20"/>
              </w:rPr>
              <w:t xml:space="preserve"> </w:t>
            </w:r>
            <w:r>
              <w:rPr>
                <w:sz w:val="20"/>
              </w:rPr>
              <w:t>on</w:t>
            </w:r>
            <w:r>
              <w:rPr>
                <w:spacing w:val="-6"/>
                <w:sz w:val="20"/>
              </w:rPr>
              <w:t xml:space="preserve"> </w:t>
            </w:r>
            <w:r>
              <w:rPr>
                <w:sz w:val="20"/>
              </w:rPr>
              <w:t>the</w:t>
            </w:r>
            <w:r>
              <w:rPr>
                <w:spacing w:val="-5"/>
                <w:sz w:val="20"/>
              </w:rPr>
              <w:t xml:space="preserve"> </w:t>
            </w:r>
            <w:r>
              <w:rPr>
                <w:sz w:val="20"/>
              </w:rPr>
              <w:t>evaluation</w:t>
            </w:r>
            <w:r>
              <w:rPr>
                <w:spacing w:val="-6"/>
                <w:sz w:val="20"/>
              </w:rPr>
              <w:t xml:space="preserve"> </w:t>
            </w:r>
            <w:r>
              <w:rPr>
                <w:sz w:val="20"/>
              </w:rPr>
              <w:t>of</w:t>
            </w:r>
            <w:r>
              <w:rPr>
                <w:spacing w:val="-5"/>
                <w:sz w:val="20"/>
              </w:rPr>
              <w:t xml:space="preserve"> </w:t>
            </w:r>
            <w:r>
              <w:rPr>
                <w:sz w:val="20"/>
              </w:rPr>
              <w:t>the</w:t>
            </w:r>
            <w:r>
              <w:rPr>
                <w:spacing w:val="-6"/>
                <w:sz w:val="20"/>
              </w:rPr>
              <w:t xml:space="preserve"> </w:t>
            </w:r>
            <w:r>
              <w:rPr>
                <w:sz w:val="20"/>
              </w:rPr>
              <w:t>manuscript's</w:t>
            </w:r>
            <w:r>
              <w:rPr>
                <w:spacing w:val="-5"/>
                <w:sz w:val="20"/>
              </w:rPr>
              <w:t xml:space="preserve"> </w:t>
            </w:r>
            <w:r>
              <w:rPr>
                <w:spacing w:val="-2"/>
                <w:sz w:val="20"/>
              </w:rPr>
              <w:t>strengths:</w:t>
            </w:r>
          </w:p>
          <w:p w14:paraId="619A6F96">
            <w:pPr>
              <w:pStyle w:val="8"/>
              <w:numPr>
                <w:ilvl w:val="0"/>
                <w:numId w:val="1"/>
              </w:numPr>
              <w:tabs>
                <w:tab w:val="left" w:pos="443"/>
                <w:tab w:val="left" w:pos="445"/>
              </w:tabs>
              <w:ind w:right="95"/>
              <w:jc w:val="both"/>
              <w:rPr>
                <w:sz w:val="20"/>
              </w:rPr>
            </w:pPr>
            <w:r>
              <w:rPr>
                <w:sz w:val="20"/>
              </w:rPr>
              <w:t>The manuscript addresses a critical industrial bottleneck – the low utilization rate of red mud (under 10%) and</w:t>
            </w:r>
            <w:r>
              <w:rPr>
                <w:spacing w:val="-9"/>
                <w:sz w:val="20"/>
              </w:rPr>
              <w:t xml:space="preserve"> </w:t>
            </w:r>
            <w:r>
              <w:rPr>
                <w:sz w:val="20"/>
              </w:rPr>
              <w:t>the</w:t>
            </w:r>
            <w:r>
              <w:rPr>
                <w:spacing w:val="-9"/>
                <w:sz w:val="20"/>
              </w:rPr>
              <w:t xml:space="preserve"> </w:t>
            </w:r>
            <w:r>
              <w:rPr>
                <w:sz w:val="20"/>
              </w:rPr>
              <w:t>urgent</w:t>
            </w:r>
            <w:r>
              <w:rPr>
                <w:spacing w:val="-8"/>
                <w:sz w:val="20"/>
              </w:rPr>
              <w:t xml:space="preserve"> </w:t>
            </w:r>
            <w:r>
              <w:rPr>
                <w:sz w:val="20"/>
              </w:rPr>
              <w:t>need</w:t>
            </w:r>
            <w:r>
              <w:rPr>
                <w:spacing w:val="-9"/>
                <w:sz w:val="20"/>
              </w:rPr>
              <w:t xml:space="preserve"> </w:t>
            </w:r>
            <w:r>
              <w:rPr>
                <w:sz w:val="20"/>
              </w:rPr>
              <w:t>for</w:t>
            </w:r>
            <w:r>
              <w:rPr>
                <w:spacing w:val="-8"/>
                <w:sz w:val="20"/>
              </w:rPr>
              <w:t xml:space="preserve"> </w:t>
            </w:r>
            <w:r>
              <w:rPr>
                <w:sz w:val="20"/>
              </w:rPr>
              <w:t>carbon-neutral</w:t>
            </w:r>
            <w:r>
              <w:rPr>
                <w:spacing w:val="-8"/>
                <w:sz w:val="20"/>
              </w:rPr>
              <w:t xml:space="preserve"> </w:t>
            </w:r>
            <w:r>
              <w:rPr>
                <w:sz w:val="20"/>
              </w:rPr>
              <w:t>insulation</w:t>
            </w:r>
            <w:r>
              <w:rPr>
                <w:spacing w:val="-9"/>
                <w:sz w:val="20"/>
              </w:rPr>
              <w:t xml:space="preserve"> </w:t>
            </w:r>
            <w:r>
              <w:rPr>
                <w:sz w:val="20"/>
              </w:rPr>
              <w:t>materials.</w:t>
            </w:r>
            <w:r>
              <w:rPr>
                <w:spacing w:val="-8"/>
                <w:sz w:val="20"/>
              </w:rPr>
              <w:t xml:space="preserve"> </w:t>
            </w:r>
            <w:r>
              <w:rPr>
                <w:sz w:val="20"/>
              </w:rPr>
              <w:t>Its</w:t>
            </w:r>
            <w:r>
              <w:rPr>
                <w:spacing w:val="-8"/>
                <w:sz w:val="20"/>
              </w:rPr>
              <w:t xml:space="preserve"> </w:t>
            </w:r>
            <w:r>
              <w:rPr>
                <w:sz w:val="20"/>
              </w:rPr>
              <w:t>focus</w:t>
            </w:r>
            <w:r>
              <w:rPr>
                <w:spacing w:val="-8"/>
                <w:sz w:val="20"/>
              </w:rPr>
              <w:t xml:space="preserve"> </w:t>
            </w:r>
            <w:r>
              <w:rPr>
                <w:sz w:val="20"/>
              </w:rPr>
              <w:t>on</w:t>
            </w:r>
            <w:r>
              <w:rPr>
                <w:spacing w:val="-9"/>
                <w:sz w:val="20"/>
              </w:rPr>
              <w:t xml:space="preserve"> </w:t>
            </w:r>
            <w:r>
              <w:rPr>
                <w:sz w:val="20"/>
              </w:rPr>
              <w:t>high-value</w:t>
            </w:r>
            <w:r>
              <w:rPr>
                <w:spacing w:val="-9"/>
                <w:sz w:val="20"/>
              </w:rPr>
              <w:t xml:space="preserve"> </w:t>
            </w:r>
            <w:r>
              <w:rPr>
                <w:sz w:val="20"/>
              </w:rPr>
              <w:t>utilization</w:t>
            </w:r>
            <w:r>
              <w:rPr>
                <w:spacing w:val="-9"/>
                <w:sz w:val="20"/>
              </w:rPr>
              <w:t xml:space="preserve"> </w:t>
            </w:r>
            <w:r>
              <w:rPr>
                <w:sz w:val="20"/>
              </w:rPr>
              <w:t>aligns</w:t>
            </w:r>
            <w:r>
              <w:rPr>
                <w:spacing w:val="-9"/>
                <w:sz w:val="20"/>
              </w:rPr>
              <w:t xml:space="preserve"> </w:t>
            </w:r>
            <w:r>
              <w:rPr>
                <w:sz w:val="20"/>
              </w:rPr>
              <w:t>perfectly with global environmental goals.</w:t>
            </w:r>
          </w:p>
          <w:p w14:paraId="7B6F9C0C">
            <w:pPr>
              <w:pStyle w:val="8"/>
              <w:numPr>
                <w:ilvl w:val="0"/>
                <w:numId w:val="1"/>
              </w:numPr>
              <w:tabs>
                <w:tab w:val="left" w:pos="443"/>
                <w:tab w:val="left" w:pos="445"/>
              </w:tabs>
              <w:spacing w:before="2"/>
              <w:ind w:right="96"/>
              <w:jc w:val="both"/>
              <w:rPr>
                <w:sz w:val="20"/>
              </w:rPr>
            </w:pPr>
            <w:r>
              <w:rPr>
                <w:sz w:val="20"/>
              </w:rPr>
              <w:t xml:space="preserve">The paper goes beyond a simple summary by offering a deep mechanistic understanding of the material. A highlight is the identification of red mud as a foam-stabilizing component that improves slurry rheology to prevent bubble collapse. It also accurately describes the synergistic hydration between red mud and other </w:t>
            </w:r>
            <w:r>
              <w:rPr>
                <w:spacing w:val="-2"/>
                <w:sz w:val="20"/>
              </w:rPr>
              <w:t>binders.</w:t>
            </w:r>
          </w:p>
          <w:p w14:paraId="67819085">
            <w:pPr>
              <w:pStyle w:val="8"/>
              <w:numPr>
                <w:ilvl w:val="0"/>
                <w:numId w:val="1"/>
              </w:numPr>
              <w:tabs>
                <w:tab w:val="left" w:pos="443"/>
              </w:tabs>
              <w:spacing w:before="1"/>
              <w:ind w:left="443" w:hanging="338"/>
              <w:jc w:val="both"/>
              <w:rPr>
                <w:sz w:val="20"/>
              </w:rPr>
            </w:pPr>
            <w:r>
              <w:rPr>
                <w:sz w:val="20"/>
              </w:rPr>
              <w:t>The</w:t>
            </w:r>
            <w:r>
              <w:rPr>
                <w:spacing w:val="-10"/>
                <w:sz w:val="20"/>
              </w:rPr>
              <w:t xml:space="preserve"> </w:t>
            </w:r>
            <w:r>
              <w:rPr>
                <w:sz w:val="20"/>
              </w:rPr>
              <w:t>English</w:t>
            </w:r>
            <w:r>
              <w:rPr>
                <w:spacing w:val="-8"/>
                <w:sz w:val="20"/>
              </w:rPr>
              <w:t xml:space="preserve"> </w:t>
            </w:r>
            <w:r>
              <w:rPr>
                <w:sz w:val="20"/>
              </w:rPr>
              <w:t>quality</w:t>
            </w:r>
            <w:r>
              <w:rPr>
                <w:spacing w:val="-8"/>
                <w:sz w:val="20"/>
              </w:rPr>
              <w:t xml:space="preserve"> </w:t>
            </w:r>
            <w:r>
              <w:rPr>
                <w:sz w:val="20"/>
              </w:rPr>
              <w:t>is</w:t>
            </w:r>
            <w:r>
              <w:rPr>
                <w:spacing w:val="-7"/>
                <w:sz w:val="20"/>
              </w:rPr>
              <w:t xml:space="preserve"> </w:t>
            </w:r>
            <w:r>
              <w:rPr>
                <w:sz w:val="20"/>
              </w:rPr>
              <w:t>professional</w:t>
            </w:r>
            <w:r>
              <w:rPr>
                <w:spacing w:val="-8"/>
                <w:sz w:val="20"/>
              </w:rPr>
              <w:t xml:space="preserve"> </w:t>
            </w:r>
            <w:r>
              <w:rPr>
                <w:sz w:val="20"/>
              </w:rPr>
              <w:t>and</w:t>
            </w:r>
            <w:r>
              <w:rPr>
                <w:spacing w:val="-8"/>
                <w:sz w:val="20"/>
              </w:rPr>
              <w:t xml:space="preserve"> </w:t>
            </w:r>
            <w:r>
              <w:rPr>
                <w:sz w:val="20"/>
              </w:rPr>
              <w:t>precise,</w:t>
            </w:r>
            <w:r>
              <w:rPr>
                <w:spacing w:val="-7"/>
                <w:sz w:val="20"/>
              </w:rPr>
              <w:t xml:space="preserve"> </w:t>
            </w:r>
            <w:r>
              <w:rPr>
                <w:sz w:val="20"/>
              </w:rPr>
              <w:t>successfully</w:t>
            </w:r>
            <w:r>
              <w:rPr>
                <w:spacing w:val="-8"/>
                <w:sz w:val="20"/>
              </w:rPr>
              <w:t xml:space="preserve"> </w:t>
            </w:r>
            <w:r>
              <w:rPr>
                <w:sz w:val="20"/>
              </w:rPr>
              <w:t>communicating</w:t>
            </w:r>
            <w:r>
              <w:rPr>
                <w:spacing w:val="-8"/>
                <w:sz w:val="20"/>
              </w:rPr>
              <w:t xml:space="preserve"> </w:t>
            </w:r>
            <w:r>
              <w:rPr>
                <w:sz w:val="20"/>
              </w:rPr>
              <w:t>complex</w:t>
            </w:r>
            <w:r>
              <w:rPr>
                <w:spacing w:val="-7"/>
                <w:sz w:val="20"/>
              </w:rPr>
              <w:t xml:space="preserve"> </w:t>
            </w:r>
            <w:r>
              <w:rPr>
                <w:spacing w:val="-2"/>
                <w:sz w:val="20"/>
              </w:rPr>
              <w:t>concepts.</w:t>
            </w:r>
          </w:p>
          <w:p w14:paraId="36D70433">
            <w:pPr>
              <w:pStyle w:val="8"/>
              <w:spacing w:before="1"/>
              <w:ind w:left="0"/>
              <w:rPr>
                <w:b/>
                <w:sz w:val="20"/>
              </w:rPr>
            </w:pPr>
          </w:p>
          <w:p w14:paraId="770668DA">
            <w:pPr>
              <w:pStyle w:val="8"/>
              <w:jc w:val="both"/>
              <w:rPr>
                <w:sz w:val="20"/>
              </w:rPr>
            </w:pPr>
            <w:r>
              <w:rPr>
                <w:sz w:val="20"/>
              </w:rPr>
              <w:t>Area</w:t>
            </w:r>
            <w:r>
              <w:rPr>
                <w:spacing w:val="-4"/>
                <w:sz w:val="20"/>
              </w:rPr>
              <w:t xml:space="preserve"> </w:t>
            </w:r>
            <w:r>
              <w:rPr>
                <w:sz w:val="20"/>
              </w:rPr>
              <w:t>for</w:t>
            </w:r>
            <w:r>
              <w:rPr>
                <w:spacing w:val="-4"/>
                <w:sz w:val="20"/>
              </w:rPr>
              <w:t xml:space="preserve"> </w:t>
            </w:r>
            <w:r>
              <w:rPr>
                <w:spacing w:val="-2"/>
                <w:sz w:val="20"/>
              </w:rPr>
              <w:t>improvement:</w:t>
            </w:r>
          </w:p>
          <w:p w14:paraId="2AD34FE3">
            <w:pPr>
              <w:pStyle w:val="8"/>
              <w:numPr>
                <w:ilvl w:val="1"/>
                <w:numId w:val="1"/>
              </w:numPr>
              <w:tabs>
                <w:tab w:val="left" w:pos="443"/>
                <w:tab w:val="left" w:pos="445"/>
              </w:tabs>
              <w:spacing w:before="4" w:line="235" w:lineRule="auto"/>
              <w:ind w:right="95"/>
              <w:jc w:val="both"/>
              <w:rPr>
                <w:sz w:val="20"/>
              </w:rPr>
            </w:pPr>
            <w:r>
              <w:rPr>
                <w:b/>
                <w:sz w:val="20"/>
              </w:rPr>
              <w:t xml:space="preserve">Reference Quantity: </w:t>
            </w:r>
            <w:r>
              <w:rPr>
                <w:sz w:val="20"/>
              </w:rPr>
              <w:t xml:space="preserve">While the references are current, a "Comprehensive Review" typically includes </w:t>
            </w:r>
            <w:r>
              <w:rPr>
                <w:b/>
                <w:sz w:val="20"/>
              </w:rPr>
              <w:t>more than 30 citation</w:t>
            </w:r>
            <w:r>
              <w:rPr>
                <w:sz w:val="20"/>
              </w:rPr>
              <w:t>s to provide a broader global perspective.</w:t>
            </w:r>
          </w:p>
          <w:p w14:paraId="3AEF23DD">
            <w:pPr>
              <w:pStyle w:val="8"/>
              <w:numPr>
                <w:ilvl w:val="1"/>
                <w:numId w:val="1"/>
              </w:numPr>
              <w:tabs>
                <w:tab w:val="left" w:pos="443"/>
                <w:tab w:val="left" w:pos="445"/>
              </w:tabs>
              <w:spacing w:before="2"/>
              <w:ind w:right="95"/>
              <w:jc w:val="both"/>
              <w:rPr>
                <w:b/>
                <w:sz w:val="20"/>
              </w:rPr>
            </w:pPr>
            <w:r>
              <w:rPr>
                <w:sz w:val="20"/>
              </w:rPr>
              <w:t xml:space="preserve">As discussed previously, the title's use of </w:t>
            </w:r>
            <w:r>
              <w:rPr>
                <w:b/>
                <w:sz w:val="20"/>
              </w:rPr>
              <w:t xml:space="preserve">"Geopolymer" </w:t>
            </w:r>
            <w:r>
              <w:rPr>
                <w:sz w:val="20"/>
              </w:rPr>
              <w:t xml:space="preserve">may be slightly restrictive given that the text also covers systems where red mud replaces </w:t>
            </w:r>
            <w:r>
              <w:rPr>
                <w:b/>
                <w:sz w:val="20"/>
              </w:rPr>
              <w:t>Ordinary Portland Cement.</w:t>
            </w:r>
          </w:p>
          <w:p w14:paraId="66B59106">
            <w:pPr>
              <w:pStyle w:val="8"/>
              <w:numPr>
                <w:ilvl w:val="1"/>
                <w:numId w:val="1"/>
              </w:numPr>
              <w:tabs>
                <w:tab w:val="left" w:pos="443"/>
                <w:tab w:val="left" w:pos="445"/>
              </w:tabs>
              <w:spacing w:before="1"/>
              <w:ind w:right="96"/>
              <w:jc w:val="both"/>
              <w:rPr>
                <w:sz w:val="20"/>
              </w:rPr>
            </w:pPr>
            <w:r>
              <w:rPr>
                <w:sz w:val="20"/>
              </w:rPr>
              <w:t xml:space="preserve">The manuscript correctly identifies the lack of </w:t>
            </w:r>
            <w:r>
              <w:rPr>
                <w:b/>
                <w:sz w:val="20"/>
              </w:rPr>
              <w:t xml:space="preserve">quantitative engineering design models </w:t>
            </w:r>
            <w:r>
              <w:rPr>
                <w:sz w:val="20"/>
              </w:rPr>
              <w:t>as a gap, and while it highlights this need, providing even a preliminary framework for such a model would have elevated the paper further.</w:t>
            </w:r>
          </w:p>
          <w:p w14:paraId="54E950D1">
            <w:pPr>
              <w:pStyle w:val="8"/>
              <w:numPr>
                <w:ilvl w:val="1"/>
                <w:numId w:val="1"/>
              </w:numPr>
              <w:tabs>
                <w:tab w:val="left" w:pos="443"/>
                <w:tab w:val="left" w:pos="445"/>
              </w:tabs>
              <w:spacing w:before="1"/>
              <w:ind w:right="96"/>
              <w:jc w:val="both"/>
              <w:rPr>
                <w:sz w:val="20"/>
              </w:rPr>
            </w:pPr>
            <w:r>
              <w:rPr>
                <w:sz w:val="20"/>
              </w:rPr>
              <w:t xml:space="preserve">Expand </w:t>
            </w:r>
            <w:r>
              <w:rPr>
                <w:b/>
                <w:sz w:val="20"/>
              </w:rPr>
              <w:t xml:space="preserve">Section 3.1.3 </w:t>
            </w:r>
            <w:r>
              <w:rPr>
                <w:sz w:val="20"/>
              </w:rPr>
              <w:t xml:space="preserve">to further detail the rheological mechanisms. Specifically, explain how red mud’s contribution to </w:t>
            </w:r>
            <w:r>
              <w:rPr>
                <w:b/>
                <w:sz w:val="20"/>
              </w:rPr>
              <w:t xml:space="preserve">slurry yield stress and plastic viscosity </w:t>
            </w:r>
            <w:r>
              <w:rPr>
                <w:sz w:val="20"/>
              </w:rPr>
              <w:t>physically suppresses bubble coalescence and drainage compared to traditional surfactants. This distinguishes your paper from reviews that treat red mud only as a filler.</w:t>
            </w:r>
          </w:p>
          <w:p w14:paraId="6F7A548F">
            <w:pPr>
              <w:pStyle w:val="8"/>
              <w:numPr>
                <w:ilvl w:val="1"/>
                <w:numId w:val="1"/>
              </w:numPr>
              <w:tabs>
                <w:tab w:val="left" w:pos="443"/>
                <w:tab w:val="left" w:pos="445"/>
              </w:tabs>
              <w:spacing w:before="3" w:line="237" w:lineRule="auto"/>
              <w:ind w:right="95"/>
              <w:jc w:val="both"/>
              <w:rPr>
                <w:sz w:val="20"/>
              </w:rPr>
            </w:pPr>
            <w:r>
              <w:rPr>
                <w:sz w:val="20"/>
              </w:rPr>
              <w:t xml:space="preserve">Provide more depth on the </w:t>
            </w:r>
            <w:r>
              <w:rPr>
                <w:b/>
                <w:sz w:val="20"/>
              </w:rPr>
              <w:t xml:space="preserve">thermal activation </w:t>
            </w:r>
            <w:r>
              <w:rPr>
                <w:sz w:val="20"/>
              </w:rPr>
              <w:t xml:space="preserve">findings, such as why activity peaks at </w:t>
            </w:r>
            <w:r>
              <w:rPr>
                <w:b/>
                <w:sz w:val="20"/>
              </w:rPr>
              <w:t xml:space="preserve">700°C </w:t>
            </w:r>
            <w:r>
              <w:rPr>
                <w:sz w:val="20"/>
              </w:rPr>
              <w:t xml:space="preserve">and declines above </w:t>
            </w:r>
            <w:r>
              <w:rPr>
                <w:b/>
                <w:sz w:val="20"/>
              </w:rPr>
              <w:t xml:space="preserve">800°C </w:t>
            </w:r>
            <w:r>
              <w:rPr>
                <w:sz w:val="20"/>
              </w:rPr>
              <w:t xml:space="preserve">due to crystalline restructuring. Similarly, expand on the </w:t>
            </w:r>
            <w:r>
              <w:rPr>
                <w:b/>
                <w:sz w:val="20"/>
              </w:rPr>
              <w:t xml:space="preserve">"bidirectional promotion" </w:t>
            </w:r>
            <w:r>
              <w:rPr>
                <w:sz w:val="20"/>
              </w:rPr>
              <w:t>in red mud-cement systems, where red mud hydration products refine the pore structure while cement provides the alkaline environment for activation.</w:t>
            </w:r>
          </w:p>
          <w:p w14:paraId="5C23EBE6">
            <w:pPr>
              <w:pStyle w:val="8"/>
              <w:numPr>
                <w:ilvl w:val="1"/>
                <w:numId w:val="1"/>
              </w:numPr>
              <w:tabs>
                <w:tab w:val="left" w:pos="443"/>
                <w:tab w:val="left" w:pos="445"/>
              </w:tabs>
              <w:spacing w:before="5"/>
              <w:ind w:right="95"/>
              <w:jc w:val="both"/>
              <w:rPr>
                <w:sz w:val="20"/>
              </w:rPr>
            </w:pPr>
            <w:r>
              <w:rPr>
                <w:sz w:val="20"/>
              </w:rPr>
              <w:t>Ensure</w:t>
            </w:r>
            <w:r>
              <w:rPr>
                <w:spacing w:val="-2"/>
                <w:sz w:val="20"/>
              </w:rPr>
              <w:t xml:space="preserve"> </w:t>
            </w:r>
            <w:r>
              <w:rPr>
                <w:b/>
                <w:sz w:val="20"/>
              </w:rPr>
              <w:t>Table</w:t>
            </w:r>
            <w:r>
              <w:rPr>
                <w:b/>
                <w:spacing w:val="-2"/>
                <w:sz w:val="20"/>
              </w:rPr>
              <w:t xml:space="preserve"> </w:t>
            </w:r>
            <w:r>
              <w:rPr>
                <w:b/>
                <w:sz w:val="20"/>
              </w:rPr>
              <w:t>1</w:t>
            </w:r>
            <w:r>
              <w:rPr>
                <w:b/>
                <w:spacing w:val="-2"/>
                <w:sz w:val="20"/>
              </w:rPr>
              <w:t xml:space="preserve"> </w:t>
            </w:r>
            <w:r>
              <w:rPr>
                <w:sz w:val="20"/>
              </w:rPr>
              <w:t>(Performance</w:t>
            </w:r>
            <w:r>
              <w:rPr>
                <w:spacing w:val="-2"/>
                <w:sz w:val="20"/>
              </w:rPr>
              <w:t xml:space="preserve"> </w:t>
            </w:r>
            <w:r>
              <w:rPr>
                <w:sz w:val="20"/>
              </w:rPr>
              <w:t>Summary)</w:t>
            </w:r>
            <w:r>
              <w:rPr>
                <w:spacing w:val="-2"/>
                <w:sz w:val="20"/>
              </w:rPr>
              <w:t xml:space="preserve"> </w:t>
            </w:r>
            <w:r>
              <w:rPr>
                <w:sz w:val="20"/>
              </w:rPr>
              <w:t>includes</w:t>
            </w:r>
            <w:r>
              <w:rPr>
                <w:spacing w:val="-2"/>
                <w:sz w:val="20"/>
              </w:rPr>
              <w:t xml:space="preserve"> </w:t>
            </w:r>
            <w:r>
              <w:rPr>
                <w:sz w:val="20"/>
              </w:rPr>
              <w:t>a</w:t>
            </w:r>
            <w:r>
              <w:rPr>
                <w:spacing w:val="-2"/>
                <w:sz w:val="20"/>
              </w:rPr>
              <w:t xml:space="preserve"> </w:t>
            </w:r>
            <w:r>
              <w:rPr>
                <w:sz w:val="20"/>
              </w:rPr>
              <w:t>direct</w:t>
            </w:r>
            <w:r>
              <w:rPr>
                <w:spacing w:val="-2"/>
                <w:sz w:val="20"/>
              </w:rPr>
              <w:t xml:space="preserve"> </w:t>
            </w:r>
            <w:r>
              <w:rPr>
                <w:sz w:val="20"/>
              </w:rPr>
              <w:t>comparison</w:t>
            </w:r>
            <w:r>
              <w:rPr>
                <w:spacing w:val="-2"/>
                <w:sz w:val="20"/>
              </w:rPr>
              <w:t xml:space="preserve"> </w:t>
            </w:r>
            <w:r>
              <w:rPr>
                <w:sz w:val="20"/>
              </w:rPr>
              <w:t>between</w:t>
            </w:r>
            <w:r>
              <w:rPr>
                <w:spacing w:val="-3"/>
                <w:sz w:val="20"/>
              </w:rPr>
              <w:t xml:space="preserve"> </w:t>
            </w:r>
            <w:r>
              <w:rPr>
                <w:b/>
                <w:sz w:val="20"/>
              </w:rPr>
              <w:t>Bayer</w:t>
            </w:r>
            <w:r>
              <w:rPr>
                <w:b/>
                <w:spacing w:val="-2"/>
                <w:sz w:val="20"/>
              </w:rPr>
              <w:t xml:space="preserve"> </w:t>
            </w:r>
            <w:r>
              <w:rPr>
                <w:b/>
                <w:sz w:val="20"/>
              </w:rPr>
              <w:t>process</w:t>
            </w:r>
            <w:r>
              <w:rPr>
                <w:b/>
                <w:spacing w:val="-2"/>
                <w:sz w:val="20"/>
              </w:rPr>
              <w:t xml:space="preserve"> </w:t>
            </w:r>
            <w:r>
              <w:rPr>
                <w:sz w:val="20"/>
              </w:rPr>
              <w:t>and</w:t>
            </w:r>
            <w:r>
              <w:rPr>
                <w:spacing w:val="-2"/>
                <w:sz w:val="20"/>
              </w:rPr>
              <w:t xml:space="preserve"> </w:t>
            </w:r>
            <w:r>
              <w:rPr>
                <w:b/>
                <w:sz w:val="20"/>
              </w:rPr>
              <w:t xml:space="preserve">Sintered method </w:t>
            </w:r>
            <w:r>
              <w:rPr>
                <w:sz w:val="20"/>
              </w:rPr>
              <w:t>red mud, as the text notes their optimal incorporation rates differ (10–20% vs. 15–25%).</w:t>
            </w:r>
          </w:p>
          <w:p w14:paraId="405DDB95">
            <w:pPr>
              <w:pStyle w:val="8"/>
              <w:numPr>
                <w:ilvl w:val="1"/>
                <w:numId w:val="1"/>
              </w:numPr>
              <w:tabs>
                <w:tab w:val="left" w:pos="443"/>
              </w:tabs>
              <w:spacing w:before="1"/>
              <w:ind w:left="443" w:hanging="338"/>
              <w:jc w:val="both"/>
              <w:rPr>
                <w:sz w:val="20"/>
              </w:rPr>
            </w:pPr>
            <w:r>
              <w:rPr>
                <w:sz w:val="20"/>
              </w:rPr>
              <w:t>To</w:t>
            </w:r>
            <w:r>
              <w:rPr>
                <w:spacing w:val="-6"/>
                <w:sz w:val="20"/>
              </w:rPr>
              <w:t xml:space="preserve"> </w:t>
            </w:r>
            <w:r>
              <w:rPr>
                <w:sz w:val="20"/>
              </w:rPr>
              <w:t>improve</w:t>
            </w:r>
            <w:r>
              <w:rPr>
                <w:spacing w:val="-5"/>
                <w:sz w:val="20"/>
              </w:rPr>
              <w:t xml:space="preserve"> </w:t>
            </w:r>
            <w:r>
              <w:rPr>
                <w:sz w:val="20"/>
              </w:rPr>
              <w:t>the</w:t>
            </w:r>
            <w:r>
              <w:rPr>
                <w:spacing w:val="-6"/>
                <w:sz w:val="20"/>
              </w:rPr>
              <w:t xml:space="preserve"> </w:t>
            </w:r>
            <w:r>
              <w:rPr>
                <w:sz w:val="20"/>
              </w:rPr>
              <w:t>conclusion</w:t>
            </w:r>
            <w:r>
              <w:rPr>
                <w:spacing w:val="-5"/>
                <w:sz w:val="20"/>
              </w:rPr>
              <w:t xml:space="preserve"> </w:t>
            </w:r>
            <w:r>
              <w:rPr>
                <w:sz w:val="20"/>
              </w:rPr>
              <w:t>of</w:t>
            </w:r>
            <w:r>
              <w:rPr>
                <w:spacing w:val="-5"/>
                <w:sz w:val="20"/>
              </w:rPr>
              <w:t xml:space="preserve"> </w:t>
            </w:r>
            <w:r>
              <w:rPr>
                <w:sz w:val="20"/>
              </w:rPr>
              <w:t>the</w:t>
            </w:r>
            <w:r>
              <w:rPr>
                <w:spacing w:val="-6"/>
                <w:sz w:val="20"/>
              </w:rPr>
              <w:t xml:space="preserve"> </w:t>
            </w:r>
            <w:r>
              <w:rPr>
                <w:sz w:val="20"/>
              </w:rPr>
              <w:t>manuscript,</w:t>
            </w:r>
            <w:r>
              <w:rPr>
                <w:spacing w:val="-5"/>
                <w:sz w:val="20"/>
              </w:rPr>
              <w:t xml:space="preserve"> </w:t>
            </w:r>
            <w:r>
              <w:rPr>
                <w:sz w:val="20"/>
              </w:rPr>
              <w:t>you</w:t>
            </w:r>
            <w:r>
              <w:rPr>
                <w:spacing w:val="-5"/>
                <w:sz w:val="20"/>
              </w:rPr>
              <w:t xml:space="preserve"> </w:t>
            </w:r>
            <w:r>
              <w:rPr>
                <w:spacing w:val="-2"/>
                <w:sz w:val="20"/>
              </w:rPr>
              <w:t>should:</w:t>
            </w:r>
          </w:p>
          <w:p w14:paraId="78C869BA">
            <w:pPr>
              <w:pStyle w:val="8"/>
              <w:numPr>
                <w:ilvl w:val="2"/>
                <w:numId w:val="1"/>
              </w:numPr>
              <w:tabs>
                <w:tab w:val="left" w:pos="1165"/>
              </w:tabs>
              <w:spacing w:line="245" w:lineRule="exact"/>
              <w:ind w:hanging="359"/>
              <w:rPr>
                <w:sz w:val="20"/>
              </w:rPr>
            </w:pPr>
            <w:r>
              <w:rPr>
                <w:sz w:val="20"/>
              </w:rPr>
              <w:t>Added</w:t>
            </w:r>
            <w:r>
              <w:rPr>
                <w:spacing w:val="-9"/>
                <w:sz w:val="20"/>
              </w:rPr>
              <w:t xml:space="preserve"> </w:t>
            </w:r>
            <w:r>
              <w:rPr>
                <w:sz w:val="20"/>
              </w:rPr>
              <w:t>specific</w:t>
            </w:r>
            <w:r>
              <w:rPr>
                <w:spacing w:val="-8"/>
                <w:sz w:val="20"/>
              </w:rPr>
              <w:t xml:space="preserve"> </w:t>
            </w:r>
            <w:r>
              <w:rPr>
                <w:sz w:val="20"/>
              </w:rPr>
              <w:t>thresholds</w:t>
            </w:r>
            <w:r>
              <w:rPr>
                <w:spacing w:val="-8"/>
                <w:sz w:val="20"/>
              </w:rPr>
              <w:t xml:space="preserve"> </w:t>
            </w:r>
            <w:r>
              <w:rPr>
                <w:sz w:val="20"/>
              </w:rPr>
              <w:t>(10-30%,</w:t>
            </w:r>
            <w:r>
              <w:rPr>
                <w:spacing w:val="-8"/>
                <w:sz w:val="20"/>
              </w:rPr>
              <w:t xml:space="preserve"> </w:t>
            </w:r>
            <w:r>
              <w:rPr>
                <w:sz w:val="20"/>
              </w:rPr>
              <w:t>&gt;30%</w:t>
            </w:r>
            <w:r>
              <w:rPr>
                <w:spacing w:val="-9"/>
                <w:sz w:val="20"/>
              </w:rPr>
              <w:t xml:space="preserve"> </w:t>
            </w:r>
            <w:r>
              <w:rPr>
                <w:sz w:val="20"/>
              </w:rPr>
              <w:t>degradation,</w:t>
            </w:r>
            <w:r>
              <w:rPr>
                <w:spacing w:val="-8"/>
                <w:sz w:val="20"/>
              </w:rPr>
              <w:t xml:space="preserve"> </w:t>
            </w:r>
            <w:r>
              <w:rPr>
                <w:sz w:val="20"/>
              </w:rPr>
              <w:t>45-55%</w:t>
            </w:r>
            <w:r>
              <w:rPr>
                <w:spacing w:val="-8"/>
                <w:sz w:val="20"/>
              </w:rPr>
              <w:t xml:space="preserve"> </w:t>
            </w:r>
            <w:r>
              <w:rPr>
                <w:spacing w:val="-2"/>
                <w:sz w:val="20"/>
              </w:rPr>
              <w:t>porosity).</w:t>
            </w:r>
          </w:p>
          <w:p w14:paraId="7E8ECD5B">
            <w:pPr>
              <w:pStyle w:val="8"/>
              <w:numPr>
                <w:ilvl w:val="2"/>
                <w:numId w:val="1"/>
              </w:numPr>
              <w:tabs>
                <w:tab w:val="left" w:pos="1165"/>
              </w:tabs>
              <w:spacing w:line="245" w:lineRule="exact"/>
              <w:ind w:hanging="359"/>
              <w:rPr>
                <w:sz w:val="20"/>
              </w:rPr>
            </w:pPr>
            <w:r>
              <w:rPr>
                <w:sz w:val="20"/>
              </w:rPr>
              <w:t>Added</w:t>
            </w:r>
            <w:r>
              <w:rPr>
                <w:spacing w:val="-7"/>
                <w:sz w:val="20"/>
              </w:rPr>
              <w:t xml:space="preserve"> </w:t>
            </w:r>
            <w:r>
              <w:rPr>
                <w:sz w:val="20"/>
              </w:rPr>
              <w:t>paragraph</w:t>
            </w:r>
            <w:r>
              <w:rPr>
                <w:spacing w:val="-7"/>
                <w:sz w:val="20"/>
              </w:rPr>
              <w:t xml:space="preserve"> </w:t>
            </w:r>
            <w:r>
              <w:rPr>
                <w:sz w:val="20"/>
              </w:rPr>
              <w:t>on</w:t>
            </w:r>
            <w:r>
              <w:rPr>
                <w:spacing w:val="-7"/>
                <w:sz w:val="20"/>
              </w:rPr>
              <w:t xml:space="preserve"> </w:t>
            </w:r>
            <w:r>
              <w:rPr>
                <w:sz w:val="20"/>
              </w:rPr>
              <w:t>short-term</w:t>
            </w:r>
            <w:r>
              <w:rPr>
                <w:spacing w:val="-8"/>
                <w:sz w:val="20"/>
              </w:rPr>
              <w:t xml:space="preserve"> </w:t>
            </w:r>
            <w:r>
              <w:rPr>
                <w:sz w:val="20"/>
              </w:rPr>
              <w:t>lab</w:t>
            </w:r>
            <w:r>
              <w:rPr>
                <w:spacing w:val="-7"/>
                <w:sz w:val="20"/>
              </w:rPr>
              <w:t xml:space="preserve"> </w:t>
            </w:r>
            <w:r>
              <w:rPr>
                <w:sz w:val="20"/>
              </w:rPr>
              <w:t>focus</w:t>
            </w:r>
            <w:r>
              <w:rPr>
                <w:spacing w:val="-7"/>
                <w:sz w:val="20"/>
              </w:rPr>
              <w:t xml:space="preserve"> </w:t>
            </w:r>
            <w:r>
              <w:rPr>
                <w:sz w:val="20"/>
              </w:rPr>
              <w:t>and</w:t>
            </w:r>
            <w:r>
              <w:rPr>
                <w:spacing w:val="-7"/>
                <w:sz w:val="20"/>
              </w:rPr>
              <w:t xml:space="preserve"> </w:t>
            </w:r>
            <w:r>
              <w:rPr>
                <w:sz w:val="20"/>
              </w:rPr>
              <w:t>generalizability</w:t>
            </w:r>
            <w:r>
              <w:rPr>
                <w:spacing w:val="-6"/>
                <w:sz w:val="20"/>
              </w:rPr>
              <w:t xml:space="preserve"> </w:t>
            </w:r>
            <w:r>
              <w:rPr>
                <w:spacing w:val="-2"/>
                <w:sz w:val="20"/>
              </w:rPr>
              <w:t>constraints.</w:t>
            </w:r>
          </w:p>
          <w:p w14:paraId="262AC569">
            <w:pPr>
              <w:pStyle w:val="8"/>
              <w:numPr>
                <w:ilvl w:val="2"/>
                <w:numId w:val="1"/>
              </w:numPr>
              <w:tabs>
                <w:tab w:val="left" w:pos="1165"/>
              </w:tabs>
              <w:spacing w:line="224" w:lineRule="exact"/>
              <w:ind w:hanging="359"/>
              <w:rPr>
                <w:sz w:val="20"/>
              </w:rPr>
            </w:pPr>
            <w:r>
              <w:rPr>
                <w:sz w:val="20"/>
              </w:rPr>
              <w:t>Enhanced</w:t>
            </w:r>
            <w:r>
              <w:rPr>
                <w:spacing w:val="-10"/>
                <w:sz w:val="20"/>
              </w:rPr>
              <w:t xml:space="preserve"> </w:t>
            </w:r>
            <w:r>
              <w:rPr>
                <w:sz w:val="20"/>
              </w:rPr>
              <w:t>with</w:t>
            </w:r>
            <w:r>
              <w:rPr>
                <w:spacing w:val="-7"/>
                <w:sz w:val="20"/>
              </w:rPr>
              <w:t xml:space="preserve"> </w:t>
            </w:r>
            <w:r>
              <w:rPr>
                <w:sz w:val="20"/>
              </w:rPr>
              <w:t>transitional</w:t>
            </w:r>
            <w:r>
              <w:rPr>
                <w:spacing w:val="-7"/>
                <w:sz w:val="20"/>
              </w:rPr>
              <w:t xml:space="preserve"> </w:t>
            </w:r>
            <w:r>
              <w:rPr>
                <w:sz w:val="20"/>
              </w:rPr>
              <w:t>phrases</w:t>
            </w:r>
            <w:r>
              <w:rPr>
                <w:spacing w:val="-8"/>
                <w:sz w:val="20"/>
              </w:rPr>
              <w:t xml:space="preserve"> </w:t>
            </w:r>
            <w:r>
              <w:rPr>
                <w:sz w:val="20"/>
              </w:rPr>
              <w:t>and</w:t>
            </w:r>
            <w:r>
              <w:rPr>
                <w:spacing w:val="-7"/>
                <w:sz w:val="20"/>
              </w:rPr>
              <w:t xml:space="preserve"> </w:t>
            </w:r>
            <w:r>
              <w:rPr>
                <w:sz w:val="20"/>
              </w:rPr>
              <w:t>expanded</w:t>
            </w:r>
            <w:r>
              <w:rPr>
                <w:spacing w:val="-7"/>
                <w:sz w:val="20"/>
              </w:rPr>
              <w:t xml:space="preserve"> </w:t>
            </w:r>
            <w:r>
              <w:rPr>
                <w:sz w:val="20"/>
              </w:rPr>
              <w:t>without</w:t>
            </w:r>
            <w:r>
              <w:rPr>
                <w:spacing w:val="-7"/>
                <w:sz w:val="20"/>
              </w:rPr>
              <w:t xml:space="preserve"> </w:t>
            </w:r>
            <w:r>
              <w:rPr>
                <w:spacing w:val="-2"/>
                <w:sz w:val="20"/>
              </w:rPr>
              <w:t>redundancy.</w:t>
            </w:r>
          </w:p>
        </w:tc>
        <w:tc>
          <w:tcPr>
            <w:tcW w:w="6374" w:type="dxa"/>
          </w:tcPr>
          <w:p w14:paraId="4C603C4D">
            <w:pPr>
              <w:pStyle w:val="8"/>
              <w:ind w:left="0"/>
              <w:rPr>
                <w:rFonts w:ascii="宋体" w:hAnsi="宋体" w:eastAsia="宋体" w:cs="宋体"/>
                <w:sz w:val="24"/>
                <w:szCs w:val="24"/>
              </w:rPr>
            </w:pPr>
            <w:r>
              <w:rPr>
                <w:rFonts w:ascii="宋体" w:hAnsi="宋体" w:eastAsia="宋体" w:cs="宋体"/>
                <w:sz w:val="24"/>
                <w:szCs w:val="24"/>
              </w:rPr>
              <w:t>Thank you for this valuable suggestion.</w:t>
            </w:r>
          </w:p>
          <w:p w14:paraId="08B1013A">
            <w:pPr>
              <w:pStyle w:val="8"/>
              <w:numPr>
                <w:ilvl w:val="1"/>
                <w:numId w:val="2"/>
              </w:numPr>
              <w:tabs>
                <w:tab w:val="left" w:pos="443"/>
                <w:tab w:val="left" w:pos="445"/>
              </w:tabs>
              <w:spacing w:before="2"/>
              <w:ind w:right="95"/>
              <w:jc w:val="both"/>
              <w:rPr>
                <w:b/>
                <w:sz w:val="20"/>
              </w:rPr>
            </w:pPr>
            <w:r>
              <w:rPr>
                <w:rFonts w:hint="eastAsia"/>
                <w:b/>
                <w:sz w:val="20"/>
              </w:rPr>
              <w:t>In the revised manuscript, 15 additional relevant references have been added to improve the breadth of literature coverage and provide a more comprehensive review.</w:t>
            </w:r>
          </w:p>
          <w:p w14:paraId="7E305F0A">
            <w:pPr>
              <w:pStyle w:val="8"/>
              <w:numPr>
                <w:ilvl w:val="1"/>
                <w:numId w:val="2"/>
              </w:numPr>
              <w:tabs>
                <w:tab w:val="left" w:pos="443"/>
                <w:tab w:val="left" w:pos="445"/>
              </w:tabs>
              <w:spacing w:before="1"/>
              <w:ind w:right="96"/>
              <w:jc w:val="both"/>
              <w:rPr>
                <w:sz w:val="20"/>
              </w:rPr>
            </w:pPr>
            <w:r>
              <w:rPr>
                <w:rFonts w:hint="eastAsia"/>
                <w:sz w:val="20"/>
              </w:rPr>
              <w:t>The title has been revised to “Foamed Red Mud-Based Concrete: A Comprehensive Review of Preparation, Microstructure, and Thermo-Mechanical Performance” to better reflect the broader scope of the manuscript.</w:t>
            </w:r>
          </w:p>
          <w:p w14:paraId="38635A37">
            <w:pPr>
              <w:pStyle w:val="8"/>
              <w:numPr>
                <w:ilvl w:val="1"/>
                <w:numId w:val="2"/>
              </w:numPr>
              <w:tabs>
                <w:tab w:val="left" w:pos="443"/>
                <w:tab w:val="left" w:pos="445"/>
              </w:tabs>
              <w:spacing w:before="1"/>
              <w:ind w:right="96"/>
              <w:jc w:val="both"/>
              <w:rPr>
                <w:sz w:val="20"/>
              </w:rPr>
            </w:pPr>
            <w:r>
              <w:rPr>
                <w:rFonts w:hint="eastAsia"/>
                <w:sz w:val="20"/>
              </w:rPr>
              <w:t>In the revised manuscript, the discussion on engineering-scale design models has been further expanded in the “Conclusions and Future Perspectives” section. A preliminary engineering-oriented framework has been added to highlight key variables for future quantitative design, including red mud content, water-binder ratio, foaming agent dosage, porosity, strength, thermal conductivity, and durability.</w:t>
            </w:r>
          </w:p>
          <w:p w14:paraId="7C44487E">
            <w:pPr>
              <w:pStyle w:val="8"/>
              <w:numPr>
                <w:ilvl w:val="1"/>
                <w:numId w:val="2"/>
              </w:numPr>
              <w:tabs>
                <w:tab w:val="left" w:pos="443"/>
                <w:tab w:val="left" w:pos="445"/>
              </w:tabs>
              <w:spacing w:before="3" w:line="237" w:lineRule="auto"/>
              <w:ind w:right="95"/>
              <w:jc w:val="both"/>
              <w:rPr>
                <w:sz w:val="20"/>
              </w:rPr>
            </w:pPr>
            <w:r>
              <w:rPr>
                <w:rFonts w:hint="eastAsia"/>
                <w:sz w:val="20"/>
              </w:rPr>
              <w:t>Section 3.1.3 has been revised to further explain the rheological role of red mud, particularly its effects on slurry yield stress, plastic viscosity, bubble coalescence, and drainage, as well as its difference from traditional surfactants.</w:t>
            </w:r>
          </w:p>
          <w:p w14:paraId="03A83AB6">
            <w:pPr>
              <w:pStyle w:val="8"/>
              <w:numPr>
                <w:ilvl w:val="1"/>
                <w:numId w:val="2"/>
              </w:numPr>
              <w:tabs>
                <w:tab w:val="left" w:pos="443"/>
                <w:tab w:val="left" w:pos="445"/>
              </w:tabs>
              <w:spacing w:before="5"/>
              <w:ind w:right="95"/>
              <w:jc w:val="both"/>
              <w:rPr>
                <w:sz w:val="20"/>
              </w:rPr>
            </w:pPr>
            <w:r>
              <w:rPr>
                <w:rFonts w:hint="eastAsia"/>
                <w:sz w:val="20"/>
              </w:rPr>
              <w:t>The revised manuscript provides a more detailed discussion of the thermal activation behavior of red mud, including the activity peak around 700°C and the decline above 800°C due to crystalline restructuring. In addition, the “bidirectional promotion” mechanism in red mud-cement systems has been further clarified by explaining how red mud reaction products help refine pore structure, while cement hydration provides the alkaline environment necessary for red mud activation.</w:t>
            </w:r>
          </w:p>
          <w:p w14:paraId="775BF980">
            <w:pPr>
              <w:pStyle w:val="8"/>
              <w:numPr>
                <w:ilvl w:val="1"/>
                <w:numId w:val="2"/>
              </w:numPr>
              <w:tabs>
                <w:tab w:val="left" w:pos="443"/>
              </w:tabs>
              <w:spacing w:before="1"/>
              <w:ind w:left="443" w:hanging="338"/>
              <w:jc w:val="both"/>
              <w:rPr>
                <w:sz w:val="20"/>
              </w:rPr>
            </w:pPr>
            <w:r>
              <w:rPr>
                <w:rFonts w:hint="eastAsia"/>
                <w:sz w:val="20"/>
              </w:rPr>
              <w:t>Table 1 has been revised to provide a clearer direct comparison between Bayer-process red mud and sintered-method red mud, including their different optimal incorporation ranges and representative performance characteristics.</w:t>
            </w:r>
          </w:p>
          <w:p w14:paraId="65ACE3D5">
            <w:pPr>
              <w:pStyle w:val="8"/>
              <w:numPr>
                <w:ilvl w:val="1"/>
                <w:numId w:val="2"/>
              </w:numPr>
              <w:tabs>
                <w:tab w:val="left" w:pos="443"/>
                <w:tab w:val="left" w:pos="445"/>
              </w:tabs>
              <w:spacing w:before="5"/>
              <w:ind w:right="95"/>
              <w:jc w:val="both"/>
              <w:rPr>
                <w:rFonts w:hint="eastAsia"/>
                <w:sz w:val="20"/>
              </w:rPr>
            </w:pPr>
            <w:r>
              <w:rPr>
                <w:rFonts w:hint="eastAsia"/>
                <w:sz w:val="20"/>
              </w:rPr>
              <w:t>The Conclusion section has been revised to include more specific quantitative thresholds, such as the recommended red mud incorporation range (10–30%), the possible performance degradation above 30%, and the representative porosity range (45–55%). In addition, a new paragraph has been added to highlight the current limitations of the literature, including the predominance of short-term laboratory studies and the constraints on generalizability due to differences in raw materials and testing conditions.</w:t>
            </w:r>
          </w:p>
          <w:p w14:paraId="433637F3">
            <w:pPr>
              <w:pStyle w:val="8"/>
              <w:ind w:left="0"/>
              <w:rPr>
                <w:spacing w:val="-2"/>
                <w:sz w:val="20"/>
              </w:rPr>
            </w:pPr>
          </w:p>
          <w:p w14:paraId="6C89669B">
            <w:pPr>
              <w:pStyle w:val="8"/>
              <w:ind w:left="0"/>
              <w:rPr>
                <w:rFonts w:ascii="宋体" w:hAnsi="宋体" w:eastAsia="宋体" w:cs="宋体"/>
                <w:sz w:val="24"/>
                <w:szCs w:val="24"/>
              </w:rPr>
            </w:pPr>
          </w:p>
        </w:tc>
      </w:tr>
    </w:tbl>
    <w:p w14:paraId="62800224">
      <w:pPr>
        <w:spacing w:before="6" w:after="1"/>
        <w:rPr>
          <w:b/>
          <w:sz w:val="19"/>
        </w:rPr>
      </w:pPr>
    </w:p>
    <w:p w14:paraId="10EB42A8">
      <w:pPr>
        <w:spacing w:before="227"/>
        <w:rPr>
          <w:b/>
          <w:sz w:val="20"/>
        </w:rPr>
      </w:pPr>
    </w:p>
    <w:p w14:paraId="462A7FC6">
      <w:pPr>
        <w:pStyle w:val="2"/>
        <w:ind w:left="128"/>
      </w:pPr>
      <w:r>
        <w:rPr>
          <w:color w:val="000000"/>
          <w:highlight w:val="yellow"/>
          <w:u w:val="single"/>
        </w:rPr>
        <w:t>PART</w:t>
      </w:r>
      <w:r>
        <w:rPr>
          <w:color w:val="000000"/>
          <w:spacing w:val="42"/>
          <w:highlight w:val="yellow"/>
          <w:u w:val="single"/>
        </w:rPr>
        <w:t xml:space="preserve"> </w:t>
      </w:r>
      <w:r>
        <w:rPr>
          <w:color w:val="000000"/>
          <w:spacing w:val="-5"/>
          <w:highlight w:val="yellow"/>
          <w:u w:val="single"/>
        </w:rPr>
        <w:t>2:</w:t>
      </w:r>
    </w:p>
    <w:p w14:paraId="1CD50178">
      <w:pPr>
        <w:spacing w:after="1"/>
        <w:rPr>
          <w:b/>
          <w:sz w:val="20"/>
        </w:rPr>
      </w:pPr>
    </w:p>
    <w:tbl>
      <w:tblPr>
        <w:tblStyle w:val="4"/>
        <w:tblW w:w="0" w:type="auto"/>
        <w:tblInd w:w="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63"/>
        <w:gridCol w:w="8553"/>
        <w:gridCol w:w="5615"/>
      </w:tblGrid>
      <w:tr w14:paraId="1AE0AD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35" w:hRule="atLeast"/>
        </w:trPr>
        <w:tc>
          <w:tcPr>
            <w:tcW w:w="6763" w:type="dxa"/>
          </w:tcPr>
          <w:p w14:paraId="1373CC70">
            <w:pPr>
              <w:pStyle w:val="8"/>
              <w:ind w:left="0"/>
              <w:rPr>
                <w:sz w:val="20"/>
              </w:rPr>
            </w:pPr>
          </w:p>
        </w:tc>
        <w:tc>
          <w:tcPr>
            <w:tcW w:w="8553" w:type="dxa"/>
          </w:tcPr>
          <w:p w14:paraId="269088CF">
            <w:pPr>
              <w:pStyle w:val="8"/>
              <w:rPr>
                <w:b/>
                <w:sz w:val="20"/>
              </w:rPr>
            </w:pPr>
            <w:r>
              <w:rPr>
                <w:b/>
                <w:sz w:val="20"/>
              </w:rPr>
              <w:t>Reviewer’s</w:t>
            </w:r>
            <w:r>
              <w:rPr>
                <w:b/>
                <w:spacing w:val="-12"/>
                <w:sz w:val="20"/>
              </w:rPr>
              <w:t xml:space="preserve"> </w:t>
            </w:r>
            <w:r>
              <w:rPr>
                <w:b/>
                <w:spacing w:val="-2"/>
                <w:sz w:val="20"/>
              </w:rPr>
              <w:t>comment</w:t>
            </w:r>
          </w:p>
        </w:tc>
        <w:tc>
          <w:tcPr>
            <w:tcW w:w="5615" w:type="dxa"/>
          </w:tcPr>
          <w:p w14:paraId="25491303">
            <w:pPr>
              <w:pStyle w:val="8"/>
              <w:spacing w:line="261" w:lineRule="auto"/>
              <w:ind w:left="5" w:right="5"/>
              <w:rPr>
                <w:sz w:val="20"/>
              </w:rPr>
            </w:pPr>
            <w:r>
              <w:rPr>
                <w:b/>
                <w:sz w:val="20"/>
              </w:rPr>
              <w:t>Author’s</w:t>
            </w:r>
            <w:r>
              <w:rPr>
                <w:b/>
                <w:spacing w:val="-5"/>
                <w:sz w:val="20"/>
              </w:rPr>
              <w:t xml:space="preserve"> </w:t>
            </w:r>
            <w:r>
              <w:rPr>
                <w:b/>
                <w:sz w:val="20"/>
              </w:rPr>
              <w:t>Feedback</w:t>
            </w:r>
            <w:r>
              <w:rPr>
                <w:b/>
                <w:spacing w:val="-6"/>
                <w:sz w:val="20"/>
              </w:rPr>
              <w:t xml:space="preserve"> </w:t>
            </w:r>
            <w:r>
              <w:rPr>
                <w:sz w:val="20"/>
              </w:rPr>
              <w:t>(It</w:t>
            </w:r>
            <w:r>
              <w:rPr>
                <w:spacing w:val="-5"/>
                <w:sz w:val="20"/>
              </w:rPr>
              <w:t xml:space="preserve"> </w:t>
            </w:r>
            <w:r>
              <w:rPr>
                <w:sz w:val="20"/>
              </w:rPr>
              <w:t>is</w:t>
            </w:r>
            <w:r>
              <w:rPr>
                <w:spacing w:val="-5"/>
                <w:sz w:val="20"/>
              </w:rPr>
              <w:t xml:space="preserve"> </w:t>
            </w:r>
            <w:r>
              <w:rPr>
                <w:sz w:val="20"/>
              </w:rPr>
              <w:t>mandatory</w:t>
            </w:r>
            <w:r>
              <w:rPr>
                <w:spacing w:val="-5"/>
                <w:sz w:val="20"/>
              </w:rPr>
              <w:t xml:space="preserve"> </w:t>
            </w:r>
            <w:r>
              <w:rPr>
                <w:sz w:val="20"/>
              </w:rPr>
              <w:t>that</w:t>
            </w:r>
            <w:r>
              <w:rPr>
                <w:spacing w:val="-5"/>
                <w:sz w:val="20"/>
              </w:rPr>
              <w:t xml:space="preserve"> </w:t>
            </w:r>
            <w:r>
              <w:rPr>
                <w:sz w:val="20"/>
              </w:rPr>
              <w:t>authors</w:t>
            </w:r>
            <w:r>
              <w:rPr>
                <w:spacing w:val="-5"/>
                <w:sz w:val="20"/>
              </w:rPr>
              <w:t xml:space="preserve"> </w:t>
            </w:r>
            <w:r>
              <w:rPr>
                <w:sz w:val="20"/>
              </w:rPr>
              <w:t>should</w:t>
            </w:r>
            <w:r>
              <w:rPr>
                <w:spacing w:val="-5"/>
                <w:sz w:val="20"/>
              </w:rPr>
              <w:t xml:space="preserve"> </w:t>
            </w:r>
            <w:r>
              <w:rPr>
                <w:sz w:val="20"/>
              </w:rPr>
              <w:t>write</w:t>
            </w:r>
            <w:r>
              <w:rPr>
                <w:spacing w:val="-5"/>
                <w:sz w:val="20"/>
              </w:rPr>
              <w:t xml:space="preserve"> </w:t>
            </w:r>
            <w:r>
              <w:rPr>
                <w:sz w:val="20"/>
              </w:rPr>
              <w:t>his/her feedback here)</w:t>
            </w:r>
          </w:p>
        </w:tc>
      </w:tr>
      <w:tr w14:paraId="5BFADB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1" w:hRule="atLeast"/>
        </w:trPr>
        <w:tc>
          <w:tcPr>
            <w:tcW w:w="6763" w:type="dxa"/>
          </w:tcPr>
          <w:p w14:paraId="50756FA0">
            <w:pPr>
              <w:pStyle w:val="8"/>
              <w:ind w:left="0"/>
              <w:rPr>
                <w:b/>
                <w:sz w:val="20"/>
              </w:rPr>
            </w:pPr>
          </w:p>
          <w:p w14:paraId="6DA6CA3F">
            <w:pPr>
              <w:pStyle w:val="8"/>
              <w:rPr>
                <w:b/>
                <w:sz w:val="20"/>
              </w:rPr>
            </w:pPr>
            <w:r>
              <w:rPr>
                <w:b/>
                <w:sz w:val="20"/>
              </w:rPr>
              <w:t>Are</w:t>
            </w:r>
            <w:r>
              <w:rPr>
                <w:b/>
                <w:spacing w:val="-5"/>
                <w:sz w:val="20"/>
              </w:rPr>
              <w:t xml:space="preserve"> </w:t>
            </w:r>
            <w:r>
              <w:rPr>
                <w:b/>
                <w:sz w:val="20"/>
              </w:rPr>
              <w:t>there</w:t>
            </w:r>
            <w:r>
              <w:rPr>
                <w:b/>
                <w:spacing w:val="-5"/>
                <w:sz w:val="20"/>
              </w:rPr>
              <w:t xml:space="preserve"> </w:t>
            </w:r>
            <w:r>
              <w:rPr>
                <w:b/>
                <w:sz w:val="20"/>
              </w:rPr>
              <w:t>ethical</w:t>
            </w:r>
            <w:r>
              <w:rPr>
                <w:b/>
                <w:spacing w:val="-4"/>
                <w:sz w:val="20"/>
              </w:rPr>
              <w:t xml:space="preserve"> </w:t>
            </w:r>
            <w:r>
              <w:rPr>
                <w:b/>
                <w:sz w:val="20"/>
              </w:rPr>
              <w:t>issues</w:t>
            </w:r>
            <w:r>
              <w:rPr>
                <w:b/>
                <w:spacing w:val="-5"/>
                <w:sz w:val="20"/>
              </w:rPr>
              <w:t xml:space="preserve"> </w:t>
            </w:r>
            <w:r>
              <w:rPr>
                <w:b/>
                <w:sz w:val="20"/>
              </w:rPr>
              <w:t>in</w:t>
            </w:r>
            <w:r>
              <w:rPr>
                <w:b/>
                <w:spacing w:val="-5"/>
                <w:sz w:val="20"/>
              </w:rPr>
              <w:t xml:space="preserve"> </w:t>
            </w:r>
            <w:r>
              <w:rPr>
                <w:b/>
                <w:sz w:val="20"/>
              </w:rPr>
              <w:t>this</w:t>
            </w:r>
            <w:r>
              <w:rPr>
                <w:b/>
                <w:spacing w:val="-4"/>
                <w:sz w:val="20"/>
              </w:rPr>
              <w:t xml:space="preserve"> </w:t>
            </w:r>
            <w:r>
              <w:rPr>
                <w:b/>
                <w:spacing w:val="-2"/>
                <w:sz w:val="20"/>
              </w:rPr>
              <w:t>manuscript?</w:t>
            </w:r>
          </w:p>
        </w:tc>
        <w:tc>
          <w:tcPr>
            <w:tcW w:w="8553" w:type="dxa"/>
          </w:tcPr>
          <w:p w14:paraId="06628EEE">
            <w:pPr>
              <w:pStyle w:val="8"/>
              <w:spacing w:before="115"/>
              <w:rPr>
                <w:i/>
                <w:sz w:val="20"/>
              </w:rPr>
            </w:pPr>
            <w:r>
              <w:rPr>
                <w:i/>
                <w:sz w:val="20"/>
                <w:u w:val="single"/>
              </w:rPr>
              <w:t>(If</w:t>
            </w:r>
            <w:r>
              <w:rPr>
                <w:i/>
                <w:spacing w:val="-7"/>
                <w:sz w:val="20"/>
                <w:u w:val="single"/>
              </w:rPr>
              <w:t xml:space="preserve"> </w:t>
            </w:r>
            <w:r>
              <w:rPr>
                <w:i/>
                <w:sz w:val="20"/>
                <w:u w:val="single"/>
              </w:rPr>
              <w:t>yes,</w:t>
            </w:r>
            <w:r>
              <w:rPr>
                <w:i/>
                <w:spacing w:val="-5"/>
                <w:sz w:val="20"/>
                <w:u w:val="single"/>
              </w:rPr>
              <w:t xml:space="preserve"> </w:t>
            </w:r>
            <w:r>
              <w:rPr>
                <w:i/>
                <w:sz w:val="20"/>
                <w:u w:val="single"/>
              </w:rPr>
              <w:t>Kindly</w:t>
            </w:r>
            <w:r>
              <w:rPr>
                <w:i/>
                <w:spacing w:val="-5"/>
                <w:sz w:val="20"/>
                <w:u w:val="single"/>
              </w:rPr>
              <w:t xml:space="preserve"> </w:t>
            </w:r>
            <w:r>
              <w:rPr>
                <w:i/>
                <w:sz w:val="20"/>
                <w:u w:val="single"/>
              </w:rPr>
              <w:t>please</w:t>
            </w:r>
            <w:r>
              <w:rPr>
                <w:i/>
                <w:spacing w:val="-5"/>
                <w:sz w:val="20"/>
                <w:u w:val="single"/>
              </w:rPr>
              <w:t xml:space="preserve"> </w:t>
            </w:r>
            <w:r>
              <w:rPr>
                <w:i/>
                <w:sz w:val="20"/>
                <w:u w:val="single"/>
              </w:rPr>
              <w:t>write</w:t>
            </w:r>
            <w:r>
              <w:rPr>
                <w:i/>
                <w:spacing w:val="-5"/>
                <w:sz w:val="20"/>
                <w:u w:val="single"/>
              </w:rPr>
              <w:t xml:space="preserve"> </w:t>
            </w:r>
            <w:r>
              <w:rPr>
                <w:i/>
                <w:sz w:val="20"/>
                <w:u w:val="single"/>
              </w:rPr>
              <w:t>down</w:t>
            </w:r>
            <w:r>
              <w:rPr>
                <w:i/>
                <w:spacing w:val="-4"/>
                <w:sz w:val="20"/>
                <w:u w:val="single"/>
              </w:rPr>
              <w:t xml:space="preserve"> </w:t>
            </w:r>
            <w:r>
              <w:rPr>
                <w:i/>
                <w:sz w:val="20"/>
                <w:u w:val="single"/>
              </w:rPr>
              <w:t>the</w:t>
            </w:r>
            <w:r>
              <w:rPr>
                <w:i/>
                <w:spacing w:val="-5"/>
                <w:sz w:val="20"/>
                <w:u w:val="single"/>
              </w:rPr>
              <w:t xml:space="preserve"> </w:t>
            </w:r>
            <w:r>
              <w:rPr>
                <w:i/>
                <w:sz w:val="20"/>
                <w:u w:val="single"/>
              </w:rPr>
              <w:t>ethical</w:t>
            </w:r>
            <w:r>
              <w:rPr>
                <w:i/>
                <w:spacing w:val="-5"/>
                <w:sz w:val="20"/>
                <w:u w:val="single"/>
              </w:rPr>
              <w:t xml:space="preserve"> </w:t>
            </w:r>
            <w:r>
              <w:rPr>
                <w:i/>
                <w:sz w:val="20"/>
                <w:u w:val="single"/>
              </w:rPr>
              <w:t>issues</w:t>
            </w:r>
            <w:r>
              <w:rPr>
                <w:i/>
                <w:spacing w:val="-5"/>
                <w:sz w:val="20"/>
                <w:u w:val="single"/>
              </w:rPr>
              <w:t xml:space="preserve"> </w:t>
            </w:r>
            <w:r>
              <w:rPr>
                <w:i/>
                <w:sz w:val="20"/>
                <w:u w:val="single"/>
              </w:rPr>
              <w:t>here</w:t>
            </w:r>
            <w:r>
              <w:rPr>
                <w:i/>
                <w:spacing w:val="-5"/>
                <w:sz w:val="20"/>
                <w:u w:val="single"/>
              </w:rPr>
              <w:t xml:space="preserve"> </w:t>
            </w:r>
            <w:r>
              <w:rPr>
                <w:i/>
                <w:sz w:val="20"/>
                <w:u w:val="single"/>
              </w:rPr>
              <w:t>in</w:t>
            </w:r>
            <w:r>
              <w:rPr>
                <w:i/>
                <w:spacing w:val="-6"/>
                <w:sz w:val="20"/>
                <w:u w:val="single"/>
              </w:rPr>
              <w:t xml:space="preserve"> </w:t>
            </w:r>
            <w:r>
              <w:rPr>
                <w:i/>
                <w:spacing w:val="-2"/>
                <w:sz w:val="20"/>
                <w:u w:val="single"/>
              </w:rPr>
              <w:t>detail)</w:t>
            </w:r>
          </w:p>
          <w:p w14:paraId="227307A4">
            <w:pPr>
              <w:pStyle w:val="8"/>
              <w:spacing w:before="1"/>
              <w:ind w:left="0"/>
              <w:rPr>
                <w:b/>
                <w:sz w:val="20"/>
              </w:rPr>
            </w:pPr>
          </w:p>
          <w:p w14:paraId="20BD7F87">
            <w:pPr>
              <w:pStyle w:val="8"/>
              <w:rPr>
                <w:sz w:val="20"/>
              </w:rPr>
            </w:pPr>
            <w:r>
              <w:rPr>
                <w:spacing w:val="-5"/>
                <w:sz w:val="20"/>
              </w:rPr>
              <w:t>No.</w:t>
            </w:r>
          </w:p>
        </w:tc>
        <w:tc>
          <w:tcPr>
            <w:tcW w:w="5615" w:type="dxa"/>
          </w:tcPr>
          <w:p w14:paraId="028ECE05">
            <w:pPr>
              <w:pStyle w:val="8"/>
              <w:ind w:left="0"/>
              <w:rPr>
                <w:sz w:val="20"/>
              </w:rPr>
            </w:pPr>
          </w:p>
        </w:tc>
      </w:tr>
    </w:tbl>
    <w:p w14:paraId="54BC5E6D"/>
    <w:sectPr>
      <w:pgSz w:w="23820" w:h="16840" w:orient="landscape"/>
      <w:pgMar w:top="1740" w:right="1417" w:bottom="880" w:left="1417" w:header="1285" w:footer="695"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Arial MT">
    <w:altName w:val="Arial"/>
    <w:panose1 w:val="00000000000000000000"/>
    <w:charset w:val="01"/>
    <w:family w:val="swiss"/>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汉仪中宋简">
    <w:panose1 w:val="02010600000101010101"/>
    <w:charset w:val="80"/>
    <w:family w:val="auto"/>
    <w:pitch w:val="default"/>
    <w:sig w:usb0="800002BF" w:usb1="184F6CF8" w:usb2="00000012"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1B0C26">
    <w:pPr>
      <w:pStyle w:val="2"/>
      <w:spacing w:line="14" w:lineRule="auto"/>
      <w:rPr>
        <w:b w:val="0"/>
      </w:rPr>
    </w:pPr>
    <w:r>
      <w:rPr>
        <w:b w:val="0"/>
      </w:rPr>
      <mc:AlternateContent>
        <mc:Choice Requires="wps">
          <w:drawing>
            <wp:anchor distT="0" distB="0" distL="0" distR="0" simplePos="0" relativeHeight="251660288" behindDoc="1" locked="0" layoutInCell="1" allowOverlap="1">
              <wp:simplePos x="0" y="0"/>
              <wp:positionH relativeFrom="page">
                <wp:posOffset>901700</wp:posOffset>
              </wp:positionH>
              <wp:positionV relativeFrom="page">
                <wp:posOffset>10111105</wp:posOffset>
              </wp:positionV>
              <wp:extent cx="662940" cy="137160"/>
              <wp:effectExtent l="0" t="0" r="0" b="0"/>
              <wp:wrapNone/>
              <wp:docPr id="2" name="Textbox 2"/>
              <wp:cNvGraphicFramePr/>
              <a:graphic xmlns:a="http://schemas.openxmlformats.org/drawingml/2006/main">
                <a:graphicData uri="http://schemas.microsoft.com/office/word/2010/wordprocessingShape">
                  <wps:wsp>
                    <wps:cNvSpPr txBox="1"/>
                    <wps:spPr>
                      <a:xfrm>
                        <a:off x="0" y="0"/>
                        <a:ext cx="662940" cy="137160"/>
                      </a:xfrm>
                      <a:prstGeom prst="rect">
                        <a:avLst/>
                      </a:prstGeom>
                    </wps:spPr>
                    <wps:txbx>
                      <w:txbxContent>
                        <w:p w14:paraId="65A5E15B">
                          <w:pPr>
                            <w:spacing w:before="11"/>
                            <w:ind w:left="20"/>
                            <w:rPr>
                              <w:sz w:val="16"/>
                            </w:rPr>
                          </w:pPr>
                          <w:r>
                            <w:rPr>
                              <w:sz w:val="16"/>
                            </w:rPr>
                            <w:t>Created</w:t>
                          </w:r>
                          <w:r>
                            <w:rPr>
                              <w:spacing w:val="-3"/>
                              <w:sz w:val="16"/>
                            </w:rPr>
                            <w:t xml:space="preserve"> </w:t>
                          </w:r>
                          <w:r>
                            <w:rPr>
                              <w:sz w:val="16"/>
                            </w:rPr>
                            <w:t>by:</w:t>
                          </w:r>
                          <w:r>
                            <w:rPr>
                              <w:spacing w:val="-4"/>
                              <w:sz w:val="16"/>
                            </w:rPr>
                            <w:t xml:space="preserve"> </w:t>
                          </w:r>
                          <w:r>
                            <w:rPr>
                              <w:spacing w:val="-5"/>
                              <w:sz w:val="16"/>
                            </w:rPr>
                            <w:t>DR</w:t>
                          </w:r>
                        </w:p>
                      </w:txbxContent>
                    </wps:txbx>
                    <wps:bodyPr wrap="square" lIns="0" tIns="0" rIns="0" bIns="0" rtlCol="0">
                      <a:noAutofit/>
                    </wps:bodyPr>
                  </wps:wsp>
                </a:graphicData>
              </a:graphic>
            </wp:anchor>
          </w:drawing>
        </mc:Choice>
        <mc:Fallback>
          <w:pict>
            <v:shape id="Textbox 2" o:spid="_x0000_s1026" o:spt="202" type="#_x0000_t202" style="position:absolute;left:0pt;margin-left:71pt;margin-top:796.15pt;height:10.8pt;width:52.2pt;mso-position-horizontal-relative:page;mso-position-vertical-relative:page;z-index:-251656192;mso-width-relative:page;mso-height-relative:page;" filled="f" stroked="f" coordsize="21600,21600" o:gfxdata="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D1ujNfbAAAADQEAAA8AAAAAAAAAAQAgAAAAIgAAAGRycy9kb3ducmV2LnhtbFBLAQIUABQAAAAI&#10;AIdO4kCofRxcsQEAAHMDAAAOAAAAAAAAAAEAIAAAACoBAABkcnMvZTJvRG9jLnhtbFBLBQYAAAAA&#10;BgAGAFkBAABNBQAAAAA=&#10;">
              <v:fill on="f" focussize="0,0"/>
              <v:stroke on="f"/>
              <v:imagedata o:title=""/>
              <o:lock v:ext="edit" aspectratio="f"/>
              <v:textbox inset="0mm,0mm,0mm,0mm">
                <w:txbxContent>
                  <w:p w14:paraId="65A5E15B">
                    <w:pPr>
                      <w:spacing w:before="11"/>
                      <w:ind w:left="20"/>
                      <w:rPr>
                        <w:sz w:val="16"/>
                      </w:rPr>
                    </w:pPr>
                    <w:r>
                      <w:rPr>
                        <w:sz w:val="16"/>
                      </w:rPr>
                      <w:t>Created</w:t>
                    </w:r>
                    <w:r>
                      <w:rPr>
                        <w:spacing w:val="-3"/>
                        <w:sz w:val="16"/>
                      </w:rPr>
                      <w:t xml:space="preserve"> </w:t>
                    </w:r>
                    <w:r>
                      <w:rPr>
                        <w:sz w:val="16"/>
                      </w:rPr>
                      <w:t>by:</w:t>
                    </w:r>
                    <w:r>
                      <w:rPr>
                        <w:spacing w:val="-4"/>
                        <w:sz w:val="16"/>
                      </w:rPr>
                      <w:t xml:space="preserve"> </w:t>
                    </w:r>
                    <w:r>
                      <w:rPr>
                        <w:spacing w:val="-5"/>
                        <w:sz w:val="16"/>
                      </w:rPr>
                      <w:t>DR</w:t>
                    </w:r>
                  </w:p>
                </w:txbxContent>
              </v:textbox>
            </v:shape>
          </w:pict>
        </mc:Fallback>
      </mc:AlternateContent>
    </w:r>
    <w:r>
      <w:rPr>
        <w:b w:val="0"/>
      </w:rPr>
      <mc:AlternateContent>
        <mc:Choice Requires="wps">
          <w:drawing>
            <wp:anchor distT="0" distB="0" distL="0" distR="0" simplePos="0" relativeHeight="251660288" behindDoc="1" locked="0" layoutInCell="1" allowOverlap="1">
              <wp:simplePos x="0" y="0"/>
              <wp:positionH relativeFrom="page">
                <wp:posOffset>2639695</wp:posOffset>
              </wp:positionH>
              <wp:positionV relativeFrom="page">
                <wp:posOffset>10111105</wp:posOffset>
              </wp:positionV>
              <wp:extent cx="707390" cy="137160"/>
              <wp:effectExtent l="0" t="0" r="0" b="0"/>
              <wp:wrapNone/>
              <wp:docPr id="3" name="Textbox 3"/>
              <wp:cNvGraphicFramePr/>
              <a:graphic xmlns:a="http://schemas.openxmlformats.org/drawingml/2006/main">
                <a:graphicData uri="http://schemas.microsoft.com/office/word/2010/wordprocessingShape">
                  <wps:wsp>
                    <wps:cNvSpPr txBox="1"/>
                    <wps:spPr>
                      <a:xfrm>
                        <a:off x="0" y="0"/>
                        <a:ext cx="707390" cy="137160"/>
                      </a:xfrm>
                      <a:prstGeom prst="rect">
                        <a:avLst/>
                      </a:prstGeom>
                    </wps:spPr>
                    <wps:txbx>
                      <w:txbxContent>
                        <w:p w14:paraId="6BACDE61">
                          <w:pPr>
                            <w:spacing w:before="11"/>
                            <w:ind w:left="20"/>
                            <w:rPr>
                              <w:sz w:val="16"/>
                            </w:rPr>
                          </w:pPr>
                          <w:r>
                            <w:rPr>
                              <w:sz w:val="16"/>
                            </w:rPr>
                            <w:t>Checked</w:t>
                          </w:r>
                          <w:r>
                            <w:rPr>
                              <w:spacing w:val="-4"/>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6" o:spt="202" type="#_x0000_t202" style="position:absolute;left:0pt;margin-left:207.85pt;margin-top:796.15pt;height:10.8pt;width:55.7pt;mso-position-horizontal-relative:page;mso-position-vertical-relative:page;z-index:-251656192;mso-width-relative:page;mso-height-relative:page;" filled="f" stroked="f" coordsize="21600,21600" o:gfxdata="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D3VH5G3AAAAA0BAAAPAAAAAAAAAAEAIAAAACIAAABkcnMvZG93bnJldi54bWxQSwECFAAUAAAA&#10;CACHTuJA+dcpXrEBAABzAwAADgAAAAAAAAABACAAAAArAQAAZHJzL2Uyb0RvYy54bWxQSwUGAAAA&#10;AAYABgBZAQAATgUAAAAA&#10;">
              <v:fill on="f" focussize="0,0"/>
              <v:stroke on="f"/>
              <v:imagedata o:title=""/>
              <o:lock v:ext="edit" aspectratio="f"/>
              <v:textbox inset="0mm,0mm,0mm,0mm">
                <w:txbxContent>
                  <w:p w14:paraId="6BACDE61">
                    <w:pPr>
                      <w:spacing w:before="11"/>
                      <w:ind w:left="20"/>
                      <w:rPr>
                        <w:sz w:val="16"/>
                      </w:rPr>
                    </w:pPr>
                    <w:r>
                      <w:rPr>
                        <w:sz w:val="16"/>
                      </w:rPr>
                      <w:t>Checked</w:t>
                    </w:r>
                    <w:r>
                      <w:rPr>
                        <w:spacing w:val="-4"/>
                        <w:sz w:val="16"/>
                      </w:rPr>
                      <w:t xml:space="preserve"> </w:t>
                    </w:r>
                    <w:r>
                      <w:rPr>
                        <w:sz w:val="16"/>
                      </w:rPr>
                      <w:t>by:</w:t>
                    </w:r>
                    <w:r>
                      <w:rPr>
                        <w:spacing w:val="-3"/>
                        <w:sz w:val="16"/>
                      </w:rPr>
                      <w:t xml:space="preserve"> </w:t>
                    </w:r>
                    <w:r>
                      <w:rPr>
                        <w:spacing w:val="-5"/>
                        <w:sz w:val="16"/>
                      </w:rPr>
                      <w:t>PM</w:t>
                    </w:r>
                  </w:p>
                </w:txbxContent>
              </v:textbox>
            </v:shape>
          </w:pict>
        </mc:Fallback>
      </mc:AlternateContent>
    </w:r>
    <w:r>
      <w:rPr>
        <w:b w:val="0"/>
      </w:rPr>
      <mc:AlternateContent>
        <mc:Choice Requires="wps">
          <w:drawing>
            <wp:anchor distT="0" distB="0" distL="0" distR="0" simplePos="0" relativeHeight="251661312" behindDoc="1" locked="0" layoutInCell="1" allowOverlap="1">
              <wp:simplePos x="0" y="0"/>
              <wp:positionH relativeFrom="page">
                <wp:posOffset>4414520</wp:posOffset>
              </wp:positionH>
              <wp:positionV relativeFrom="page">
                <wp:posOffset>10111105</wp:posOffset>
              </wp:positionV>
              <wp:extent cx="859790" cy="137160"/>
              <wp:effectExtent l="0" t="0" r="0" b="0"/>
              <wp:wrapNone/>
              <wp:docPr id="4" name="Textbox 4"/>
              <wp:cNvGraphicFramePr/>
              <a:graphic xmlns:a="http://schemas.openxmlformats.org/drawingml/2006/main">
                <a:graphicData uri="http://schemas.microsoft.com/office/word/2010/wordprocessingShape">
                  <wps:wsp>
                    <wps:cNvSpPr txBox="1"/>
                    <wps:spPr>
                      <a:xfrm>
                        <a:off x="0" y="0"/>
                        <a:ext cx="859790" cy="137160"/>
                      </a:xfrm>
                      <a:prstGeom prst="rect">
                        <a:avLst/>
                      </a:prstGeom>
                    </wps:spPr>
                    <wps:txbx>
                      <w:txbxContent>
                        <w:p w14:paraId="4BEFE811">
                          <w:pPr>
                            <w:spacing w:before="11"/>
                            <w:ind w:left="20"/>
                            <w:rPr>
                              <w:sz w:val="16"/>
                            </w:rPr>
                          </w:pPr>
                          <w:r>
                            <w:rPr>
                              <w:sz w:val="16"/>
                            </w:rPr>
                            <w:t>Approved</w:t>
                          </w:r>
                          <w:r>
                            <w:rPr>
                              <w:spacing w:val="-4"/>
                              <w:sz w:val="16"/>
                            </w:rPr>
                            <w:t xml:space="preserve"> </w:t>
                          </w:r>
                          <w:r>
                            <w:rPr>
                              <w:sz w:val="16"/>
                            </w:rPr>
                            <w:t>by:</w:t>
                          </w:r>
                          <w:r>
                            <w:rPr>
                              <w:spacing w:val="-4"/>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6" o:spt="202" type="#_x0000_t202" style="position:absolute;left:0pt;margin-left:347.6pt;margin-top:796.15pt;height:10.8pt;width:67.7pt;mso-position-horizontal-relative:page;mso-position-vertical-relative:page;z-index:-251655168;mso-width-relative:page;mso-height-relative:page;" filled="f" stroked="f" coordsize="21600,21600" o:gfxdata="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slNNEtsAAAANAQAADwAAAAAAAAABACAAAAAiAAAAZHJzL2Rvd25yZXYueG1sUEsBAhQAFAAA&#10;AAgAh07iQD5YoN+zAQAAcwMAAA4AAAAAAAAAAQAgAAAAKgEAAGRycy9lMm9Eb2MueG1sUEsFBgAA&#10;AAAGAAYAWQEAAE8FAAAAAA==&#10;">
              <v:fill on="f" focussize="0,0"/>
              <v:stroke on="f"/>
              <v:imagedata o:title=""/>
              <o:lock v:ext="edit" aspectratio="f"/>
              <v:textbox inset="0mm,0mm,0mm,0mm">
                <w:txbxContent>
                  <w:p w14:paraId="4BEFE811">
                    <w:pPr>
                      <w:spacing w:before="11"/>
                      <w:ind w:left="20"/>
                      <w:rPr>
                        <w:sz w:val="16"/>
                      </w:rPr>
                    </w:pPr>
                    <w:r>
                      <w:rPr>
                        <w:sz w:val="16"/>
                      </w:rPr>
                      <w:t>Approved</w:t>
                    </w:r>
                    <w:r>
                      <w:rPr>
                        <w:spacing w:val="-4"/>
                        <w:sz w:val="16"/>
                      </w:rPr>
                      <w:t xml:space="preserve"> </w:t>
                    </w:r>
                    <w:r>
                      <w:rPr>
                        <w:sz w:val="16"/>
                      </w:rPr>
                      <w:t>by:</w:t>
                    </w:r>
                    <w:r>
                      <w:rPr>
                        <w:spacing w:val="-4"/>
                        <w:sz w:val="16"/>
                      </w:rPr>
                      <w:t xml:space="preserve"> </w:t>
                    </w:r>
                    <w:r>
                      <w:rPr>
                        <w:spacing w:val="-5"/>
                        <w:sz w:val="16"/>
                      </w:rPr>
                      <w:t>MBM</w:t>
                    </w:r>
                  </w:p>
                </w:txbxContent>
              </v:textbox>
            </v:shape>
          </w:pict>
        </mc:Fallback>
      </mc:AlternateContent>
    </w:r>
    <w:r>
      <w:rPr>
        <w:b w:val="0"/>
      </w:rPr>
      <mc:AlternateContent>
        <mc:Choice Requires="wps">
          <w:drawing>
            <wp:anchor distT="0" distB="0" distL="0" distR="0" simplePos="0" relativeHeight="251661312" behindDoc="1" locked="0" layoutInCell="1" allowOverlap="1">
              <wp:simplePos x="0" y="0"/>
              <wp:positionH relativeFrom="page">
                <wp:posOffset>6845300</wp:posOffset>
              </wp:positionH>
              <wp:positionV relativeFrom="page">
                <wp:posOffset>10111105</wp:posOffset>
              </wp:positionV>
              <wp:extent cx="1019175" cy="137160"/>
              <wp:effectExtent l="0" t="0" r="0" b="0"/>
              <wp:wrapNone/>
              <wp:docPr id="5" name="Textbox 5"/>
              <wp:cNvGraphicFramePr/>
              <a:graphic xmlns:a="http://schemas.openxmlformats.org/drawingml/2006/main">
                <a:graphicData uri="http://schemas.microsoft.com/office/word/2010/wordprocessingShape">
                  <wps:wsp>
                    <wps:cNvSpPr txBox="1"/>
                    <wps:spPr>
                      <a:xfrm>
                        <a:off x="0" y="0"/>
                        <a:ext cx="1019175" cy="137160"/>
                      </a:xfrm>
                      <a:prstGeom prst="rect">
                        <a:avLst/>
                      </a:prstGeom>
                    </wps:spPr>
                    <wps:txbx>
                      <w:txbxContent>
                        <w:p w14:paraId="7136979D">
                          <w:pPr>
                            <w:spacing w:before="11"/>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26" o:spt="202" type="#_x0000_t202" style="position:absolute;left:0pt;margin-left:539pt;margin-top:796.15pt;height:10.8pt;width:80.25pt;mso-position-horizontal-relative:page;mso-position-vertical-relative:page;z-index:-251655168;mso-width-relative:page;mso-height-relative:page;" filled="f" stroked="f" coordsize="21600,21600" o:gfxdata="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gfRo3dwAAAAPAQAADwAAAAAAAAABACAAAAAiAAAAZHJzL2Rvd25yZXYueG1sUEsBAhQAFAAA&#10;AAgAh07iQPwQMCuyAQAAdAMAAA4AAAAAAAAAAQAgAAAAKwEAAGRycy9lMm9Eb2MueG1sUEsFBgAA&#10;AAAGAAYAWQEAAE8FAAAAAA==&#10;">
              <v:fill on="f" focussize="0,0"/>
              <v:stroke on="f"/>
              <v:imagedata o:title=""/>
              <o:lock v:ext="edit" aspectratio="f"/>
              <v:textbox inset="0mm,0mm,0mm,0mm">
                <w:txbxContent>
                  <w:p w14:paraId="7136979D">
                    <w:pPr>
                      <w:spacing w:before="11"/>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F392BF">
    <w:pPr>
      <w:pStyle w:val="2"/>
      <w:spacing w:line="14" w:lineRule="auto"/>
      <w:rPr>
        <w:b w:val="0"/>
      </w:rPr>
    </w:pPr>
    <w:r>
      <w:rPr>
        <w:b w:val="0"/>
      </w:rPr>
      <mc:AlternateContent>
        <mc:Choice Requires="wps">
          <w:drawing>
            <wp:anchor distT="0" distB="0" distL="0" distR="0" simplePos="0" relativeHeight="251659264" behindDoc="1" locked="0" layoutInCell="1" allowOverlap="1">
              <wp:simplePos x="0" y="0"/>
              <wp:positionH relativeFrom="page">
                <wp:posOffset>901700</wp:posOffset>
              </wp:positionH>
              <wp:positionV relativeFrom="page">
                <wp:posOffset>803275</wp:posOffset>
              </wp:positionV>
              <wp:extent cx="1101090" cy="196215"/>
              <wp:effectExtent l="0" t="0" r="0" b="0"/>
              <wp:wrapNone/>
              <wp:docPr id="1" name="Textbox 1"/>
              <wp:cNvGraphicFramePr/>
              <a:graphic xmlns:a="http://schemas.openxmlformats.org/drawingml/2006/main">
                <a:graphicData uri="http://schemas.microsoft.com/office/word/2010/wordprocessingShape">
                  <wps:wsp>
                    <wps:cNvSpPr txBox="1"/>
                    <wps:spPr>
                      <a:xfrm>
                        <a:off x="0" y="0"/>
                        <a:ext cx="1101090" cy="196215"/>
                      </a:xfrm>
                      <a:prstGeom prst="rect">
                        <a:avLst/>
                      </a:prstGeom>
                    </wps:spPr>
                    <wps:txbx>
                      <w:txbxContent>
                        <w:p w14:paraId="3E5848E1">
                          <w:pPr>
                            <w:spacing w:before="12"/>
                            <w:ind w:left="20"/>
                            <w:rPr>
                              <w:rFonts w:ascii="Arial"/>
                              <w:b/>
                              <w:sz w:val="24"/>
                            </w:rPr>
                          </w:pPr>
                          <w:r>
                            <w:rPr>
                              <w:rFonts w:ascii="Arial"/>
                              <w:b/>
                              <w:color w:val="003399"/>
                              <w:sz w:val="24"/>
                              <w:u w:val="thick" w:color="003399"/>
                            </w:rPr>
                            <w:t>Review Form</w:t>
                          </w:r>
                          <w:r>
                            <w:rPr>
                              <w:rFonts w:ascii="Arial"/>
                              <w:b/>
                              <w:color w:val="003399"/>
                              <w:spacing w:val="-1"/>
                              <w:sz w:val="24"/>
                              <w:u w:val="thick" w:color="003399"/>
                            </w:rPr>
                            <w:t xml:space="preserve"> </w:t>
                          </w:r>
                          <w:r>
                            <w:rPr>
                              <w:rFonts w:ascii="Arial"/>
                              <w:b/>
                              <w:color w:val="003399"/>
                              <w:spacing w:val="-10"/>
                              <w:sz w:val="24"/>
                              <w:u w:val="thick" w:color="003399"/>
                            </w:rPr>
                            <w:t>3</w:t>
                          </w:r>
                        </w:p>
                      </w:txbxContent>
                    </wps:txbx>
                    <wps:bodyPr wrap="square" lIns="0" tIns="0" rIns="0" bIns="0" rtlCol="0">
                      <a:noAutofit/>
                    </wps:bodyPr>
                  </wps:wsp>
                </a:graphicData>
              </a:graphic>
            </wp:anchor>
          </w:drawing>
        </mc:Choice>
        <mc:Fallback>
          <w:pict>
            <v:shape id="Textbox 1" o:spid="_x0000_s1026" o:spt="202" type="#_x0000_t202" style="position:absolute;left:0pt;margin-left:71pt;margin-top:63.25pt;height:15.45pt;width:86.7pt;mso-position-horizontal-relative:page;mso-position-vertical-relative:page;z-index:-251657216;mso-width-relative:page;mso-height-relative:page;" filled="f" stroked="f" coordsize="21600,21600" o:gfxdata="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5KCv&#10;dtkAAAALAQAADwAAAAAAAAABACAAAAAiAAAAZHJzL2Rvd25yZXYueG1sUEsBAhQAFAAAAAgAh07i&#10;QMBxNKevAQAAdAMAAA4AAAAAAAAAAQAgAAAAKAEAAGRycy9lMm9Eb2MueG1sUEsFBgAAAAAGAAYA&#10;WQEAAEkFAAAAAA==&#10;">
              <v:fill on="f" focussize="0,0"/>
              <v:stroke on="f"/>
              <v:imagedata o:title=""/>
              <o:lock v:ext="edit" aspectratio="f"/>
              <v:textbox inset="0mm,0mm,0mm,0mm">
                <w:txbxContent>
                  <w:p w14:paraId="3E5848E1">
                    <w:pPr>
                      <w:spacing w:before="12"/>
                      <w:ind w:left="20"/>
                      <w:rPr>
                        <w:rFonts w:ascii="Arial"/>
                        <w:b/>
                        <w:sz w:val="24"/>
                      </w:rPr>
                    </w:pPr>
                    <w:r>
                      <w:rPr>
                        <w:rFonts w:ascii="Arial"/>
                        <w:b/>
                        <w:color w:val="003399"/>
                        <w:sz w:val="24"/>
                        <w:u w:val="thick" w:color="003399"/>
                      </w:rPr>
                      <w:t>Review Form</w:t>
                    </w:r>
                    <w:r>
                      <w:rPr>
                        <w:rFonts w:ascii="Arial"/>
                        <w:b/>
                        <w:color w:val="003399"/>
                        <w:spacing w:val="-1"/>
                        <w:sz w:val="24"/>
                        <w:u w:val="thick" w:color="003399"/>
                      </w:rPr>
                      <w:t xml:space="preserve"> </w:t>
                    </w:r>
                    <w:r>
                      <w:rPr>
                        <w:rFonts w:ascii="Arial"/>
                        <w:b/>
                        <w:color w:val="003399"/>
                        <w:spacing w:val="-10"/>
                        <w:sz w:val="24"/>
                        <w:u w:val="thick" w:color="003399"/>
                      </w:rPr>
                      <w:t>3</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7A04E4"/>
    <w:multiLevelType w:val="multilevel"/>
    <w:tmpl w:val="847A04E4"/>
    <w:lvl w:ilvl="0" w:tentative="0">
      <w:start w:val="1"/>
      <w:numFmt w:val="decimal"/>
      <w:lvlText w:val="%1)"/>
      <w:lvlJc w:val="left"/>
      <w:pPr>
        <w:ind w:left="445" w:hanging="340"/>
        <w:jc w:val="left"/>
      </w:pPr>
      <w:rPr>
        <w:rFonts w:hint="default" w:ascii="Times New Roman" w:hAnsi="Times New Roman" w:eastAsia="Times New Roman" w:cs="Times New Roman"/>
        <w:b w:val="0"/>
        <w:bCs w:val="0"/>
        <w:i w:val="0"/>
        <w:iCs w:val="0"/>
        <w:spacing w:val="-1"/>
        <w:w w:val="100"/>
        <w:sz w:val="20"/>
        <w:szCs w:val="20"/>
        <w:lang w:val="en-US" w:eastAsia="en-US" w:bidi="ar-SA"/>
      </w:rPr>
    </w:lvl>
    <w:lvl w:ilvl="1" w:tentative="0">
      <w:start w:val="1"/>
      <w:numFmt w:val="decimal"/>
      <w:lvlText w:val="%2)"/>
      <w:lvlJc w:val="left"/>
      <w:pPr>
        <w:ind w:left="445" w:hanging="340"/>
        <w:jc w:val="left"/>
      </w:pPr>
      <w:rPr>
        <w:rFonts w:hint="default" w:ascii="Times New Roman" w:hAnsi="Times New Roman" w:eastAsia="Times New Roman" w:cs="Times New Roman"/>
        <w:b w:val="0"/>
        <w:bCs w:val="0"/>
        <w:i w:val="0"/>
        <w:iCs w:val="0"/>
        <w:spacing w:val="-1"/>
        <w:w w:val="100"/>
        <w:sz w:val="20"/>
        <w:szCs w:val="20"/>
        <w:lang w:val="en-US" w:eastAsia="en-US" w:bidi="ar-SA"/>
      </w:rPr>
    </w:lvl>
    <w:lvl w:ilvl="2" w:tentative="0">
      <w:start w:val="0"/>
      <w:numFmt w:val="bullet"/>
      <w:lvlText w:val=""/>
      <w:lvlJc w:val="left"/>
      <w:pPr>
        <w:ind w:left="1165" w:hanging="360"/>
      </w:pPr>
      <w:rPr>
        <w:rFonts w:hint="default" w:ascii="Symbol" w:hAnsi="Symbol" w:eastAsia="Symbol" w:cs="Symbol"/>
        <w:b w:val="0"/>
        <w:bCs w:val="0"/>
        <w:i w:val="0"/>
        <w:iCs w:val="0"/>
        <w:spacing w:val="0"/>
        <w:w w:val="100"/>
        <w:sz w:val="20"/>
        <w:szCs w:val="20"/>
        <w:lang w:val="en-US" w:eastAsia="en-US" w:bidi="ar-SA"/>
      </w:rPr>
    </w:lvl>
    <w:lvl w:ilvl="3" w:tentative="0">
      <w:start w:val="0"/>
      <w:numFmt w:val="bullet"/>
      <w:lvlText w:val="•"/>
      <w:lvlJc w:val="left"/>
      <w:pPr>
        <w:ind w:left="2957" w:hanging="360"/>
      </w:pPr>
      <w:rPr>
        <w:rFonts w:hint="default"/>
        <w:lang w:val="en-US" w:eastAsia="en-US" w:bidi="ar-SA"/>
      </w:rPr>
    </w:lvl>
    <w:lvl w:ilvl="4" w:tentative="0">
      <w:start w:val="0"/>
      <w:numFmt w:val="bullet"/>
      <w:lvlText w:val="•"/>
      <w:lvlJc w:val="left"/>
      <w:pPr>
        <w:ind w:left="3856" w:hanging="360"/>
      </w:pPr>
      <w:rPr>
        <w:rFonts w:hint="default"/>
        <w:lang w:val="en-US" w:eastAsia="en-US" w:bidi="ar-SA"/>
      </w:rPr>
    </w:lvl>
    <w:lvl w:ilvl="5" w:tentative="0">
      <w:start w:val="0"/>
      <w:numFmt w:val="bullet"/>
      <w:lvlText w:val="•"/>
      <w:lvlJc w:val="left"/>
      <w:pPr>
        <w:ind w:left="4755" w:hanging="360"/>
      </w:pPr>
      <w:rPr>
        <w:rFonts w:hint="default"/>
        <w:lang w:val="en-US" w:eastAsia="en-US" w:bidi="ar-SA"/>
      </w:rPr>
    </w:lvl>
    <w:lvl w:ilvl="6" w:tentative="0">
      <w:start w:val="0"/>
      <w:numFmt w:val="bullet"/>
      <w:lvlText w:val="•"/>
      <w:lvlJc w:val="left"/>
      <w:pPr>
        <w:ind w:left="5653" w:hanging="360"/>
      </w:pPr>
      <w:rPr>
        <w:rFonts w:hint="default"/>
        <w:lang w:val="en-US" w:eastAsia="en-US" w:bidi="ar-SA"/>
      </w:rPr>
    </w:lvl>
    <w:lvl w:ilvl="7" w:tentative="0">
      <w:start w:val="0"/>
      <w:numFmt w:val="bullet"/>
      <w:lvlText w:val="•"/>
      <w:lvlJc w:val="left"/>
      <w:pPr>
        <w:ind w:left="6552" w:hanging="360"/>
      </w:pPr>
      <w:rPr>
        <w:rFonts w:hint="default"/>
        <w:lang w:val="en-US" w:eastAsia="en-US" w:bidi="ar-SA"/>
      </w:rPr>
    </w:lvl>
    <w:lvl w:ilvl="8" w:tentative="0">
      <w:start w:val="0"/>
      <w:numFmt w:val="bullet"/>
      <w:lvlText w:val="•"/>
      <w:lvlJc w:val="left"/>
      <w:pPr>
        <w:ind w:left="7451" w:hanging="360"/>
      </w:pPr>
      <w:rPr>
        <w:rFonts w:hint="default"/>
        <w:lang w:val="en-US" w:eastAsia="en-US" w:bidi="ar-SA"/>
      </w:rPr>
    </w:lvl>
  </w:abstractNum>
  <w:abstractNum w:abstractNumId="1">
    <w:nsid w:val="2E1222C1"/>
    <w:multiLevelType w:val="multilevel"/>
    <w:tmpl w:val="2E1222C1"/>
    <w:lvl w:ilvl="0" w:tentative="0">
      <w:start w:val="1"/>
      <w:numFmt w:val="decimal"/>
      <w:lvlText w:val="%1)"/>
      <w:lvlJc w:val="left"/>
      <w:pPr>
        <w:ind w:left="445" w:hanging="340"/>
        <w:jc w:val="left"/>
      </w:pPr>
      <w:rPr>
        <w:rFonts w:hint="default" w:ascii="Times New Roman" w:hAnsi="Times New Roman" w:eastAsia="Times New Roman" w:cs="Times New Roman"/>
        <w:b w:val="0"/>
        <w:bCs w:val="0"/>
        <w:i w:val="0"/>
        <w:iCs w:val="0"/>
        <w:spacing w:val="-1"/>
        <w:w w:val="100"/>
        <w:sz w:val="20"/>
        <w:szCs w:val="20"/>
        <w:lang w:val="en-US" w:eastAsia="en-US" w:bidi="ar-SA"/>
      </w:rPr>
    </w:lvl>
    <w:lvl w:ilvl="1" w:tentative="0">
      <w:start w:val="1"/>
      <w:numFmt w:val="decimal"/>
      <w:lvlText w:val="%2)"/>
      <w:lvlJc w:val="left"/>
      <w:pPr>
        <w:ind w:left="445" w:hanging="340"/>
        <w:jc w:val="left"/>
      </w:pPr>
      <w:rPr>
        <w:rFonts w:hint="default" w:ascii="Times New Roman" w:hAnsi="Times New Roman" w:eastAsia="Times New Roman" w:cs="Times New Roman"/>
        <w:b w:val="0"/>
        <w:bCs w:val="0"/>
        <w:i w:val="0"/>
        <w:iCs w:val="0"/>
        <w:spacing w:val="-1"/>
        <w:w w:val="100"/>
        <w:sz w:val="20"/>
        <w:szCs w:val="20"/>
        <w:lang w:val="en-US" w:eastAsia="en-US" w:bidi="ar-SA"/>
      </w:rPr>
    </w:lvl>
    <w:lvl w:ilvl="2" w:tentative="0">
      <w:start w:val="0"/>
      <w:numFmt w:val="bullet"/>
      <w:lvlText w:val=""/>
      <w:lvlJc w:val="left"/>
      <w:pPr>
        <w:ind w:left="1165" w:hanging="360"/>
      </w:pPr>
      <w:rPr>
        <w:rFonts w:hint="default" w:ascii="Symbol" w:hAnsi="Symbol" w:eastAsia="Symbol" w:cs="Symbol"/>
        <w:b w:val="0"/>
        <w:bCs w:val="0"/>
        <w:i w:val="0"/>
        <w:iCs w:val="0"/>
        <w:spacing w:val="0"/>
        <w:w w:val="100"/>
        <w:sz w:val="20"/>
        <w:szCs w:val="20"/>
        <w:lang w:val="en-US" w:eastAsia="en-US" w:bidi="ar-SA"/>
      </w:rPr>
    </w:lvl>
    <w:lvl w:ilvl="3" w:tentative="0">
      <w:start w:val="0"/>
      <w:numFmt w:val="bullet"/>
      <w:lvlText w:val="•"/>
      <w:lvlJc w:val="left"/>
      <w:pPr>
        <w:ind w:left="2957" w:hanging="360"/>
      </w:pPr>
      <w:rPr>
        <w:rFonts w:hint="default"/>
        <w:lang w:val="en-US" w:eastAsia="en-US" w:bidi="ar-SA"/>
      </w:rPr>
    </w:lvl>
    <w:lvl w:ilvl="4" w:tentative="0">
      <w:start w:val="0"/>
      <w:numFmt w:val="bullet"/>
      <w:lvlText w:val="•"/>
      <w:lvlJc w:val="left"/>
      <w:pPr>
        <w:ind w:left="3856" w:hanging="360"/>
      </w:pPr>
      <w:rPr>
        <w:rFonts w:hint="default"/>
        <w:lang w:val="en-US" w:eastAsia="en-US" w:bidi="ar-SA"/>
      </w:rPr>
    </w:lvl>
    <w:lvl w:ilvl="5" w:tentative="0">
      <w:start w:val="0"/>
      <w:numFmt w:val="bullet"/>
      <w:lvlText w:val="•"/>
      <w:lvlJc w:val="left"/>
      <w:pPr>
        <w:ind w:left="4755" w:hanging="360"/>
      </w:pPr>
      <w:rPr>
        <w:rFonts w:hint="default"/>
        <w:lang w:val="en-US" w:eastAsia="en-US" w:bidi="ar-SA"/>
      </w:rPr>
    </w:lvl>
    <w:lvl w:ilvl="6" w:tentative="0">
      <w:start w:val="0"/>
      <w:numFmt w:val="bullet"/>
      <w:lvlText w:val="•"/>
      <w:lvlJc w:val="left"/>
      <w:pPr>
        <w:ind w:left="5653" w:hanging="360"/>
      </w:pPr>
      <w:rPr>
        <w:rFonts w:hint="default"/>
        <w:lang w:val="en-US" w:eastAsia="en-US" w:bidi="ar-SA"/>
      </w:rPr>
    </w:lvl>
    <w:lvl w:ilvl="7" w:tentative="0">
      <w:start w:val="0"/>
      <w:numFmt w:val="bullet"/>
      <w:lvlText w:val="•"/>
      <w:lvlJc w:val="left"/>
      <w:pPr>
        <w:ind w:left="6552" w:hanging="360"/>
      </w:pPr>
      <w:rPr>
        <w:rFonts w:hint="default"/>
        <w:lang w:val="en-US" w:eastAsia="en-US" w:bidi="ar-SA"/>
      </w:rPr>
    </w:lvl>
    <w:lvl w:ilvl="8" w:tentative="0">
      <w:start w:val="0"/>
      <w:numFmt w:val="bullet"/>
      <w:lvlText w:val="•"/>
      <w:lvlJc w:val="left"/>
      <w:pPr>
        <w:ind w:left="7451" w:hanging="360"/>
      </w:pPr>
      <w:rPr>
        <w:rFonts w:hint="default"/>
        <w:lang w:val="en-U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1"/>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compatSetting w:name="compatibilityMode" w:uri="http://schemas.microsoft.com/office/word" w:val="14"/>
  </w:compat>
  <w:rsids>
    <w:rsidRoot w:val="009F5A90"/>
    <w:rsid w:val="002C2AD3"/>
    <w:rsid w:val="003D7DA4"/>
    <w:rsid w:val="009F5A90"/>
    <w:rsid w:val="00C3692D"/>
    <w:rsid w:val="00E32AF0"/>
    <w:rsid w:val="00EA4BA2"/>
    <w:rsid w:val="00F36A0F"/>
    <w:rsid w:val="329E3C22"/>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Times New Roman" w:hAnsi="Times New Roman" w:eastAsia="Times New Roman" w:cs="Times New Roman"/>
      <w:sz w:val="22"/>
      <w:szCs w:val="22"/>
      <w:lang w:val="en-US" w:eastAsia="en-US"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Body Text"/>
    <w:basedOn w:val="1"/>
    <w:link w:val="9"/>
    <w:qFormat/>
    <w:uiPriority w:val="1"/>
    <w:rPr>
      <w:b/>
      <w:bCs/>
      <w:sz w:val="20"/>
      <w:szCs w:val="20"/>
    </w:rPr>
  </w:style>
  <w:style w:type="paragraph" w:styleId="3">
    <w:name w:val="Title"/>
    <w:basedOn w:val="1"/>
    <w:qFormat/>
    <w:uiPriority w:val="10"/>
    <w:pPr>
      <w:spacing w:before="12"/>
      <w:ind w:left="20"/>
    </w:pPr>
    <w:rPr>
      <w:rFonts w:ascii="Arial" w:hAnsi="Arial" w:eastAsia="Arial" w:cs="Arial"/>
      <w:b/>
      <w:bCs/>
      <w:sz w:val="24"/>
      <w:szCs w:val="24"/>
      <w:u w:val="single" w:color="000000"/>
    </w:rPr>
  </w:style>
  <w:style w:type="character" w:styleId="6">
    <w:name w:val="Hyperlink"/>
    <w:basedOn w:val="5"/>
    <w:semiHidden/>
    <w:unhideWhenUsed/>
    <w:uiPriority w:val="99"/>
    <w:rPr>
      <w:color w:val="0000FF"/>
      <w:u w:val="single"/>
    </w:rPr>
  </w:style>
  <w:style w:type="paragraph" w:styleId="7">
    <w:name w:val="List Paragraph"/>
    <w:basedOn w:val="1"/>
    <w:qFormat/>
    <w:uiPriority w:val="1"/>
  </w:style>
  <w:style w:type="paragraph" w:customStyle="1" w:styleId="8">
    <w:name w:val="Table Paragraph"/>
    <w:basedOn w:val="1"/>
    <w:qFormat/>
    <w:uiPriority w:val="1"/>
    <w:pPr>
      <w:ind w:left="105"/>
    </w:pPr>
  </w:style>
  <w:style w:type="character" w:customStyle="1" w:styleId="9">
    <w:name w:val="Body Text Char"/>
    <w:basedOn w:val="5"/>
    <w:link w:val="2"/>
    <w:qFormat/>
    <w:uiPriority w:val="1"/>
    <w:rPr>
      <w:rFonts w:ascii="Times New Roman" w:hAnsi="Times New Roman" w:eastAsia="Times New Roman" w:cs="Times New Roman"/>
      <w:b/>
      <w:bCs/>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829</Words>
  <Characters>5032</Characters>
  <Lines>41</Lines>
  <Paragraphs>11</Paragraphs>
  <TotalTime>15</TotalTime>
  <ScaleCrop>false</ScaleCrop>
  <LinksUpToDate>false</LinksUpToDate>
  <CharactersWithSpaces>5812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2026-03-18T09:46:00Z</dcterms:created>
  <dc:creator>dd</dc:creator>
  <cp:lastModifiedBy>刘超群</cp:lastModifiedBy>
  <dcterms:modified xsi:type="dcterms:W3CDTF">2026-03-20T19:26:57Z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2026-03-17T00:00:00Z</vt:filetime>
  </property>
  <property fmtid="{D5CDD505-2E9C-101B-9397-08002B2CF9AE}" pid="3" name="LastSaved">
    <vt:filetime>2026-03-18T00:00:00Z</vt:filetime>
  </property>
  <property fmtid="{D5CDD505-2E9C-101B-9397-08002B2CF9AE}" pid="4" name="Producer">
    <vt:lpwstr>macOS Version 15.7.5 (Build 24G623) Quartz PDFContext</vt:lpwstr>
  </property>
  <property fmtid="{D5CDD505-2E9C-101B-9397-08002B2CF9AE}" pid="5" name="KSOTemplateDocerSaveRecord">
    <vt:lpwstr>eyJoZGlkIjoiZjMwNzA1NjY2NmU3NjJhZWQ0NjIyNDEwMzljYTEzNWEiLCJ1c2VySWQiOiIyOTI1MzI3MjYifQ==</vt:lpwstr>
  </property>
  <property fmtid="{D5CDD505-2E9C-101B-9397-08002B2CF9AE}" pid="6" name="KSOProductBuildVer">
    <vt:lpwstr>2052-12.1.0.25225</vt:lpwstr>
  </property>
  <property fmtid="{D5CDD505-2E9C-101B-9397-08002B2CF9AE}" pid="7" name="ICV">
    <vt:lpwstr>595C8D9215DD447285B01D03A5384A07_13</vt:lpwstr>
  </property>
</Properties>
</file>