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7C5BE" w14:textId="77777777" w:rsidR="00754C9A" w:rsidRPr="00F60746" w:rsidRDefault="00754C9A" w:rsidP="00441B6F">
      <w:pPr>
        <w:pStyle w:val="Title"/>
        <w:spacing w:after="0"/>
        <w:jc w:val="both"/>
        <w:rPr>
          <w:rFonts w:ascii="Arial" w:hAnsi="Arial" w:cs="Arial"/>
          <w:lang w:val="en-GB"/>
        </w:rPr>
      </w:pPr>
    </w:p>
    <w:p w14:paraId="29B69433" w14:textId="4C62256E" w:rsidR="00983938" w:rsidRPr="00983938" w:rsidRDefault="00983938" w:rsidP="00441B6F">
      <w:pPr>
        <w:pStyle w:val="Author"/>
        <w:spacing w:line="240" w:lineRule="auto"/>
        <w:rPr>
          <w:rFonts w:ascii="Arial" w:hAnsi="Arial" w:cs="Arial"/>
          <w:bCs/>
          <w:i/>
          <w:iCs/>
          <w:kern w:val="28"/>
          <w:sz w:val="36"/>
          <w:u w:val="single"/>
          <w:lang w:val="en-GB"/>
        </w:rPr>
      </w:pPr>
      <w:r w:rsidRPr="00983938">
        <w:rPr>
          <w:rFonts w:ascii="Arial" w:hAnsi="Arial" w:cs="Arial"/>
          <w:bCs/>
          <w:i/>
          <w:iCs/>
          <w:kern w:val="28"/>
          <w:sz w:val="36"/>
          <w:u w:val="single"/>
          <w:lang w:val="en-GB"/>
        </w:rPr>
        <w:t>Original Research Article</w:t>
      </w:r>
    </w:p>
    <w:p w14:paraId="6C42DC9A" w14:textId="77777777" w:rsidR="00983938" w:rsidRDefault="00983938" w:rsidP="00441B6F">
      <w:pPr>
        <w:pStyle w:val="Author"/>
        <w:spacing w:line="240" w:lineRule="auto"/>
        <w:rPr>
          <w:rFonts w:ascii="Arial" w:hAnsi="Arial" w:cs="Arial"/>
          <w:bCs/>
          <w:iCs/>
          <w:kern w:val="28"/>
          <w:sz w:val="36"/>
          <w:lang w:val="en-GB"/>
        </w:rPr>
      </w:pPr>
    </w:p>
    <w:p w14:paraId="2A39CA50" w14:textId="29B15877" w:rsidR="00163BC4" w:rsidRPr="00F60746" w:rsidRDefault="00F14685" w:rsidP="00441B6F">
      <w:pPr>
        <w:pStyle w:val="Author"/>
        <w:spacing w:line="240" w:lineRule="auto"/>
        <w:rPr>
          <w:rFonts w:ascii="Arial" w:hAnsi="Arial" w:cs="Arial"/>
          <w:bCs/>
          <w:iCs/>
          <w:kern w:val="28"/>
          <w:sz w:val="36"/>
          <w:lang w:val="en-GB"/>
        </w:rPr>
      </w:pPr>
      <w:r w:rsidRPr="00F60746">
        <w:rPr>
          <w:rFonts w:ascii="Arial" w:hAnsi="Arial" w:cs="Arial"/>
          <w:bCs/>
          <w:iCs/>
          <w:kern w:val="28"/>
          <w:sz w:val="36"/>
          <w:lang w:val="en-GB"/>
        </w:rPr>
        <w:t xml:space="preserve">Gender </w:t>
      </w:r>
      <w:proofErr w:type="gramStart"/>
      <w:r w:rsidRPr="00F60746">
        <w:rPr>
          <w:rFonts w:ascii="Arial" w:hAnsi="Arial" w:cs="Arial"/>
          <w:bCs/>
          <w:iCs/>
          <w:kern w:val="28"/>
          <w:sz w:val="36"/>
          <w:lang w:val="en-GB"/>
        </w:rPr>
        <w:t>And</w:t>
      </w:r>
      <w:proofErr w:type="gramEnd"/>
      <w:r w:rsidRPr="00F60746">
        <w:rPr>
          <w:rFonts w:ascii="Arial" w:hAnsi="Arial" w:cs="Arial"/>
          <w:bCs/>
          <w:iCs/>
          <w:kern w:val="28"/>
          <w:sz w:val="36"/>
          <w:lang w:val="en-GB"/>
        </w:rPr>
        <w:t xml:space="preserve"> Socio-Cultural Dimensions Of Shea </w:t>
      </w:r>
      <w:r>
        <w:rPr>
          <w:rFonts w:ascii="Arial" w:hAnsi="Arial" w:cs="Arial"/>
          <w:bCs/>
          <w:iCs/>
          <w:kern w:val="28"/>
          <w:sz w:val="36"/>
          <w:lang w:val="en-GB"/>
        </w:rPr>
        <w:t xml:space="preserve">Tree </w:t>
      </w:r>
      <w:r w:rsidRPr="00F60746">
        <w:rPr>
          <w:rFonts w:ascii="Arial" w:hAnsi="Arial" w:cs="Arial"/>
          <w:bCs/>
          <w:iCs/>
          <w:kern w:val="28"/>
          <w:sz w:val="36"/>
          <w:lang w:val="en-GB"/>
        </w:rPr>
        <w:t xml:space="preserve">Economy In Nigeria </w:t>
      </w:r>
    </w:p>
    <w:p w14:paraId="05603C59" w14:textId="77777777" w:rsidR="00364C0B" w:rsidRDefault="00364C0B" w:rsidP="00441B6F">
      <w:pPr>
        <w:pStyle w:val="Affiliation"/>
        <w:spacing w:after="0" w:line="240" w:lineRule="auto"/>
        <w:jc w:val="both"/>
        <w:rPr>
          <w:rFonts w:ascii="Arial" w:hAnsi="Arial" w:cs="Arial"/>
          <w:lang w:val="en-GB"/>
        </w:rPr>
      </w:pPr>
    </w:p>
    <w:p w14:paraId="4D257178" w14:textId="77777777" w:rsidR="00B01FCD" w:rsidRPr="00F60746" w:rsidRDefault="001A1A44" w:rsidP="00441B6F">
      <w:pPr>
        <w:pStyle w:val="Copyright"/>
        <w:spacing w:after="0" w:line="240" w:lineRule="auto"/>
        <w:jc w:val="both"/>
        <w:rPr>
          <w:rFonts w:ascii="Arial" w:hAnsi="Arial" w:cs="Arial"/>
          <w:lang w:val="en-GB"/>
        </w:rPr>
        <w:sectPr w:rsidR="00B01FCD" w:rsidRPr="00F60746" w:rsidSect="00E5141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lang w:val="en-GB"/>
        </w:rPr>
      </w:r>
      <w:r>
        <w:rPr>
          <w:rFonts w:ascii="Arial" w:hAnsi="Arial" w:cs="Arial"/>
          <w:lang w:val="en-GB"/>
        </w:rPr>
        <w:pict w14:anchorId="0C071DC4">
          <v:shapetype id="_x0000_t32" coordsize="21600,21600" o:spt="32" o:oned="t" path="m,l21600,21600e" filled="f">
            <v:path arrowok="t" fillok="f" o:connecttype="none"/>
            <o:lock v:ext="edit" shapetype="t"/>
          </v:shapetype>
          <v:shape id="_x0000_s103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60746">
        <w:rPr>
          <w:rFonts w:ascii="Arial" w:hAnsi="Arial" w:cs="Arial"/>
          <w:lang w:val="en-GB"/>
        </w:rPr>
        <w:t>.</w:t>
      </w:r>
    </w:p>
    <w:p w14:paraId="307EF863" w14:textId="2A85FBBB" w:rsidR="00B01FCD" w:rsidRPr="00F60746" w:rsidRDefault="00B01FCD" w:rsidP="00441B6F">
      <w:pPr>
        <w:pStyle w:val="AbstHead"/>
        <w:spacing w:after="0"/>
        <w:jc w:val="both"/>
        <w:rPr>
          <w:rFonts w:ascii="Arial" w:hAnsi="Arial" w:cs="Arial"/>
          <w:lang w:val="en-GB"/>
        </w:rPr>
      </w:pPr>
      <w:r w:rsidRPr="00F60746">
        <w:rPr>
          <w:rFonts w:ascii="Arial" w:hAnsi="Arial" w:cs="Arial"/>
          <w:lang w:val="en-GB"/>
        </w:rPr>
        <w:t>ABSTRACT</w:t>
      </w:r>
    </w:p>
    <w:p w14:paraId="120BC81B" w14:textId="77777777" w:rsidR="00790ADA" w:rsidRPr="00F60746"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60746" w14:paraId="089C4D6E" w14:textId="77777777" w:rsidTr="001E44FE">
        <w:tc>
          <w:tcPr>
            <w:tcW w:w="9576" w:type="dxa"/>
            <w:shd w:val="clear" w:color="auto" w:fill="F2F2F2"/>
          </w:tcPr>
          <w:p w14:paraId="4236A0DF" w14:textId="77777777" w:rsidR="005F10CC" w:rsidRPr="005F10CC" w:rsidRDefault="005F10CC" w:rsidP="005F10CC">
            <w:pPr>
              <w:pStyle w:val="Body"/>
              <w:rPr>
                <w:rFonts w:ascii="Arial" w:eastAsia="Calibri" w:hAnsi="Arial" w:cs="Arial"/>
                <w:bCs/>
                <w:szCs w:val="22"/>
                <w:lang w:val="en-GB"/>
              </w:rPr>
            </w:pPr>
            <w:r w:rsidRPr="005F10CC">
              <w:rPr>
                <w:rFonts w:ascii="Arial" w:eastAsia="Calibri" w:hAnsi="Arial" w:cs="Arial"/>
                <w:b/>
                <w:bCs/>
                <w:szCs w:val="22"/>
                <w:lang w:val="en-GB"/>
              </w:rPr>
              <w:t>Aims</w:t>
            </w:r>
            <w:r w:rsidRPr="005F10CC">
              <w:rPr>
                <w:rFonts w:ascii="Arial" w:eastAsia="Calibri" w:hAnsi="Arial" w:cs="Arial"/>
                <w:b/>
                <w:szCs w:val="22"/>
                <w:lang w:val="en-GB"/>
              </w:rPr>
              <w:t xml:space="preserve">: </w:t>
            </w:r>
            <w:r w:rsidRPr="005F10CC">
              <w:rPr>
                <w:rFonts w:ascii="Arial" w:eastAsia="Calibri" w:hAnsi="Arial" w:cs="Arial"/>
                <w:bCs/>
                <w:szCs w:val="22"/>
                <w:lang w:val="en-GB"/>
              </w:rPr>
              <w:t>Examine the gender, cultural, social and religious dimensions of shea economy in Nigeria and determine how they aid in income and welfare.</w:t>
            </w:r>
          </w:p>
          <w:p w14:paraId="44C66F0B" w14:textId="77777777"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szCs w:val="22"/>
                <w:lang w:val="en-GB"/>
              </w:rPr>
              <w:t xml:space="preserve">Study design: </w:t>
            </w:r>
            <w:r w:rsidRPr="005F10CC">
              <w:rPr>
                <w:rFonts w:ascii="Arial" w:eastAsia="Calibri" w:hAnsi="Arial" w:cs="Arial"/>
                <w:bCs/>
                <w:szCs w:val="22"/>
                <w:lang w:val="en-GB"/>
              </w:rPr>
              <w:t>The study was conducted in Nigeria which is in Western Africa. Multi-stage sampling procedure was employed in sampling the location and the collection of primary data for this study</w:t>
            </w:r>
          </w:p>
          <w:p w14:paraId="0B9EBF48" w14:textId="77777777"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Place and Duration of Study</w:t>
            </w:r>
            <w:r w:rsidRPr="005F10CC">
              <w:rPr>
                <w:rFonts w:ascii="Arial" w:eastAsia="Calibri" w:hAnsi="Arial" w:cs="Arial"/>
                <w:b/>
                <w:szCs w:val="22"/>
                <w:lang w:val="en-GB"/>
              </w:rPr>
              <w:t xml:space="preserve">: </w:t>
            </w:r>
            <w:r w:rsidRPr="005F10CC">
              <w:rPr>
                <w:rFonts w:ascii="Arial" w:eastAsia="Calibri" w:hAnsi="Arial" w:cs="Arial"/>
                <w:bCs/>
                <w:szCs w:val="22"/>
                <w:lang w:val="en-GB"/>
              </w:rPr>
              <w:t>Selected states in the shea belt of Nigeria between December 2020 and April 2021.</w:t>
            </w:r>
          </w:p>
          <w:p w14:paraId="641CEF2B" w14:textId="031146D0" w:rsidR="005F10CC" w:rsidRPr="005F10CC"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Methodology</w:t>
            </w:r>
            <w:r w:rsidRPr="005F10CC">
              <w:rPr>
                <w:rFonts w:ascii="Arial" w:eastAsia="Calibri" w:hAnsi="Arial" w:cs="Arial"/>
                <w:b/>
                <w:szCs w:val="22"/>
                <w:lang w:val="en-GB"/>
              </w:rPr>
              <w:t>:</w:t>
            </w:r>
            <w:r w:rsidRPr="00F60746">
              <w:rPr>
                <w:rFonts w:ascii="Arial" w:eastAsia="Calibri" w:hAnsi="Arial" w:cs="Arial"/>
                <w:b/>
                <w:szCs w:val="22"/>
                <w:lang w:val="en-GB"/>
              </w:rPr>
              <w:t xml:space="preserve"> </w:t>
            </w:r>
            <w:r w:rsidRPr="005F10CC">
              <w:rPr>
                <w:rFonts w:ascii="Arial" w:eastAsia="Calibri" w:hAnsi="Arial" w:cs="Arial"/>
                <w:bCs/>
                <w:szCs w:val="22"/>
                <w:lang w:val="en-GB"/>
              </w:rPr>
              <w:t xml:space="preserve">A total of 305 pickers, 204 processors and 102 traders giving a total of 611 respondents for the study. Data for this study were collected using interview schedules with the aid of trained enumerators. The data were </w:t>
            </w:r>
            <w:r w:rsidR="007C2629" w:rsidRPr="005F10CC">
              <w:rPr>
                <w:rFonts w:ascii="Arial" w:eastAsia="Calibri" w:hAnsi="Arial" w:cs="Arial"/>
                <w:bCs/>
                <w:szCs w:val="22"/>
                <w:lang w:val="en-GB"/>
              </w:rPr>
              <w:t>analysed</w:t>
            </w:r>
            <w:r w:rsidRPr="005F10CC">
              <w:rPr>
                <w:rFonts w:ascii="Arial" w:eastAsia="Calibri" w:hAnsi="Arial" w:cs="Arial"/>
                <w:bCs/>
                <w:szCs w:val="22"/>
                <w:lang w:val="en-GB"/>
              </w:rPr>
              <w:t xml:space="preserve"> using descriptive statistics, exploratory and confirmatory factor analysis using structural equation modelling (SEM).</w:t>
            </w:r>
          </w:p>
          <w:p w14:paraId="45101F6F" w14:textId="77777777" w:rsidR="005F10CC" w:rsidRPr="005F10CC" w:rsidRDefault="005F10CC" w:rsidP="005F10CC">
            <w:pPr>
              <w:pStyle w:val="Body"/>
              <w:rPr>
                <w:rFonts w:ascii="Arial" w:eastAsia="Calibri" w:hAnsi="Arial" w:cs="Arial"/>
                <w:bCs/>
                <w:szCs w:val="22"/>
                <w:lang w:val="en-GB"/>
              </w:rPr>
            </w:pPr>
            <w:r w:rsidRPr="005F10CC">
              <w:rPr>
                <w:rFonts w:ascii="Arial" w:eastAsia="Calibri" w:hAnsi="Arial" w:cs="Arial"/>
                <w:b/>
                <w:bCs/>
                <w:szCs w:val="22"/>
                <w:lang w:val="en-GB"/>
              </w:rPr>
              <w:t>Results</w:t>
            </w:r>
            <w:r w:rsidRPr="005F10CC">
              <w:rPr>
                <w:rFonts w:ascii="Arial" w:eastAsia="Calibri" w:hAnsi="Arial" w:cs="Arial"/>
                <w:b/>
                <w:szCs w:val="22"/>
                <w:lang w:val="en-GB"/>
              </w:rPr>
              <w:t xml:space="preserve">: </w:t>
            </w:r>
            <w:r w:rsidRPr="005F10CC">
              <w:rPr>
                <w:rFonts w:ascii="Arial" w:eastAsia="Calibri" w:hAnsi="Arial" w:cs="Arial"/>
                <w:bCs/>
                <w:szCs w:val="22"/>
                <w:lang w:val="en-GB"/>
              </w:rPr>
              <w:t>The results revealed that overwhelming majority of the actors involved in shea business were female married actors (92%), most of whom were Muslims (60%) with 35% Christians. Also, the females have more ownership and control than their male counterpart, but the ownership is community-based (52.34%) with a mean income of N2,514,190.30. Traders are the highest income earners but the pickers are more in number. SEM indicated that there is inter-relationship between shea tree ownership as a common resource and other latent variables which could be tapped by every member in the community with some form of community consent systems and the proceeds or income generated from the shea business is shared based on consent hierarchy.</w:t>
            </w:r>
          </w:p>
          <w:p w14:paraId="6122A18B" w14:textId="7480D494" w:rsidR="00505F06" w:rsidRPr="00F60746" w:rsidRDefault="005F10CC" w:rsidP="005F10CC">
            <w:pPr>
              <w:pStyle w:val="Body"/>
              <w:rPr>
                <w:rFonts w:ascii="Arial" w:eastAsia="Calibri" w:hAnsi="Arial" w:cs="Arial"/>
                <w:b/>
                <w:szCs w:val="22"/>
                <w:lang w:val="en-GB"/>
              </w:rPr>
            </w:pPr>
            <w:r w:rsidRPr="005F10CC">
              <w:rPr>
                <w:rFonts w:ascii="Arial" w:eastAsia="Calibri" w:hAnsi="Arial" w:cs="Arial"/>
                <w:b/>
                <w:bCs/>
                <w:szCs w:val="22"/>
                <w:lang w:val="en-GB"/>
              </w:rPr>
              <w:t>Conclusion</w:t>
            </w:r>
            <w:r w:rsidRPr="005F10CC">
              <w:rPr>
                <w:rFonts w:ascii="Arial" w:eastAsia="Calibri" w:hAnsi="Arial" w:cs="Arial"/>
                <w:bCs/>
                <w:szCs w:val="22"/>
                <w:lang w:val="en-GB"/>
              </w:rPr>
              <w:t>: It was recommended that women should be given full access and right by the community to gather shea nuts regardless of their marital status and without seeking permission from any member of the community. The sharing of the proceeds or income generated from shea business should be based on level of participation and not the hierarchical consent system.</w:t>
            </w:r>
          </w:p>
        </w:tc>
      </w:tr>
    </w:tbl>
    <w:p w14:paraId="6F533911" w14:textId="77777777" w:rsidR="00636EB2" w:rsidRPr="00F60746" w:rsidRDefault="00636EB2" w:rsidP="00441B6F">
      <w:pPr>
        <w:pStyle w:val="Body"/>
        <w:spacing w:after="0"/>
        <w:rPr>
          <w:rFonts w:ascii="Arial" w:hAnsi="Arial" w:cs="Arial"/>
          <w:i/>
          <w:lang w:val="en-GB"/>
        </w:rPr>
      </w:pPr>
    </w:p>
    <w:p w14:paraId="66C145A6" w14:textId="4CDA6982" w:rsidR="00A24E7E" w:rsidRPr="00F60746" w:rsidRDefault="00A24E7E" w:rsidP="00441B6F">
      <w:pPr>
        <w:pStyle w:val="Body"/>
        <w:spacing w:after="0"/>
        <w:rPr>
          <w:rFonts w:ascii="Arial" w:hAnsi="Arial" w:cs="Arial"/>
          <w:i/>
          <w:lang w:val="en-GB"/>
        </w:rPr>
      </w:pPr>
      <w:r w:rsidRPr="00F60746">
        <w:rPr>
          <w:rFonts w:ascii="Arial" w:hAnsi="Arial" w:cs="Arial"/>
          <w:i/>
          <w:lang w:val="en-GB"/>
        </w:rPr>
        <w:t xml:space="preserve">Keywords: </w:t>
      </w:r>
      <w:r w:rsidR="00853168" w:rsidRPr="00F60746">
        <w:rPr>
          <w:rFonts w:ascii="Arial" w:hAnsi="Arial" w:cs="Arial"/>
          <w:i/>
          <w:lang w:val="en-GB"/>
        </w:rPr>
        <w:t>Shea tree ownership, Shea proceeds, Shea trading, Structural Equation Modelling</w:t>
      </w:r>
      <w:r w:rsidR="000F2ADD">
        <w:rPr>
          <w:rFonts w:ascii="Arial" w:hAnsi="Arial" w:cs="Arial"/>
          <w:i/>
          <w:lang w:val="en-GB"/>
        </w:rPr>
        <w:t xml:space="preserve">, </w:t>
      </w:r>
      <w:r w:rsidR="000F2ADD" w:rsidRPr="000F2ADD">
        <w:rPr>
          <w:rFonts w:ascii="Arial" w:hAnsi="Arial" w:cs="Arial"/>
          <w:i/>
          <w:lang w:val="en-GB"/>
        </w:rPr>
        <w:t>Sustainable livelihoods</w:t>
      </w:r>
      <w:r w:rsidR="004716BF">
        <w:rPr>
          <w:rFonts w:ascii="Arial" w:hAnsi="Arial" w:cs="Arial"/>
          <w:i/>
          <w:lang w:val="en-GB"/>
        </w:rPr>
        <w:t>.</w:t>
      </w:r>
    </w:p>
    <w:p w14:paraId="1F99D08A" w14:textId="77777777" w:rsidR="00790ADA" w:rsidRPr="00F60746" w:rsidRDefault="00790ADA" w:rsidP="00441B6F">
      <w:pPr>
        <w:pStyle w:val="Body"/>
        <w:spacing w:after="0"/>
        <w:rPr>
          <w:rFonts w:ascii="Arial" w:hAnsi="Arial" w:cs="Arial"/>
          <w:i/>
          <w:lang w:val="en-GB"/>
        </w:rPr>
      </w:pPr>
    </w:p>
    <w:p w14:paraId="4C87B413" w14:textId="4BBC70AC" w:rsidR="007F7B32" w:rsidRPr="00F60746" w:rsidRDefault="00902823" w:rsidP="00441B6F">
      <w:pPr>
        <w:pStyle w:val="AbstHead"/>
        <w:spacing w:after="0"/>
        <w:jc w:val="both"/>
        <w:rPr>
          <w:rFonts w:ascii="Arial" w:hAnsi="Arial" w:cs="Arial"/>
          <w:lang w:val="en-GB"/>
        </w:rPr>
      </w:pPr>
      <w:r w:rsidRPr="00F60746">
        <w:rPr>
          <w:rFonts w:ascii="Arial" w:hAnsi="Arial" w:cs="Arial"/>
          <w:lang w:val="en-GB"/>
        </w:rPr>
        <w:t xml:space="preserve">1. </w:t>
      </w:r>
      <w:r w:rsidR="00B01FCD" w:rsidRPr="00F60746">
        <w:rPr>
          <w:rFonts w:ascii="Arial" w:hAnsi="Arial" w:cs="Arial"/>
          <w:lang w:val="en-GB"/>
        </w:rPr>
        <w:t>INTRODUCTION</w:t>
      </w:r>
    </w:p>
    <w:p w14:paraId="0D140C7B" w14:textId="77777777" w:rsidR="00790ADA" w:rsidRPr="00F60746" w:rsidRDefault="00790ADA" w:rsidP="00441B6F">
      <w:pPr>
        <w:pStyle w:val="AbstHead"/>
        <w:spacing w:after="0"/>
        <w:jc w:val="both"/>
        <w:rPr>
          <w:rFonts w:ascii="Arial" w:hAnsi="Arial" w:cs="Arial"/>
          <w:lang w:val="en-GB"/>
        </w:rPr>
      </w:pPr>
    </w:p>
    <w:p w14:paraId="06024186" w14:textId="5C0C9C0E" w:rsidR="00853168" w:rsidRPr="00853168" w:rsidRDefault="001A1A44" w:rsidP="00853168">
      <w:pPr>
        <w:pStyle w:val="Body"/>
        <w:rPr>
          <w:rFonts w:ascii="Arial" w:hAnsi="Arial" w:cs="Arial"/>
          <w:lang w:val="en-GB"/>
        </w:rPr>
      </w:pPr>
      <w:r>
        <w:rPr>
          <w:rFonts w:ascii="Arial" w:hAnsi="Arial" w:cs="Arial"/>
          <w:lang w:val="en-GB"/>
        </w:rPr>
        <w:t>“</w:t>
      </w:r>
      <w:r w:rsidR="00853168" w:rsidRPr="00853168">
        <w:rPr>
          <w:rFonts w:ascii="Arial" w:hAnsi="Arial" w:cs="Arial"/>
          <w:lang w:val="en-GB"/>
        </w:rPr>
        <w:t>Shea tree (</w:t>
      </w:r>
      <w:r w:rsidR="00853168" w:rsidRPr="00853168">
        <w:rPr>
          <w:rFonts w:ascii="Arial" w:hAnsi="Arial" w:cs="Arial"/>
          <w:i/>
          <w:iCs/>
          <w:lang w:val="en-GB"/>
        </w:rPr>
        <w:t>Vitellaria</w:t>
      </w:r>
      <w:r w:rsidR="00853168" w:rsidRPr="00853168">
        <w:rPr>
          <w:rFonts w:ascii="Arial" w:hAnsi="Arial" w:cs="Arial"/>
          <w:lang w:val="en-GB"/>
        </w:rPr>
        <w:t xml:space="preserve"> </w:t>
      </w:r>
      <w:proofErr w:type="spellStart"/>
      <w:r w:rsidR="00853168" w:rsidRPr="00853168">
        <w:rPr>
          <w:rFonts w:ascii="Arial" w:hAnsi="Arial" w:cs="Arial"/>
          <w:i/>
          <w:iCs/>
          <w:lang w:val="en-GB"/>
        </w:rPr>
        <w:t>paradoxa</w:t>
      </w:r>
      <w:proofErr w:type="spellEnd"/>
      <w:r w:rsidR="00853168" w:rsidRPr="00853168">
        <w:rPr>
          <w:rFonts w:ascii="Arial" w:hAnsi="Arial" w:cs="Arial"/>
          <w:lang w:val="en-GB"/>
        </w:rPr>
        <w:t xml:space="preserve">) is a unique agroforestry tree species central to sustaining local livelihoods and the farming environments of rural communities across Africa.  Recognized as the second most important oil crop in Africa after palm oil, shea tree is </w:t>
      </w:r>
      <w:r w:rsidR="00853168" w:rsidRPr="00853168">
        <w:rPr>
          <w:rFonts w:ascii="Arial" w:hAnsi="Arial" w:cs="Arial"/>
          <w:lang w:val="en-GB"/>
        </w:rPr>
        <w:lastRenderedPageBreak/>
        <w:t>among the most economically and culturally important indigenous tree species in Africa where oil palm does not grow</w:t>
      </w:r>
      <w:r>
        <w:rPr>
          <w:rFonts w:ascii="Arial" w:hAnsi="Arial" w:cs="Arial"/>
          <w:lang w:val="en-GB"/>
        </w:rPr>
        <w:t>”</w:t>
      </w:r>
      <w:r w:rsidR="00853168" w:rsidRPr="00853168">
        <w:rPr>
          <w:rFonts w:ascii="Arial" w:hAnsi="Arial" w:cs="Arial"/>
          <w:lang w:val="en-GB"/>
        </w:rPr>
        <w:t xml:space="preserve"> (Hale </w:t>
      </w:r>
      <w:r w:rsidR="00853168" w:rsidRPr="00853168">
        <w:rPr>
          <w:rFonts w:ascii="Arial" w:hAnsi="Arial" w:cs="Arial"/>
          <w:i/>
          <w:lang w:val="en-GB"/>
        </w:rPr>
        <w:t>et al</w:t>
      </w:r>
      <w:r w:rsidR="00853168" w:rsidRPr="00853168">
        <w:rPr>
          <w:rFonts w:ascii="Arial" w:hAnsi="Arial" w:cs="Arial"/>
          <w:lang w:val="en-GB"/>
        </w:rPr>
        <w:t xml:space="preserve">., 2021).  </w:t>
      </w:r>
      <w:r>
        <w:rPr>
          <w:rFonts w:ascii="Arial" w:hAnsi="Arial" w:cs="Arial"/>
          <w:lang w:val="en-GB"/>
        </w:rPr>
        <w:t>“</w:t>
      </w:r>
      <w:r w:rsidR="00853168" w:rsidRPr="00853168">
        <w:rPr>
          <w:rFonts w:ascii="Arial" w:hAnsi="Arial" w:cs="Arial"/>
          <w:lang w:val="en-GB"/>
        </w:rPr>
        <w:t>Shea production are characterized by rain-fed subsistence arable farming on compound and bush farms, irrigated dry season ‘market gardening’ on small protected plots and extensive livestock grazing based on crop residues, bush farm fallows and dry season transhumance along the river valleys and within protected areas</w:t>
      </w:r>
      <w:r>
        <w:rPr>
          <w:rFonts w:ascii="Arial" w:hAnsi="Arial" w:cs="Arial"/>
          <w:lang w:val="en-GB"/>
        </w:rPr>
        <w:t>”</w:t>
      </w:r>
      <w:r w:rsidR="00853168" w:rsidRPr="00853168">
        <w:rPr>
          <w:rFonts w:ascii="Arial" w:hAnsi="Arial" w:cs="Arial"/>
          <w:lang w:val="en-GB"/>
        </w:rPr>
        <w:t xml:space="preserve"> (Wardell and Fold, 2013). </w:t>
      </w:r>
      <w:r>
        <w:rPr>
          <w:rFonts w:ascii="Arial" w:hAnsi="Arial" w:cs="Arial"/>
          <w:lang w:val="en-GB"/>
        </w:rPr>
        <w:t>“</w:t>
      </w:r>
      <w:r w:rsidR="00853168" w:rsidRPr="00853168">
        <w:rPr>
          <w:rFonts w:ascii="Arial" w:hAnsi="Arial" w:cs="Arial"/>
          <w:lang w:val="en-GB"/>
        </w:rPr>
        <w:t>However, shea tree is traditionally not planted because of its extensive juvenile period (commonly 10–25 years) and local abundance, not to mention the challenges associated with being unable to differentiate naturally regenerated from planted trees. Instead, shea agroforestry parklands, comprised of annual crops and scattered shea trees that can reach densities of 20–50 trees/ha in areas of strong shea culture, result from self-sown propagation and systematic management (selection and protection) by farmers through successive fallow and cultivation cycles. Farmer selection of preferred individuals and removal of inferior trees for charcoal production or building materials serve to increase the levels of locally valued traits, resulting in what has been called a semi-domestication of the species</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Maranz</w:t>
      </w:r>
      <w:proofErr w:type="spellEnd"/>
      <w:r w:rsidR="00853168" w:rsidRPr="00853168">
        <w:rPr>
          <w:rFonts w:ascii="Arial" w:hAnsi="Arial" w:cs="Arial"/>
          <w:lang w:val="en-GB"/>
        </w:rPr>
        <w:t xml:space="preserve"> and </w:t>
      </w:r>
      <w:proofErr w:type="spellStart"/>
      <w:r w:rsidR="00853168" w:rsidRPr="00853168">
        <w:rPr>
          <w:rFonts w:ascii="Arial" w:hAnsi="Arial" w:cs="Arial"/>
          <w:lang w:val="en-GB"/>
        </w:rPr>
        <w:t>Wiesman</w:t>
      </w:r>
      <w:proofErr w:type="spellEnd"/>
      <w:r w:rsidR="00853168" w:rsidRPr="00853168">
        <w:rPr>
          <w:rFonts w:ascii="Arial" w:hAnsi="Arial" w:cs="Arial"/>
          <w:lang w:val="en-GB"/>
        </w:rPr>
        <w:t xml:space="preserve">, 2003). </w:t>
      </w:r>
      <w:r>
        <w:rPr>
          <w:rFonts w:ascii="Arial" w:hAnsi="Arial" w:cs="Arial"/>
          <w:lang w:val="en-GB"/>
        </w:rPr>
        <w:t>“</w:t>
      </w:r>
      <w:r w:rsidR="00853168" w:rsidRPr="00853168">
        <w:rPr>
          <w:rFonts w:ascii="Arial" w:hAnsi="Arial" w:cs="Arial"/>
          <w:lang w:val="en-GB"/>
        </w:rPr>
        <w:t>Shea consistently features at the top of farmers’ lists of priority species; and surveys indicate that farmers would plant shea trees if improved varieties were available and visually</w:t>
      </w:r>
      <w:r>
        <w:rPr>
          <w:rFonts w:ascii="Arial" w:hAnsi="Arial" w:cs="Arial"/>
          <w:lang w:val="en-GB"/>
        </w:rPr>
        <w:t>”</w:t>
      </w:r>
      <w:r w:rsidR="00853168" w:rsidRPr="00853168">
        <w:rPr>
          <w:rFonts w:ascii="Arial" w:hAnsi="Arial" w:cs="Arial"/>
          <w:lang w:val="en-GB"/>
        </w:rPr>
        <w:t xml:space="preserve"> distinguishable (for purposes of clarifying ownership) from naturally regenerated trees (Poudyal, 2011). Like all high-value fruit trees planted in these systems, deliberately planted shea stands could be established in closer proximity to household compounds, thus reducing walking and collection times.</w:t>
      </w:r>
    </w:p>
    <w:p w14:paraId="31B300A1" w14:textId="554EFD25" w:rsidR="00853168" w:rsidRPr="00853168" w:rsidRDefault="001A1A44" w:rsidP="00853168">
      <w:pPr>
        <w:pStyle w:val="Body"/>
        <w:rPr>
          <w:rFonts w:ascii="Arial" w:hAnsi="Arial" w:cs="Arial"/>
          <w:lang w:val="en-GB"/>
        </w:rPr>
      </w:pPr>
      <w:r>
        <w:rPr>
          <w:rFonts w:ascii="Arial" w:hAnsi="Arial" w:cs="Arial"/>
          <w:lang w:val="en-GB"/>
        </w:rPr>
        <w:t>“</w:t>
      </w:r>
      <w:r w:rsidR="00853168" w:rsidRPr="00853168">
        <w:rPr>
          <w:rFonts w:ascii="Arial" w:hAnsi="Arial" w:cs="Arial"/>
          <w:lang w:val="en-GB"/>
        </w:rPr>
        <w:t>Based on population and daily shea butter consumption data, the number of women taking part in shea nut collection across the shea belt in Africa is estimated at over 18 million</w:t>
      </w:r>
      <w:r>
        <w:rPr>
          <w:rFonts w:ascii="Arial" w:hAnsi="Arial" w:cs="Arial"/>
          <w:lang w:val="en-GB"/>
        </w:rPr>
        <w:t>”</w:t>
      </w:r>
      <w:r w:rsidR="00853168" w:rsidRPr="00853168">
        <w:rPr>
          <w:rFonts w:ascii="Arial" w:hAnsi="Arial" w:cs="Arial"/>
          <w:lang w:val="en-GB"/>
        </w:rPr>
        <w:t xml:space="preserve"> (Naughton </w:t>
      </w:r>
      <w:r w:rsidR="00853168" w:rsidRPr="00853168">
        <w:rPr>
          <w:rFonts w:ascii="Arial" w:hAnsi="Arial" w:cs="Arial"/>
          <w:i/>
          <w:lang w:val="en-GB"/>
        </w:rPr>
        <w:t>et al</w:t>
      </w:r>
      <w:r w:rsidR="00853168" w:rsidRPr="00853168">
        <w:rPr>
          <w:rFonts w:ascii="Arial" w:hAnsi="Arial" w:cs="Arial"/>
          <w:lang w:val="en-GB"/>
        </w:rPr>
        <w:t xml:space="preserve">., 2015). </w:t>
      </w:r>
      <w:proofErr w:type="spellStart"/>
      <w:proofErr w:type="gramStart"/>
      <w:r w:rsidR="00853168" w:rsidRPr="00853168">
        <w:rPr>
          <w:rFonts w:ascii="Arial" w:hAnsi="Arial" w:cs="Arial"/>
          <w:lang w:val="en-GB"/>
        </w:rPr>
        <w:t>I</w:t>
      </w:r>
      <w:r>
        <w:rPr>
          <w:rFonts w:ascii="Arial" w:hAnsi="Arial" w:cs="Arial"/>
          <w:lang w:val="en-GB"/>
        </w:rPr>
        <w:t>”</w:t>
      </w:r>
      <w:r w:rsidR="00853168" w:rsidRPr="00853168">
        <w:rPr>
          <w:rFonts w:ascii="Arial" w:hAnsi="Arial" w:cs="Arial"/>
          <w:lang w:val="en-GB"/>
        </w:rPr>
        <w:t>ndeed</w:t>
      </w:r>
      <w:proofErr w:type="spellEnd"/>
      <w:proofErr w:type="gramEnd"/>
      <w:r w:rsidR="00853168" w:rsidRPr="00853168">
        <w:rPr>
          <w:rFonts w:ascii="Arial" w:hAnsi="Arial" w:cs="Arial"/>
          <w:lang w:val="en-GB"/>
        </w:rPr>
        <w:t>, shea has been called “women’s gold” because it is one of only a few resources that female members of rural households in the region have control over, from harvesting to commercialization</w:t>
      </w:r>
      <w:r>
        <w:rPr>
          <w:rFonts w:ascii="Arial" w:hAnsi="Arial" w:cs="Arial"/>
          <w:lang w:val="en-GB"/>
        </w:rPr>
        <w:t>”</w:t>
      </w:r>
      <w:r w:rsidR="00853168" w:rsidRPr="00853168">
        <w:rPr>
          <w:rFonts w:ascii="Arial" w:hAnsi="Arial" w:cs="Arial"/>
          <w:lang w:val="en-GB"/>
        </w:rPr>
        <w:t xml:space="preserve"> (Elias and Carney, 2007). </w:t>
      </w:r>
      <w:r>
        <w:rPr>
          <w:rFonts w:ascii="Arial" w:hAnsi="Arial" w:cs="Arial"/>
          <w:lang w:val="en-GB"/>
        </w:rPr>
        <w:t>“</w:t>
      </w:r>
      <w:r w:rsidR="00853168" w:rsidRPr="00853168">
        <w:rPr>
          <w:rFonts w:ascii="Arial" w:hAnsi="Arial" w:cs="Arial"/>
          <w:lang w:val="en-GB"/>
        </w:rPr>
        <w:t>The sale of shea products allows women to secure additional food for themselves and their children once cereal harvests are exhausted</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Pouliot</w:t>
      </w:r>
      <w:proofErr w:type="spellEnd"/>
      <w:r w:rsidR="00853168" w:rsidRPr="00853168">
        <w:rPr>
          <w:rFonts w:ascii="Arial" w:hAnsi="Arial" w:cs="Arial"/>
          <w:lang w:val="en-GB"/>
        </w:rPr>
        <w:t xml:space="preserve">, 2012) and to generate cash for household expenses including clothing, medicine, and school fees. </w:t>
      </w:r>
      <w:r>
        <w:rPr>
          <w:rFonts w:ascii="Arial" w:hAnsi="Arial" w:cs="Arial"/>
          <w:lang w:val="en-GB"/>
        </w:rPr>
        <w:t>“</w:t>
      </w:r>
      <w:r w:rsidR="00853168" w:rsidRPr="00853168">
        <w:rPr>
          <w:rFonts w:ascii="Arial" w:hAnsi="Arial" w:cs="Arial"/>
          <w:lang w:val="en-GB"/>
        </w:rPr>
        <w:t>The seasonality of shea availability is also critical to farming households’ nutrition. Shea fruits are the only widely available, energy-rich food source at the time when land is tilled and crops are planted at the end of the dry season. The fruits supply significant amounts of protein, sugar, calcium, potassium, and essential fatty acids</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Honfo</w:t>
      </w:r>
      <w:proofErr w:type="spellEnd"/>
      <w:r w:rsidR="00853168" w:rsidRPr="00853168">
        <w:rPr>
          <w:rFonts w:ascii="Arial" w:hAnsi="Arial" w:cs="Arial"/>
          <w:lang w:val="en-GB"/>
        </w:rPr>
        <w:t xml:space="preserve"> </w:t>
      </w:r>
      <w:r w:rsidR="00853168" w:rsidRPr="00853168">
        <w:rPr>
          <w:rFonts w:ascii="Arial" w:hAnsi="Arial" w:cs="Arial"/>
          <w:i/>
          <w:lang w:val="en-GB"/>
        </w:rPr>
        <w:t>et al</w:t>
      </w:r>
      <w:r w:rsidR="00853168" w:rsidRPr="00853168">
        <w:rPr>
          <w:rFonts w:ascii="Arial" w:hAnsi="Arial" w:cs="Arial"/>
          <w:lang w:val="en-GB"/>
        </w:rPr>
        <w:t xml:space="preserve">., 2014) during this annual ‘hungry season’ when cereal stocks in granaries are lowest and </w:t>
      </w:r>
      <w:r w:rsidR="007C2629" w:rsidRPr="00853168">
        <w:rPr>
          <w:rFonts w:ascii="Arial" w:hAnsi="Arial" w:cs="Arial"/>
          <w:lang w:val="en-GB"/>
        </w:rPr>
        <w:t>labour</w:t>
      </w:r>
      <w:r w:rsidR="00853168" w:rsidRPr="00853168">
        <w:rPr>
          <w:rFonts w:ascii="Arial" w:hAnsi="Arial" w:cs="Arial"/>
          <w:lang w:val="en-GB"/>
        </w:rPr>
        <w:t xml:space="preserve"> requirements for field preparations with the coming of the rains are highest (</w:t>
      </w:r>
      <w:proofErr w:type="spellStart"/>
      <w:r w:rsidR="00853168" w:rsidRPr="00853168">
        <w:rPr>
          <w:rFonts w:ascii="Arial" w:hAnsi="Arial" w:cs="Arial"/>
          <w:lang w:val="en-GB"/>
        </w:rPr>
        <w:t>Maranz</w:t>
      </w:r>
      <w:proofErr w:type="spellEnd"/>
      <w:r w:rsidR="00853168" w:rsidRPr="00853168">
        <w:rPr>
          <w:rFonts w:ascii="Arial" w:hAnsi="Arial" w:cs="Arial"/>
          <w:lang w:val="en-GB"/>
        </w:rPr>
        <w:t xml:space="preserve"> </w:t>
      </w:r>
      <w:r w:rsidR="00853168" w:rsidRPr="00853168">
        <w:rPr>
          <w:rFonts w:ascii="Arial" w:hAnsi="Arial" w:cs="Arial"/>
          <w:i/>
          <w:lang w:val="en-GB"/>
        </w:rPr>
        <w:t>et al</w:t>
      </w:r>
      <w:r w:rsidR="00853168" w:rsidRPr="00853168">
        <w:rPr>
          <w:rFonts w:ascii="Arial" w:hAnsi="Arial" w:cs="Arial"/>
          <w:lang w:val="en-GB"/>
        </w:rPr>
        <w:t xml:space="preserve">., 2004). </w:t>
      </w:r>
    </w:p>
    <w:p w14:paraId="21B6541C" w14:textId="5184819A" w:rsidR="00853168" w:rsidRPr="00F60746" w:rsidRDefault="001A1A44" w:rsidP="00853168">
      <w:pPr>
        <w:pStyle w:val="Body"/>
        <w:rPr>
          <w:rFonts w:ascii="Arial" w:hAnsi="Arial" w:cs="Arial"/>
          <w:lang w:val="en-GB"/>
        </w:rPr>
      </w:pPr>
      <w:r>
        <w:rPr>
          <w:rFonts w:ascii="Arial" w:hAnsi="Arial" w:cs="Arial"/>
          <w:lang w:val="en-GB"/>
        </w:rPr>
        <w:t>“</w:t>
      </w:r>
      <w:r w:rsidR="00853168" w:rsidRPr="00853168">
        <w:rPr>
          <w:rFonts w:ascii="Arial" w:hAnsi="Arial" w:cs="Arial"/>
          <w:lang w:val="en-GB"/>
        </w:rPr>
        <w:t>Although there are laws that governance forest resources conservation in Nigeria, it does not serve as the only instrument of social control in the society as public opinion, religion and custom play very important role in shea economy</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Omon</w:t>
      </w:r>
      <w:proofErr w:type="spellEnd"/>
      <w:r w:rsidR="00853168" w:rsidRPr="00853168">
        <w:rPr>
          <w:rFonts w:ascii="Arial" w:hAnsi="Arial" w:cs="Arial"/>
          <w:lang w:val="en-GB"/>
        </w:rPr>
        <w:t xml:space="preserve"> and </w:t>
      </w:r>
      <w:proofErr w:type="spellStart"/>
      <w:r w:rsidR="00853168" w:rsidRPr="00853168">
        <w:rPr>
          <w:rFonts w:ascii="Arial" w:hAnsi="Arial" w:cs="Arial"/>
          <w:lang w:val="en-GB"/>
        </w:rPr>
        <w:t>Ilobekemen</w:t>
      </w:r>
      <w:proofErr w:type="spellEnd"/>
      <w:r w:rsidR="00853168" w:rsidRPr="00853168">
        <w:rPr>
          <w:rFonts w:ascii="Arial" w:hAnsi="Arial" w:cs="Arial"/>
          <w:lang w:val="en-GB"/>
        </w:rPr>
        <w:t xml:space="preserve">, 2018). Indeed the 1999 Nigerian constitution, in section 20, stated that “The State shall protect and improve the environment and safeguard the water, air and land, forest and wildlife of Nigeria”. However, a number of factors continue to constrain the achievements of these laudable goals and laws of our forest resources conservation. The major constraints include coordination problems, lack of supportive comprehensive policies on environmental laws and issues, inadequate legal framework for implementation and sanction against violations and lack of implementation of the Forest Act of 1999. In addition, there are issues of inadequate budget allocation and investment, poor maintenance of biological diversity and limited local participation, inadequate mainstreaming of environmental and climate change issues into other sector policies and programmes as well as slow implementation of the National policy on the Environment to reduce conflict related to land use. The apparent failures of all these laws and others not listed but have been enacted by the government through legislation, communities and corporate organizations have brought about social barriers, cultural and </w:t>
      </w:r>
      <w:r w:rsidR="00853168" w:rsidRPr="00853168">
        <w:rPr>
          <w:rFonts w:ascii="Arial" w:hAnsi="Arial" w:cs="Arial"/>
          <w:lang w:val="en-GB"/>
        </w:rPr>
        <w:lastRenderedPageBreak/>
        <w:t>religious norms that inhibit property ownership and natural resource entitlements. Becker (2001) found out that shea trees are usually considered the property of clan lineages. A woman married into a founding lineage thus collects from trees retained in fields and fallows of her husband’s lineage and from common-pool forested areas.</w:t>
      </w:r>
    </w:p>
    <w:p w14:paraId="18129978" w14:textId="1D58A9EB" w:rsidR="00853168" w:rsidRPr="00853168" w:rsidRDefault="0090424B" w:rsidP="00853168">
      <w:pPr>
        <w:pStyle w:val="Body"/>
        <w:rPr>
          <w:rFonts w:ascii="Arial" w:hAnsi="Arial" w:cs="Arial"/>
          <w:b/>
          <w:lang w:val="en-GB"/>
        </w:rPr>
      </w:pPr>
      <w:r w:rsidRPr="00F60746">
        <w:rPr>
          <w:rFonts w:ascii="Arial" w:hAnsi="Arial" w:cs="Arial"/>
          <w:b/>
          <w:lang w:val="en-GB"/>
        </w:rPr>
        <w:t>1.1</w:t>
      </w:r>
      <w:r w:rsidR="00853168" w:rsidRPr="00F60746">
        <w:rPr>
          <w:rFonts w:ascii="Arial" w:hAnsi="Arial" w:cs="Arial"/>
          <w:b/>
          <w:lang w:val="en-GB"/>
        </w:rPr>
        <w:t xml:space="preserve"> </w:t>
      </w:r>
      <w:r w:rsidRPr="00F60746">
        <w:rPr>
          <w:rFonts w:ascii="Arial" w:hAnsi="Arial" w:cs="Arial"/>
          <w:b/>
          <w:lang w:val="en-GB"/>
        </w:rPr>
        <w:t>Problem Statement</w:t>
      </w:r>
    </w:p>
    <w:p w14:paraId="1C965AC7" w14:textId="77777777" w:rsidR="00853168" w:rsidRPr="00853168" w:rsidRDefault="00853168" w:rsidP="00853168">
      <w:pPr>
        <w:pStyle w:val="Body"/>
        <w:rPr>
          <w:rFonts w:ascii="Arial" w:hAnsi="Arial" w:cs="Arial"/>
          <w:lang w:val="en-GB"/>
        </w:rPr>
      </w:pPr>
      <w:r w:rsidRPr="00853168">
        <w:rPr>
          <w:rFonts w:ascii="Arial" w:hAnsi="Arial" w:cs="Arial"/>
          <w:lang w:val="en-GB"/>
        </w:rPr>
        <w:t>In developing countries like Nigeria, women are usually very dependent on common property resources for water, compost for farmland and wild herbs, mushrooms, fruits and nuts, as it is usually their responsibility to ensure that the family is supplied with these goods. However, when these commonly held resources become scarce and property rights are exerted because of a perceived market value, their control tends to be assumed by men, although women’s role as the supplier to the family of these resources does not change.</w:t>
      </w:r>
    </w:p>
    <w:p w14:paraId="62E27E4A" w14:textId="2CCD4FF0" w:rsidR="00853168" w:rsidRPr="00853168" w:rsidRDefault="00853168" w:rsidP="00853168">
      <w:pPr>
        <w:pStyle w:val="Body"/>
        <w:rPr>
          <w:rFonts w:ascii="Arial" w:hAnsi="Arial" w:cs="Arial"/>
          <w:lang w:val="en-GB"/>
        </w:rPr>
      </w:pPr>
      <w:r w:rsidRPr="00853168">
        <w:rPr>
          <w:rFonts w:ascii="Arial" w:hAnsi="Arial" w:cs="Arial"/>
          <w:lang w:val="en-GB"/>
        </w:rPr>
        <w:t xml:space="preserve">According to Hammond </w:t>
      </w:r>
      <w:r w:rsidRPr="00853168">
        <w:rPr>
          <w:rFonts w:ascii="Arial" w:hAnsi="Arial" w:cs="Arial"/>
          <w:i/>
          <w:lang w:val="en-GB"/>
        </w:rPr>
        <w:t>et al</w:t>
      </w:r>
      <w:r w:rsidRPr="00853168">
        <w:rPr>
          <w:rFonts w:ascii="Arial" w:hAnsi="Arial" w:cs="Arial"/>
          <w:lang w:val="en-GB"/>
        </w:rPr>
        <w:t xml:space="preserve">. (2019), </w:t>
      </w:r>
      <w:r w:rsidR="001A1A44">
        <w:rPr>
          <w:rFonts w:ascii="Arial" w:hAnsi="Arial" w:cs="Arial"/>
          <w:lang w:val="en-GB"/>
        </w:rPr>
        <w:t>“</w:t>
      </w:r>
      <w:r w:rsidRPr="00853168">
        <w:rPr>
          <w:rFonts w:ascii="Arial" w:hAnsi="Arial" w:cs="Arial"/>
          <w:lang w:val="en-GB"/>
        </w:rPr>
        <w:t>one of the challenges faced by smallholder farm households particularly women are degradation of forest resources due to over exploitation, weak governance and conflict of use over shea trees. Rural women often have a wealth of knowledge on natural resources, such as land, water and forests, as they are often in charge of their management, not only in their role as farmers, foresters and fisher folk but also as primary providers of water, food and energy at the household and community level.  Despite this, rural women still face major gender-based constraints that limit their potential as economic agents and their capacity to reap the full benefits of their work. The root cause of these discriminations lies in social norms, attitudes and beliefs, which shape how women and men are expected to behave, the opportuni</w:t>
      </w:r>
      <w:r w:rsidRPr="00853168">
        <w:rPr>
          <w:rFonts w:ascii="Arial" w:hAnsi="Arial" w:cs="Arial"/>
          <w:lang w:val="en-GB"/>
        </w:rPr>
        <w:softHyphen/>
        <w:t>ties that are offered to them and the aspirations they can pursue. Discriminatory sociocultural norms affect how policies and legal frameworks are formulated and implemented; who participates in decision-making processes and governance mecha</w:t>
      </w:r>
      <w:r w:rsidRPr="00853168">
        <w:rPr>
          <w:rFonts w:ascii="Arial" w:hAnsi="Arial" w:cs="Arial"/>
          <w:lang w:val="en-GB"/>
        </w:rPr>
        <w:softHyphen/>
        <w:t>nisms; how rural institutions are managed; how service providers target their clients and prioritize their needs; and, ultimately, how resources are allocated and decisions are taken within households and communities. Therefore, the aim of this paper is to critically examine the gender, cultural, social and religious dimensions of shea trees ownership and exploitation in Nigeria and determine how they aid in income and welfare generation. The specific objectives were to determine shea tree ownership disaggregated by gender and religious strata as well as estimate the income generated from shea processing and marketing. The inter-relationship between ownership, gender, religion and some social factors were also examined</w:t>
      </w:r>
      <w:r w:rsidR="001A1A44">
        <w:rPr>
          <w:rFonts w:ascii="Arial" w:hAnsi="Arial" w:cs="Arial"/>
          <w:lang w:val="en-GB"/>
        </w:rPr>
        <w:t>”</w:t>
      </w:r>
      <w:r w:rsidRPr="00853168">
        <w:rPr>
          <w:rFonts w:ascii="Arial" w:hAnsi="Arial" w:cs="Arial"/>
          <w:lang w:val="en-GB"/>
        </w:rPr>
        <w:t xml:space="preserve">. </w:t>
      </w:r>
    </w:p>
    <w:p w14:paraId="5D8686AE" w14:textId="084AC443" w:rsidR="00853168" w:rsidRPr="00853168" w:rsidRDefault="0090424B" w:rsidP="00853168">
      <w:pPr>
        <w:pStyle w:val="Body"/>
        <w:rPr>
          <w:rFonts w:ascii="Arial" w:hAnsi="Arial" w:cs="Arial"/>
          <w:b/>
          <w:lang w:val="en-GB"/>
        </w:rPr>
      </w:pPr>
      <w:r w:rsidRPr="00F60746">
        <w:rPr>
          <w:rFonts w:ascii="Arial" w:hAnsi="Arial" w:cs="Arial"/>
          <w:b/>
          <w:lang w:val="en-GB"/>
        </w:rPr>
        <w:t>1.2 Justification</w:t>
      </w:r>
    </w:p>
    <w:p w14:paraId="0CE9A146" w14:textId="4DEB33A7" w:rsidR="00853168" w:rsidRPr="00853168" w:rsidRDefault="00853168" w:rsidP="00853168">
      <w:pPr>
        <w:pStyle w:val="Body"/>
        <w:rPr>
          <w:rFonts w:ascii="Arial" w:hAnsi="Arial" w:cs="Arial"/>
          <w:lang w:val="en-GB"/>
        </w:rPr>
      </w:pPr>
      <w:r w:rsidRPr="00853168">
        <w:rPr>
          <w:rFonts w:ascii="Arial" w:hAnsi="Arial" w:cs="Arial"/>
          <w:lang w:val="en-GB"/>
        </w:rPr>
        <w:t xml:space="preserve">Shea tree is a very important parkland tree species and collection of </w:t>
      </w:r>
      <w:r w:rsidR="004716BF" w:rsidRPr="00853168">
        <w:rPr>
          <w:rFonts w:ascii="Arial" w:hAnsi="Arial" w:cs="Arial"/>
          <w:lang w:val="en-GB"/>
        </w:rPr>
        <w:t>its</w:t>
      </w:r>
      <w:r w:rsidRPr="00853168">
        <w:rPr>
          <w:rFonts w:ascii="Arial" w:hAnsi="Arial" w:cs="Arial"/>
          <w:lang w:val="en-GB"/>
        </w:rPr>
        <w:t xml:space="preserve"> fruit is considered a women’s activity by rural people in Africa. Policy makers and development practitioners consider shea as a potential income generating activities available to all rural women equally (Rousseau </w:t>
      </w:r>
      <w:r w:rsidRPr="00853168">
        <w:rPr>
          <w:rFonts w:ascii="Arial" w:hAnsi="Arial" w:cs="Arial"/>
          <w:i/>
          <w:lang w:val="en-GB"/>
        </w:rPr>
        <w:t>et al</w:t>
      </w:r>
      <w:r w:rsidRPr="00853168">
        <w:rPr>
          <w:rFonts w:ascii="Arial" w:hAnsi="Arial" w:cs="Arial"/>
          <w:lang w:val="en-GB"/>
        </w:rPr>
        <w:t xml:space="preserve">., 2017). However, most literature on shea (Naughton </w:t>
      </w:r>
      <w:r w:rsidRPr="00853168">
        <w:rPr>
          <w:rFonts w:ascii="Arial" w:hAnsi="Arial" w:cs="Arial"/>
          <w:i/>
          <w:lang w:val="en-GB"/>
        </w:rPr>
        <w:t>et al</w:t>
      </w:r>
      <w:r w:rsidRPr="00853168">
        <w:rPr>
          <w:rFonts w:ascii="Arial" w:hAnsi="Arial" w:cs="Arial"/>
          <w:lang w:val="en-GB"/>
        </w:rPr>
        <w:t xml:space="preserve">., 2015; Rousseau </w:t>
      </w:r>
      <w:r w:rsidRPr="00853168">
        <w:rPr>
          <w:rFonts w:ascii="Arial" w:hAnsi="Arial" w:cs="Arial"/>
          <w:i/>
          <w:lang w:val="en-GB"/>
        </w:rPr>
        <w:t>et al</w:t>
      </w:r>
      <w:r w:rsidRPr="00853168">
        <w:rPr>
          <w:rFonts w:ascii="Arial" w:hAnsi="Arial" w:cs="Arial"/>
          <w:lang w:val="en-GB"/>
        </w:rPr>
        <w:t xml:space="preserve">., 2017; Hammond </w:t>
      </w:r>
      <w:r w:rsidRPr="00853168">
        <w:rPr>
          <w:rFonts w:ascii="Arial" w:hAnsi="Arial" w:cs="Arial"/>
          <w:i/>
          <w:lang w:val="en-GB"/>
        </w:rPr>
        <w:t>et al</w:t>
      </w:r>
      <w:r w:rsidRPr="00853168">
        <w:rPr>
          <w:rFonts w:ascii="Arial" w:hAnsi="Arial" w:cs="Arial"/>
          <w:lang w:val="en-GB"/>
        </w:rPr>
        <w:t xml:space="preserve">., 2019; Hale </w:t>
      </w:r>
      <w:r w:rsidRPr="00853168">
        <w:rPr>
          <w:rFonts w:ascii="Arial" w:hAnsi="Arial" w:cs="Arial"/>
          <w:i/>
          <w:lang w:val="en-GB"/>
        </w:rPr>
        <w:t>et al</w:t>
      </w:r>
      <w:r w:rsidRPr="00853168">
        <w:rPr>
          <w:rFonts w:ascii="Arial" w:hAnsi="Arial" w:cs="Arial"/>
          <w:lang w:val="en-GB"/>
        </w:rPr>
        <w:t>., 2021) mainly focuses on shea nut production, butter processing and marketing. As such, there is a global literature gap on the gender and sociocultural dimensions of shea tree ownership. This knowledge gap could be a driver of household allocation of shea income and inequalities among rural people involved in shea activities.</w:t>
      </w:r>
    </w:p>
    <w:p w14:paraId="213F3802"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Shea nut production supports the achievement of Climate Smart Agriculture objectives through increasing food security, increasing adaptive capacity, and mitigation of greenhouse gas emissions (Campbell </w:t>
      </w:r>
      <w:r w:rsidRPr="00853168">
        <w:rPr>
          <w:rFonts w:ascii="Arial" w:hAnsi="Arial" w:cs="Arial"/>
          <w:i/>
          <w:lang w:val="en-GB"/>
        </w:rPr>
        <w:t>et al</w:t>
      </w:r>
      <w:r w:rsidRPr="00853168">
        <w:rPr>
          <w:rFonts w:ascii="Arial" w:hAnsi="Arial" w:cs="Arial"/>
          <w:lang w:val="en-GB"/>
        </w:rPr>
        <w:t xml:space="preserve">., 2014; Lipper </w:t>
      </w:r>
      <w:r w:rsidRPr="00853168">
        <w:rPr>
          <w:rFonts w:ascii="Arial" w:hAnsi="Arial" w:cs="Arial"/>
          <w:i/>
          <w:lang w:val="en-GB"/>
        </w:rPr>
        <w:t>et al</w:t>
      </w:r>
      <w:r w:rsidRPr="00853168">
        <w:rPr>
          <w:rFonts w:ascii="Arial" w:hAnsi="Arial" w:cs="Arial"/>
          <w:lang w:val="en-GB"/>
        </w:rPr>
        <w:t xml:space="preserve">., 2014; Hammond </w:t>
      </w:r>
      <w:r w:rsidRPr="00853168">
        <w:rPr>
          <w:rFonts w:ascii="Arial" w:hAnsi="Arial" w:cs="Arial"/>
          <w:i/>
          <w:lang w:val="en-GB"/>
        </w:rPr>
        <w:t>et al</w:t>
      </w:r>
      <w:r w:rsidRPr="00853168">
        <w:rPr>
          <w:rFonts w:ascii="Arial" w:hAnsi="Arial" w:cs="Arial"/>
          <w:lang w:val="en-GB"/>
        </w:rPr>
        <w:t xml:space="preserve">., 2019). Shea production has a positive impact on adaptive capacity by enhancing the economic value of shea trees, it encourages the retention of trees in the landscape which will continue to </w:t>
      </w:r>
      <w:r w:rsidRPr="00853168">
        <w:rPr>
          <w:rFonts w:ascii="Arial" w:hAnsi="Arial" w:cs="Arial"/>
          <w:lang w:val="en-GB"/>
        </w:rPr>
        <w:lastRenderedPageBreak/>
        <w:t xml:space="preserve">provide buffering ecosystem services, promoting water and soil retention and guarding against desertification (Sinare </w:t>
      </w:r>
      <w:r w:rsidRPr="00853168">
        <w:rPr>
          <w:rFonts w:ascii="Arial" w:hAnsi="Arial" w:cs="Arial"/>
          <w:i/>
          <w:lang w:val="en-GB"/>
        </w:rPr>
        <w:t>et al</w:t>
      </w:r>
      <w:r w:rsidRPr="00853168">
        <w:rPr>
          <w:rFonts w:ascii="Arial" w:hAnsi="Arial" w:cs="Arial"/>
          <w:lang w:val="en-GB"/>
        </w:rPr>
        <w:t xml:space="preserve">., 2016). A healthy shea nut industry therefore promotes landscape-scale adaptation to climate change. Lending credence to this, Hammond </w:t>
      </w:r>
      <w:r w:rsidRPr="00853168">
        <w:rPr>
          <w:rFonts w:ascii="Arial" w:hAnsi="Arial" w:cs="Arial"/>
          <w:i/>
          <w:lang w:val="en-GB"/>
        </w:rPr>
        <w:t>et al</w:t>
      </w:r>
      <w:r w:rsidRPr="00853168">
        <w:rPr>
          <w:rFonts w:ascii="Arial" w:hAnsi="Arial" w:cs="Arial"/>
          <w:lang w:val="en-GB"/>
        </w:rPr>
        <w:t>. (2019) argued that increased shea butter production, supported by better business infrastructure leads to increased incomes and makes households more resilient to negative shocks.</w:t>
      </w:r>
    </w:p>
    <w:p w14:paraId="6EB3F2EF" w14:textId="4D70458A" w:rsidR="00853168" w:rsidRPr="00853168" w:rsidRDefault="00853168" w:rsidP="00853168">
      <w:pPr>
        <w:pStyle w:val="Body"/>
        <w:rPr>
          <w:rFonts w:ascii="Arial" w:hAnsi="Arial" w:cs="Arial"/>
          <w:lang w:val="en-GB"/>
        </w:rPr>
      </w:pPr>
      <w:r w:rsidRPr="00853168">
        <w:rPr>
          <w:rFonts w:ascii="Arial" w:hAnsi="Arial" w:cs="Arial"/>
          <w:lang w:val="en-GB"/>
        </w:rPr>
        <w:t xml:space="preserve">Local communities collect a large range of non-timber forest products such as shea for subsistence use and for sale in local periodic markets. Shea nuts and shea butter products continue to be of critical importance in sustaining rural livelihoods. Becker (2001) affirmed that </w:t>
      </w:r>
      <w:r w:rsidR="001A1A44">
        <w:rPr>
          <w:rFonts w:ascii="Arial" w:hAnsi="Arial" w:cs="Arial"/>
          <w:lang w:val="en-GB"/>
        </w:rPr>
        <w:t>“</w:t>
      </w:r>
      <w:r w:rsidRPr="00853168">
        <w:rPr>
          <w:rFonts w:ascii="Arial" w:hAnsi="Arial" w:cs="Arial"/>
          <w:lang w:val="en-GB"/>
        </w:rPr>
        <w:t xml:space="preserve">women earn 55% of their personal income from the sale of shea butter compared to 24% from the sale of firewood in Mali. According to the traditional division of labour, women are responsible primarily for the cultivation and harvesting of subsistence crops such as millet, maize and rice. They are also responsible for collecting the fruits that fall from shea trees. In Burkina Faso, shea nuts are commonly referred to as women’s gold”. </w:t>
      </w:r>
      <w:r w:rsidR="001A1A44">
        <w:rPr>
          <w:rFonts w:ascii="Arial" w:hAnsi="Arial" w:cs="Arial"/>
          <w:lang w:val="en-GB"/>
        </w:rPr>
        <w:t>“</w:t>
      </w:r>
      <w:r w:rsidRPr="00853168">
        <w:rPr>
          <w:rFonts w:ascii="Arial" w:hAnsi="Arial" w:cs="Arial"/>
          <w:lang w:val="en-GB"/>
        </w:rPr>
        <w:t>They are used to produce shea butter and are coveted as active ingredients in soaps, cosmetics, moisturizers and lotions (United Nations Development Programme</w:t>
      </w:r>
      <w:r w:rsidR="001A1A44">
        <w:rPr>
          <w:rFonts w:ascii="Arial" w:hAnsi="Arial" w:cs="Arial"/>
          <w:lang w:val="en-GB"/>
        </w:rPr>
        <w:t>”</w:t>
      </w:r>
      <w:r w:rsidRPr="00853168">
        <w:rPr>
          <w:rFonts w:ascii="Arial" w:hAnsi="Arial" w:cs="Arial"/>
          <w:lang w:val="en-GB"/>
        </w:rPr>
        <w:t xml:space="preserve"> (UNDP), 2012). The employment opportunities generated through shea have empowered local women to escape the margins of poverty by using traditional knowledge and a widely available and abundant resource. New sources of income provide a degree of financial autonomy and have created revenue streams that are </w:t>
      </w:r>
      <w:r w:rsidR="009B624C" w:rsidRPr="00853168">
        <w:rPr>
          <w:rFonts w:ascii="Arial" w:hAnsi="Arial" w:cs="Arial"/>
          <w:lang w:val="en-GB"/>
        </w:rPr>
        <w:t>channelled</w:t>
      </w:r>
      <w:r w:rsidRPr="00853168">
        <w:rPr>
          <w:rFonts w:ascii="Arial" w:hAnsi="Arial" w:cs="Arial"/>
          <w:lang w:val="en-GB"/>
        </w:rPr>
        <w:t xml:space="preserve"> into filling service gaps in the areas of education, health, and food security. </w:t>
      </w:r>
    </w:p>
    <w:p w14:paraId="0E19096A" w14:textId="365F6939" w:rsidR="00853168" w:rsidRPr="00853168" w:rsidRDefault="0090424B" w:rsidP="00853168">
      <w:pPr>
        <w:pStyle w:val="Body"/>
        <w:rPr>
          <w:rFonts w:ascii="Arial" w:hAnsi="Arial" w:cs="Arial"/>
          <w:b/>
          <w:lang w:val="en-GB"/>
        </w:rPr>
      </w:pPr>
      <w:r w:rsidRPr="00F60746">
        <w:rPr>
          <w:rFonts w:ascii="Arial" w:hAnsi="Arial" w:cs="Arial"/>
          <w:b/>
          <w:lang w:val="en-GB"/>
        </w:rPr>
        <w:t>1.3 Literature Review</w:t>
      </w:r>
    </w:p>
    <w:p w14:paraId="718AD8F5" w14:textId="3D5C9181" w:rsidR="00853168" w:rsidRPr="00853168" w:rsidRDefault="00853168" w:rsidP="00853168">
      <w:pPr>
        <w:pStyle w:val="Body"/>
        <w:rPr>
          <w:rFonts w:ascii="Arial" w:hAnsi="Arial" w:cs="Arial"/>
          <w:lang w:val="en-GB"/>
        </w:rPr>
      </w:pPr>
      <w:r w:rsidRPr="00853168">
        <w:rPr>
          <w:rFonts w:ascii="Arial" w:hAnsi="Arial" w:cs="Arial"/>
          <w:lang w:val="en-GB"/>
        </w:rPr>
        <w:t xml:space="preserve">This study is conceptualized on the view of gender politics and agrarian change literature (Rousseau </w:t>
      </w:r>
      <w:r w:rsidRPr="00853168">
        <w:rPr>
          <w:rFonts w:ascii="Arial" w:hAnsi="Arial" w:cs="Arial"/>
          <w:i/>
          <w:lang w:val="en-GB"/>
        </w:rPr>
        <w:t>et al</w:t>
      </w:r>
      <w:r w:rsidRPr="00853168">
        <w:rPr>
          <w:rFonts w:ascii="Arial" w:hAnsi="Arial" w:cs="Arial"/>
          <w:lang w:val="en-GB"/>
        </w:rPr>
        <w:t xml:space="preserve">., 2017) on socio-economic differentiation processes around shea activity that affect rural people.  </w:t>
      </w:r>
      <w:r w:rsidR="001A1A44">
        <w:rPr>
          <w:rFonts w:ascii="Arial" w:hAnsi="Arial" w:cs="Arial"/>
          <w:lang w:val="en-GB"/>
        </w:rPr>
        <w:t>“</w:t>
      </w:r>
      <w:r w:rsidRPr="00853168">
        <w:rPr>
          <w:rFonts w:ascii="Arial" w:hAnsi="Arial" w:cs="Arial"/>
          <w:lang w:val="en-GB"/>
        </w:rPr>
        <w:t xml:space="preserve">In the aspect of gender politics, the focus is on </w:t>
      </w:r>
      <w:r w:rsidR="007C2629" w:rsidRPr="00853168">
        <w:rPr>
          <w:rFonts w:ascii="Arial" w:hAnsi="Arial" w:cs="Arial"/>
          <w:lang w:val="en-GB"/>
        </w:rPr>
        <w:t>analysing</w:t>
      </w:r>
      <w:r w:rsidRPr="00853168">
        <w:rPr>
          <w:rFonts w:ascii="Arial" w:hAnsi="Arial" w:cs="Arial"/>
          <w:lang w:val="en-GB"/>
        </w:rPr>
        <w:t xml:space="preserve"> the household as a political scene</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Apusigah</w:t>
      </w:r>
      <w:proofErr w:type="spellEnd"/>
      <w:r w:rsidRPr="00853168">
        <w:rPr>
          <w:rFonts w:ascii="Arial" w:hAnsi="Arial" w:cs="Arial"/>
          <w:lang w:val="en-GB"/>
        </w:rPr>
        <w:t xml:space="preserve">, 2009) which explores power relationships within the household. This makes it possible to investigate within-household control of activities, distribution of income, and social justice in all their complexity. </w:t>
      </w:r>
      <w:r w:rsidR="001A1A44">
        <w:rPr>
          <w:rFonts w:ascii="Arial" w:hAnsi="Arial" w:cs="Arial"/>
          <w:lang w:val="en-GB"/>
        </w:rPr>
        <w:t>“</w:t>
      </w:r>
      <w:r w:rsidRPr="00853168">
        <w:rPr>
          <w:rFonts w:ascii="Arial" w:hAnsi="Arial" w:cs="Arial"/>
          <w:lang w:val="en-GB"/>
        </w:rPr>
        <w:t xml:space="preserve">The literature successfully identified the mechanisms by which men and women gain control over activities and over income within the household. These mechanisms are based on: the politics of access to land and resources with the importance of the interpretation and reinterpretation of rules of access and the </w:t>
      </w:r>
      <w:r w:rsidR="004716BF" w:rsidRPr="00853168">
        <w:rPr>
          <w:rFonts w:ascii="Arial" w:hAnsi="Arial" w:cs="Arial"/>
          <w:lang w:val="en-GB"/>
        </w:rPr>
        <w:t>labelling</w:t>
      </w:r>
      <w:r w:rsidRPr="00853168">
        <w:rPr>
          <w:rFonts w:ascii="Arial" w:hAnsi="Arial" w:cs="Arial"/>
          <w:lang w:val="en-GB"/>
        </w:rPr>
        <w:t xml:space="preserve"> of resources and or land; the control of labour and the interpretation and reinterpretation of gendered division of tasks including the activities connected with child care and household tasks which limit women’s productive work and the politics of meaning, that is, the interpretation and reinterpretation of the meaning of cash crop activities and the use of the money from these activities as a power resource</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Duflo</w:t>
      </w:r>
      <w:proofErr w:type="spellEnd"/>
      <w:r w:rsidRPr="00853168">
        <w:rPr>
          <w:rFonts w:ascii="Arial" w:hAnsi="Arial" w:cs="Arial"/>
          <w:lang w:val="en-GB"/>
        </w:rPr>
        <w:t xml:space="preserve"> and </w:t>
      </w:r>
      <w:proofErr w:type="spellStart"/>
      <w:r w:rsidRPr="00853168">
        <w:rPr>
          <w:rFonts w:ascii="Arial" w:hAnsi="Arial" w:cs="Arial"/>
          <w:lang w:val="en-GB"/>
        </w:rPr>
        <w:t>Udry</w:t>
      </w:r>
      <w:proofErr w:type="spellEnd"/>
      <w:r w:rsidRPr="00853168">
        <w:rPr>
          <w:rFonts w:ascii="Arial" w:hAnsi="Arial" w:cs="Arial"/>
          <w:lang w:val="en-GB"/>
        </w:rPr>
        <w:t xml:space="preserve">, 2004; </w:t>
      </w:r>
      <w:proofErr w:type="spellStart"/>
      <w:r w:rsidRPr="00853168">
        <w:rPr>
          <w:rFonts w:ascii="Arial" w:hAnsi="Arial" w:cs="Arial"/>
          <w:lang w:val="en-GB"/>
        </w:rPr>
        <w:t>Somé</w:t>
      </w:r>
      <w:proofErr w:type="spellEnd"/>
      <w:r w:rsidRPr="00853168">
        <w:rPr>
          <w:rFonts w:ascii="Arial" w:hAnsi="Arial" w:cs="Arial"/>
          <w:lang w:val="en-GB"/>
        </w:rPr>
        <w:t xml:space="preserve">, 2013; </w:t>
      </w:r>
      <w:proofErr w:type="spellStart"/>
      <w:r w:rsidRPr="00853168">
        <w:rPr>
          <w:rFonts w:ascii="Arial" w:hAnsi="Arial" w:cs="Arial"/>
          <w:lang w:val="en-GB"/>
        </w:rPr>
        <w:t>Quisumbing</w:t>
      </w:r>
      <w:proofErr w:type="spellEnd"/>
      <w:r w:rsidRPr="00853168">
        <w:rPr>
          <w:rFonts w:ascii="Arial" w:hAnsi="Arial" w:cs="Arial"/>
          <w:lang w:val="en-GB"/>
        </w:rPr>
        <w:t xml:space="preserve"> </w:t>
      </w:r>
      <w:r w:rsidRPr="00853168">
        <w:rPr>
          <w:rFonts w:ascii="Arial" w:hAnsi="Arial" w:cs="Arial"/>
          <w:i/>
          <w:lang w:val="en-GB"/>
        </w:rPr>
        <w:t>et a1</w:t>
      </w:r>
      <w:r w:rsidRPr="00853168">
        <w:rPr>
          <w:rFonts w:ascii="Arial" w:hAnsi="Arial" w:cs="Arial"/>
          <w:lang w:val="en-GB"/>
        </w:rPr>
        <w:t xml:space="preserve">., 2014). </w:t>
      </w:r>
      <w:r w:rsidR="001A1A44">
        <w:rPr>
          <w:rFonts w:ascii="Arial" w:hAnsi="Arial" w:cs="Arial"/>
          <w:lang w:val="en-GB"/>
        </w:rPr>
        <w:t>“</w:t>
      </w:r>
      <w:r w:rsidR="007C2629" w:rsidRPr="00853168">
        <w:rPr>
          <w:rFonts w:ascii="Arial" w:hAnsi="Arial" w:cs="Arial"/>
          <w:lang w:val="en-GB"/>
        </w:rPr>
        <w:t>Analysing</w:t>
      </w:r>
      <w:r w:rsidRPr="00853168">
        <w:rPr>
          <w:rFonts w:ascii="Arial" w:hAnsi="Arial" w:cs="Arial"/>
          <w:lang w:val="en-GB"/>
        </w:rPr>
        <w:t xml:space="preserve"> gender politics within households made it possible to go beyond the simplistic dichotomy of the mechanisms of dispossession and exploitation of women by men and the mechanisms of empowerment of women, and reveal the negotiation processes between spouses, the strategies, the compensation conceded and the trade-offs involved. The aim of this literature was to consider gender categories not just through opposition to one another, that is, man vs. woman, but with reference to a host of other social markers including age, income and origin that matter in explaining social change and power relationships</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Elmhirst</w:t>
      </w:r>
      <w:proofErr w:type="spellEnd"/>
      <w:r w:rsidRPr="00853168">
        <w:rPr>
          <w:rFonts w:ascii="Arial" w:hAnsi="Arial" w:cs="Arial"/>
          <w:lang w:val="en-GB"/>
        </w:rPr>
        <w:t xml:space="preserve">, 2011). </w:t>
      </w:r>
    </w:p>
    <w:p w14:paraId="2C1D5DC3" w14:textId="1AF76700" w:rsidR="00853168" w:rsidRPr="00853168" w:rsidRDefault="001A1A44" w:rsidP="00853168">
      <w:pPr>
        <w:pStyle w:val="Body"/>
        <w:rPr>
          <w:rFonts w:ascii="Arial" w:hAnsi="Arial" w:cs="Arial"/>
          <w:lang w:val="en-GB"/>
        </w:rPr>
      </w:pPr>
      <w:r>
        <w:rPr>
          <w:rFonts w:ascii="Arial" w:hAnsi="Arial" w:cs="Arial"/>
          <w:lang w:val="en-GB"/>
        </w:rPr>
        <w:t>“</w:t>
      </w:r>
      <w:r w:rsidR="00853168" w:rsidRPr="00853168">
        <w:rPr>
          <w:rFonts w:ascii="Arial" w:hAnsi="Arial" w:cs="Arial"/>
          <w:lang w:val="en-GB"/>
        </w:rPr>
        <w:t>The agrarian change literature on the other hand, has succeeded in explaining rural social change through the analysis of power relationships. Agrarian change literature is heir to Marxist literature. It deals with the process of integrating the agricultural world into the capitalist economy</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Akram</w:t>
      </w:r>
      <w:proofErr w:type="spellEnd"/>
      <w:r w:rsidR="00853168" w:rsidRPr="00853168">
        <w:rPr>
          <w:rFonts w:ascii="Arial" w:hAnsi="Arial" w:cs="Arial"/>
          <w:lang w:val="en-GB"/>
        </w:rPr>
        <w:t xml:space="preserve">-Lodhi and Kay, 2010). </w:t>
      </w:r>
      <w:r>
        <w:rPr>
          <w:rFonts w:ascii="Arial" w:hAnsi="Arial" w:cs="Arial"/>
          <w:lang w:val="en-GB"/>
        </w:rPr>
        <w:t>“</w:t>
      </w:r>
      <w:r w:rsidR="00853168" w:rsidRPr="00853168">
        <w:rPr>
          <w:rFonts w:ascii="Arial" w:hAnsi="Arial" w:cs="Arial"/>
          <w:lang w:val="en-GB"/>
        </w:rPr>
        <w:t xml:space="preserve">Understanding the relevance of the agrarian change perspective requires </w:t>
      </w:r>
      <w:r w:rsidR="007C2629" w:rsidRPr="00853168">
        <w:rPr>
          <w:rFonts w:ascii="Arial" w:hAnsi="Arial" w:cs="Arial"/>
          <w:lang w:val="en-GB"/>
        </w:rPr>
        <w:t>analysing</w:t>
      </w:r>
      <w:r w:rsidR="00853168" w:rsidRPr="00853168">
        <w:rPr>
          <w:rFonts w:ascii="Arial" w:hAnsi="Arial" w:cs="Arial"/>
          <w:lang w:val="en-GB"/>
        </w:rPr>
        <w:t xml:space="preserve"> the effects of the development of capitalism </w:t>
      </w:r>
      <w:r w:rsidR="00853168" w:rsidRPr="00853168">
        <w:rPr>
          <w:rFonts w:ascii="Arial" w:hAnsi="Arial" w:cs="Arial"/>
          <w:lang w:val="en-GB"/>
        </w:rPr>
        <w:lastRenderedPageBreak/>
        <w:t>and the process of commodification on peasants</w:t>
      </w:r>
      <w:r>
        <w:rPr>
          <w:rFonts w:ascii="Arial" w:hAnsi="Arial" w:cs="Arial"/>
          <w:lang w:val="en-GB"/>
        </w:rPr>
        <w:t>”</w:t>
      </w:r>
      <w:r w:rsidR="00853168" w:rsidRPr="00853168">
        <w:rPr>
          <w:rFonts w:ascii="Arial" w:hAnsi="Arial" w:cs="Arial"/>
          <w:lang w:val="en-GB"/>
        </w:rPr>
        <w:t xml:space="preserve"> (Akram-Lodhi and Kay, 2010).  </w:t>
      </w:r>
      <w:r>
        <w:rPr>
          <w:rFonts w:ascii="Arial" w:hAnsi="Arial" w:cs="Arial"/>
          <w:lang w:val="en-GB"/>
        </w:rPr>
        <w:t>“</w:t>
      </w:r>
      <w:r w:rsidR="00853168" w:rsidRPr="00853168">
        <w:rPr>
          <w:rFonts w:ascii="Arial" w:hAnsi="Arial" w:cs="Arial"/>
          <w:lang w:val="en-GB"/>
        </w:rPr>
        <w:t>Commodification takes place when economic value is assigned to something not previously considered in economic terms</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Razavi</w:t>
      </w:r>
      <w:proofErr w:type="spellEnd"/>
      <w:r w:rsidR="00853168" w:rsidRPr="00853168">
        <w:rPr>
          <w:rFonts w:ascii="Arial" w:hAnsi="Arial" w:cs="Arial"/>
          <w:lang w:val="en-GB"/>
        </w:rPr>
        <w:t>, 2017). Several authors (</w:t>
      </w:r>
      <w:proofErr w:type="spellStart"/>
      <w:r w:rsidR="00853168" w:rsidRPr="00853168">
        <w:rPr>
          <w:rFonts w:ascii="Arial" w:hAnsi="Arial" w:cs="Arial"/>
          <w:lang w:val="en-GB"/>
        </w:rPr>
        <w:t>Akram</w:t>
      </w:r>
      <w:proofErr w:type="spellEnd"/>
      <w:r w:rsidR="00853168" w:rsidRPr="00853168">
        <w:rPr>
          <w:rFonts w:ascii="Arial" w:hAnsi="Arial" w:cs="Arial"/>
          <w:lang w:val="en-GB"/>
        </w:rPr>
        <w:t xml:space="preserve">-Lodhi and Kay 2010; Gray and Dowd-Uribe, 2013; Rousseau </w:t>
      </w:r>
      <w:r w:rsidR="00853168" w:rsidRPr="00853168">
        <w:rPr>
          <w:rFonts w:ascii="Arial" w:hAnsi="Arial" w:cs="Arial"/>
          <w:i/>
          <w:lang w:val="en-GB"/>
        </w:rPr>
        <w:t>et al</w:t>
      </w:r>
      <w:r w:rsidR="00853168" w:rsidRPr="00853168">
        <w:rPr>
          <w:rFonts w:ascii="Arial" w:hAnsi="Arial" w:cs="Arial"/>
          <w:lang w:val="en-GB"/>
        </w:rPr>
        <w:t xml:space="preserve">., 2017) showed that </w:t>
      </w:r>
      <w:r>
        <w:rPr>
          <w:rFonts w:ascii="Arial" w:hAnsi="Arial" w:cs="Arial"/>
          <w:lang w:val="en-GB"/>
        </w:rPr>
        <w:t>“</w:t>
      </w:r>
      <w:r w:rsidR="00853168" w:rsidRPr="00853168">
        <w:rPr>
          <w:rFonts w:ascii="Arial" w:hAnsi="Arial" w:cs="Arial"/>
          <w:lang w:val="en-GB"/>
        </w:rPr>
        <w:t>the globalization and the commodification of natural resources are neither linear nor coherent. The literature on agrarian change in Africa focuses on how globalization shapes social and power relationships and hence socio-economic differentiation. Literature on agrarian change in Africa</w:t>
      </w:r>
      <w:r>
        <w:rPr>
          <w:rFonts w:ascii="Arial" w:hAnsi="Arial" w:cs="Arial"/>
          <w:lang w:val="en-GB"/>
        </w:rPr>
        <w:t>”</w:t>
      </w:r>
      <w:r w:rsidR="00853168" w:rsidRPr="00853168">
        <w:rPr>
          <w:rFonts w:ascii="Arial" w:hAnsi="Arial" w:cs="Arial"/>
          <w:lang w:val="en-GB"/>
        </w:rPr>
        <w:t xml:space="preserve"> (</w:t>
      </w:r>
      <w:proofErr w:type="spellStart"/>
      <w:r w:rsidR="00853168" w:rsidRPr="00853168">
        <w:rPr>
          <w:rFonts w:ascii="Arial" w:hAnsi="Arial" w:cs="Arial"/>
          <w:lang w:val="en-GB"/>
        </w:rPr>
        <w:t>Gray</w:t>
      </w:r>
      <w:proofErr w:type="spellEnd"/>
      <w:r w:rsidR="00853168" w:rsidRPr="00853168">
        <w:rPr>
          <w:rFonts w:ascii="Arial" w:hAnsi="Arial" w:cs="Arial"/>
          <w:lang w:val="en-GB"/>
        </w:rPr>
        <w:t xml:space="preserve"> and Dowd-Uribe, 2013; Rousseau </w:t>
      </w:r>
      <w:r w:rsidR="00853168" w:rsidRPr="00853168">
        <w:rPr>
          <w:rFonts w:ascii="Arial" w:hAnsi="Arial" w:cs="Arial"/>
          <w:i/>
          <w:lang w:val="en-GB"/>
        </w:rPr>
        <w:t>et al</w:t>
      </w:r>
      <w:r w:rsidR="00853168" w:rsidRPr="00853168">
        <w:rPr>
          <w:rFonts w:ascii="Arial" w:hAnsi="Arial" w:cs="Arial"/>
          <w:lang w:val="en-GB"/>
        </w:rPr>
        <w:t xml:space="preserve">., 2017) underlines two key elements to understand the specificity or socio-economic differentiation in rural Africa. First, access to natural resources is embedded in social, familial and customary relationships and is an object of negotiation, and claims that change rules of access may lead to conflicts. Second, globalization entail s social and economic differentiation crossing different variables including age, status in the household, gender, and religion. </w:t>
      </w:r>
    </w:p>
    <w:p w14:paraId="7DA2CCFD" w14:textId="48734F8D" w:rsidR="00853168" w:rsidRPr="00853168" w:rsidRDefault="00853168" w:rsidP="00853168">
      <w:pPr>
        <w:pStyle w:val="Body"/>
        <w:rPr>
          <w:rFonts w:ascii="Arial" w:hAnsi="Arial" w:cs="Arial"/>
          <w:lang w:val="en-GB"/>
        </w:rPr>
      </w:pPr>
      <w:r w:rsidRPr="00853168">
        <w:rPr>
          <w:rFonts w:ascii="Arial" w:hAnsi="Arial" w:cs="Arial"/>
          <w:lang w:val="en-GB"/>
        </w:rPr>
        <w:t xml:space="preserve">The first principle is concerns the critical role played by access in the development of inequalities. This study </w:t>
      </w:r>
      <w:r w:rsidR="009B624C" w:rsidRPr="00853168">
        <w:rPr>
          <w:rFonts w:ascii="Arial" w:hAnsi="Arial" w:cs="Arial"/>
          <w:lang w:val="en-GB"/>
        </w:rPr>
        <w:t>defines</w:t>
      </w:r>
      <w:r w:rsidRPr="00853168">
        <w:rPr>
          <w:rFonts w:ascii="Arial" w:hAnsi="Arial" w:cs="Arial"/>
          <w:lang w:val="en-GB"/>
        </w:rPr>
        <w:t xml:space="preserve"> “access” in line with Ribot and Peluso (2003) as </w:t>
      </w:r>
      <w:r w:rsidR="001A1A44">
        <w:rPr>
          <w:rFonts w:ascii="Arial" w:hAnsi="Arial" w:cs="Arial"/>
          <w:lang w:val="en-GB"/>
        </w:rPr>
        <w:t>“</w:t>
      </w:r>
      <w:r w:rsidRPr="00853168">
        <w:rPr>
          <w:rFonts w:ascii="Arial" w:hAnsi="Arial" w:cs="Arial"/>
          <w:lang w:val="en-GB"/>
        </w:rPr>
        <w:t xml:space="preserve">the ability to benefit from things including material objects, persons, institutions, and symbols. This definition allows a dynamic analysis of the social and power relationships that enable or hinder access to resources, with a locus on processes and negotiation. The focus is on the mechanisms by which people control, maintain or gain access to natural resources. The second analytical principle implies that, to uncover the sociocultural and religious dimensions of shea tree ownership, there is a need to </w:t>
      </w:r>
      <w:r w:rsidR="007C2629" w:rsidRPr="00853168">
        <w:rPr>
          <w:rFonts w:ascii="Arial" w:hAnsi="Arial" w:cs="Arial"/>
          <w:lang w:val="en-GB"/>
        </w:rPr>
        <w:t>analyse</w:t>
      </w:r>
      <w:r w:rsidRPr="00853168">
        <w:rPr>
          <w:rFonts w:ascii="Arial" w:hAnsi="Arial" w:cs="Arial"/>
          <w:lang w:val="en-GB"/>
        </w:rPr>
        <w:t xml:space="preserve"> which social groups are gaining, maintaining or controlling access, and to the disadvantage of which social group</w:t>
      </w:r>
      <w:r w:rsidR="001A1A44">
        <w:rPr>
          <w:rFonts w:ascii="Arial" w:hAnsi="Arial" w:cs="Arial"/>
          <w:lang w:val="en-GB"/>
        </w:rPr>
        <w:t>”</w:t>
      </w:r>
      <w:r w:rsidRPr="00853168">
        <w:rPr>
          <w:rFonts w:ascii="Arial" w:hAnsi="Arial" w:cs="Arial"/>
          <w:lang w:val="en-GB"/>
        </w:rPr>
        <w:t xml:space="preserve">. </w:t>
      </w:r>
    </w:p>
    <w:p w14:paraId="699F0D3A" w14:textId="2EC2442B" w:rsidR="00853168" w:rsidRPr="00853168" w:rsidRDefault="00853168" w:rsidP="00853168">
      <w:pPr>
        <w:pStyle w:val="Body"/>
        <w:rPr>
          <w:rFonts w:ascii="Arial" w:hAnsi="Arial" w:cs="Arial"/>
          <w:lang w:val="en-GB"/>
        </w:rPr>
      </w:pPr>
      <w:r w:rsidRPr="00853168">
        <w:rPr>
          <w:rFonts w:ascii="Arial" w:hAnsi="Arial" w:cs="Arial"/>
          <w:lang w:val="en-GB"/>
        </w:rPr>
        <w:t xml:space="preserve">This study also takes a look at the theory of the common with the view that common resources are collectively owned by the membership of a defined social group. </w:t>
      </w:r>
      <w:r w:rsidR="001A1A44">
        <w:rPr>
          <w:rFonts w:ascii="Arial" w:hAnsi="Arial" w:cs="Arial"/>
          <w:lang w:val="en-GB"/>
        </w:rPr>
        <w:t>“</w:t>
      </w:r>
      <w:r w:rsidRPr="00853168">
        <w:rPr>
          <w:rFonts w:ascii="Arial" w:hAnsi="Arial" w:cs="Arial"/>
          <w:lang w:val="en-GB"/>
        </w:rPr>
        <w:t>Non-members of the community can access such resources once they have negotiated this right. Common resources can include pasture or grazing lands, fishing rights, water bodies and forest</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Bugri</w:t>
      </w:r>
      <w:proofErr w:type="spellEnd"/>
      <w:r w:rsidRPr="00853168">
        <w:rPr>
          <w:rFonts w:ascii="Arial" w:hAnsi="Arial" w:cs="Arial"/>
          <w:lang w:val="en-GB"/>
        </w:rPr>
        <w:t xml:space="preserve"> and Yeboah, 2017). </w:t>
      </w:r>
      <w:r w:rsidR="001A1A44">
        <w:rPr>
          <w:rFonts w:ascii="Arial" w:hAnsi="Arial" w:cs="Arial"/>
          <w:lang w:val="en-GB"/>
        </w:rPr>
        <w:t>“</w:t>
      </w:r>
      <w:r w:rsidRPr="00853168">
        <w:rPr>
          <w:rFonts w:ascii="Arial" w:hAnsi="Arial" w:cs="Arial"/>
          <w:lang w:val="en-GB"/>
        </w:rPr>
        <w:t xml:space="preserve">In most African countries, Nigeria inclusive, access to shea nuts and other forest fruits like </w:t>
      </w:r>
      <w:proofErr w:type="spellStart"/>
      <w:r w:rsidRPr="00853168">
        <w:rPr>
          <w:rFonts w:ascii="Arial" w:hAnsi="Arial" w:cs="Arial"/>
          <w:i/>
          <w:lang w:val="en-GB"/>
        </w:rPr>
        <w:t>Dawadawa</w:t>
      </w:r>
      <w:proofErr w:type="spellEnd"/>
      <w:r w:rsidRPr="00853168">
        <w:rPr>
          <w:rFonts w:ascii="Arial" w:hAnsi="Arial" w:cs="Arial"/>
          <w:lang w:val="en-GB"/>
        </w:rPr>
        <w:t xml:space="preserve"> are common resource rights. Women are the primary collectors and main beneficiaries of these fruits. Large-scale land acquisition and investments are preventing and restricting access to these common resources, causing hardship in the broader community and leading to violence in some cases. With increasing competition over these resources, community members usually develop coping mechanisms and adaptation strategies, such as rationing how frequently individuals can access these common resources. One of the comparative strengths of the shea tree is its resilience and the ability to survive a harsh, unforgiving climate prone to prolonged periods of drought. With a lifespan of up to 200 years, the shea tree produces fruit after its fifteenth year and reaches full production potential in its twenty-fifth year. The shea tree has been an important resource for the people of West Africa. In the face of encroaching desertification, the shea tree also helps prevent wind erosion and adds organic matter back to the soil. The nuts are processed to obtain shea butter, which is used as cooking oil, for making soap, as medicine, and in cosmetics. Shea butter is increasingly valued throughout the world for its superb healing and moisturizing properties and is widely used in creams, sunscreen lotions, conditioners and in the treatment of burns and muscle pain</w:t>
      </w:r>
      <w:r w:rsidR="001A1A44">
        <w:rPr>
          <w:rFonts w:ascii="Arial" w:hAnsi="Arial" w:cs="Arial"/>
          <w:lang w:val="en-GB"/>
        </w:rPr>
        <w:t>”</w:t>
      </w:r>
      <w:r w:rsidRPr="00853168">
        <w:rPr>
          <w:rFonts w:ascii="Arial" w:hAnsi="Arial" w:cs="Arial"/>
          <w:lang w:val="en-GB"/>
        </w:rPr>
        <w:t xml:space="preserve"> (UNDP, 2012). </w:t>
      </w:r>
    </w:p>
    <w:p w14:paraId="37FDCE00" w14:textId="0C7045CF" w:rsidR="00853168" w:rsidRPr="00853168" w:rsidRDefault="00853168" w:rsidP="00853168">
      <w:pPr>
        <w:pStyle w:val="Body"/>
        <w:rPr>
          <w:rFonts w:ascii="Arial" w:hAnsi="Arial" w:cs="Arial"/>
          <w:lang w:val="en-GB"/>
        </w:rPr>
      </w:pPr>
      <w:r w:rsidRPr="00853168">
        <w:rPr>
          <w:rFonts w:ascii="Arial" w:hAnsi="Arial" w:cs="Arial"/>
          <w:lang w:val="en-GB"/>
        </w:rPr>
        <w:t xml:space="preserve">Evidence trend Wardell and Fold (2013); </w:t>
      </w:r>
      <w:proofErr w:type="spellStart"/>
      <w:r w:rsidRPr="00853168">
        <w:rPr>
          <w:rFonts w:ascii="Arial" w:hAnsi="Arial" w:cs="Arial"/>
          <w:lang w:val="en-GB"/>
        </w:rPr>
        <w:t>Omon</w:t>
      </w:r>
      <w:proofErr w:type="spellEnd"/>
      <w:r w:rsidRPr="00853168">
        <w:rPr>
          <w:rFonts w:ascii="Arial" w:hAnsi="Arial" w:cs="Arial"/>
          <w:lang w:val="en-GB"/>
        </w:rPr>
        <w:t xml:space="preserve"> and </w:t>
      </w:r>
      <w:proofErr w:type="spellStart"/>
      <w:r w:rsidRPr="00853168">
        <w:rPr>
          <w:rFonts w:ascii="Arial" w:hAnsi="Arial" w:cs="Arial"/>
          <w:lang w:val="en-GB"/>
        </w:rPr>
        <w:t>Ilobekemen</w:t>
      </w:r>
      <w:proofErr w:type="spellEnd"/>
      <w:r w:rsidRPr="00853168">
        <w:rPr>
          <w:rFonts w:ascii="Arial" w:hAnsi="Arial" w:cs="Arial"/>
          <w:lang w:val="en-GB"/>
        </w:rPr>
        <w:t xml:space="preserve"> (2018) shows that </w:t>
      </w:r>
      <w:r w:rsidR="001A1A44">
        <w:rPr>
          <w:rFonts w:ascii="Arial" w:hAnsi="Arial" w:cs="Arial"/>
          <w:lang w:val="en-GB"/>
        </w:rPr>
        <w:t>“</w:t>
      </w:r>
      <w:r w:rsidRPr="00853168">
        <w:rPr>
          <w:rFonts w:ascii="Arial" w:hAnsi="Arial" w:cs="Arial"/>
          <w:lang w:val="en-GB"/>
        </w:rPr>
        <w:t>female income opportunities with shea butter depend fundamentally on access to the tree’s nuts. As the shea tree is not deliberately planted, its distribution on different types of land confers varying access rights. Shea trees are found on household landholdings as well as on unclaimed land used by villages for pasture, fuelwood and the gathering of medicinal. In open-access forests, women collect nuts on a first-come-first-served basis. On cultivated or fallow fields, only women with privileged access hold the rights to gather the nuts</w:t>
      </w:r>
      <w:r w:rsidR="001A1A44">
        <w:rPr>
          <w:rFonts w:ascii="Arial" w:hAnsi="Arial" w:cs="Arial"/>
          <w:lang w:val="en-GB"/>
        </w:rPr>
        <w:t>”</w:t>
      </w:r>
      <w:r w:rsidRPr="00853168">
        <w:rPr>
          <w:rFonts w:ascii="Arial" w:hAnsi="Arial" w:cs="Arial"/>
          <w:lang w:val="en-GB"/>
        </w:rPr>
        <w:t xml:space="preserve">. </w:t>
      </w:r>
      <w:r w:rsidR="001A1A44">
        <w:rPr>
          <w:rFonts w:ascii="Arial" w:hAnsi="Arial" w:cs="Arial"/>
          <w:lang w:val="en-GB"/>
        </w:rPr>
        <w:t>“</w:t>
      </w:r>
      <w:r w:rsidRPr="00853168">
        <w:rPr>
          <w:rFonts w:ascii="Arial" w:hAnsi="Arial" w:cs="Arial"/>
          <w:lang w:val="en-GB"/>
        </w:rPr>
        <w:t xml:space="preserve">Rural </w:t>
      </w:r>
      <w:r w:rsidRPr="00853168">
        <w:rPr>
          <w:rFonts w:ascii="Arial" w:hAnsi="Arial" w:cs="Arial"/>
          <w:lang w:val="en-GB"/>
        </w:rPr>
        <w:lastRenderedPageBreak/>
        <w:t>households follow a tenure pattern typical of Sahelian common property systems, dividing their landholding into personal and family fields. If a shea tree grows on her personal field, a woman is entitled to collect the fruits and the value of marketed butter from shea tree that grows on her personal farmland. Whereas, when tree grows on family fields, the male family head grants female members of the household the right to gather shea fruits</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Boffa</w:t>
      </w:r>
      <w:proofErr w:type="spellEnd"/>
      <w:r w:rsidRPr="00853168">
        <w:rPr>
          <w:rFonts w:ascii="Arial" w:hAnsi="Arial" w:cs="Arial"/>
          <w:lang w:val="en-GB"/>
        </w:rPr>
        <w:t xml:space="preserve"> </w:t>
      </w:r>
      <w:r w:rsidRPr="00853168">
        <w:rPr>
          <w:rFonts w:ascii="Arial" w:hAnsi="Arial" w:cs="Arial"/>
          <w:i/>
          <w:iCs/>
          <w:lang w:val="en-GB"/>
        </w:rPr>
        <w:t>et al</w:t>
      </w:r>
      <w:r w:rsidRPr="00853168">
        <w:rPr>
          <w:rFonts w:ascii="Arial" w:hAnsi="Arial" w:cs="Arial"/>
          <w:lang w:val="en-GB"/>
        </w:rPr>
        <w:t>., 1996). Nut collection remains a female activity. However, women are being made to share shea revenues with male household heads. The men do not process the nuts, but sell them directly to wholesalers.</w:t>
      </w:r>
    </w:p>
    <w:p w14:paraId="5D0683D5" w14:textId="7E269D03" w:rsidR="00853168" w:rsidRPr="00853168" w:rsidRDefault="00853168" w:rsidP="00853168">
      <w:pPr>
        <w:pStyle w:val="Body"/>
        <w:rPr>
          <w:rFonts w:ascii="Arial" w:hAnsi="Arial" w:cs="Arial"/>
          <w:lang w:val="en-GB"/>
        </w:rPr>
      </w:pPr>
      <w:r w:rsidRPr="00853168">
        <w:rPr>
          <w:rFonts w:ascii="Arial" w:hAnsi="Arial" w:cs="Arial"/>
          <w:lang w:val="en-GB"/>
        </w:rPr>
        <w:t>However, the density of shea trees on farmed fields thus remains closely linked with the economic value of the tree’s products to the household economy (</w:t>
      </w:r>
      <w:proofErr w:type="spellStart"/>
      <w:r w:rsidRPr="00853168">
        <w:rPr>
          <w:rFonts w:ascii="Arial" w:hAnsi="Arial" w:cs="Arial"/>
          <w:lang w:val="en-GB"/>
        </w:rPr>
        <w:t>Schreckenberg</w:t>
      </w:r>
      <w:proofErr w:type="spellEnd"/>
      <w:r w:rsidRPr="00853168">
        <w:rPr>
          <w:rFonts w:ascii="Arial" w:hAnsi="Arial" w:cs="Arial"/>
          <w:lang w:val="en-GB"/>
        </w:rPr>
        <w:t xml:space="preserve">, 2004). Gender issues also appear crucial in shea conservation strategies. Elias and Carney (2007) opined that </w:t>
      </w:r>
      <w:r w:rsidR="001A1A44">
        <w:rPr>
          <w:rFonts w:ascii="Arial" w:hAnsi="Arial" w:cs="Arial"/>
          <w:lang w:val="en-GB"/>
        </w:rPr>
        <w:t>“</w:t>
      </w:r>
      <w:r w:rsidRPr="00853168">
        <w:rPr>
          <w:rFonts w:ascii="Arial" w:hAnsi="Arial" w:cs="Arial"/>
          <w:lang w:val="en-GB"/>
        </w:rPr>
        <w:t>more shea trees were found per hectare on women personal fields compare to men, with male household heads maintain densities of 20 shea trees per hectare on their personal fields while female-managed areas averaged shea densities of 27 trees per hectare</w:t>
      </w:r>
      <w:r w:rsidR="001A1A44">
        <w:rPr>
          <w:rFonts w:ascii="Arial" w:hAnsi="Arial" w:cs="Arial"/>
          <w:lang w:val="en-GB"/>
        </w:rPr>
        <w:t>”</w:t>
      </w:r>
      <w:r w:rsidRPr="00853168">
        <w:rPr>
          <w:rFonts w:ascii="Arial" w:hAnsi="Arial" w:cs="Arial"/>
          <w:lang w:val="en-GB"/>
        </w:rPr>
        <w:t xml:space="preserve">. Despite this, </w:t>
      </w:r>
      <w:proofErr w:type="spellStart"/>
      <w:r w:rsidRPr="00853168">
        <w:rPr>
          <w:rFonts w:ascii="Arial" w:hAnsi="Arial" w:cs="Arial"/>
          <w:lang w:val="en-GB"/>
        </w:rPr>
        <w:t>Kousseau</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(2017) found out that </w:t>
      </w:r>
      <w:r w:rsidR="001A1A44">
        <w:rPr>
          <w:rFonts w:ascii="Arial" w:hAnsi="Arial" w:cs="Arial"/>
          <w:lang w:val="en-GB"/>
        </w:rPr>
        <w:t>“</w:t>
      </w:r>
      <w:r w:rsidRPr="00853168">
        <w:rPr>
          <w:rFonts w:ascii="Arial" w:hAnsi="Arial" w:cs="Arial"/>
          <w:lang w:val="en-GB"/>
        </w:rPr>
        <w:t>nearly a quarter of women’s personal income from shea are transferred to the husbands which is an indication of men’s successful strategies to change the rules of access to shea trees and to be recognized as the owners of shea trees</w:t>
      </w:r>
      <w:r w:rsidR="001A1A44">
        <w:rPr>
          <w:rFonts w:ascii="Arial" w:hAnsi="Arial" w:cs="Arial"/>
          <w:lang w:val="en-GB"/>
        </w:rPr>
        <w:t>”</w:t>
      </w:r>
      <w:r w:rsidRPr="00853168">
        <w:rPr>
          <w:rFonts w:ascii="Arial" w:hAnsi="Arial" w:cs="Arial"/>
          <w:lang w:val="en-GB"/>
        </w:rPr>
        <w:t>.</w:t>
      </w:r>
    </w:p>
    <w:p w14:paraId="5D8E1043" w14:textId="77777777" w:rsidR="00790ADA" w:rsidRPr="00F60746" w:rsidRDefault="00790ADA" w:rsidP="00441B6F">
      <w:pPr>
        <w:pStyle w:val="Body"/>
        <w:spacing w:after="0"/>
        <w:rPr>
          <w:rFonts w:ascii="Arial" w:hAnsi="Arial" w:cs="Arial"/>
          <w:lang w:val="en-GB"/>
        </w:rPr>
      </w:pPr>
    </w:p>
    <w:p w14:paraId="2E12BCB9" w14:textId="5751A675" w:rsidR="007F7B32" w:rsidRPr="00F60746" w:rsidRDefault="00902823" w:rsidP="00441B6F">
      <w:pPr>
        <w:pStyle w:val="AbstHead"/>
        <w:spacing w:after="0"/>
        <w:jc w:val="both"/>
        <w:rPr>
          <w:rFonts w:ascii="Arial" w:hAnsi="Arial" w:cs="Arial"/>
          <w:lang w:val="en-GB"/>
        </w:rPr>
      </w:pPr>
      <w:r w:rsidRPr="00F60746">
        <w:rPr>
          <w:rFonts w:ascii="Arial" w:hAnsi="Arial" w:cs="Arial"/>
          <w:lang w:val="en-GB"/>
        </w:rPr>
        <w:t xml:space="preserve">2. </w:t>
      </w:r>
      <w:r w:rsidR="006B57D0" w:rsidRPr="00F60746">
        <w:rPr>
          <w:rFonts w:ascii="Arial" w:hAnsi="Arial" w:cs="Arial"/>
          <w:lang w:val="en-GB"/>
        </w:rPr>
        <w:t>methodology</w:t>
      </w:r>
    </w:p>
    <w:p w14:paraId="1FDECBA4" w14:textId="77777777" w:rsidR="00790ADA" w:rsidRPr="00F60746" w:rsidRDefault="00790ADA" w:rsidP="00441B6F">
      <w:pPr>
        <w:pStyle w:val="AbstHead"/>
        <w:spacing w:after="0"/>
        <w:jc w:val="both"/>
        <w:rPr>
          <w:rFonts w:ascii="Arial" w:hAnsi="Arial" w:cs="Arial"/>
          <w:lang w:val="en-GB"/>
        </w:rPr>
      </w:pPr>
    </w:p>
    <w:p w14:paraId="7E66CF9E" w14:textId="03987CD1" w:rsidR="00853168" w:rsidRPr="00853168" w:rsidRDefault="00853168" w:rsidP="00853168">
      <w:pPr>
        <w:pStyle w:val="Body"/>
        <w:rPr>
          <w:rFonts w:ascii="Arial" w:hAnsi="Arial" w:cs="Arial"/>
          <w:iCs/>
          <w:lang w:val="en-GB"/>
        </w:rPr>
      </w:pPr>
      <w:r w:rsidRPr="00853168">
        <w:rPr>
          <w:rFonts w:ascii="Arial" w:hAnsi="Arial" w:cs="Arial"/>
          <w:lang w:val="en-GB"/>
        </w:rPr>
        <w:t xml:space="preserve">The study was conducted in Nigeria which </w:t>
      </w:r>
      <w:r w:rsidR="007C2629" w:rsidRPr="00853168">
        <w:rPr>
          <w:rFonts w:ascii="Arial" w:hAnsi="Arial" w:cs="Arial"/>
          <w:lang w:val="en-GB"/>
        </w:rPr>
        <w:t>is in</w:t>
      </w:r>
      <w:r w:rsidRPr="00853168">
        <w:rPr>
          <w:rFonts w:ascii="Arial" w:hAnsi="Arial" w:cs="Arial"/>
          <w:lang w:val="en-GB"/>
        </w:rPr>
        <w:t xml:space="preserve"> Western Africa with a total area of 923,768 km</w:t>
      </w:r>
      <w:r w:rsidRPr="00853168">
        <w:rPr>
          <w:rFonts w:ascii="Arial" w:hAnsi="Arial" w:cs="Arial"/>
          <w:vertAlign w:val="superscript"/>
          <w:lang w:val="en-GB"/>
        </w:rPr>
        <w:t>2</w:t>
      </w:r>
      <w:r w:rsidRPr="00853168">
        <w:rPr>
          <w:rFonts w:ascii="Arial" w:hAnsi="Arial" w:cs="Arial"/>
          <w:lang w:val="en-GB"/>
        </w:rPr>
        <w:t> (356,669mi</w:t>
      </w:r>
      <w:r w:rsidR="007C2629">
        <w:rPr>
          <w:rFonts w:ascii="Arial" w:hAnsi="Arial" w:cs="Arial"/>
          <w:vertAlign w:val="superscript"/>
          <w:lang w:val="en-GB"/>
        </w:rPr>
        <w:t>2</w:t>
      </w:r>
      <w:r w:rsidRPr="00853168">
        <w:rPr>
          <w:rFonts w:ascii="Arial" w:hAnsi="Arial" w:cs="Arial"/>
          <w:lang w:val="en-GB"/>
        </w:rPr>
        <w:t>) and estimated population of over 216 million (World Fact Book, 2022a). Nigeria is made up of a Federal Capital Territory and 36 states. Its borders span about 4,047 kilometres, it shares borders with Republic of Benin (773 km) in the west, Niger (1,497 km) in the north, Chad (87 km), and Cameroon (1,690 km) in the east and Gulf of Guinea in the south with </w:t>
      </w:r>
      <w:r w:rsidRPr="009B624C">
        <w:rPr>
          <w:rFonts w:ascii="Arial" w:hAnsi="Arial" w:cs="Arial"/>
          <w:lang w:val="en-GB"/>
        </w:rPr>
        <w:t>coastline</w:t>
      </w:r>
      <w:r w:rsidRPr="00853168">
        <w:rPr>
          <w:rFonts w:ascii="Arial" w:hAnsi="Arial" w:cs="Arial"/>
          <w:lang w:val="en-GB"/>
        </w:rPr>
        <w:t> of about 853 km (World Fact Book, 2022b). Nigeria lies between Latitudes </w:t>
      </w:r>
      <w:r w:rsidRPr="009B624C">
        <w:rPr>
          <w:rFonts w:ascii="Arial" w:hAnsi="Arial" w:cs="Arial"/>
          <w:lang w:val="en-GB"/>
        </w:rPr>
        <w:t>4°</w:t>
      </w:r>
      <w:r w:rsidRPr="00853168">
        <w:rPr>
          <w:rFonts w:ascii="Arial" w:hAnsi="Arial" w:cs="Arial"/>
          <w:lang w:val="en-GB"/>
        </w:rPr>
        <w:t> and </w:t>
      </w:r>
      <w:r w:rsidRPr="009B624C">
        <w:rPr>
          <w:rFonts w:ascii="Arial" w:hAnsi="Arial" w:cs="Arial"/>
          <w:lang w:val="en-GB"/>
        </w:rPr>
        <w:t>14°N</w:t>
      </w:r>
      <w:r w:rsidRPr="00853168">
        <w:rPr>
          <w:rFonts w:ascii="Arial" w:hAnsi="Arial" w:cs="Arial"/>
          <w:lang w:val="en-GB"/>
        </w:rPr>
        <w:t>, and Longitudes </w:t>
      </w:r>
      <w:r w:rsidRPr="009B624C">
        <w:rPr>
          <w:rFonts w:ascii="Arial" w:hAnsi="Arial" w:cs="Arial"/>
          <w:lang w:val="en-GB"/>
        </w:rPr>
        <w:t>2°</w:t>
      </w:r>
      <w:r w:rsidRPr="00853168">
        <w:rPr>
          <w:rFonts w:ascii="Arial" w:hAnsi="Arial" w:cs="Arial"/>
          <w:lang w:val="en-GB"/>
        </w:rPr>
        <w:t> and </w:t>
      </w:r>
      <w:r w:rsidRPr="009B624C">
        <w:rPr>
          <w:rFonts w:ascii="Arial" w:hAnsi="Arial" w:cs="Arial"/>
          <w:lang w:val="en-GB"/>
        </w:rPr>
        <w:t>15°E</w:t>
      </w:r>
      <w:r w:rsidRPr="00853168">
        <w:rPr>
          <w:rFonts w:ascii="Arial" w:hAnsi="Arial" w:cs="Arial"/>
          <w:lang w:val="en-GB"/>
        </w:rPr>
        <w:t>. The highest point in Nigeria is </w:t>
      </w:r>
      <w:r w:rsidRPr="009B624C">
        <w:rPr>
          <w:rFonts w:ascii="Arial" w:hAnsi="Arial" w:cs="Arial"/>
          <w:lang w:val="en-GB"/>
        </w:rPr>
        <w:t xml:space="preserve">Chappal </w:t>
      </w:r>
      <w:proofErr w:type="spellStart"/>
      <w:r w:rsidRPr="009B624C">
        <w:rPr>
          <w:rFonts w:ascii="Arial" w:hAnsi="Arial" w:cs="Arial"/>
          <w:lang w:val="en-GB"/>
        </w:rPr>
        <w:t>Waddi</w:t>
      </w:r>
      <w:proofErr w:type="spellEnd"/>
      <w:r w:rsidRPr="00853168">
        <w:rPr>
          <w:rFonts w:ascii="Arial" w:hAnsi="Arial" w:cs="Arial"/>
          <w:lang w:val="en-GB"/>
        </w:rPr>
        <w:t> at 2,419 m (7,936 ft). The main rivers are the </w:t>
      </w:r>
      <w:r w:rsidRPr="009B624C">
        <w:rPr>
          <w:rFonts w:ascii="Arial" w:hAnsi="Arial" w:cs="Arial"/>
          <w:lang w:val="en-GB"/>
        </w:rPr>
        <w:t>Niger</w:t>
      </w:r>
      <w:r w:rsidRPr="00853168">
        <w:rPr>
          <w:rFonts w:ascii="Arial" w:hAnsi="Arial" w:cs="Arial"/>
          <w:lang w:val="en-GB"/>
        </w:rPr>
        <w:t> and the </w:t>
      </w:r>
      <w:r w:rsidRPr="009B624C">
        <w:rPr>
          <w:rFonts w:ascii="Arial" w:hAnsi="Arial" w:cs="Arial"/>
          <w:lang w:val="en-GB"/>
        </w:rPr>
        <w:t>Benue</w:t>
      </w:r>
      <w:r w:rsidRPr="00853168">
        <w:rPr>
          <w:rFonts w:ascii="Arial" w:hAnsi="Arial" w:cs="Arial"/>
          <w:lang w:val="en-GB"/>
        </w:rPr>
        <w:t>, which converge and empty into the </w:t>
      </w:r>
      <w:r w:rsidRPr="009B624C">
        <w:rPr>
          <w:rFonts w:ascii="Arial" w:hAnsi="Arial" w:cs="Arial"/>
          <w:lang w:val="en-GB"/>
        </w:rPr>
        <w:t>Niger Delta</w:t>
      </w:r>
      <w:r w:rsidRPr="00853168">
        <w:rPr>
          <w:rFonts w:ascii="Arial" w:hAnsi="Arial" w:cs="Arial"/>
          <w:lang w:val="en-GB"/>
        </w:rPr>
        <w:t>. This is one of the world's largest river deltas and the location of a large area of Central African </w:t>
      </w:r>
      <w:r w:rsidRPr="009B624C">
        <w:rPr>
          <w:rFonts w:ascii="Arial" w:hAnsi="Arial" w:cs="Arial"/>
          <w:lang w:val="en-GB"/>
        </w:rPr>
        <w:t>mangroves</w:t>
      </w:r>
      <w:r w:rsidRPr="00853168">
        <w:rPr>
          <w:rFonts w:ascii="Arial" w:hAnsi="Arial" w:cs="Arial"/>
          <w:lang w:val="en-GB"/>
        </w:rPr>
        <w:t xml:space="preserve">. The climate varies across the country with an equatorial climate in the south, tropical in the central region, and arid in the north (Index Mundi, 2018). </w:t>
      </w:r>
    </w:p>
    <w:p w14:paraId="017F10CD" w14:textId="6B5182C8" w:rsidR="00853168" w:rsidRPr="00853168" w:rsidRDefault="00853168" w:rsidP="00853168">
      <w:pPr>
        <w:pStyle w:val="Body"/>
        <w:rPr>
          <w:rFonts w:ascii="Arial" w:hAnsi="Arial" w:cs="Arial"/>
          <w:lang w:val="en-GB"/>
        </w:rPr>
      </w:pPr>
      <w:r w:rsidRPr="00853168">
        <w:rPr>
          <w:rFonts w:ascii="Arial" w:hAnsi="Arial" w:cs="Arial"/>
          <w:lang w:val="en-GB"/>
        </w:rPr>
        <w:t>Nigeria is made up of a Federal Capital Territory and 36 states, bordering the, the Republic of Benin in the west, Chad and Cameroon in the east, and Niger in the north. Nigeria has a varied landscape. The far south is defined by its </w:t>
      </w:r>
      <w:r w:rsidRPr="009B624C">
        <w:rPr>
          <w:rFonts w:ascii="Arial" w:hAnsi="Arial" w:cs="Arial"/>
          <w:lang w:val="en-GB"/>
        </w:rPr>
        <w:t>tropical rainforest climate</w:t>
      </w:r>
      <w:r w:rsidRPr="00853168">
        <w:rPr>
          <w:rFonts w:ascii="Arial" w:hAnsi="Arial" w:cs="Arial"/>
          <w:lang w:val="en-GB"/>
        </w:rPr>
        <w:t>, where annual rainfall is 1,500 to 2,000 millimetres (60 to 80 in) per year (</w:t>
      </w:r>
      <w:r w:rsidRPr="00853168">
        <w:rPr>
          <w:rFonts w:ascii="Arial" w:hAnsi="Arial" w:cs="Arial"/>
          <w:i/>
          <w:iCs/>
          <w:lang w:val="en-GB"/>
        </w:rPr>
        <w:t>Geographical Alliance of Iowa, 2009)</w:t>
      </w:r>
      <w:r w:rsidRPr="00853168">
        <w:rPr>
          <w:rFonts w:ascii="Arial" w:hAnsi="Arial" w:cs="Arial"/>
          <w:lang w:val="en-GB"/>
        </w:rPr>
        <w:t>. In the southeast stands the </w:t>
      </w:r>
      <w:proofErr w:type="spellStart"/>
      <w:r w:rsidRPr="009B624C">
        <w:rPr>
          <w:rFonts w:ascii="Arial" w:hAnsi="Arial" w:cs="Arial"/>
          <w:lang w:val="en-GB"/>
        </w:rPr>
        <w:t>Obudu</w:t>
      </w:r>
      <w:proofErr w:type="spellEnd"/>
      <w:r w:rsidRPr="009B624C">
        <w:rPr>
          <w:rFonts w:ascii="Arial" w:hAnsi="Arial" w:cs="Arial"/>
          <w:lang w:val="en-GB"/>
        </w:rPr>
        <w:t xml:space="preserve"> Plateau</w:t>
      </w:r>
      <w:r w:rsidRPr="00853168">
        <w:rPr>
          <w:rFonts w:ascii="Arial" w:hAnsi="Arial" w:cs="Arial"/>
          <w:lang w:val="en-GB"/>
        </w:rPr>
        <w:t>. </w:t>
      </w:r>
      <w:r w:rsidRPr="009B624C">
        <w:rPr>
          <w:rFonts w:ascii="Arial" w:hAnsi="Arial" w:cs="Arial"/>
          <w:lang w:val="en-GB"/>
        </w:rPr>
        <w:t>Coastal plains</w:t>
      </w:r>
      <w:r w:rsidRPr="00853168">
        <w:rPr>
          <w:rFonts w:ascii="Arial" w:hAnsi="Arial" w:cs="Arial"/>
          <w:lang w:val="en-GB"/>
        </w:rPr>
        <w:t> are found in both the southwest and the southeast (</w:t>
      </w:r>
      <w:proofErr w:type="spellStart"/>
      <w:r w:rsidRPr="00853168">
        <w:rPr>
          <w:rFonts w:ascii="Arial" w:hAnsi="Arial" w:cs="Arial"/>
          <w:lang w:val="en-GB"/>
        </w:rPr>
        <w:t>Encyclopedia</w:t>
      </w:r>
      <w:proofErr w:type="spellEnd"/>
      <w:r w:rsidRPr="00853168">
        <w:rPr>
          <w:rFonts w:ascii="Arial" w:hAnsi="Arial" w:cs="Arial"/>
          <w:lang w:val="en-GB"/>
        </w:rPr>
        <w:t>, 2011). </w:t>
      </w:r>
      <w:r w:rsidRPr="009B624C">
        <w:rPr>
          <w:rFonts w:ascii="Arial" w:hAnsi="Arial" w:cs="Arial"/>
          <w:lang w:val="en-GB"/>
        </w:rPr>
        <w:t>Mangrove swamps</w:t>
      </w:r>
      <w:r w:rsidRPr="00853168">
        <w:rPr>
          <w:rFonts w:ascii="Arial" w:hAnsi="Arial" w:cs="Arial"/>
          <w:lang w:val="en-GB"/>
        </w:rPr>
        <w:t> are found along the coast (Geographical Alliance of Iowa, 2010). The far north is </w:t>
      </w:r>
      <w:r w:rsidRPr="009B624C">
        <w:rPr>
          <w:rFonts w:ascii="Arial" w:hAnsi="Arial" w:cs="Arial"/>
          <w:lang w:val="en-GB"/>
        </w:rPr>
        <w:t>savannah</w:t>
      </w:r>
      <w:r w:rsidRPr="00853168">
        <w:rPr>
          <w:rFonts w:ascii="Arial" w:hAnsi="Arial" w:cs="Arial"/>
          <w:lang w:val="en-GB"/>
        </w:rPr>
        <w:t> (insignificant tree cover, with grasses and flowers located between trees). Rainfall is more limited to between 500 and 1,500 millimetres (20 and 60 in) per year (</w:t>
      </w:r>
      <w:r w:rsidRPr="00853168">
        <w:rPr>
          <w:rFonts w:ascii="Arial" w:hAnsi="Arial" w:cs="Arial"/>
          <w:i/>
          <w:iCs/>
          <w:lang w:val="en-GB"/>
        </w:rPr>
        <w:t>Geographical Alliance of Iowa, 2009)</w:t>
      </w:r>
      <w:r w:rsidRPr="00853168">
        <w:rPr>
          <w:rFonts w:ascii="Arial" w:hAnsi="Arial" w:cs="Arial"/>
          <w:lang w:val="en-GB"/>
        </w:rPr>
        <w:t>. The savannah zone's three categories are </w:t>
      </w:r>
      <w:r w:rsidRPr="009B624C">
        <w:rPr>
          <w:rFonts w:ascii="Arial" w:hAnsi="Arial" w:cs="Arial"/>
          <w:lang w:val="en-GB"/>
        </w:rPr>
        <w:t>Guinean forest-savanna mosaic</w:t>
      </w:r>
      <w:r w:rsidRPr="00853168">
        <w:rPr>
          <w:rFonts w:ascii="Arial" w:hAnsi="Arial" w:cs="Arial"/>
          <w:lang w:val="en-GB"/>
        </w:rPr>
        <w:t>, Sudan savannah, and Sahel savannah. Tropical grassland occupies the area north of the forest belt and is studded with shea, baobab, tamarind, and</w:t>
      </w:r>
      <w:r w:rsidR="004716BF">
        <w:rPr>
          <w:rFonts w:ascii="Arial" w:hAnsi="Arial" w:cs="Arial"/>
          <w:lang w:val="en-GB"/>
        </w:rPr>
        <w:t xml:space="preserve"> </w:t>
      </w:r>
      <w:r w:rsidRPr="009B624C">
        <w:rPr>
          <w:rFonts w:ascii="Arial" w:hAnsi="Arial" w:cs="Arial"/>
          <w:lang w:val="en-GB"/>
        </w:rPr>
        <w:t>locust bean</w:t>
      </w:r>
      <w:r w:rsidRPr="00853168">
        <w:rPr>
          <w:rFonts w:ascii="Arial" w:hAnsi="Arial" w:cs="Arial"/>
          <w:lang w:val="en-GB"/>
        </w:rPr>
        <w:t> trees. The country has an estimated land use of 31.29% for arable land,</w:t>
      </w:r>
      <w:r w:rsidRPr="00853168">
        <w:rPr>
          <w:rFonts w:ascii="Arial" w:hAnsi="Arial" w:cs="Arial"/>
          <w:i/>
          <w:iCs/>
          <w:lang w:val="en-GB"/>
        </w:rPr>
        <w:t> </w:t>
      </w:r>
      <w:r w:rsidRPr="00853168">
        <w:rPr>
          <w:rFonts w:ascii="Arial" w:hAnsi="Arial" w:cs="Arial"/>
          <w:lang w:val="en-GB"/>
        </w:rPr>
        <w:t xml:space="preserve">2.96% </w:t>
      </w:r>
      <w:r w:rsidRPr="00853168">
        <w:rPr>
          <w:rFonts w:ascii="Arial" w:hAnsi="Arial" w:cs="Arial"/>
          <w:iCs/>
          <w:lang w:val="en-GB"/>
        </w:rPr>
        <w:t>permanent crops</w:t>
      </w:r>
      <w:r w:rsidRPr="00853168">
        <w:rPr>
          <w:rFonts w:ascii="Arial" w:hAnsi="Arial" w:cs="Arial"/>
          <w:lang w:val="en-GB"/>
        </w:rPr>
        <w:t xml:space="preserve"> and 65.75% for others with 2,330km</w:t>
      </w:r>
      <w:r w:rsidR="004716BF">
        <w:rPr>
          <w:rFonts w:ascii="Arial" w:hAnsi="Arial" w:cs="Arial"/>
          <w:vertAlign w:val="superscript"/>
          <w:lang w:val="en-GB"/>
        </w:rPr>
        <w:t>2</w:t>
      </w:r>
      <w:r w:rsidRPr="00853168">
        <w:rPr>
          <w:rFonts w:ascii="Arial" w:hAnsi="Arial" w:cs="Arial"/>
          <w:lang w:val="en-GB"/>
        </w:rPr>
        <w:t xml:space="preserve"> </w:t>
      </w:r>
      <w:r w:rsidRPr="00853168">
        <w:rPr>
          <w:rFonts w:ascii="Arial" w:hAnsi="Arial" w:cs="Arial"/>
          <w:iCs/>
          <w:lang w:val="en-GB"/>
        </w:rPr>
        <w:t xml:space="preserve">irrigated land. </w:t>
      </w:r>
      <w:r w:rsidRPr="00853168">
        <w:rPr>
          <w:rFonts w:ascii="Arial" w:hAnsi="Arial" w:cs="Arial"/>
          <w:lang w:val="en-GB"/>
        </w:rPr>
        <w:t>As of 2020, about 34.66% of Nigerians are employed in agriculture with 22.35% contributions to Nigeria’s GDP.</w:t>
      </w:r>
      <w:r w:rsidR="004716BF">
        <w:rPr>
          <w:rFonts w:ascii="Arial" w:hAnsi="Arial" w:cs="Arial"/>
          <w:lang w:val="en-GB"/>
        </w:rPr>
        <w:t xml:space="preserve"> </w:t>
      </w:r>
      <w:r w:rsidRPr="00853168">
        <w:rPr>
          <w:rFonts w:ascii="Arial" w:hAnsi="Arial" w:cs="Arial"/>
          <w:lang w:val="en-GB"/>
        </w:rPr>
        <w:t>The major crops grown include</w:t>
      </w:r>
      <w:r w:rsidR="004716BF">
        <w:rPr>
          <w:rFonts w:ascii="Arial" w:hAnsi="Arial" w:cs="Arial"/>
          <w:lang w:val="en-GB"/>
        </w:rPr>
        <w:t xml:space="preserve"> </w:t>
      </w:r>
      <w:r w:rsidRPr="009B624C">
        <w:rPr>
          <w:rFonts w:ascii="Arial" w:hAnsi="Arial" w:cs="Arial"/>
          <w:lang w:val="en-GB"/>
        </w:rPr>
        <w:t>beans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sesame</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cashew nuts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cocoa beans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groundnuts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 xml:space="preserve">gum </w:t>
      </w:r>
      <w:r w:rsidR="007C2629" w:rsidRPr="009B624C">
        <w:rPr>
          <w:rFonts w:ascii="Arial" w:hAnsi="Arial" w:cs="Arial"/>
          <w:lang w:val="en-GB"/>
        </w:rPr>
        <w:t>Arabic</w:t>
      </w:r>
      <w:r w:rsidRPr="00853168">
        <w:rPr>
          <w:rFonts w:ascii="Arial" w:hAnsi="Arial" w:cs="Arial"/>
          <w:lang w:val="en-GB"/>
        </w:rPr>
        <w:t xml:space="preserve">, </w:t>
      </w:r>
      <w:proofErr w:type="spellStart"/>
      <w:r w:rsidRPr="00853168">
        <w:rPr>
          <w:rFonts w:ascii="Arial" w:hAnsi="Arial" w:cs="Arial"/>
          <w:lang w:val="en-GB"/>
        </w:rPr>
        <w:t>kolanut</w:t>
      </w:r>
      <w:proofErr w:type="spellEnd"/>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maize</w:t>
      </w:r>
      <w:r w:rsidR="004716BF">
        <w:rPr>
          <w:rFonts w:ascii="Arial" w:hAnsi="Arial" w:cs="Arial"/>
          <w:lang w:val="en-GB"/>
        </w:rPr>
        <w:t xml:space="preserve"> </w:t>
      </w:r>
      <w:r w:rsidRPr="00853168">
        <w:rPr>
          <w:rFonts w:ascii="Arial" w:hAnsi="Arial" w:cs="Arial"/>
          <w:lang w:val="en-GB"/>
        </w:rPr>
        <w:t>(corn),</w:t>
      </w:r>
      <w:r w:rsidR="004716BF">
        <w:rPr>
          <w:rFonts w:ascii="Arial" w:hAnsi="Arial" w:cs="Arial"/>
          <w:lang w:val="en-GB"/>
        </w:rPr>
        <w:t xml:space="preserve"> </w:t>
      </w:r>
      <w:r w:rsidRPr="009B624C">
        <w:rPr>
          <w:rFonts w:ascii="Arial" w:hAnsi="Arial" w:cs="Arial"/>
          <w:lang w:val="en-GB"/>
        </w:rPr>
        <w:t>melon</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millet</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palm kernels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palm oil</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plantains</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rice</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rubber</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sorghum</w:t>
      </w:r>
      <w:r w:rsidRPr="00853168">
        <w:rPr>
          <w:rFonts w:ascii="Arial" w:hAnsi="Arial" w:cs="Arial"/>
          <w:lang w:val="en-GB"/>
        </w:rPr>
        <w:t>,</w:t>
      </w:r>
      <w:r w:rsidR="004716BF">
        <w:rPr>
          <w:rFonts w:ascii="Arial" w:hAnsi="Arial" w:cs="Arial"/>
          <w:lang w:val="en-GB"/>
        </w:rPr>
        <w:t xml:space="preserve"> </w:t>
      </w:r>
      <w:r w:rsidRPr="009B624C">
        <w:rPr>
          <w:rFonts w:ascii="Arial" w:hAnsi="Arial" w:cs="Arial"/>
          <w:lang w:val="en-GB"/>
        </w:rPr>
        <w:t>soybeans</w:t>
      </w:r>
      <w:r w:rsidR="004716BF">
        <w:rPr>
          <w:rFonts w:ascii="Arial" w:hAnsi="Arial" w:cs="Arial"/>
          <w:lang w:val="en-GB"/>
        </w:rPr>
        <w:t xml:space="preserve"> </w:t>
      </w:r>
      <w:r w:rsidRPr="00853168">
        <w:rPr>
          <w:rFonts w:ascii="Arial" w:hAnsi="Arial" w:cs="Arial"/>
          <w:lang w:val="en-GB"/>
        </w:rPr>
        <w:t>and</w:t>
      </w:r>
      <w:r w:rsidR="004716BF">
        <w:rPr>
          <w:rFonts w:ascii="Arial" w:hAnsi="Arial" w:cs="Arial"/>
          <w:lang w:val="en-GB"/>
        </w:rPr>
        <w:t xml:space="preserve"> </w:t>
      </w:r>
      <w:r w:rsidRPr="009B624C">
        <w:rPr>
          <w:rFonts w:ascii="Arial" w:hAnsi="Arial" w:cs="Arial"/>
          <w:lang w:val="en-GB"/>
        </w:rPr>
        <w:t>yams</w:t>
      </w:r>
      <w:r w:rsidRPr="00853168">
        <w:rPr>
          <w:rFonts w:ascii="Arial" w:hAnsi="Arial" w:cs="Arial"/>
          <w:lang w:val="en-GB"/>
        </w:rPr>
        <w:t>.</w:t>
      </w:r>
      <w:r w:rsidR="009B624C" w:rsidRPr="009B624C">
        <w:rPr>
          <w:rFonts w:ascii="Arial" w:hAnsi="Arial" w:cs="Arial"/>
          <w:lang w:val="en-GB"/>
        </w:rPr>
        <w:t xml:space="preserve"> </w:t>
      </w:r>
      <w:r w:rsidRPr="009B624C">
        <w:rPr>
          <w:rFonts w:ascii="Arial" w:hAnsi="Arial" w:cs="Arial"/>
          <w:lang w:val="en-GB"/>
        </w:rPr>
        <w:lastRenderedPageBreak/>
        <w:t>Cocoa</w:t>
      </w:r>
      <w:r w:rsidR="004716BF">
        <w:rPr>
          <w:rFonts w:ascii="Arial" w:hAnsi="Arial" w:cs="Arial"/>
          <w:lang w:val="en-GB"/>
        </w:rPr>
        <w:t xml:space="preserve"> </w:t>
      </w:r>
      <w:r w:rsidRPr="00853168">
        <w:rPr>
          <w:rFonts w:ascii="Arial" w:hAnsi="Arial" w:cs="Arial"/>
          <w:lang w:val="en-GB"/>
        </w:rPr>
        <w:t xml:space="preserve">is the leading non-oil foreign exchange earner (Nations </w:t>
      </w:r>
      <w:proofErr w:type="spellStart"/>
      <w:r w:rsidRPr="00853168">
        <w:rPr>
          <w:rFonts w:ascii="Arial" w:hAnsi="Arial" w:cs="Arial"/>
          <w:lang w:val="en-GB"/>
        </w:rPr>
        <w:t>Encyclopedia</w:t>
      </w:r>
      <w:proofErr w:type="spellEnd"/>
      <w:r w:rsidRPr="00853168">
        <w:rPr>
          <w:rFonts w:ascii="Arial" w:hAnsi="Arial" w:cs="Arial"/>
          <w:lang w:val="en-GB"/>
        </w:rPr>
        <w:t>, 2022).</w:t>
      </w:r>
      <w:r w:rsidR="004716BF">
        <w:rPr>
          <w:rFonts w:ascii="Arial" w:hAnsi="Arial" w:cs="Arial"/>
          <w:lang w:val="en-GB"/>
        </w:rPr>
        <w:t xml:space="preserve"> </w:t>
      </w:r>
      <w:r w:rsidRPr="009B624C">
        <w:rPr>
          <w:rFonts w:ascii="Arial" w:hAnsi="Arial" w:cs="Arial"/>
          <w:lang w:val="en-GB"/>
        </w:rPr>
        <w:t>Rubber</w:t>
      </w:r>
      <w:r w:rsidR="004716BF">
        <w:rPr>
          <w:rFonts w:ascii="Arial" w:hAnsi="Arial" w:cs="Arial"/>
          <w:lang w:val="en-GB"/>
        </w:rPr>
        <w:t xml:space="preserve"> </w:t>
      </w:r>
      <w:r w:rsidRPr="00853168">
        <w:rPr>
          <w:rFonts w:ascii="Arial" w:hAnsi="Arial" w:cs="Arial"/>
          <w:lang w:val="en-GB"/>
        </w:rPr>
        <w:t xml:space="preserve">is the second-largest non-oil foreign exchange earner (Nations </w:t>
      </w:r>
      <w:proofErr w:type="spellStart"/>
      <w:r w:rsidRPr="00853168">
        <w:rPr>
          <w:rFonts w:ascii="Arial" w:hAnsi="Arial" w:cs="Arial"/>
          <w:lang w:val="en-GB"/>
        </w:rPr>
        <w:t>Encyclopedia</w:t>
      </w:r>
      <w:proofErr w:type="spellEnd"/>
      <w:r w:rsidRPr="00853168">
        <w:rPr>
          <w:rFonts w:ascii="Arial" w:hAnsi="Arial" w:cs="Arial"/>
          <w:lang w:val="en-GB"/>
        </w:rPr>
        <w:t>, 2022).</w:t>
      </w:r>
    </w:p>
    <w:p w14:paraId="5DB82055" w14:textId="5BD03A88" w:rsidR="00853168" w:rsidRPr="00853168" w:rsidRDefault="001A1A44" w:rsidP="00853168">
      <w:pPr>
        <w:pStyle w:val="Body"/>
        <w:rPr>
          <w:rFonts w:ascii="Arial" w:hAnsi="Arial" w:cs="Arial"/>
          <w:lang w:val="en-GB"/>
        </w:rPr>
      </w:pPr>
      <w:r>
        <w:rPr>
          <w:rFonts w:ascii="Arial" w:hAnsi="Arial" w:cs="Arial"/>
          <w:lang w:val="en-GB"/>
        </w:rPr>
        <w:pict w14:anchorId="289AC076">
          <v:shapetype id="_x0000_t202" coordsize="21600,21600" o:spt="202" path="m,l,21600r21600,l21600,xe">
            <v:stroke joinstyle="miter"/>
            <v:path gradientshapeok="t" o:connecttype="rect"/>
          </v:shapetype>
          <v:shape id="Text Box 1" o:spid="_x0000_s1028" type="#_x0000_t202" style="position:absolute;left:0;text-align:left;margin-left:-3pt;margin-top:342pt;width:438.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wrapcoords="-37 0 -37 20925 21600 20925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" stroked="f">
            <v:textbox style="mso-fit-shape-to-text:t" inset="0,0,0,0">
              <w:txbxContent>
                <w:p w14:paraId="3149FC75" w14:textId="77777777" w:rsidR="00853168" w:rsidRPr="00FD5E7F" w:rsidRDefault="00853168" w:rsidP="00853168">
                  <w:pPr>
                    <w:pStyle w:val="Caption"/>
                    <w:rPr>
                      <w:rFonts w:eastAsia="Times New Roman" w:cs="Times New Roman"/>
                      <w:i w:val="0"/>
                      <w:noProof/>
                      <w:color w:val="auto"/>
                      <w:sz w:val="24"/>
                      <w:szCs w:val="24"/>
                    </w:rPr>
                  </w:pPr>
                  <w:r w:rsidRPr="00FD5E7F">
                    <w:rPr>
                      <w:i w:val="0"/>
                      <w:color w:val="auto"/>
                      <w:sz w:val="24"/>
                      <w:szCs w:val="24"/>
                    </w:rPr>
                    <w:t xml:space="preserve">Figure </w:t>
                  </w:r>
                  <w:r w:rsidRPr="00FD5E7F">
                    <w:rPr>
                      <w:i w:val="0"/>
                      <w:color w:val="auto"/>
                      <w:sz w:val="24"/>
                      <w:szCs w:val="24"/>
                    </w:rPr>
                    <w:fldChar w:fldCharType="begin"/>
                  </w:r>
                  <w:r w:rsidRPr="00FD5E7F">
                    <w:rPr>
                      <w:i w:val="0"/>
                      <w:color w:val="auto"/>
                      <w:sz w:val="24"/>
                      <w:szCs w:val="24"/>
                    </w:rPr>
                    <w:instrText xml:space="preserve"> SEQ Figure \* ARABIC </w:instrText>
                  </w:r>
                  <w:r w:rsidRPr="00FD5E7F">
                    <w:rPr>
                      <w:i w:val="0"/>
                      <w:color w:val="auto"/>
                      <w:sz w:val="24"/>
                      <w:szCs w:val="24"/>
                    </w:rPr>
                    <w:fldChar w:fldCharType="separate"/>
                  </w:r>
                  <w:r>
                    <w:rPr>
                      <w:i w:val="0"/>
                      <w:noProof/>
                      <w:color w:val="auto"/>
                      <w:sz w:val="24"/>
                      <w:szCs w:val="24"/>
                    </w:rPr>
                    <w:t>1</w:t>
                  </w:r>
                  <w:r w:rsidRPr="00FD5E7F">
                    <w:rPr>
                      <w:i w:val="0"/>
                      <w:color w:val="auto"/>
                      <w:sz w:val="24"/>
                      <w:szCs w:val="24"/>
                    </w:rPr>
                    <w:fldChar w:fldCharType="end"/>
                  </w:r>
                  <w:r>
                    <w:rPr>
                      <w:i w:val="0"/>
                      <w:color w:val="auto"/>
                      <w:sz w:val="24"/>
                      <w:szCs w:val="24"/>
                    </w:rPr>
                    <w:t>: Map of Nigeria showing the sampled states</w:t>
                  </w:r>
                </w:p>
              </w:txbxContent>
            </v:textbox>
            <w10:wrap type="through"/>
          </v:shape>
        </w:pict>
      </w:r>
      <w:r w:rsidR="00853168" w:rsidRPr="00853168">
        <w:rPr>
          <w:rFonts w:ascii="Arial" w:hAnsi="Arial" w:cs="Arial"/>
          <w:noProof/>
          <w:lang w:val="en-GB"/>
        </w:rPr>
        <w:drawing>
          <wp:anchor distT="0" distB="0" distL="114300" distR="114300" simplePos="0" relativeHeight="251656192" behindDoc="0" locked="0" layoutInCell="1" allowOverlap="1" wp14:anchorId="56342ACC" wp14:editId="2A5AB5F8">
            <wp:simplePos x="0" y="0"/>
            <wp:positionH relativeFrom="column">
              <wp:posOffset>-38100</wp:posOffset>
            </wp:positionH>
            <wp:positionV relativeFrom="paragraph">
              <wp:posOffset>247650</wp:posOffset>
            </wp:positionV>
            <wp:extent cx="5572125" cy="4038600"/>
            <wp:effectExtent l="0" t="0" r="9525" b="0"/>
            <wp:wrapThrough wrapText="bothSides">
              <wp:wrapPolygon edited="0">
                <wp:start x="0" y="0"/>
                <wp:lineTo x="0" y="21498"/>
                <wp:lineTo x="21563" y="21498"/>
                <wp:lineTo x="215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2125" cy="4038600"/>
                    </a:xfrm>
                    <a:prstGeom prst="rect">
                      <a:avLst/>
                    </a:prstGeom>
                  </pic:spPr>
                </pic:pic>
              </a:graphicData>
            </a:graphic>
            <wp14:sizeRelH relativeFrom="margin">
              <wp14:pctWidth>0</wp14:pctWidth>
            </wp14:sizeRelH>
            <wp14:sizeRelV relativeFrom="margin">
              <wp14:pctHeight>0</wp14:pctHeight>
            </wp14:sizeRelV>
          </wp:anchor>
        </w:drawing>
      </w:r>
    </w:p>
    <w:p w14:paraId="7BBD34B1" w14:textId="53315270" w:rsidR="00853168" w:rsidRPr="00853168" w:rsidRDefault="00853168" w:rsidP="00853168">
      <w:pPr>
        <w:pStyle w:val="Body"/>
        <w:rPr>
          <w:rFonts w:ascii="Arial" w:hAnsi="Arial" w:cs="Arial"/>
          <w:lang w:val="en-GB"/>
        </w:rPr>
      </w:pPr>
      <w:r w:rsidRPr="00853168">
        <w:rPr>
          <w:rFonts w:ascii="Arial" w:hAnsi="Arial" w:cs="Arial"/>
          <w:lang w:val="en-GB"/>
        </w:rPr>
        <w:t xml:space="preserve">Multi-stage sampling procedure was employed in sampling the location and the collection of primary data for this study. In the first stage, nine (9) states (Bauchi, Kaduna, Kebbi, Kogi, Kwara, Nasarawa, Niger, Federal Capital Abuja and Oyo) were purposively selected because of the high density of shea trees, high level of shea butter production activities and trade in the states. In the second stage, one (1) local government area with predominant shea trees were selected from the selected states, except Niger State were two (2) local government areas were selected because the state </w:t>
      </w:r>
      <w:r w:rsidR="009B624C" w:rsidRPr="00853168">
        <w:rPr>
          <w:rFonts w:ascii="Arial" w:hAnsi="Arial" w:cs="Arial"/>
          <w:lang w:val="en-GB"/>
        </w:rPr>
        <w:t>has</w:t>
      </w:r>
      <w:r w:rsidRPr="00853168">
        <w:rPr>
          <w:rFonts w:ascii="Arial" w:hAnsi="Arial" w:cs="Arial"/>
          <w:lang w:val="en-GB"/>
        </w:rPr>
        <w:t xml:space="preserve"> the largest collection of shea trees in the world and controlling about 54% of all trees in Nigeria (Olumide, 2018). Giving a total of ten (10) local government areas. The third stage involved random selection of two (2) communities from the selected local government areas, giving a total of twenty (20) communities. In the fourth stage, fifteen (15) pickers, ten (10) processors and five (5) traders were randomly selected from the selected communities except for one community in Niger state under </w:t>
      </w:r>
      <w:proofErr w:type="spellStart"/>
      <w:r w:rsidRPr="00853168">
        <w:rPr>
          <w:rFonts w:ascii="Arial" w:hAnsi="Arial" w:cs="Arial"/>
          <w:lang w:val="en-GB"/>
        </w:rPr>
        <w:t>Agaie</w:t>
      </w:r>
      <w:proofErr w:type="spellEnd"/>
      <w:r w:rsidRPr="00853168">
        <w:rPr>
          <w:rFonts w:ascii="Arial" w:hAnsi="Arial" w:cs="Arial"/>
          <w:lang w:val="en-GB"/>
        </w:rPr>
        <w:t xml:space="preserve"> were twenty (20) pickers, fourteen (14) processors and seven (7) traders were selected. This gives a total of six hundred and eleven (611) respondents for the study. Data for this study were collected using interview schedules with the aid of trained enumerators. </w:t>
      </w:r>
    </w:p>
    <w:p w14:paraId="249B6602" w14:textId="77777777" w:rsidR="00853168" w:rsidRPr="00853168" w:rsidRDefault="00853168" w:rsidP="00853168">
      <w:pPr>
        <w:pStyle w:val="Body"/>
        <w:rPr>
          <w:rFonts w:ascii="Arial" w:hAnsi="Arial" w:cs="Arial"/>
          <w:lang w:val="en-GB"/>
        </w:rPr>
      </w:pPr>
      <w:r w:rsidRPr="00853168">
        <w:rPr>
          <w:rFonts w:ascii="Arial" w:hAnsi="Arial" w:cs="Arial"/>
          <w:lang w:val="en-GB"/>
        </w:rPr>
        <w:lastRenderedPageBreak/>
        <w:t xml:space="preserve">The data were analysed using descriptive statistics, Z-test, exploratory and confirmatory factor analysis (Structural Equation Modelling). </w:t>
      </w:r>
    </w:p>
    <w:p w14:paraId="78A5305E" w14:textId="77777777" w:rsidR="00853168" w:rsidRPr="00853168" w:rsidRDefault="00853168" w:rsidP="00853168">
      <w:pPr>
        <w:pStyle w:val="Body"/>
        <w:rPr>
          <w:rFonts w:ascii="Arial" w:hAnsi="Arial" w:cs="Arial"/>
          <w:lang w:val="en-GB"/>
        </w:rPr>
      </w:pPr>
      <w:r w:rsidRPr="00853168">
        <w:rPr>
          <w:rFonts w:ascii="Arial" w:hAnsi="Arial" w:cs="Arial"/>
          <w:lang w:val="en-GB"/>
        </w:rPr>
        <w:t xml:space="preserve">The Exploratory factor model is presented in eqn. (1) as: </w:t>
      </w:r>
    </w:p>
    <w:p w14:paraId="743D7796" w14:textId="7FA2D7E4"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p>
    <w:p w14:paraId="7521B5FE" w14:textId="4D762927"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2</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p>
    <w:p w14:paraId="294FBEE5" w14:textId="2BD01460"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3</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3n</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t>(1)</w:t>
      </w:r>
    </w:p>
    <w:p w14:paraId="735B2723" w14:textId="77777777" w:rsidR="00853168" w:rsidRPr="00853168" w:rsidRDefault="00853168" w:rsidP="00853168">
      <w:pPr>
        <w:pStyle w:val="Body"/>
        <w:rPr>
          <w:rFonts w:ascii="Arial" w:hAnsi="Arial" w:cs="Arial"/>
          <w:lang w:val="en-GB"/>
        </w:rPr>
      </w:pPr>
      <w:r w:rsidRPr="00853168">
        <w:rPr>
          <w:rFonts w:ascii="Arial" w:hAnsi="Arial" w:cs="Arial"/>
          <w:lang w:val="en-GB"/>
        </w:rPr>
        <w:t>*</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w:t>
      </w:r>
    </w:p>
    <w:p w14:paraId="0AF962A7" w14:textId="77777777" w:rsidR="00853168" w:rsidRPr="00853168" w:rsidRDefault="00853168" w:rsidP="00853168">
      <w:pPr>
        <w:pStyle w:val="Body"/>
        <w:rPr>
          <w:rFonts w:ascii="Arial" w:hAnsi="Arial" w:cs="Arial"/>
          <w:lang w:val="en-GB"/>
        </w:rPr>
      </w:pPr>
      <w:r w:rsidRPr="00853168">
        <w:rPr>
          <w:rFonts w:ascii="Arial" w:hAnsi="Arial" w:cs="Arial"/>
          <w:lang w:val="en-GB"/>
        </w:rPr>
        <w:t>*</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w:t>
      </w:r>
    </w:p>
    <w:p w14:paraId="1C4A5ABD" w14:textId="11135EC5"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n</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n1</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n2</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xml:space="preserve"> + ***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nm</m:t>
            </m:r>
          </m:sub>
        </m:sSub>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r w:rsidR="00853168" w:rsidRPr="00853168">
        <w:rPr>
          <w:rFonts w:ascii="Arial" w:hAnsi="Arial" w:cs="Arial"/>
          <w:lang w:val="en-GB"/>
        </w:rPr>
        <w:tab/>
      </w:r>
    </w:p>
    <w:p w14:paraId="6B87D5BB" w14:textId="77777777" w:rsidR="00853168" w:rsidRPr="00853168" w:rsidRDefault="00853168" w:rsidP="00853168">
      <w:pPr>
        <w:pStyle w:val="Body"/>
        <w:rPr>
          <w:rFonts w:ascii="Arial" w:hAnsi="Arial" w:cs="Arial"/>
          <w:lang w:val="en-GB"/>
        </w:rPr>
      </w:pPr>
    </w:p>
    <w:p w14:paraId="551F554D" w14:textId="77777777" w:rsidR="00853168" w:rsidRPr="00853168" w:rsidRDefault="00853168" w:rsidP="00853168">
      <w:pPr>
        <w:pStyle w:val="Body"/>
        <w:rPr>
          <w:rFonts w:ascii="Arial" w:hAnsi="Arial" w:cs="Arial"/>
          <w:lang w:val="en-GB"/>
        </w:rPr>
      </w:pPr>
      <w:r w:rsidRPr="00853168">
        <w:rPr>
          <w:rFonts w:ascii="Arial" w:hAnsi="Arial" w:cs="Arial"/>
          <w:lang w:val="en-GB"/>
        </w:rPr>
        <w:t>Where:</w:t>
      </w:r>
    </w:p>
    <w:p w14:paraId="2E185A3E" w14:textId="438123BB"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1</m:t>
            </m:r>
          </m:sub>
        </m:sSub>
      </m:oMath>
      <w:r w:rsidR="00853168" w:rsidRPr="00853168">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2</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n</m:t>
            </m:r>
          </m:sub>
        </m:sSub>
      </m:oMath>
      <w:r w:rsidR="00853168" w:rsidRPr="00853168">
        <w:rPr>
          <w:rFonts w:ascii="Arial" w:hAnsi="Arial" w:cs="Arial"/>
          <w:lang w:val="en-GB"/>
        </w:rPr>
        <w:t xml:space="preserve"> = Observed variables;</w:t>
      </w:r>
    </w:p>
    <w:p w14:paraId="774ACC3E" w14:textId="44A851EF"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m:t>
            </m:r>
          </m:sub>
        </m:sSub>
      </m:oMath>
      <w:r w:rsidR="00853168" w:rsidRPr="00853168">
        <w:rPr>
          <w:rFonts w:ascii="Arial" w:hAnsi="Arial" w:cs="Arial"/>
          <w:lang w:val="en-GB"/>
        </w:rPr>
        <w:t xml:space="preserve"> -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m:t>
            </m:r>
          </m:sub>
        </m:sSub>
      </m:oMath>
      <w:r w:rsidR="00853168" w:rsidRPr="00853168">
        <w:rPr>
          <w:rFonts w:ascii="Arial" w:hAnsi="Arial" w:cs="Arial"/>
          <w:lang w:val="en-GB"/>
        </w:rPr>
        <w:t xml:space="preserve"> = Correlation coefficients;</w:t>
      </w:r>
    </w:p>
    <w:p w14:paraId="0B8A70EB" w14:textId="5F139491" w:rsidR="00853168" w:rsidRPr="00853168" w:rsidRDefault="001A1A44" w:rsidP="00853168">
      <w:pPr>
        <w:pStyle w:val="Body"/>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853168" w:rsidRPr="00853168">
        <w:rPr>
          <w:rFonts w:ascii="Arial" w:hAnsi="Arial" w:cs="Arial"/>
          <w:lang w:val="en-GB"/>
        </w:rPr>
        <w:t>,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n</m:t>
            </m:r>
          </m:sub>
        </m:sSub>
      </m:oMath>
      <w:r w:rsidR="00853168" w:rsidRPr="00853168">
        <w:rPr>
          <w:rFonts w:ascii="Arial" w:hAnsi="Arial" w:cs="Arial"/>
          <w:lang w:val="en-GB"/>
        </w:rPr>
        <w:t xml:space="preserve"> = Unobserved underlying factors. </w:t>
      </w:r>
    </w:p>
    <w:p w14:paraId="591AADBA" w14:textId="72D0690C" w:rsidR="00853168" w:rsidRPr="00853168" w:rsidRDefault="00853168" w:rsidP="00853168">
      <w:pPr>
        <w:pStyle w:val="Body"/>
        <w:rPr>
          <w:rFonts w:ascii="Arial" w:hAnsi="Arial" w:cs="Arial"/>
          <w:lang w:val="en-GB"/>
        </w:rPr>
      </w:pPr>
      <w:r w:rsidRPr="00853168">
        <w:rPr>
          <w:rFonts w:ascii="Arial" w:hAnsi="Arial" w:cs="Arial"/>
          <w:lang w:val="en-GB"/>
        </w:rPr>
        <w:t>SEM are models consisting of a combination of multivariate analysis, factor analysis and regression analysis, used to validate or reject one or more hypothesis about an existing relation between different variables. It estimates simultaneously dependency relations between variables (observed or latent) and estimate measurement error in model’s variables. Holzinger and Swineford (1939) proposed one of the most famous CFA models. In the model estimates, x</w:t>
      </w:r>
      <w:r w:rsidRPr="00853168">
        <w:rPr>
          <w:rFonts w:ascii="Arial" w:hAnsi="Arial" w:cs="Arial"/>
          <w:vertAlign w:val="subscript"/>
          <w:lang w:val="en-GB"/>
        </w:rPr>
        <w:t>i</w:t>
      </w:r>
      <w:r w:rsidRPr="00853168">
        <w:rPr>
          <w:rFonts w:ascii="Arial" w:hAnsi="Arial" w:cs="Arial"/>
          <w:lang w:val="en-GB"/>
        </w:rPr>
        <w:t> are exogenous variables that record scores and </w:t>
      </w:r>
      <w:proofErr w:type="spellStart"/>
      <w:r w:rsidRPr="00853168">
        <w:rPr>
          <w:rFonts w:ascii="Arial" w:hAnsi="Arial" w:cs="Arial"/>
          <w:lang w:val="en-GB"/>
        </w:rPr>
        <w:t>y</w:t>
      </w:r>
      <w:r w:rsidRPr="00853168">
        <w:rPr>
          <w:rFonts w:ascii="Arial" w:hAnsi="Arial" w:cs="Arial"/>
          <w:vertAlign w:val="subscript"/>
          <w:lang w:val="en-GB"/>
        </w:rPr>
        <w:t>i</w:t>
      </w:r>
      <w:proofErr w:type="spellEnd"/>
      <w:r w:rsidRPr="00853168">
        <w:rPr>
          <w:rFonts w:ascii="Arial" w:hAnsi="Arial" w:cs="Arial"/>
          <w:lang w:val="en-GB"/>
        </w:rPr>
        <w:t> are latent (and endogenous) variables respectively, double-headed arrows represent an association between y</w:t>
      </w:r>
      <w:r w:rsidRPr="00853168">
        <w:rPr>
          <w:rFonts w:ascii="Arial" w:hAnsi="Arial" w:cs="Arial"/>
          <w:vertAlign w:val="subscript"/>
          <w:lang w:val="en-GB"/>
        </w:rPr>
        <w:t>1</w:t>
      </w:r>
      <w:r w:rsidRPr="00853168">
        <w:rPr>
          <w:rFonts w:ascii="Arial" w:hAnsi="Arial" w:cs="Arial"/>
          <w:lang w:val="en-GB"/>
        </w:rPr>
        <w:t>, y</w:t>
      </w:r>
      <w:r w:rsidRPr="00853168">
        <w:rPr>
          <w:rFonts w:ascii="Arial" w:hAnsi="Arial" w:cs="Arial"/>
          <w:vertAlign w:val="subscript"/>
          <w:lang w:val="en-GB"/>
        </w:rPr>
        <w:t>2</w:t>
      </w:r>
      <w:r w:rsidRPr="00853168">
        <w:rPr>
          <w:rFonts w:ascii="Arial" w:hAnsi="Arial" w:cs="Arial"/>
          <w:lang w:val="en-GB"/>
        </w:rPr>
        <w:t>, and y</w:t>
      </w:r>
      <w:r w:rsidRPr="00853168">
        <w:rPr>
          <w:rFonts w:ascii="Arial" w:hAnsi="Arial" w:cs="Arial"/>
          <w:vertAlign w:val="subscript"/>
          <w:lang w:val="en-GB"/>
        </w:rPr>
        <w:t>3</w:t>
      </w:r>
      <w:r w:rsidRPr="00853168">
        <w:rPr>
          <w:rFonts w:ascii="Arial" w:hAnsi="Arial" w:cs="Arial"/>
          <w:lang w:val="en-GB"/>
        </w:rPr>
        <w:t>, single-headed arrows represent direct effects, and </w:t>
      </w:r>
      <w:proofErr w:type="spellStart"/>
      <w:r w:rsidRPr="00853168">
        <w:rPr>
          <w:rFonts w:ascii="Arial" w:hAnsi="Arial" w:cs="Arial"/>
          <w:lang w:val="en-GB"/>
        </w:rPr>
        <w:t>ε</w:t>
      </w:r>
      <w:r w:rsidRPr="00853168">
        <w:rPr>
          <w:rFonts w:ascii="Arial" w:hAnsi="Arial" w:cs="Arial"/>
          <w:vertAlign w:val="subscript"/>
          <w:lang w:val="en-GB"/>
        </w:rPr>
        <w:t>i</w:t>
      </w:r>
      <w:proofErr w:type="spellEnd"/>
      <w:r w:rsidRPr="00853168">
        <w:rPr>
          <w:rFonts w:ascii="Arial" w:hAnsi="Arial" w:cs="Arial"/>
          <w:lang w:val="en-GB"/>
        </w:rPr>
        <w:t xml:space="preserve"> represent error terms. It estimates </w:t>
      </w:r>
      <w:r w:rsidRPr="00853168">
        <w:rPr>
          <w:rFonts w:ascii="Arial" w:hAnsi="Arial" w:cs="Arial"/>
          <w:iCs/>
          <w:lang w:val="en-GB"/>
        </w:rPr>
        <w:t>factor loading, which</w:t>
      </w:r>
      <w:r w:rsidRPr="00853168">
        <w:rPr>
          <w:rFonts w:ascii="Arial" w:hAnsi="Arial" w:cs="Arial"/>
          <w:i/>
          <w:iCs/>
          <w:lang w:val="en-GB"/>
        </w:rPr>
        <w:t xml:space="preserve"> </w:t>
      </w:r>
      <w:r w:rsidRPr="00853168">
        <w:rPr>
          <w:rFonts w:ascii="Arial" w:hAnsi="Arial" w:cs="Arial"/>
          <w:lang w:val="en-GB"/>
        </w:rPr>
        <w:t>is a measurable effect reflecting the incidence of an observed variable over another either observed or latent variable. Interpreting factor loadings is equivalent to interpreting direct effects in a linear econometric model. According to Fox (2002) and Kline (2005) CFA becomes a causal model if all latent variables are defined by observed variables. CFA is presented in eq. (2)</w:t>
      </w:r>
    </w:p>
    <w:p w14:paraId="6F87A7E9" w14:textId="77777777" w:rsidR="00853168" w:rsidRPr="00853168" w:rsidRDefault="00853168" w:rsidP="00853168">
      <w:pPr>
        <w:pStyle w:val="Body"/>
        <w:rPr>
          <w:rFonts w:ascii="Arial" w:hAnsi="Arial" w:cs="Arial"/>
          <w:lang w:val="en-GB"/>
        </w:rPr>
      </w:pPr>
      <w:r w:rsidRPr="00853168">
        <w:rPr>
          <w:rFonts w:ascii="Arial" w:hAnsi="Arial" w:cs="Arial"/>
          <w:lang w:val="en-GB"/>
        </w:rPr>
        <w:t>Definition of latent variable</w:t>
      </w:r>
    </w:p>
    <w:p w14:paraId="424192B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F1 =~ x1 + x2 + x3</w:t>
      </w:r>
    </w:p>
    <w:p w14:paraId="68A5BD0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F2 =~ y1 + a*y2 + b*y3 + c*y4</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(2)</w:t>
      </w:r>
    </w:p>
    <w:p w14:paraId="3950E9B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F3 =~ y5 + a*y6 + b*y7 + c*y8</w:t>
      </w:r>
    </w:p>
    <w:p w14:paraId="7022F23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w:t>
      </w:r>
    </w:p>
    <w:p w14:paraId="07B2EE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FK =~ </w:t>
      </w:r>
      <w:proofErr w:type="spellStart"/>
      <w:r w:rsidRPr="00853168">
        <w:rPr>
          <w:rFonts w:ascii="Arial" w:hAnsi="Arial" w:cs="Arial"/>
          <w:lang w:val="en-GB"/>
        </w:rPr>
        <w:t>y</w:t>
      </w:r>
      <w:r w:rsidRPr="00853168">
        <w:rPr>
          <w:rFonts w:ascii="Arial" w:hAnsi="Arial" w:cs="Arial"/>
          <w:vertAlign w:val="subscript"/>
          <w:lang w:val="en-GB"/>
        </w:rPr>
        <w:t>i</w:t>
      </w:r>
      <w:proofErr w:type="spellEnd"/>
      <w:r w:rsidRPr="00853168">
        <w:rPr>
          <w:rFonts w:ascii="Arial" w:hAnsi="Arial" w:cs="Arial"/>
          <w:vertAlign w:val="subscript"/>
          <w:lang w:val="en-GB"/>
        </w:rPr>
        <w:t xml:space="preserve"> +K</w:t>
      </w:r>
      <w:r w:rsidRPr="00853168">
        <w:rPr>
          <w:rFonts w:ascii="Arial" w:hAnsi="Arial" w:cs="Arial"/>
          <w:lang w:val="en-GB"/>
        </w:rPr>
        <w:t>+ a*</w:t>
      </w:r>
      <w:proofErr w:type="spellStart"/>
      <w:r w:rsidRPr="00853168">
        <w:rPr>
          <w:rFonts w:ascii="Arial" w:hAnsi="Arial" w:cs="Arial"/>
          <w:lang w:val="en-GB"/>
        </w:rPr>
        <w:t>y</w:t>
      </w:r>
      <w:r w:rsidRPr="00853168">
        <w:rPr>
          <w:rFonts w:ascii="Arial" w:hAnsi="Arial" w:cs="Arial"/>
          <w:vertAlign w:val="subscript"/>
          <w:lang w:val="en-GB"/>
        </w:rPr>
        <w:t>i+K</w:t>
      </w:r>
      <w:proofErr w:type="spellEnd"/>
      <w:r w:rsidRPr="00853168">
        <w:rPr>
          <w:rFonts w:ascii="Arial" w:hAnsi="Arial" w:cs="Arial"/>
          <w:lang w:val="en-GB"/>
        </w:rPr>
        <w:t xml:space="preserve"> + b*</w:t>
      </w:r>
      <w:proofErr w:type="spellStart"/>
      <w:r w:rsidRPr="00853168">
        <w:rPr>
          <w:rFonts w:ascii="Arial" w:hAnsi="Arial" w:cs="Arial"/>
          <w:lang w:val="en-GB"/>
        </w:rPr>
        <w:t>y</w:t>
      </w:r>
      <w:r w:rsidRPr="00853168">
        <w:rPr>
          <w:rFonts w:ascii="Arial" w:hAnsi="Arial" w:cs="Arial"/>
          <w:vertAlign w:val="subscript"/>
          <w:lang w:val="en-GB"/>
        </w:rPr>
        <w:t>i+K</w:t>
      </w:r>
      <w:proofErr w:type="spellEnd"/>
      <w:r w:rsidRPr="00853168">
        <w:rPr>
          <w:rFonts w:ascii="Arial" w:hAnsi="Arial" w:cs="Arial"/>
          <w:lang w:val="en-GB"/>
        </w:rPr>
        <w:t xml:space="preserve"> + c*</w:t>
      </w:r>
      <w:proofErr w:type="spellStart"/>
      <w:r w:rsidRPr="00853168">
        <w:rPr>
          <w:rFonts w:ascii="Arial" w:hAnsi="Arial" w:cs="Arial"/>
          <w:lang w:val="en-GB"/>
        </w:rPr>
        <w:t>y</w:t>
      </w:r>
      <w:r w:rsidRPr="00853168">
        <w:rPr>
          <w:rFonts w:ascii="Arial" w:hAnsi="Arial" w:cs="Arial"/>
          <w:vertAlign w:val="subscript"/>
          <w:lang w:val="en-GB"/>
        </w:rPr>
        <w:t>i+K</w:t>
      </w:r>
      <w:proofErr w:type="spellEnd"/>
    </w:p>
    <w:p w14:paraId="7676E85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The regressions</w:t>
      </w:r>
    </w:p>
    <w:p w14:paraId="4ABC76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F1 ~ F2</w:t>
      </w:r>
    </w:p>
    <w:p w14:paraId="3B1EA48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F2 ~ F4 + F9</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(3)</w:t>
      </w:r>
    </w:p>
    <w:p w14:paraId="219A737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F5 ~ F6 + F7</w:t>
      </w:r>
    </w:p>
    <w:p w14:paraId="3D4C33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lastRenderedPageBreak/>
        <w:t>Residual correlations</w:t>
      </w:r>
    </w:p>
    <w:p w14:paraId="2F73144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y1 ~~ y5</w:t>
      </w:r>
    </w:p>
    <w:p w14:paraId="6CDDB7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y2 ~~ y4 + y6</w:t>
      </w:r>
    </w:p>
    <w:p w14:paraId="10D347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y3 ~~ y7</w:t>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r>
      <w:r w:rsidRPr="00853168">
        <w:rPr>
          <w:rFonts w:ascii="Arial" w:hAnsi="Arial" w:cs="Arial"/>
          <w:lang w:val="en-GB"/>
        </w:rPr>
        <w:tab/>
        <w:t>(4)</w:t>
      </w:r>
    </w:p>
    <w:p w14:paraId="145BEE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y4 ~~ y8</w:t>
      </w:r>
    </w:p>
    <w:p w14:paraId="25C9B7E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    y6 ~~ y8.</w:t>
      </w:r>
    </w:p>
    <w:p w14:paraId="14E3BAA5" w14:textId="5DF23E39" w:rsidR="00A03B96" w:rsidRPr="00F60746" w:rsidRDefault="00A03B96" w:rsidP="00441B6F">
      <w:pPr>
        <w:pStyle w:val="Body"/>
        <w:spacing w:after="0"/>
        <w:rPr>
          <w:rFonts w:ascii="Arial" w:hAnsi="Arial" w:cs="Arial"/>
          <w:lang w:val="en-GB"/>
        </w:rPr>
      </w:pPr>
    </w:p>
    <w:p w14:paraId="7F7BFD04" w14:textId="77777777" w:rsidR="00A03B96" w:rsidRPr="00F60746" w:rsidRDefault="00A03B96" w:rsidP="00441B6F">
      <w:pPr>
        <w:pStyle w:val="Body"/>
        <w:spacing w:after="0"/>
        <w:rPr>
          <w:rFonts w:ascii="Arial" w:hAnsi="Arial" w:cs="Arial"/>
          <w:lang w:val="en-GB"/>
        </w:rPr>
      </w:pPr>
    </w:p>
    <w:p w14:paraId="52A681AE" w14:textId="77777777" w:rsidR="00A03B96" w:rsidRPr="00F60746" w:rsidRDefault="00A03B96" w:rsidP="00441B6F">
      <w:pPr>
        <w:pStyle w:val="Body"/>
        <w:spacing w:after="0"/>
        <w:rPr>
          <w:rFonts w:ascii="Arial" w:hAnsi="Arial" w:cs="Arial"/>
          <w:lang w:val="en-GB"/>
        </w:rPr>
      </w:pPr>
    </w:p>
    <w:p w14:paraId="25551DE8" w14:textId="77777777" w:rsidR="00902823" w:rsidRPr="00F60746" w:rsidRDefault="00000F8F" w:rsidP="00441B6F">
      <w:pPr>
        <w:pStyle w:val="Head1"/>
        <w:spacing w:after="0"/>
        <w:jc w:val="both"/>
        <w:rPr>
          <w:rFonts w:ascii="Arial" w:hAnsi="Arial" w:cs="Arial"/>
          <w:lang w:val="en-GB"/>
        </w:rPr>
      </w:pPr>
      <w:r w:rsidRPr="00F60746">
        <w:rPr>
          <w:rFonts w:ascii="Arial" w:hAnsi="Arial" w:cs="Arial"/>
          <w:lang w:val="en-GB"/>
        </w:rPr>
        <w:t>3</w:t>
      </w:r>
      <w:r w:rsidR="00902823" w:rsidRPr="00F60746">
        <w:rPr>
          <w:rFonts w:ascii="Arial" w:hAnsi="Arial" w:cs="Arial"/>
          <w:lang w:val="en-GB"/>
        </w:rPr>
        <w:t xml:space="preserve">. </w:t>
      </w:r>
      <w:r w:rsidRPr="00F60746">
        <w:rPr>
          <w:rFonts w:ascii="Arial" w:hAnsi="Arial" w:cs="Arial"/>
          <w:lang w:val="en-GB"/>
        </w:rPr>
        <w:t>results and discussion</w:t>
      </w:r>
    </w:p>
    <w:p w14:paraId="4D690E05" w14:textId="77777777" w:rsidR="00790ADA" w:rsidRPr="00F60746" w:rsidRDefault="00790ADA" w:rsidP="00441B6F">
      <w:pPr>
        <w:pStyle w:val="Head1"/>
        <w:spacing w:after="0"/>
        <w:jc w:val="both"/>
        <w:rPr>
          <w:rFonts w:ascii="Arial" w:hAnsi="Arial" w:cs="Arial"/>
          <w:lang w:val="en-GB"/>
        </w:rPr>
      </w:pPr>
    </w:p>
    <w:p w14:paraId="7E12AD4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results of the gender, marital status and religion characteristics of shea actors presented in Figure 2 revealed that overwhelming majority of the actors involved in shea business were female accounting for 92%. This result has confirmed the opinion that shea business is a feminist business. Probably because shea (Naughton </w:t>
      </w:r>
      <w:r w:rsidRPr="00853168">
        <w:rPr>
          <w:rFonts w:ascii="Arial" w:hAnsi="Arial" w:cs="Arial"/>
          <w:i/>
          <w:lang w:val="en-GB"/>
        </w:rPr>
        <w:t>et al</w:t>
      </w:r>
      <w:r w:rsidRPr="00853168">
        <w:rPr>
          <w:rFonts w:ascii="Arial" w:hAnsi="Arial" w:cs="Arial"/>
          <w:lang w:val="en-GB"/>
        </w:rPr>
        <w:t xml:space="preserve">., 2015) is one of the few resources female members in rural households have control over from picking to marketing. In addition, majority of these female actors were married accounting for 90%. The possible reason for this, is due to the fact that employment opportunities generated through shea helps to empower rural women financially especially those that have personal and family responsibilities. This is in accordance with the findings of Hammond </w:t>
      </w:r>
      <w:r w:rsidRPr="00853168">
        <w:rPr>
          <w:rFonts w:ascii="Arial" w:hAnsi="Arial" w:cs="Arial"/>
          <w:i/>
          <w:lang w:val="en-GB"/>
        </w:rPr>
        <w:t>et al</w:t>
      </w:r>
      <w:r w:rsidRPr="00853168">
        <w:rPr>
          <w:rFonts w:ascii="Arial" w:hAnsi="Arial" w:cs="Arial"/>
          <w:lang w:val="en-GB"/>
        </w:rPr>
        <w:t>. (2019) who affirmed that shea business leads to increase income and makes households more resilient to negative shocks.</w:t>
      </w:r>
    </w:p>
    <w:p w14:paraId="7AD6FF1E" w14:textId="77777777" w:rsidR="004716BF" w:rsidRDefault="004716BF" w:rsidP="00853168">
      <w:pPr>
        <w:pStyle w:val="Body"/>
        <w:spacing w:after="0"/>
        <w:rPr>
          <w:rFonts w:ascii="Arial" w:hAnsi="Arial" w:cs="Arial"/>
          <w:lang w:val="en-GB"/>
        </w:rPr>
      </w:pPr>
    </w:p>
    <w:p w14:paraId="2D8DF4A1" w14:textId="453AC652" w:rsidR="00853168" w:rsidRPr="00853168" w:rsidRDefault="00853168" w:rsidP="00853168">
      <w:pPr>
        <w:pStyle w:val="Body"/>
        <w:spacing w:after="0"/>
        <w:rPr>
          <w:rFonts w:ascii="Arial" w:hAnsi="Arial" w:cs="Arial"/>
          <w:lang w:val="en-GB"/>
        </w:rPr>
      </w:pPr>
      <w:r w:rsidRPr="00853168">
        <w:rPr>
          <w:rFonts w:ascii="Arial" w:hAnsi="Arial" w:cs="Arial"/>
          <w:lang w:val="en-GB"/>
        </w:rPr>
        <w:t>More so, majority of the married women were Muslims that is, they practice Islam as their religion accounting for 60%. While 35% of the married women were Christians that is, they practice Christianity as their religion. This implies that most of the shea actors belongs to the two major religion in the country and only 5% of the actors practice African traditional and other religion. This indicated that the two major faiths (Islam and Christianity) encourages participation of women in shea business in Nigeria. Furthermore, only 8% of the actors were male. This implies that the rural men in Nigeria focuses more on other livelihood activities than shea business.</w:t>
      </w:r>
    </w:p>
    <w:p w14:paraId="39EE7FC2" w14:textId="77777777" w:rsidR="00853168" w:rsidRPr="00853168" w:rsidRDefault="00853168" w:rsidP="00853168">
      <w:pPr>
        <w:pStyle w:val="Body"/>
        <w:rPr>
          <w:rFonts w:ascii="Arial" w:hAnsi="Arial" w:cs="Arial"/>
          <w:lang w:val="en-GB"/>
        </w:rPr>
      </w:pPr>
      <w:r w:rsidRPr="00853168">
        <w:rPr>
          <w:rFonts w:ascii="Arial" w:hAnsi="Arial" w:cs="Arial"/>
          <w:noProof/>
          <w:lang w:val="en-GB"/>
        </w:rPr>
        <w:lastRenderedPageBreak/>
        <w:drawing>
          <wp:inline distT="0" distB="0" distL="0" distR="0" wp14:anchorId="7341E5FC" wp14:editId="4220E850">
            <wp:extent cx="5638800" cy="665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6657975"/>
                    </a:xfrm>
                    <a:prstGeom prst="rect">
                      <a:avLst/>
                    </a:prstGeom>
                    <a:noFill/>
                  </pic:spPr>
                </pic:pic>
              </a:graphicData>
            </a:graphic>
          </wp:inline>
        </w:drawing>
      </w:r>
    </w:p>
    <w:p w14:paraId="0DA802F5"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2</w:t>
      </w:r>
      <w:r w:rsidRPr="00853168">
        <w:rPr>
          <w:rFonts w:ascii="Arial" w:hAnsi="Arial" w:cs="Arial"/>
          <w:lang w:val="en-GB"/>
        </w:rPr>
        <w:fldChar w:fldCharType="end"/>
      </w:r>
      <w:r w:rsidRPr="00853168">
        <w:rPr>
          <w:rFonts w:ascii="Arial" w:hAnsi="Arial" w:cs="Arial"/>
          <w:iCs/>
          <w:lang w:val="en-GB"/>
        </w:rPr>
        <w:t>: Gender, marital status and religion characteristics of shea actors.</w:t>
      </w:r>
    </w:p>
    <w:p w14:paraId="5422BC14" w14:textId="77777777" w:rsidR="00EF03D6" w:rsidRDefault="00EF03D6" w:rsidP="00853168">
      <w:pPr>
        <w:pStyle w:val="Body"/>
        <w:spacing w:after="0"/>
        <w:rPr>
          <w:rFonts w:ascii="Arial" w:hAnsi="Arial" w:cs="Arial"/>
          <w:lang w:val="en-GB"/>
        </w:rPr>
      </w:pPr>
    </w:p>
    <w:p w14:paraId="01861D71" w14:textId="00FB7E41"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findings on shea tree ownership on gender basis presented in Figure 3 revealed that female have more ownership and control over shea trees than male counterpart in Nigeria. The access and control </w:t>
      </w:r>
      <w:r w:rsidR="009B624C" w:rsidRPr="00853168">
        <w:rPr>
          <w:rFonts w:ascii="Arial" w:hAnsi="Arial" w:cs="Arial"/>
          <w:lang w:val="en-GB"/>
        </w:rPr>
        <w:t>are</w:t>
      </w:r>
      <w:r w:rsidRPr="00853168">
        <w:rPr>
          <w:rFonts w:ascii="Arial" w:hAnsi="Arial" w:cs="Arial"/>
          <w:lang w:val="en-GB"/>
        </w:rPr>
        <w:t xml:space="preserve"> more under the community ownership that is, shea trees belonging to the community which accounted for over 50%. Then ownership by household head which accounted for 21.34%. This indicated that shea trees are mostly owned as a </w:t>
      </w:r>
      <w:r w:rsidRPr="00853168">
        <w:rPr>
          <w:rFonts w:ascii="Arial" w:hAnsi="Arial" w:cs="Arial"/>
          <w:lang w:val="en-GB"/>
        </w:rPr>
        <w:lastRenderedPageBreak/>
        <w:t xml:space="preserve">common resources in Nigeria. However, only few which is less than 10% of the pickers accepted that shea trees belong to an individual and self each.  This result </w:t>
      </w:r>
      <w:r w:rsidR="009B624C" w:rsidRPr="00853168">
        <w:rPr>
          <w:rFonts w:ascii="Arial" w:hAnsi="Arial" w:cs="Arial"/>
          <w:lang w:val="en-GB"/>
        </w:rPr>
        <w:t>agrees</w:t>
      </w:r>
      <w:r w:rsidRPr="00853168">
        <w:rPr>
          <w:rFonts w:ascii="Arial" w:hAnsi="Arial" w:cs="Arial"/>
          <w:lang w:val="en-GB"/>
        </w:rPr>
        <w:t xml:space="preserve"> with the findings of Wardell and Fold (2013); </w:t>
      </w:r>
      <w:proofErr w:type="spellStart"/>
      <w:r w:rsidRPr="00853168">
        <w:rPr>
          <w:rFonts w:ascii="Arial" w:hAnsi="Arial" w:cs="Arial"/>
          <w:lang w:val="en-GB"/>
        </w:rPr>
        <w:t>Omon</w:t>
      </w:r>
      <w:proofErr w:type="spellEnd"/>
      <w:r w:rsidRPr="00853168">
        <w:rPr>
          <w:rFonts w:ascii="Arial" w:hAnsi="Arial" w:cs="Arial"/>
          <w:lang w:val="en-GB"/>
        </w:rPr>
        <w:t xml:space="preserve"> and </w:t>
      </w:r>
      <w:proofErr w:type="spellStart"/>
      <w:r w:rsidRPr="00853168">
        <w:rPr>
          <w:rFonts w:ascii="Arial" w:hAnsi="Arial" w:cs="Arial"/>
          <w:lang w:val="en-GB"/>
        </w:rPr>
        <w:t>Ilobekemen</w:t>
      </w:r>
      <w:proofErr w:type="spellEnd"/>
      <w:r w:rsidRPr="00853168">
        <w:rPr>
          <w:rFonts w:ascii="Arial" w:hAnsi="Arial" w:cs="Arial"/>
          <w:lang w:val="en-GB"/>
        </w:rPr>
        <w:t xml:space="preserve"> (2018) which found that </w:t>
      </w:r>
      <w:r w:rsidR="001A1A44">
        <w:rPr>
          <w:rFonts w:ascii="Arial" w:hAnsi="Arial" w:cs="Arial"/>
          <w:lang w:val="en-GB"/>
        </w:rPr>
        <w:t>“</w:t>
      </w:r>
      <w:r w:rsidRPr="00853168">
        <w:rPr>
          <w:rFonts w:ascii="Arial" w:hAnsi="Arial" w:cs="Arial"/>
          <w:lang w:val="en-GB"/>
        </w:rPr>
        <w:t>shea trees are mostly not planted deliberately in Nigeria and the nuts are usually collected on a first- come- first-served basis on unclaimed land used by the community</w:t>
      </w:r>
      <w:r w:rsidR="001A1A44">
        <w:rPr>
          <w:rFonts w:ascii="Arial" w:hAnsi="Arial" w:cs="Arial"/>
          <w:lang w:val="en-GB"/>
        </w:rPr>
        <w:t>”</w:t>
      </w:r>
      <w:r w:rsidRPr="00853168">
        <w:rPr>
          <w:rFonts w:ascii="Arial" w:hAnsi="Arial" w:cs="Arial"/>
          <w:lang w:val="en-GB"/>
        </w:rPr>
        <w:t xml:space="preserve">. </w:t>
      </w:r>
    </w:p>
    <w:p w14:paraId="11242084"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drawing>
          <wp:inline distT="0" distB="0" distL="0" distR="0" wp14:anchorId="037D10F8" wp14:editId="7000ADA4">
            <wp:extent cx="50673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001EBA"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3</w:t>
      </w:r>
      <w:r w:rsidRPr="00853168">
        <w:rPr>
          <w:rFonts w:ascii="Arial" w:hAnsi="Arial" w:cs="Arial"/>
          <w:lang w:val="en-GB"/>
        </w:rPr>
        <w:fldChar w:fldCharType="end"/>
      </w:r>
      <w:r w:rsidRPr="00853168">
        <w:rPr>
          <w:rFonts w:ascii="Arial" w:hAnsi="Arial" w:cs="Arial"/>
          <w:iCs/>
          <w:lang w:val="en-GB"/>
        </w:rPr>
        <w:t>: Shea tree ownership on gender basis.</w:t>
      </w:r>
    </w:p>
    <w:p w14:paraId="4544EA03" w14:textId="77777777" w:rsidR="00EF03D6" w:rsidRDefault="00EF03D6" w:rsidP="00853168">
      <w:pPr>
        <w:pStyle w:val="Body"/>
        <w:spacing w:after="0"/>
        <w:rPr>
          <w:rFonts w:ascii="Arial" w:hAnsi="Arial" w:cs="Arial"/>
          <w:lang w:val="en-GB"/>
        </w:rPr>
      </w:pPr>
    </w:p>
    <w:p w14:paraId="49A7A272" w14:textId="6E0462C5"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 of the shea tree ownership based on marital status as presented in Figure 4 revealed that all the categories of shea tree ownership in Nigeria were mostly owned by married individuals in the community. </w:t>
      </w:r>
      <w:r w:rsidR="001A1A44">
        <w:rPr>
          <w:rFonts w:ascii="Arial" w:hAnsi="Arial" w:cs="Arial"/>
          <w:lang w:val="en-GB"/>
        </w:rPr>
        <w:t>“</w:t>
      </w:r>
      <w:r w:rsidRPr="00853168">
        <w:rPr>
          <w:rFonts w:ascii="Arial" w:hAnsi="Arial" w:cs="Arial"/>
          <w:lang w:val="en-GB"/>
        </w:rPr>
        <w:t xml:space="preserve">Ownership by community accounted for 47.97%, then ownership by household head which accounted for 20.41, followed by ownership by self and individuals outside the household accounting for 10.45% and 9.66% respectively. This implies that married rural people possesses more ownership and control over shea trees in Nigeria. The possible reason for this is that women who are owners of cultivated lands have the right to pick the nuts on their lands, they are also given privilege access and rights over shea trees on their </w:t>
      </w:r>
      <w:r w:rsidR="009B624C" w:rsidRPr="00853168">
        <w:rPr>
          <w:rFonts w:ascii="Arial" w:hAnsi="Arial" w:cs="Arial"/>
          <w:lang w:val="en-GB"/>
        </w:rPr>
        <w:t>husbands’</w:t>
      </w:r>
      <w:r w:rsidRPr="00853168">
        <w:rPr>
          <w:rFonts w:ascii="Arial" w:hAnsi="Arial" w:cs="Arial"/>
          <w:lang w:val="en-GB"/>
        </w:rPr>
        <w:t xml:space="preserve"> land. Although women have control over the shea, however the revenue generated from the shea is been shared by the other household members especially the male household head</w:t>
      </w:r>
      <w:r w:rsidR="001A1A44">
        <w:rPr>
          <w:rFonts w:ascii="Arial" w:hAnsi="Arial" w:cs="Arial"/>
          <w:lang w:val="en-GB"/>
        </w:rPr>
        <w:t>”</w:t>
      </w:r>
      <w:r w:rsidRPr="00853168">
        <w:rPr>
          <w:rFonts w:ascii="Arial" w:hAnsi="Arial" w:cs="Arial"/>
          <w:lang w:val="en-GB"/>
        </w:rPr>
        <w:t xml:space="preserve"> (</w:t>
      </w:r>
      <w:proofErr w:type="spellStart"/>
      <w:r w:rsidRPr="00853168">
        <w:rPr>
          <w:rFonts w:ascii="Arial" w:hAnsi="Arial" w:cs="Arial"/>
          <w:lang w:val="en-GB"/>
        </w:rPr>
        <w:t>Boffa</w:t>
      </w:r>
      <w:proofErr w:type="spellEnd"/>
      <w:r w:rsidRPr="00853168">
        <w:rPr>
          <w:rFonts w:ascii="Arial" w:hAnsi="Arial" w:cs="Arial"/>
          <w:lang w:val="en-GB"/>
        </w:rPr>
        <w:t xml:space="preserve"> </w:t>
      </w:r>
      <w:r w:rsidRPr="00853168">
        <w:rPr>
          <w:rFonts w:ascii="Arial" w:hAnsi="Arial" w:cs="Arial"/>
          <w:i/>
          <w:iCs/>
          <w:lang w:val="en-GB"/>
        </w:rPr>
        <w:t>et al</w:t>
      </w:r>
      <w:r w:rsidRPr="00853168">
        <w:rPr>
          <w:rFonts w:ascii="Arial" w:hAnsi="Arial" w:cs="Arial"/>
          <w:lang w:val="en-GB"/>
        </w:rPr>
        <w:t>., 1996).</w:t>
      </w:r>
    </w:p>
    <w:p w14:paraId="3F0FBB94"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lastRenderedPageBreak/>
        <w:drawing>
          <wp:inline distT="0" distB="0" distL="0" distR="0" wp14:anchorId="65126B94" wp14:editId="0EB6087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9BFBEC"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4</w:t>
      </w:r>
      <w:r w:rsidRPr="00853168">
        <w:rPr>
          <w:rFonts w:ascii="Arial" w:hAnsi="Arial" w:cs="Arial"/>
          <w:lang w:val="en-GB"/>
        </w:rPr>
        <w:fldChar w:fldCharType="end"/>
      </w:r>
      <w:r w:rsidRPr="00853168">
        <w:rPr>
          <w:rFonts w:ascii="Arial" w:hAnsi="Arial" w:cs="Arial"/>
          <w:iCs/>
          <w:lang w:val="en-GB"/>
        </w:rPr>
        <w:t>: Shea tree ownership by marital status.</w:t>
      </w:r>
    </w:p>
    <w:p w14:paraId="406A664F" w14:textId="77777777" w:rsidR="00EF03D6" w:rsidRDefault="00EF03D6" w:rsidP="00853168">
      <w:pPr>
        <w:pStyle w:val="Body"/>
        <w:spacing w:after="0"/>
        <w:rPr>
          <w:rFonts w:ascii="Arial" w:hAnsi="Arial" w:cs="Arial"/>
          <w:lang w:val="en-GB"/>
        </w:rPr>
      </w:pPr>
    </w:p>
    <w:p w14:paraId="501C80CC" w14:textId="56A1965B"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Results of the shea tree ownership </w:t>
      </w:r>
      <w:r w:rsidR="00EF03D6" w:rsidRPr="00853168">
        <w:rPr>
          <w:rFonts w:ascii="Arial" w:hAnsi="Arial" w:cs="Arial"/>
          <w:lang w:val="en-GB"/>
        </w:rPr>
        <w:t>based on</w:t>
      </w:r>
      <w:r w:rsidRPr="00853168">
        <w:rPr>
          <w:rFonts w:ascii="Arial" w:hAnsi="Arial" w:cs="Arial"/>
          <w:lang w:val="en-GB"/>
        </w:rPr>
        <w:t xml:space="preserve"> gender and religious strata presented in Figure 5 revealed that more than half (52.34%) of the shea trees are owned and controlled by the female. However, most of the owners accounting for 31.46% practice Islamic religion which are more under the community. This is followed by shea tree owners that practice Christianity which are more under the community ownership accounting for 20.87%. This indicated that majority of shea trees in Nigeria are owned by Muslims and Christians.</w:t>
      </w:r>
    </w:p>
    <w:p w14:paraId="7085F9CF" w14:textId="77777777" w:rsidR="00853168" w:rsidRPr="00853168" w:rsidRDefault="00853168" w:rsidP="00853168">
      <w:pPr>
        <w:pStyle w:val="Body"/>
        <w:spacing w:after="0"/>
        <w:rPr>
          <w:rFonts w:ascii="Arial" w:hAnsi="Arial" w:cs="Arial"/>
          <w:lang w:val="en-GB"/>
        </w:rPr>
      </w:pPr>
      <w:r w:rsidRPr="00853168">
        <w:rPr>
          <w:rFonts w:ascii="Arial" w:hAnsi="Arial" w:cs="Arial"/>
          <w:noProof/>
          <w:lang w:val="en-GB"/>
        </w:rPr>
        <w:drawing>
          <wp:inline distT="0" distB="0" distL="0" distR="0" wp14:anchorId="786FDF86" wp14:editId="76DF0226">
            <wp:extent cx="5591175" cy="3281363"/>
            <wp:effectExtent l="0" t="0" r="952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CD6306" w14:textId="77777777" w:rsidR="00853168" w:rsidRPr="00853168" w:rsidRDefault="00853168" w:rsidP="00853168">
      <w:pPr>
        <w:pStyle w:val="Body"/>
        <w:spacing w:after="0"/>
        <w:rPr>
          <w:rFonts w:ascii="Arial" w:hAnsi="Arial" w:cs="Arial"/>
          <w:iCs/>
          <w:lang w:val="en-GB"/>
        </w:rPr>
      </w:pPr>
      <w:r w:rsidRPr="00853168">
        <w:rPr>
          <w:rFonts w:ascii="Arial" w:hAnsi="Arial" w:cs="Arial"/>
          <w:iCs/>
          <w:lang w:val="en-GB"/>
        </w:rPr>
        <w:t xml:space="preserve">Figure </w:t>
      </w:r>
      <w:r w:rsidRPr="00853168">
        <w:rPr>
          <w:rFonts w:ascii="Arial" w:hAnsi="Arial" w:cs="Arial"/>
          <w:iCs/>
          <w:lang w:val="en-GB"/>
        </w:rPr>
        <w:fldChar w:fldCharType="begin"/>
      </w:r>
      <w:r w:rsidRPr="00853168">
        <w:rPr>
          <w:rFonts w:ascii="Arial" w:hAnsi="Arial" w:cs="Arial"/>
          <w:iCs/>
          <w:lang w:val="en-GB"/>
        </w:rPr>
        <w:instrText xml:space="preserve"> SEQ Figure \* ARABIC </w:instrText>
      </w:r>
      <w:r w:rsidRPr="00853168">
        <w:rPr>
          <w:rFonts w:ascii="Arial" w:hAnsi="Arial" w:cs="Arial"/>
          <w:iCs/>
          <w:lang w:val="en-GB"/>
        </w:rPr>
        <w:fldChar w:fldCharType="separate"/>
      </w:r>
      <w:r w:rsidRPr="00853168">
        <w:rPr>
          <w:rFonts w:ascii="Arial" w:hAnsi="Arial" w:cs="Arial"/>
          <w:iCs/>
          <w:lang w:val="en-GB"/>
        </w:rPr>
        <w:t>5</w:t>
      </w:r>
      <w:r w:rsidRPr="00853168">
        <w:rPr>
          <w:rFonts w:ascii="Arial" w:hAnsi="Arial" w:cs="Arial"/>
          <w:lang w:val="en-GB"/>
        </w:rPr>
        <w:fldChar w:fldCharType="end"/>
      </w:r>
      <w:r w:rsidRPr="00853168">
        <w:rPr>
          <w:rFonts w:ascii="Arial" w:hAnsi="Arial" w:cs="Arial"/>
          <w:iCs/>
          <w:lang w:val="en-GB"/>
        </w:rPr>
        <w:t>: Shea tree ownership on the basis of gender and religious strata.</w:t>
      </w:r>
    </w:p>
    <w:p w14:paraId="2111AA58" w14:textId="77777777" w:rsidR="00EF03D6" w:rsidRDefault="00EF03D6" w:rsidP="00853168">
      <w:pPr>
        <w:pStyle w:val="Body"/>
        <w:spacing w:after="0"/>
        <w:rPr>
          <w:rFonts w:ascii="Arial" w:hAnsi="Arial" w:cs="Arial"/>
          <w:lang w:val="en-GB"/>
        </w:rPr>
      </w:pPr>
    </w:p>
    <w:p w14:paraId="085CBB85" w14:textId="24CB3EBD"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Results in Table 1 shows the gross income distribution of shea actors on annual basis in which the frequency follows the normal distribution but </w:t>
      </w:r>
      <w:r w:rsidR="00EF03D6" w:rsidRPr="00853168">
        <w:rPr>
          <w:rFonts w:ascii="Arial" w:hAnsi="Arial" w:cs="Arial"/>
          <w:lang w:val="en-GB"/>
        </w:rPr>
        <w:t>bimodal</w:t>
      </w:r>
      <w:r w:rsidRPr="00853168">
        <w:rPr>
          <w:rFonts w:ascii="Arial" w:hAnsi="Arial" w:cs="Arial"/>
          <w:lang w:val="en-GB"/>
        </w:rPr>
        <w:t xml:space="preserve">. The Table was sorted by the </w:t>
      </w:r>
      <w:r w:rsidRPr="00853168">
        <w:rPr>
          <w:rFonts w:ascii="Arial" w:hAnsi="Arial" w:cs="Arial"/>
          <w:lang w:val="en-GB"/>
        </w:rPr>
        <w:lastRenderedPageBreak/>
        <w:t>amount of income which revealed that the mean income was N2,514,190.30. In addition, the result also revealed that the shea economy is female dominated and they earn the most income. In terms of the actors, traders are the highest income earners but the pickers are the most income earners in terms of number. The result further revealed that there seems to be a little bit domination by a particular religion, with more Muslim women earning at the top of the income ladder. More so, most of the female on top of the ladder are married. The previous held belief that shea trade might have some religious inclinations needs to be critically examined. The implication of this findings is that shea business is very lucrative in Nigeria which might help the actors to escape the margins of poverty that is common in the rural areas in the country.</w:t>
      </w:r>
    </w:p>
    <w:p w14:paraId="4794EE92" w14:textId="77777777" w:rsidR="00EF03D6" w:rsidRDefault="00EF03D6" w:rsidP="00853168">
      <w:pPr>
        <w:pStyle w:val="Body"/>
        <w:spacing w:after="0"/>
        <w:rPr>
          <w:rFonts w:ascii="Arial" w:hAnsi="Arial" w:cs="Arial"/>
          <w:lang w:val="en-GB"/>
        </w:rPr>
      </w:pPr>
    </w:p>
    <w:p w14:paraId="689284BA" w14:textId="2432AFF4" w:rsidR="00853168" w:rsidRDefault="00853168" w:rsidP="00853168">
      <w:pPr>
        <w:pStyle w:val="Body"/>
        <w:spacing w:after="0"/>
        <w:rPr>
          <w:rFonts w:ascii="Arial" w:hAnsi="Arial" w:cs="Arial"/>
          <w:lang w:val="en-GB"/>
        </w:rPr>
      </w:pPr>
      <w:r w:rsidRPr="00853168">
        <w:rPr>
          <w:rFonts w:ascii="Arial" w:hAnsi="Arial" w:cs="Arial"/>
          <w:lang w:val="en-GB"/>
        </w:rPr>
        <w:t xml:space="preserve">This result </w:t>
      </w:r>
      <w:r w:rsidR="009B624C" w:rsidRPr="00853168">
        <w:rPr>
          <w:rFonts w:ascii="Arial" w:hAnsi="Arial" w:cs="Arial"/>
          <w:lang w:val="en-GB"/>
        </w:rPr>
        <w:t>agrees</w:t>
      </w:r>
      <w:r w:rsidRPr="00853168">
        <w:rPr>
          <w:rFonts w:ascii="Arial" w:hAnsi="Arial" w:cs="Arial"/>
          <w:lang w:val="en-GB"/>
        </w:rPr>
        <w:t xml:space="preserve"> with the findings of </w:t>
      </w:r>
      <w:proofErr w:type="spellStart"/>
      <w:r w:rsidRPr="00853168">
        <w:rPr>
          <w:rFonts w:ascii="Arial" w:hAnsi="Arial" w:cs="Arial"/>
          <w:lang w:val="en-GB"/>
        </w:rPr>
        <w:t>Matanmi</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xml:space="preserve">. (2011) who reported that most shea actors were married. </w:t>
      </w:r>
      <w:r w:rsidR="009B624C" w:rsidRPr="00853168">
        <w:rPr>
          <w:rFonts w:ascii="Arial" w:hAnsi="Arial" w:cs="Arial"/>
          <w:lang w:val="en-GB"/>
        </w:rPr>
        <w:t>Also,</w:t>
      </w:r>
      <w:r w:rsidRPr="00853168">
        <w:rPr>
          <w:rFonts w:ascii="Arial" w:hAnsi="Arial" w:cs="Arial"/>
          <w:lang w:val="en-GB"/>
        </w:rPr>
        <w:t xml:space="preserve"> in accordance with the findings of Okolo </w:t>
      </w:r>
      <w:r w:rsidRPr="00853168">
        <w:rPr>
          <w:rFonts w:ascii="Arial" w:hAnsi="Arial" w:cs="Arial"/>
          <w:i/>
          <w:lang w:val="en-GB"/>
        </w:rPr>
        <w:t>et al</w:t>
      </w:r>
      <w:r w:rsidRPr="00853168">
        <w:rPr>
          <w:rFonts w:ascii="Arial" w:hAnsi="Arial" w:cs="Arial"/>
          <w:lang w:val="en-GB"/>
        </w:rPr>
        <w:t>. (2016) who affirmed that religion had no influence in shea activities and average income of N795,772 was reported for all the actors in North Centr</w:t>
      </w:r>
      <w:bookmarkStart w:id="0" w:name="_GoBack"/>
      <w:bookmarkEnd w:id="0"/>
      <w:r w:rsidRPr="00853168">
        <w:rPr>
          <w:rFonts w:ascii="Arial" w:hAnsi="Arial" w:cs="Arial"/>
          <w:lang w:val="en-GB"/>
        </w:rPr>
        <w:t>al States of Nigeria.</w:t>
      </w:r>
    </w:p>
    <w:p w14:paraId="780E7C79" w14:textId="77777777" w:rsidR="004716BF" w:rsidRPr="00853168" w:rsidRDefault="004716BF" w:rsidP="00853168">
      <w:pPr>
        <w:pStyle w:val="Body"/>
        <w:spacing w:after="0"/>
        <w:rPr>
          <w:rFonts w:ascii="Arial" w:hAnsi="Arial" w:cs="Arial"/>
          <w:lang w:val="en-GB"/>
        </w:rPr>
      </w:pPr>
    </w:p>
    <w:p w14:paraId="57FAC23D" w14:textId="77777777" w:rsidR="00853168" w:rsidRPr="00853168" w:rsidRDefault="00853168" w:rsidP="004716BF">
      <w:pPr>
        <w:pStyle w:val="Body"/>
        <w:spacing w:after="0"/>
        <w:rPr>
          <w:rFonts w:ascii="Arial" w:hAnsi="Arial" w:cs="Arial"/>
          <w:b/>
          <w:lang w:val="en-GB"/>
        </w:rPr>
      </w:pPr>
      <w:r w:rsidRPr="00853168">
        <w:rPr>
          <w:rFonts w:ascii="Arial" w:hAnsi="Arial" w:cs="Arial"/>
          <w:b/>
          <w:lang w:val="en-GB"/>
        </w:rPr>
        <w:t>Table 1: Gross Income Distribution of Shea Actors on annual basis</w:t>
      </w:r>
    </w:p>
    <w:tbl>
      <w:tblPr>
        <w:tblW w:w="9315" w:type="dxa"/>
        <w:tblLook w:val="04A0" w:firstRow="1" w:lastRow="0" w:firstColumn="1" w:lastColumn="0" w:noHBand="0" w:noVBand="1"/>
      </w:tblPr>
      <w:tblGrid>
        <w:gridCol w:w="953"/>
        <w:gridCol w:w="1759"/>
        <w:gridCol w:w="2016"/>
        <w:gridCol w:w="1313"/>
        <w:gridCol w:w="2537"/>
        <w:gridCol w:w="737"/>
      </w:tblGrid>
      <w:tr w:rsidR="00853168" w:rsidRPr="00853168" w14:paraId="758996A4" w14:textId="77777777" w:rsidTr="004716BF">
        <w:trPr>
          <w:tblHeader/>
        </w:trPr>
        <w:tc>
          <w:tcPr>
            <w:tcW w:w="0" w:type="auto"/>
            <w:tcBorders>
              <w:top w:val="single" w:sz="4" w:space="0" w:color="auto"/>
              <w:bottom w:val="single" w:sz="4" w:space="0" w:color="auto"/>
            </w:tcBorders>
            <w:hideMark/>
          </w:tcPr>
          <w:p w14:paraId="49FA82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Gender </w:t>
            </w:r>
          </w:p>
        </w:tc>
        <w:tc>
          <w:tcPr>
            <w:tcW w:w="1759" w:type="dxa"/>
            <w:tcBorders>
              <w:top w:val="single" w:sz="4" w:space="0" w:color="auto"/>
              <w:bottom w:val="single" w:sz="4" w:space="0" w:color="auto"/>
            </w:tcBorders>
            <w:hideMark/>
          </w:tcPr>
          <w:p w14:paraId="2A7B36E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Marital Status </w:t>
            </w:r>
          </w:p>
        </w:tc>
        <w:tc>
          <w:tcPr>
            <w:tcW w:w="2016" w:type="dxa"/>
            <w:tcBorders>
              <w:top w:val="single" w:sz="4" w:space="0" w:color="auto"/>
              <w:bottom w:val="single" w:sz="4" w:space="0" w:color="auto"/>
            </w:tcBorders>
            <w:hideMark/>
          </w:tcPr>
          <w:p w14:paraId="53F6BF0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Religion </w:t>
            </w:r>
          </w:p>
        </w:tc>
        <w:tc>
          <w:tcPr>
            <w:tcW w:w="0" w:type="auto"/>
            <w:tcBorders>
              <w:top w:val="single" w:sz="4" w:space="0" w:color="auto"/>
              <w:bottom w:val="single" w:sz="4" w:space="0" w:color="auto"/>
            </w:tcBorders>
            <w:hideMark/>
          </w:tcPr>
          <w:p w14:paraId="3C0B01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Actor </w:t>
            </w:r>
          </w:p>
        </w:tc>
        <w:tc>
          <w:tcPr>
            <w:tcW w:w="2537" w:type="dxa"/>
            <w:tcBorders>
              <w:top w:val="single" w:sz="4" w:space="0" w:color="auto"/>
              <w:bottom w:val="single" w:sz="4" w:space="0" w:color="auto"/>
            </w:tcBorders>
            <w:hideMark/>
          </w:tcPr>
          <w:p w14:paraId="0D32433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Income Class Interval </w:t>
            </w:r>
          </w:p>
        </w:tc>
        <w:tc>
          <w:tcPr>
            <w:tcW w:w="0" w:type="auto"/>
            <w:tcBorders>
              <w:top w:val="single" w:sz="4" w:space="0" w:color="auto"/>
              <w:bottom w:val="single" w:sz="4" w:space="0" w:color="auto"/>
            </w:tcBorders>
            <w:hideMark/>
          </w:tcPr>
          <w:p w14:paraId="5C48F2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Freq.</w:t>
            </w:r>
          </w:p>
        </w:tc>
      </w:tr>
      <w:tr w:rsidR="00853168" w:rsidRPr="00853168" w14:paraId="1F073AE6" w14:textId="77777777" w:rsidTr="00611FAD">
        <w:tc>
          <w:tcPr>
            <w:tcW w:w="0" w:type="auto"/>
            <w:tcBorders>
              <w:top w:val="single" w:sz="4" w:space="0" w:color="auto"/>
            </w:tcBorders>
            <w:shd w:val="clear" w:color="auto" w:fill="FFFFFF"/>
            <w:hideMark/>
          </w:tcPr>
          <w:p w14:paraId="3A64F74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tcBorders>
              <w:top w:val="single" w:sz="4" w:space="0" w:color="auto"/>
            </w:tcBorders>
            <w:shd w:val="clear" w:color="auto" w:fill="FFFFFF"/>
            <w:hideMark/>
          </w:tcPr>
          <w:p w14:paraId="4E6E65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tcBorders>
              <w:top w:val="single" w:sz="4" w:space="0" w:color="auto"/>
            </w:tcBorders>
            <w:shd w:val="clear" w:color="auto" w:fill="FFFFFF"/>
            <w:hideMark/>
          </w:tcPr>
          <w:p w14:paraId="7C2C9D7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tcBorders>
              <w:top w:val="single" w:sz="4" w:space="0" w:color="auto"/>
            </w:tcBorders>
            <w:shd w:val="clear" w:color="auto" w:fill="FFFFFF"/>
            <w:hideMark/>
          </w:tcPr>
          <w:p w14:paraId="56A2569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tcBorders>
              <w:top w:val="single" w:sz="4" w:space="0" w:color="auto"/>
            </w:tcBorders>
            <w:shd w:val="clear" w:color="auto" w:fill="FFFFFF"/>
            <w:hideMark/>
          </w:tcPr>
          <w:p w14:paraId="2CE1CA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76300000 - 81900000 </w:t>
            </w:r>
          </w:p>
        </w:tc>
        <w:tc>
          <w:tcPr>
            <w:tcW w:w="0" w:type="auto"/>
            <w:tcBorders>
              <w:top w:val="single" w:sz="4" w:space="0" w:color="auto"/>
            </w:tcBorders>
            <w:shd w:val="clear" w:color="auto" w:fill="FFFFFF"/>
            <w:hideMark/>
          </w:tcPr>
          <w:p w14:paraId="6D277D8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6096E0C" w14:textId="77777777" w:rsidTr="00611FAD">
        <w:tc>
          <w:tcPr>
            <w:tcW w:w="0" w:type="auto"/>
            <w:hideMark/>
          </w:tcPr>
          <w:p w14:paraId="736B4C7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hideMark/>
          </w:tcPr>
          <w:p w14:paraId="766152E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hideMark/>
          </w:tcPr>
          <w:p w14:paraId="0EB795A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hideMark/>
          </w:tcPr>
          <w:p w14:paraId="33F4369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hideMark/>
          </w:tcPr>
          <w:p w14:paraId="3ADF88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65400000 - 70900000 </w:t>
            </w:r>
          </w:p>
        </w:tc>
        <w:tc>
          <w:tcPr>
            <w:tcW w:w="0" w:type="auto"/>
            <w:hideMark/>
          </w:tcPr>
          <w:p w14:paraId="2C75960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6495CA86" w14:textId="77777777" w:rsidTr="00611FAD">
        <w:tc>
          <w:tcPr>
            <w:tcW w:w="0" w:type="auto"/>
            <w:shd w:val="clear" w:color="auto" w:fill="FFFFFF"/>
            <w:hideMark/>
          </w:tcPr>
          <w:p w14:paraId="22CFA49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2EA13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9032BA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9AF37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1E992A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49100000 - 54500000 </w:t>
            </w:r>
          </w:p>
        </w:tc>
        <w:tc>
          <w:tcPr>
            <w:tcW w:w="0" w:type="auto"/>
            <w:shd w:val="clear" w:color="auto" w:fill="FFFFFF"/>
            <w:hideMark/>
          </w:tcPr>
          <w:p w14:paraId="58AC49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7A71D938" w14:textId="77777777" w:rsidTr="00611FAD">
        <w:tc>
          <w:tcPr>
            <w:tcW w:w="0" w:type="auto"/>
            <w:shd w:val="clear" w:color="auto" w:fill="FFFFFF"/>
            <w:hideMark/>
          </w:tcPr>
          <w:p w14:paraId="618761F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1C691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9D656D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ECDB57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4B6934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38200000 - 43600000 </w:t>
            </w:r>
          </w:p>
        </w:tc>
        <w:tc>
          <w:tcPr>
            <w:tcW w:w="0" w:type="auto"/>
            <w:shd w:val="clear" w:color="auto" w:fill="FFFFFF"/>
            <w:hideMark/>
          </w:tcPr>
          <w:p w14:paraId="6B3C115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06E7B04" w14:textId="77777777" w:rsidTr="00611FAD">
        <w:tc>
          <w:tcPr>
            <w:tcW w:w="0" w:type="auto"/>
            <w:shd w:val="clear" w:color="auto" w:fill="FFFFFF"/>
            <w:hideMark/>
          </w:tcPr>
          <w:p w14:paraId="7CA7368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5E486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B136C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3277C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CF2B1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32700000 - 38200000 </w:t>
            </w:r>
          </w:p>
        </w:tc>
        <w:tc>
          <w:tcPr>
            <w:tcW w:w="0" w:type="auto"/>
            <w:shd w:val="clear" w:color="auto" w:fill="FFFFFF"/>
            <w:hideMark/>
          </w:tcPr>
          <w:p w14:paraId="7589BE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65C63C90" w14:textId="77777777" w:rsidTr="00611FAD">
        <w:tc>
          <w:tcPr>
            <w:tcW w:w="0" w:type="auto"/>
            <w:shd w:val="clear" w:color="auto" w:fill="FFFFFF"/>
            <w:hideMark/>
          </w:tcPr>
          <w:p w14:paraId="6972181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9137A8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B4F97A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778E37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3BC10B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21800000 - 27300000 </w:t>
            </w:r>
          </w:p>
        </w:tc>
        <w:tc>
          <w:tcPr>
            <w:tcW w:w="0" w:type="auto"/>
            <w:shd w:val="clear" w:color="auto" w:fill="FFFFFF"/>
            <w:hideMark/>
          </w:tcPr>
          <w:p w14:paraId="30DB3D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47DF8898" w14:textId="77777777" w:rsidTr="00611FAD">
        <w:tc>
          <w:tcPr>
            <w:tcW w:w="0" w:type="auto"/>
            <w:shd w:val="clear" w:color="auto" w:fill="FFFFFF"/>
            <w:hideMark/>
          </w:tcPr>
          <w:p w14:paraId="010E450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7A89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6E9FA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9414F4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798AB23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16400000 - 21800000 </w:t>
            </w:r>
          </w:p>
        </w:tc>
        <w:tc>
          <w:tcPr>
            <w:tcW w:w="0" w:type="auto"/>
            <w:shd w:val="clear" w:color="auto" w:fill="FFFFFF"/>
            <w:hideMark/>
          </w:tcPr>
          <w:p w14:paraId="58E442B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C103A6D" w14:textId="77777777" w:rsidTr="00611FAD">
        <w:tc>
          <w:tcPr>
            <w:tcW w:w="0" w:type="auto"/>
            <w:shd w:val="clear" w:color="auto" w:fill="FFFFFF"/>
            <w:hideMark/>
          </w:tcPr>
          <w:p w14:paraId="6588189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1235B5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4745C0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EFAFA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D76E2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10900000 - 16400000 </w:t>
            </w:r>
          </w:p>
        </w:tc>
        <w:tc>
          <w:tcPr>
            <w:tcW w:w="0" w:type="auto"/>
            <w:shd w:val="clear" w:color="auto" w:fill="FFFFFF"/>
            <w:hideMark/>
          </w:tcPr>
          <w:p w14:paraId="44D575A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3F91AF53" w14:textId="77777777" w:rsidTr="00611FAD">
        <w:tc>
          <w:tcPr>
            <w:tcW w:w="0" w:type="auto"/>
            <w:shd w:val="clear" w:color="auto" w:fill="FFFFFF"/>
            <w:hideMark/>
          </w:tcPr>
          <w:p w14:paraId="259E338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12A8F6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8CCAE2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7F41BD1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7FF508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10900000 - 16400000 </w:t>
            </w:r>
          </w:p>
        </w:tc>
        <w:tc>
          <w:tcPr>
            <w:tcW w:w="0" w:type="auto"/>
            <w:shd w:val="clear" w:color="auto" w:fill="FFFFFF"/>
            <w:hideMark/>
          </w:tcPr>
          <w:p w14:paraId="38C02D2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7840716" w14:textId="77777777" w:rsidTr="00611FAD">
        <w:tc>
          <w:tcPr>
            <w:tcW w:w="0" w:type="auto"/>
            <w:shd w:val="clear" w:color="auto" w:fill="FFFFFF"/>
            <w:hideMark/>
          </w:tcPr>
          <w:p w14:paraId="52FFE1C9"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85C5A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FFD0F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A4109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C17C3A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6BACE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98C9127" w14:textId="77777777" w:rsidTr="00611FAD">
        <w:tc>
          <w:tcPr>
            <w:tcW w:w="0" w:type="auto"/>
            <w:shd w:val="clear" w:color="auto" w:fill="FFFFFF"/>
            <w:hideMark/>
          </w:tcPr>
          <w:p w14:paraId="0F10AB1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0D7F570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939CB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941F82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2D998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10AFF6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9</w:t>
            </w:r>
          </w:p>
        </w:tc>
      </w:tr>
      <w:tr w:rsidR="00853168" w:rsidRPr="00853168" w14:paraId="01534FB6" w14:textId="77777777" w:rsidTr="00611FAD">
        <w:tc>
          <w:tcPr>
            <w:tcW w:w="0" w:type="auto"/>
            <w:shd w:val="clear" w:color="auto" w:fill="FFFFFF"/>
            <w:hideMark/>
          </w:tcPr>
          <w:p w14:paraId="30A966CD"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DD993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F0DA41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595C3BC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426F0B9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91BFA0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0EEB74B3" w14:textId="77777777" w:rsidTr="00611FAD">
        <w:tc>
          <w:tcPr>
            <w:tcW w:w="0" w:type="auto"/>
            <w:shd w:val="clear" w:color="auto" w:fill="FFFFFF"/>
            <w:hideMark/>
          </w:tcPr>
          <w:p w14:paraId="7425ADF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48ED29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630C5C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820AA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083236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096551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8</w:t>
            </w:r>
          </w:p>
        </w:tc>
      </w:tr>
      <w:tr w:rsidR="00853168" w:rsidRPr="00853168" w14:paraId="2B3E5D4E" w14:textId="77777777" w:rsidTr="00611FAD">
        <w:tc>
          <w:tcPr>
            <w:tcW w:w="0" w:type="auto"/>
            <w:shd w:val="clear" w:color="auto" w:fill="FFFFFF"/>
            <w:hideMark/>
          </w:tcPr>
          <w:p w14:paraId="79E8A614"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D38502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46841B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EACBC1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3B9100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7DA7D9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20</w:t>
            </w:r>
          </w:p>
        </w:tc>
      </w:tr>
      <w:tr w:rsidR="00853168" w:rsidRPr="00853168" w14:paraId="7872D179" w14:textId="77777777" w:rsidTr="00611FAD">
        <w:tc>
          <w:tcPr>
            <w:tcW w:w="0" w:type="auto"/>
            <w:shd w:val="clear" w:color="auto" w:fill="FFFFFF"/>
            <w:hideMark/>
          </w:tcPr>
          <w:p w14:paraId="128E38C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525E4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9BD7AB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518BC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0F80F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7746C7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33892113" w14:textId="77777777" w:rsidTr="00611FAD">
        <w:tc>
          <w:tcPr>
            <w:tcW w:w="0" w:type="auto"/>
            <w:shd w:val="clear" w:color="auto" w:fill="FFFFFF"/>
            <w:hideMark/>
          </w:tcPr>
          <w:p w14:paraId="67DAF58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60A55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58D225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726AD3F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0751C62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672C8F7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25F2F78C" w14:textId="77777777" w:rsidTr="00611FAD">
        <w:tc>
          <w:tcPr>
            <w:tcW w:w="0" w:type="auto"/>
            <w:shd w:val="clear" w:color="auto" w:fill="FFFFFF"/>
            <w:hideMark/>
          </w:tcPr>
          <w:p w14:paraId="2EC6A30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56833A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9937D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0A47D7D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13036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197C1C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5</w:t>
            </w:r>
          </w:p>
        </w:tc>
      </w:tr>
      <w:tr w:rsidR="00853168" w:rsidRPr="00853168" w14:paraId="426EB4C6" w14:textId="77777777" w:rsidTr="00611FAD">
        <w:tc>
          <w:tcPr>
            <w:tcW w:w="0" w:type="auto"/>
            <w:shd w:val="clear" w:color="auto" w:fill="FFFFFF"/>
            <w:hideMark/>
          </w:tcPr>
          <w:p w14:paraId="750F709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C5E3D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7667A9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01F005B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01895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7A379C2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649C6E2" w14:textId="77777777" w:rsidTr="00611FAD">
        <w:tc>
          <w:tcPr>
            <w:tcW w:w="0" w:type="auto"/>
            <w:shd w:val="clear" w:color="auto" w:fill="FFFFFF"/>
            <w:hideMark/>
          </w:tcPr>
          <w:p w14:paraId="2C19EEB7"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9E7B3B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48E5D65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345C61E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724D1C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A8FB61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379E363" w14:textId="77777777" w:rsidTr="00611FAD">
        <w:tc>
          <w:tcPr>
            <w:tcW w:w="0" w:type="auto"/>
            <w:shd w:val="clear" w:color="auto" w:fill="FFFFFF"/>
            <w:hideMark/>
          </w:tcPr>
          <w:p w14:paraId="475F91D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86B82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0F88E9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26ECA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F6D489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5E85863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E02E804" w14:textId="77777777" w:rsidTr="00611FAD">
        <w:tc>
          <w:tcPr>
            <w:tcW w:w="0" w:type="auto"/>
            <w:shd w:val="clear" w:color="auto" w:fill="FFFFFF"/>
            <w:hideMark/>
          </w:tcPr>
          <w:p w14:paraId="361521C9"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3BDE72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075A63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1B8F0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1EDD812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32B0A6F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18FA3FD" w14:textId="77777777" w:rsidTr="00611FAD">
        <w:tc>
          <w:tcPr>
            <w:tcW w:w="0" w:type="auto"/>
            <w:shd w:val="clear" w:color="auto" w:fill="FFFFFF"/>
            <w:hideMark/>
          </w:tcPr>
          <w:p w14:paraId="108BAC7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963D78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665013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90573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13CD0D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2525ADF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E8287D2" w14:textId="77777777" w:rsidTr="00611FAD">
        <w:tc>
          <w:tcPr>
            <w:tcW w:w="0" w:type="auto"/>
            <w:shd w:val="clear" w:color="auto" w:fill="FFFFFF"/>
            <w:hideMark/>
          </w:tcPr>
          <w:p w14:paraId="6E92F0C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62C1AA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5062A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88F564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DECCB4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403EA6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3B6CDBD" w14:textId="77777777" w:rsidTr="00611FAD">
        <w:tc>
          <w:tcPr>
            <w:tcW w:w="0" w:type="auto"/>
            <w:shd w:val="clear" w:color="auto" w:fill="FFFFFF"/>
            <w:hideMark/>
          </w:tcPr>
          <w:p w14:paraId="30A16B4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3B9DD43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0E3361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7A00B9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71E89E6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0410CDE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AC5A3E0" w14:textId="77777777" w:rsidTr="00611FAD">
        <w:tc>
          <w:tcPr>
            <w:tcW w:w="0" w:type="auto"/>
            <w:shd w:val="clear" w:color="auto" w:fill="FFFFFF"/>
            <w:hideMark/>
          </w:tcPr>
          <w:p w14:paraId="66FF8A7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746F3F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AF1ABD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45A5DE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9D1381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5460000 - 10900000 </w:t>
            </w:r>
          </w:p>
        </w:tc>
        <w:tc>
          <w:tcPr>
            <w:tcW w:w="0" w:type="auto"/>
            <w:shd w:val="clear" w:color="auto" w:fill="FFFFFF"/>
            <w:hideMark/>
          </w:tcPr>
          <w:p w14:paraId="5A60B3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23FB7C42" w14:textId="77777777" w:rsidTr="00611FAD">
        <w:tc>
          <w:tcPr>
            <w:tcW w:w="0" w:type="auto"/>
            <w:shd w:val="clear" w:color="auto" w:fill="FFFFFF"/>
            <w:hideMark/>
          </w:tcPr>
          <w:p w14:paraId="1B2CB7DF"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D96A44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Divorced </w:t>
            </w:r>
          </w:p>
        </w:tc>
        <w:tc>
          <w:tcPr>
            <w:tcW w:w="2016" w:type="dxa"/>
            <w:shd w:val="clear" w:color="auto" w:fill="FFFFFF"/>
            <w:hideMark/>
          </w:tcPr>
          <w:p w14:paraId="37290F7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D42E94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4AFC003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0A20D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1ADFDD1" w14:textId="77777777" w:rsidTr="00611FAD">
        <w:tc>
          <w:tcPr>
            <w:tcW w:w="0" w:type="auto"/>
            <w:shd w:val="clear" w:color="auto" w:fill="FFFFFF"/>
            <w:hideMark/>
          </w:tcPr>
          <w:p w14:paraId="01DAABB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CF99C9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Divorced </w:t>
            </w:r>
          </w:p>
        </w:tc>
        <w:tc>
          <w:tcPr>
            <w:tcW w:w="2016" w:type="dxa"/>
            <w:shd w:val="clear" w:color="auto" w:fill="FFFFFF"/>
            <w:hideMark/>
          </w:tcPr>
          <w:p w14:paraId="4EF906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428B9A2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0A66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C08338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C9232D7" w14:textId="77777777" w:rsidTr="00611FAD">
        <w:tc>
          <w:tcPr>
            <w:tcW w:w="0" w:type="auto"/>
            <w:shd w:val="clear" w:color="auto" w:fill="FFFFFF"/>
            <w:hideMark/>
          </w:tcPr>
          <w:p w14:paraId="7AEF013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E0FA6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7975CE4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777968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1D72C0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6C131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C68F6EC" w14:textId="77777777" w:rsidTr="00611FAD">
        <w:tc>
          <w:tcPr>
            <w:tcW w:w="0" w:type="auto"/>
            <w:shd w:val="clear" w:color="auto" w:fill="FFFFFF"/>
            <w:hideMark/>
          </w:tcPr>
          <w:p w14:paraId="7FB51F7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28535B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B6B199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46C12A0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7B75C0D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F737C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D0323AA" w14:textId="77777777" w:rsidTr="00611FAD">
        <w:tc>
          <w:tcPr>
            <w:tcW w:w="0" w:type="auto"/>
            <w:shd w:val="clear" w:color="auto" w:fill="FFFFFF"/>
            <w:hideMark/>
          </w:tcPr>
          <w:p w14:paraId="21D59D5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02ECA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3C88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5F5D94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4190F1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064905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2562EB62" w14:textId="77777777" w:rsidTr="00611FAD">
        <w:tc>
          <w:tcPr>
            <w:tcW w:w="0" w:type="auto"/>
            <w:shd w:val="clear" w:color="auto" w:fill="FFFFFF"/>
            <w:hideMark/>
          </w:tcPr>
          <w:p w14:paraId="5C7C0F8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E6D18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5A20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EA8A5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6F40AF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B55607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72</w:t>
            </w:r>
          </w:p>
        </w:tc>
      </w:tr>
      <w:tr w:rsidR="00853168" w:rsidRPr="00853168" w14:paraId="7B9CA924" w14:textId="77777777" w:rsidTr="00611FAD">
        <w:tc>
          <w:tcPr>
            <w:tcW w:w="0" w:type="auto"/>
            <w:shd w:val="clear" w:color="auto" w:fill="FFFFFF"/>
            <w:hideMark/>
          </w:tcPr>
          <w:p w14:paraId="5EECD7E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lastRenderedPageBreak/>
              <w:t xml:space="preserve">Female </w:t>
            </w:r>
          </w:p>
        </w:tc>
        <w:tc>
          <w:tcPr>
            <w:tcW w:w="1759" w:type="dxa"/>
            <w:shd w:val="clear" w:color="auto" w:fill="FFFFFF"/>
            <w:hideMark/>
          </w:tcPr>
          <w:p w14:paraId="3F22C54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3F810C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EA7D0F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7099D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6E85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57</w:t>
            </w:r>
          </w:p>
        </w:tc>
      </w:tr>
      <w:tr w:rsidR="00853168" w:rsidRPr="00853168" w14:paraId="20A34425" w14:textId="77777777" w:rsidTr="00611FAD">
        <w:tc>
          <w:tcPr>
            <w:tcW w:w="0" w:type="auto"/>
            <w:shd w:val="clear" w:color="auto" w:fill="FFFFFF"/>
            <w:hideMark/>
          </w:tcPr>
          <w:p w14:paraId="4411D5A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B3EEA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7AD46A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0D7C77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B0F5B8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7367E9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23</w:t>
            </w:r>
          </w:p>
        </w:tc>
      </w:tr>
      <w:tr w:rsidR="00853168" w:rsidRPr="00853168" w14:paraId="401C7C78" w14:textId="77777777" w:rsidTr="00611FAD">
        <w:tc>
          <w:tcPr>
            <w:tcW w:w="0" w:type="auto"/>
            <w:shd w:val="clear" w:color="auto" w:fill="FFFFFF"/>
            <w:hideMark/>
          </w:tcPr>
          <w:p w14:paraId="3279F86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0C3AC99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654F8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4CA70F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55D977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28980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108</w:t>
            </w:r>
          </w:p>
        </w:tc>
      </w:tr>
      <w:tr w:rsidR="00853168" w:rsidRPr="00853168" w14:paraId="46922866" w14:textId="77777777" w:rsidTr="00611FAD">
        <w:tc>
          <w:tcPr>
            <w:tcW w:w="0" w:type="auto"/>
            <w:shd w:val="clear" w:color="auto" w:fill="FFFFFF"/>
            <w:hideMark/>
          </w:tcPr>
          <w:p w14:paraId="1FDFEF1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CE3597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8EBC8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8695FB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D8B005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89927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118</w:t>
            </w:r>
          </w:p>
        </w:tc>
      </w:tr>
      <w:tr w:rsidR="00853168" w:rsidRPr="00853168" w14:paraId="6E3689E1" w14:textId="77777777" w:rsidTr="00611FAD">
        <w:tc>
          <w:tcPr>
            <w:tcW w:w="0" w:type="auto"/>
            <w:shd w:val="clear" w:color="auto" w:fill="FFFFFF"/>
            <w:hideMark/>
          </w:tcPr>
          <w:p w14:paraId="7024B3E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B15D55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FA66E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EF1D22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E17BE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FFC54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41</w:t>
            </w:r>
          </w:p>
        </w:tc>
      </w:tr>
      <w:tr w:rsidR="00853168" w:rsidRPr="00853168" w14:paraId="381D5AFC" w14:textId="77777777" w:rsidTr="00611FAD">
        <w:tc>
          <w:tcPr>
            <w:tcW w:w="0" w:type="auto"/>
            <w:shd w:val="clear" w:color="auto" w:fill="FFFFFF"/>
            <w:hideMark/>
          </w:tcPr>
          <w:p w14:paraId="3D5471C7"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B9DAE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B41B12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42351A0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0A344C9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36C2D9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14</w:t>
            </w:r>
          </w:p>
        </w:tc>
      </w:tr>
      <w:tr w:rsidR="00853168" w:rsidRPr="00853168" w14:paraId="281145E4" w14:textId="77777777" w:rsidTr="00611FAD">
        <w:tc>
          <w:tcPr>
            <w:tcW w:w="0" w:type="auto"/>
            <w:shd w:val="clear" w:color="auto" w:fill="FFFFFF"/>
            <w:hideMark/>
          </w:tcPr>
          <w:p w14:paraId="593855A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613BCFC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4E9EB7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9EF71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1E49E8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AA21BC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6420902" w14:textId="77777777" w:rsidTr="00611FAD">
        <w:tc>
          <w:tcPr>
            <w:tcW w:w="0" w:type="auto"/>
            <w:shd w:val="clear" w:color="auto" w:fill="FFFFFF"/>
            <w:hideMark/>
          </w:tcPr>
          <w:p w14:paraId="39B2FB1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256A0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705FF7F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CB807F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2B16246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B7EB06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33C12B7" w14:textId="77777777" w:rsidTr="00611FAD">
        <w:tc>
          <w:tcPr>
            <w:tcW w:w="0" w:type="auto"/>
            <w:shd w:val="clear" w:color="auto" w:fill="FFFFFF"/>
            <w:hideMark/>
          </w:tcPr>
          <w:p w14:paraId="7E603DE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4D34DA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7FA0276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3E13B1D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499894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1332C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7F4AB68" w14:textId="77777777" w:rsidTr="00611FAD">
        <w:tc>
          <w:tcPr>
            <w:tcW w:w="0" w:type="auto"/>
            <w:shd w:val="clear" w:color="auto" w:fill="FFFFFF"/>
            <w:hideMark/>
          </w:tcPr>
          <w:p w14:paraId="32A6A40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EFD7E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353A48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80AADA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6CB528F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CF2C17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12</w:t>
            </w:r>
          </w:p>
        </w:tc>
      </w:tr>
      <w:tr w:rsidR="00853168" w:rsidRPr="00853168" w14:paraId="1B60B6B7" w14:textId="77777777" w:rsidTr="00611FAD">
        <w:tc>
          <w:tcPr>
            <w:tcW w:w="0" w:type="auto"/>
            <w:shd w:val="clear" w:color="auto" w:fill="FFFFFF"/>
            <w:hideMark/>
          </w:tcPr>
          <w:p w14:paraId="506058A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B36988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1887197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1E7AAB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7F8CFDD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EF2959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762405E4" w14:textId="77777777" w:rsidTr="00611FAD">
        <w:tc>
          <w:tcPr>
            <w:tcW w:w="0" w:type="auto"/>
            <w:shd w:val="clear" w:color="auto" w:fill="FFFFFF"/>
            <w:hideMark/>
          </w:tcPr>
          <w:p w14:paraId="684E588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0A823C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6D70EA6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FDE115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254D1EC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AA2E47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5C35DF9F" w14:textId="77777777" w:rsidTr="00611FAD">
        <w:tc>
          <w:tcPr>
            <w:tcW w:w="0" w:type="auto"/>
            <w:shd w:val="clear" w:color="auto" w:fill="FFFFFF"/>
            <w:hideMark/>
          </w:tcPr>
          <w:p w14:paraId="5F02F96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026F51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4195DC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2D4B70A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22DD75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73AA02A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B5B1BD1" w14:textId="77777777" w:rsidTr="00611FAD">
        <w:tc>
          <w:tcPr>
            <w:tcW w:w="0" w:type="auto"/>
            <w:shd w:val="clear" w:color="auto" w:fill="FFFFFF"/>
            <w:hideMark/>
          </w:tcPr>
          <w:p w14:paraId="19D0ADE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5AC5A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Separated </w:t>
            </w:r>
          </w:p>
        </w:tc>
        <w:tc>
          <w:tcPr>
            <w:tcW w:w="2016" w:type="dxa"/>
            <w:shd w:val="clear" w:color="auto" w:fill="FFFFFF"/>
            <w:hideMark/>
          </w:tcPr>
          <w:p w14:paraId="701003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316BB76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0C67091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7D46CB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44E51D54" w14:textId="77777777" w:rsidTr="00611FAD">
        <w:tc>
          <w:tcPr>
            <w:tcW w:w="0" w:type="auto"/>
            <w:shd w:val="clear" w:color="auto" w:fill="FFFFFF"/>
            <w:hideMark/>
          </w:tcPr>
          <w:p w14:paraId="5147066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CCC8ED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E9041D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African traditional religion </w:t>
            </w:r>
          </w:p>
        </w:tc>
        <w:tc>
          <w:tcPr>
            <w:tcW w:w="0" w:type="auto"/>
            <w:shd w:val="clear" w:color="auto" w:fill="FFFFFF"/>
            <w:hideMark/>
          </w:tcPr>
          <w:p w14:paraId="3F39D0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280E4AE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75C8E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7EF23BE3" w14:textId="77777777" w:rsidTr="00611FAD">
        <w:tc>
          <w:tcPr>
            <w:tcW w:w="0" w:type="auto"/>
            <w:shd w:val="clear" w:color="auto" w:fill="FFFFFF"/>
            <w:hideMark/>
          </w:tcPr>
          <w:p w14:paraId="24A2EE91"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19A6FC5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62BF41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F3F152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21C59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4AFFFB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59DBA0CC" w14:textId="77777777" w:rsidTr="00611FAD">
        <w:tc>
          <w:tcPr>
            <w:tcW w:w="0" w:type="auto"/>
            <w:shd w:val="clear" w:color="auto" w:fill="FFFFFF"/>
            <w:hideMark/>
          </w:tcPr>
          <w:p w14:paraId="2DF071F2"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C501BC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284619A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2452E16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1A9EF0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5E7F6F3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2E6F85B7" w14:textId="77777777" w:rsidTr="00611FAD">
        <w:tc>
          <w:tcPr>
            <w:tcW w:w="0" w:type="auto"/>
            <w:shd w:val="clear" w:color="auto" w:fill="FFFFFF"/>
            <w:hideMark/>
          </w:tcPr>
          <w:p w14:paraId="59B494F0"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FC2AB6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6A37788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D1867C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5C51293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0A7BF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322D3284" w14:textId="77777777" w:rsidTr="00611FAD">
        <w:tc>
          <w:tcPr>
            <w:tcW w:w="0" w:type="auto"/>
            <w:shd w:val="clear" w:color="auto" w:fill="FFFFFF"/>
            <w:hideMark/>
          </w:tcPr>
          <w:p w14:paraId="07698B7C"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7718CAE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0D2C8B8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00F1C03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5568CA3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022629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12</w:t>
            </w:r>
          </w:p>
        </w:tc>
      </w:tr>
      <w:tr w:rsidR="00853168" w:rsidRPr="00853168" w14:paraId="6E64A566" w14:textId="77777777" w:rsidTr="00611FAD">
        <w:tc>
          <w:tcPr>
            <w:tcW w:w="0" w:type="auto"/>
            <w:shd w:val="clear" w:color="auto" w:fill="FFFFFF"/>
            <w:hideMark/>
          </w:tcPr>
          <w:p w14:paraId="0AF7CED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5FC7D71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109463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27C4A6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E42DA8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5C76B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6</w:t>
            </w:r>
          </w:p>
        </w:tc>
      </w:tr>
      <w:tr w:rsidR="00853168" w:rsidRPr="00853168" w14:paraId="6DC11F11" w14:textId="77777777" w:rsidTr="00611FAD">
        <w:tc>
          <w:tcPr>
            <w:tcW w:w="0" w:type="auto"/>
            <w:shd w:val="clear" w:color="auto" w:fill="FFFFFF"/>
            <w:hideMark/>
          </w:tcPr>
          <w:p w14:paraId="262A3BE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3D4904E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354CFE2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65BF3D3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749D3EE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F82F3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w:t>
            </w:r>
          </w:p>
        </w:tc>
      </w:tr>
      <w:tr w:rsidR="00853168" w:rsidRPr="00853168" w14:paraId="433C4225" w14:textId="77777777" w:rsidTr="00611FAD">
        <w:tc>
          <w:tcPr>
            <w:tcW w:w="0" w:type="auto"/>
            <w:shd w:val="clear" w:color="auto" w:fill="FFFFFF"/>
            <w:hideMark/>
          </w:tcPr>
          <w:p w14:paraId="24D1CF28"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Female </w:t>
            </w:r>
          </w:p>
        </w:tc>
        <w:tc>
          <w:tcPr>
            <w:tcW w:w="1759" w:type="dxa"/>
            <w:shd w:val="clear" w:color="auto" w:fill="FFFFFF"/>
            <w:hideMark/>
          </w:tcPr>
          <w:p w14:paraId="2004EE4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Widow </w:t>
            </w:r>
          </w:p>
        </w:tc>
        <w:tc>
          <w:tcPr>
            <w:tcW w:w="2016" w:type="dxa"/>
            <w:shd w:val="clear" w:color="auto" w:fill="FFFFFF"/>
            <w:hideMark/>
          </w:tcPr>
          <w:p w14:paraId="7836BF5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67581FE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ACC1DD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3A244F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738D0142" w14:textId="77777777" w:rsidTr="00611FAD">
        <w:tc>
          <w:tcPr>
            <w:tcW w:w="0" w:type="auto"/>
            <w:shd w:val="clear" w:color="auto" w:fill="FFFFFF"/>
            <w:hideMark/>
          </w:tcPr>
          <w:p w14:paraId="79C268C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323B2E6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23700C9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1CA001A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16B523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D3E8B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w:t>
            </w:r>
          </w:p>
        </w:tc>
      </w:tr>
      <w:tr w:rsidR="00853168" w:rsidRPr="00853168" w14:paraId="4F3428C5" w14:textId="77777777" w:rsidTr="00611FAD">
        <w:tc>
          <w:tcPr>
            <w:tcW w:w="0" w:type="auto"/>
            <w:shd w:val="clear" w:color="auto" w:fill="FFFFFF"/>
            <w:hideMark/>
          </w:tcPr>
          <w:p w14:paraId="0376427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6AE031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5CBB82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6363C5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058D144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104F59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03F21785" w14:textId="77777777" w:rsidTr="00611FAD">
        <w:tc>
          <w:tcPr>
            <w:tcW w:w="0" w:type="auto"/>
            <w:shd w:val="clear" w:color="auto" w:fill="FFFFFF"/>
            <w:hideMark/>
          </w:tcPr>
          <w:p w14:paraId="1F0CE29D"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C5E5AB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5ACB8C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Christianity </w:t>
            </w:r>
          </w:p>
        </w:tc>
        <w:tc>
          <w:tcPr>
            <w:tcW w:w="0" w:type="auto"/>
            <w:shd w:val="clear" w:color="auto" w:fill="FFFFFF"/>
            <w:hideMark/>
          </w:tcPr>
          <w:p w14:paraId="4DDAF3A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63C23AF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2D5DD64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4</w:t>
            </w:r>
          </w:p>
        </w:tc>
      </w:tr>
      <w:tr w:rsidR="00853168" w:rsidRPr="00853168" w14:paraId="63535220" w14:textId="77777777" w:rsidTr="00611FAD">
        <w:tc>
          <w:tcPr>
            <w:tcW w:w="0" w:type="auto"/>
            <w:shd w:val="clear" w:color="auto" w:fill="FFFFFF"/>
            <w:hideMark/>
          </w:tcPr>
          <w:p w14:paraId="797D05DB"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C5699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3155F41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49828B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304092F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385300D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13</w:t>
            </w:r>
          </w:p>
        </w:tc>
      </w:tr>
      <w:tr w:rsidR="00853168" w:rsidRPr="00853168" w14:paraId="0F9E191E" w14:textId="77777777" w:rsidTr="00611FAD">
        <w:tc>
          <w:tcPr>
            <w:tcW w:w="0" w:type="auto"/>
            <w:shd w:val="clear" w:color="auto" w:fill="FFFFFF"/>
            <w:hideMark/>
          </w:tcPr>
          <w:p w14:paraId="0E828DAA"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418165C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1C2A9E3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2A05A2A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Processors </w:t>
            </w:r>
          </w:p>
        </w:tc>
        <w:tc>
          <w:tcPr>
            <w:tcW w:w="2537" w:type="dxa"/>
            <w:shd w:val="clear" w:color="auto" w:fill="FFFFFF"/>
            <w:hideMark/>
          </w:tcPr>
          <w:p w14:paraId="353D398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8D5DD7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A73F7F9" w14:textId="77777777" w:rsidTr="00611FAD">
        <w:tc>
          <w:tcPr>
            <w:tcW w:w="0" w:type="auto"/>
            <w:shd w:val="clear" w:color="auto" w:fill="FFFFFF"/>
            <w:hideMark/>
          </w:tcPr>
          <w:p w14:paraId="3F36432E"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FBC06C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0B5D4D6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156E15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shd w:val="clear" w:color="auto" w:fill="FFFFFF"/>
            <w:hideMark/>
          </w:tcPr>
          <w:p w14:paraId="3B2D176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4BE7E6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15</w:t>
            </w:r>
          </w:p>
        </w:tc>
      </w:tr>
      <w:tr w:rsidR="00853168" w:rsidRPr="00853168" w14:paraId="63DCA197" w14:textId="77777777" w:rsidTr="00611FAD">
        <w:tc>
          <w:tcPr>
            <w:tcW w:w="0" w:type="auto"/>
            <w:shd w:val="clear" w:color="auto" w:fill="FFFFFF"/>
            <w:hideMark/>
          </w:tcPr>
          <w:p w14:paraId="6DFCD496"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1774632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Married </w:t>
            </w:r>
          </w:p>
        </w:tc>
        <w:tc>
          <w:tcPr>
            <w:tcW w:w="2016" w:type="dxa"/>
            <w:shd w:val="clear" w:color="auto" w:fill="FFFFFF"/>
            <w:hideMark/>
          </w:tcPr>
          <w:p w14:paraId="670B740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Others </w:t>
            </w:r>
          </w:p>
        </w:tc>
        <w:tc>
          <w:tcPr>
            <w:tcW w:w="0" w:type="auto"/>
            <w:shd w:val="clear" w:color="auto" w:fill="FFFFFF"/>
            <w:hideMark/>
          </w:tcPr>
          <w:p w14:paraId="3D6E18B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3B7E45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00C0146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r w:rsidR="00853168" w:rsidRPr="00853168" w14:paraId="1D7B4AEA" w14:textId="77777777" w:rsidTr="00611FAD">
        <w:tc>
          <w:tcPr>
            <w:tcW w:w="0" w:type="auto"/>
            <w:shd w:val="clear" w:color="auto" w:fill="FFFFFF"/>
            <w:hideMark/>
          </w:tcPr>
          <w:p w14:paraId="223011B3"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shd w:val="clear" w:color="auto" w:fill="FFFFFF"/>
            <w:hideMark/>
          </w:tcPr>
          <w:p w14:paraId="2923B7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shd w:val="clear" w:color="auto" w:fill="FFFFFF"/>
            <w:hideMark/>
          </w:tcPr>
          <w:p w14:paraId="5A53C5E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shd w:val="clear" w:color="auto" w:fill="FFFFFF"/>
            <w:hideMark/>
          </w:tcPr>
          <w:p w14:paraId="5ADC21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Pickers </w:t>
            </w:r>
          </w:p>
        </w:tc>
        <w:tc>
          <w:tcPr>
            <w:tcW w:w="2537" w:type="dxa"/>
            <w:shd w:val="clear" w:color="auto" w:fill="FFFFFF"/>
            <w:hideMark/>
          </w:tcPr>
          <w:p w14:paraId="4A06011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shd w:val="clear" w:color="auto" w:fill="FFFFFF"/>
            <w:hideMark/>
          </w:tcPr>
          <w:p w14:paraId="636464C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9</w:t>
            </w:r>
          </w:p>
        </w:tc>
      </w:tr>
      <w:tr w:rsidR="00853168" w:rsidRPr="00853168" w14:paraId="62C66FEE" w14:textId="77777777" w:rsidTr="00611FAD">
        <w:tc>
          <w:tcPr>
            <w:tcW w:w="0" w:type="auto"/>
            <w:tcBorders>
              <w:bottom w:val="single" w:sz="4" w:space="0" w:color="auto"/>
            </w:tcBorders>
            <w:shd w:val="clear" w:color="auto" w:fill="FFFFFF"/>
            <w:hideMark/>
          </w:tcPr>
          <w:p w14:paraId="1DF5A8F5" w14:textId="77777777" w:rsidR="00853168" w:rsidRPr="00853168" w:rsidRDefault="00853168" w:rsidP="00853168">
            <w:pPr>
              <w:pStyle w:val="Body"/>
              <w:spacing w:after="0"/>
              <w:rPr>
                <w:rFonts w:ascii="Arial" w:hAnsi="Arial" w:cs="Arial"/>
                <w:b/>
                <w:lang w:val="en-GB"/>
              </w:rPr>
            </w:pPr>
            <w:r w:rsidRPr="00853168">
              <w:rPr>
                <w:rFonts w:ascii="Arial" w:hAnsi="Arial" w:cs="Arial"/>
                <w:lang w:val="en-GB"/>
              </w:rPr>
              <w:t xml:space="preserve">Male </w:t>
            </w:r>
          </w:p>
        </w:tc>
        <w:tc>
          <w:tcPr>
            <w:tcW w:w="1759" w:type="dxa"/>
            <w:tcBorders>
              <w:bottom w:val="single" w:sz="4" w:space="0" w:color="auto"/>
            </w:tcBorders>
            <w:shd w:val="clear" w:color="auto" w:fill="FFFFFF"/>
            <w:hideMark/>
          </w:tcPr>
          <w:p w14:paraId="745F9073"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Never married </w:t>
            </w:r>
          </w:p>
        </w:tc>
        <w:tc>
          <w:tcPr>
            <w:tcW w:w="2016" w:type="dxa"/>
            <w:tcBorders>
              <w:bottom w:val="single" w:sz="4" w:space="0" w:color="auto"/>
            </w:tcBorders>
            <w:shd w:val="clear" w:color="auto" w:fill="FFFFFF"/>
            <w:hideMark/>
          </w:tcPr>
          <w:p w14:paraId="113576A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Islam </w:t>
            </w:r>
          </w:p>
        </w:tc>
        <w:tc>
          <w:tcPr>
            <w:tcW w:w="0" w:type="auto"/>
            <w:tcBorders>
              <w:bottom w:val="single" w:sz="4" w:space="0" w:color="auto"/>
            </w:tcBorders>
            <w:shd w:val="clear" w:color="auto" w:fill="FFFFFF"/>
            <w:hideMark/>
          </w:tcPr>
          <w:p w14:paraId="4B14B2D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Traders </w:t>
            </w:r>
          </w:p>
        </w:tc>
        <w:tc>
          <w:tcPr>
            <w:tcW w:w="2537" w:type="dxa"/>
            <w:tcBorders>
              <w:bottom w:val="single" w:sz="4" w:space="0" w:color="auto"/>
            </w:tcBorders>
            <w:shd w:val="clear" w:color="auto" w:fill="FFFFFF"/>
            <w:hideMark/>
          </w:tcPr>
          <w:p w14:paraId="741EA0D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69800 - 5460000 </w:t>
            </w:r>
          </w:p>
        </w:tc>
        <w:tc>
          <w:tcPr>
            <w:tcW w:w="0" w:type="auto"/>
            <w:tcBorders>
              <w:bottom w:val="single" w:sz="4" w:space="0" w:color="auto"/>
            </w:tcBorders>
            <w:shd w:val="clear" w:color="auto" w:fill="FFFFFF"/>
            <w:hideMark/>
          </w:tcPr>
          <w:p w14:paraId="560D997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1</w:t>
            </w:r>
          </w:p>
        </w:tc>
      </w:tr>
    </w:tbl>
    <w:p w14:paraId="71C0F2A5" w14:textId="77777777" w:rsidR="00853168" w:rsidRPr="00853168" w:rsidRDefault="00853168" w:rsidP="00853168">
      <w:pPr>
        <w:pStyle w:val="Body"/>
        <w:spacing w:after="0"/>
        <w:rPr>
          <w:rFonts w:ascii="Arial" w:hAnsi="Arial" w:cs="Arial"/>
          <w:lang w:val="en-GB"/>
        </w:rPr>
      </w:pPr>
    </w:p>
    <w:p w14:paraId="1229A772" w14:textId="643770DB"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The results of the structural equation modelling are presented in Tables 2 and 3, Figures 7 and 8. The results in Table 2 revealed that Kaiser-Meyer-Olkin (KMO) measure of sampling adequacy was 0.577 which is good and Bartlett’s test of sphericity (P &lt; 0.001, df = 276, </w:t>
      </w:r>
      <m:oMath>
        <m:sSup>
          <m:sSupPr>
            <m:ctrlPr>
              <w:rPr>
                <w:rFonts w:ascii="Cambria Math" w:hAnsi="Cambria Math" w:cs="Arial"/>
                <w:i/>
                <w:lang w:val="en-GB"/>
              </w:rPr>
            </m:ctrlPr>
          </m:sSupPr>
          <m:e>
            <m:r>
              <m:rPr>
                <m:scr m:val="script"/>
              </m:rPr>
              <w:rPr>
                <w:rFonts w:ascii="Cambria Math" w:hAnsi="Cambria Math" w:cs="Arial"/>
                <w:lang w:val="en-GB"/>
              </w:rPr>
              <m:t>X</m:t>
            </m:r>
          </m:e>
          <m:sup>
            <m:r>
              <w:rPr>
                <w:rFonts w:ascii="Cambria Math" w:hAnsi="Cambria Math" w:cs="Arial"/>
                <w:lang w:val="en-GB"/>
              </w:rPr>
              <m:t>2</m:t>
            </m:r>
          </m:sup>
        </m:sSup>
      </m:oMath>
      <w:r w:rsidRPr="00853168">
        <w:rPr>
          <w:rFonts w:ascii="Arial" w:hAnsi="Arial" w:cs="Arial"/>
          <w:lang w:val="en-GB"/>
        </w:rPr>
        <w:t xml:space="preserve"> = 3571) was significant at 1% probability level. Based on the exploratory factor analysis presented in Table 3, nine (9) latent factors were identified (shea tree ownership as a common resources, shea proceeds shared with others, religion factor, shea ownership by community, shea tree population, extension contact and age factor, size of land on which shea tree grows, experience on shea trading and shea trees and land ownership) which explained 69% of the total variance. The scree plot in Figure 7 confirmed the number of factors retained, which is the number of factors above the simulated data.</w:t>
      </w:r>
    </w:p>
    <w:p w14:paraId="55FC1134" w14:textId="77777777" w:rsidR="00EF03D6" w:rsidRDefault="00EF03D6" w:rsidP="00853168">
      <w:pPr>
        <w:pStyle w:val="Body"/>
        <w:rPr>
          <w:rFonts w:ascii="Arial" w:hAnsi="Arial" w:cs="Arial"/>
          <w:lang w:val="en-GB"/>
        </w:rPr>
      </w:pPr>
    </w:p>
    <w:p w14:paraId="63096B7F" w14:textId="37912318" w:rsidR="00853168" w:rsidRPr="00853168" w:rsidRDefault="00853168" w:rsidP="00853168">
      <w:pPr>
        <w:pStyle w:val="Body"/>
        <w:rPr>
          <w:rFonts w:ascii="Arial" w:hAnsi="Arial" w:cs="Arial"/>
          <w:lang w:val="en-GB"/>
        </w:rPr>
      </w:pPr>
      <w:r w:rsidRPr="00853168">
        <w:rPr>
          <w:rFonts w:ascii="Arial" w:hAnsi="Arial" w:cs="Arial"/>
          <w:lang w:val="en-GB"/>
        </w:rPr>
        <w:t xml:space="preserve">The results of the confirmatory factor analysis of the extracted factors presented in Figure 8 shows that the hypothesized nine factor model fit the data well. This result indicated that there </w:t>
      </w:r>
      <w:r w:rsidR="009B624C" w:rsidRPr="00853168">
        <w:rPr>
          <w:rFonts w:ascii="Arial" w:hAnsi="Arial" w:cs="Arial"/>
          <w:lang w:val="en-GB"/>
        </w:rPr>
        <w:t>is</w:t>
      </w:r>
      <w:r w:rsidRPr="00853168">
        <w:rPr>
          <w:rFonts w:ascii="Arial" w:hAnsi="Arial" w:cs="Arial"/>
          <w:lang w:val="en-GB"/>
        </w:rPr>
        <w:t xml:space="preserve"> inter-relationship between shea tree ownership as a common resources, shea proceeds shared with others, religion factor, shea ownership by community, shea tree population, extension contact and age factor, size of land on which shea tree grows, experience on shea trading and shea trees and land ownership in Nigeria. In addition, the research found out that shea tree is perceived as a common resources which could be </w:t>
      </w:r>
      <w:r w:rsidRPr="00853168">
        <w:rPr>
          <w:rFonts w:ascii="Arial" w:hAnsi="Arial" w:cs="Arial"/>
          <w:lang w:val="en-GB"/>
        </w:rPr>
        <w:lastRenderedPageBreak/>
        <w:t xml:space="preserve">tapped by every member in the community with the consent of either the village head, household head or the husband without religion or age discrimination. However, the proceeds or income generated from the shea activities are usually shared with the village head, household head or husbands and other members in the household. This result is in accordance with the findings of </w:t>
      </w:r>
      <w:proofErr w:type="spellStart"/>
      <w:r w:rsidRPr="00853168">
        <w:rPr>
          <w:rFonts w:ascii="Arial" w:hAnsi="Arial" w:cs="Arial"/>
          <w:lang w:val="en-GB"/>
        </w:rPr>
        <w:t>Kousseau</w:t>
      </w:r>
      <w:proofErr w:type="spellEnd"/>
      <w:r w:rsidRPr="00853168">
        <w:rPr>
          <w:rFonts w:ascii="Arial" w:hAnsi="Arial" w:cs="Arial"/>
          <w:lang w:val="en-GB"/>
        </w:rPr>
        <w:t xml:space="preserve"> </w:t>
      </w:r>
      <w:r w:rsidRPr="00853168">
        <w:rPr>
          <w:rFonts w:ascii="Arial" w:hAnsi="Arial" w:cs="Arial"/>
          <w:i/>
          <w:lang w:val="en-GB"/>
        </w:rPr>
        <w:t>et al</w:t>
      </w:r>
      <w:r w:rsidRPr="00853168">
        <w:rPr>
          <w:rFonts w:ascii="Arial" w:hAnsi="Arial" w:cs="Arial"/>
          <w:lang w:val="en-GB"/>
        </w:rPr>
        <w:t>. (2017) who found out that nearly a quarter of women’s personal income from shea are transferred to the husbands which is an indication of men’s successful strategies to change the rules of access to shea trees and to be recognized as the owners of shea trees.</w:t>
      </w:r>
    </w:p>
    <w:p w14:paraId="7B6DD1FB" w14:textId="77777777" w:rsidR="00853168" w:rsidRPr="00853168" w:rsidRDefault="00853168" w:rsidP="00853168">
      <w:pPr>
        <w:pStyle w:val="Body"/>
        <w:spacing w:after="0"/>
        <w:rPr>
          <w:rFonts w:ascii="Arial" w:hAnsi="Arial" w:cs="Arial"/>
          <w:lang w:val="en-GB"/>
        </w:rPr>
      </w:pPr>
    </w:p>
    <w:p w14:paraId="3F1D8B23" w14:textId="77777777" w:rsidR="00853168" w:rsidRPr="00853168" w:rsidRDefault="00853168" w:rsidP="00EF03D6">
      <w:pPr>
        <w:pStyle w:val="Body"/>
        <w:spacing w:after="0"/>
        <w:rPr>
          <w:rFonts w:ascii="Arial" w:hAnsi="Arial" w:cs="Arial"/>
          <w:b/>
          <w:lang w:val="en-GB"/>
        </w:rPr>
      </w:pPr>
      <w:r w:rsidRPr="00853168">
        <w:rPr>
          <w:rFonts w:ascii="Arial" w:hAnsi="Arial" w:cs="Arial"/>
          <w:b/>
          <w:lang w:val="en-GB"/>
        </w:rPr>
        <w:t xml:space="preserve">Table 2: </w:t>
      </w:r>
      <w:r w:rsidRPr="00853168">
        <w:rPr>
          <w:rFonts w:ascii="Arial" w:hAnsi="Arial" w:cs="Arial"/>
          <w:b/>
          <w:bCs/>
          <w:lang w:val="en-GB"/>
        </w:rPr>
        <w:t>Kaiser-Meyer-Olkin measure of sampling adequacy and Bartlett's test of sphericity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192"/>
      </w:tblGrid>
      <w:tr w:rsidR="00853168" w:rsidRPr="00853168" w14:paraId="68B8D373" w14:textId="77777777" w:rsidTr="00611FAD">
        <w:tc>
          <w:tcPr>
            <w:tcW w:w="4675" w:type="dxa"/>
            <w:tcBorders>
              <w:top w:val="single" w:sz="4" w:space="0" w:color="auto"/>
              <w:bottom w:val="single" w:sz="4" w:space="0" w:color="auto"/>
            </w:tcBorders>
          </w:tcPr>
          <w:p w14:paraId="6B6F886B"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Analysis</w:t>
            </w:r>
          </w:p>
        </w:tc>
        <w:tc>
          <w:tcPr>
            <w:tcW w:w="4675" w:type="dxa"/>
            <w:tcBorders>
              <w:top w:val="single" w:sz="4" w:space="0" w:color="auto"/>
              <w:bottom w:val="single" w:sz="4" w:space="0" w:color="auto"/>
            </w:tcBorders>
          </w:tcPr>
          <w:p w14:paraId="30D14E62"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Value</w:t>
            </w:r>
          </w:p>
        </w:tc>
      </w:tr>
      <w:tr w:rsidR="00853168" w:rsidRPr="00853168" w14:paraId="36CAC05E" w14:textId="77777777" w:rsidTr="00611FAD">
        <w:tc>
          <w:tcPr>
            <w:tcW w:w="4675" w:type="dxa"/>
            <w:tcBorders>
              <w:top w:val="single" w:sz="4" w:space="0" w:color="auto"/>
            </w:tcBorders>
          </w:tcPr>
          <w:p w14:paraId="1594D86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KMO</w:t>
            </w:r>
          </w:p>
        </w:tc>
        <w:tc>
          <w:tcPr>
            <w:tcW w:w="4675" w:type="dxa"/>
            <w:tcBorders>
              <w:top w:val="single" w:sz="4" w:space="0" w:color="auto"/>
            </w:tcBorders>
          </w:tcPr>
          <w:p w14:paraId="0A3F3B1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0.577</w:t>
            </w:r>
          </w:p>
        </w:tc>
      </w:tr>
      <w:tr w:rsidR="00853168" w:rsidRPr="00853168" w14:paraId="50299191" w14:textId="77777777" w:rsidTr="00611FAD">
        <w:tc>
          <w:tcPr>
            <w:tcW w:w="4675" w:type="dxa"/>
          </w:tcPr>
          <w:p w14:paraId="1B4295E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Bartlett test: Approx. Chi-square</w:t>
            </w:r>
          </w:p>
        </w:tc>
        <w:tc>
          <w:tcPr>
            <w:tcW w:w="4675" w:type="dxa"/>
          </w:tcPr>
          <w:p w14:paraId="647DFB9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3571</w:t>
            </w:r>
          </w:p>
        </w:tc>
      </w:tr>
      <w:tr w:rsidR="00853168" w:rsidRPr="00853168" w14:paraId="0349BACA" w14:textId="77777777" w:rsidTr="00611FAD">
        <w:tc>
          <w:tcPr>
            <w:tcW w:w="4675" w:type="dxa"/>
          </w:tcPr>
          <w:p w14:paraId="65C24CF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Degrees of freedom</w:t>
            </w:r>
          </w:p>
        </w:tc>
        <w:tc>
          <w:tcPr>
            <w:tcW w:w="4675" w:type="dxa"/>
          </w:tcPr>
          <w:p w14:paraId="6A1002D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276</w:t>
            </w:r>
          </w:p>
        </w:tc>
      </w:tr>
      <w:tr w:rsidR="00853168" w:rsidRPr="00853168" w14:paraId="0B259FE6" w14:textId="77777777" w:rsidTr="00611FAD">
        <w:tc>
          <w:tcPr>
            <w:tcW w:w="4675" w:type="dxa"/>
          </w:tcPr>
          <w:p w14:paraId="3E8F923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Sig.</w:t>
            </w:r>
          </w:p>
        </w:tc>
        <w:tc>
          <w:tcPr>
            <w:tcW w:w="4675" w:type="dxa"/>
          </w:tcPr>
          <w:p w14:paraId="24E89EE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0.000</w:t>
            </w:r>
          </w:p>
        </w:tc>
      </w:tr>
    </w:tbl>
    <w:p w14:paraId="3D73FE11" w14:textId="77777777" w:rsidR="00853168" w:rsidRPr="00853168" w:rsidRDefault="00853168" w:rsidP="00853168">
      <w:pPr>
        <w:pStyle w:val="Body"/>
        <w:spacing w:after="0"/>
        <w:rPr>
          <w:rFonts w:ascii="Arial" w:hAnsi="Arial" w:cs="Arial"/>
          <w:lang w:val="en-GB"/>
        </w:rPr>
      </w:pPr>
      <w:r w:rsidRPr="00853168">
        <w:rPr>
          <w:rFonts w:ascii="Arial" w:hAnsi="Arial" w:cs="Arial"/>
          <w:iCs/>
          <w:lang w:val="en-GB"/>
        </w:rPr>
        <w:t>Source: Field survey, 2020.</w:t>
      </w:r>
    </w:p>
    <w:p w14:paraId="25E69EE7" w14:textId="77777777" w:rsidR="00853168" w:rsidRPr="00853168" w:rsidRDefault="00853168" w:rsidP="00853168">
      <w:pPr>
        <w:pStyle w:val="Body"/>
        <w:spacing w:after="0"/>
        <w:rPr>
          <w:rFonts w:ascii="Arial" w:hAnsi="Arial" w:cs="Arial"/>
          <w:lang w:val="en-GB"/>
        </w:rPr>
      </w:pPr>
    </w:p>
    <w:p w14:paraId="1B6ADDC2" w14:textId="77777777" w:rsidR="00853168" w:rsidRPr="00853168" w:rsidRDefault="00853168" w:rsidP="00853168">
      <w:pPr>
        <w:pStyle w:val="Body"/>
        <w:rPr>
          <w:rFonts w:ascii="Arial" w:hAnsi="Arial" w:cs="Arial"/>
          <w:lang w:val="en-GB"/>
        </w:rPr>
      </w:pPr>
      <w:r w:rsidRPr="00853168">
        <w:rPr>
          <w:rFonts w:ascii="Arial" w:hAnsi="Arial" w:cs="Arial"/>
          <w:noProof/>
          <w:lang w:val="en-GB"/>
        </w:rPr>
        <w:drawing>
          <wp:inline distT="0" distB="0" distL="0" distR="0" wp14:anchorId="6462705A" wp14:editId="2F7D12F9">
            <wp:extent cx="5942330" cy="3571875"/>
            <wp:effectExtent l="0" t="0" r="1270" b="9525"/>
            <wp:docPr id="869998954" name="Picture 86999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341" b="3506"/>
                    <a:stretch/>
                  </pic:blipFill>
                  <pic:spPr bwMode="auto">
                    <a:xfrm>
                      <a:off x="0" y="0"/>
                      <a:ext cx="5943600" cy="3572638"/>
                    </a:xfrm>
                    <a:prstGeom prst="rect">
                      <a:avLst/>
                    </a:prstGeom>
                    <a:noFill/>
                    <a:ln>
                      <a:noFill/>
                    </a:ln>
                    <a:extLst>
                      <a:ext uri="{53640926-AAD7-44D8-BBD7-CCE9431645EC}">
                        <a14:shadowObscured xmlns:a14="http://schemas.microsoft.com/office/drawing/2010/main"/>
                      </a:ext>
                    </a:extLst>
                  </pic:spPr>
                </pic:pic>
              </a:graphicData>
            </a:graphic>
          </wp:inline>
        </w:drawing>
      </w:r>
    </w:p>
    <w:p w14:paraId="6DCA2D25" w14:textId="77777777" w:rsidR="00853168" w:rsidRPr="00853168" w:rsidRDefault="00853168" w:rsidP="00853168">
      <w:pPr>
        <w:pStyle w:val="Body"/>
        <w:spacing w:after="0"/>
        <w:rPr>
          <w:rFonts w:ascii="Arial" w:hAnsi="Arial" w:cs="Arial"/>
          <w:bCs/>
          <w:iCs/>
          <w:lang w:val="en-GB"/>
        </w:rPr>
      </w:pPr>
      <w:r w:rsidRPr="00853168">
        <w:rPr>
          <w:rFonts w:ascii="Arial" w:hAnsi="Arial" w:cs="Arial"/>
          <w:iCs/>
          <w:lang w:val="en-GB"/>
        </w:rPr>
        <w:t xml:space="preserve">Figure 6: </w:t>
      </w:r>
      <w:r w:rsidRPr="00853168">
        <w:rPr>
          <w:rFonts w:ascii="Arial" w:hAnsi="Arial" w:cs="Arial"/>
          <w:bCs/>
          <w:iCs/>
          <w:lang w:val="en-GB"/>
        </w:rPr>
        <w:t>Scree plot of retained factors.</w:t>
      </w:r>
    </w:p>
    <w:p w14:paraId="0032E433" w14:textId="77777777" w:rsidR="00853168" w:rsidRPr="00853168" w:rsidRDefault="00853168" w:rsidP="00853168">
      <w:pPr>
        <w:pStyle w:val="Body"/>
        <w:rPr>
          <w:rFonts w:ascii="Arial" w:hAnsi="Arial" w:cs="Arial"/>
          <w:b/>
          <w:lang w:val="en-GB"/>
        </w:rPr>
      </w:pPr>
    </w:p>
    <w:p w14:paraId="3B692077" w14:textId="77777777" w:rsidR="00853168" w:rsidRPr="00853168" w:rsidRDefault="00853168" w:rsidP="00853168">
      <w:pPr>
        <w:pStyle w:val="Body"/>
        <w:rPr>
          <w:rFonts w:ascii="Arial" w:hAnsi="Arial" w:cs="Arial"/>
          <w:b/>
          <w:lang w:val="en-GB"/>
        </w:rPr>
      </w:pPr>
      <w:r w:rsidRPr="00853168">
        <w:rPr>
          <w:rFonts w:ascii="Arial" w:hAnsi="Arial" w:cs="Arial"/>
          <w:b/>
          <w:lang w:val="en-GB"/>
        </w:rPr>
        <w:t xml:space="preserve">Table 3: </w:t>
      </w:r>
      <w:r w:rsidRPr="00853168">
        <w:rPr>
          <w:rFonts w:ascii="Arial" w:hAnsi="Arial" w:cs="Arial"/>
          <w:b/>
          <w:bCs/>
          <w:lang w:val="en-GB"/>
        </w:rPr>
        <w:t>Principal components of inter-relationship between ownership, gender, religion and social factors</w:t>
      </w:r>
    </w:p>
    <w:tbl>
      <w:tblPr>
        <w:tblStyle w:val="TableGrid"/>
        <w:tblW w:w="9455" w:type="dxa"/>
        <w:tblLook w:val="04A0" w:firstRow="1" w:lastRow="0" w:firstColumn="1" w:lastColumn="0" w:noHBand="0" w:noVBand="1"/>
      </w:tblPr>
      <w:tblGrid>
        <w:gridCol w:w="3675"/>
        <w:gridCol w:w="4659"/>
        <w:gridCol w:w="1121"/>
      </w:tblGrid>
      <w:tr w:rsidR="00853168" w:rsidRPr="00853168" w14:paraId="2F705546" w14:textId="77777777" w:rsidTr="00611FAD">
        <w:tc>
          <w:tcPr>
            <w:tcW w:w="3690" w:type="dxa"/>
            <w:tcBorders>
              <w:top w:val="single" w:sz="4" w:space="0" w:color="auto"/>
              <w:left w:val="nil"/>
              <w:bottom w:val="single" w:sz="4" w:space="0" w:color="auto"/>
              <w:right w:val="nil"/>
            </w:tcBorders>
          </w:tcPr>
          <w:p w14:paraId="4B0F47F4"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Latent Factors</w:t>
            </w:r>
          </w:p>
        </w:tc>
        <w:tc>
          <w:tcPr>
            <w:tcW w:w="4680" w:type="dxa"/>
            <w:tcBorders>
              <w:top w:val="single" w:sz="4" w:space="0" w:color="auto"/>
              <w:left w:val="nil"/>
              <w:bottom w:val="single" w:sz="4" w:space="0" w:color="auto"/>
              <w:right w:val="nil"/>
            </w:tcBorders>
          </w:tcPr>
          <w:p w14:paraId="244831E3" w14:textId="375CC16A" w:rsidR="00853168" w:rsidRPr="00853168" w:rsidRDefault="009B624C" w:rsidP="00853168">
            <w:pPr>
              <w:pStyle w:val="Body"/>
              <w:spacing w:after="0"/>
              <w:rPr>
                <w:rFonts w:ascii="Arial" w:hAnsi="Arial" w:cs="Arial"/>
                <w:b/>
                <w:lang w:val="en-GB"/>
              </w:rPr>
            </w:pPr>
            <w:r w:rsidRPr="00853168">
              <w:rPr>
                <w:rFonts w:ascii="Arial" w:hAnsi="Arial" w:cs="Arial"/>
                <w:b/>
                <w:lang w:val="en-GB"/>
              </w:rPr>
              <w:t>Observed variables</w:t>
            </w:r>
          </w:p>
        </w:tc>
        <w:tc>
          <w:tcPr>
            <w:tcW w:w="1085" w:type="dxa"/>
            <w:tcBorders>
              <w:top w:val="single" w:sz="4" w:space="0" w:color="auto"/>
              <w:left w:val="nil"/>
              <w:bottom w:val="single" w:sz="4" w:space="0" w:color="auto"/>
              <w:right w:val="nil"/>
            </w:tcBorders>
          </w:tcPr>
          <w:p w14:paraId="00AE8791"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 xml:space="preserve">Factors </w:t>
            </w:r>
          </w:p>
          <w:p w14:paraId="42937EB2" w14:textId="77777777" w:rsidR="00853168" w:rsidRPr="00853168" w:rsidRDefault="00853168" w:rsidP="00853168">
            <w:pPr>
              <w:pStyle w:val="Body"/>
              <w:spacing w:after="0"/>
              <w:rPr>
                <w:rFonts w:ascii="Arial" w:hAnsi="Arial" w:cs="Arial"/>
                <w:b/>
                <w:lang w:val="en-GB"/>
              </w:rPr>
            </w:pPr>
            <w:r w:rsidRPr="00853168">
              <w:rPr>
                <w:rFonts w:ascii="Arial" w:hAnsi="Arial" w:cs="Arial"/>
                <w:b/>
                <w:lang w:val="en-GB"/>
              </w:rPr>
              <w:t>loadings</w:t>
            </w:r>
          </w:p>
        </w:tc>
      </w:tr>
      <w:tr w:rsidR="00853168" w:rsidRPr="00853168" w14:paraId="7289085B" w14:textId="77777777" w:rsidTr="00611FAD">
        <w:tc>
          <w:tcPr>
            <w:tcW w:w="3690" w:type="dxa"/>
            <w:vMerge w:val="restart"/>
            <w:tcBorders>
              <w:top w:val="single" w:sz="4" w:space="0" w:color="auto"/>
              <w:left w:val="nil"/>
              <w:bottom w:val="nil"/>
              <w:right w:val="nil"/>
            </w:tcBorders>
          </w:tcPr>
          <w:p w14:paraId="03841E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lastRenderedPageBreak/>
              <w:t>Shea tree ownership as a common resources</w:t>
            </w:r>
          </w:p>
        </w:tc>
        <w:tc>
          <w:tcPr>
            <w:tcW w:w="4680" w:type="dxa"/>
            <w:tcBorders>
              <w:top w:val="single" w:sz="4" w:space="0" w:color="auto"/>
              <w:left w:val="nil"/>
              <w:bottom w:val="nil"/>
              <w:right w:val="nil"/>
            </w:tcBorders>
          </w:tcPr>
          <w:p w14:paraId="7EA10C9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Taking permission before picking shea nuts</w:t>
            </w:r>
          </w:p>
        </w:tc>
        <w:tc>
          <w:tcPr>
            <w:tcW w:w="1085" w:type="dxa"/>
            <w:tcBorders>
              <w:top w:val="single" w:sz="4" w:space="0" w:color="auto"/>
              <w:left w:val="nil"/>
              <w:bottom w:val="nil"/>
              <w:right w:val="nil"/>
            </w:tcBorders>
          </w:tcPr>
          <w:p w14:paraId="036C731E"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0.793</w:t>
            </w:r>
          </w:p>
        </w:tc>
      </w:tr>
      <w:tr w:rsidR="00853168" w:rsidRPr="00853168" w14:paraId="24B29BCE" w14:textId="77777777" w:rsidTr="00611FAD">
        <w:tc>
          <w:tcPr>
            <w:tcW w:w="3690" w:type="dxa"/>
            <w:vMerge/>
            <w:tcBorders>
              <w:top w:val="nil"/>
              <w:left w:val="nil"/>
              <w:bottom w:val="nil"/>
              <w:right w:val="nil"/>
            </w:tcBorders>
          </w:tcPr>
          <w:p w14:paraId="0E128FAF"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nil"/>
              <w:right w:val="nil"/>
            </w:tcBorders>
          </w:tcPr>
          <w:p w14:paraId="791EF38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Ownership of shea tree outside the household</w:t>
            </w:r>
          </w:p>
        </w:tc>
        <w:tc>
          <w:tcPr>
            <w:tcW w:w="1085" w:type="dxa"/>
            <w:tcBorders>
              <w:top w:val="nil"/>
              <w:left w:val="nil"/>
              <w:bottom w:val="nil"/>
              <w:right w:val="nil"/>
            </w:tcBorders>
          </w:tcPr>
          <w:p w14:paraId="337182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0.590</w:t>
            </w:r>
          </w:p>
        </w:tc>
      </w:tr>
      <w:tr w:rsidR="00853168" w:rsidRPr="00853168" w14:paraId="66FA3048" w14:textId="77777777" w:rsidTr="00611FAD">
        <w:tc>
          <w:tcPr>
            <w:tcW w:w="3690" w:type="dxa"/>
            <w:vMerge/>
            <w:tcBorders>
              <w:top w:val="nil"/>
              <w:left w:val="nil"/>
              <w:bottom w:val="single" w:sz="4" w:space="0" w:color="auto"/>
              <w:right w:val="nil"/>
            </w:tcBorders>
          </w:tcPr>
          <w:p w14:paraId="730FF850"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46B60408"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people that collect shea from the same tree with the pickers</w:t>
            </w:r>
          </w:p>
        </w:tc>
        <w:tc>
          <w:tcPr>
            <w:tcW w:w="1085" w:type="dxa"/>
            <w:tcBorders>
              <w:top w:val="nil"/>
              <w:left w:val="nil"/>
              <w:bottom w:val="single" w:sz="4" w:space="0" w:color="auto"/>
              <w:right w:val="nil"/>
            </w:tcBorders>
          </w:tcPr>
          <w:p w14:paraId="4FC5813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0.432</w:t>
            </w:r>
          </w:p>
        </w:tc>
      </w:tr>
      <w:tr w:rsidR="00853168" w:rsidRPr="00853168" w14:paraId="74F7FB44" w14:textId="77777777" w:rsidTr="00611FAD">
        <w:tc>
          <w:tcPr>
            <w:tcW w:w="3690" w:type="dxa"/>
            <w:vMerge w:val="restart"/>
            <w:tcBorders>
              <w:top w:val="single" w:sz="4" w:space="0" w:color="auto"/>
              <w:left w:val="nil"/>
              <w:bottom w:val="nil"/>
              <w:right w:val="nil"/>
            </w:tcBorders>
          </w:tcPr>
          <w:p w14:paraId="271B21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proceeds shared with others</w:t>
            </w:r>
          </w:p>
        </w:tc>
        <w:tc>
          <w:tcPr>
            <w:tcW w:w="4680" w:type="dxa"/>
            <w:tcBorders>
              <w:top w:val="single" w:sz="4" w:space="0" w:color="auto"/>
              <w:left w:val="nil"/>
              <w:bottom w:val="nil"/>
              <w:right w:val="nil"/>
            </w:tcBorders>
          </w:tcPr>
          <w:p w14:paraId="56D4D88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Ratio of the shea proceeds share</w:t>
            </w:r>
          </w:p>
        </w:tc>
        <w:tc>
          <w:tcPr>
            <w:tcW w:w="1085" w:type="dxa"/>
            <w:tcBorders>
              <w:top w:val="single" w:sz="4" w:space="0" w:color="auto"/>
              <w:left w:val="nil"/>
              <w:bottom w:val="nil"/>
              <w:right w:val="nil"/>
            </w:tcBorders>
          </w:tcPr>
          <w:p w14:paraId="3E844FD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0.837</w:t>
            </w:r>
          </w:p>
        </w:tc>
      </w:tr>
      <w:tr w:rsidR="00853168" w:rsidRPr="00853168" w14:paraId="49E1CEAE" w14:textId="77777777" w:rsidTr="00611FAD">
        <w:tc>
          <w:tcPr>
            <w:tcW w:w="3690" w:type="dxa"/>
            <w:vMerge/>
            <w:tcBorders>
              <w:top w:val="nil"/>
              <w:left w:val="nil"/>
              <w:bottom w:val="single" w:sz="4" w:space="0" w:color="auto"/>
              <w:right w:val="nil"/>
            </w:tcBorders>
          </w:tcPr>
          <w:p w14:paraId="686F4BD3"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10BCBBB1"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What happens to the proceeds obtained from shea nuts activities</w:t>
            </w:r>
          </w:p>
        </w:tc>
        <w:tc>
          <w:tcPr>
            <w:tcW w:w="1085" w:type="dxa"/>
            <w:tcBorders>
              <w:top w:val="nil"/>
              <w:left w:val="nil"/>
              <w:bottom w:val="single" w:sz="4" w:space="0" w:color="auto"/>
              <w:right w:val="nil"/>
            </w:tcBorders>
          </w:tcPr>
          <w:p w14:paraId="33792734"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0.543</w:t>
            </w:r>
          </w:p>
        </w:tc>
      </w:tr>
      <w:tr w:rsidR="00853168" w:rsidRPr="00853168" w14:paraId="4C5A3C12" w14:textId="77777777" w:rsidTr="00611FAD">
        <w:tc>
          <w:tcPr>
            <w:tcW w:w="3690" w:type="dxa"/>
            <w:vMerge w:val="restart"/>
            <w:tcBorders>
              <w:top w:val="single" w:sz="4" w:space="0" w:color="auto"/>
              <w:left w:val="nil"/>
              <w:bottom w:val="nil"/>
              <w:right w:val="nil"/>
            </w:tcBorders>
          </w:tcPr>
          <w:p w14:paraId="76C2CC6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Religion factor</w:t>
            </w:r>
          </w:p>
        </w:tc>
        <w:tc>
          <w:tcPr>
            <w:tcW w:w="4680" w:type="dxa"/>
            <w:tcBorders>
              <w:top w:val="single" w:sz="4" w:space="0" w:color="auto"/>
              <w:left w:val="nil"/>
              <w:bottom w:val="nil"/>
              <w:right w:val="nil"/>
            </w:tcBorders>
          </w:tcPr>
          <w:p w14:paraId="2A28EB3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Religion</w:t>
            </w:r>
          </w:p>
        </w:tc>
        <w:tc>
          <w:tcPr>
            <w:tcW w:w="1085" w:type="dxa"/>
            <w:tcBorders>
              <w:top w:val="single" w:sz="4" w:space="0" w:color="auto"/>
              <w:left w:val="nil"/>
              <w:bottom w:val="nil"/>
              <w:right w:val="nil"/>
            </w:tcBorders>
          </w:tcPr>
          <w:p w14:paraId="7ED4FF7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0.961</w:t>
            </w:r>
          </w:p>
        </w:tc>
      </w:tr>
      <w:tr w:rsidR="00853168" w:rsidRPr="00853168" w14:paraId="4341832C" w14:textId="77777777" w:rsidTr="00611FAD">
        <w:tc>
          <w:tcPr>
            <w:tcW w:w="3690" w:type="dxa"/>
            <w:vMerge/>
            <w:tcBorders>
              <w:top w:val="nil"/>
              <w:left w:val="nil"/>
              <w:bottom w:val="single" w:sz="4" w:space="0" w:color="auto"/>
              <w:right w:val="nil"/>
            </w:tcBorders>
          </w:tcPr>
          <w:p w14:paraId="3CBF5A7A"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13FECF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Leased land</w:t>
            </w:r>
          </w:p>
        </w:tc>
        <w:tc>
          <w:tcPr>
            <w:tcW w:w="1085" w:type="dxa"/>
            <w:tcBorders>
              <w:top w:val="nil"/>
              <w:left w:val="nil"/>
              <w:bottom w:val="single" w:sz="4" w:space="0" w:color="auto"/>
              <w:right w:val="nil"/>
            </w:tcBorders>
          </w:tcPr>
          <w:p w14:paraId="316322F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0.512</w:t>
            </w:r>
          </w:p>
        </w:tc>
      </w:tr>
      <w:tr w:rsidR="00853168" w:rsidRPr="00853168" w14:paraId="511F4636" w14:textId="77777777" w:rsidTr="00611FAD">
        <w:tc>
          <w:tcPr>
            <w:tcW w:w="3690" w:type="dxa"/>
            <w:tcBorders>
              <w:top w:val="single" w:sz="4" w:space="0" w:color="auto"/>
              <w:left w:val="nil"/>
              <w:bottom w:val="single" w:sz="4" w:space="0" w:color="auto"/>
              <w:right w:val="nil"/>
            </w:tcBorders>
          </w:tcPr>
          <w:p w14:paraId="43520B3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Shea ownership by Community </w:t>
            </w:r>
          </w:p>
        </w:tc>
        <w:tc>
          <w:tcPr>
            <w:tcW w:w="4680" w:type="dxa"/>
            <w:tcBorders>
              <w:top w:val="single" w:sz="4" w:space="0" w:color="auto"/>
              <w:left w:val="nil"/>
              <w:bottom w:val="single" w:sz="4" w:space="0" w:color="auto"/>
              <w:right w:val="nil"/>
            </w:tcBorders>
          </w:tcPr>
          <w:p w14:paraId="3D855430"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ownership by Community</w:t>
            </w:r>
          </w:p>
        </w:tc>
        <w:tc>
          <w:tcPr>
            <w:tcW w:w="1085" w:type="dxa"/>
            <w:tcBorders>
              <w:top w:val="single" w:sz="4" w:space="0" w:color="auto"/>
              <w:left w:val="nil"/>
              <w:bottom w:val="single" w:sz="4" w:space="0" w:color="auto"/>
              <w:right w:val="nil"/>
            </w:tcBorders>
          </w:tcPr>
          <w:p w14:paraId="3EFB7E0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0.858</w:t>
            </w:r>
          </w:p>
        </w:tc>
      </w:tr>
      <w:tr w:rsidR="00853168" w:rsidRPr="00853168" w14:paraId="46D9A141" w14:textId="77777777" w:rsidTr="00611FAD">
        <w:tc>
          <w:tcPr>
            <w:tcW w:w="3690" w:type="dxa"/>
            <w:vMerge w:val="restart"/>
            <w:tcBorders>
              <w:top w:val="single" w:sz="4" w:space="0" w:color="auto"/>
              <w:left w:val="nil"/>
              <w:bottom w:val="nil"/>
              <w:right w:val="nil"/>
            </w:tcBorders>
          </w:tcPr>
          <w:p w14:paraId="37D553C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Shea tree population </w:t>
            </w:r>
          </w:p>
        </w:tc>
        <w:tc>
          <w:tcPr>
            <w:tcW w:w="4680" w:type="dxa"/>
            <w:tcBorders>
              <w:top w:val="single" w:sz="4" w:space="0" w:color="auto"/>
              <w:left w:val="nil"/>
              <w:bottom w:val="nil"/>
              <w:right w:val="nil"/>
            </w:tcBorders>
          </w:tcPr>
          <w:p w14:paraId="0DFB715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shea tree use that grows on cultivated land</w:t>
            </w:r>
          </w:p>
        </w:tc>
        <w:tc>
          <w:tcPr>
            <w:tcW w:w="1085" w:type="dxa"/>
            <w:tcBorders>
              <w:top w:val="single" w:sz="4" w:space="0" w:color="auto"/>
              <w:left w:val="nil"/>
              <w:bottom w:val="nil"/>
              <w:right w:val="nil"/>
            </w:tcBorders>
          </w:tcPr>
          <w:p w14:paraId="023859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0.967</w:t>
            </w:r>
          </w:p>
        </w:tc>
      </w:tr>
      <w:tr w:rsidR="00853168" w:rsidRPr="00853168" w14:paraId="3F49B96F" w14:textId="77777777" w:rsidTr="00611FAD">
        <w:tc>
          <w:tcPr>
            <w:tcW w:w="3690" w:type="dxa"/>
            <w:vMerge/>
            <w:tcBorders>
              <w:top w:val="nil"/>
              <w:left w:val="nil"/>
              <w:bottom w:val="single" w:sz="4" w:space="0" w:color="auto"/>
              <w:right w:val="nil"/>
            </w:tcBorders>
          </w:tcPr>
          <w:p w14:paraId="260C12A9"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383491E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shea tree use that grows on uncultivated land</w:t>
            </w:r>
          </w:p>
        </w:tc>
        <w:tc>
          <w:tcPr>
            <w:tcW w:w="1085" w:type="dxa"/>
            <w:tcBorders>
              <w:top w:val="nil"/>
              <w:left w:val="nil"/>
              <w:bottom w:val="single" w:sz="4" w:space="0" w:color="auto"/>
              <w:right w:val="nil"/>
            </w:tcBorders>
          </w:tcPr>
          <w:p w14:paraId="53CECAD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0.542</w:t>
            </w:r>
          </w:p>
        </w:tc>
      </w:tr>
      <w:tr w:rsidR="00853168" w:rsidRPr="00853168" w14:paraId="11A7E030" w14:textId="77777777" w:rsidTr="00611FAD">
        <w:tc>
          <w:tcPr>
            <w:tcW w:w="3690" w:type="dxa"/>
            <w:vMerge w:val="restart"/>
            <w:tcBorders>
              <w:top w:val="single" w:sz="4" w:space="0" w:color="auto"/>
              <w:left w:val="nil"/>
              <w:bottom w:val="nil"/>
              <w:right w:val="nil"/>
            </w:tcBorders>
          </w:tcPr>
          <w:p w14:paraId="0A5BAAC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Extension contact and age factors</w:t>
            </w:r>
          </w:p>
        </w:tc>
        <w:tc>
          <w:tcPr>
            <w:tcW w:w="4680" w:type="dxa"/>
            <w:tcBorders>
              <w:top w:val="single" w:sz="4" w:space="0" w:color="auto"/>
              <w:left w:val="nil"/>
              <w:bottom w:val="nil"/>
              <w:right w:val="nil"/>
            </w:tcBorders>
          </w:tcPr>
          <w:p w14:paraId="79B414E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Number of extension visit</w:t>
            </w:r>
          </w:p>
        </w:tc>
        <w:tc>
          <w:tcPr>
            <w:tcW w:w="1085" w:type="dxa"/>
            <w:tcBorders>
              <w:top w:val="single" w:sz="4" w:space="0" w:color="auto"/>
              <w:left w:val="nil"/>
              <w:bottom w:val="nil"/>
              <w:right w:val="nil"/>
            </w:tcBorders>
          </w:tcPr>
          <w:p w14:paraId="0C9380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0.703</w:t>
            </w:r>
          </w:p>
        </w:tc>
      </w:tr>
      <w:tr w:rsidR="00853168" w:rsidRPr="00853168" w14:paraId="61F02142" w14:textId="77777777" w:rsidTr="00611FAD">
        <w:tc>
          <w:tcPr>
            <w:tcW w:w="3690" w:type="dxa"/>
            <w:vMerge/>
            <w:tcBorders>
              <w:top w:val="nil"/>
              <w:left w:val="nil"/>
              <w:bottom w:val="single" w:sz="4" w:space="0" w:color="auto"/>
              <w:right w:val="nil"/>
            </w:tcBorders>
          </w:tcPr>
          <w:p w14:paraId="7050559F"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54F199D7"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Age of the actor</w:t>
            </w:r>
          </w:p>
        </w:tc>
        <w:tc>
          <w:tcPr>
            <w:tcW w:w="1085" w:type="dxa"/>
            <w:tcBorders>
              <w:top w:val="nil"/>
              <w:left w:val="nil"/>
              <w:bottom w:val="single" w:sz="4" w:space="0" w:color="auto"/>
              <w:right w:val="nil"/>
            </w:tcBorders>
          </w:tcPr>
          <w:p w14:paraId="53A7A84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0.483</w:t>
            </w:r>
          </w:p>
        </w:tc>
      </w:tr>
      <w:tr w:rsidR="00853168" w:rsidRPr="00853168" w14:paraId="6FD7EF5B" w14:textId="77777777" w:rsidTr="00611FAD">
        <w:tc>
          <w:tcPr>
            <w:tcW w:w="3690" w:type="dxa"/>
            <w:vMerge w:val="restart"/>
            <w:tcBorders>
              <w:top w:val="single" w:sz="4" w:space="0" w:color="auto"/>
              <w:left w:val="nil"/>
              <w:bottom w:val="nil"/>
              <w:right w:val="nil"/>
            </w:tcBorders>
          </w:tcPr>
          <w:p w14:paraId="5438BCEA"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Size of land on which shea tree grows</w:t>
            </w:r>
          </w:p>
        </w:tc>
        <w:tc>
          <w:tcPr>
            <w:tcW w:w="4680" w:type="dxa"/>
            <w:tcBorders>
              <w:top w:val="single" w:sz="4" w:space="0" w:color="auto"/>
              <w:left w:val="nil"/>
              <w:bottom w:val="nil"/>
              <w:right w:val="nil"/>
            </w:tcBorders>
          </w:tcPr>
          <w:p w14:paraId="1FB431F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Size of self-owned land on which shea tree grows</w:t>
            </w:r>
          </w:p>
        </w:tc>
        <w:tc>
          <w:tcPr>
            <w:tcW w:w="1085" w:type="dxa"/>
            <w:tcBorders>
              <w:top w:val="single" w:sz="4" w:space="0" w:color="auto"/>
              <w:left w:val="nil"/>
              <w:bottom w:val="nil"/>
              <w:right w:val="nil"/>
            </w:tcBorders>
          </w:tcPr>
          <w:p w14:paraId="5EEE1CE9"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0.573</w:t>
            </w:r>
          </w:p>
        </w:tc>
      </w:tr>
      <w:tr w:rsidR="00853168" w:rsidRPr="00853168" w14:paraId="49BB5370" w14:textId="77777777" w:rsidTr="00611FAD">
        <w:tc>
          <w:tcPr>
            <w:tcW w:w="3690" w:type="dxa"/>
            <w:vMerge/>
            <w:tcBorders>
              <w:top w:val="nil"/>
              <w:left w:val="nil"/>
              <w:bottom w:val="single" w:sz="4" w:space="0" w:color="auto"/>
              <w:right w:val="nil"/>
            </w:tcBorders>
          </w:tcPr>
          <w:p w14:paraId="4A0678A9"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754FB5F2"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Size of household owned land on which shea tree grows</w:t>
            </w:r>
          </w:p>
        </w:tc>
        <w:tc>
          <w:tcPr>
            <w:tcW w:w="1085" w:type="dxa"/>
            <w:tcBorders>
              <w:top w:val="nil"/>
              <w:left w:val="nil"/>
              <w:bottom w:val="single" w:sz="4" w:space="0" w:color="auto"/>
              <w:right w:val="nil"/>
            </w:tcBorders>
          </w:tcPr>
          <w:p w14:paraId="0E03FAD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0.480</w:t>
            </w:r>
          </w:p>
        </w:tc>
      </w:tr>
      <w:tr w:rsidR="00853168" w:rsidRPr="00853168" w14:paraId="31C29A56" w14:textId="77777777" w:rsidTr="00611FAD">
        <w:tc>
          <w:tcPr>
            <w:tcW w:w="3690" w:type="dxa"/>
            <w:tcBorders>
              <w:top w:val="single" w:sz="4" w:space="0" w:color="auto"/>
              <w:left w:val="nil"/>
              <w:bottom w:val="single" w:sz="4" w:space="0" w:color="auto"/>
              <w:right w:val="nil"/>
            </w:tcBorders>
          </w:tcPr>
          <w:p w14:paraId="327CCC2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Experience on shea trading</w:t>
            </w:r>
          </w:p>
        </w:tc>
        <w:tc>
          <w:tcPr>
            <w:tcW w:w="4680" w:type="dxa"/>
            <w:tcBorders>
              <w:top w:val="single" w:sz="4" w:space="0" w:color="auto"/>
              <w:left w:val="nil"/>
              <w:bottom w:val="single" w:sz="4" w:space="0" w:color="auto"/>
              <w:right w:val="nil"/>
            </w:tcBorders>
          </w:tcPr>
          <w:p w14:paraId="78B0AD2F"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Years of experience in shea nut/butter trading</w:t>
            </w:r>
          </w:p>
        </w:tc>
        <w:tc>
          <w:tcPr>
            <w:tcW w:w="1085" w:type="dxa"/>
            <w:tcBorders>
              <w:top w:val="single" w:sz="4" w:space="0" w:color="auto"/>
              <w:left w:val="nil"/>
              <w:bottom w:val="single" w:sz="4" w:space="0" w:color="auto"/>
              <w:right w:val="nil"/>
            </w:tcBorders>
          </w:tcPr>
          <w:p w14:paraId="2CF0ED0B"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0.564</w:t>
            </w:r>
          </w:p>
        </w:tc>
      </w:tr>
      <w:tr w:rsidR="00853168" w:rsidRPr="00853168" w14:paraId="260202CA" w14:textId="77777777" w:rsidTr="00611FAD">
        <w:tc>
          <w:tcPr>
            <w:tcW w:w="3690" w:type="dxa"/>
            <w:vMerge w:val="restart"/>
            <w:tcBorders>
              <w:top w:val="single" w:sz="4" w:space="0" w:color="auto"/>
              <w:left w:val="nil"/>
              <w:bottom w:val="nil"/>
              <w:right w:val="nil"/>
            </w:tcBorders>
          </w:tcPr>
          <w:p w14:paraId="11A798D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Shea trees and land ownership</w:t>
            </w:r>
          </w:p>
        </w:tc>
        <w:tc>
          <w:tcPr>
            <w:tcW w:w="4680" w:type="dxa"/>
            <w:tcBorders>
              <w:top w:val="single" w:sz="4" w:space="0" w:color="auto"/>
              <w:left w:val="nil"/>
              <w:bottom w:val="nil"/>
              <w:right w:val="nil"/>
            </w:tcBorders>
          </w:tcPr>
          <w:p w14:paraId="659ED0B5"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Who owns the shea nut trees you use</w:t>
            </w:r>
          </w:p>
        </w:tc>
        <w:tc>
          <w:tcPr>
            <w:tcW w:w="1085" w:type="dxa"/>
            <w:tcBorders>
              <w:top w:val="single" w:sz="4" w:space="0" w:color="auto"/>
              <w:left w:val="nil"/>
              <w:bottom w:val="nil"/>
              <w:right w:val="nil"/>
            </w:tcBorders>
          </w:tcPr>
          <w:p w14:paraId="18B9ABD6"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0.484</w:t>
            </w:r>
          </w:p>
        </w:tc>
      </w:tr>
      <w:tr w:rsidR="00853168" w:rsidRPr="00853168" w14:paraId="5E0966F7" w14:textId="77777777" w:rsidTr="00611FAD">
        <w:tc>
          <w:tcPr>
            <w:tcW w:w="3690" w:type="dxa"/>
            <w:vMerge/>
            <w:tcBorders>
              <w:top w:val="nil"/>
              <w:left w:val="nil"/>
              <w:bottom w:val="single" w:sz="4" w:space="0" w:color="auto"/>
              <w:right w:val="nil"/>
            </w:tcBorders>
          </w:tcPr>
          <w:p w14:paraId="3631D540" w14:textId="77777777" w:rsidR="00853168" w:rsidRPr="00853168" w:rsidRDefault="00853168" w:rsidP="00853168">
            <w:pPr>
              <w:pStyle w:val="Body"/>
              <w:spacing w:after="0"/>
              <w:rPr>
                <w:rFonts w:ascii="Arial" w:hAnsi="Arial" w:cs="Arial"/>
                <w:lang w:val="en-GB"/>
              </w:rPr>
            </w:pPr>
          </w:p>
        </w:tc>
        <w:tc>
          <w:tcPr>
            <w:tcW w:w="4680" w:type="dxa"/>
            <w:tcBorders>
              <w:top w:val="nil"/>
              <w:left w:val="nil"/>
              <w:bottom w:val="single" w:sz="4" w:space="0" w:color="auto"/>
              <w:right w:val="nil"/>
            </w:tcBorders>
          </w:tcPr>
          <w:p w14:paraId="30CED83C"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Other lands</w:t>
            </w:r>
          </w:p>
        </w:tc>
        <w:tc>
          <w:tcPr>
            <w:tcW w:w="1085" w:type="dxa"/>
            <w:tcBorders>
              <w:top w:val="nil"/>
              <w:left w:val="nil"/>
              <w:bottom w:val="single" w:sz="4" w:space="0" w:color="auto"/>
              <w:right w:val="nil"/>
            </w:tcBorders>
          </w:tcPr>
          <w:p w14:paraId="0A4A436D" w14:textId="77777777" w:rsidR="00853168" w:rsidRPr="00853168" w:rsidRDefault="00853168" w:rsidP="00853168">
            <w:pPr>
              <w:pStyle w:val="Body"/>
              <w:spacing w:after="0"/>
              <w:rPr>
                <w:rFonts w:ascii="Arial" w:hAnsi="Arial" w:cs="Arial"/>
                <w:lang w:val="en-GB"/>
              </w:rPr>
            </w:pPr>
            <w:r w:rsidRPr="00853168">
              <w:rPr>
                <w:rFonts w:ascii="Arial" w:hAnsi="Arial" w:cs="Arial"/>
                <w:lang w:val="en-GB"/>
              </w:rPr>
              <w:t>0.416</w:t>
            </w:r>
          </w:p>
        </w:tc>
      </w:tr>
    </w:tbl>
    <w:p w14:paraId="29BFFEAE" w14:textId="77777777" w:rsidR="00853168" w:rsidRPr="00853168" w:rsidRDefault="00853168" w:rsidP="00EF03D6">
      <w:pPr>
        <w:pStyle w:val="Body"/>
        <w:spacing w:after="0"/>
        <w:rPr>
          <w:rFonts w:ascii="Arial" w:hAnsi="Arial" w:cs="Arial"/>
          <w:iCs/>
          <w:lang w:val="en-GB"/>
        </w:rPr>
      </w:pPr>
      <w:r w:rsidRPr="00853168">
        <w:rPr>
          <w:rFonts w:ascii="Arial" w:hAnsi="Arial" w:cs="Arial"/>
          <w:iCs/>
          <w:lang w:val="en-GB"/>
        </w:rPr>
        <w:t>Source: Computed from field survey data, 2020.</w:t>
      </w:r>
    </w:p>
    <w:p w14:paraId="459A10BC" w14:textId="77777777" w:rsidR="00853168" w:rsidRPr="00853168" w:rsidRDefault="00853168" w:rsidP="00EF03D6">
      <w:pPr>
        <w:pStyle w:val="Body"/>
        <w:spacing w:after="0"/>
        <w:rPr>
          <w:rFonts w:ascii="Arial" w:hAnsi="Arial" w:cs="Arial"/>
          <w:iCs/>
          <w:lang w:val="en-GB"/>
        </w:rPr>
      </w:pPr>
      <w:r w:rsidRPr="00853168">
        <w:rPr>
          <w:rFonts w:ascii="Arial" w:hAnsi="Arial" w:cs="Arial"/>
          <w:iCs/>
          <w:lang w:val="en-GB"/>
        </w:rPr>
        <w:t>Extraction method: Principal Component Analysis.</w:t>
      </w:r>
    </w:p>
    <w:p w14:paraId="4280C6A0" w14:textId="77777777" w:rsidR="00853168" w:rsidRPr="00853168" w:rsidRDefault="00853168" w:rsidP="00EF03D6">
      <w:pPr>
        <w:pStyle w:val="Body"/>
        <w:spacing w:after="0"/>
        <w:rPr>
          <w:rFonts w:ascii="Arial" w:hAnsi="Arial" w:cs="Arial"/>
          <w:lang w:val="en-GB"/>
        </w:rPr>
      </w:pPr>
      <w:r w:rsidRPr="00853168">
        <w:rPr>
          <w:rFonts w:ascii="Arial" w:hAnsi="Arial" w:cs="Arial"/>
          <w:iCs/>
          <w:lang w:val="en-GB"/>
        </w:rPr>
        <w:t>Rotation method: varimax with Kaiser Normalization</w:t>
      </w:r>
    </w:p>
    <w:p w14:paraId="6150C928" w14:textId="4256AF6C" w:rsidR="00853168" w:rsidRPr="00853168" w:rsidRDefault="001A1A44" w:rsidP="00853168">
      <w:pPr>
        <w:pStyle w:val="Body"/>
        <w:spacing w:after="0"/>
        <w:rPr>
          <w:rFonts w:ascii="Arial" w:hAnsi="Arial" w:cs="Arial"/>
          <w:lang w:val="en-GB"/>
        </w:rPr>
      </w:pPr>
      <w:r>
        <w:rPr>
          <w:rFonts w:ascii="Arial" w:hAnsi="Arial" w:cs="Arial"/>
          <w:lang w:val="en-GB"/>
        </w:rPr>
        <w:pict w14:anchorId="4B595FAE">
          <v:shape id="Text Box 11" o:spid="_x0000_s1030" type="#_x0000_t202" style="position:absolute;left:0;text-align:left;margin-left:0;margin-top:303.95pt;width:467.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wrapcoords="-35 0 -35 21168 21600 21168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" stroked="f">
            <v:textbox style="mso-fit-shape-to-text:t" inset="0,0,0,0">
              <w:txbxContent>
                <w:p w14:paraId="79C7B90A" w14:textId="77777777" w:rsidR="00853168" w:rsidRPr="00E16B43" w:rsidRDefault="00853168" w:rsidP="00853168">
                  <w:pPr>
                    <w:pStyle w:val="Caption"/>
                    <w:rPr>
                      <w:rFonts w:eastAsia="Times New Roman"/>
                      <w:i w:val="0"/>
                      <w:noProof/>
                      <w:color w:val="auto"/>
                      <w:sz w:val="24"/>
                      <w:szCs w:val="24"/>
                    </w:rPr>
                  </w:pPr>
                  <w:r w:rsidRPr="00E16B43">
                    <w:rPr>
                      <w:i w:val="0"/>
                      <w:color w:val="auto"/>
                      <w:sz w:val="24"/>
                      <w:szCs w:val="24"/>
                    </w:rPr>
                    <w:t xml:space="preserve">Figure </w:t>
                  </w:r>
                  <w:r>
                    <w:rPr>
                      <w:i w:val="0"/>
                      <w:color w:val="auto"/>
                      <w:sz w:val="24"/>
                      <w:szCs w:val="24"/>
                    </w:rPr>
                    <w:t xml:space="preserve">7: </w:t>
                  </w:r>
                  <w:r w:rsidRPr="00ED787D">
                    <w:rPr>
                      <w:rFonts w:cs="Times New Roman"/>
                      <w:bCs/>
                      <w:i w:val="0"/>
                      <w:sz w:val="24"/>
                      <w:szCs w:val="24"/>
                    </w:rPr>
                    <w:t>Confirmatory factor analysis of the extracted factors from the exploratory factor</w:t>
                  </w:r>
                  <w:r>
                    <w:rPr>
                      <w:rFonts w:cs="Times New Roman"/>
                      <w:bCs/>
                      <w:i w:val="0"/>
                      <w:sz w:val="24"/>
                      <w:szCs w:val="24"/>
                    </w:rPr>
                    <w:t xml:space="preserve"> analysis</w:t>
                  </w:r>
                </w:p>
              </w:txbxContent>
            </v:textbox>
            <w10:wrap type="through"/>
          </v:shape>
        </w:pict>
      </w:r>
      <w:r w:rsidR="00853168" w:rsidRPr="00853168">
        <w:rPr>
          <w:rFonts w:ascii="Arial" w:hAnsi="Arial" w:cs="Arial"/>
          <w:noProof/>
          <w:lang w:val="en-GB"/>
        </w:rPr>
        <w:drawing>
          <wp:anchor distT="0" distB="0" distL="114300" distR="114300" simplePos="0" relativeHeight="251659264" behindDoc="0" locked="0" layoutInCell="1" allowOverlap="1" wp14:anchorId="63206602" wp14:editId="6CF64ABE">
            <wp:simplePos x="0" y="0"/>
            <wp:positionH relativeFrom="margin">
              <wp:align>right</wp:align>
            </wp:positionH>
            <wp:positionV relativeFrom="paragraph">
              <wp:posOffset>447675</wp:posOffset>
            </wp:positionV>
            <wp:extent cx="5942330" cy="3355340"/>
            <wp:effectExtent l="0" t="0" r="1270" b="0"/>
            <wp:wrapThrough wrapText="bothSides">
              <wp:wrapPolygon edited="0">
                <wp:start x="0" y="0"/>
                <wp:lineTo x="0" y="21461"/>
                <wp:lineTo x="21535" y="21461"/>
                <wp:lineTo x="215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2330" cy="3355340"/>
                    </a:xfrm>
                    <a:prstGeom prst="rect">
                      <a:avLst/>
                    </a:prstGeom>
                  </pic:spPr>
                </pic:pic>
              </a:graphicData>
            </a:graphic>
            <wp14:sizeRelH relativeFrom="margin">
              <wp14:pctWidth>0</wp14:pctWidth>
            </wp14:sizeRelH>
            <wp14:sizeRelV relativeFrom="margin">
              <wp14:pctHeight>0</wp14:pctHeight>
            </wp14:sizeRelV>
          </wp:anchor>
        </w:drawing>
      </w:r>
    </w:p>
    <w:p w14:paraId="68434D03" w14:textId="77777777" w:rsidR="00376BBE" w:rsidRPr="00F60746" w:rsidRDefault="00376BBE" w:rsidP="00441B6F">
      <w:pPr>
        <w:pStyle w:val="Body"/>
        <w:spacing w:after="0"/>
        <w:rPr>
          <w:rFonts w:ascii="Arial" w:hAnsi="Arial" w:cs="Arial"/>
          <w:lang w:val="en-GB"/>
        </w:rPr>
      </w:pPr>
    </w:p>
    <w:p w14:paraId="59E1F47A" w14:textId="77777777" w:rsidR="00790ADA" w:rsidRPr="00F60746" w:rsidRDefault="00790ADA" w:rsidP="00441B6F">
      <w:pPr>
        <w:pStyle w:val="Body"/>
        <w:spacing w:after="0"/>
        <w:rPr>
          <w:rFonts w:ascii="Arial" w:hAnsi="Arial" w:cs="Arial"/>
          <w:lang w:val="en-GB"/>
        </w:rPr>
      </w:pPr>
    </w:p>
    <w:p w14:paraId="4C6CE21B" w14:textId="77777777" w:rsidR="00B01FCD" w:rsidRPr="00F60746" w:rsidRDefault="00000F8F" w:rsidP="00441B6F">
      <w:pPr>
        <w:pStyle w:val="ConcHead"/>
        <w:spacing w:after="0"/>
        <w:jc w:val="both"/>
        <w:rPr>
          <w:rFonts w:ascii="Arial" w:hAnsi="Arial" w:cs="Arial"/>
          <w:lang w:val="en-GB"/>
        </w:rPr>
      </w:pPr>
      <w:r w:rsidRPr="00F60746">
        <w:rPr>
          <w:rFonts w:ascii="Arial" w:hAnsi="Arial" w:cs="Arial"/>
          <w:lang w:val="en-GB"/>
        </w:rPr>
        <w:lastRenderedPageBreak/>
        <w:t xml:space="preserve">4. </w:t>
      </w:r>
      <w:r w:rsidR="00B01FCD" w:rsidRPr="00F60746">
        <w:rPr>
          <w:rFonts w:ascii="Arial" w:hAnsi="Arial" w:cs="Arial"/>
          <w:lang w:val="en-GB"/>
        </w:rPr>
        <w:t>Conclusion</w:t>
      </w:r>
    </w:p>
    <w:p w14:paraId="082B1455" w14:textId="77777777" w:rsidR="00790ADA" w:rsidRPr="00F60746" w:rsidRDefault="00790ADA" w:rsidP="00441B6F">
      <w:pPr>
        <w:pStyle w:val="ConcHead"/>
        <w:spacing w:after="0"/>
        <w:jc w:val="both"/>
        <w:rPr>
          <w:rFonts w:ascii="Arial" w:hAnsi="Arial" w:cs="Arial"/>
          <w:lang w:val="en-GB"/>
        </w:rPr>
      </w:pPr>
    </w:p>
    <w:p w14:paraId="063545F6" w14:textId="278CB67C" w:rsidR="00853168" w:rsidRPr="00853168" w:rsidRDefault="00853168" w:rsidP="00853168">
      <w:pPr>
        <w:pStyle w:val="Body"/>
        <w:spacing w:after="0"/>
        <w:rPr>
          <w:rFonts w:ascii="Arial" w:hAnsi="Arial" w:cs="Arial"/>
          <w:lang w:val="en-GB"/>
        </w:rPr>
      </w:pPr>
      <w:r w:rsidRPr="00853168">
        <w:rPr>
          <w:rFonts w:ascii="Arial" w:hAnsi="Arial" w:cs="Arial"/>
          <w:lang w:val="en-GB"/>
        </w:rPr>
        <w:t xml:space="preserve">This research concludes that shea is female dominated and they also earn the most income which could </w:t>
      </w:r>
      <w:r w:rsidR="009B624C" w:rsidRPr="00853168">
        <w:rPr>
          <w:rFonts w:ascii="Arial" w:hAnsi="Arial" w:cs="Arial"/>
          <w:lang w:val="en-GB"/>
        </w:rPr>
        <w:t>help</w:t>
      </w:r>
      <w:r w:rsidRPr="00853168">
        <w:rPr>
          <w:rFonts w:ascii="Arial" w:hAnsi="Arial" w:cs="Arial"/>
          <w:lang w:val="en-GB"/>
        </w:rPr>
        <w:t xml:space="preserve"> to empower rural women financially. Most of the shea actors belongs to the two major religions (Islam and Christianity) in the country. More so, shea trees are mostly owned as a common resources in Nigeria. However, married rural people possesses more access and control over shea trees than other members in the community. Furthermore, shea business is very lucrative in Nigeria with mean gross income of N2,514,190.30 which would help the actors to escape the margins of poverty that is common in the rural areas in the country. In addition, the study concludes that there </w:t>
      </w:r>
      <w:r w:rsidR="009B624C" w:rsidRPr="00853168">
        <w:rPr>
          <w:rFonts w:ascii="Arial" w:hAnsi="Arial" w:cs="Arial"/>
          <w:lang w:val="en-GB"/>
        </w:rPr>
        <w:t>is</w:t>
      </w:r>
      <w:r w:rsidRPr="00853168">
        <w:rPr>
          <w:rFonts w:ascii="Arial" w:hAnsi="Arial" w:cs="Arial"/>
          <w:lang w:val="en-GB"/>
        </w:rPr>
        <w:t xml:space="preserve"> inter-relationship between shea tree ownership as a common resources, shea proceeds shared with others, religion factor, shea ownership by community, shea tree population, extension contact and age factor, size of land on which shea tree grows, experience on shea trading and shea trees and land ownership in Nigeria. Based on the findings, the research recommended that women should be given full access and right by the community to gather shea nuts regardless of their marital status and without seeking permission from any member of the community. The sharing of the proceeds or income generated from shea business should be discouraged by the community.</w:t>
      </w:r>
    </w:p>
    <w:p w14:paraId="5D18FE08" w14:textId="77777777" w:rsidR="00790ADA" w:rsidRDefault="00790ADA" w:rsidP="00441B6F">
      <w:pPr>
        <w:pStyle w:val="Body"/>
        <w:spacing w:after="0"/>
        <w:rPr>
          <w:rFonts w:ascii="Arial" w:hAnsi="Arial" w:cs="Arial"/>
          <w:lang w:val="en-GB"/>
        </w:rPr>
      </w:pPr>
    </w:p>
    <w:p w14:paraId="0000D6A0" w14:textId="77777777" w:rsidR="00CF68E3" w:rsidRPr="00F60746" w:rsidRDefault="00CF68E3" w:rsidP="00CF68E3">
      <w:pPr>
        <w:pStyle w:val="AcknHead"/>
        <w:spacing w:after="0"/>
        <w:jc w:val="both"/>
        <w:rPr>
          <w:rFonts w:ascii="Arial" w:hAnsi="Arial" w:cs="Arial"/>
          <w:lang w:val="en-GB"/>
        </w:rPr>
      </w:pPr>
      <w:r w:rsidRPr="00F60746">
        <w:rPr>
          <w:rFonts w:ascii="Arial" w:hAnsi="Arial" w:cs="Arial"/>
          <w:lang w:val="en-GB"/>
        </w:rPr>
        <w:t>AcknowledgEments</w:t>
      </w:r>
    </w:p>
    <w:p w14:paraId="3B3676D7" w14:textId="77777777" w:rsidR="00CF68E3" w:rsidRPr="00F60746" w:rsidRDefault="00CF68E3" w:rsidP="00CF68E3">
      <w:pPr>
        <w:pStyle w:val="AcknHead"/>
        <w:spacing w:after="0"/>
        <w:jc w:val="both"/>
        <w:rPr>
          <w:rFonts w:ascii="Arial" w:hAnsi="Arial" w:cs="Arial"/>
          <w:lang w:val="en-GB"/>
        </w:rPr>
      </w:pPr>
    </w:p>
    <w:p w14:paraId="55D0047A" w14:textId="5C416C5E" w:rsidR="002D5B69" w:rsidRPr="0090424B" w:rsidRDefault="00CF68E3" w:rsidP="009B624C">
      <w:pPr>
        <w:jc w:val="both"/>
        <w:rPr>
          <w:rFonts w:ascii="Arial" w:hAnsi="Arial" w:cs="Arial"/>
          <w:bCs/>
          <w:lang w:val="en-GB"/>
        </w:rPr>
      </w:pPr>
      <w:r w:rsidRPr="0090424B">
        <w:rPr>
          <w:rFonts w:ascii="Arial" w:hAnsi="Arial" w:cs="Arial"/>
          <w:bCs/>
          <w:lang w:val="en-GB"/>
        </w:rPr>
        <w:t xml:space="preserve">The authors wish to acknowledge </w:t>
      </w:r>
      <w:proofErr w:type="spellStart"/>
      <w:r w:rsidRPr="0090424B">
        <w:rPr>
          <w:rFonts w:ascii="Arial" w:hAnsi="Arial" w:cs="Arial"/>
          <w:bCs/>
          <w:lang w:val="en-GB"/>
        </w:rPr>
        <w:t>TETFund</w:t>
      </w:r>
      <w:proofErr w:type="spellEnd"/>
      <w:r w:rsidRPr="0090424B">
        <w:rPr>
          <w:rFonts w:ascii="Arial" w:hAnsi="Arial" w:cs="Arial"/>
          <w:bCs/>
          <w:lang w:val="en-GB"/>
        </w:rPr>
        <w:t xml:space="preserve"> (TETF/DR&amp;D/CE/NRF/STI/03) for providing the grant for the study and Federal University of Technology, Minna Management for the enabling environment to undertake the study.</w:t>
      </w:r>
      <w:r w:rsidR="002D5B69">
        <w:rPr>
          <w:rFonts w:ascii="Arial" w:hAnsi="Arial" w:cs="Arial"/>
          <w:bCs/>
          <w:lang w:val="en-GB"/>
        </w:rPr>
        <w:t xml:space="preserve"> </w:t>
      </w:r>
      <w:r w:rsidR="002D5B69" w:rsidRPr="002D5B69">
        <w:rPr>
          <w:rFonts w:ascii="Arial" w:hAnsi="Arial" w:cs="Arial"/>
          <w:bCs/>
          <w:lang w:val="en-GB"/>
        </w:rPr>
        <w:t>We are grateful to the reviewers for their constructive feedback, which significantly enhanced the quality of this paper.</w:t>
      </w:r>
    </w:p>
    <w:p w14:paraId="55F0552F" w14:textId="77777777" w:rsidR="00CF68E3" w:rsidRPr="00F60746" w:rsidRDefault="00CF68E3" w:rsidP="002D5B69">
      <w:pPr>
        <w:rPr>
          <w:rFonts w:ascii="Arial" w:hAnsi="Arial" w:cs="Arial"/>
          <w:lang w:val="en-GB"/>
        </w:rPr>
      </w:pPr>
    </w:p>
    <w:p w14:paraId="703F7945" w14:textId="77777777" w:rsidR="00794BC8" w:rsidRPr="00CA3906" w:rsidRDefault="00794BC8" w:rsidP="00794BC8">
      <w:pPr>
        <w:rPr>
          <w:b/>
          <w:highlight w:val="yellow"/>
        </w:rPr>
      </w:pPr>
      <w:r w:rsidRPr="00CA3906">
        <w:rPr>
          <w:b/>
          <w:highlight w:val="yellow"/>
        </w:rPr>
        <w:t>Disclaimer (Artificial intelligence)</w:t>
      </w:r>
    </w:p>
    <w:p w14:paraId="4E1C485F" w14:textId="77777777" w:rsidR="00794BC8" w:rsidRPr="00740879" w:rsidRDefault="00794BC8" w:rsidP="00794BC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6E2A62C" w14:textId="77777777" w:rsidR="00315186" w:rsidRPr="00F60746" w:rsidRDefault="00315186" w:rsidP="00441B6F">
      <w:pPr>
        <w:rPr>
          <w:lang w:val="en-GB"/>
        </w:rPr>
      </w:pPr>
    </w:p>
    <w:p w14:paraId="72B7A0D5" w14:textId="77777777" w:rsidR="00860000" w:rsidRPr="00F60746" w:rsidRDefault="00860000" w:rsidP="00441B6F">
      <w:pPr>
        <w:pStyle w:val="ReferHead"/>
        <w:spacing w:after="0"/>
        <w:jc w:val="both"/>
        <w:rPr>
          <w:rFonts w:ascii="Arial" w:hAnsi="Arial" w:cs="Arial"/>
          <w:lang w:val="en-GB"/>
        </w:rPr>
      </w:pPr>
    </w:p>
    <w:p w14:paraId="09A1F87A" w14:textId="77777777" w:rsidR="00B01FCD" w:rsidRPr="00F60746" w:rsidRDefault="00B01FCD" w:rsidP="00441B6F">
      <w:pPr>
        <w:pStyle w:val="ReferHead"/>
        <w:spacing w:after="0"/>
        <w:jc w:val="both"/>
        <w:rPr>
          <w:rFonts w:ascii="Arial" w:hAnsi="Arial" w:cs="Arial"/>
          <w:lang w:val="en-GB"/>
        </w:rPr>
      </w:pPr>
      <w:r w:rsidRPr="00F60746">
        <w:rPr>
          <w:rFonts w:ascii="Arial" w:hAnsi="Arial" w:cs="Arial"/>
          <w:lang w:val="en-GB"/>
        </w:rPr>
        <w:t>References</w:t>
      </w:r>
    </w:p>
    <w:p w14:paraId="4682B802" w14:textId="77777777" w:rsidR="0090424B" w:rsidRPr="00F60746" w:rsidRDefault="0090424B" w:rsidP="0090424B">
      <w:pPr>
        <w:ind w:left="810" w:hanging="720"/>
        <w:rPr>
          <w:szCs w:val="24"/>
          <w:lang w:val="en-GB"/>
        </w:rPr>
      </w:pPr>
      <w:r w:rsidRPr="00F60746">
        <w:rPr>
          <w:w w:val="95"/>
          <w:szCs w:val="24"/>
          <w:lang w:val="en-GB"/>
        </w:rPr>
        <w:t>Akram-Lodhi, A. H. and Kay, C. (2010). Surveying the agrarian question (part 2): current debates and</w:t>
      </w:r>
      <w:r w:rsidRPr="00F60746">
        <w:rPr>
          <w:spacing w:val="1"/>
          <w:w w:val="95"/>
          <w:szCs w:val="24"/>
          <w:lang w:val="en-GB"/>
        </w:rPr>
        <w:t xml:space="preserve"> </w:t>
      </w:r>
      <w:r w:rsidRPr="00F60746">
        <w:rPr>
          <w:szCs w:val="24"/>
          <w:lang w:val="en-GB"/>
        </w:rPr>
        <w:t>beyond.</w:t>
      </w:r>
      <w:r w:rsidRPr="00F60746">
        <w:rPr>
          <w:spacing w:val="9"/>
          <w:szCs w:val="24"/>
          <w:lang w:val="en-GB"/>
        </w:rPr>
        <w:t xml:space="preserve"> </w:t>
      </w:r>
      <w:r w:rsidRPr="00F60746">
        <w:rPr>
          <w:i/>
          <w:szCs w:val="24"/>
          <w:lang w:val="en-GB"/>
        </w:rPr>
        <w:t>The</w:t>
      </w:r>
      <w:r w:rsidRPr="00F60746">
        <w:rPr>
          <w:i/>
          <w:spacing w:val="8"/>
          <w:szCs w:val="24"/>
          <w:lang w:val="en-GB"/>
        </w:rPr>
        <w:t xml:space="preserve"> </w:t>
      </w:r>
      <w:r w:rsidRPr="00F60746">
        <w:rPr>
          <w:i/>
          <w:szCs w:val="24"/>
          <w:lang w:val="en-GB"/>
        </w:rPr>
        <w:t>Journal</w:t>
      </w:r>
      <w:r w:rsidRPr="00F60746">
        <w:rPr>
          <w:i/>
          <w:spacing w:val="11"/>
          <w:szCs w:val="24"/>
          <w:lang w:val="en-GB"/>
        </w:rPr>
        <w:t xml:space="preserve"> </w:t>
      </w:r>
      <w:r w:rsidRPr="00F60746">
        <w:rPr>
          <w:i/>
          <w:szCs w:val="24"/>
          <w:lang w:val="en-GB"/>
        </w:rPr>
        <w:t>of</w:t>
      </w:r>
      <w:r w:rsidRPr="00F60746">
        <w:rPr>
          <w:i/>
          <w:spacing w:val="31"/>
          <w:szCs w:val="24"/>
          <w:lang w:val="en-GB"/>
        </w:rPr>
        <w:t xml:space="preserve"> </w:t>
      </w:r>
      <w:proofErr w:type="spellStart"/>
      <w:r w:rsidRPr="00F60746">
        <w:rPr>
          <w:i/>
          <w:szCs w:val="24"/>
          <w:lang w:val="en-GB"/>
        </w:rPr>
        <w:t>Peasamt</w:t>
      </w:r>
      <w:proofErr w:type="spellEnd"/>
      <w:r w:rsidRPr="00F60746">
        <w:rPr>
          <w:i/>
          <w:spacing w:val="4"/>
          <w:szCs w:val="24"/>
          <w:lang w:val="en-GB"/>
        </w:rPr>
        <w:t xml:space="preserve"> </w:t>
      </w:r>
      <w:r w:rsidRPr="00F60746">
        <w:rPr>
          <w:i/>
          <w:szCs w:val="24"/>
          <w:lang w:val="en-GB"/>
        </w:rPr>
        <w:t>Studies</w:t>
      </w:r>
      <w:r w:rsidRPr="00F60746">
        <w:rPr>
          <w:i/>
          <w:spacing w:val="11"/>
          <w:szCs w:val="24"/>
          <w:lang w:val="en-GB"/>
        </w:rPr>
        <w:t xml:space="preserve"> </w:t>
      </w:r>
      <w:r w:rsidRPr="00F60746">
        <w:rPr>
          <w:szCs w:val="24"/>
          <w:lang w:val="en-GB"/>
        </w:rPr>
        <w:t>37,</w:t>
      </w:r>
      <w:r w:rsidRPr="00F60746">
        <w:rPr>
          <w:spacing w:val="10"/>
          <w:szCs w:val="24"/>
          <w:lang w:val="en-GB"/>
        </w:rPr>
        <w:t xml:space="preserve"> </w:t>
      </w:r>
      <w:r w:rsidRPr="00F60746">
        <w:rPr>
          <w:szCs w:val="24"/>
          <w:lang w:val="en-GB"/>
        </w:rPr>
        <w:t>2(1):</w:t>
      </w:r>
      <w:r w:rsidRPr="00F60746">
        <w:rPr>
          <w:spacing w:val="2"/>
          <w:szCs w:val="24"/>
          <w:lang w:val="en-GB"/>
        </w:rPr>
        <w:t xml:space="preserve"> </w:t>
      </w:r>
      <w:r w:rsidRPr="00F60746">
        <w:rPr>
          <w:szCs w:val="24"/>
          <w:lang w:val="en-GB"/>
        </w:rPr>
        <w:t>255—84.</w:t>
      </w:r>
    </w:p>
    <w:p w14:paraId="1FD9F188" w14:textId="77777777" w:rsidR="0090424B" w:rsidRPr="00F60746" w:rsidRDefault="0090424B" w:rsidP="0090424B">
      <w:pPr>
        <w:ind w:left="810" w:hanging="720"/>
        <w:rPr>
          <w:szCs w:val="24"/>
          <w:lang w:val="en-GB"/>
        </w:rPr>
      </w:pPr>
      <w:proofErr w:type="spellStart"/>
      <w:r w:rsidRPr="00F60746">
        <w:rPr>
          <w:szCs w:val="24"/>
          <w:lang w:val="en-GB"/>
        </w:rPr>
        <w:t>Apusigah</w:t>
      </w:r>
      <w:proofErr w:type="spellEnd"/>
      <w:r w:rsidRPr="00F60746">
        <w:rPr>
          <w:szCs w:val="24"/>
          <w:lang w:val="en-GB"/>
        </w:rPr>
        <w:t xml:space="preserve">, A. A. (2009). The gendered politics of farm households’ production and the shaping of women’s livelihoods in Northern Ghana. </w:t>
      </w:r>
      <w:r w:rsidRPr="00F60746">
        <w:rPr>
          <w:i/>
          <w:szCs w:val="24"/>
          <w:lang w:val="en-GB"/>
        </w:rPr>
        <w:t>Feminist Africa</w:t>
      </w:r>
      <w:r w:rsidRPr="00F60746">
        <w:rPr>
          <w:szCs w:val="24"/>
          <w:lang w:val="en-GB"/>
        </w:rPr>
        <w:t>, 12(1): 51-68.</w:t>
      </w:r>
    </w:p>
    <w:p w14:paraId="0713A8DB" w14:textId="77777777" w:rsidR="0090424B" w:rsidRPr="00F60746" w:rsidRDefault="0090424B" w:rsidP="0090424B">
      <w:pPr>
        <w:ind w:left="810" w:hanging="720"/>
        <w:rPr>
          <w:szCs w:val="24"/>
          <w:lang w:val="en-GB"/>
        </w:rPr>
      </w:pPr>
      <w:r w:rsidRPr="00F60746">
        <w:rPr>
          <w:szCs w:val="24"/>
          <w:lang w:val="en-GB"/>
        </w:rPr>
        <w:t xml:space="preserve">Becker, L. C. (2001). Seeing green in Mali’s woods: Colonial legacy, forest use, and local control. </w:t>
      </w:r>
      <w:r w:rsidRPr="00F60746">
        <w:rPr>
          <w:i/>
          <w:iCs/>
          <w:szCs w:val="24"/>
          <w:lang w:val="en-GB"/>
        </w:rPr>
        <w:t>Annals of the Association of American Geographers</w:t>
      </w:r>
      <w:r w:rsidRPr="00F60746">
        <w:rPr>
          <w:szCs w:val="24"/>
          <w:lang w:val="en-GB"/>
        </w:rPr>
        <w:t>, 91(3): 504–526.</w:t>
      </w:r>
    </w:p>
    <w:p w14:paraId="184180C0" w14:textId="77777777" w:rsidR="0090424B" w:rsidRPr="00F60746" w:rsidRDefault="0090424B" w:rsidP="0090424B">
      <w:pPr>
        <w:ind w:left="810" w:hanging="720"/>
        <w:rPr>
          <w:szCs w:val="24"/>
          <w:lang w:val="en-GB"/>
        </w:rPr>
      </w:pPr>
      <w:r w:rsidRPr="00F60746">
        <w:rPr>
          <w:szCs w:val="24"/>
          <w:lang w:val="en-GB"/>
        </w:rPr>
        <w:t xml:space="preserve">Boffa, J, M., </w:t>
      </w:r>
      <w:proofErr w:type="spellStart"/>
      <w:r w:rsidRPr="00F60746">
        <w:rPr>
          <w:szCs w:val="24"/>
          <w:lang w:val="en-GB"/>
        </w:rPr>
        <w:t>Yam´eogo</w:t>
      </w:r>
      <w:proofErr w:type="spellEnd"/>
      <w:r w:rsidRPr="00F60746">
        <w:rPr>
          <w:szCs w:val="24"/>
          <w:lang w:val="en-GB"/>
        </w:rPr>
        <w:t xml:space="preserve">, G., </w:t>
      </w:r>
      <w:proofErr w:type="spellStart"/>
      <w:r w:rsidRPr="00F60746">
        <w:rPr>
          <w:szCs w:val="24"/>
          <w:lang w:val="en-GB"/>
        </w:rPr>
        <w:t>Niki´ema</w:t>
      </w:r>
      <w:proofErr w:type="spellEnd"/>
      <w:r w:rsidRPr="00F60746">
        <w:rPr>
          <w:szCs w:val="24"/>
          <w:lang w:val="en-GB"/>
        </w:rPr>
        <w:t>, P. and Knudson, D. M. (1996). Shea nut (</w:t>
      </w:r>
      <w:proofErr w:type="spellStart"/>
      <w:r w:rsidRPr="00F60746">
        <w:rPr>
          <w:i/>
          <w:iCs/>
          <w:szCs w:val="24"/>
          <w:lang w:val="en-GB"/>
        </w:rPr>
        <w:t>Viellaria</w:t>
      </w:r>
      <w:proofErr w:type="spellEnd"/>
      <w:r w:rsidRPr="00F60746">
        <w:rPr>
          <w:i/>
          <w:iCs/>
          <w:szCs w:val="24"/>
          <w:lang w:val="en-GB"/>
        </w:rPr>
        <w:t xml:space="preserve"> </w:t>
      </w:r>
      <w:proofErr w:type="spellStart"/>
      <w:r w:rsidRPr="00F60746">
        <w:rPr>
          <w:i/>
          <w:iCs/>
          <w:szCs w:val="24"/>
          <w:lang w:val="en-GB"/>
        </w:rPr>
        <w:t>paradoxa</w:t>
      </w:r>
      <w:proofErr w:type="spellEnd"/>
      <w:r w:rsidRPr="00F60746">
        <w:rPr>
          <w:szCs w:val="24"/>
          <w:lang w:val="en-GB"/>
        </w:rPr>
        <w:t xml:space="preserve">) production and collection in agroforestry parklands of Burkina Faso in R. R. B. Leakey </w:t>
      </w:r>
      <w:r w:rsidRPr="00F60746">
        <w:rPr>
          <w:i/>
          <w:iCs/>
          <w:szCs w:val="24"/>
          <w:lang w:val="en-GB"/>
        </w:rPr>
        <w:t>et al</w:t>
      </w:r>
      <w:r w:rsidRPr="00F60746">
        <w:rPr>
          <w:szCs w:val="24"/>
          <w:lang w:val="en-GB"/>
        </w:rPr>
        <w:t xml:space="preserve">. (eds), </w:t>
      </w:r>
      <w:r w:rsidRPr="00F60746">
        <w:rPr>
          <w:i/>
          <w:iCs/>
          <w:szCs w:val="24"/>
          <w:lang w:val="en-GB"/>
        </w:rPr>
        <w:t>Domestication and</w:t>
      </w:r>
      <w:r w:rsidRPr="00F60746">
        <w:rPr>
          <w:szCs w:val="24"/>
          <w:lang w:val="en-GB"/>
        </w:rPr>
        <w:t xml:space="preserve"> </w:t>
      </w:r>
      <w:r w:rsidRPr="00F60746">
        <w:rPr>
          <w:i/>
          <w:iCs/>
          <w:szCs w:val="24"/>
          <w:lang w:val="en-GB"/>
        </w:rPr>
        <w:t>Commercialization of Non-Timber Forest Products in Agroforestry Systems: non-wood</w:t>
      </w:r>
      <w:r w:rsidRPr="00F60746">
        <w:rPr>
          <w:szCs w:val="24"/>
          <w:lang w:val="en-GB"/>
        </w:rPr>
        <w:t xml:space="preserve"> </w:t>
      </w:r>
      <w:r w:rsidRPr="00F60746">
        <w:rPr>
          <w:i/>
          <w:iCs/>
          <w:szCs w:val="24"/>
          <w:lang w:val="en-GB"/>
        </w:rPr>
        <w:t>forest products</w:t>
      </w:r>
      <w:r w:rsidRPr="00F60746">
        <w:rPr>
          <w:szCs w:val="24"/>
          <w:lang w:val="en-GB"/>
        </w:rPr>
        <w:t>. Rome: FAO.</w:t>
      </w:r>
    </w:p>
    <w:p w14:paraId="23F4F927" w14:textId="77777777" w:rsidR="0090424B" w:rsidRPr="00F60746" w:rsidRDefault="0090424B" w:rsidP="0090424B">
      <w:pPr>
        <w:ind w:left="810" w:hanging="720"/>
        <w:rPr>
          <w:szCs w:val="24"/>
          <w:lang w:val="en-GB"/>
        </w:rPr>
      </w:pPr>
      <w:proofErr w:type="spellStart"/>
      <w:r w:rsidRPr="00F60746">
        <w:rPr>
          <w:szCs w:val="24"/>
          <w:lang w:val="en-GB"/>
        </w:rPr>
        <w:t>Bugri</w:t>
      </w:r>
      <w:proofErr w:type="spellEnd"/>
      <w:r w:rsidRPr="00F60746">
        <w:rPr>
          <w:szCs w:val="24"/>
          <w:lang w:val="en-GB"/>
        </w:rPr>
        <w:t>, J. T. and Yeboah, E. (2017). Understanding changing land access and use by the rural poor in Ghana. Research report by International Institute for Environment and Development IIED order no: 17595IIED London.</w:t>
      </w:r>
    </w:p>
    <w:p w14:paraId="080717E0" w14:textId="77777777" w:rsidR="0090424B" w:rsidRPr="00F60746" w:rsidRDefault="0090424B" w:rsidP="0090424B">
      <w:pPr>
        <w:ind w:left="810" w:hanging="720"/>
        <w:rPr>
          <w:szCs w:val="24"/>
          <w:lang w:val="en-GB"/>
        </w:rPr>
      </w:pPr>
      <w:r w:rsidRPr="00F60746">
        <w:rPr>
          <w:szCs w:val="24"/>
          <w:lang w:val="en-GB"/>
        </w:rPr>
        <w:t xml:space="preserve">Campbell, B., Thornton, P., </w:t>
      </w:r>
      <w:proofErr w:type="spellStart"/>
      <w:r w:rsidRPr="00F60746">
        <w:rPr>
          <w:szCs w:val="24"/>
          <w:lang w:val="en-GB"/>
        </w:rPr>
        <w:t>Zougmoré</w:t>
      </w:r>
      <w:proofErr w:type="spellEnd"/>
      <w:r w:rsidRPr="00F60746">
        <w:rPr>
          <w:szCs w:val="24"/>
          <w:lang w:val="en-GB"/>
        </w:rPr>
        <w:t xml:space="preserve">, R., Asten, P. V. and Lipper, L. (2014). Sustainable intensification: what is its role in climate smart </w:t>
      </w:r>
      <w:proofErr w:type="gramStart"/>
      <w:r w:rsidRPr="00F60746">
        <w:rPr>
          <w:szCs w:val="24"/>
          <w:lang w:val="en-GB"/>
        </w:rPr>
        <w:t>agriculture?.</w:t>
      </w:r>
      <w:proofErr w:type="gramEnd"/>
      <w:r w:rsidRPr="00F60746">
        <w:rPr>
          <w:szCs w:val="24"/>
          <w:lang w:val="en-GB"/>
        </w:rPr>
        <w:t xml:space="preserve"> </w:t>
      </w:r>
      <w:r w:rsidRPr="00F60746">
        <w:rPr>
          <w:i/>
          <w:szCs w:val="24"/>
          <w:lang w:val="en-GB"/>
        </w:rPr>
        <w:t>Current Opinion Environmental Sustainability</w:t>
      </w:r>
      <w:r w:rsidRPr="00F60746">
        <w:rPr>
          <w:szCs w:val="24"/>
          <w:lang w:val="en-GB"/>
        </w:rPr>
        <w:t xml:space="preserve">, 8(1):39–43. </w:t>
      </w:r>
    </w:p>
    <w:p w14:paraId="132BA386"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Duflo, E. and </w:t>
      </w:r>
      <w:proofErr w:type="spellStart"/>
      <w:r w:rsidRPr="00F60746">
        <w:rPr>
          <w:szCs w:val="24"/>
          <w:lang w:val="en-GB"/>
        </w:rPr>
        <w:t>Udry</w:t>
      </w:r>
      <w:proofErr w:type="spellEnd"/>
      <w:r w:rsidRPr="00F60746">
        <w:rPr>
          <w:szCs w:val="24"/>
          <w:lang w:val="en-GB"/>
        </w:rPr>
        <w:t>, C. (2004). Intra household resource allocation in Cote d’Ivoire: Social norms, separate accounts and consumption choices. National Bureau of Economic Research, working Paper No. 10498.</w:t>
      </w:r>
    </w:p>
    <w:p w14:paraId="0C2D1989"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lastRenderedPageBreak/>
        <w:t xml:space="preserve">Elias, M. and Carney, J. (2007). African shea butter: </w:t>
      </w:r>
      <w:proofErr w:type="spellStart"/>
      <w:r w:rsidRPr="00F60746">
        <w:rPr>
          <w:szCs w:val="24"/>
          <w:lang w:val="en-GB"/>
        </w:rPr>
        <w:t>Afeminized</w:t>
      </w:r>
      <w:proofErr w:type="spellEnd"/>
      <w:r w:rsidRPr="00F60746">
        <w:rPr>
          <w:szCs w:val="24"/>
          <w:lang w:val="en-GB"/>
        </w:rPr>
        <w:t xml:space="preserve"> subsidy from nature. </w:t>
      </w:r>
      <w:r w:rsidRPr="00F60746">
        <w:rPr>
          <w:i/>
          <w:szCs w:val="24"/>
          <w:lang w:val="en-GB"/>
        </w:rPr>
        <w:t>Africa</w:t>
      </w:r>
      <w:r w:rsidRPr="00F60746">
        <w:rPr>
          <w:szCs w:val="24"/>
          <w:lang w:val="en-GB"/>
        </w:rPr>
        <w:t>, 77(1): 1-28.</w:t>
      </w:r>
    </w:p>
    <w:p w14:paraId="393945AE"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Elmhirst, R. (2011). Introducing new feminist political ecologies. </w:t>
      </w:r>
      <w:proofErr w:type="spellStart"/>
      <w:r w:rsidRPr="00F60746">
        <w:rPr>
          <w:i/>
          <w:szCs w:val="24"/>
          <w:lang w:val="en-GB"/>
        </w:rPr>
        <w:t>Geoforum</w:t>
      </w:r>
      <w:proofErr w:type="spellEnd"/>
      <w:r w:rsidRPr="00F60746">
        <w:rPr>
          <w:szCs w:val="24"/>
          <w:lang w:val="en-GB"/>
        </w:rPr>
        <w:t>, 42(2): 129-132.</w:t>
      </w:r>
    </w:p>
    <w:p w14:paraId="653304CB" w14:textId="77777777" w:rsidR="0090424B" w:rsidRPr="00F60746" w:rsidRDefault="0090424B" w:rsidP="0090424B">
      <w:pPr>
        <w:autoSpaceDE w:val="0"/>
        <w:autoSpaceDN w:val="0"/>
        <w:adjustRightInd w:val="0"/>
        <w:ind w:left="720" w:hanging="720"/>
        <w:rPr>
          <w:rStyle w:val="HTMLCite"/>
          <w:i w:val="0"/>
          <w:szCs w:val="24"/>
          <w:lang w:val="en-GB"/>
        </w:rPr>
      </w:pPr>
      <w:proofErr w:type="spellStart"/>
      <w:r w:rsidRPr="00F60746">
        <w:rPr>
          <w:rStyle w:val="mw-cite-backlink"/>
          <w:szCs w:val="24"/>
          <w:lang w:val="en-GB"/>
        </w:rPr>
        <w:t>Encyclopedia</w:t>
      </w:r>
      <w:proofErr w:type="spellEnd"/>
      <w:r w:rsidRPr="00F60746">
        <w:rPr>
          <w:rStyle w:val="mw-cite-backlink"/>
          <w:szCs w:val="24"/>
          <w:lang w:val="en-GB"/>
        </w:rPr>
        <w:t xml:space="preserve"> (2011).</w:t>
      </w:r>
      <w:r w:rsidRPr="00F60746">
        <w:rPr>
          <w:szCs w:val="24"/>
          <w:lang w:val="en-GB"/>
        </w:rPr>
        <w:t> </w:t>
      </w:r>
      <w:hyperlink r:id="rId19" w:history="1">
        <w:r w:rsidRPr="00F60746">
          <w:rPr>
            <w:rStyle w:val="Hyperlink"/>
            <w:iCs/>
            <w:szCs w:val="24"/>
            <w:lang w:val="en-GB"/>
          </w:rPr>
          <w:t>Nigeria</w:t>
        </w:r>
      </w:hyperlink>
      <w:r w:rsidRPr="00F60746">
        <w:rPr>
          <w:rStyle w:val="HTMLCite"/>
          <w:szCs w:val="24"/>
          <w:lang w:val="en-GB"/>
        </w:rPr>
        <w:t>. </w:t>
      </w:r>
      <w:hyperlink r:id="rId20" w:tooltip="Encarta" w:history="1">
        <w:r w:rsidRPr="00F60746">
          <w:rPr>
            <w:rStyle w:val="Hyperlink"/>
            <w:iCs/>
            <w:szCs w:val="24"/>
            <w:lang w:val="en-GB"/>
          </w:rPr>
          <w:t>Encarta</w:t>
        </w:r>
      </w:hyperlink>
      <w:r w:rsidRPr="00F60746">
        <w:rPr>
          <w:rStyle w:val="HTMLCite"/>
          <w:szCs w:val="24"/>
          <w:lang w:val="en-GB"/>
        </w:rPr>
        <w:t>. </w:t>
      </w:r>
      <w:hyperlink r:id="rId21" w:tooltip="Microsoft" w:history="1">
        <w:r w:rsidRPr="00F60746">
          <w:rPr>
            <w:rStyle w:val="Hyperlink"/>
            <w:iCs/>
            <w:szCs w:val="24"/>
            <w:lang w:val="en-GB"/>
          </w:rPr>
          <w:t>Microsoft</w:t>
        </w:r>
      </w:hyperlink>
      <w:r w:rsidRPr="00F60746">
        <w:rPr>
          <w:rStyle w:val="HTMLCite"/>
          <w:szCs w:val="24"/>
          <w:lang w:val="en-GB"/>
        </w:rPr>
        <w:t xml:space="preserve">. </w:t>
      </w:r>
      <w:r w:rsidRPr="00F60746">
        <w:rPr>
          <w:rStyle w:val="reference-accessdate"/>
          <w:iCs/>
          <w:szCs w:val="24"/>
          <w:lang w:val="en-GB"/>
        </w:rPr>
        <w:t>Retrieved from</w:t>
      </w:r>
      <w:r w:rsidRPr="00F60746">
        <w:rPr>
          <w:rStyle w:val="HTMLCite"/>
          <w:szCs w:val="24"/>
          <w:lang w:val="en-GB"/>
        </w:rPr>
        <w:t xml:space="preserve"> </w:t>
      </w:r>
      <w:hyperlink r:id="rId22" w:history="1">
        <w:r w:rsidRPr="00F60746">
          <w:rPr>
            <w:rStyle w:val="Hyperlink"/>
            <w:szCs w:val="24"/>
            <w:lang w:val="en-GB"/>
          </w:rPr>
          <w:t>https://web.archive.org/web/20031111170137/http://encarta.msn.com/encyclopedia_761557915/Nigeria.html</w:t>
        </w:r>
      </w:hyperlink>
      <w:r w:rsidRPr="00F60746">
        <w:rPr>
          <w:rStyle w:val="HTMLCite"/>
          <w:szCs w:val="24"/>
          <w:lang w:val="en-GB"/>
        </w:rPr>
        <w:t xml:space="preserve"> on 31st July, 2022.</w:t>
      </w:r>
    </w:p>
    <w:p w14:paraId="714BBEC1" w14:textId="77777777" w:rsidR="0090424B" w:rsidRPr="00F60746" w:rsidRDefault="0090424B" w:rsidP="0090424B">
      <w:pPr>
        <w:autoSpaceDE w:val="0"/>
        <w:autoSpaceDN w:val="0"/>
        <w:adjustRightInd w:val="0"/>
        <w:ind w:left="720" w:hanging="720"/>
        <w:rPr>
          <w:iCs/>
          <w:szCs w:val="24"/>
          <w:lang w:val="en-GB"/>
        </w:rPr>
      </w:pPr>
      <w:r w:rsidRPr="00F60746">
        <w:rPr>
          <w:rStyle w:val="HTMLCite"/>
          <w:szCs w:val="24"/>
          <w:lang w:val="en-GB"/>
        </w:rPr>
        <w:t>Geographical Alliance of Iowa (2009).</w:t>
      </w:r>
      <w:r w:rsidRPr="00F60746">
        <w:rPr>
          <w:i/>
          <w:szCs w:val="24"/>
          <w:lang w:val="en-GB"/>
        </w:rPr>
        <w:t xml:space="preserve"> </w:t>
      </w:r>
      <w:hyperlink r:id="rId23" w:history="1">
        <w:r w:rsidRPr="00F60746">
          <w:rPr>
            <w:rStyle w:val="Hyperlink"/>
            <w:iCs/>
            <w:szCs w:val="24"/>
            <w:lang w:val="en-GB"/>
          </w:rPr>
          <w:t>Regions Used to Interpret the Complexity of Nigeria</w:t>
        </w:r>
      </w:hyperlink>
      <w:r w:rsidRPr="00F60746">
        <w:rPr>
          <w:rStyle w:val="HTMLCite"/>
          <w:szCs w:val="24"/>
          <w:lang w:val="en-GB"/>
        </w:rPr>
        <w:t xml:space="preserve">.Nigeria background information. </w:t>
      </w:r>
      <w:hyperlink r:id="rId24" w:tooltip="University of Northern Iowa" w:history="1">
        <w:r w:rsidRPr="00F60746">
          <w:rPr>
            <w:rStyle w:val="Hyperlink"/>
            <w:iCs/>
            <w:szCs w:val="24"/>
            <w:lang w:val="en-GB"/>
          </w:rPr>
          <w:t>University of Northern Iowa</w:t>
        </w:r>
      </w:hyperlink>
      <w:r w:rsidRPr="00F60746">
        <w:rPr>
          <w:rStyle w:val="HTMLCite"/>
          <w:szCs w:val="24"/>
          <w:lang w:val="en-GB"/>
        </w:rPr>
        <w:t xml:space="preserve">. </w:t>
      </w:r>
      <w:r w:rsidRPr="00F60746">
        <w:rPr>
          <w:rStyle w:val="reference-accessdate"/>
          <w:iCs/>
          <w:szCs w:val="24"/>
          <w:lang w:val="en-GB"/>
        </w:rPr>
        <w:t>Retrieved from</w:t>
      </w:r>
      <w:r w:rsidRPr="00F60746">
        <w:rPr>
          <w:rStyle w:val="HTMLCite"/>
          <w:lang w:val="en-GB"/>
        </w:rPr>
        <w:t xml:space="preserve"> </w:t>
      </w:r>
      <w:hyperlink r:id="rId25" w:history="1">
        <w:r w:rsidRPr="00F60746">
          <w:rPr>
            <w:rStyle w:val="Hyperlink"/>
            <w:szCs w:val="24"/>
            <w:lang w:val="en-GB"/>
          </w:rPr>
          <w:t>https://web.archive.org/web/20090414075757/http://www.uni.edu/gai/Nigeria/Background/Standard5.html</w:t>
        </w:r>
      </w:hyperlink>
      <w:r w:rsidRPr="00F60746">
        <w:rPr>
          <w:rStyle w:val="HTMLCite"/>
          <w:szCs w:val="24"/>
          <w:lang w:val="en-GB"/>
        </w:rPr>
        <w:t xml:space="preserve"> on 31st July, 2022.</w:t>
      </w:r>
    </w:p>
    <w:p w14:paraId="01E1D83F" w14:textId="77777777" w:rsidR="0090424B" w:rsidRPr="00F60746" w:rsidRDefault="001A1A44" w:rsidP="0090424B">
      <w:pPr>
        <w:autoSpaceDE w:val="0"/>
        <w:autoSpaceDN w:val="0"/>
        <w:adjustRightInd w:val="0"/>
        <w:ind w:left="720" w:hanging="720"/>
        <w:rPr>
          <w:iCs/>
          <w:szCs w:val="24"/>
          <w:lang w:val="en-GB"/>
        </w:rPr>
      </w:pPr>
      <w:hyperlink r:id="rId26" w:history="1">
        <w:r w:rsidR="0090424B" w:rsidRPr="00F60746">
          <w:rPr>
            <w:rStyle w:val="HTMLCite"/>
            <w:szCs w:val="24"/>
            <w:lang w:val="en-GB"/>
          </w:rPr>
          <w:t>Geographical Alliance of Iowa</w:t>
        </w:r>
        <w:r w:rsidR="0090424B" w:rsidRPr="00F60746">
          <w:rPr>
            <w:rStyle w:val="Hyperlink"/>
            <w:iCs/>
            <w:szCs w:val="24"/>
            <w:lang w:val="en-GB"/>
          </w:rPr>
          <w:t xml:space="preserve"> (2010). The Human and Physical Characteristics of Nigeria</w:t>
        </w:r>
      </w:hyperlink>
      <w:r w:rsidR="0090424B" w:rsidRPr="00F60746">
        <w:rPr>
          <w:rStyle w:val="HTMLCite"/>
          <w:szCs w:val="24"/>
          <w:lang w:val="en-GB"/>
        </w:rPr>
        <w:t>. Nigeria background information.</w:t>
      </w:r>
      <w:r w:rsidR="0090424B" w:rsidRPr="00F60746">
        <w:rPr>
          <w:i/>
          <w:szCs w:val="24"/>
          <w:lang w:val="en-GB"/>
        </w:rPr>
        <w:t xml:space="preserve"> </w:t>
      </w:r>
      <w:hyperlink r:id="rId27" w:tooltip="University of Northern Iowa" w:history="1">
        <w:r w:rsidR="0090424B" w:rsidRPr="00F60746">
          <w:rPr>
            <w:rStyle w:val="Hyperlink"/>
            <w:iCs/>
            <w:szCs w:val="24"/>
            <w:lang w:val="en-GB"/>
          </w:rPr>
          <w:t>University of Northern Iowa</w:t>
        </w:r>
      </w:hyperlink>
      <w:r w:rsidR="0090424B" w:rsidRPr="00F60746">
        <w:rPr>
          <w:rStyle w:val="HTMLCite"/>
          <w:szCs w:val="24"/>
          <w:lang w:val="en-GB"/>
        </w:rPr>
        <w:t xml:space="preserve">. </w:t>
      </w:r>
      <w:r w:rsidR="0090424B" w:rsidRPr="00F60746">
        <w:rPr>
          <w:rStyle w:val="reference-accessdate"/>
          <w:iCs/>
          <w:szCs w:val="24"/>
          <w:lang w:val="en-GB"/>
        </w:rPr>
        <w:t>Retrieved </w:t>
      </w:r>
      <w:r w:rsidR="0090424B" w:rsidRPr="00F60746">
        <w:rPr>
          <w:rStyle w:val="nowrap"/>
          <w:iCs/>
          <w:szCs w:val="24"/>
          <w:lang w:val="en-GB"/>
        </w:rPr>
        <w:t>from</w:t>
      </w:r>
      <w:r w:rsidR="0090424B" w:rsidRPr="00F60746">
        <w:rPr>
          <w:i/>
          <w:szCs w:val="24"/>
          <w:lang w:val="en-GB"/>
        </w:rPr>
        <w:t xml:space="preserve"> </w:t>
      </w:r>
      <w:hyperlink r:id="rId28" w:history="1">
        <w:r w:rsidR="0090424B" w:rsidRPr="00F60746">
          <w:rPr>
            <w:rStyle w:val="Hyperlink"/>
            <w:szCs w:val="24"/>
            <w:lang w:val="en-GB"/>
          </w:rPr>
          <w:t>https://web.archive.org/web/20100328172528/http://www.uni.edu/gai/Nigeria/Background/Standard4.html</w:t>
        </w:r>
      </w:hyperlink>
      <w:r w:rsidR="0090424B" w:rsidRPr="00F60746">
        <w:rPr>
          <w:rStyle w:val="HTMLCite"/>
          <w:szCs w:val="24"/>
          <w:lang w:val="en-GB"/>
        </w:rPr>
        <w:t xml:space="preserve"> on 31st July, 2022.</w:t>
      </w:r>
    </w:p>
    <w:p w14:paraId="50318C2D" w14:textId="77777777" w:rsidR="0090424B" w:rsidRPr="00CF68E3" w:rsidRDefault="0090424B" w:rsidP="0090424B">
      <w:pPr>
        <w:autoSpaceDE w:val="0"/>
        <w:autoSpaceDN w:val="0"/>
        <w:adjustRightInd w:val="0"/>
        <w:ind w:left="720" w:hanging="720"/>
        <w:rPr>
          <w:szCs w:val="24"/>
          <w:lang w:val="nb-NO"/>
        </w:rPr>
      </w:pPr>
      <w:r w:rsidRPr="00F60746">
        <w:rPr>
          <w:szCs w:val="24"/>
          <w:lang w:val="en-GB"/>
        </w:rPr>
        <w:t>Gray, L. and Dowd-</w:t>
      </w:r>
      <w:proofErr w:type="spellStart"/>
      <w:r w:rsidRPr="00F60746">
        <w:rPr>
          <w:szCs w:val="24"/>
          <w:lang w:val="en-GB"/>
        </w:rPr>
        <w:t>uribe</w:t>
      </w:r>
      <w:proofErr w:type="spellEnd"/>
      <w:r w:rsidRPr="00F60746">
        <w:rPr>
          <w:szCs w:val="24"/>
          <w:lang w:val="en-GB"/>
        </w:rPr>
        <w:t xml:space="preserve">, B. (2013). A political ecology of socio-economic differentiation: Debt, input and liberalization reform in Southwestern Burkina Faso. </w:t>
      </w:r>
      <w:r w:rsidRPr="00CF68E3">
        <w:rPr>
          <w:i/>
          <w:szCs w:val="24"/>
          <w:lang w:val="nb-NO"/>
        </w:rPr>
        <w:t>Journal of Peasant Studies</w:t>
      </w:r>
      <w:r w:rsidRPr="00CF68E3">
        <w:rPr>
          <w:szCs w:val="24"/>
          <w:lang w:val="nb-NO"/>
        </w:rPr>
        <w:t>, 40(4): 683-702.</w:t>
      </w:r>
    </w:p>
    <w:p w14:paraId="17DB8966" w14:textId="77777777" w:rsidR="0090424B" w:rsidRPr="00F60746" w:rsidRDefault="0090424B" w:rsidP="0090424B">
      <w:pPr>
        <w:autoSpaceDE w:val="0"/>
        <w:autoSpaceDN w:val="0"/>
        <w:adjustRightInd w:val="0"/>
        <w:ind w:left="720" w:hanging="720"/>
        <w:rPr>
          <w:szCs w:val="24"/>
          <w:lang w:val="en-GB"/>
        </w:rPr>
      </w:pPr>
      <w:r w:rsidRPr="00CF68E3">
        <w:rPr>
          <w:szCs w:val="24"/>
          <w:lang w:val="nb-NO"/>
        </w:rPr>
        <w:t xml:space="preserve">Hale, I., Ma, X., Melo, A. T. O., Padi, F. K., Hendre, P. S. </w:t>
      </w:r>
      <w:r w:rsidRPr="00CF68E3">
        <w:rPr>
          <w:i/>
          <w:szCs w:val="24"/>
          <w:lang w:val="nb-NO"/>
        </w:rPr>
        <w:t>et al</w:t>
      </w:r>
      <w:r w:rsidRPr="00CF68E3">
        <w:rPr>
          <w:szCs w:val="24"/>
          <w:lang w:val="nb-NO"/>
        </w:rPr>
        <w:t xml:space="preserve">. </w:t>
      </w:r>
      <w:r w:rsidRPr="00F60746">
        <w:rPr>
          <w:szCs w:val="24"/>
          <w:lang w:val="en-GB"/>
        </w:rPr>
        <w:t xml:space="preserve">(2021) Genomic Resources to Guide Improvement of the Shea Tree. </w:t>
      </w:r>
      <w:r w:rsidRPr="00F60746">
        <w:rPr>
          <w:i/>
          <w:szCs w:val="24"/>
          <w:lang w:val="en-GB"/>
        </w:rPr>
        <w:t>Frontier in Plant Science</w:t>
      </w:r>
      <w:r w:rsidRPr="00F60746">
        <w:rPr>
          <w:szCs w:val="24"/>
          <w:lang w:val="en-GB"/>
        </w:rPr>
        <w:t>, 12(1): 1-19.</w:t>
      </w:r>
    </w:p>
    <w:p w14:paraId="5C32B983"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Hammond, J., Wijk, M. V., Pagella, T., Carpena, P., Skirrow, T. </w:t>
      </w:r>
      <w:r w:rsidRPr="00F60746">
        <w:rPr>
          <w:i/>
          <w:szCs w:val="24"/>
          <w:lang w:val="en-GB"/>
        </w:rPr>
        <w:t>et al</w:t>
      </w:r>
      <w:r w:rsidRPr="00F60746">
        <w:rPr>
          <w:szCs w:val="24"/>
          <w:lang w:val="en-GB"/>
        </w:rPr>
        <w:t xml:space="preserve">. (2019). The climate smart agriculture papers. Chapter 18. Shea butter: A pro-poor, pro-female route to increased income. Rosenstock. T. S. </w:t>
      </w:r>
      <w:r w:rsidRPr="00F60746">
        <w:rPr>
          <w:i/>
          <w:szCs w:val="24"/>
          <w:lang w:val="en-GB"/>
        </w:rPr>
        <w:t>et al</w:t>
      </w:r>
      <w:r w:rsidRPr="00F60746">
        <w:rPr>
          <w:szCs w:val="24"/>
          <w:lang w:val="en-GB"/>
        </w:rPr>
        <w:t>. (eds).</w:t>
      </w:r>
    </w:p>
    <w:p w14:paraId="2103BDEB"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Honfo</w:t>
      </w:r>
      <w:proofErr w:type="spellEnd"/>
      <w:r w:rsidRPr="00F60746">
        <w:rPr>
          <w:szCs w:val="24"/>
          <w:lang w:val="en-GB"/>
        </w:rPr>
        <w:t xml:space="preserve">, F. G., Akissoe, N., Linnemann, A. R., </w:t>
      </w:r>
      <w:proofErr w:type="spellStart"/>
      <w:r w:rsidRPr="00F60746">
        <w:rPr>
          <w:szCs w:val="24"/>
          <w:lang w:val="en-GB"/>
        </w:rPr>
        <w:t>Soumanou</w:t>
      </w:r>
      <w:proofErr w:type="spellEnd"/>
      <w:r w:rsidRPr="00F60746">
        <w:rPr>
          <w:szCs w:val="24"/>
          <w:lang w:val="en-GB"/>
        </w:rPr>
        <w:t xml:space="preserve">, M. and Boekel, M. A. J. S. V. (2014). Nutritional Composition of Shea Products and Chemical Properties of Shea Butter: a Review. </w:t>
      </w:r>
      <w:r w:rsidRPr="00F60746">
        <w:rPr>
          <w:i/>
          <w:szCs w:val="24"/>
          <w:lang w:val="en-GB"/>
        </w:rPr>
        <w:t>Critical Reviews in Food Science and Nutrition</w:t>
      </w:r>
      <w:r w:rsidRPr="00F60746">
        <w:rPr>
          <w:szCs w:val="24"/>
          <w:lang w:val="en-GB"/>
        </w:rPr>
        <w:t>, 54(1): 673–686.</w:t>
      </w:r>
    </w:p>
    <w:p w14:paraId="2799A65B"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Index Mundi-Country Facts. https://www.indexmundi.com/. Accessed 13th July, 2022.</w:t>
      </w:r>
    </w:p>
    <w:p w14:paraId="4C8FBD8F"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Lipper, L., Thornton, P., Campbell, B., Baedeker, T., </w:t>
      </w:r>
      <w:proofErr w:type="spellStart"/>
      <w:r w:rsidRPr="00F60746">
        <w:rPr>
          <w:szCs w:val="24"/>
          <w:lang w:val="en-GB"/>
        </w:rPr>
        <w:t>Braimoh</w:t>
      </w:r>
      <w:proofErr w:type="spellEnd"/>
      <w:r w:rsidRPr="00F60746">
        <w:rPr>
          <w:szCs w:val="24"/>
          <w:lang w:val="en-GB"/>
        </w:rPr>
        <w:t xml:space="preserve">, A. </w:t>
      </w:r>
      <w:r w:rsidRPr="00F60746">
        <w:rPr>
          <w:i/>
          <w:szCs w:val="24"/>
          <w:lang w:val="en-GB"/>
        </w:rPr>
        <w:t>et al</w:t>
      </w:r>
      <w:r w:rsidRPr="00F60746">
        <w:rPr>
          <w:szCs w:val="24"/>
          <w:lang w:val="en-GB"/>
        </w:rPr>
        <w:t xml:space="preserve"> (2014) Climate-smart agriculture for food security. </w:t>
      </w:r>
      <w:r w:rsidRPr="00F60746">
        <w:rPr>
          <w:i/>
          <w:szCs w:val="24"/>
          <w:lang w:val="en-GB"/>
        </w:rPr>
        <w:t>Nature Climate Change</w:t>
      </w:r>
      <w:r w:rsidRPr="00F60746">
        <w:rPr>
          <w:szCs w:val="24"/>
          <w:lang w:val="en-GB"/>
        </w:rPr>
        <w:t>, 4(12):1068–1072.</w:t>
      </w:r>
    </w:p>
    <w:p w14:paraId="4168023F" w14:textId="77777777" w:rsidR="0090424B" w:rsidRPr="00F60746" w:rsidRDefault="0090424B" w:rsidP="0090424B">
      <w:pPr>
        <w:autoSpaceDE w:val="0"/>
        <w:autoSpaceDN w:val="0"/>
        <w:adjustRightInd w:val="0"/>
        <w:ind w:left="720" w:hanging="720"/>
        <w:rPr>
          <w:szCs w:val="24"/>
          <w:lang w:val="en-GB"/>
        </w:rPr>
      </w:pPr>
      <w:proofErr w:type="spellStart"/>
      <w:r w:rsidRPr="00F60746">
        <w:rPr>
          <w:lang w:val="en-GB"/>
        </w:rPr>
        <w:t>Matanmi</w:t>
      </w:r>
      <w:proofErr w:type="spellEnd"/>
      <w:r w:rsidRPr="00F60746">
        <w:rPr>
          <w:lang w:val="en-GB"/>
        </w:rPr>
        <w:t xml:space="preserve">, B. M., </w:t>
      </w:r>
      <w:proofErr w:type="spellStart"/>
      <w:r w:rsidRPr="00F60746">
        <w:rPr>
          <w:lang w:val="en-GB"/>
        </w:rPr>
        <w:t>Adesiji</w:t>
      </w:r>
      <w:proofErr w:type="spellEnd"/>
      <w:r w:rsidRPr="00F60746">
        <w:rPr>
          <w:lang w:val="en-GB"/>
        </w:rPr>
        <w:t xml:space="preserve"> G. B., </w:t>
      </w:r>
      <w:proofErr w:type="spellStart"/>
      <w:r w:rsidRPr="00F60746">
        <w:rPr>
          <w:lang w:val="en-GB"/>
        </w:rPr>
        <w:t>Olasheinde</w:t>
      </w:r>
      <w:proofErr w:type="spellEnd"/>
      <w:r w:rsidRPr="00F60746">
        <w:rPr>
          <w:lang w:val="en-GB"/>
        </w:rPr>
        <w:t xml:space="preserve">, E. M and Oladipo F. O. (2011). Assessment of Usage of Upgraded Shea Butter Processing Technology by Women Processors in Kwara State, Nigeria. </w:t>
      </w:r>
      <w:proofErr w:type="spellStart"/>
      <w:r w:rsidRPr="00F60746">
        <w:rPr>
          <w:lang w:val="en-GB"/>
        </w:rPr>
        <w:t>Agrosearch</w:t>
      </w:r>
      <w:proofErr w:type="spellEnd"/>
      <w:r w:rsidRPr="00F60746">
        <w:rPr>
          <w:lang w:val="en-GB"/>
        </w:rPr>
        <w:t>. www.ajol.info/index/agrosh/artucle/view/75054.</w:t>
      </w:r>
    </w:p>
    <w:p w14:paraId="4E2B08EC"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Maranz</w:t>
      </w:r>
      <w:proofErr w:type="spellEnd"/>
      <w:r w:rsidRPr="00F60746">
        <w:rPr>
          <w:szCs w:val="24"/>
          <w:lang w:val="en-GB"/>
        </w:rPr>
        <w:t xml:space="preserve">, S. and Wiesman, Z. (2003). Evidence for indigenous selection and distribution of the shea tree, Vitellaria paradoxa, and its potential significance to prevailing parkland savanna tree patterns in sub-Saharan Africa north of the equator. </w:t>
      </w:r>
      <w:r w:rsidRPr="00F60746">
        <w:rPr>
          <w:i/>
          <w:szCs w:val="24"/>
          <w:lang w:val="en-GB"/>
        </w:rPr>
        <w:t>Journal of Biogeography</w:t>
      </w:r>
      <w:r w:rsidRPr="00F60746">
        <w:rPr>
          <w:szCs w:val="24"/>
          <w:lang w:val="en-GB"/>
        </w:rPr>
        <w:t>, 30(1): 1505–1516.</w:t>
      </w:r>
    </w:p>
    <w:p w14:paraId="64021DFF"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Maranz</w:t>
      </w:r>
      <w:proofErr w:type="spellEnd"/>
      <w:r w:rsidRPr="00F60746">
        <w:rPr>
          <w:szCs w:val="24"/>
          <w:lang w:val="en-GB"/>
        </w:rPr>
        <w:t xml:space="preserve">, S., </w:t>
      </w:r>
      <w:proofErr w:type="spellStart"/>
      <w:r w:rsidRPr="00F60746">
        <w:rPr>
          <w:szCs w:val="24"/>
          <w:lang w:val="en-GB"/>
        </w:rPr>
        <w:t>Kpikpi</w:t>
      </w:r>
      <w:proofErr w:type="spellEnd"/>
      <w:r w:rsidRPr="00F60746">
        <w:rPr>
          <w:szCs w:val="24"/>
          <w:lang w:val="en-GB"/>
        </w:rPr>
        <w:t xml:space="preserve">, W., Wiesman, Z., De Saint Sauveur, A. and Chapagain, B. (2004). Nutritional values and indigenous preferences for Shea Fruits (vitellaria paradoxa C. F. </w:t>
      </w:r>
      <w:proofErr w:type="spellStart"/>
      <w:r w:rsidRPr="00F60746">
        <w:rPr>
          <w:szCs w:val="24"/>
          <w:lang w:val="en-GB"/>
        </w:rPr>
        <w:t>Gaertn</w:t>
      </w:r>
      <w:proofErr w:type="spellEnd"/>
      <w:r w:rsidRPr="00F60746">
        <w:rPr>
          <w:szCs w:val="24"/>
          <w:lang w:val="en-GB"/>
        </w:rPr>
        <w:t xml:space="preserve">. F.) in African Agroforestry Parklands. </w:t>
      </w:r>
      <w:r w:rsidRPr="00F60746">
        <w:rPr>
          <w:i/>
          <w:szCs w:val="24"/>
          <w:lang w:val="en-GB"/>
        </w:rPr>
        <w:t>Economic Botany</w:t>
      </w:r>
      <w:r w:rsidRPr="00F60746">
        <w:rPr>
          <w:szCs w:val="24"/>
          <w:lang w:val="en-GB"/>
        </w:rPr>
        <w:t>, 58(1): 588–600.</w:t>
      </w:r>
    </w:p>
    <w:p w14:paraId="4045BECA" w14:textId="77777777" w:rsidR="0090424B" w:rsidRPr="00F60746" w:rsidRDefault="001A1A44" w:rsidP="0090424B">
      <w:pPr>
        <w:autoSpaceDE w:val="0"/>
        <w:autoSpaceDN w:val="0"/>
        <w:adjustRightInd w:val="0"/>
        <w:ind w:left="720" w:hanging="720"/>
        <w:rPr>
          <w:szCs w:val="24"/>
          <w:lang w:val="en-GB"/>
        </w:rPr>
      </w:pPr>
      <w:hyperlink r:id="rId29" w:history="1">
        <w:r w:rsidR="0090424B" w:rsidRPr="00F60746">
          <w:rPr>
            <w:rStyle w:val="Hyperlink"/>
            <w:iCs/>
            <w:szCs w:val="24"/>
            <w:lang w:val="en-GB"/>
          </w:rPr>
          <w:t>Nations Encyclopedia (2022). Agriculture – Nigeria – export, growth, area, crops, farming, sector</w:t>
        </w:r>
      </w:hyperlink>
      <w:r w:rsidR="0090424B" w:rsidRPr="00F60746">
        <w:rPr>
          <w:rStyle w:val="reference-accessdate"/>
          <w:iCs/>
          <w:szCs w:val="24"/>
          <w:lang w:val="en-GB"/>
        </w:rPr>
        <w:t xml:space="preserve">. Retrieved from </w:t>
      </w:r>
      <w:hyperlink r:id="rId30" w:history="1">
        <w:r w:rsidR="0090424B" w:rsidRPr="00F60746">
          <w:rPr>
            <w:rStyle w:val="Hyperlink"/>
            <w:iCs/>
            <w:szCs w:val="24"/>
            <w:lang w:val="en-GB"/>
          </w:rPr>
          <w:t>https://www.nationsencyclopedia.com/Africa/Nigeria-AGRICULTURE.html</w:t>
        </w:r>
      </w:hyperlink>
      <w:r w:rsidR="0090424B" w:rsidRPr="00F60746">
        <w:rPr>
          <w:rStyle w:val="reference-accessdate"/>
          <w:iCs/>
          <w:szCs w:val="24"/>
          <w:lang w:val="en-GB"/>
        </w:rPr>
        <w:t xml:space="preserve"> on </w:t>
      </w:r>
      <w:r w:rsidR="0090424B" w:rsidRPr="00F60746">
        <w:rPr>
          <w:rStyle w:val="nowrap"/>
          <w:iCs/>
          <w:szCs w:val="24"/>
          <w:lang w:val="en-GB"/>
        </w:rPr>
        <w:t>31 July</w:t>
      </w:r>
      <w:r w:rsidR="0090424B" w:rsidRPr="00F60746">
        <w:rPr>
          <w:rStyle w:val="reference-accessdate"/>
          <w:iCs/>
          <w:szCs w:val="24"/>
          <w:lang w:val="en-GB"/>
        </w:rPr>
        <w:t> 2022</w:t>
      </w:r>
      <w:r w:rsidR="0090424B" w:rsidRPr="00F60746">
        <w:rPr>
          <w:rStyle w:val="HTMLCite"/>
          <w:szCs w:val="24"/>
          <w:lang w:val="en-GB"/>
        </w:rPr>
        <w:t>.</w:t>
      </w:r>
    </w:p>
    <w:p w14:paraId="4EB52E96"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Naughton, C. C., Lovett, P. N. and Mihelcic, J. R. (2015). Land suitability </w:t>
      </w:r>
      <w:proofErr w:type="spellStart"/>
      <w:r w:rsidRPr="00F60746">
        <w:rPr>
          <w:szCs w:val="24"/>
          <w:lang w:val="en-GB"/>
        </w:rPr>
        <w:t>modeling</w:t>
      </w:r>
      <w:proofErr w:type="spellEnd"/>
      <w:r w:rsidRPr="00F60746">
        <w:rPr>
          <w:szCs w:val="24"/>
          <w:lang w:val="en-GB"/>
        </w:rPr>
        <w:t xml:space="preserve"> of shea (Vitellaria paradoxa) distribution across sub-Saharan Africa. </w:t>
      </w:r>
      <w:r w:rsidRPr="00F60746">
        <w:rPr>
          <w:i/>
          <w:szCs w:val="24"/>
          <w:lang w:val="en-GB"/>
        </w:rPr>
        <w:t>Applied Geography</w:t>
      </w:r>
      <w:r w:rsidRPr="00F60746">
        <w:rPr>
          <w:szCs w:val="24"/>
          <w:lang w:val="en-GB"/>
        </w:rPr>
        <w:t>, 58, 217–227.</w:t>
      </w:r>
    </w:p>
    <w:p w14:paraId="17C91D37"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Okolo, C. C., </w:t>
      </w:r>
      <w:proofErr w:type="spellStart"/>
      <w:r w:rsidRPr="00F60746">
        <w:rPr>
          <w:szCs w:val="24"/>
          <w:lang w:val="en-GB"/>
        </w:rPr>
        <w:t>Omorogbee</w:t>
      </w:r>
      <w:proofErr w:type="spellEnd"/>
      <w:r w:rsidRPr="00F60746">
        <w:rPr>
          <w:szCs w:val="24"/>
          <w:lang w:val="en-GB"/>
        </w:rPr>
        <w:t xml:space="preserve">, F. E. and </w:t>
      </w:r>
      <w:proofErr w:type="spellStart"/>
      <w:r w:rsidRPr="00F60746">
        <w:rPr>
          <w:szCs w:val="24"/>
          <w:lang w:val="en-GB"/>
        </w:rPr>
        <w:t>Alufohai</w:t>
      </w:r>
      <w:proofErr w:type="spellEnd"/>
      <w:r w:rsidRPr="00F60746">
        <w:rPr>
          <w:szCs w:val="24"/>
          <w:lang w:val="en-GB"/>
        </w:rPr>
        <w:t xml:space="preserve">, G. E. (2016). Income generation from shea butter production by women in North Central States of Nigeria. </w:t>
      </w:r>
      <w:r w:rsidRPr="00F60746">
        <w:rPr>
          <w:i/>
          <w:szCs w:val="24"/>
          <w:lang w:val="en-GB"/>
        </w:rPr>
        <w:t>Journal of Agricultural Extension</w:t>
      </w:r>
      <w:r w:rsidRPr="00F60746">
        <w:rPr>
          <w:szCs w:val="24"/>
          <w:lang w:val="en-GB"/>
        </w:rPr>
        <w:t>, 20(1): 27-39.</w:t>
      </w:r>
    </w:p>
    <w:p w14:paraId="19728FF7"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Olumide, S. (2018). Niger seeks economic turnaround through shea butter production. The Guardian. Available at: </w:t>
      </w:r>
      <w:hyperlink r:id="rId31" w:history="1">
        <w:r w:rsidRPr="00F60746">
          <w:rPr>
            <w:rStyle w:val="Hyperlink"/>
            <w:szCs w:val="24"/>
            <w:lang w:val="en-GB"/>
          </w:rPr>
          <w:t>https://guardian.ng/features/niger-seeks-economic-turnaround-through-shea-butter-production/</w:t>
        </w:r>
      </w:hyperlink>
      <w:r w:rsidRPr="00F60746">
        <w:rPr>
          <w:szCs w:val="24"/>
          <w:lang w:val="en-GB"/>
        </w:rPr>
        <w:t>. Accessed on 3</w:t>
      </w:r>
      <w:r w:rsidRPr="00F60746">
        <w:rPr>
          <w:szCs w:val="24"/>
          <w:vertAlign w:val="superscript"/>
          <w:lang w:val="en-GB"/>
        </w:rPr>
        <w:t>rd</w:t>
      </w:r>
      <w:r w:rsidRPr="00F60746">
        <w:rPr>
          <w:szCs w:val="24"/>
          <w:lang w:val="en-GB"/>
        </w:rPr>
        <w:t xml:space="preserve"> August, 2022.</w:t>
      </w:r>
    </w:p>
    <w:p w14:paraId="5B09A70F" w14:textId="77777777" w:rsidR="0090424B" w:rsidRPr="00F60746" w:rsidRDefault="0090424B" w:rsidP="0090424B">
      <w:pPr>
        <w:autoSpaceDE w:val="0"/>
        <w:autoSpaceDN w:val="0"/>
        <w:adjustRightInd w:val="0"/>
        <w:ind w:left="720" w:hanging="720"/>
        <w:rPr>
          <w:szCs w:val="24"/>
          <w:lang w:val="en-GB"/>
        </w:rPr>
      </w:pPr>
      <w:proofErr w:type="spellStart"/>
      <w:r w:rsidRPr="00F60746">
        <w:rPr>
          <w:szCs w:val="24"/>
          <w:lang w:val="en-GB"/>
        </w:rPr>
        <w:t>Omon</w:t>
      </w:r>
      <w:proofErr w:type="spellEnd"/>
      <w:r w:rsidRPr="00F60746">
        <w:rPr>
          <w:szCs w:val="24"/>
          <w:lang w:val="en-GB"/>
        </w:rPr>
        <w:t xml:space="preserve">, E. J. and </w:t>
      </w:r>
      <w:proofErr w:type="spellStart"/>
      <w:r w:rsidRPr="00F60746">
        <w:rPr>
          <w:szCs w:val="24"/>
          <w:lang w:val="en-GB"/>
        </w:rPr>
        <w:t>Ilobekemen</w:t>
      </w:r>
      <w:proofErr w:type="spellEnd"/>
      <w:r w:rsidRPr="00F60746">
        <w:rPr>
          <w:szCs w:val="24"/>
          <w:lang w:val="en-GB"/>
        </w:rPr>
        <w:t xml:space="preserve">, O. M. (2018). Legal and regulatory reforms of forest resources conservation in Edo South, Edo State, Nigeria. </w:t>
      </w:r>
      <w:r w:rsidRPr="00F60746">
        <w:rPr>
          <w:i/>
          <w:szCs w:val="24"/>
          <w:lang w:val="en-GB"/>
        </w:rPr>
        <w:t>Journal of Law, Policy and Globalization</w:t>
      </w:r>
      <w:r w:rsidRPr="00F60746">
        <w:rPr>
          <w:szCs w:val="24"/>
          <w:lang w:val="en-GB"/>
        </w:rPr>
        <w:t>, 72(1): 38-46.</w:t>
      </w:r>
    </w:p>
    <w:p w14:paraId="1C5ACA5C"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lastRenderedPageBreak/>
        <w:t xml:space="preserve">Poudyal, M. (2011). Chiefs and Trees: tenures and Incentives in the Management and Use of Two Multipurpose Tree Species in Agroforestry Parklands in Northern Ghana. </w:t>
      </w:r>
      <w:r w:rsidRPr="00F60746">
        <w:rPr>
          <w:i/>
          <w:szCs w:val="24"/>
          <w:lang w:val="en-GB"/>
        </w:rPr>
        <w:t>Society &amp; Natural Resources</w:t>
      </w:r>
      <w:r w:rsidRPr="00F60746">
        <w:rPr>
          <w:szCs w:val="24"/>
          <w:lang w:val="en-GB"/>
        </w:rPr>
        <w:t xml:space="preserve">, 24(1): 1063–1077. </w:t>
      </w:r>
    </w:p>
    <w:p w14:paraId="6211F214"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Pouliot, M. (2012). Contribution of women’s gold to West African livelihoods: the case of shea (Vitellaria paradoxa) in Burkina Faso. </w:t>
      </w:r>
      <w:r w:rsidRPr="00F60746">
        <w:rPr>
          <w:i/>
          <w:szCs w:val="24"/>
          <w:lang w:val="en-GB"/>
        </w:rPr>
        <w:t>Economic Botany</w:t>
      </w:r>
      <w:r w:rsidRPr="00F60746">
        <w:rPr>
          <w:szCs w:val="24"/>
          <w:lang w:val="en-GB"/>
        </w:rPr>
        <w:t>, 66(1): 237–248.</w:t>
      </w:r>
    </w:p>
    <w:p w14:paraId="6580CE1E" w14:textId="77777777" w:rsidR="0090424B" w:rsidRPr="00F60746" w:rsidRDefault="0090424B" w:rsidP="0090424B">
      <w:pPr>
        <w:autoSpaceDE w:val="0"/>
        <w:autoSpaceDN w:val="0"/>
        <w:adjustRightInd w:val="0"/>
        <w:ind w:left="720" w:hanging="720"/>
        <w:rPr>
          <w:szCs w:val="24"/>
          <w:lang w:val="en-GB"/>
        </w:rPr>
      </w:pPr>
      <w:r w:rsidRPr="00F60746">
        <w:rPr>
          <w:w w:val="95"/>
          <w:szCs w:val="24"/>
          <w:lang w:val="en-GB"/>
        </w:rPr>
        <w:t xml:space="preserve">Quisumbing, A., </w:t>
      </w:r>
      <w:proofErr w:type="spellStart"/>
      <w:r w:rsidRPr="00F60746">
        <w:rPr>
          <w:w w:val="95"/>
          <w:szCs w:val="24"/>
          <w:lang w:val="en-GB"/>
        </w:rPr>
        <w:t>Meinzen</w:t>
      </w:r>
      <w:proofErr w:type="spellEnd"/>
      <w:r w:rsidRPr="00F60746">
        <w:rPr>
          <w:w w:val="95"/>
          <w:szCs w:val="24"/>
          <w:lang w:val="en-GB"/>
        </w:rPr>
        <w:t xml:space="preserve">-Dick, R., Raney, T. L., </w:t>
      </w:r>
      <w:proofErr w:type="spellStart"/>
      <w:r w:rsidRPr="00F60746">
        <w:rPr>
          <w:w w:val="95"/>
          <w:szCs w:val="24"/>
          <w:lang w:val="en-GB"/>
        </w:rPr>
        <w:t>Croppenstedt</w:t>
      </w:r>
      <w:proofErr w:type="spellEnd"/>
      <w:r w:rsidRPr="00F60746">
        <w:rPr>
          <w:w w:val="95"/>
          <w:szCs w:val="24"/>
          <w:lang w:val="en-GB"/>
        </w:rPr>
        <w:t>, A., Behrman, J. A. and Peterman, A.</w:t>
      </w:r>
      <w:r w:rsidRPr="00F60746">
        <w:rPr>
          <w:spacing w:val="1"/>
          <w:w w:val="95"/>
          <w:szCs w:val="24"/>
          <w:lang w:val="en-GB"/>
        </w:rPr>
        <w:t xml:space="preserve"> (</w:t>
      </w:r>
      <w:r w:rsidRPr="00F60746">
        <w:rPr>
          <w:w w:val="95"/>
          <w:szCs w:val="24"/>
          <w:lang w:val="en-GB"/>
        </w:rPr>
        <w:t xml:space="preserve">2014). Closing the knowledge gap on gender in agriculture. In </w:t>
      </w:r>
      <w:r w:rsidRPr="00F60746">
        <w:rPr>
          <w:i/>
          <w:w w:val="95"/>
          <w:szCs w:val="24"/>
          <w:lang w:val="en-GB"/>
        </w:rPr>
        <w:t>Gender in agriculture: closing the</w:t>
      </w:r>
      <w:r w:rsidRPr="00F60746">
        <w:rPr>
          <w:i/>
          <w:spacing w:val="1"/>
          <w:w w:val="95"/>
          <w:szCs w:val="24"/>
          <w:lang w:val="en-GB"/>
        </w:rPr>
        <w:t xml:space="preserve"> </w:t>
      </w:r>
      <w:r w:rsidRPr="00F60746">
        <w:rPr>
          <w:i/>
          <w:w w:val="95"/>
          <w:szCs w:val="24"/>
          <w:lang w:val="en-GB"/>
        </w:rPr>
        <w:t xml:space="preserve">knowledge </w:t>
      </w:r>
      <w:r w:rsidRPr="00F60746">
        <w:rPr>
          <w:w w:val="95"/>
          <w:szCs w:val="24"/>
          <w:lang w:val="en-GB"/>
        </w:rPr>
        <w:t xml:space="preserve">g </w:t>
      </w:r>
      <w:proofErr w:type="spellStart"/>
      <w:r w:rsidRPr="00F60746">
        <w:rPr>
          <w:i/>
          <w:w w:val="95"/>
          <w:szCs w:val="24"/>
          <w:lang w:val="en-GB"/>
        </w:rPr>
        <w:t>ip</w:t>
      </w:r>
      <w:proofErr w:type="spellEnd"/>
      <w:r w:rsidRPr="00F60746">
        <w:rPr>
          <w:i/>
          <w:w w:val="95"/>
          <w:szCs w:val="24"/>
          <w:lang w:val="en-GB"/>
        </w:rPr>
        <w:t xml:space="preserve">, </w:t>
      </w:r>
      <w:r w:rsidRPr="00F60746">
        <w:rPr>
          <w:w w:val="95"/>
          <w:szCs w:val="24"/>
          <w:lang w:val="en-GB"/>
        </w:rPr>
        <w:t>eds. A.R. Quisumbing,</w:t>
      </w:r>
      <w:r w:rsidRPr="00F60746">
        <w:rPr>
          <w:spacing w:val="1"/>
          <w:w w:val="95"/>
          <w:szCs w:val="24"/>
          <w:lang w:val="en-GB"/>
        </w:rPr>
        <w:t xml:space="preserve"> </w:t>
      </w:r>
      <w:r w:rsidRPr="00F60746">
        <w:rPr>
          <w:w w:val="95"/>
          <w:szCs w:val="24"/>
          <w:lang w:val="en-GB"/>
        </w:rPr>
        <w:t xml:space="preserve">R. </w:t>
      </w:r>
      <w:proofErr w:type="spellStart"/>
      <w:r w:rsidRPr="00F60746">
        <w:rPr>
          <w:w w:val="95"/>
          <w:szCs w:val="24"/>
          <w:lang w:val="en-GB"/>
        </w:rPr>
        <w:t>Meinzen</w:t>
      </w:r>
      <w:proofErr w:type="spellEnd"/>
      <w:r w:rsidRPr="00F60746">
        <w:rPr>
          <w:w w:val="95"/>
          <w:szCs w:val="24"/>
          <w:lang w:val="en-GB"/>
        </w:rPr>
        <w:t>-Dick,</w:t>
      </w:r>
      <w:r w:rsidRPr="00F60746">
        <w:rPr>
          <w:spacing w:val="1"/>
          <w:w w:val="95"/>
          <w:szCs w:val="24"/>
          <w:lang w:val="en-GB"/>
        </w:rPr>
        <w:t xml:space="preserve"> </w:t>
      </w:r>
      <w:r w:rsidRPr="00F60746">
        <w:rPr>
          <w:w w:val="95"/>
          <w:szCs w:val="24"/>
          <w:lang w:val="en-GB"/>
        </w:rPr>
        <w:t>T.L. Raney,</w:t>
      </w:r>
      <w:r w:rsidRPr="00F60746">
        <w:rPr>
          <w:spacing w:val="1"/>
          <w:w w:val="95"/>
          <w:szCs w:val="24"/>
          <w:lang w:val="en-GB"/>
        </w:rPr>
        <w:t xml:space="preserve"> </w:t>
      </w:r>
      <w:r w:rsidRPr="00F60746">
        <w:rPr>
          <w:w w:val="95"/>
          <w:szCs w:val="24"/>
          <w:lang w:val="en-GB"/>
        </w:rPr>
        <w:t xml:space="preserve">A. </w:t>
      </w:r>
      <w:proofErr w:type="spellStart"/>
      <w:r w:rsidRPr="00F60746">
        <w:rPr>
          <w:w w:val="95"/>
          <w:szCs w:val="24"/>
          <w:lang w:val="en-GB"/>
        </w:rPr>
        <w:t>Croppenstedt</w:t>
      </w:r>
      <w:proofErr w:type="spellEnd"/>
      <w:r w:rsidRPr="00F60746">
        <w:rPr>
          <w:w w:val="95"/>
          <w:szCs w:val="24"/>
          <w:lang w:val="en-GB"/>
        </w:rPr>
        <w:t>,</w:t>
      </w:r>
      <w:r w:rsidRPr="00F60746">
        <w:rPr>
          <w:spacing w:val="1"/>
          <w:w w:val="95"/>
          <w:szCs w:val="24"/>
          <w:lang w:val="en-GB"/>
        </w:rPr>
        <w:t xml:space="preserve"> </w:t>
      </w:r>
      <w:r w:rsidRPr="00F60746">
        <w:rPr>
          <w:w w:val="95"/>
          <w:szCs w:val="24"/>
          <w:lang w:val="en-GB"/>
        </w:rPr>
        <w:t>J.A.</w:t>
      </w:r>
      <w:r w:rsidRPr="00F60746">
        <w:rPr>
          <w:spacing w:val="1"/>
          <w:w w:val="95"/>
          <w:szCs w:val="24"/>
          <w:lang w:val="en-GB"/>
        </w:rPr>
        <w:t xml:space="preserve"> </w:t>
      </w:r>
      <w:r w:rsidRPr="00F60746">
        <w:rPr>
          <w:szCs w:val="24"/>
          <w:lang w:val="en-GB"/>
        </w:rPr>
        <w:t>Behrman,</w:t>
      </w:r>
      <w:r w:rsidRPr="00F60746">
        <w:rPr>
          <w:spacing w:val="15"/>
          <w:szCs w:val="24"/>
          <w:lang w:val="en-GB"/>
        </w:rPr>
        <w:t xml:space="preserve"> </w:t>
      </w:r>
      <w:r w:rsidRPr="00F60746">
        <w:rPr>
          <w:szCs w:val="24"/>
          <w:lang w:val="en-GB"/>
        </w:rPr>
        <w:t>and</w:t>
      </w:r>
      <w:r w:rsidRPr="00F60746">
        <w:rPr>
          <w:spacing w:val="8"/>
          <w:szCs w:val="24"/>
          <w:lang w:val="en-GB"/>
        </w:rPr>
        <w:t xml:space="preserve"> </w:t>
      </w:r>
      <w:r w:rsidRPr="00F60746">
        <w:rPr>
          <w:szCs w:val="24"/>
          <w:lang w:val="en-GB"/>
        </w:rPr>
        <w:t>A.</w:t>
      </w:r>
      <w:r w:rsidRPr="00F60746">
        <w:rPr>
          <w:spacing w:val="4"/>
          <w:szCs w:val="24"/>
          <w:lang w:val="en-GB"/>
        </w:rPr>
        <w:t xml:space="preserve"> </w:t>
      </w:r>
      <w:r w:rsidRPr="00F60746">
        <w:rPr>
          <w:szCs w:val="24"/>
          <w:lang w:val="en-GB"/>
        </w:rPr>
        <w:t>Peterman,</w:t>
      </w:r>
      <w:r w:rsidRPr="00F60746">
        <w:rPr>
          <w:spacing w:val="14"/>
          <w:szCs w:val="24"/>
          <w:lang w:val="en-GB"/>
        </w:rPr>
        <w:t xml:space="preserve"> </w:t>
      </w:r>
      <w:r w:rsidRPr="00F60746">
        <w:rPr>
          <w:szCs w:val="24"/>
          <w:lang w:val="en-GB"/>
        </w:rPr>
        <w:t>3—27.</w:t>
      </w:r>
      <w:r w:rsidRPr="00F60746">
        <w:rPr>
          <w:spacing w:val="13"/>
          <w:szCs w:val="24"/>
          <w:lang w:val="en-GB"/>
        </w:rPr>
        <w:t xml:space="preserve"> </w:t>
      </w:r>
      <w:r w:rsidRPr="00F60746">
        <w:rPr>
          <w:szCs w:val="24"/>
          <w:lang w:val="en-GB"/>
        </w:rPr>
        <w:t>Dordrecht:</w:t>
      </w:r>
      <w:r w:rsidRPr="00F60746">
        <w:rPr>
          <w:spacing w:val="10"/>
          <w:szCs w:val="24"/>
          <w:lang w:val="en-GB"/>
        </w:rPr>
        <w:t xml:space="preserve"> </w:t>
      </w:r>
      <w:r w:rsidRPr="00F60746">
        <w:rPr>
          <w:szCs w:val="24"/>
          <w:lang w:val="en-GB"/>
        </w:rPr>
        <w:t>Springer.</w:t>
      </w:r>
    </w:p>
    <w:p w14:paraId="19704179"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Razavi,</w:t>
      </w:r>
      <w:r w:rsidRPr="00F60746">
        <w:rPr>
          <w:spacing w:val="-4"/>
          <w:szCs w:val="24"/>
          <w:lang w:val="en-GB"/>
        </w:rPr>
        <w:t xml:space="preserve"> </w:t>
      </w:r>
      <w:r w:rsidRPr="00F60746">
        <w:rPr>
          <w:szCs w:val="24"/>
          <w:lang w:val="en-GB"/>
        </w:rPr>
        <w:t>S.</w:t>
      </w:r>
      <w:r w:rsidRPr="00F60746">
        <w:rPr>
          <w:spacing w:val="-9"/>
          <w:szCs w:val="24"/>
          <w:lang w:val="en-GB"/>
        </w:rPr>
        <w:t xml:space="preserve"> (</w:t>
      </w:r>
      <w:r w:rsidRPr="00F60746">
        <w:rPr>
          <w:szCs w:val="24"/>
          <w:lang w:val="en-GB"/>
        </w:rPr>
        <w:t>2017).</w:t>
      </w:r>
      <w:r w:rsidRPr="00F60746">
        <w:rPr>
          <w:spacing w:val="-3"/>
          <w:szCs w:val="24"/>
          <w:lang w:val="en-GB"/>
        </w:rPr>
        <w:t xml:space="preserve"> </w:t>
      </w:r>
      <w:r w:rsidRPr="00F60746">
        <w:rPr>
          <w:szCs w:val="24"/>
          <w:lang w:val="en-GB"/>
        </w:rPr>
        <w:t>Agrarian debates</w:t>
      </w:r>
      <w:r w:rsidRPr="00F60746">
        <w:rPr>
          <w:spacing w:val="-2"/>
          <w:szCs w:val="24"/>
          <w:lang w:val="en-GB"/>
        </w:rPr>
        <w:t xml:space="preserve"> </w:t>
      </w:r>
      <w:r w:rsidRPr="00F60746">
        <w:rPr>
          <w:szCs w:val="24"/>
          <w:lang w:val="en-GB"/>
        </w:rPr>
        <w:t>and</w:t>
      </w:r>
      <w:r w:rsidRPr="00F60746">
        <w:rPr>
          <w:spacing w:val="-5"/>
          <w:szCs w:val="24"/>
          <w:lang w:val="en-GB"/>
        </w:rPr>
        <w:t xml:space="preserve"> </w:t>
      </w:r>
      <w:r w:rsidRPr="00F60746">
        <w:rPr>
          <w:szCs w:val="24"/>
          <w:lang w:val="en-GB"/>
        </w:rPr>
        <w:t>gender</w:t>
      </w:r>
      <w:r w:rsidRPr="00F60746">
        <w:rPr>
          <w:spacing w:val="-5"/>
          <w:szCs w:val="24"/>
          <w:lang w:val="en-GB"/>
        </w:rPr>
        <w:t xml:space="preserve"> </w:t>
      </w:r>
      <w:r w:rsidRPr="00F60746">
        <w:rPr>
          <w:szCs w:val="24"/>
          <w:lang w:val="en-GB"/>
        </w:rPr>
        <w:t>relations:</w:t>
      </w:r>
      <w:r w:rsidRPr="00F60746">
        <w:rPr>
          <w:spacing w:val="-1"/>
          <w:szCs w:val="24"/>
          <w:lang w:val="en-GB"/>
        </w:rPr>
        <w:t xml:space="preserve"> </w:t>
      </w:r>
      <w:r w:rsidRPr="00F60746">
        <w:rPr>
          <w:szCs w:val="24"/>
          <w:lang w:val="en-GB"/>
        </w:rPr>
        <w:t>‘Now</w:t>
      </w:r>
      <w:r w:rsidRPr="00F60746">
        <w:rPr>
          <w:spacing w:val="-4"/>
          <w:szCs w:val="24"/>
          <w:lang w:val="en-GB"/>
        </w:rPr>
        <w:t xml:space="preserve"> </w:t>
      </w:r>
      <w:r w:rsidRPr="00F60746">
        <w:rPr>
          <w:szCs w:val="24"/>
          <w:lang w:val="en-GB"/>
        </w:rPr>
        <w:t>you</w:t>
      </w:r>
      <w:r w:rsidRPr="00F60746">
        <w:rPr>
          <w:spacing w:val="-4"/>
          <w:szCs w:val="24"/>
          <w:lang w:val="en-GB"/>
        </w:rPr>
        <w:t xml:space="preserve"> </w:t>
      </w:r>
      <w:r w:rsidRPr="00F60746">
        <w:rPr>
          <w:szCs w:val="24"/>
          <w:lang w:val="en-GB"/>
        </w:rPr>
        <w:t>see</w:t>
      </w:r>
      <w:r w:rsidRPr="00F60746">
        <w:rPr>
          <w:spacing w:val="-7"/>
          <w:szCs w:val="24"/>
          <w:lang w:val="en-GB"/>
        </w:rPr>
        <w:t xml:space="preserve"> </w:t>
      </w:r>
      <w:r w:rsidRPr="00F60746">
        <w:rPr>
          <w:szCs w:val="24"/>
          <w:lang w:val="en-GB"/>
        </w:rPr>
        <w:t>them,</w:t>
      </w:r>
      <w:r w:rsidRPr="00F60746">
        <w:rPr>
          <w:spacing w:val="-3"/>
          <w:szCs w:val="24"/>
          <w:lang w:val="en-GB"/>
        </w:rPr>
        <w:t xml:space="preserve"> </w:t>
      </w:r>
      <w:r w:rsidRPr="00F60746">
        <w:rPr>
          <w:szCs w:val="24"/>
          <w:lang w:val="en-GB"/>
        </w:rPr>
        <w:t>now</w:t>
      </w:r>
      <w:r w:rsidRPr="00F60746">
        <w:rPr>
          <w:spacing w:val="-4"/>
          <w:szCs w:val="24"/>
          <w:lang w:val="en-GB"/>
        </w:rPr>
        <w:t xml:space="preserve"> </w:t>
      </w:r>
      <w:r w:rsidRPr="00F60746">
        <w:rPr>
          <w:szCs w:val="24"/>
          <w:lang w:val="en-GB"/>
        </w:rPr>
        <w:t>you</w:t>
      </w:r>
      <w:r w:rsidRPr="00F60746">
        <w:rPr>
          <w:spacing w:val="-6"/>
          <w:szCs w:val="24"/>
          <w:lang w:val="en-GB"/>
        </w:rPr>
        <w:t xml:space="preserve"> </w:t>
      </w:r>
      <w:r w:rsidRPr="00F60746">
        <w:rPr>
          <w:szCs w:val="24"/>
          <w:lang w:val="en-GB"/>
        </w:rPr>
        <w:t>don’t’.</w:t>
      </w:r>
      <w:r w:rsidRPr="00F60746">
        <w:rPr>
          <w:spacing w:val="-6"/>
          <w:szCs w:val="24"/>
          <w:lang w:val="en-GB"/>
        </w:rPr>
        <w:t xml:space="preserve"> </w:t>
      </w:r>
      <w:r w:rsidRPr="00F60746">
        <w:rPr>
          <w:szCs w:val="24"/>
          <w:lang w:val="en-GB"/>
        </w:rPr>
        <w:t>In</w:t>
      </w:r>
      <w:r w:rsidRPr="00F60746">
        <w:rPr>
          <w:spacing w:val="-3"/>
          <w:szCs w:val="24"/>
          <w:lang w:val="en-GB"/>
        </w:rPr>
        <w:t xml:space="preserve"> </w:t>
      </w:r>
      <w:r w:rsidRPr="00F60746">
        <w:rPr>
          <w:i/>
          <w:szCs w:val="24"/>
          <w:lang w:val="en-GB"/>
        </w:rPr>
        <w:t>Du</w:t>
      </w:r>
      <w:r w:rsidRPr="00F60746">
        <w:rPr>
          <w:i/>
          <w:spacing w:val="-41"/>
          <w:szCs w:val="24"/>
          <w:lang w:val="en-GB"/>
        </w:rPr>
        <w:t xml:space="preserve"> </w:t>
      </w:r>
      <w:r w:rsidRPr="00F60746">
        <w:rPr>
          <w:i/>
          <w:w w:val="95"/>
          <w:szCs w:val="24"/>
          <w:lang w:val="en-GB"/>
        </w:rPr>
        <w:t xml:space="preserve">grain à </w:t>
      </w:r>
      <w:proofErr w:type="spellStart"/>
      <w:r w:rsidRPr="00F60746">
        <w:rPr>
          <w:i/>
          <w:w w:val="95"/>
          <w:szCs w:val="24"/>
          <w:lang w:val="en-GB"/>
        </w:rPr>
        <w:t>moudre</w:t>
      </w:r>
      <w:proofErr w:type="spellEnd"/>
      <w:r w:rsidRPr="00F60746">
        <w:rPr>
          <w:i/>
          <w:w w:val="95"/>
          <w:szCs w:val="24"/>
          <w:lang w:val="en-GB"/>
        </w:rPr>
        <w:t xml:space="preserve">: Genre, </w:t>
      </w:r>
      <w:proofErr w:type="spellStart"/>
      <w:r w:rsidRPr="00F60746">
        <w:rPr>
          <w:i/>
          <w:w w:val="95"/>
          <w:szCs w:val="24"/>
          <w:lang w:val="en-GB"/>
        </w:rPr>
        <w:t>développement</w:t>
      </w:r>
      <w:proofErr w:type="spellEnd"/>
      <w:r w:rsidRPr="00F60746">
        <w:rPr>
          <w:i/>
          <w:w w:val="95"/>
          <w:szCs w:val="24"/>
          <w:lang w:val="en-GB"/>
        </w:rPr>
        <w:t xml:space="preserve"> rural et alimentation, </w:t>
      </w:r>
      <w:r w:rsidRPr="00F60746">
        <w:rPr>
          <w:w w:val="95"/>
          <w:szCs w:val="24"/>
          <w:lang w:val="en-GB"/>
        </w:rPr>
        <w:t xml:space="preserve">ed. C. </w:t>
      </w:r>
      <w:proofErr w:type="spellStart"/>
      <w:r w:rsidRPr="00F60746">
        <w:rPr>
          <w:w w:val="95"/>
          <w:szCs w:val="24"/>
          <w:lang w:val="en-GB"/>
        </w:rPr>
        <w:t>Verschuur</w:t>
      </w:r>
      <w:proofErr w:type="spellEnd"/>
      <w:r w:rsidRPr="00F60746">
        <w:rPr>
          <w:w w:val="95"/>
          <w:szCs w:val="24"/>
          <w:lang w:val="en-GB"/>
        </w:rPr>
        <w:t>, 47—58. Genève:</w:t>
      </w:r>
      <w:r w:rsidRPr="00F60746">
        <w:rPr>
          <w:spacing w:val="1"/>
          <w:w w:val="95"/>
          <w:szCs w:val="24"/>
          <w:lang w:val="en-GB"/>
        </w:rPr>
        <w:t xml:space="preserve"> </w:t>
      </w:r>
      <w:r w:rsidRPr="00F60746">
        <w:rPr>
          <w:szCs w:val="24"/>
          <w:lang w:val="en-GB"/>
        </w:rPr>
        <w:t>Graduate</w:t>
      </w:r>
      <w:r w:rsidRPr="00F60746">
        <w:rPr>
          <w:spacing w:val="10"/>
          <w:szCs w:val="24"/>
          <w:lang w:val="en-GB"/>
        </w:rPr>
        <w:t xml:space="preserve"> </w:t>
      </w:r>
      <w:r w:rsidRPr="00F60746">
        <w:rPr>
          <w:szCs w:val="24"/>
          <w:lang w:val="en-GB"/>
        </w:rPr>
        <w:t>Institute</w:t>
      </w:r>
      <w:r w:rsidRPr="00F60746">
        <w:rPr>
          <w:spacing w:val="13"/>
          <w:szCs w:val="24"/>
          <w:lang w:val="en-GB"/>
        </w:rPr>
        <w:t xml:space="preserve"> </w:t>
      </w:r>
      <w:r w:rsidRPr="00F60746">
        <w:rPr>
          <w:szCs w:val="24"/>
          <w:lang w:val="en-GB"/>
        </w:rPr>
        <w:t>Publications.</w:t>
      </w:r>
    </w:p>
    <w:p w14:paraId="028C7A01" w14:textId="77777777" w:rsidR="0090424B" w:rsidRPr="00F60746" w:rsidRDefault="0090424B" w:rsidP="0090424B">
      <w:pPr>
        <w:autoSpaceDE w:val="0"/>
        <w:autoSpaceDN w:val="0"/>
        <w:adjustRightInd w:val="0"/>
        <w:ind w:left="720" w:hanging="720"/>
        <w:rPr>
          <w:w w:val="95"/>
          <w:szCs w:val="24"/>
          <w:lang w:val="en-GB"/>
        </w:rPr>
      </w:pPr>
      <w:r w:rsidRPr="00F60746">
        <w:rPr>
          <w:spacing w:val="-1"/>
          <w:w w:val="95"/>
          <w:szCs w:val="24"/>
          <w:lang w:val="en-GB"/>
        </w:rPr>
        <w:t xml:space="preserve">Ribot, J. C., and Peluso, N. L. (2003). A theory </w:t>
      </w:r>
      <w:r w:rsidRPr="00F60746">
        <w:rPr>
          <w:w w:val="95"/>
          <w:szCs w:val="24"/>
          <w:lang w:val="en-GB"/>
        </w:rPr>
        <w:t xml:space="preserve">of access. </w:t>
      </w:r>
      <w:r w:rsidRPr="00F60746">
        <w:rPr>
          <w:i/>
          <w:w w:val="95"/>
          <w:szCs w:val="24"/>
          <w:lang w:val="en-GB"/>
        </w:rPr>
        <w:t xml:space="preserve">Rural Sociology, </w:t>
      </w:r>
      <w:r w:rsidRPr="00F60746">
        <w:rPr>
          <w:w w:val="95"/>
          <w:szCs w:val="24"/>
          <w:lang w:val="en-GB"/>
        </w:rPr>
        <w:t>68(2): 153—181.</w:t>
      </w:r>
    </w:p>
    <w:p w14:paraId="623130EF" w14:textId="77777777" w:rsidR="0090424B" w:rsidRPr="00F60746" w:rsidRDefault="0090424B" w:rsidP="0090424B">
      <w:pPr>
        <w:autoSpaceDE w:val="0"/>
        <w:autoSpaceDN w:val="0"/>
        <w:adjustRightInd w:val="0"/>
        <w:ind w:left="720" w:hanging="720"/>
        <w:rPr>
          <w:w w:val="95"/>
          <w:szCs w:val="24"/>
          <w:lang w:val="en-GB"/>
        </w:rPr>
      </w:pPr>
      <w:r w:rsidRPr="00F60746">
        <w:rPr>
          <w:w w:val="95"/>
          <w:szCs w:val="24"/>
          <w:lang w:val="en-GB"/>
        </w:rPr>
        <w:t xml:space="preserve">Rousseau, K., Gautier, D. and Wardell, D. A. (2017). Socio-economic differentiation and shea globalization in Western Burkina Faso: Integrating gender politics and agrarian change. </w:t>
      </w:r>
      <w:r w:rsidRPr="00F60746">
        <w:rPr>
          <w:i/>
          <w:w w:val="95"/>
          <w:szCs w:val="24"/>
          <w:lang w:val="en-GB"/>
        </w:rPr>
        <w:t>The Journal of Peasant Studies</w:t>
      </w:r>
      <w:r w:rsidRPr="00F60746">
        <w:rPr>
          <w:w w:val="95"/>
          <w:szCs w:val="24"/>
          <w:lang w:val="en-GB"/>
        </w:rPr>
        <w:t>, 10(1):1-21.</w:t>
      </w:r>
    </w:p>
    <w:p w14:paraId="142F1FFD" w14:textId="77777777" w:rsidR="0090424B" w:rsidRPr="00F60746" w:rsidRDefault="0090424B" w:rsidP="0090424B">
      <w:pPr>
        <w:autoSpaceDE w:val="0"/>
        <w:autoSpaceDN w:val="0"/>
        <w:adjustRightInd w:val="0"/>
        <w:ind w:left="720" w:hanging="720"/>
        <w:rPr>
          <w:w w:val="95"/>
          <w:szCs w:val="24"/>
          <w:lang w:val="en-GB"/>
        </w:rPr>
      </w:pPr>
      <w:proofErr w:type="spellStart"/>
      <w:r w:rsidRPr="00F60746">
        <w:rPr>
          <w:w w:val="95"/>
          <w:szCs w:val="24"/>
          <w:lang w:val="en-GB"/>
        </w:rPr>
        <w:t>Schreckenberg</w:t>
      </w:r>
      <w:proofErr w:type="spellEnd"/>
      <w:r w:rsidRPr="00F60746">
        <w:rPr>
          <w:w w:val="95"/>
          <w:szCs w:val="24"/>
          <w:lang w:val="en-GB"/>
        </w:rPr>
        <w:t xml:space="preserve">, K. (2004). Products of a managed landscape: Non-timber forest products in the parklands of the </w:t>
      </w:r>
      <w:proofErr w:type="spellStart"/>
      <w:r w:rsidRPr="00F60746">
        <w:rPr>
          <w:w w:val="95"/>
          <w:szCs w:val="24"/>
          <w:lang w:val="en-GB"/>
        </w:rPr>
        <w:t>Bassila</w:t>
      </w:r>
      <w:proofErr w:type="spellEnd"/>
      <w:r w:rsidRPr="00F60746">
        <w:rPr>
          <w:w w:val="95"/>
          <w:szCs w:val="24"/>
          <w:lang w:val="en-GB"/>
        </w:rPr>
        <w:t xml:space="preserve"> region, Benin. </w:t>
      </w:r>
      <w:r w:rsidRPr="00F60746">
        <w:rPr>
          <w:i/>
          <w:w w:val="95"/>
          <w:szCs w:val="24"/>
          <w:lang w:val="en-GB"/>
        </w:rPr>
        <w:t xml:space="preserve">Global Ecology and </w:t>
      </w:r>
      <w:proofErr w:type="spellStart"/>
      <w:r w:rsidRPr="00F60746">
        <w:rPr>
          <w:i/>
          <w:w w:val="95"/>
          <w:szCs w:val="24"/>
          <w:lang w:val="en-GB"/>
        </w:rPr>
        <w:t>Biolography</w:t>
      </w:r>
      <w:proofErr w:type="spellEnd"/>
      <w:r w:rsidRPr="00F60746">
        <w:rPr>
          <w:w w:val="95"/>
          <w:szCs w:val="24"/>
          <w:lang w:val="en-GB"/>
        </w:rPr>
        <w:t>, 8(3): 279-289.</w:t>
      </w:r>
    </w:p>
    <w:p w14:paraId="6EEAEB3F"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Sinare, H., Gordon, L. and Kautsky, E. (2016). Assessment of ecosystem services and benefits in village landscapes: a case study from Burkina Faso. Ecosystem Service, 21(1):141–152.</w:t>
      </w:r>
    </w:p>
    <w:p w14:paraId="454FD4E2" w14:textId="77777777" w:rsidR="0090424B" w:rsidRPr="00F60746" w:rsidRDefault="0090424B" w:rsidP="0090424B">
      <w:pPr>
        <w:autoSpaceDE w:val="0"/>
        <w:autoSpaceDN w:val="0"/>
        <w:adjustRightInd w:val="0"/>
        <w:ind w:left="720" w:hanging="720"/>
        <w:rPr>
          <w:szCs w:val="24"/>
          <w:lang w:val="en-GB"/>
        </w:rPr>
      </w:pPr>
      <w:proofErr w:type="spellStart"/>
      <w:r w:rsidRPr="00F60746">
        <w:rPr>
          <w:w w:val="95"/>
          <w:szCs w:val="24"/>
          <w:lang w:val="en-GB"/>
        </w:rPr>
        <w:t>Somé</w:t>
      </w:r>
      <w:proofErr w:type="spellEnd"/>
      <w:r w:rsidRPr="00F60746">
        <w:rPr>
          <w:w w:val="95"/>
          <w:szCs w:val="24"/>
          <w:lang w:val="en-GB"/>
        </w:rPr>
        <w:t>, B. (2013). ‘Hot money’: Gender and the politics of negotiation and control over income in West</w:t>
      </w:r>
      <w:r w:rsidRPr="00F60746">
        <w:rPr>
          <w:spacing w:val="1"/>
          <w:w w:val="95"/>
          <w:szCs w:val="24"/>
          <w:lang w:val="en-GB"/>
        </w:rPr>
        <w:t xml:space="preserve"> </w:t>
      </w:r>
      <w:r w:rsidRPr="00F60746">
        <w:rPr>
          <w:szCs w:val="24"/>
          <w:lang w:val="en-GB"/>
        </w:rPr>
        <w:t>African</w:t>
      </w:r>
      <w:r w:rsidRPr="00F60746">
        <w:rPr>
          <w:spacing w:val="14"/>
          <w:szCs w:val="24"/>
          <w:lang w:val="en-GB"/>
        </w:rPr>
        <w:t xml:space="preserve"> </w:t>
      </w:r>
      <w:r w:rsidRPr="00F60746">
        <w:rPr>
          <w:szCs w:val="24"/>
          <w:lang w:val="en-GB"/>
        </w:rPr>
        <w:t>smallholder</w:t>
      </w:r>
      <w:r w:rsidRPr="00F60746">
        <w:rPr>
          <w:spacing w:val="16"/>
          <w:szCs w:val="24"/>
          <w:lang w:val="en-GB"/>
        </w:rPr>
        <w:t xml:space="preserve"> </w:t>
      </w:r>
      <w:r w:rsidRPr="00F60746">
        <w:rPr>
          <w:szCs w:val="24"/>
          <w:lang w:val="en-GB"/>
        </w:rPr>
        <w:t>households.</w:t>
      </w:r>
      <w:r w:rsidRPr="00F60746">
        <w:rPr>
          <w:spacing w:val="14"/>
          <w:szCs w:val="24"/>
          <w:lang w:val="en-GB"/>
        </w:rPr>
        <w:t xml:space="preserve"> </w:t>
      </w:r>
      <w:r w:rsidRPr="00F60746">
        <w:rPr>
          <w:i/>
          <w:szCs w:val="24"/>
          <w:lang w:val="en-GB"/>
        </w:rPr>
        <w:t>Africa: Journal of the International African Institute,</w:t>
      </w:r>
      <w:r w:rsidRPr="00F60746">
        <w:rPr>
          <w:i/>
          <w:spacing w:val="13"/>
          <w:szCs w:val="24"/>
          <w:lang w:val="en-GB"/>
        </w:rPr>
        <w:t xml:space="preserve"> </w:t>
      </w:r>
      <w:r w:rsidRPr="00F60746">
        <w:rPr>
          <w:szCs w:val="24"/>
          <w:lang w:val="en-GB"/>
        </w:rPr>
        <w:t>83(2):</w:t>
      </w:r>
      <w:r w:rsidRPr="00F60746">
        <w:rPr>
          <w:spacing w:val="7"/>
          <w:szCs w:val="24"/>
          <w:lang w:val="en-GB"/>
        </w:rPr>
        <w:t xml:space="preserve"> </w:t>
      </w:r>
      <w:r w:rsidRPr="00F60746">
        <w:rPr>
          <w:szCs w:val="24"/>
          <w:lang w:val="en-GB"/>
        </w:rPr>
        <w:t>251—69.</w:t>
      </w:r>
    </w:p>
    <w:p w14:paraId="22A6CBD4"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United Nations Development Programme (UNDP). (2012). </w:t>
      </w:r>
      <w:proofErr w:type="spellStart"/>
      <w:r w:rsidRPr="00F60746">
        <w:rPr>
          <w:szCs w:val="24"/>
          <w:lang w:val="en-GB"/>
        </w:rPr>
        <w:t>Songtaab-Yalgre</w:t>
      </w:r>
      <w:proofErr w:type="spellEnd"/>
      <w:r w:rsidRPr="00F60746">
        <w:rPr>
          <w:szCs w:val="24"/>
          <w:lang w:val="en-GB"/>
        </w:rPr>
        <w:t xml:space="preserve"> association, Burkina Faso. Equator initiative case study series. New York.</w:t>
      </w:r>
    </w:p>
    <w:p w14:paraId="73E642CD" w14:textId="77777777" w:rsidR="0090424B" w:rsidRPr="00F60746" w:rsidRDefault="0090424B" w:rsidP="0090424B">
      <w:pPr>
        <w:autoSpaceDE w:val="0"/>
        <w:autoSpaceDN w:val="0"/>
        <w:adjustRightInd w:val="0"/>
        <w:ind w:left="720" w:hanging="720"/>
        <w:rPr>
          <w:szCs w:val="24"/>
          <w:lang w:val="en-GB"/>
        </w:rPr>
      </w:pPr>
      <w:r w:rsidRPr="00F60746">
        <w:rPr>
          <w:szCs w:val="24"/>
          <w:lang w:val="en-GB"/>
        </w:rPr>
        <w:t xml:space="preserve">Wardell, A. and Fold, N. (2013). Globalization in a nutshell: Historical perspectives on the changing governance of the shea commodity chain in Northern Ghana. </w:t>
      </w:r>
      <w:r w:rsidRPr="00F60746">
        <w:rPr>
          <w:i/>
          <w:szCs w:val="24"/>
          <w:lang w:val="en-GB"/>
        </w:rPr>
        <w:t>International Journal of the Commons</w:t>
      </w:r>
      <w:r w:rsidRPr="00F60746">
        <w:rPr>
          <w:szCs w:val="24"/>
          <w:lang w:val="en-GB"/>
        </w:rPr>
        <w:t>, 7(2): 367-405.</w:t>
      </w:r>
    </w:p>
    <w:p w14:paraId="639DBAEA" w14:textId="77777777" w:rsidR="0090424B" w:rsidRPr="00F60746" w:rsidRDefault="0090424B" w:rsidP="0090424B">
      <w:pPr>
        <w:autoSpaceDE w:val="0"/>
        <w:autoSpaceDN w:val="0"/>
        <w:adjustRightInd w:val="0"/>
        <w:ind w:left="720" w:hanging="720"/>
        <w:rPr>
          <w:szCs w:val="24"/>
          <w:lang w:val="en-GB"/>
        </w:rPr>
      </w:pPr>
      <w:r w:rsidRPr="00F60746">
        <w:rPr>
          <w:color w:val="202122"/>
          <w:szCs w:val="24"/>
          <w:lang w:val="en-GB"/>
        </w:rPr>
        <w:t>World Fact Book (2022a).</w:t>
      </w:r>
      <w:hyperlink r:id="rId32" w:history="1">
        <w:r w:rsidRPr="00F60746">
          <w:rPr>
            <w:rStyle w:val="Hyperlink"/>
            <w:i/>
            <w:iCs/>
            <w:szCs w:val="24"/>
            <w:lang w:val="en-GB"/>
          </w:rPr>
          <w:t xml:space="preserve"> </w:t>
        </w:r>
        <w:r w:rsidRPr="00F60746">
          <w:rPr>
            <w:rStyle w:val="Hyperlink"/>
            <w:iCs/>
            <w:szCs w:val="24"/>
            <w:lang w:val="en-GB"/>
          </w:rPr>
          <w:t>Rank order – area</w:t>
        </w:r>
      </w:hyperlink>
      <w:r w:rsidRPr="00F60746">
        <w:rPr>
          <w:rStyle w:val="HTMLCite"/>
          <w:szCs w:val="24"/>
          <w:lang w:val="en-GB"/>
        </w:rPr>
        <w:t>. </w:t>
      </w:r>
      <w:hyperlink r:id="rId33" w:tooltip="Central Intelligence Agency" w:history="1">
        <w:r w:rsidRPr="00F60746">
          <w:rPr>
            <w:rStyle w:val="Hyperlink"/>
            <w:iCs/>
            <w:szCs w:val="24"/>
            <w:lang w:val="en-GB"/>
          </w:rPr>
          <w:t>Central Intelligence Agency</w:t>
        </w:r>
      </w:hyperlink>
      <w:r w:rsidRPr="00F60746">
        <w:rPr>
          <w:rStyle w:val="HTMLCite"/>
          <w:szCs w:val="24"/>
          <w:lang w:val="en-GB"/>
        </w:rPr>
        <w:t xml:space="preserve">. </w:t>
      </w:r>
      <w:r w:rsidRPr="00F60746">
        <w:rPr>
          <w:rStyle w:val="reference-accessdate"/>
          <w:i/>
          <w:iCs/>
          <w:color w:val="202122"/>
          <w:szCs w:val="24"/>
          <w:lang w:val="en-GB"/>
        </w:rPr>
        <w:t>Retrieved </w:t>
      </w:r>
      <w:r w:rsidRPr="00F60746">
        <w:rPr>
          <w:rStyle w:val="nowrap"/>
          <w:i/>
          <w:iCs/>
          <w:color w:val="202122"/>
          <w:szCs w:val="24"/>
          <w:lang w:val="en-GB"/>
        </w:rPr>
        <w:t>from:</w:t>
      </w:r>
      <w:r w:rsidRPr="00F60746">
        <w:rPr>
          <w:szCs w:val="24"/>
          <w:lang w:val="en-GB"/>
        </w:rPr>
        <w:t xml:space="preserve"> </w:t>
      </w:r>
      <w:hyperlink r:id="rId34" w:history="1">
        <w:r w:rsidRPr="00F60746">
          <w:rPr>
            <w:rStyle w:val="Hyperlink"/>
            <w:szCs w:val="24"/>
            <w:lang w:val="en-GB"/>
          </w:rPr>
          <w:t>https://web.archive.org/web/20140209041128/https://www.cia.gov/library/publications/the-world-factbook/rankorder/2147rank.html</w:t>
        </w:r>
      </w:hyperlink>
      <w:r w:rsidRPr="00F60746">
        <w:rPr>
          <w:rStyle w:val="HTMLCite"/>
          <w:color w:val="202122"/>
          <w:szCs w:val="24"/>
          <w:lang w:val="en-GB"/>
        </w:rPr>
        <w:t xml:space="preserve"> on 31st July, 2022.</w:t>
      </w:r>
    </w:p>
    <w:p w14:paraId="35189A5F" w14:textId="77777777" w:rsidR="0090424B" w:rsidRPr="00F60746" w:rsidRDefault="0090424B" w:rsidP="0090424B">
      <w:pPr>
        <w:autoSpaceDE w:val="0"/>
        <w:autoSpaceDN w:val="0"/>
        <w:adjustRightInd w:val="0"/>
        <w:ind w:left="720" w:hanging="720"/>
        <w:rPr>
          <w:szCs w:val="24"/>
          <w:lang w:val="en-GB"/>
        </w:rPr>
      </w:pPr>
      <w:r w:rsidRPr="00F60746">
        <w:rPr>
          <w:color w:val="202122"/>
          <w:szCs w:val="24"/>
          <w:lang w:val="en-GB"/>
        </w:rPr>
        <w:t>World Fact Book (2022b).</w:t>
      </w:r>
      <w:r w:rsidRPr="00F60746">
        <w:rPr>
          <w:rFonts w:ascii="Arial" w:hAnsi="Arial" w:cs="Arial"/>
          <w:color w:val="202122"/>
          <w:sz w:val="19"/>
          <w:szCs w:val="19"/>
          <w:lang w:val="en-GB"/>
        </w:rPr>
        <w:t> </w:t>
      </w:r>
      <w:hyperlink r:id="rId35" w:history="1">
        <w:r w:rsidRPr="00F60746">
          <w:rPr>
            <w:rStyle w:val="Hyperlink"/>
            <w:iCs/>
            <w:szCs w:val="24"/>
            <w:lang w:val="en-GB"/>
          </w:rPr>
          <w:t>Africa: Nigeria</w:t>
        </w:r>
      </w:hyperlink>
      <w:r w:rsidRPr="00F60746">
        <w:rPr>
          <w:rStyle w:val="HTMLCite"/>
          <w:szCs w:val="24"/>
          <w:lang w:val="en-GB"/>
        </w:rPr>
        <w:t xml:space="preserve">. </w:t>
      </w:r>
      <w:hyperlink r:id="rId36" w:tooltip="Central Intelligence Agency" w:history="1">
        <w:r w:rsidRPr="00F60746">
          <w:rPr>
            <w:rStyle w:val="Hyperlink"/>
            <w:iCs/>
            <w:szCs w:val="24"/>
            <w:lang w:val="en-GB"/>
          </w:rPr>
          <w:t>Central Intelligence Agency</w:t>
        </w:r>
      </w:hyperlink>
      <w:r w:rsidRPr="00F60746">
        <w:rPr>
          <w:rStyle w:val="HTMLCite"/>
          <w:szCs w:val="24"/>
          <w:lang w:val="en-GB"/>
        </w:rPr>
        <w:t xml:space="preserve">. </w:t>
      </w:r>
      <w:r w:rsidRPr="00F60746">
        <w:rPr>
          <w:rStyle w:val="reference-accessdate"/>
          <w:iCs/>
          <w:szCs w:val="24"/>
          <w:lang w:val="en-GB"/>
        </w:rPr>
        <w:t xml:space="preserve">Retrieved from </w:t>
      </w:r>
      <w:hyperlink r:id="rId37" w:history="1">
        <w:r w:rsidRPr="00F60746">
          <w:rPr>
            <w:rStyle w:val="Hyperlink"/>
            <w:szCs w:val="24"/>
            <w:lang w:val="en-GB"/>
          </w:rPr>
          <w:t>https://www.cia.gov/the-world-factbook/countries/nigeria/</w:t>
        </w:r>
      </w:hyperlink>
      <w:r w:rsidRPr="00F60746">
        <w:rPr>
          <w:rStyle w:val="reference-text"/>
          <w:szCs w:val="24"/>
          <w:lang w:val="en-GB"/>
        </w:rPr>
        <w:t xml:space="preserve"> on 31</w:t>
      </w:r>
      <w:r w:rsidRPr="00F60746">
        <w:rPr>
          <w:rStyle w:val="reference-text"/>
          <w:szCs w:val="24"/>
          <w:vertAlign w:val="superscript"/>
          <w:lang w:val="en-GB"/>
        </w:rPr>
        <w:t>st</w:t>
      </w:r>
      <w:r w:rsidRPr="00F60746">
        <w:rPr>
          <w:rStyle w:val="reference-text"/>
          <w:szCs w:val="24"/>
          <w:lang w:val="en-GB"/>
        </w:rPr>
        <w:t xml:space="preserve"> July, 2022.</w:t>
      </w:r>
    </w:p>
    <w:p w14:paraId="25C625C8" w14:textId="77777777" w:rsidR="00790ADA" w:rsidRPr="00F60746" w:rsidRDefault="00790ADA" w:rsidP="00441B6F">
      <w:pPr>
        <w:pStyle w:val="ReferHead"/>
        <w:spacing w:after="0"/>
        <w:jc w:val="both"/>
        <w:rPr>
          <w:rFonts w:ascii="Arial" w:hAnsi="Arial" w:cs="Arial"/>
          <w:lang w:val="en-GB"/>
        </w:rPr>
      </w:pPr>
    </w:p>
    <w:sectPr w:rsidR="00790ADA" w:rsidRPr="00F60746" w:rsidSect="00E514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850D2" w14:textId="77777777" w:rsidR="0053234B" w:rsidRDefault="0053234B" w:rsidP="00C37E61">
      <w:r>
        <w:separator/>
      </w:r>
    </w:p>
  </w:endnote>
  <w:endnote w:type="continuationSeparator" w:id="0">
    <w:p w14:paraId="708EFB25" w14:textId="77777777" w:rsidR="0053234B" w:rsidRDefault="005323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765D" w14:textId="77777777" w:rsidR="009E048A" w:rsidRDefault="009E048A">
    <w:pPr>
      <w:pStyle w:val="Footer"/>
      <w:rPr>
        <w:rFonts w:ascii="Arial" w:hAnsi="Arial" w:cs="Arial"/>
        <w:sz w:val="16"/>
      </w:rPr>
    </w:pPr>
  </w:p>
  <w:p w14:paraId="470DA1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1016103" w14:textId="77777777" w:rsidR="009E048A" w:rsidRDefault="009E048A">
    <w:pPr>
      <w:pStyle w:val="Footer"/>
      <w:rPr>
        <w:rFonts w:ascii="Arial" w:hAnsi="Arial" w:cs="Arial"/>
        <w:sz w:val="16"/>
      </w:rPr>
    </w:pPr>
  </w:p>
  <w:p w14:paraId="5CF39C2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3E227" w14:textId="77777777" w:rsidR="0053234B" w:rsidRDefault="0053234B" w:rsidP="00C37E61">
      <w:r>
        <w:separator/>
      </w:r>
    </w:p>
  </w:footnote>
  <w:footnote w:type="continuationSeparator" w:id="0">
    <w:p w14:paraId="0F7B5EAB" w14:textId="77777777" w:rsidR="0053234B" w:rsidRDefault="005323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F680" w14:textId="79865BCD" w:rsidR="00E51416" w:rsidRDefault="001A1A44">
    <w:pPr>
      <w:pStyle w:val="Header"/>
    </w:pPr>
    <w:r>
      <w:rPr>
        <w:noProof/>
      </w:rPr>
      <w:pict w14:anchorId="15E47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E524" w14:textId="77BE7D70" w:rsidR="00E51416" w:rsidRDefault="001A1A44">
    <w:pPr>
      <w:pStyle w:val="Header"/>
    </w:pPr>
    <w:r>
      <w:rPr>
        <w:noProof/>
      </w:rPr>
      <w:pict w14:anchorId="28239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91D4" w14:textId="636654FA" w:rsidR="00296529" w:rsidRPr="00296529" w:rsidRDefault="001A1A44" w:rsidP="00296529">
    <w:pPr>
      <w:ind w:left="2160"/>
      <w:jc w:val="center"/>
      <w:rPr>
        <w:rFonts w:ascii="Times New Roman" w:eastAsia="Calibri" w:hAnsi="Times New Roman"/>
        <w:i/>
        <w:sz w:val="18"/>
        <w:szCs w:val="22"/>
      </w:rPr>
    </w:pPr>
    <w:r>
      <w:rPr>
        <w:noProof/>
      </w:rPr>
      <w:pict w14:anchorId="6690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1A6A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634E1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B87CD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99F0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AACD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8AA63F"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WwNDA0tDQ0Mrc0NzRW0lEKTi0uzszPAykwrAUAOTj+ICwAAAA="/>
  </w:docVars>
  <w:rsids>
    <w:rsidRoot w:val="00AA6219"/>
    <w:rsid w:val="00000F8F"/>
    <w:rsid w:val="00030174"/>
    <w:rsid w:val="0004579C"/>
    <w:rsid w:val="000564D2"/>
    <w:rsid w:val="00097B98"/>
    <w:rsid w:val="000A47FA"/>
    <w:rsid w:val="000A65D3"/>
    <w:rsid w:val="000B1E33"/>
    <w:rsid w:val="000D689F"/>
    <w:rsid w:val="000E7B7B"/>
    <w:rsid w:val="000E7D62"/>
    <w:rsid w:val="000F2ADD"/>
    <w:rsid w:val="00103357"/>
    <w:rsid w:val="00123C9F"/>
    <w:rsid w:val="00126190"/>
    <w:rsid w:val="00130F17"/>
    <w:rsid w:val="001320BF"/>
    <w:rsid w:val="00163BC4"/>
    <w:rsid w:val="00191062"/>
    <w:rsid w:val="00192B72"/>
    <w:rsid w:val="001A1A44"/>
    <w:rsid w:val="001A29D8"/>
    <w:rsid w:val="001A5CAA"/>
    <w:rsid w:val="001B0427"/>
    <w:rsid w:val="001B382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5B69"/>
    <w:rsid w:val="002E0D56"/>
    <w:rsid w:val="003103D0"/>
    <w:rsid w:val="00315186"/>
    <w:rsid w:val="0033343E"/>
    <w:rsid w:val="003512C2"/>
    <w:rsid w:val="00364C0B"/>
    <w:rsid w:val="00371FB6"/>
    <w:rsid w:val="003763C1"/>
    <w:rsid w:val="00376BBE"/>
    <w:rsid w:val="0039224F"/>
    <w:rsid w:val="003A43A4"/>
    <w:rsid w:val="003A7E18"/>
    <w:rsid w:val="003C2D9F"/>
    <w:rsid w:val="003C4C86"/>
    <w:rsid w:val="003C6258"/>
    <w:rsid w:val="003E2904"/>
    <w:rsid w:val="00401927"/>
    <w:rsid w:val="0041027F"/>
    <w:rsid w:val="00412475"/>
    <w:rsid w:val="00423789"/>
    <w:rsid w:val="00431DDE"/>
    <w:rsid w:val="00440F43"/>
    <w:rsid w:val="00441B6F"/>
    <w:rsid w:val="00446221"/>
    <w:rsid w:val="00450E62"/>
    <w:rsid w:val="004539DB"/>
    <w:rsid w:val="004716BF"/>
    <w:rsid w:val="00471A80"/>
    <w:rsid w:val="004A09A9"/>
    <w:rsid w:val="004D305E"/>
    <w:rsid w:val="004D4277"/>
    <w:rsid w:val="00502516"/>
    <w:rsid w:val="00505F06"/>
    <w:rsid w:val="00506828"/>
    <w:rsid w:val="00522E96"/>
    <w:rsid w:val="0053056E"/>
    <w:rsid w:val="0053234B"/>
    <w:rsid w:val="00554FDA"/>
    <w:rsid w:val="00586A34"/>
    <w:rsid w:val="005B6738"/>
    <w:rsid w:val="005C784C"/>
    <w:rsid w:val="005D17F6"/>
    <w:rsid w:val="005E5539"/>
    <w:rsid w:val="005F10CC"/>
    <w:rsid w:val="00602BF5"/>
    <w:rsid w:val="00617FDD"/>
    <w:rsid w:val="00633614"/>
    <w:rsid w:val="00633F68"/>
    <w:rsid w:val="00636EB2"/>
    <w:rsid w:val="00637206"/>
    <w:rsid w:val="006375B8"/>
    <w:rsid w:val="0066510A"/>
    <w:rsid w:val="00673F9F"/>
    <w:rsid w:val="00686953"/>
    <w:rsid w:val="00687DEA"/>
    <w:rsid w:val="00687E67"/>
    <w:rsid w:val="006967F7"/>
    <w:rsid w:val="006A250C"/>
    <w:rsid w:val="006B21D3"/>
    <w:rsid w:val="006B57D0"/>
    <w:rsid w:val="006D0C70"/>
    <w:rsid w:val="006D30FF"/>
    <w:rsid w:val="006D6940"/>
    <w:rsid w:val="006F11EC"/>
    <w:rsid w:val="006F786D"/>
    <w:rsid w:val="0070082C"/>
    <w:rsid w:val="007369E6"/>
    <w:rsid w:val="00746E59"/>
    <w:rsid w:val="00754C9A"/>
    <w:rsid w:val="0075599A"/>
    <w:rsid w:val="00761D52"/>
    <w:rsid w:val="0077749E"/>
    <w:rsid w:val="00790ADA"/>
    <w:rsid w:val="00794BC8"/>
    <w:rsid w:val="007B6923"/>
    <w:rsid w:val="007C2629"/>
    <w:rsid w:val="007D2288"/>
    <w:rsid w:val="007E088F"/>
    <w:rsid w:val="007F7B32"/>
    <w:rsid w:val="00804BC2"/>
    <w:rsid w:val="0081431A"/>
    <w:rsid w:val="0083216F"/>
    <w:rsid w:val="00853168"/>
    <w:rsid w:val="00857D17"/>
    <w:rsid w:val="00860000"/>
    <w:rsid w:val="00863BD3"/>
    <w:rsid w:val="008641ED"/>
    <w:rsid w:val="00866D66"/>
    <w:rsid w:val="008671C6"/>
    <w:rsid w:val="00875803"/>
    <w:rsid w:val="008870AB"/>
    <w:rsid w:val="008B459E"/>
    <w:rsid w:val="008E13AE"/>
    <w:rsid w:val="008E1506"/>
    <w:rsid w:val="008E710C"/>
    <w:rsid w:val="008F69D6"/>
    <w:rsid w:val="00902823"/>
    <w:rsid w:val="0090424B"/>
    <w:rsid w:val="00915CA6"/>
    <w:rsid w:val="00927834"/>
    <w:rsid w:val="009500A6"/>
    <w:rsid w:val="00957C18"/>
    <w:rsid w:val="009659BA"/>
    <w:rsid w:val="00983040"/>
    <w:rsid w:val="00983938"/>
    <w:rsid w:val="009B3FB9"/>
    <w:rsid w:val="009B624C"/>
    <w:rsid w:val="009C2465"/>
    <w:rsid w:val="009D35A0"/>
    <w:rsid w:val="009D7EB7"/>
    <w:rsid w:val="009E048A"/>
    <w:rsid w:val="009E08E9"/>
    <w:rsid w:val="009E23FE"/>
    <w:rsid w:val="009E3DB9"/>
    <w:rsid w:val="009E6E35"/>
    <w:rsid w:val="009F0EDA"/>
    <w:rsid w:val="00A03B96"/>
    <w:rsid w:val="00A05B19"/>
    <w:rsid w:val="00A1134E"/>
    <w:rsid w:val="00A24E7E"/>
    <w:rsid w:val="00A258C3"/>
    <w:rsid w:val="00A347C0"/>
    <w:rsid w:val="00A354D3"/>
    <w:rsid w:val="00A442C4"/>
    <w:rsid w:val="00A51431"/>
    <w:rsid w:val="00A539AD"/>
    <w:rsid w:val="00A94063"/>
    <w:rsid w:val="00AA6219"/>
    <w:rsid w:val="00AA74E0"/>
    <w:rsid w:val="00AB703F"/>
    <w:rsid w:val="00AC6BB8"/>
    <w:rsid w:val="00AE008F"/>
    <w:rsid w:val="00B01FCD"/>
    <w:rsid w:val="00B15FC7"/>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13F"/>
    <w:rsid w:val="00CD6755"/>
    <w:rsid w:val="00CD6856"/>
    <w:rsid w:val="00CE0089"/>
    <w:rsid w:val="00CE793C"/>
    <w:rsid w:val="00CF193C"/>
    <w:rsid w:val="00CF68E3"/>
    <w:rsid w:val="00D173F1"/>
    <w:rsid w:val="00D74CB0"/>
    <w:rsid w:val="00D8295D"/>
    <w:rsid w:val="00DC2A65"/>
    <w:rsid w:val="00DE15F0"/>
    <w:rsid w:val="00DE5663"/>
    <w:rsid w:val="00DE78AA"/>
    <w:rsid w:val="00E053D0"/>
    <w:rsid w:val="00E15994"/>
    <w:rsid w:val="00E3114E"/>
    <w:rsid w:val="00E31A70"/>
    <w:rsid w:val="00E35B02"/>
    <w:rsid w:val="00E51416"/>
    <w:rsid w:val="00E66496"/>
    <w:rsid w:val="00E66B35"/>
    <w:rsid w:val="00E66E10"/>
    <w:rsid w:val="00E74446"/>
    <w:rsid w:val="00E769F6"/>
    <w:rsid w:val="00E8407C"/>
    <w:rsid w:val="00E84F3C"/>
    <w:rsid w:val="00EA012C"/>
    <w:rsid w:val="00EC6A55"/>
    <w:rsid w:val="00ED0288"/>
    <w:rsid w:val="00EE52CB"/>
    <w:rsid w:val="00EF03D6"/>
    <w:rsid w:val="00EF581D"/>
    <w:rsid w:val="00EF7FD8"/>
    <w:rsid w:val="00F06F59"/>
    <w:rsid w:val="00F14685"/>
    <w:rsid w:val="00F17988"/>
    <w:rsid w:val="00F469F0"/>
    <w:rsid w:val="00F53273"/>
    <w:rsid w:val="00F6074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31"/>
      </o:rules>
    </o:shapelayout>
  </w:shapeDefaults>
  <w:decimalSymbol w:val="."/>
  <w:listSeparator w:val=","/>
  <w14:docId w14:val="55D1CBD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5316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853168"/>
    <w:pPr>
      <w:spacing w:after="200"/>
      <w:jc w:val="both"/>
    </w:pPr>
    <w:rPr>
      <w:rFonts w:ascii="Times New Roman" w:eastAsiaTheme="minorHAnsi" w:hAnsi="Times New Roman" w:cstheme="minorBidi"/>
      <w:i/>
      <w:iCs/>
      <w:color w:val="1F497D" w:themeColor="text2"/>
      <w:sz w:val="18"/>
      <w:szCs w:val="18"/>
    </w:rPr>
  </w:style>
  <w:style w:type="character" w:customStyle="1" w:styleId="Heading3Char">
    <w:name w:val="Heading 3 Char"/>
    <w:basedOn w:val="DefaultParagraphFont"/>
    <w:link w:val="Heading3"/>
    <w:semiHidden/>
    <w:rsid w:val="00853168"/>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90424B"/>
    <w:rPr>
      <w:i/>
      <w:iCs/>
    </w:rPr>
  </w:style>
  <w:style w:type="character" w:customStyle="1" w:styleId="reference-accessdate">
    <w:name w:val="reference-accessdate"/>
    <w:basedOn w:val="DefaultParagraphFont"/>
    <w:rsid w:val="0090424B"/>
  </w:style>
  <w:style w:type="character" w:customStyle="1" w:styleId="nowrap">
    <w:name w:val="nowrap"/>
    <w:basedOn w:val="DefaultParagraphFont"/>
    <w:rsid w:val="0090424B"/>
  </w:style>
  <w:style w:type="character" w:customStyle="1" w:styleId="reference-text">
    <w:name w:val="reference-text"/>
    <w:basedOn w:val="DefaultParagraphFont"/>
    <w:rsid w:val="0090424B"/>
  </w:style>
  <w:style w:type="character" w:customStyle="1" w:styleId="mw-cite-backlink">
    <w:name w:val="mw-cite-backlink"/>
    <w:basedOn w:val="DefaultParagraphFont"/>
    <w:rsid w:val="0090424B"/>
  </w:style>
  <w:style w:type="paragraph" w:styleId="Revision">
    <w:name w:val="Revision"/>
    <w:hidden/>
    <w:uiPriority w:val="99"/>
    <w:semiHidden/>
    <w:rsid w:val="00CF68E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746478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web.archive.org/web/20100328172528/http:/www.uni.edu/gai/Nigeria/Background/Standard4.html" TargetMode="External"/><Relationship Id="rId39" Type="http://schemas.openxmlformats.org/officeDocument/2006/relationships/theme" Target="theme/theme1.xml"/><Relationship Id="rId21" Type="http://schemas.openxmlformats.org/officeDocument/2006/relationships/hyperlink" Target="https://en.wikipedia.org/wiki/Microsoft" TargetMode="External"/><Relationship Id="rId34" Type="http://schemas.openxmlformats.org/officeDocument/2006/relationships/hyperlink" Target="https://web.archive.org/web/20140209041128/https://www.cia.gov/library/publications/the-world-factbook/rankorder/2147rank.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eb.archive.org/web/20090414075757/http://www.uni.edu/gai/Nigeria/Background/Standard5.html" TargetMode="External"/><Relationship Id="rId33" Type="http://schemas.openxmlformats.org/officeDocument/2006/relationships/hyperlink" Target="https://en.wikipedia.org/wiki/Central_Intelligence_Agenc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en.wikipedia.org/wiki/Encarta" TargetMode="External"/><Relationship Id="rId29" Type="http://schemas.openxmlformats.org/officeDocument/2006/relationships/hyperlink" Target="http://www.nationsencyclopedia.com/Africa/Nigeria-AGRICULTU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wikipedia.org/wiki/University_of_Northern_Iowa" TargetMode="External"/><Relationship Id="rId32" Type="http://schemas.openxmlformats.org/officeDocument/2006/relationships/hyperlink" Target="https://web.archive.org/web/20140209041128/https:/www.cia.gov/library/publications/the-world-factbook/rankorder/2147rank.html" TargetMode="External"/><Relationship Id="rId37" Type="http://schemas.openxmlformats.org/officeDocument/2006/relationships/hyperlink" Target="https://www.cia.gov/the-world-factbook/countries/nigeria/"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eb.archive.org/web/20090414075757/http:/www.uni.edu/gai/Nigeria/Background/Standard5.html" TargetMode="External"/><Relationship Id="rId28" Type="http://schemas.openxmlformats.org/officeDocument/2006/relationships/hyperlink" Target="https://web.archive.org/web/20100328172528/http://www.uni.edu/gai/Nigeria/Background/Standard4.html" TargetMode="External"/><Relationship Id="rId36" Type="http://schemas.openxmlformats.org/officeDocument/2006/relationships/hyperlink" Target="https://en.wikipedia.org/wiki/Central_Intelligence_Agency" TargetMode="External"/><Relationship Id="rId10" Type="http://schemas.openxmlformats.org/officeDocument/2006/relationships/header" Target="header3.xml"/><Relationship Id="rId19" Type="http://schemas.openxmlformats.org/officeDocument/2006/relationships/hyperlink" Target="https://web.archive.org/web/20031111170137/http:/encarta.msn.com/encyclopedia_761557915/Nigeria.html" TargetMode="External"/><Relationship Id="rId31" Type="http://schemas.openxmlformats.org/officeDocument/2006/relationships/hyperlink" Target="https://guardian.ng/features/niger-seeks-economic-turnaround-through-shea-butter-producti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web.archive.org/web/20031111170137/http://encarta.msn.com/encyclopedia_761557915/Nigeria.html" TargetMode="External"/><Relationship Id="rId27" Type="http://schemas.openxmlformats.org/officeDocument/2006/relationships/hyperlink" Target="https://en.wikipedia.org/wiki/University_of_Northern_Iowa" TargetMode="External"/><Relationship Id="rId30" Type="http://schemas.openxmlformats.org/officeDocument/2006/relationships/hyperlink" Target="https://www.nationsencyclopedia.com/Africa/Nigeria-AGRICULTURE.html" TargetMode="External"/><Relationship Id="rId35" Type="http://schemas.openxmlformats.org/officeDocument/2006/relationships/hyperlink" Target="https://www.cia.gov/the-world-factbook/countries/nigeria/"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s.%20sallawu\Desktop\Shea%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Sheet5!$L$1</c:f>
              <c:strCache>
                <c:ptCount val="1"/>
                <c:pt idx="0">
                  <c:v>Male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Sheet5!$K$2:$K$6</c:f>
              <c:strCache>
                <c:ptCount val="4"/>
                <c:pt idx="0">
                  <c:v>Self</c:v>
                </c:pt>
                <c:pt idx="1">
                  <c:v>Household head</c:v>
                </c:pt>
                <c:pt idx="2">
                  <c:v>Individual outside the household</c:v>
                </c:pt>
                <c:pt idx="3">
                  <c:v>Community</c:v>
                </c:pt>
              </c:strCache>
            </c:strRef>
          </c:cat>
          <c:val>
            <c:numRef>
              <c:f>Sheet5!$L$2:$L$6</c:f>
              <c:numCache>
                <c:formatCode>General</c:formatCode>
                <c:ptCount val="5"/>
                <c:pt idx="0">
                  <c:v>0.93</c:v>
                </c:pt>
                <c:pt idx="1">
                  <c:v>1.4</c:v>
                </c:pt>
                <c:pt idx="2">
                  <c:v>1.0900000000000001</c:v>
                </c:pt>
                <c:pt idx="3">
                  <c:v>3.27</c:v>
                </c:pt>
              </c:numCache>
            </c:numRef>
          </c:val>
          <c:extLst>
            <c:ext xmlns:c16="http://schemas.microsoft.com/office/drawing/2014/chart" uri="{C3380CC4-5D6E-409C-BE32-E72D297353CC}">
              <c16:uniqueId val="{00000000-2477-4BA9-9573-6CB5CF35770E}"/>
            </c:ext>
          </c:extLst>
        </c:ser>
        <c:ser>
          <c:idx val="1"/>
          <c:order val="1"/>
          <c:tx>
            <c:strRef>
              <c:f>Sheet5!$M$1</c:f>
              <c:strCache>
                <c:ptCount val="1"/>
                <c:pt idx="0">
                  <c:v>Female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Sheet5!$K$2:$K$6</c:f>
              <c:strCache>
                <c:ptCount val="4"/>
                <c:pt idx="0">
                  <c:v>Self</c:v>
                </c:pt>
                <c:pt idx="1">
                  <c:v>Household head</c:v>
                </c:pt>
                <c:pt idx="2">
                  <c:v>Individual outside the household</c:v>
                </c:pt>
                <c:pt idx="3">
                  <c:v>Community</c:v>
                </c:pt>
              </c:strCache>
            </c:strRef>
          </c:cat>
          <c:val>
            <c:numRef>
              <c:f>Sheet5!$M$2:$M$6</c:f>
              <c:numCache>
                <c:formatCode>General</c:formatCode>
                <c:ptCount val="5"/>
                <c:pt idx="0">
                  <c:v>9.81</c:v>
                </c:pt>
                <c:pt idx="1">
                  <c:v>21.34</c:v>
                </c:pt>
                <c:pt idx="2">
                  <c:v>9.81</c:v>
                </c:pt>
                <c:pt idx="3">
                  <c:v>52.34</c:v>
                </c:pt>
              </c:numCache>
            </c:numRef>
          </c:val>
          <c:extLst>
            <c:ext xmlns:c16="http://schemas.microsoft.com/office/drawing/2014/chart" uri="{C3380CC4-5D6E-409C-BE32-E72D297353CC}">
              <c16:uniqueId val="{00000001-2477-4BA9-9573-6CB5CF35770E}"/>
            </c:ext>
          </c:extLst>
        </c:ser>
        <c:dLbls>
          <c:showLegendKey val="0"/>
          <c:showVal val="1"/>
          <c:showCatName val="0"/>
          <c:showSerName val="0"/>
          <c:showPercent val="0"/>
          <c:showBubbleSize val="0"/>
        </c:dLbls>
        <c:gapWidth val="150"/>
        <c:shape val="box"/>
        <c:axId val="303720008"/>
        <c:axId val="303725888"/>
        <c:axId val="0"/>
      </c:bar3DChart>
      <c:catAx>
        <c:axId val="3037200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5888"/>
        <c:crosses val="autoZero"/>
        <c:auto val="1"/>
        <c:lblAlgn val="ctr"/>
        <c:lblOffset val="100"/>
        <c:noMultiLvlLbl val="0"/>
      </c:catAx>
      <c:valAx>
        <c:axId val="3037258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0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Sheet5!$B$18</c:f>
              <c:strCache>
                <c:ptCount val="1"/>
                <c:pt idx="0">
                  <c:v>Married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Sheet5!$B$19:$B$23</c:f>
              <c:numCache>
                <c:formatCode>General</c:formatCode>
                <c:ptCount val="5"/>
                <c:pt idx="0">
                  <c:v>10.45</c:v>
                </c:pt>
                <c:pt idx="1">
                  <c:v>20.41</c:v>
                </c:pt>
                <c:pt idx="2">
                  <c:v>9.66</c:v>
                </c:pt>
                <c:pt idx="3">
                  <c:v>47.97</c:v>
                </c:pt>
              </c:numCache>
            </c:numRef>
          </c:val>
          <c:extLst>
            <c:ext xmlns:c16="http://schemas.microsoft.com/office/drawing/2014/chart" uri="{C3380CC4-5D6E-409C-BE32-E72D297353CC}">
              <c16:uniqueId val="{00000000-55C6-421D-A4D0-787D80027016}"/>
            </c:ext>
          </c:extLst>
        </c:ser>
        <c:ser>
          <c:idx val="1"/>
          <c:order val="1"/>
          <c:tx>
            <c:strRef>
              <c:f>Sheet5!$C$18</c:f>
              <c:strCache>
                <c:ptCount val="1"/>
                <c:pt idx="0">
                  <c:v>Widow(er)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Sheet5!$C$19:$C$23</c:f>
              <c:numCache>
                <c:formatCode>General</c:formatCode>
                <c:ptCount val="5"/>
                <c:pt idx="0">
                  <c:v>0.31</c:v>
                </c:pt>
                <c:pt idx="1">
                  <c:v>0.62</c:v>
                </c:pt>
                <c:pt idx="2">
                  <c:v>0</c:v>
                </c:pt>
                <c:pt idx="3">
                  <c:v>3.89</c:v>
                </c:pt>
              </c:numCache>
            </c:numRef>
          </c:val>
          <c:extLst>
            <c:ext xmlns:c16="http://schemas.microsoft.com/office/drawing/2014/chart" uri="{C3380CC4-5D6E-409C-BE32-E72D297353CC}">
              <c16:uniqueId val="{00000001-55C6-421D-A4D0-787D80027016}"/>
            </c:ext>
          </c:extLst>
        </c:ser>
        <c:ser>
          <c:idx val="2"/>
          <c:order val="2"/>
          <c:tx>
            <c:strRef>
              <c:f>Sheet5!$D$18</c:f>
              <c:strCache>
                <c:ptCount val="1"/>
                <c:pt idx="0">
                  <c:v>Separated/Divorce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Sheet5!$D$19:$D$23</c:f>
              <c:numCache>
                <c:formatCode>General</c:formatCode>
                <c:ptCount val="5"/>
                <c:pt idx="0">
                  <c:v>0</c:v>
                </c:pt>
                <c:pt idx="1">
                  <c:v>0.31</c:v>
                </c:pt>
                <c:pt idx="2">
                  <c:v>0.16</c:v>
                </c:pt>
                <c:pt idx="3">
                  <c:v>0.47</c:v>
                </c:pt>
              </c:numCache>
            </c:numRef>
          </c:val>
          <c:extLst>
            <c:ext xmlns:c16="http://schemas.microsoft.com/office/drawing/2014/chart" uri="{C3380CC4-5D6E-409C-BE32-E72D297353CC}">
              <c16:uniqueId val="{00000002-55C6-421D-A4D0-787D80027016}"/>
            </c:ext>
          </c:extLst>
        </c:ser>
        <c:ser>
          <c:idx val="3"/>
          <c:order val="3"/>
          <c:tx>
            <c:strRef>
              <c:f>Sheet5!$E$18</c:f>
              <c:strCache>
                <c:ptCount val="1"/>
                <c:pt idx="0">
                  <c:v>Never married</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Sheet5!$A$19:$A$23</c:f>
              <c:strCache>
                <c:ptCount val="4"/>
                <c:pt idx="0">
                  <c:v>Self</c:v>
                </c:pt>
                <c:pt idx="1">
                  <c:v>Household head</c:v>
                </c:pt>
                <c:pt idx="2">
                  <c:v>Individual outside the household</c:v>
                </c:pt>
                <c:pt idx="3">
                  <c:v>Community</c:v>
                </c:pt>
              </c:strCache>
            </c:strRef>
          </c:cat>
          <c:val>
            <c:numRef>
              <c:f>Sheet5!$E$19:$E$23</c:f>
              <c:numCache>
                <c:formatCode>General</c:formatCode>
                <c:ptCount val="5"/>
                <c:pt idx="0">
                  <c:v>0</c:v>
                </c:pt>
                <c:pt idx="1">
                  <c:v>1.4</c:v>
                </c:pt>
                <c:pt idx="2">
                  <c:v>1.0900000000000001</c:v>
                </c:pt>
                <c:pt idx="3">
                  <c:v>3.58</c:v>
                </c:pt>
              </c:numCache>
            </c:numRef>
          </c:val>
          <c:extLst>
            <c:ext xmlns:c16="http://schemas.microsoft.com/office/drawing/2014/chart" uri="{C3380CC4-5D6E-409C-BE32-E72D297353CC}">
              <c16:uniqueId val="{00000003-55C6-421D-A4D0-787D80027016}"/>
            </c:ext>
          </c:extLst>
        </c:ser>
        <c:dLbls>
          <c:showLegendKey val="0"/>
          <c:showVal val="1"/>
          <c:showCatName val="0"/>
          <c:showSerName val="0"/>
          <c:showPercent val="0"/>
          <c:showBubbleSize val="0"/>
        </c:dLbls>
        <c:gapWidth val="150"/>
        <c:shape val="box"/>
        <c:axId val="303720792"/>
        <c:axId val="303722752"/>
        <c:axId val="0"/>
      </c:bar3DChart>
      <c:catAx>
        <c:axId val="30372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2752"/>
        <c:crosses val="autoZero"/>
        <c:auto val="1"/>
        <c:lblAlgn val="ctr"/>
        <c:lblOffset val="100"/>
        <c:noMultiLvlLbl val="0"/>
      </c:catAx>
      <c:valAx>
        <c:axId val="303722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Self</c:v>
                </c:pt>
              </c:strCache>
            </c:strRef>
          </c:tx>
          <c:spPr>
            <a:solidFill>
              <a:schemeClr val="accent1"/>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Sheet6!$B$2:$G$2</c:f>
              <c:numCache>
                <c:formatCode>General</c:formatCode>
                <c:ptCount val="6"/>
                <c:pt idx="0">
                  <c:v>0.93</c:v>
                </c:pt>
                <c:pt idx="1">
                  <c:v>9.81</c:v>
                </c:pt>
                <c:pt idx="2">
                  <c:v>6.23</c:v>
                </c:pt>
                <c:pt idx="3">
                  <c:v>4.3600000000000003</c:v>
                </c:pt>
                <c:pt idx="4">
                  <c:v>0.16</c:v>
                </c:pt>
                <c:pt idx="5">
                  <c:v>0</c:v>
                </c:pt>
              </c:numCache>
            </c:numRef>
          </c:val>
          <c:extLst>
            <c:ext xmlns:c16="http://schemas.microsoft.com/office/drawing/2014/chart" uri="{C3380CC4-5D6E-409C-BE32-E72D297353CC}">
              <c16:uniqueId val="{00000000-0230-4661-8EF5-571BD5BA0C63}"/>
            </c:ext>
          </c:extLst>
        </c:ser>
        <c:ser>
          <c:idx val="1"/>
          <c:order val="1"/>
          <c:tx>
            <c:strRef>
              <c:f>Sheet6!$A$3</c:f>
              <c:strCache>
                <c:ptCount val="1"/>
                <c:pt idx="0">
                  <c:v>Household head</c:v>
                </c:pt>
              </c:strCache>
            </c:strRef>
          </c:tx>
          <c:spPr>
            <a:solidFill>
              <a:schemeClr val="accent2"/>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Sheet6!$B$3:$G$3</c:f>
              <c:numCache>
                <c:formatCode>General</c:formatCode>
                <c:ptCount val="6"/>
                <c:pt idx="0">
                  <c:v>1.4</c:v>
                </c:pt>
                <c:pt idx="1">
                  <c:v>21.34</c:v>
                </c:pt>
                <c:pt idx="2">
                  <c:v>17.45</c:v>
                </c:pt>
                <c:pt idx="3">
                  <c:v>1.0900000000000001</c:v>
                </c:pt>
                <c:pt idx="4">
                  <c:v>0.16</c:v>
                </c:pt>
                <c:pt idx="5">
                  <c:v>4.05</c:v>
                </c:pt>
              </c:numCache>
            </c:numRef>
          </c:val>
          <c:extLst>
            <c:ext xmlns:c16="http://schemas.microsoft.com/office/drawing/2014/chart" uri="{C3380CC4-5D6E-409C-BE32-E72D297353CC}">
              <c16:uniqueId val="{00000001-0230-4661-8EF5-571BD5BA0C63}"/>
            </c:ext>
          </c:extLst>
        </c:ser>
        <c:ser>
          <c:idx val="2"/>
          <c:order val="2"/>
          <c:tx>
            <c:strRef>
              <c:f>Sheet6!$A$4</c:f>
              <c:strCache>
                <c:ptCount val="1"/>
                <c:pt idx="0">
                  <c:v>Individual outside the household</c:v>
                </c:pt>
              </c:strCache>
            </c:strRef>
          </c:tx>
          <c:spPr>
            <a:solidFill>
              <a:schemeClr val="accent3"/>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Sheet6!$B$4:$G$4</c:f>
              <c:numCache>
                <c:formatCode>General</c:formatCode>
                <c:ptCount val="6"/>
                <c:pt idx="0">
                  <c:v>1.0900000000000001</c:v>
                </c:pt>
                <c:pt idx="1">
                  <c:v>9.81</c:v>
                </c:pt>
                <c:pt idx="2">
                  <c:v>8.1</c:v>
                </c:pt>
                <c:pt idx="3">
                  <c:v>0.62</c:v>
                </c:pt>
                <c:pt idx="4">
                  <c:v>0</c:v>
                </c:pt>
                <c:pt idx="5">
                  <c:v>2.1800000000000002</c:v>
                </c:pt>
              </c:numCache>
            </c:numRef>
          </c:val>
          <c:extLst>
            <c:ext xmlns:c16="http://schemas.microsoft.com/office/drawing/2014/chart" uri="{C3380CC4-5D6E-409C-BE32-E72D297353CC}">
              <c16:uniqueId val="{00000002-0230-4661-8EF5-571BD5BA0C63}"/>
            </c:ext>
          </c:extLst>
        </c:ser>
        <c:ser>
          <c:idx val="3"/>
          <c:order val="3"/>
          <c:tx>
            <c:strRef>
              <c:f>Sheet6!$A$5</c:f>
              <c:strCache>
                <c:ptCount val="1"/>
                <c:pt idx="0">
                  <c:v>Community</c:v>
                </c:pt>
              </c:strCache>
            </c:strRef>
          </c:tx>
          <c:spPr>
            <a:solidFill>
              <a:schemeClr val="accent4"/>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Sheet6!$B$5:$G$5</c:f>
              <c:numCache>
                <c:formatCode>General</c:formatCode>
                <c:ptCount val="6"/>
                <c:pt idx="0">
                  <c:v>3.27</c:v>
                </c:pt>
                <c:pt idx="1">
                  <c:v>52.34</c:v>
                </c:pt>
                <c:pt idx="2">
                  <c:v>31.46</c:v>
                </c:pt>
                <c:pt idx="3">
                  <c:v>20.87</c:v>
                </c:pt>
                <c:pt idx="4">
                  <c:v>0.63</c:v>
                </c:pt>
                <c:pt idx="5">
                  <c:v>2.65</c:v>
                </c:pt>
              </c:numCache>
            </c:numRef>
          </c:val>
          <c:extLst>
            <c:ext xmlns:c16="http://schemas.microsoft.com/office/drawing/2014/chart" uri="{C3380CC4-5D6E-409C-BE32-E72D297353CC}">
              <c16:uniqueId val="{00000003-0230-4661-8EF5-571BD5BA0C63}"/>
            </c:ext>
          </c:extLst>
        </c:ser>
        <c:ser>
          <c:idx val="4"/>
          <c:order val="4"/>
          <c:tx>
            <c:strRef>
              <c:f>Sheet6!$A$6</c:f>
              <c:strCache>
                <c:ptCount val="1"/>
              </c:strCache>
            </c:strRef>
          </c:tx>
          <c:spPr>
            <a:solidFill>
              <a:schemeClr val="accent5"/>
            </a:solidFill>
            <a:ln>
              <a:noFill/>
            </a:ln>
            <a:effectLst/>
          </c:spPr>
          <c:invertIfNegative val="0"/>
          <c:cat>
            <c:strRef>
              <c:f>Sheet6!$B$1:$G$1</c:f>
              <c:strCache>
                <c:ptCount val="6"/>
                <c:pt idx="0">
                  <c:v>Male</c:v>
                </c:pt>
                <c:pt idx="1">
                  <c:v>Female</c:v>
                </c:pt>
                <c:pt idx="2">
                  <c:v>Islam</c:v>
                </c:pt>
                <c:pt idx="3">
                  <c:v>Christianity</c:v>
                </c:pt>
                <c:pt idx="4">
                  <c:v>African religion</c:v>
                </c:pt>
                <c:pt idx="5">
                  <c:v>Others</c:v>
                </c:pt>
              </c:strCache>
            </c:strRef>
          </c:cat>
          <c:val>
            <c:numRef>
              <c:f>Sheet6!$B$6:$G$6</c:f>
              <c:numCache>
                <c:formatCode>General</c:formatCode>
                <c:ptCount val="6"/>
              </c:numCache>
            </c:numRef>
          </c:val>
          <c:extLst>
            <c:ext xmlns:c16="http://schemas.microsoft.com/office/drawing/2014/chart" uri="{C3380CC4-5D6E-409C-BE32-E72D297353CC}">
              <c16:uniqueId val="{00000004-0230-4661-8EF5-571BD5BA0C63}"/>
            </c:ext>
          </c:extLst>
        </c:ser>
        <c:dLbls>
          <c:showLegendKey val="0"/>
          <c:showVal val="0"/>
          <c:showCatName val="0"/>
          <c:showSerName val="0"/>
          <c:showPercent val="0"/>
          <c:showBubbleSize val="0"/>
        </c:dLbls>
        <c:gapWidth val="219"/>
        <c:overlap val="-27"/>
        <c:axId val="303723144"/>
        <c:axId val="345370920"/>
      </c:barChart>
      <c:catAx>
        <c:axId val="303723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70920"/>
        <c:crosses val="autoZero"/>
        <c:auto val="1"/>
        <c:lblAlgn val="ctr"/>
        <c:lblOffset val="100"/>
        <c:noMultiLvlLbl val="0"/>
      </c:catAx>
      <c:valAx>
        <c:axId val="34537092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2314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74EE0-6D3A-4817-A737-B4BF297B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19</Pages>
  <Words>7803</Words>
  <Characters>44481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52180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31</cp:revision>
  <cp:lastPrinted>1999-07-06T11:00:00Z</cp:lastPrinted>
  <dcterms:created xsi:type="dcterms:W3CDTF">2014-10-25T14:34:00Z</dcterms:created>
  <dcterms:modified xsi:type="dcterms:W3CDTF">2026-02-18T12:15:00Z</dcterms:modified>
</cp:coreProperties>
</file>