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32F1" w:rsidRPr="00C51293" w:rsidRDefault="004032F1" w:rsidP="00C1102F">
      <w:pPr>
        <w:pStyle w:val="Heading1"/>
        <w:jc w:val="both"/>
        <w:rPr>
          <w:rStyle w:val="Strong"/>
          <w:b/>
          <w:bCs/>
          <w:lang w:val="en-GB"/>
        </w:rPr>
      </w:pPr>
      <w:r w:rsidRPr="004032F1">
        <w:rPr>
          <w:rStyle w:val="Strong"/>
          <w:b/>
          <w:bCs/>
          <w:highlight w:val="yellow"/>
          <w:lang w:val="en-GB"/>
        </w:rPr>
        <w:t>Peculiarities of Inter-Regional Variations in Gender and Human Development in India</w:t>
      </w:r>
    </w:p>
    <w:p w:rsidR="00B778CE" w:rsidRDefault="00B778CE" w:rsidP="00C1102F">
      <w:pPr>
        <w:pStyle w:val="NormalWeb"/>
        <w:jc w:val="both"/>
        <w:rPr>
          <w:rStyle w:val="Strong"/>
          <w:lang w:val="en-GB"/>
        </w:rPr>
      </w:pPr>
    </w:p>
    <w:p w:rsidR="009333FF" w:rsidRPr="00C51293" w:rsidRDefault="009333FF" w:rsidP="00C1102F">
      <w:pPr>
        <w:pStyle w:val="NormalWeb"/>
        <w:jc w:val="both"/>
        <w:rPr>
          <w:lang w:val="en-GB"/>
        </w:rPr>
      </w:pPr>
      <w:r w:rsidRPr="00C51293">
        <w:rPr>
          <w:rStyle w:val="Strong"/>
          <w:lang w:val="en-GB"/>
        </w:rPr>
        <w:t>Abstract</w:t>
      </w:r>
      <w:r w:rsidRPr="00C51293">
        <w:rPr>
          <w:lang w:val="en-GB"/>
        </w:rPr>
        <w:br/>
        <w:t xml:space="preserve">Inter-regional inequality is a persistent feature of India’s development trajectory, but it becomes especially consequential when viewed through the joint lens of gender and human development. This review </w:t>
      </w:r>
      <w:r w:rsidR="004644EB" w:rsidRPr="00C51293">
        <w:rPr>
          <w:lang w:val="en-GB"/>
        </w:rPr>
        <w:t>synthesi</w:t>
      </w:r>
      <w:r w:rsidR="004644EB">
        <w:rPr>
          <w:lang w:val="en-GB"/>
        </w:rPr>
        <w:t>s</w:t>
      </w:r>
      <w:r w:rsidR="004644EB" w:rsidRPr="00C51293">
        <w:rPr>
          <w:lang w:val="en-GB"/>
        </w:rPr>
        <w:t xml:space="preserve">es </w:t>
      </w:r>
      <w:r w:rsidRPr="00C51293">
        <w:rPr>
          <w:lang w:val="en-GB"/>
        </w:rPr>
        <w:t xml:space="preserve">scholarship on subnational variation in human development outcomes and the gendered processes that shape, reproduce, and sometimes disrupt those patterns. </w:t>
      </w:r>
      <w:r w:rsidR="006B578E" w:rsidRPr="006B578E">
        <w:rPr>
          <w:highlight w:val="yellow"/>
          <w:lang w:val="en-GB"/>
        </w:rPr>
        <w:t xml:space="preserve">A systematic literature review was conducted across Web of Science, Scopus, Google Scholar, and PubMed (January 2006 to February 2026) using specific search strings combining terms for spatial inequality, human development, and gender constructs. Peer-reviewed articles with empirical analysis of Indian subnational data or theoretical work on gendered human development were included, while descriptive pieces and single-site studies were </w:t>
      </w:r>
      <w:proofErr w:type="spellStart"/>
      <w:r w:rsidR="006B578E" w:rsidRPr="006B578E">
        <w:rPr>
          <w:highlight w:val="yellow"/>
          <w:lang w:val="en-GB"/>
        </w:rPr>
        <w:t>excluded.</w:t>
      </w:r>
      <w:r w:rsidR="006B578E">
        <w:rPr>
          <w:lang w:val="en-GB"/>
        </w:rPr>
        <w:t xml:space="preserve"> </w:t>
      </w:r>
      <w:r w:rsidRPr="00C51293">
        <w:rPr>
          <w:lang w:val="en-GB"/>
        </w:rPr>
        <w:t>Bringin</w:t>
      </w:r>
      <w:proofErr w:type="spellEnd"/>
      <w:r w:rsidRPr="00C51293">
        <w:rPr>
          <w:lang w:val="en-GB"/>
        </w:rPr>
        <w:t>g together work on district- and small-area measurement, spatial inequality, and gendered capabilities, the review argues that India’s “development geography” is best understood as a multi-scalar system in which state-level gradients (often described as North–South, core–periphery, and coastal–interior) coexist with large within-state disparities and micro-geographies of deprivation. Evidence from district and small-area studies demonstrates that averages can conceal substantial heterogeneity in maternal and child health coverage, child undernutrition, vaccination, and women’s work participation. The review further shows that gender is not merely an “outcome domain” but a central mechanism linking institutions, norms, and public policy to human development: kinship and patriarchy regimes influence girls’ education and women’s agency; gendered labo</w:t>
      </w:r>
      <w:r w:rsidR="004644EB">
        <w:rPr>
          <w:lang w:val="en-GB"/>
        </w:rPr>
        <w:t>u</w:t>
      </w:r>
      <w:r w:rsidRPr="00C51293">
        <w:rPr>
          <w:lang w:val="en-GB"/>
        </w:rPr>
        <w:t xml:space="preserve">r market structures constrain economic capability formation; and gendered exposure to violence and bargaining constraints shape health and nutrition. The article concludes by proposing an integrative framework for research and policy </w:t>
      </w:r>
      <w:r w:rsidRPr="00565594">
        <w:rPr>
          <w:highlight w:val="yellow"/>
          <w:lang w:val="en-GB"/>
        </w:rPr>
        <w:t xml:space="preserve">that treats gender equality and human development as mutually reinforcing, </w:t>
      </w:r>
      <w:r w:rsidR="004644EB" w:rsidRPr="00565594">
        <w:rPr>
          <w:highlight w:val="yellow"/>
          <w:lang w:val="en-GB"/>
        </w:rPr>
        <w:t>emphasi</w:t>
      </w:r>
      <w:r w:rsidR="004644EB" w:rsidRPr="00565594">
        <w:rPr>
          <w:highlight w:val="yellow"/>
          <w:lang w:val="en-GB"/>
        </w:rPr>
        <w:t>s</w:t>
      </w:r>
      <w:r w:rsidR="004644EB" w:rsidRPr="00565594">
        <w:rPr>
          <w:highlight w:val="yellow"/>
          <w:lang w:val="en-GB"/>
        </w:rPr>
        <w:t>es</w:t>
      </w:r>
      <w:r w:rsidR="004644EB" w:rsidRPr="00C51293">
        <w:rPr>
          <w:lang w:val="en-GB"/>
        </w:rPr>
        <w:t xml:space="preserve"> </w:t>
      </w:r>
      <w:r w:rsidRPr="00C51293">
        <w:rPr>
          <w:lang w:val="en-GB"/>
        </w:rPr>
        <w:t xml:space="preserve">scale-sensitive measurement, and </w:t>
      </w:r>
      <w:r w:rsidR="004644EB" w:rsidRPr="00565594">
        <w:rPr>
          <w:highlight w:val="yellow"/>
          <w:lang w:val="en-GB"/>
        </w:rPr>
        <w:t>prioriti</w:t>
      </w:r>
      <w:r w:rsidR="004644EB" w:rsidRPr="00565594">
        <w:rPr>
          <w:highlight w:val="yellow"/>
          <w:lang w:val="en-GB"/>
        </w:rPr>
        <w:t>s</w:t>
      </w:r>
      <w:r w:rsidR="004644EB" w:rsidRPr="00565594">
        <w:rPr>
          <w:highlight w:val="yellow"/>
          <w:lang w:val="en-GB"/>
        </w:rPr>
        <w:t xml:space="preserve">es </w:t>
      </w:r>
      <w:r w:rsidRPr="00565594">
        <w:rPr>
          <w:highlight w:val="yellow"/>
          <w:lang w:val="en-GB"/>
        </w:rPr>
        <w:t>geographically targeted interventions</w:t>
      </w:r>
      <w:r w:rsidRPr="00C51293">
        <w:rPr>
          <w:lang w:val="en-GB"/>
        </w:rPr>
        <w:t xml:space="preserve"> that are attentive to within-district and within-state clustering.</w:t>
      </w:r>
    </w:p>
    <w:p w:rsidR="009333FF" w:rsidRPr="00C51293" w:rsidRDefault="009333FF" w:rsidP="00C1102F">
      <w:pPr>
        <w:pStyle w:val="NormalWeb"/>
        <w:jc w:val="both"/>
        <w:rPr>
          <w:lang w:val="en-GB"/>
        </w:rPr>
      </w:pPr>
      <w:r w:rsidRPr="00C51293">
        <w:rPr>
          <w:rStyle w:val="Strong"/>
          <w:lang w:val="en-GB"/>
        </w:rPr>
        <w:t>Keywords:</w:t>
      </w:r>
      <w:r w:rsidRPr="00C51293">
        <w:rPr>
          <w:lang w:val="en-GB"/>
        </w:rPr>
        <w:t xml:space="preserve"> human development; gender inequality; inter-regional disparities; spatial inequality; districts; India; women’s work; maternal and child health; small-area estimation</w:t>
      </w:r>
    </w:p>
    <w:p w:rsidR="009333FF" w:rsidRPr="00C51293" w:rsidRDefault="009333FF" w:rsidP="00C1102F">
      <w:pPr>
        <w:rPr>
          <w:lang w:val="en-GB"/>
        </w:rPr>
      </w:pPr>
    </w:p>
    <w:p w:rsidR="009333FF" w:rsidRPr="009333FF" w:rsidRDefault="009333FF" w:rsidP="00C1102F">
      <w:pPr>
        <w:spacing w:before="100" w:beforeAutospacing="1" w:after="100" w:afterAutospacing="1" w:line="240" w:lineRule="auto"/>
        <w:ind w:left="0" w:right="0" w:firstLine="0"/>
        <w:outlineLvl w:val="1"/>
        <w:rPr>
          <w:b/>
          <w:bCs/>
          <w:color w:val="auto"/>
          <w:kern w:val="0"/>
          <w:sz w:val="36"/>
          <w:szCs w:val="36"/>
          <w:lang w:val="en-GB" w:eastAsia="en-US"/>
        </w:rPr>
      </w:pPr>
      <w:r w:rsidRPr="009333FF">
        <w:rPr>
          <w:b/>
          <w:bCs/>
          <w:color w:val="auto"/>
          <w:kern w:val="0"/>
          <w:sz w:val="36"/>
          <w:szCs w:val="36"/>
          <w:lang w:val="en-GB" w:eastAsia="en-US"/>
        </w:rPr>
        <w:t>1. Introduction</w:t>
      </w:r>
    </w:p>
    <w:p w:rsidR="009333FF" w:rsidRPr="009333FF" w:rsidRDefault="009333FF" w:rsidP="00C1102F">
      <w:pPr>
        <w:spacing w:before="100" w:beforeAutospacing="1" w:after="100" w:afterAutospacing="1" w:line="240" w:lineRule="auto"/>
        <w:ind w:left="0" w:right="0" w:firstLine="0"/>
        <w:rPr>
          <w:color w:val="auto"/>
          <w:kern w:val="0"/>
          <w:lang w:val="en-GB" w:eastAsia="en-US"/>
        </w:rPr>
      </w:pPr>
      <w:r w:rsidRPr="009333FF">
        <w:rPr>
          <w:color w:val="auto"/>
          <w:kern w:val="0"/>
          <w:lang w:val="en-GB" w:eastAsia="en-US"/>
        </w:rPr>
        <w:t>India’s development story is often described through national averages—rising life expectancy, expanding schooling, and reductions in poverty—but these aggregate gains conceal a striking geography of unequal capability expansion. Inter-regional inequality remains a defining feature of India’s human development trajectory because the determinants of well-being—public provisioning, infrastructure, labo</w:t>
      </w:r>
      <w:r w:rsidR="004644EB">
        <w:rPr>
          <w:color w:val="auto"/>
          <w:kern w:val="0"/>
          <w:lang w:val="en-GB" w:eastAsia="en-US"/>
        </w:rPr>
        <w:t>u</w:t>
      </w:r>
      <w:r w:rsidRPr="009333FF">
        <w:rPr>
          <w:color w:val="auto"/>
          <w:kern w:val="0"/>
          <w:lang w:val="en-GB" w:eastAsia="en-US"/>
        </w:rPr>
        <w:t xml:space="preserve">r market opportunities, and social institutions—are unevenly distributed across space. District-level evidence underscores that “where people live” in India can shape their access to health, education, and economic opportunities as much as “who they are,” and that the spatial patterning of advantage and </w:t>
      </w:r>
      <w:r w:rsidRPr="009333FF">
        <w:rPr>
          <w:color w:val="auto"/>
          <w:kern w:val="0"/>
          <w:lang w:val="en-GB" w:eastAsia="en-US"/>
        </w:rPr>
        <w:lastRenderedPageBreak/>
        <w:t>deprivation cannot be understood solely by comparing states. Studies that map development at finer administrative levels show that large within-state differences persist alongside inter-state gradients, producing clusters of low capability even in otherwise better-performing regions (</w:t>
      </w:r>
      <w:proofErr w:type="spellStart"/>
      <w:r w:rsidRPr="009333FF">
        <w:rPr>
          <w:color w:val="auto"/>
          <w:kern w:val="0"/>
          <w:lang w:val="en-GB" w:eastAsia="en-US"/>
        </w:rPr>
        <w:t>Chaurasia</w:t>
      </w:r>
      <w:proofErr w:type="spellEnd"/>
      <w:r w:rsidRPr="009333FF">
        <w:rPr>
          <w:color w:val="auto"/>
          <w:kern w:val="0"/>
          <w:lang w:val="en-GB" w:eastAsia="en-US"/>
        </w:rPr>
        <w:t xml:space="preserve">, 2023; </w:t>
      </w:r>
      <w:proofErr w:type="spellStart"/>
      <w:r w:rsidRPr="009333FF">
        <w:rPr>
          <w:color w:val="auto"/>
          <w:kern w:val="0"/>
          <w:lang w:val="en-GB" w:eastAsia="en-US"/>
        </w:rPr>
        <w:t>Ohlan</w:t>
      </w:r>
      <w:proofErr w:type="spellEnd"/>
      <w:r w:rsidRPr="009333FF">
        <w:rPr>
          <w:color w:val="auto"/>
          <w:kern w:val="0"/>
          <w:lang w:val="en-GB" w:eastAsia="en-US"/>
        </w:rPr>
        <w:t>, 2013). The practical implication is that inter-regional variation is not merely a background context for human development; it is an essential part of the phenomenon itself, influencing both the distribution of outcomes and the feasibility of effective policy targeting (</w:t>
      </w:r>
      <w:proofErr w:type="spellStart"/>
      <w:r w:rsidRPr="009333FF">
        <w:rPr>
          <w:color w:val="auto"/>
          <w:kern w:val="0"/>
          <w:lang w:val="en-GB" w:eastAsia="en-US"/>
        </w:rPr>
        <w:t>Chaurasia</w:t>
      </w:r>
      <w:proofErr w:type="spellEnd"/>
      <w:r w:rsidRPr="009333FF">
        <w:rPr>
          <w:color w:val="auto"/>
          <w:kern w:val="0"/>
          <w:lang w:val="en-GB" w:eastAsia="en-US"/>
        </w:rPr>
        <w:t xml:space="preserve">, 2023; </w:t>
      </w:r>
      <w:proofErr w:type="spellStart"/>
      <w:r w:rsidRPr="009333FF">
        <w:rPr>
          <w:color w:val="auto"/>
          <w:kern w:val="0"/>
          <w:lang w:val="en-GB" w:eastAsia="en-US"/>
        </w:rPr>
        <w:t>Ohlan</w:t>
      </w:r>
      <w:proofErr w:type="spellEnd"/>
      <w:r w:rsidRPr="009333FF">
        <w:rPr>
          <w:color w:val="auto"/>
          <w:kern w:val="0"/>
          <w:lang w:val="en-GB" w:eastAsia="en-US"/>
        </w:rPr>
        <w:t>, 2013).</w:t>
      </w:r>
    </w:p>
    <w:p w:rsidR="009333FF" w:rsidRPr="009333FF" w:rsidRDefault="009333FF" w:rsidP="00366882">
      <w:pPr>
        <w:spacing w:before="100" w:beforeAutospacing="1" w:after="100" w:afterAutospacing="1" w:line="240" w:lineRule="auto"/>
        <w:ind w:left="0" w:right="0" w:firstLine="0"/>
        <w:rPr>
          <w:color w:val="auto"/>
          <w:kern w:val="0"/>
          <w:lang w:val="en-GB" w:eastAsia="en-US"/>
        </w:rPr>
      </w:pPr>
      <w:r w:rsidRPr="009333FF">
        <w:rPr>
          <w:color w:val="auto"/>
          <w:kern w:val="0"/>
          <w:lang w:val="en-GB" w:eastAsia="en-US"/>
        </w:rPr>
        <w:t>Gender is inseparable from this spatial inequality. In the human development perspective, gender inequality is not only an outcome (e.g., differences in schooling, work, health, or safety) but also a mechanism that shapes how resources translate into real freedoms. The literature on gender measurement warns that composite indices can oversimplify or mask domain-specific disadvantage, particularly when gendered constraints are rooted in social norms, intra-household bargaining, and institutional arrangements that vary across regions (</w:t>
      </w:r>
      <w:proofErr w:type="spellStart"/>
      <w:r w:rsidRPr="009333FF">
        <w:rPr>
          <w:color w:val="auto"/>
          <w:kern w:val="0"/>
          <w:lang w:val="en-GB" w:eastAsia="en-US"/>
        </w:rPr>
        <w:t>Bardhan</w:t>
      </w:r>
      <w:proofErr w:type="spellEnd"/>
      <w:r w:rsidRPr="009333FF">
        <w:rPr>
          <w:color w:val="auto"/>
          <w:kern w:val="0"/>
          <w:lang w:val="en-GB" w:eastAsia="en-US"/>
        </w:rPr>
        <w:t xml:space="preserve"> &amp; </w:t>
      </w:r>
      <w:proofErr w:type="spellStart"/>
      <w:r w:rsidRPr="009333FF">
        <w:rPr>
          <w:color w:val="auto"/>
          <w:kern w:val="0"/>
          <w:lang w:val="en-GB" w:eastAsia="en-US"/>
        </w:rPr>
        <w:t>Klasen</w:t>
      </w:r>
      <w:proofErr w:type="spellEnd"/>
      <w:r w:rsidRPr="009333FF">
        <w:rPr>
          <w:color w:val="auto"/>
          <w:kern w:val="0"/>
          <w:lang w:val="en-GB" w:eastAsia="en-US"/>
        </w:rPr>
        <w:t xml:space="preserve">, 1999; </w:t>
      </w:r>
      <w:proofErr w:type="spellStart"/>
      <w:r w:rsidRPr="009333FF">
        <w:rPr>
          <w:color w:val="auto"/>
          <w:kern w:val="0"/>
          <w:lang w:val="en-GB" w:eastAsia="en-US"/>
        </w:rPr>
        <w:t>Klasen</w:t>
      </w:r>
      <w:proofErr w:type="spellEnd"/>
      <w:r w:rsidRPr="009333FF">
        <w:rPr>
          <w:color w:val="auto"/>
          <w:kern w:val="0"/>
          <w:lang w:val="en-GB" w:eastAsia="en-US"/>
        </w:rPr>
        <w:t>, 2006).</w:t>
      </w:r>
      <w:r w:rsidR="00366882" w:rsidRPr="00366882">
        <w:t xml:space="preserve"> </w:t>
      </w:r>
      <w:r w:rsidR="00366882" w:rsidRPr="00366882">
        <w:rPr>
          <w:color w:val="auto"/>
          <w:kern w:val="0"/>
          <w:highlight w:val="yellow"/>
          <w:lang w:val="en-GB" w:eastAsia="en-US"/>
        </w:rPr>
        <w:t>Differences between men and women in the use of time at</w:t>
      </w:r>
      <w:r w:rsidR="00366882">
        <w:rPr>
          <w:color w:val="auto"/>
          <w:kern w:val="0"/>
          <w:highlight w:val="yellow"/>
          <w:lang w:val="en-GB" w:eastAsia="en-US"/>
        </w:rPr>
        <w:t xml:space="preserve"> </w:t>
      </w:r>
      <w:r w:rsidR="00366882" w:rsidRPr="00366882">
        <w:rPr>
          <w:color w:val="auto"/>
          <w:kern w:val="0"/>
          <w:highlight w:val="yellow"/>
          <w:lang w:val="en-GB" w:eastAsia="en-US"/>
        </w:rPr>
        <w:t>home, differences in education and skill levels, and socio-cultural restrictions, all of which lead to gender inequality in</w:t>
      </w:r>
      <w:r w:rsidR="00366882">
        <w:rPr>
          <w:color w:val="auto"/>
          <w:kern w:val="0"/>
          <w:highlight w:val="yellow"/>
          <w:lang w:val="en-GB" w:eastAsia="en-US"/>
        </w:rPr>
        <w:t xml:space="preserve"> </w:t>
      </w:r>
      <w:r w:rsidR="00366882" w:rsidRPr="00366882">
        <w:rPr>
          <w:color w:val="auto"/>
          <w:kern w:val="0"/>
          <w:highlight w:val="yellow"/>
          <w:lang w:val="en-GB" w:eastAsia="en-US"/>
        </w:rPr>
        <w:t>participation in decent work</w:t>
      </w:r>
      <w:r w:rsidR="00CF4943">
        <w:rPr>
          <w:color w:val="auto"/>
          <w:kern w:val="0"/>
          <w:highlight w:val="yellow"/>
          <w:lang w:val="en-GB" w:eastAsia="en-US"/>
        </w:rPr>
        <w:t xml:space="preserve"> </w:t>
      </w:r>
      <w:r w:rsidR="00CF4943" w:rsidRPr="00CF4943">
        <w:rPr>
          <w:color w:val="auto"/>
          <w:kern w:val="0"/>
          <w:lang w:val="en-GB" w:eastAsia="en-US"/>
        </w:rPr>
        <w:t xml:space="preserve">(Banerjee, 2019; Al </w:t>
      </w:r>
      <w:proofErr w:type="spellStart"/>
      <w:r w:rsidR="00CF4943" w:rsidRPr="00CF4943">
        <w:rPr>
          <w:color w:val="auto"/>
          <w:kern w:val="0"/>
          <w:lang w:val="en-GB" w:eastAsia="en-US"/>
        </w:rPr>
        <w:t>Azies</w:t>
      </w:r>
      <w:proofErr w:type="spellEnd"/>
      <w:r w:rsidR="00CF4943" w:rsidRPr="00CF4943">
        <w:rPr>
          <w:color w:val="auto"/>
          <w:kern w:val="0"/>
          <w:lang w:val="en-GB" w:eastAsia="en-US"/>
        </w:rPr>
        <w:t>, 2023)</w:t>
      </w:r>
      <w:r w:rsidR="00366882" w:rsidRPr="00366882">
        <w:rPr>
          <w:color w:val="auto"/>
          <w:kern w:val="0"/>
          <w:highlight w:val="yellow"/>
          <w:lang w:val="en-GB" w:eastAsia="en-US"/>
        </w:rPr>
        <w:t>.</w:t>
      </w:r>
      <w:r w:rsidR="00791141">
        <w:rPr>
          <w:color w:val="auto"/>
          <w:kern w:val="0"/>
          <w:lang w:val="en-GB" w:eastAsia="en-US"/>
        </w:rPr>
        <w:t xml:space="preserve"> </w:t>
      </w:r>
      <w:bookmarkStart w:id="0" w:name="_GoBack"/>
      <w:bookmarkEnd w:id="0"/>
      <w:r w:rsidRPr="009333FF">
        <w:rPr>
          <w:color w:val="auto"/>
          <w:kern w:val="0"/>
          <w:lang w:val="en-GB" w:eastAsia="en-US"/>
        </w:rPr>
        <w:t>These conceptual critiques are highly relevant for India because the “same” improvement in service coverage or household income may yield very different capability gains for women and girls depending on local gender regimes. As a result, inter-regional variation in human development becomes sharper—and analytically more revealing—when examined through gendered pathways such as care-seeking autonomy, control over time and mobility, access to paid work, and exposure to coercion or violence (</w:t>
      </w:r>
      <w:proofErr w:type="spellStart"/>
      <w:r w:rsidRPr="009333FF">
        <w:rPr>
          <w:color w:val="auto"/>
          <w:kern w:val="0"/>
          <w:lang w:val="en-GB" w:eastAsia="en-US"/>
        </w:rPr>
        <w:t>Bardhan</w:t>
      </w:r>
      <w:proofErr w:type="spellEnd"/>
      <w:r w:rsidRPr="009333FF">
        <w:rPr>
          <w:color w:val="auto"/>
          <w:kern w:val="0"/>
          <w:lang w:val="en-GB" w:eastAsia="en-US"/>
        </w:rPr>
        <w:t xml:space="preserve"> &amp; </w:t>
      </w:r>
      <w:proofErr w:type="spellStart"/>
      <w:r w:rsidRPr="009333FF">
        <w:rPr>
          <w:color w:val="auto"/>
          <w:kern w:val="0"/>
          <w:lang w:val="en-GB" w:eastAsia="en-US"/>
        </w:rPr>
        <w:t>Klasen</w:t>
      </w:r>
      <w:proofErr w:type="spellEnd"/>
      <w:r w:rsidRPr="009333FF">
        <w:rPr>
          <w:color w:val="auto"/>
          <w:kern w:val="0"/>
          <w:lang w:val="en-GB" w:eastAsia="en-US"/>
        </w:rPr>
        <w:t xml:space="preserve">, 1999; </w:t>
      </w:r>
      <w:proofErr w:type="spellStart"/>
      <w:r w:rsidRPr="009333FF">
        <w:rPr>
          <w:color w:val="auto"/>
          <w:kern w:val="0"/>
          <w:lang w:val="en-GB" w:eastAsia="en-US"/>
        </w:rPr>
        <w:t>Klasen</w:t>
      </w:r>
      <w:proofErr w:type="spellEnd"/>
      <w:r w:rsidRPr="009333FF">
        <w:rPr>
          <w:color w:val="auto"/>
          <w:kern w:val="0"/>
          <w:lang w:val="en-GB" w:eastAsia="en-US"/>
        </w:rPr>
        <w:t>, 2006).</w:t>
      </w:r>
    </w:p>
    <w:p w:rsidR="009333FF" w:rsidRPr="009333FF" w:rsidRDefault="009333FF" w:rsidP="00C1102F">
      <w:pPr>
        <w:spacing w:before="100" w:beforeAutospacing="1" w:after="100" w:afterAutospacing="1" w:line="240" w:lineRule="auto"/>
        <w:ind w:left="0" w:right="0" w:firstLine="0"/>
        <w:rPr>
          <w:color w:val="auto"/>
          <w:kern w:val="0"/>
          <w:lang w:val="en-GB" w:eastAsia="en-US"/>
        </w:rPr>
      </w:pPr>
      <w:r w:rsidRPr="009333FF">
        <w:rPr>
          <w:color w:val="auto"/>
          <w:kern w:val="0"/>
          <w:lang w:val="en-GB" w:eastAsia="en-US"/>
        </w:rPr>
        <w:t xml:space="preserve">Recent empirical work strengthens this argument by demonstrating that gender-linked human development outcomes exhibit strong spatial structure, but also substantial heterogeneity within administrative units. In reproductive, maternal, neonatal, and child health, district-level inequality and geographic clustering in coverage remain substantial, suggesting that the same national program environment can produce uneven local gains in the capabilities that matter for safe pregnancy, childbirth, and early childhood development (Panda et al., 2020). Similarly, evidence on child </w:t>
      </w:r>
      <w:r w:rsidR="004644EB" w:rsidRPr="00565594">
        <w:rPr>
          <w:color w:val="auto"/>
          <w:kern w:val="0"/>
          <w:highlight w:val="yellow"/>
          <w:lang w:val="en-GB" w:eastAsia="en-US"/>
        </w:rPr>
        <w:t>immuni</w:t>
      </w:r>
      <w:r w:rsidR="004644EB" w:rsidRPr="00565594">
        <w:rPr>
          <w:color w:val="auto"/>
          <w:kern w:val="0"/>
          <w:highlight w:val="yellow"/>
          <w:lang w:val="en-GB" w:eastAsia="en-US"/>
        </w:rPr>
        <w:t>s</w:t>
      </w:r>
      <w:r w:rsidR="004644EB" w:rsidRPr="00565594">
        <w:rPr>
          <w:color w:val="auto"/>
          <w:kern w:val="0"/>
          <w:highlight w:val="yellow"/>
          <w:lang w:val="en-GB" w:eastAsia="en-US"/>
        </w:rPr>
        <w:t xml:space="preserve">ation </w:t>
      </w:r>
      <w:r w:rsidRPr="00565594">
        <w:rPr>
          <w:color w:val="auto"/>
          <w:kern w:val="0"/>
          <w:highlight w:val="yellow"/>
          <w:lang w:val="en-GB" w:eastAsia="en-US"/>
        </w:rPr>
        <w:t>show</w:t>
      </w:r>
      <w:r w:rsidRPr="009333FF">
        <w:rPr>
          <w:color w:val="auto"/>
          <w:kern w:val="0"/>
          <w:lang w:val="en-GB" w:eastAsia="en-US"/>
        </w:rPr>
        <w:t xml:space="preserve">s that under-vaccination varies not only across states and districts but also across much smaller geographic clusters, implying that barriers to service </w:t>
      </w:r>
      <w:r w:rsidR="004644EB" w:rsidRPr="00565594">
        <w:rPr>
          <w:color w:val="auto"/>
          <w:kern w:val="0"/>
          <w:highlight w:val="yellow"/>
          <w:lang w:val="en-GB" w:eastAsia="en-US"/>
        </w:rPr>
        <w:t>utili</w:t>
      </w:r>
      <w:r w:rsidR="004644EB" w:rsidRPr="00565594">
        <w:rPr>
          <w:color w:val="auto"/>
          <w:kern w:val="0"/>
          <w:highlight w:val="yellow"/>
          <w:lang w:val="en-GB" w:eastAsia="en-US"/>
        </w:rPr>
        <w:t>s</w:t>
      </w:r>
      <w:r w:rsidR="004644EB" w:rsidRPr="00565594">
        <w:rPr>
          <w:color w:val="auto"/>
          <w:kern w:val="0"/>
          <w:highlight w:val="yellow"/>
          <w:lang w:val="en-GB" w:eastAsia="en-US"/>
        </w:rPr>
        <w:t>ation</w:t>
      </w:r>
      <w:r w:rsidRPr="00565594">
        <w:rPr>
          <w:color w:val="auto"/>
          <w:kern w:val="0"/>
          <w:highlight w:val="yellow"/>
          <w:lang w:val="en-GB" w:eastAsia="en-US"/>
        </w:rPr>
        <w:t>—in</w:t>
      </w:r>
      <w:r w:rsidRPr="009333FF">
        <w:rPr>
          <w:color w:val="auto"/>
          <w:kern w:val="0"/>
          <w:lang w:val="en-GB" w:eastAsia="en-US"/>
        </w:rPr>
        <w:t xml:space="preserve">formation, </w:t>
      </w:r>
      <w:r w:rsidRPr="00565594">
        <w:rPr>
          <w:color w:val="auto"/>
          <w:kern w:val="0"/>
          <w:highlight w:val="yellow"/>
          <w:lang w:val="en-GB" w:eastAsia="en-US"/>
        </w:rPr>
        <w:t>trust, access, and social exclusion—can operate</w:t>
      </w:r>
      <w:r w:rsidRPr="009333FF">
        <w:rPr>
          <w:color w:val="auto"/>
          <w:kern w:val="0"/>
          <w:lang w:val="en-GB" w:eastAsia="en-US"/>
        </w:rPr>
        <w:t xml:space="preserve"> at </w:t>
      </w:r>
      <w:r w:rsidRPr="00565594">
        <w:rPr>
          <w:color w:val="auto"/>
          <w:kern w:val="0"/>
          <w:highlight w:val="yellow"/>
          <w:lang w:val="en-GB" w:eastAsia="en-US"/>
        </w:rPr>
        <w:t>neighbo</w:t>
      </w:r>
      <w:r w:rsidR="004644EB" w:rsidRPr="00565594">
        <w:rPr>
          <w:color w:val="auto"/>
          <w:kern w:val="0"/>
          <w:highlight w:val="yellow"/>
          <w:lang w:val="en-GB" w:eastAsia="en-US"/>
        </w:rPr>
        <w:t>u</w:t>
      </w:r>
      <w:r w:rsidRPr="00565594">
        <w:rPr>
          <w:color w:val="auto"/>
          <w:kern w:val="0"/>
          <w:highlight w:val="yellow"/>
          <w:lang w:val="en-GB" w:eastAsia="en-US"/>
        </w:rPr>
        <w:t>rhood or</w:t>
      </w:r>
      <w:r w:rsidRPr="009333FF">
        <w:rPr>
          <w:color w:val="auto"/>
          <w:kern w:val="0"/>
          <w:lang w:val="en-GB" w:eastAsia="en-US"/>
        </w:rPr>
        <w:t xml:space="preserve"> community scale (Johri et al., 2024). These findings are essential for a gender-and-human-development review because women’s health capabilities often depend on repeated interactions with local systems of care, and because constraints on women’s mobility and decision-making can amplify </w:t>
      </w:r>
      <w:r w:rsidR="004644EB" w:rsidRPr="00565594">
        <w:rPr>
          <w:color w:val="auto"/>
          <w:kern w:val="0"/>
          <w:highlight w:val="yellow"/>
          <w:lang w:val="en-GB" w:eastAsia="en-US"/>
        </w:rPr>
        <w:t>locali</w:t>
      </w:r>
      <w:r w:rsidR="004644EB" w:rsidRPr="00565594">
        <w:rPr>
          <w:color w:val="auto"/>
          <w:kern w:val="0"/>
          <w:highlight w:val="yellow"/>
          <w:lang w:val="en-GB" w:eastAsia="en-US"/>
        </w:rPr>
        <w:t>s</w:t>
      </w:r>
      <w:r w:rsidR="004644EB" w:rsidRPr="00565594">
        <w:rPr>
          <w:color w:val="auto"/>
          <w:kern w:val="0"/>
          <w:highlight w:val="yellow"/>
          <w:lang w:val="en-GB" w:eastAsia="en-US"/>
        </w:rPr>
        <w:t xml:space="preserve">ed </w:t>
      </w:r>
      <w:r w:rsidRPr="00565594">
        <w:rPr>
          <w:color w:val="auto"/>
          <w:kern w:val="0"/>
          <w:highlight w:val="yellow"/>
          <w:lang w:val="en-GB" w:eastAsia="en-US"/>
        </w:rPr>
        <w:t>se</w:t>
      </w:r>
      <w:r w:rsidRPr="009333FF">
        <w:rPr>
          <w:color w:val="auto"/>
          <w:kern w:val="0"/>
          <w:lang w:val="en-GB" w:eastAsia="en-US"/>
        </w:rPr>
        <w:t>rvice deficits (Panda et al., 2020).</w:t>
      </w:r>
    </w:p>
    <w:p w:rsidR="009333FF" w:rsidRPr="009333FF" w:rsidRDefault="009333FF" w:rsidP="00C1102F">
      <w:pPr>
        <w:spacing w:before="100" w:beforeAutospacing="1" w:after="100" w:afterAutospacing="1" w:line="240" w:lineRule="auto"/>
        <w:ind w:left="0" w:right="0" w:firstLine="0"/>
        <w:rPr>
          <w:color w:val="auto"/>
          <w:kern w:val="0"/>
          <w:lang w:val="en-GB" w:eastAsia="en-US"/>
        </w:rPr>
      </w:pPr>
      <w:r w:rsidRPr="009333FF">
        <w:rPr>
          <w:color w:val="auto"/>
          <w:kern w:val="0"/>
          <w:lang w:val="en-GB" w:eastAsia="en-US"/>
        </w:rPr>
        <w:t>A defining shift in the last decade is therefore methodological and conceptual: “scale” is no longer treated as a technical detail but as a substantive part of the explanation. Small-area and precision-mapping approaches show that deprivation is frequently clustered at scales below districts, meaning that averages can mislead both researchers and policymakers. Evidence that maps child undernutrition across India’s villages illustrates the micro-geogra</w:t>
      </w:r>
      <w:r w:rsidRPr="00565594">
        <w:rPr>
          <w:color w:val="auto"/>
          <w:kern w:val="0"/>
          <w:highlight w:val="yellow"/>
          <w:lang w:val="en-GB" w:eastAsia="en-US"/>
        </w:rPr>
        <w:t>phies through which disadvantage persists—highlighting</w:t>
      </w:r>
      <w:r w:rsidRPr="009333FF">
        <w:rPr>
          <w:color w:val="auto"/>
          <w:kern w:val="0"/>
          <w:lang w:val="en-GB" w:eastAsia="en-US"/>
        </w:rPr>
        <w:t xml:space="preserve"> </w:t>
      </w:r>
      <w:r w:rsidR="004644EB" w:rsidRPr="009333FF">
        <w:rPr>
          <w:color w:val="auto"/>
          <w:kern w:val="0"/>
          <w:lang w:val="en-GB" w:eastAsia="en-US"/>
        </w:rPr>
        <w:t>locali</w:t>
      </w:r>
      <w:r w:rsidR="004644EB">
        <w:rPr>
          <w:color w:val="auto"/>
          <w:kern w:val="0"/>
          <w:lang w:val="en-GB" w:eastAsia="en-US"/>
        </w:rPr>
        <w:t>s</w:t>
      </w:r>
      <w:r w:rsidR="004644EB" w:rsidRPr="009333FF">
        <w:rPr>
          <w:color w:val="auto"/>
          <w:kern w:val="0"/>
          <w:lang w:val="en-GB" w:eastAsia="en-US"/>
        </w:rPr>
        <w:t xml:space="preserve">ed </w:t>
      </w:r>
      <w:r w:rsidRPr="009333FF">
        <w:rPr>
          <w:color w:val="auto"/>
          <w:kern w:val="0"/>
          <w:lang w:val="en-GB" w:eastAsia="en-US"/>
        </w:rPr>
        <w:t>pockets of high undernutrition that may be invisible in district or state means (Srivastava et al., 2025</w:t>
      </w:r>
      <w:r w:rsidRPr="00C51293">
        <w:rPr>
          <w:color w:val="auto"/>
          <w:kern w:val="0"/>
          <w:lang w:val="en-GB" w:eastAsia="en-US"/>
        </w:rPr>
        <w:t xml:space="preserve">; </w:t>
      </w:r>
      <w:r w:rsidRPr="009333FF">
        <w:rPr>
          <w:color w:val="auto"/>
          <w:kern w:val="0"/>
          <w:lang w:val="en-GB" w:eastAsia="en-US"/>
        </w:rPr>
        <w:t xml:space="preserve">Kim et al., 2021). Complementary work that compares patterns across districts and parliamentary constituencies reinforces the idea that deprivation clusters can cut across administrative boundaries, complicating simplistic narratives of “better” and “worse” regions and pointing to the need for geographically targeted approaches aligned to how risk is actually distributed (Rajpal et </w:t>
      </w:r>
      <w:r w:rsidRPr="009333FF">
        <w:rPr>
          <w:color w:val="auto"/>
          <w:kern w:val="0"/>
          <w:lang w:val="en-GB" w:eastAsia="en-US"/>
        </w:rPr>
        <w:lastRenderedPageBreak/>
        <w:t>al., 2021). These insights matter for gendered human development because the determinants of women’s and girls’ capabilities—norms, safety, and access to services—are often locally produced and maintained, and can therefore generate sharp within-district contrasts even where overall development appears to be improving (Johri et al., 2024; Kim et al., 2021; Rajpal et al., 2021).</w:t>
      </w:r>
    </w:p>
    <w:p w:rsidR="009333FF" w:rsidRPr="009333FF" w:rsidRDefault="009333FF" w:rsidP="00C1102F">
      <w:pPr>
        <w:spacing w:before="100" w:beforeAutospacing="1" w:after="100" w:afterAutospacing="1" w:line="240" w:lineRule="auto"/>
        <w:ind w:left="0" w:right="0" w:firstLine="0"/>
        <w:rPr>
          <w:color w:val="auto"/>
          <w:kern w:val="0"/>
          <w:lang w:val="en-GB" w:eastAsia="en-US"/>
        </w:rPr>
      </w:pPr>
      <w:r w:rsidRPr="009333FF">
        <w:rPr>
          <w:color w:val="auto"/>
          <w:kern w:val="0"/>
          <w:lang w:val="en-GB" w:eastAsia="en-US"/>
        </w:rPr>
        <w:t>The spatial story is equally important in economic capabilities. Women’s work participation in India exhibits pronounced regional gradients and complex within-state variation, reflecting differences in sectoral structure, labo</w:t>
      </w:r>
      <w:r w:rsidR="004644EB">
        <w:rPr>
          <w:color w:val="auto"/>
          <w:kern w:val="0"/>
          <w:lang w:val="en-GB" w:eastAsia="en-US"/>
        </w:rPr>
        <w:t>u</w:t>
      </w:r>
      <w:r w:rsidRPr="009333FF">
        <w:rPr>
          <w:color w:val="auto"/>
          <w:kern w:val="0"/>
          <w:lang w:val="en-GB" w:eastAsia="en-US"/>
        </w:rPr>
        <w:t>r demand, safety and mobility constraints, and local norms governing women’s paid work. District-level mapping using small-area estimation reveals that women’s work and cash earnings are not evenly distributed: some regions show persistently low participation, while others show higher engagement shaped by local opportunity structures, underscoring that women’s economic agency is deeply place-dependent (Srivastava et al., 2025). This matters for human development because paid work is not merely an income source; it can also expand bargaining power, social networks, and autonomy. When women’s work opportunities are spatially constrained, education and health gains may translate into smaller improvements in agency, thereby sustaining inter-regional disparities even amid aggregate progress (Srivastava et al., 2025).</w:t>
      </w:r>
    </w:p>
    <w:p w:rsidR="009333FF" w:rsidRPr="009333FF" w:rsidRDefault="009333FF" w:rsidP="00C1102F">
      <w:pPr>
        <w:spacing w:before="100" w:beforeAutospacing="1" w:after="100" w:afterAutospacing="1" w:line="240" w:lineRule="auto"/>
        <w:ind w:left="0" w:right="0" w:firstLine="0"/>
        <w:rPr>
          <w:color w:val="auto"/>
          <w:kern w:val="0"/>
          <w:lang w:val="en-GB" w:eastAsia="en-US"/>
        </w:rPr>
      </w:pPr>
      <w:r w:rsidRPr="009333FF">
        <w:rPr>
          <w:color w:val="auto"/>
          <w:kern w:val="0"/>
          <w:lang w:val="en-GB" w:eastAsia="en-US"/>
        </w:rPr>
        <w:t>Taken together, this literature suggests that inter-regional variation in gender and human development in India should be understood as a layered geography</w:t>
      </w:r>
      <w:r w:rsidRPr="00C51293">
        <w:rPr>
          <w:color w:val="auto"/>
          <w:kern w:val="0"/>
          <w:lang w:val="en-GB" w:eastAsia="en-US"/>
        </w:rPr>
        <w:t xml:space="preserve"> (</w:t>
      </w:r>
      <w:proofErr w:type="spellStart"/>
      <w:r w:rsidRPr="009333FF">
        <w:rPr>
          <w:color w:val="auto"/>
          <w:kern w:val="0"/>
          <w:lang w:val="en-GB" w:eastAsia="en-US"/>
        </w:rPr>
        <w:t>Chaurasia</w:t>
      </w:r>
      <w:proofErr w:type="spellEnd"/>
      <w:r w:rsidRPr="009333FF">
        <w:rPr>
          <w:color w:val="auto"/>
          <w:kern w:val="0"/>
          <w:lang w:val="en-GB" w:eastAsia="en-US"/>
        </w:rPr>
        <w:t>, 2023; Johri et al., 2024; Kim et al., 2021</w:t>
      </w:r>
      <w:r w:rsidRPr="00C51293">
        <w:rPr>
          <w:color w:val="auto"/>
          <w:kern w:val="0"/>
          <w:lang w:val="en-GB" w:eastAsia="en-US"/>
        </w:rPr>
        <w:t>)</w:t>
      </w:r>
      <w:r w:rsidRPr="009333FF">
        <w:rPr>
          <w:color w:val="auto"/>
          <w:kern w:val="0"/>
          <w:lang w:val="en-GB" w:eastAsia="en-US"/>
        </w:rPr>
        <w:t>. Broad regional gradients exist, but the decisive realities of deprivation and advantage are often produced at finer scales where service systems, labo</w:t>
      </w:r>
      <w:r w:rsidR="004644EB">
        <w:rPr>
          <w:color w:val="auto"/>
          <w:kern w:val="0"/>
          <w:lang w:val="en-GB" w:eastAsia="en-US"/>
        </w:rPr>
        <w:t>u</w:t>
      </w:r>
      <w:r w:rsidRPr="009333FF">
        <w:rPr>
          <w:color w:val="auto"/>
          <w:kern w:val="0"/>
          <w:lang w:val="en-GB" w:eastAsia="en-US"/>
        </w:rPr>
        <w:t>r markets, and gender norms interact. A review that brings gender explicitly into the analysis of spatial human development therefore</w:t>
      </w:r>
      <w:r w:rsidR="004644EB">
        <w:rPr>
          <w:color w:val="auto"/>
          <w:kern w:val="0"/>
          <w:lang w:val="en-GB" w:eastAsia="en-US"/>
        </w:rPr>
        <w:t>,</w:t>
      </w:r>
      <w:r w:rsidRPr="009333FF">
        <w:rPr>
          <w:color w:val="auto"/>
          <w:kern w:val="0"/>
          <w:lang w:val="en-GB" w:eastAsia="en-US"/>
        </w:rPr>
        <w:t xml:space="preserve"> needs to move beyond “state rankings” and consider how and why outcomes cluster within states, within districts, and even within smaller local areas (</w:t>
      </w:r>
      <w:proofErr w:type="spellStart"/>
      <w:r w:rsidRPr="009333FF">
        <w:rPr>
          <w:color w:val="auto"/>
          <w:kern w:val="0"/>
          <w:lang w:val="en-GB" w:eastAsia="en-US"/>
        </w:rPr>
        <w:t>Ohlan</w:t>
      </w:r>
      <w:proofErr w:type="spellEnd"/>
      <w:r w:rsidRPr="009333FF">
        <w:rPr>
          <w:color w:val="auto"/>
          <w:kern w:val="0"/>
          <w:lang w:val="en-GB" w:eastAsia="en-US"/>
        </w:rPr>
        <w:t>, 2013; Panda et al., 2020; Rajpal et al., 2021).</w:t>
      </w:r>
    </w:p>
    <w:p w:rsidR="009333FF" w:rsidRPr="00565594" w:rsidRDefault="009333FF" w:rsidP="00C1102F">
      <w:pPr>
        <w:spacing w:before="100" w:beforeAutospacing="1" w:after="100" w:afterAutospacing="1" w:line="240" w:lineRule="auto"/>
        <w:ind w:left="0" w:right="0" w:firstLine="0"/>
        <w:outlineLvl w:val="2"/>
        <w:rPr>
          <w:b/>
          <w:bCs/>
          <w:color w:val="auto"/>
          <w:kern w:val="0"/>
          <w:sz w:val="27"/>
          <w:szCs w:val="27"/>
          <w:highlight w:val="yellow"/>
          <w:lang w:val="en-GB" w:eastAsia="en-US"/>
        </w:rPr>
      </w:pPr>
      <w:r w:rsidRPr="009333FF">
        <w:rPr>
          <w:b/>
          <w:bCs/>
          <w:color w:val="auto"/>
          <w:kern w:val="0"/>
          <w:sz w:val="27"/>
          <w:szCs w:val="27"/>
          <w:lang w:val="en-GB" w:eastAsia="en-US"/>
        </w:rPr>
        <w:t xml:space="preserve">1.1 </w:t>
      </w:r>
      <w:r w:rsidRPr="00565594">
        <w:rPr>
          <w:b/>
          <w:bCs/>
          <w:color w:val="auto"/>
          <w:kern w:val="0"/>
          <w:sz w:val="27"/>
          <w:szCs w:val="27"/>
          <w:highlight w:val="yellow"/>
          <w:lang w:val="en-GB" w:eastAsia="en-US"/>
        </w:rPr>
        <w:t>Scope and objectives</w:t>
      </w:r>
    </w:p>
    <w:p w:rsidR="009333FF" w:rsidRPr="009333FF" w:rsidRDefault="009333FF" w:rsidP="00C1102F">
      <w:pPr>
        <w:spacing w:before="100" w:beforeAutospacing="1" w:after="100" w:afterAutospacing="1" w:line="240" w:lineRule="auto"/>
        <w:ind w:left="0" w:right="0" w:firstLine="0"/>
        <w:rPr>
          <w:color w:val="auto"/>
          <w:kern w:val="0"/>
          <w:lang w:val="en-GB" w:eastAsia="en-US"/>
        </w:rPr>
      </w:pPr>
      <w:r w:rsidRPr="00565594">
        <w:rPr>
          <w:color w:val="auto"/>
          <w:kern w:val="0"/>
          <w:highlight w:val="yellow"/>
          <w:lang w:val="en-GB" w:eastAsia="en-US"/>
        </w:rPr>
        <w:t xml:space="preserve">This review </w:t>
      </w:r>
      <w:r w:rsidR="004644EB" w:rsidRPr="00565594">
        <w:rPr>
          <w:color w:val="auto"/>
          <w:kern w:val="0"/>
          <w:highlight w:val="yellow"/>
          <w:lang w:val="en-GB" w:eastAsia="en-US"/>
        </w:rPr>
        <w:t>synthesi</w:t>
      </w:r>
      <w:r w:rsidR="004644EB" w:rsidRPr="00565594">
        <w:rPr>
          <w:color w:val="auto"/>
          <w:kern w:val="0"/>
          <w:highlight w:val="yellow"/>
          <w:lang w:val="en-GB" w:eastAsia="en-US"/>
        </w:rPr>
        <w:t>s</w:t>
      </w:r>
      <w:r w:rsidR="004644EB" w:rsidRPr="00565594">
        <w:rPr>
          <w:color w:val="auto"/>
          <w:kern w:val="0"/>
          <w:highlight w:val="yellow"/>
          <w:lang w:val="en-GB" w:eastAsia="en-US"/>
        </w:rPr>
        <w:t xml:space="preserve">es </w:t>
      </w:r>
      <w:r w:rsidRPr="00565594">
        <w:rPr>
          <w:color w:val="auto"/>
          <w:kern w:val="0"/>
          <w:highlight w:val="yellow"/>
          <w:lang w:val="en-GB" w:eastAsia="en-US"/>
        </w:rPr>
        <w:t>peer</w:t>
      </w:r>
      <w:r w:rsidRPr="009333FF">
        <w:rPr>
          <w:color w:val="auto"/>
          <w:kern w:val="0"/>
          <w:lang w:val="en-GB" w:eastAsia="en-US"/>
        </w:rPr>
        <w:t>-revi</w:t>
      </w:r>
      <w:r w:rsidRPr="00565594">
        <w:rPr>
          <w:color w:val="auto"/>
          <w:kern w:val="0"/>
          <w:highlight w:val="yellow"/>
          <w:lang w:val="en-GB" w:eastAsia="en-US"/>
        </w:rPr>
        <w:t>ewed scholarship on inter-regional variation in gender and human</w:t>
      </w:r>
      <w:r w:rsidRPr="009333FF">
        <w:rPr>
          <w:color w:val="auto"/>
          <w:kern w:val="0"/>
          <w:lang w:val="en-GB" w:eastAsia="en-US"/>
        </w:rPr>
        <w:t xml:space="preserve"> development in India, focusing on how spatial inequality appears when human development is measured at state, district, and sub-district scales, and how gender operates as both an outcome domain and a causal mechanism shaping capability expansion. Rather than treating gender gaps as a separate “add-on,” the article positions gendered constraints—particularly in health service access, early-life nutrition risks, and women’s economic opportunities—as central channels through which spatial inequality is reproduced or reduced.</w:t>
      </w:r>
    </w:p>
    <w:p w:rsidR="009333FF" w:rsidRPr="009333FF" w:rsidRDefault="009333FF" w:rsidP="00C1102F">
      <w:pPr>
        <w:spacing w:before="100" w:beforeAutospacing="1" w:after="100" w:afterAutospacing="1" w:line="240" w:lineRule="auto"/>
        <w:ind w:left="0" w:right="0" w:firstLine="0"/>
        <w:rPr>
          <w:color w:val="auto"/>
          <w:kern w:val="0"/>
          <w:lang w:val="en-GB" w:eastAsia="en-US"/>
        </w:rPr>
      </w:pPr>
      <w:r w:rsidRPr="009333FF">
        <w:rPr>
          <w:color w:val="auto"/>
          <w:kern w:val="0"/>
          <w:lang w:val="en-GB" w:eastAsia="en-US"/>
        </w:rPr>
        <w:t>Accordingly, the objectives are threefold: first, to consolidate evidence on the geography of human development at multiple scales, emphasizing the importance of within-state and within-district heterogeneity; second, to synthesize domain evidence—maternal and child health, immunization, nutrition, and women’s work—that illustrates how gendered processes shape spatial development patterns; and third, to draw out implications for research and policy that follow from treating scale-sensitive measurement and gender-explicit analysis as mutually necessary for reducing inter-regional human development inequality in India.</w:t>
      </w:r>
    </w:p>
    <w:p w:rsidR="009333FF" w:rsidRPr="00C51293" w:rsidRDefault="009333FF" w:rsidP="00C1102F">
      <w:pPr>
        <w:rPr>
          <w:lang w:val="en-GB"/>
        </w:rPr>
      </w:pPr>
    </w:p>
    <w:p w:rsidR="009333FF" w:rsidRPr="00C51293" w:rsidRDefault="009333FF" w:rsidP="00C1102F">
      <w:pPr>
        <w:pStyle w:val="Heading2"/>
        <w:jc w:val="both"/>
        <w:rPr>
          <w:lang w:val="en-GB"/>
        </w:rPr>
      </w:pPr>
      <w:r w:rsidRPr="00C51293">
        <w:rPr>
          <w:lang w:val="en-GB"/>
        </w:rPr>
        <w:t>2. Methods for literature selection</w:t>
      </w:r>
    </w:p>
    <w:p w:rsidR="009333FF" w:rsidRPr="00C51293" w:rsidRDefault="009333FF" w:rsidP="00C1102F">
      <w:pPr>
        <w:pStyle w:val="NormalWeb"/>
        <w:jc w:val="both"/>
        <w:rPr>
          <w:lang w:val="en-GB"/>
        </w:rPr>
      </w:pPr>
      <w:r w:rsidRPr="00C51293">
        <w:rPr>
          <w:lang w:val="en-GB"/>
        </w:rPr>
        <w:lastRenderedPageBreak/>
        <w:t xml:space="preserve">A focused literature search was conducted across Web of Science, Scopus, Google Scholar, and PubMed for the period January 2006 to February 2026. Search strings combined terms for spatial inequality and subnational units with human development and gender constructs, including: “India” AND (“human development” OR “capabilities” OR “multidimensional” OR “well-being”) AND (“gender” OR “women” OR “female”) AND (“regional” OR “spatial” OR “district” OR “small area” OR “multilevel”). Additional strings targeted specific outcome domains that are widely used as human development proxies in empirical work (maternal and </w:t>
      </w:r>
      <w:proofErr w:type="spellStart"/>
      <w:r w:rsidRPr="00C51293">
        <w:rPr>
          <w:lang w:val="en-GB"/>
        </w:rPr>
        <w:t>newborn</w:t>
      </w:r>
      <w:proofErr w:type="spellEnd"/>
      <w:r w:rsidRPr="00C51293">
        <w:rPr>
          <w:lang w:val="en-GB"/>
        </w:rPr>
        <w:t xml:space="preserve"> care, child undernutrition, vaccination, women’s work participation, domestic violence).</w:t>
      </w:r>
    </w:p>
    <w:p w:rsidR="009333FF" w:rsidRPr="00C51293" w:rsidRDefault="009333FF" w:rsidP="00C1102F">
      <w:pPr>
        <w:pStyle w:val="NormalWeb"/>
        <w:jc w:val="both"/>
        <w:rPr>
          <w:lang w:val="en-GB"/>
        </w:rPr>
      </w:pPr>
      <w:r w:rsidRPr="00C51293">
        <w:rPr>
          <w:lang w:val="en-GB"/>
        </w:rPr>
        <w:t xml:space="preserve">Inclusion </w:t>
      </w:r>
      <w:r w:rsidRPr="00565594">
        <w:rPr>
          <w:highlight w:val="yellow"/>
          <w:lang w:val="en-GB"/>
        </w:rPr>
        <w:t xml:space="preserve">criteria </w:t>
      </w:r>
      <w:r w:rsidR="004644EB" w:rsidRPr="00565594">
        <w:rPr>
          <w:highlight w:val="yellow"/>
          <w:lang w:val="en-GB"/>
        </w:rPr>
        <w:t>emphasi</w:t>
      </w:r>
      <w:r w:rsidR="004644EB" w:rsidRPr="00565594">
        <w:rPr>
          <w:highlight w:val="yellow"/>
          <w:lang w:val="en-GB"/>
        </w:rPr>
        <w:t>s</w:t>
      </w:r>
      <w:r w:rsidR="004644EB" w:rsidRPr="00565594">
        <w:rPr>
          <w:highlight w:val="yellow"/>
          <w:lang w:val="en-GB"/>
        </w:rPr>
        <w:t>ed</w:t>
      </w:r>
      <w:r w:rsidRPr="00565594">
        <w:rPr>
          <w:highlight w:val="yellow"/>
          <w:lang w:val="en-GB"/>
        </w:rPr>
        <w:t>: (a) peer-</w:t>
      </w:r>
      <w:r w:rsidRPr="00C51293">
        <w:rPr>
          <w:lang w:val="en-GB"/>
        </w:rPr>
        <w:t>reviewed journal articles; (b) empirical analysis using Indian subnational data (state, district, or smaller units) or theoretical/methodological work directly relevant to interpreting such evidence; and (c) explicit engagement with gendered mechanisms or outcomes connected to human development domains (health, education, economic participation, agency). Exclusion criteria omitted purely descriptive pieces without a clear empirical or conceptual contribution to gendered human development, and studies whose geographic scope did not permit subnational inference (e.g., single-site studies without linkage to broader spatial patterns). Reference lists of key papers were used for backward searching to identify additional relevant studies.</w:t>
      </w:r>
    </w:p>
    <w:p w:rsidR="009333FF" w:rsidRPr="00C51293" w:rsidRDefault="009333FF" w:rsidP="00C1102F">
      <w:pPr>
        <w:rPr>
          <w:lang w:val="en-GB"/>
        </w:rPr>
      </w:pPr>
    </w:p>
    <w:p w:rsidR="00B07519" w:rsidRPr="00B07519" w:rsidRDefault="00B07519" w:rsidP="00C1102F">
      <w:pPr>
        <w:spacing w:before="100" w:beforeAutospacing="1" w:after="100" w:afterAutospacing="1" w:line="240" w:lineRule="auto"/>
        <w:ind w:left="0" w:right="0" w:firstLine="0"/>
        <w:outlineLvl w:val="1"/>
        <w:rPr>
          <w:b/>
          <w:bCs/>
          <w:color w:val="auto"/>
          <w:kern w:val="0"/>
          <w:sz w:val="36"/>
          <w:szCs w:val="36"/>
          <w:lang w:val="en-GB" w:eastAsia="en-US"/>
        </w:rPr>
      </w:pPr>
      <w:r w:rsidRPr="00B07519">
        <w:rPr>
          <w:b/>
          <w:bCs/>
          <w:color w:val="auto"/>
          <w:kern w:val="0"/>
          <w:sz w:val="36"/>
          <w:szCs w:val="36"/>
          <w:lang w:val="en-GB" w:eastAsia="en-US"/>
        </w:rPr>
        <w:t>3. Conceptual framing: gendered human development and spatial inequality</w:t>
      </w:r>
    </w:p>
    <w:p w:rsidR="00B07519" w:rsidRPr="00B07519" w:rsidRDefault="00B07519" w:rsidP="00C1102F">
      <w:pPr>
        <w:spacing w:before="100" w:beforeAutospacing="1" w:after="100" w:afterAutospacing="1" w:line="240" w:lineRule="auto"/>
        <w:ind w:left="0" w:right="0" w:firstLine="0"/>
        <w:outlineLvl w:val="2"/>
        <w:rPr>
          <w:b/>
          <w:bCs/>
          <w:color w:val="auto"/>
          <w:kern w:val="0"/>
          <w:sz w:val="27"/>
          <w:szCs w:val="27"/>
          <w:lang w:val="en-GB" w:eastAsia="en-US"/>
        </w:rPr>
      </w:pPr>
      <w:r w:rsidRPr="00B07519">
        <w:rPr>
          <w:b/>
          <w:bCs/>
          <w:color w:val="auto"/>
          <w:kern w:val="0"/>
          <w:sz w:val="27"/>
          <w:szCs w:val="27"/>
          <w:lang w:val="en-GB" w:eastAsia="en-US"/>
        </w:rPr>
        <w:t>3.1 Human development as capability expansion in uneven space</w:t>
      </w:r>
    </w:p>
    <w:p w:rsidR="00B07519" w:rsidRPr="00B07519" w:rsidRDefault="00B07519" w:rsidP="00C1102F">
      <w:pPr>
        <w:spacing w:before="100" w:beforeAutospacing="1" w:after="100" w:afterAutospacing="1" w:line="240" w:lineRule="auto"/>
        <w:ind w:left="0" w:right="0" w:firstLine="0"/>
        <w:rPr>
          <w:color w:val="auto"/>
          <w:kern w:val="0"/>
          <w:lang w:val="en-GB" w:eastAsia="en-US"/>
        </w:rPr>
      </w:pPr>
      <w:r w:rsidRPr="00B07519">
        <w:rPr>
          <w:color w:val="auto"/>
          <w:kern w:val="0"/>
          <w:lang w:val="en-GB" w:eastAsia="en-US"/>
        </w:rPr>
        <w:t xml:space="preserve">A conceptual starting point for understanding inter-regional variation in India is that human development is not simply the accumulation of resources but the expansion of capabilities—real opportunities to live the kinds of lives people have reason to value. In practice, however, the conversion of resources into capabilities is deeply spatial. Regions differ in the density and quality of public services, infrastructure, </w:t>
      </w:r>
      <w:r w:rsidRPr="00565594">
        <w:rPr>
          <w:color w:val="auto"/>
          <w:kern w:val="0"/>
          <w:highlight w:val="yellow"/>
          <w:lang w:val="en-GB" w:eastAsia="en-US"/>
        </w:rPr>
        <w:t>labo</w:t>
      </w:r>
      <w:r w:rsidR="004644EB" w:rsidRPr="00565594">
        <w:rPr>
          <w:color w:val="auto"/>
          <w:kern w:val="0"/>
          <w:highlight w:val="yellow"/>
          <w:lang w:val="en-GB" w:eastAsia="en-US"/>
        </w:rPr>
        <w:t>u</w:t>
      </w:r>
      <w:r w:rsidRPr="00565594">
        <w:rPr>
          <w:color w:val="auto"/>
          <w:kern w:val="0"/>
          <w:highlight w:val="yellow"/>
          <w:lang w:val="en-GB" w:eastAsia="en-US"/>
        </w:rPr>
        <w:t>r markets,</w:t>
      </w:r>
      <w:r w:rsidRPr="00B07519">
        <w:rPr>
          <w:color w:val="auto"/>
          <w:kern w:val="0"/>
          <w:lang w:val="en-GB" w:eastAsia="en-US"/>
        </w:rPr>
        <w:t xml:space="preserve"> and institutions that enable people to translate income and entitlements into effective access to health care, schooling, and dignified work. District-level evidence on socio-economic development makes clear that India’s uneven development is not a marginal phenomenon but a structural one: disparities reflect persistent differences in economic structure, public investments, and local opportunities that shape well-being trajectories (</w:t>
      </w:r>
      <w:proofErr w:type="spellStart"/>
      <w:r w:rsidRPr="00B07519">
        <w:rPr>
          <w:color w:val="auto"/>
          <w:kern w:val="0"/>
          <w:lang w:val="en-GB" w:eastAsia="en-US"/>
        </w:rPr>
        <w:t>Ohlan</w:t>
      </w:r>
      <w:proofErr w:type="spellEnd"/>
      <w:r w:rsidRPr="00B07519">
        <w:rPr>
          <w:color w:val="auto"/>
          <w:kern w:val="0"/>
          <w:lang w:val="en-GB" w:eastAsia="en-US"/>
        </w:rPr>
        <w:t>, 2013</w:t>
      </w:r>
      <w:r w:rsidR="0032634C">
        <w:rPr>
          <w:color w:val="auto"/>
          <w:kern w:val="0"/>
          <w:lang w:val="en-GB" w:eastAsia="en-US"/>
        </w:rPr>
        <w:t xml:space="preserve">; </w:t>
      </w:r>
      <w:proofErr w:type="spellStart"/>
      <w:r w:rsidR="0032634C">
        <w:t>Eom</w:t>
      </w:r>
      <w:proofErr w:type="spellEnd"/>
      <w:r w:rsidR="0032634C">
        <w:t xml:space="preserve"> et al., 2026</w:t>
      </w:r>
      <w:r w:rsidRPr="00B07519">
        <w:rPr>
          <w:color w:val="auto"/>
          <w:kern w:val="0"/>
          <w:lang w:val="en-GB" w:eastAsia="en-US"/>
        </w:rPr>
        <w:t>).</w:t>
      </w:r>
    </w:p>
    <w:p w:rsidR="00B07519" w:rsidRPr="00B07519" w:rsidRDefault="00B07519" w:rsidP="00C1102F">
      <w:pPr>
        <w:spacing w:before="100" w:beforeAutospacing="1" w:after="100" w:afterAutospacing="1" w:line="240" w:lineRule="auto"/>
        <w:ind w:left="0" w:right="0" w:firstLine="0"/>
        <w:rPr>
          <w:color w:val="auto"/>
          <w:kern w:val="0"/>
          <w:lang w:val="en-GB" w:eastAsia="en-US"/>
        </w:rPr>
      </w:pPr>
      <w:r w:rsidRPr="00B07519">
        <w:rPr>
          <w:color w:val="auto"/>
          <w:kern w:val="0"/>
          <w:lang w:val="en-GB" w:eastAsia="en-US"/>
        </w:rPr>
        <w:t>Within this framing, “space” is not merely where development occurs; it is one of the mechanisms through which development is produced and distributed. The same nominal service entitlement may yield different capability outcomes depending on where a person lives because distance, quality differentials, and administrative capacity can change what is practically accessible. Inter-regional variation therefore</w:t>
      </w:r>
      <w:r w:rsidR="004644EB">
        <w:rPr>
          <w:color w:val="auto"/>
          <w:kern w:val="0"/>
          <w:lang w:val="en-GB" w:eastAsia="en-US"/>
        </w:rPr>
        <w:t>,</w:t>
      </w:r>
      <w:r w:rsidRPr="00B07519">
        <w:rPr>
          <w:color w:val="auto"/>
          <w:kern w:val="0"/>
          <w:lang w:val="en-GB" w:eastAsia="en-US"/>
        </w:rPr>
        <w:t xml:space="preserve"> cannot be fully captured through national or state averages alone; it must be understood as a configuration of contexts that shape opportunity sets. This is especially important when human development is assessed across multiple domains, since education, health, and living standards may not co-move uniformly across regions.</w:t>
      </w:r>
    </w:p>
    <w:p w:rsidR="00B07519" w:rsidRPr="00B07519" w:rsidRDefault="00B07519" w:rsidP="00C1102F">
      <w:pPr>
        <w:spacing w:before="100" w:beforeAutospacing="1" w:after="100" w:afterAutospacing="1" w:line="240" w:lineRule="auto"/>
        <w:ind w:left="0" w:right="0" w:firstLine="0"/>
        <w:rPr>
          <w:color w:val="auto"/>
          <w:kern w:val="0"/>
          <w:lang w:val="en-GB" w:eastAsia="en-US"/>
        </w:rPr>
      </w:pPr>
      <w:r w:rsidRPr="00B07519">
        <w:rPr>
          <w:color w:val="auto"/>
          <w:kern w:val="0"/>
          <w:lang w:val="en-GB" w:eastAsia="en-US"/>
        </w:rPr>
        <w:lastRenderedPageBreak/>
        <w:t>The multidimensional poverty tradition provides conceptual tools to think about such unevenness without collapsing it into a single economic metric. By emphasizing simultaneous deprivations and the structure of their overlap, multidimensional approaches help clarify why some regions exhibit “stacked” disadvantages—where educational, health, and living-standard deprivations reinforce each other—while other regions may show progress in one domain but stagnation in another (</w:t>
      </w:r>
      <w:proofErr w:type="spellStart"/>
      <w:r w:rsidRPr="00B07519">
        <w:rPr>
          <w:color w:val="auto"/>
          <w:kern w:val="0"/>
          <w:lang w:val="en-GB" w:eastAsia="en-US"/>
        </w:rPr>
        <w:t>Alkire</w:t>
      </w:r>
      <w:proofErr w:type="spellEnd"/>
      <w:r w:rsidRPr="00B07519">
        <w:rPr>
          <w:color w:val="auto"/>
          <w:kern w:val="0"/>
          <w:lang w:val="en-GB" w:eastAsia="en-US"/>
        </w:rPr>
        <w:t xml:space="preserve"> &amp; Foster, 2011). Although multidimensional poverty measurement is not identical to human development measurement, it sharpens the conceptual point that inter-regional inequality should be approached as a pattern of domain-specific constraints whose combinations differ across space (</w:t>
      </w:r>
      <w:proofErr w:type="spellStart"/>
      <w:r w:rsidRPr="00B07519">
        <w:rPr>
          <w:color w:val="auto"/>
          <w:kern w:val="0"/>
          <w:lang w:val="en-GB" w:eastAsia="en-US"/>
        </w:rPr>
        <w:t>Alkire</w:t>
      </w:r>
      <w:proofErr w:type="spellEnd"/>
      <w:r w:rsidRPr="00B07519">
        <w:rPr>
          <w:color w:val="auto"/>
          <w:kern w:val="0"/>
          <w:lang w:val="en-GB" w:eastAsia="en-US"/>
        </w:rPr>
        <w:t xml:space="preserve"> &amp; Foster, 2011). In India, this implies that spatial inequality is best interpreted as a set of interacting development deficits rather than a one-dimensional ranking.</w:t>
      </w:r>
    </w:p>
    <w:p w:rsidR="00B07519" w:rsidRPr="00B07519" w:rsidRDefault="00B07519" w:rsidP="00C1102F">
      <w:pPr>
        <w:spacing w:before="100" w:beforeAutospacing="1" w:after="100" w:afterAutospacing="1" w:line="240" w:lineRule="auto"/>
        <w:ind w:left="0" w:right="0" w:firstLine="0"/>
        <w:outlineLvl w:val="2"/>
        <w:rPr>
          <w:b/>
          <w:bCs/>
          <w:color w:val="auto"/>
          <w:kern w:val="0"/>
          <w:sz w:val="27"/>
          <w:szCs w:val="27"/>
          <w:lang w:val="en-GB" w:eastAsia="en-US"/>
        </w:rPr>
      </w:pPr>
      <w:r w:rsidRPr="00B07519">
        <w:rPr>
          <w:b/>
          <w:bCs/>
          <w:color w:val="auto"/>
          <w:kern w:val="0"/>
          <w:sz w:val="27"/>
          <w:szCs w:val="27"/>
          <w:lang w:val="en-GB" w:eastAsia="en-US"/>
        </w:rPr>
        <w:t>3.2 Measuring gender inequality within human development</w:t>
      </w:r>
    </w:p>
    <w:p w:rsidR="00B07519" w:rsidRPr="00B07519" w:rsidRDefault="00B07519" w:rsidP="00C1102F">
      <w:pPr>
        <w:spacing w:before="100" w:beforeAutospacing="1" w:after="100" w:afterAutospacing="1" w:line="240" w:lineRule="auto"/>
        <w:ind w:left="0" w:right="0" w:firstLine="0"/>
        <w:rPr>
          <w:color w:val="auto"/>
          <w:kern w:val="0"/>
          <w:lang w:val="en-GB" w:eastAsia="en-US"/>
        </w:rPr>
      </w:pPr>
      <w:r w:rsidRPr="00B07519">
        <w:rPr>
          <w:color w:val="auto"/>
          <w:kern w:val="0"/>
          <w:lang w:val="en-GB" w:eastAsia="en-US"/>
        </w:rPr>
        <w:t>Gender enters this conceptual terrain in two related ways. First, gender inequality is a substantive dimension of human development, reflected in differential capabilities in survival, health, education, economic participation, safety, and voice. Second, gender is a conversion factor that shapes how general resources or public goods translate into achieved well-being. In this sense, gender is not just another outcome category; it changes the production function of human development itself.</w:t>
      </w:r>
    </w:p>
    <w:p w:rsidR="00B07519" w:rsidRPr="00B07519" w:rsidRDefault="00B07519" w:rsidP="00C1102F">
      <w:pPr>
        <w:spacing w:before="100" w:beforeAutospacing="1" w:after="100" w:afterAutospacing="1" w:line="240" w:lineRule="auto"/>
        <w:ind w:left="0" w:right="0" w:firstLine="0"/>
        <w:rPr>
          <w:color w:val="auto"/>
          <w:kern w:val="0"/>
          <w:lang w:val="en-GB" w:eastAsia="en-US"/>
        </w:rPr>
      </w:pPr>
      <w:r w:rsidRPr="00B07519">
        <w:rPr>
          <w:color w:val="auto"/>
          <w:kern w:val="0"/>
          <w:lang w:val="en-GB" w:eastAsia="en-US"/>
        </w:rPr>
        <w:t xml:space="preserve">This dual role is why measurement debates matter. Critical assessments of widely used gender indices argue that composite measures can embed conceptual inconsistencies, obscure specific dimensions of disadvantage, and inadvertently treat gender equality as a narrow “add-on” rather than as </w:t>
      </w:r>
      <w:r w:rsidRPr="00565594">
        <w:rPr>
          <w:color w:val="auto"/>
          <w:kern w:val="0"/>
          <w:highlight w:val="yellow"/>
          <w:lang w:val="en-GB" w:eastAsia="en-US"/>
        </w:rPr>
        <w:t xml:space="preserve">an </w:t>
      </w:r>
      <w:r w:rsidR="004644EB" w:rsidRPr="00565594">
        <w:rPr>
          <w:color w:val="auto"/>
          <w:kern w:val="0"/>
          <w:highlight w:val="yellow"/>
          <w:lang w:val="en-GB" w:eastAsia="en-US"/>
        </w:rPr>
        <w:t>organi</w:t>
      </w:r>
      <w:r w:rsidR="004644EB" w:rsidRPr="00565594">
        <w:rPr>
          <w:color w:val="auto"/>
          <w:kern w:val="0"/>
          <w:highlight w:val="yellow"/>
          <w:lang w:val="en-GB" w:eastAsia="en-US"/>
        </w:rPr>
        <w:t>s</w:t>
      </w:r>
      <w:r w:rsidR="004644EB" w:rsidRPr="00565594">
        <w:rPr>
          <w:color w:val="auto"/>
          <w:kern w:val="0"/>
          <w:highlight w:val="yellow"/>
          <w:lang w:val="en-GB" w:eastAsia="en-US"/>
        </w:rPr>
        <w:t xml:space="preserve">ing </w:t>
      </w:r>
      <w:r w:rsidRPr="00565594">
        <w:rPr>
          <w:color w:val="auto"/>
          <w:kern w:val="0"/>
          <w:highlight w:val="yellow"/>
          <w:lang w:val="en-GB" w:eastAsia="en-US"/>
        </w:rPr>
        <w:t>principle of d</w:t>
      </w:r>
      <w:r w:rsidRPr="00B07519">
        <w:rPr>
          <w:color w:val="auto"/>
          <w:kern w:val="0"/>
          <w:lang w:val="en-GB" w:eastAsia="en-US"/>
        </w:rPr>
        <w:t>evelopment (</w:t>
      </w:r>
      <w:proofErr w:type="spellStart"/>
      <w:r w:rsidRPr="00B07519">
        <w:rPr>
          <w:color w:val="auto"/>
          <w:kern w:val="0"/>
          <w:lang w:val="en-GB" w:eastAsia="en-US"/>
        </w:rPr>
        <w:t>Bardhan</w:t>
      </w:r>
      <w:proofErr w:type="spellEnd"/>
      <w:r w:rsidRPr="00B07519">
        <w:rPr>
          <w:color w:val="auto"/>
          <w:kern w:val="0"/>
          <w:lang w:val="en-GB" w:eastAsia="en-US"/>
        </w:rPr>
        <w:t xml:space="preserve"> &amp; </w:t>
      </w:r>
      <w:proofErr w:type="spellStart"/>
      <w:r w:rsidRPr="00B07519">
        <w:rPr>
          <w:color w:val="auto"/>
          <w:kern w:val="0"/>
          <w:lang w:val="en-GB" w:eastAsia="en-US"/>
        </w:rPr>
        <w:t>Klasen</w:t>
      </w:r>
      <w:proofErr w:type="spellEnd"/>
      <w:r w:rsidRPr="00B07519">
        <w:rPr>
          <w:color w:val="auto"/>
          <w:kern w:val="0"/>
          <w:lang w:val="en-GB" w:eastAsia="en-US"/>
        </w:rPr>
        <w:t>, 1999). Concerns include the aggregation of heterogeneous components, sensitivity to functional form choices, and limited representation of institutional and normative constraints—issues that are particularly salient in India’s context of regionally diverse gender regimes (</w:t>
      </w:r>
      <w:proofErr w:type="spellStart"/>
      <w:r w:rsidRPr="00B07519">
        <w:rPr>
          <w:color w:val="auto"/>
          <w:kern w:val="0"/>
          <w:lang w:val="en-GB" w:eastAsia="en-US"/>
        </w:rPr>
        <w:t>Bardhan</w:t>
      </w:r>
      <w:proofErr w:type="spellEnd"/>
      <w:r w:rsidRPr="00B07519">
        <w:rPr>
          <w:color w:val="auto"/>
          <w:kern w:val="0"/>
          <w:lang w:val="en-GB" w:eastAsia="en-US"/>
        </w:rPr>
        <w:t xml:space="preserve"> &amp; </w:t>
      </w:r>
      <w:proofErr w:type="spellStart"/>
      <w:r w:rsidRPr="00B07519">
        <w:rPr>
          <w:color w:val="auto"/>
          <w:kern w:val="0"/>
          <w:lang w:val="en-GB" w:eastAsia="en-US"/>
        </w:rPr>
        <w:t>Klasen</w:t>
      </w:r>
      <w:proofErr w:type="spellEnd"/>
      <w:r w:rsidRPr="00B07519">
        <w:rPr>
          <w:color w:val="auto"/>
          <w:kern w:val="0"/>
          <w:lang w:val="en-GB" w:eastAsia="en-US"/>
        </w:rPr>
        <w:t>, 1999). Related work proposes conceptual refinements and cautions that standard gender-related measures may fail to reflect key aspects of disadvantage when gender inequalities operate through social institutions and within-household allocation, rather than solely through market incomes or formal education (</w:t>
      </w:r>
      <w:proofErr w:type="spellStart"/>
      <w:r w:rsidRPr="00B07519">
        <w:rPr>
          <w:color w:val="auto"/>
          <w:kern w:val="0"/>
          <w:lang w:val="en-GB" w:eastAsia="en-US"/>
        </w:rPr>
        <w:t>Klasen</w:t>
      </w:r>
      <w:proofErr w:type="spellEnd"/>
      <w:r w:rsidRPr="00B07519">
        <w:rPr>
          <w:color w:val="auto"/>
          <w:kern w:val="0"/>
          <w:lang w:val="en-GB" w:eastAsia="en-US"/>
        </w:rPr>
        <w:t>, 2006).</w:t>
      </w:r>
    </w:p>
    <w:p w:rsidR="00B07519" w:rsidRPr="00B07519" w:rsidRDefault="00B07519" w:rsidP="00C1102F">
      <w:pPr>
        <w:spacing w:before="100" w:beforeAutospacing="1" w:after="100" w:afterAutospacing="1" w:line="240" w:lineRule="auto"/>
        <w:ind w:left="0" w:right="0" w:firstLine="0"/>
        <w:rPr>
          <w:color w:val="auto"/>
          <w:kern w:val="0"/>
          <w:lang w:val="en-GB" w:eastAsia="en-US"/>
        </w:rPr>
      </w:pPr>
      <w:r w:rsidRPr="00B07519">
        <w:rPr>
          <w:color w:val="auto"/>
          <w:kern w:val="0"/>
          <w:lang w:val="en-GB" w:eastAsia="en-US"/>
        </w:rPr>
        <w:t>For inter-regional analysis, these critiques have direct implications. If gender is treated only as a “gap” in a few measurable outcomes, then comparisons across regions may miss how the same observed outcome can be produced by different constraints. For example, similar female schooling levels in two regions may conceal different conversion conditions—one where women can translate schooling into work and voice, and another where schooling does not yield comparable agency due to mobility restrictions or labo</w:t>
      </w:r>
      <w:r w:rsidR="004644EB">
        <w:rPr>
          <w:color w:val="auto"/>
          <w:kern w:val="0"/>
          <w:lang w:val="en-GB" w:eastAsia="en-US"/>
        </w:rPr>
        <w:t>u</w:t>
      </w:r>
      <w:r w:rsidRPr="00B07519">
        <w:rPr>
          <w:color w:val="auto"/>
          <w:kern w:val="0"/>
          <w:lang w:val="en-GB" w:eastAsia="en-US"/>
        </w:rPr>
        <w:t>r market segmentation. The conceptual conclusion is that regional comparisons must be attentive to both visible gender outcomes and less-visible mechanisms that govern how women and girls convert services and resources into capabilities (</w:t>
      </w:r>
      <w:proofErr w:type="spellStart"/>
      <w:r w:rsidRPr="00B07519">
        <w:rPr>
          <w:color w:val="auto"/>
          <w:kern w:val="0"/>
          <w:lang w:val="en-GB" w:eastAsia="en-US"/>
        </w:rPr>
        <w:t>Klasen</w:t>
      </w:r>
      <w:proofErr w:type="spellEnd"/>
      <w:r w:rsidRPr="00B07519">
        <w:rPr>
          <w:color w:val="auto"/>
          <w:kern w:val="0"/>
          <w:lang w:val="en-GB" w:eastAsia="en-US"/>
        </w:rPr>
        <w:t>, 2006). In effect, a gendered human development lens requires moving beyond the question “Which region performs better?” toward “Under what gendered conditions does performance translate into expanded freedoms?” (</w:t>
      </w:r>
      <w:proofErr w:type="spellStart"/>
      <w:r w:rsidRPr="00B07519">
        <w:rPr>
          <w:color w:val="auto"/>
          <w:kern w:val="0"/>
          <w:lang w:val="en-GB" w:eastAsia="en-US"/>
        </w:rPr>
        <w:t>Bardhan</w:t>
      </w:r>
      <w:proofErr w:type="spellEnd"/>
      <w:r w:rsidRPr="00B07519">
        <w:rPr>
          <w:color w:val="auto"/>
          <w:kern w:val="0"/>
          <w:lang w:val="en-GB" w:eastAsia="en-US"/>
        </w:rPr>
        <w:t xml:space="preserve"> &amp; </w:t>
      </w:r>
      <w:proofErr w:type="spellStart"/>
      <w:r w:rsidRPr="00B07519">
        <w:rPr>
          <w:color w:val="auto"/>
          <w:kern w:val="0"/>
          <w:lang w:val="en-GB" w:eastAsia="en-US"/>
        </w:rPr>
        <w:t>Klasen</w:t>
      </w:r>
      <w:proofErr w:type="spellEnd"/>
      <w:r w:rsidRPr="00B07519">
        <w:rPr>
          <w:color w:val="auto"/>
          <w:kern w:val="0"/>
          <w:lang w:val="en-GB" w:eastAsia="en-US"/>
        </w:rPr>
        <w:t xml:space="preserve">, 1999; </w:t>
      </w:r>
      <w:proofErr w:type="spellStart"/>
      <w:r w:rsidRPr="00B07519">
        <w:rPr>
          <w:color w:val="auto"/>
          <w:kern w:val="0"/>
          <w:lang w:val="en-GB" w:eastAsia="en-US"/>
        </w:rPr>
        <w:t>Klasen</w:t>
      </w:r>
      <w:proofErr w:type="spellEnd"/>
      <w:r w:rsidRPr="00B07519">
        <w:rPr>
          <w:color w:val="auto"/>
          <w:kern w:val="0"/>
          <w:lang w:val="en-GB" w:eastAsia="en-US"/>
        </w:rPr>
        <w:t>, 2006).</w:t>
      </w:r>
    </w:p>
    <w:p w:rsidR="00B07519" w:rsidRPr="00B07519" w:rsidRDefault="00B07519" w:rsidP="00C1102F">
      <w:pPr>
        <w:spacing w:before="100" w:beforeAutospacing="1" w:after="100" w:afterAutospacing="1" w:line="240" w:lineRule="auto"/>
        <w:ind w:left="0" w:right="0" w:firstLine="0"/>
        <w:outlineLvl w:val="2"/>
        <w:rPr>
          <w:b/>
          <w:bCs/>
          <w:color w:val="auto"/>
          <w:kern w:val="0"/>
          <w:sz w:val="27"/>
          <w:szCs w:val="27"/>
          <w:lang w:val="en-GB" w:eastAsia="en-US"/>
        </w:rPr>
      </w:pPr>
      <w:r w:rsidRPr="00B07519">
        <w:rPr>
          <w:b/>
          <w:bCs/>
          <w:color w:val="auto"/>
          <w:kern w:val="0"/>
          <w:sz w:val="27"/>
          <w:szCs w:val="27"/>
          <w:lang w:val="en-GB" w:eastAsia="en-US"/>
        </w:rPr>
        <w:t>3.3 Scale, clustering, and why averages mislead</w:t>
      </w:r>
    </w:p>
    <w:p w:rsidR="00B07519" w:rsidRPr="00B07519" w:rsidRDefault="00B07519" w:rsidP="00C1102F">
      <w:pPr>
        <w:spacing w:before="100" w:beforeAutospacing="1" w:after="100" w:afterAutospacing="1" w:line="240" w:lineRule="auto"/>
        <w:ind w:left="0" w:right="0" w:firstLine="0"/>
        <w:rPr>
          <w:color w:val="auto"/>
          <w:kern w:val="0"/>
          <w:lang w:val="en-GB" w:eastAsia="en-US"/>
        </w:rPr>
      </w:pPr>
      <w:r w:rsidRPr="00B07519">
        <w:rPr>
          <w:color w:val="auto"/>
          <w:kern w:val="0"/>
          <w:lang w:val="en-GB" w:eastAsia="en-US"/>
        </w:rPr>
        <w:t xml:space="preserve">A third pillar of the conceptual framing is scale. Inter-regional inequality is often discussed as a state-to-state phenomenon, but contemporary evidence suggests that a large share of </w:t>
      </w:r>
      <w:r w:rsidRPr="00B07519">
        <w:rPr>
          <w:color w:val="auto"/>
          <w:kern w:val="0"/>
          <w:lang w:val="en-GB" w:eastAsia="en-US"/>
        </w:rPr>
        <w:lastRenderedPageBreak/>
        <w:t xml:space="preserve">variation in well-being can occur within states and even within districts. </w:t>
      </w:r>
      <w:proofErr w:type="gramStart"/>
      <w:r w:rsidRPr="00B07519">
        <w:rPr>
          <w:color w:val="auto"/>
          <w:kern w:val="0"/>
          <w:lang w:val="en-GB" w:eastAsia="en-US"/>
        </w:rPr>
        <w:t>This matters</w:t>
      </w:r>
      <w:proofErr w:type="gramEnd"/>
      <w:r w:rsidRPr="00B07519">
        <w:rPr>
          <w:color w:val="auto"/>
          <w:kern w:val="0"/>
          <w:lang w:val="en-GB" w:eastAsia="en-US"/>
        </w:rPr>
        <w:t xml:space="preserve"> because the mechanisms that generate inequality—service access, local administrative performance, community norms, and social exclusion—can be </w:t>
      </w:r>
      <w:r w:rsidRPr="00565594">
        <w:rPr>
          <w:color w:val="auto"/>
          <w:kern w:val="0"/>
          <w:highlight w:val="yellow"/>
          <w:lang w:val="en-GB" w:eastAsia="en-US"/>
        </w:rPr>
        <w:t xml:space="preserve">highly </w:t>
      </w:r>
      <w:r w:rsidR="004644EB" w:rsidRPr="00565594">
        <w:rPr>
          <w:color w:val="auto"/>
          <w:kern w:val="0"/>
          <w:highlight w:val="yellow"/>
          <w:lang w:val="en-GB" w:eastAsia="en-US"/>
        </w:rPr>
        <w:t>locali</w:t>
      </w:r>
      <w:r w:rsidR="004644EB" w:rsidRPr="00565594">
        <w:rPr>
          <w:color w:val="auto"/>
          <w:kern w:val="0"/>
          <w:highlight w:val="yellow"/>
          <w:lang w:val="en-GB" w:eastAsia="en-US"/>
        </w:rPr>
        <w:t>s</w:t>
      </w:r>
      <w:r w:rsidR="004644EB" w:rsidRPr="00565594">
        <w:rPr>
          <w:color w:val="auto"/>
          <w:kern w:val="0"/>
          <w:highlight w:val="yellow"/>
          <w:lang w:val="en-GB" w:eastAsia="en-US"/>
        </w:rPr>
        <w:t>ed</w:t>
      </w:r>
      <w:r w:rsidRPr="00565594">
        <w:rPr>
          <w:color w:val="auto"/>
          <w:kern w:val="0"/>
          <w:highlight w:val="yellow"/>
          <w:lang w:val="en-GB" w:eastAsia="en-US"/>
        </w:rPr>
        <w:t>.</w:t>
      </w:r>
      <w:r w:rsidRPr="00B07519">
        <w:rPr>
          <w:color w:val="auto"/>
          <w:kern w:val="0"/>
          <w:lang w:val="en-GB" w:eastAsia="en-US"/>
        </w:rPr>
        <w:t xml:space="preserve"> As a result, policy guided by coarse averages risks targeting the “wrong” places or underestimating the intensity of deprivation in clustered pockets.</w:t>
      </w:r>
    </w:p>
    <w:p w:rsidR="00B07519" w:rsidRPr="00B07519" w:rsidRDefault="00B07519" w:rsidP="00C1102F">
      <w:pPr>
        <w:spacing w:before="100" w:beforeAutospacing="1" w:after="100" w:afterAutospacing="1" w:line="240" w:lineRule="auto"/>
        <w:ind w:left="0" w:right="0" w:firstLine="0"/>
        <w:rPr>
          <w:color w:val="auto"/>
          <w:kern w:val="0"/>
          <w:lang w:val="en-GB" w:eastAsia="en-US"/>
        </w:rPr>
      </w:pPr>
      <w:r w:rsidRPr="00B07519">
        <w:rPr>
          <w:color w:val="auto"/>
          <w:kern w:val="0"/>
          <w:lang w:val="en-GB" w:eastAsia="en-US"/>
        </w:rPr>
        <w:t>Multilevel perspectives on poverty in India demonstrate that geographic inequality is distributed across multiple levels of aggregation, implying that the level at which one measures outcomes is not simply a technical detail but a substantive choice that affects what inequality looks like and which interventions appear justified (Kim et al., 2016). In practical terms, this means that development deficits may cluster within certain subregions or communities even in states with relatively strong average performance, and conversely, some advantaged localities can exist within generally poorer states (Kim et al., 2016).</w:t>
      </w:r>
    </w:p>
    <w:p w:rsidR="00B07519" w:rsidRPr="00B07519" w:rsidRDefault="00B07519" w:rsidP="00C1102F">
      <w:pPr>
        <w:spacing w:before="100" w:beforeAutospacing="1" w:after="100" w:afterAutospacing="1" w:line="240" w:lineRule="auto"/>
        <w:ind w:left="0" w:right="0" w:firstLine="0"/>
        <w:rPr>
          <w:color w:val="auto"/>
          <w:kern w:val="0"/>
          <w:lang w:val="en-GB" w:eastAsia="en-US"/>
        </w:rPr>
      </w:pPr>
      <w:r w:rsidRPr="00B07519">
        <w:rPr>
          <w:color w:val="auto"/>
          <w:kern w:val="0"/>
          <w:lang w:val="en-GB" w:eastAsia="en-US"/>
        </w:rPr>
        <w:t>Small-area and precision-mapping approaches deepen this argument by making visible the “micro-geographies” of deprivation. High-resolution mapping of child undernutrition across hundreds of thousands of villages in rural India illustrates that local clustering can be substantial and that district means can conceal extreme deprivation in particular settlements or clusters (Kim et al., 2021). Similarly, evidence comparing child undernutrition across districts and parliamentary constituencies shows that deprivation does not always align neatly with administrative boundaries; spatial patterns can cut across districts, suggesting that planning units may not match the true geography of risk (Rajpal et al., 2021).</w:t>
      </w:r>
    </w:p>
    <w:p w:rsidR="00B07519" w:rsidRPr="00B07519" w:rsidRDefault="00B07519" w:rsidP="00C1102F">
      <w:pPr>
        <w:spacing w:before="100" w:beforeAutospacing="1" w:after="100" w:afterAutospacing="1" w:line="240" w:lineRule="auto"/>
        <w:ind w:left="0" w:right="0" w:firstLine="0"/>
        <w:rPr>
          <w:color w:val="auto"/>
          <w:kern w:val="0"/>
          <w:lang w:val="en-GB" w:eastAsia="en-US"/>
        </w:rPr>
      </w:pPr>
      <w:r w:rsidRPr="00B07519">
        <w:rPr>
          <w:color w:val="auto"/>
          <w:kern w:val="0"/>
          <w:lang w:val="en-GB" w:eastAsia="en-US"/>
        </w:rPr>
        <w:t>For gendered human development, the conceptual stakes are especially high because many gender constraints—mobility norms, safety concerns, intra-household bargaining, and local labo</w:t>
      </w:r>
      <w:r w:rsidR="004644EB">
        <w:rPr>
          <w:color w:val="auto"/>
          <w:kern w:val="0"/>
          <w:lang w:val="en-GB" w:eastAsia="en-US"/>
        </w:rPr>
        <w:t>u</w:t>
      </w:r>
      <w:r w:rsidRPr="00B07519">
        <w:rPr>
          <w:color w:val="auto"/>
          <w:kern w:val="0"/>
          <w:lang w:val="en-GB" w:eastAsia="en-US"/>
        </w:rPr>
        <w:t>r market acceptability—</w:t>
      </w:r>
      <w:r w:rsidRPr="00565594">
        <w:rPr>
          <w:color w:val="auto"/>
          <w:kern w:val="0"/>
          <w:highlight w:val="yellow"/>
          <w:lang w:val="en-GB" w:eastAsia="en-US"/>
        </w:rPr>
        <w:t xml:space="preserve">operate at </w:t>
      </w:r>
      <w:r w:rsidR="004644EB" w:rsidRPr="00565594">
        <w:rPr>
          <w:color w:val="auto"/>
          <w:kern w:val="0"/>
          <w:highlight w:val="yellow"/>
          <w:lang w:val="en-GB" w:eastAsia="en-US"/>
        </w:rPr>
        <w:t xml:space="preserve">the </w:t>
      </w:r>
      <w:r w:rsidRPr="00565594">
        <w:rPr>
          <w:color w:val="auto"/>
          <w:kern w:val="0"/>
          <w:highlight w:val="yellow"/>
          <w:lang w:val="en-GB" w:eastAsia="en-US"/>
        </w:rPr>
        <w:t>comm</w:t>
      </w:r>
      <w:r w:rsidRPr="00B07519">
        <w:rPr>
          <w:color w:val="auto"/>
          <w:kern w:val="0"/>
          <w:lang w:val="en-GB" w:eastAsia="en-US"/>
        </w:rPr>
        <w:t>unity scale and can therefore produce sharp gradients within the same district. A scale-sensitive framing, therefore, treats spatial inequality as multi-scalar and dynamic: broad regional histories and state capacity shape overall levels, but local clusters and n</w:t>
      </w:r>
      <w:r w:rsidRPr="00565594">
        <w:rPr>
          <w:color w:val="auto"/>
          <w:kern w:val="0"/>
          <w:highlight w:val="yellow"/>
          <w:lang w:val="en-GB" w:eastAsia="en-US"/>
        </w:rPr>
        <w:t>eighbo</w:t>
      </w:r>
      <w:r w:rsidR="004644EB" w:rsidRPr="00565594">
        <w:rPr>
          <w:color w:val="auto"/>
          <w:kern w:val="0"/>
          <w:highlight w:val="yellow"/>
          <w:lang w:val="en-GB" w:eastAsia="en-US"/>
        </w:rPr>
        <w:t>u</w:t>
      </w:r>
      <w:r w:rsidRPr="00565594">
        <w:rPr>
          <w:color w:val="auto"/>
          <w:kern w:val="0"/>
          <w:highlight w:val="yellow"/>
          <w:lang w:val="en-GB" w:eastAsia="en-US"/>
        </w:rPr>
        <w:t>rhood</w:t>
      </w:r>
      <w:r w:rsidRPr="00B07519">
        <w:rPr>
          <w:color w:val="auto"/>
          <w:kern w:val="0"/>
          <w:lang w:val="en-GB" w:eastAsia="en-US"/>
        </w:rPr>
        <w:t xml:space="preserve"> contexts often determine whether women and girls can actually convert public provisioning into capabilities (Kim et al., 2016; Kim et al., 2021; Rajpal et al., 2021). This leads to a final conceptual implication: robust analysis of inter-regional variation in India must integrate multidimensional thinking with gender-aware conversion factors and scale-sensitive measurement, or else it risks drawing conclusions that are descriptively accurate at one level but misleading for explanation and policy design at another (</w:t>
      </w:r>
      <w:proofErr w:type="spellStart"/>
      <w:r w:rsidRPr="00B07519">
        <w:rPr>
          <w:color w:val="auto"/>
          <w:kern w:val="0"/>
          <w:lang w:val="en-GB" w:eastAsia="en-US"/>
        </w:rPr>
        <w:t>Alkire</w:t>
      </w:r>
      <w:proofErr w:type="spellEnd"/>
      <w:r w:rsidRPr="00B07519">
        <w:rPr>
          <w:color w:val="auto"/>
          <w:kern w:val="0"/>
          <w:lang w:val="en-GB" w:eastAsia="en-US"/>
        </w:rPr>
        <w:t xml:space="preserve"> &amp; Foster, 2011; </w:t>
      </w:r>
      <w:proofErr w:type="spellStart"/>
      <w:r w:rsidRPr="00B07519">
        <w:rPr>
          <w:color w:val="auto"/>
          <w:kern w:val="0"/>
          <w:lang w:val="en-GB" w:eastAsia="en-US"/>
        </w:rPr>
        <w:t>Bardhan</w:t>
      </w:r>
      <w:proofErr w:type="spellEnd"/>
      <w:r w:rsidRPr="00B07519">
        <w:rPr>
          <w:color w:val="auto"/>
          <w:kern w:val="0"/>
          <w:lang w:val="en-GB" w:eastAsia="en-US"/>
        </w:rPr>
        <w:t xml:space="preserve"> &amp; </w:t>
      </w:r>
      <w:proofErr w:type="spellStart"/>
      <w:r w:rsidRPr="00B07519">
        <w:rPr>
          <w:color w:val="auto"/>
          <w:kern w:val="0"/>
          <w:lang w:val="en-GB" w:eastAsia="en-US"/>
        </w:rPr>
        <w:t>Klasen</w:t>
      </w:r>
      <w:proofErr w:type="spellEnd"/>
      <w:r w:rsidRPr="00B07519">
        <w:rPr>
          <w:color w:val="auto"/>
          <w:kern w:val="0"/>
          <w:lang w:val="en-GB" w:eastAsia="en-US"/>
        </w:rPr>
        <w:t xml:space="preserve">, 1999; </w:t>
      </w:r>
      <w:proofErr w:type="spellStart"/>
      <w:r w:rsidRPr="00B07519">
        <w:rPr>
          <w:color w:val="auto"/>
          <w:kern w:val="0"/>
          <w:lang w:val="en-GB" w:eastAsia="en-US"/>
        </w:rPr>
        <w:t>Klasen</w:t>
      </w:r>
      <w:proofErr w:type="spellEnd"/>
      <w:r w:rsidRPr="00B07519">
        <w:rPr>
          <w:color w:val="auto"/>
          <w:kern w:val="0"/>
          <w:lang w:val="en-GB" w:eastAsia="en-US"/>
        </w:rPr>
        <w:t>, 2006).</w:t>
      </w:r>
    </w:p>
    <w:p w:rsidR="009333FF" w:rsidRPr="00C51293" w:rsidRDefault="009333FF" w:rsidP="00C1102F">
      <w:pPr>
        <w:pStyle w:val="NormalWeb"/>
        <w:jc w:val="both"/>
        <w:rPr>
          <w:lang w:val="en-GB"/>
        </w:rPr>
      </w:pPr>
    </w:p>
    <w:p w:rsidR="00B07519" w:rsidRPr="00B07519" w:rsidRDefault="00B07519" w:rsidP="00C1102F">
      <w:pPr>
        <w:spacing w:before="100" w:beforeAutospacing="1" w:after="100" w:afterAutospacing="1" w:line="240" w:lineRule="auto"/>
        <w:ind w:left="0" w:right="0" w:firstLine="0"/>
        <w:outlineLvl w:val="1"/>
        <w:rPr>
          <w:b/>
          <w:bCs/>
          <w:color w:val="auto"/>
          <w:kern w:val="0"/>
          <w:sz w:val="36"/>
          <w:szCs w:val="36"/>
          <w:lang w:val="en-GB" w:eastAsia="en-US"/>
        </w:rPr>
      </w:pPr>
      <w:r w:rsidRPr="00B07519">
        <w:rPr>
          <w:b/>
          <w:bCs/>
          <w:color w:val="auto"/>
          <w:kern w:val="0"/>
          <w:sz w:val="36"/>
          <w:szCs w:val="36"/>
          <w:lang w:val="en-GB" w:eastAsia="en-US"/>
        </w:rPr>
        <w:t>4. Empirical patterns of inter-regional variation in India</w:t>
      </w:r>
    </w:p>
    <w:p w:rsidR="00B07519" w:rsidRPr="00B07519" w:rsidRDefault="00B07519" w:rsidP="00C1102F">
      <w:pPr>
        <w:spacing w:before="100" w:beforeAutospacing="1" w:after="100" w:afterAutospacing="1" w:line="240" w:lineRule="auto"/>
        <w:ind w:left="0" w:right="0" w:firstLine="0"/>
        <w:outlineLvl w:val="2"/>
        <w:rPr>
          <w:b/>
          <w:bCs/>
          <w:color w:val="auto"/>
          <w:kern w:val="0"/>
          <w:sz w:val="27"/>
          <w:szCs w:val="27"/>
          <w:lang w:val="en-GB" w:eastAsia="en-US"/>
        </w:rPr>
      </w:pPr>
      <w:r w:rsidRPr="00B07519">
        <w:rPr>
          <w:b/>
          <w:bCs/>
          <w:color w:val="auto"/>
          <w:kern w:val="0"/>
          <w:sz w:val="27"/>
          <w:szCs w:val="27"/>
          <w:lang w:val="en-GB" w:eastAsia="en-US"/>
        </w:rPr>
        <w:t>4.1 Regional gradients and development “clubs”</w:t>
      </w:r>
    </w:p>
    <w:p w:rsidR="00B07519" w:rsidRPr="00B07519" w:rsidRDefault="00B07519" w:rsidP="00C1102F">
      <w:pPr>
        <w:spacing w:before="100" w:beforeAutospacing="1" w:after="100" w:afterAutospacing="1" w:line="240" w:lineRule="auto"/>
        <w:ind w:left="0" w:right="0" w:firstLine="0"/>
        <w:rPr>
          <w:color w:val="auto"/>
          <w:kern w:val="0"/>
          <w:lang w:val="en-GB" w:eastAsia="en-US"/>
        </w:rPr>
      </w:pPr>
      <w:r w:rsidRPr="00B07519">
        <w:rPr>
          <w:color w:val="auto"/>
          <w:kern w:val="0"/>
          <w:lang w:val="en-GB" w:eastAsia="en-US"/>
        </w:rPr>
        <w:t>Empirical work on India’s development geography consistently shows that spatial inequality is structured, persistent, and multi-domain. At the broadest level, districts and states tend to cluster into relatively advantaged and disadvantaged “development clubs,” reflecting long-run differences in economic structure, infrastructure, and institutional capacity. District-level analysis of socio-economic development demonstrates that disparities are not random deviations around a national mean; rather, they reflect systematic differences in sectoral composition, productive opportunities, and public investment histories across regions (</w:t>
      </w:r>
      <w:proofErr w:type="spellStart"/>
      <w:r w:rsidRPr="00B07519">
        <w:rPr>
          <w:color w:val="auto"/>
          <w:kern w:val="0"/>
          <w:lang w:val="en-GB" w:eastAsia="en-US"/>
        </w:rPr>
        <w:t>Ohlan</w:t>
      </w:r>
      <w:proofErr w:type="spellEnd"/>
      <w:r w:rsidRPr="00B07519">
        <w:rPr>
          <w:color w:val="auto"/>
          <w:kern w:val="0"/>
          <w:lang w:val="en-GB" w:eastAsia="en-US"/>
        </w:rPr>
        <w:t xml:space="preserve">, </w:t>
      </w:r>
      <w:r w:rsidRPr="00B07519">
        <w:rPr>
          <w:color w:val="auto"/>
          <w:kern w:val="0"/>
          <w:lang w:val="en-GB" w:eastAsia="en-US"/>
        </w:rPr>
        <w:lastRenderedPageBreak/>
        <w:t xml:space="preserve">2013). </w:t>
      </w:r>
      <w:r w:rsidR="004951DA" w:rsidRPr="00C51293">
        <w:rPr>
          <w:lang w:val="en-GB"/>
        </w:rPr>
        <w:t xml:space="preserve">Using a district-level RMNCH coverage framework, evidence shows </w:t>
      </w:r>
      <w:r w:rsidR="004951DA" w:rsidRPr="00C51293">
        <w:rPr>
          <w:rStyle w:val="Strong"/>
          <w:b w:val="0"/>
          <w:lang w:val="en-GB"/>
        </w:rPr>
        <w:t>substantial within-state inequality in service coverage</w:t>
      </w:r>
      <w:r w:rsidR="004951DA" w:rsidRPr="00C51293">
        <w:rPr>
          <w:lang w:val="en-GB"/>
        </w:rPr>
        <w:t xml:space="preserve">, implying that high-performing states can still contain “pockets” of low RMNCH coverage that align with broader patterns of spatial disadvantage (Panda et al., 2020). </w:t>
      </w:r>
      <w:r w:rsidRPr="00B07519">
        <w:rPr>
          <w:color w:val="auto"/>
          <w:kern w:val="0"/>
          <w:lang w:val="en-GB" w:eastAsia="en-US"/>
        </w:rPr>
        <w:t>Such evidence supports a view of India as a mosaic of development trajectories in which some regions experience cumulative advantages while others face reinforcing constraints, shaping the distribution of human development outcomes over time (</w:t>
      </w:r>
      <w:proofErr w:type="spellStart"/>
      <w:r w:rsidRPr="00B07519">
        <w:rPr>
          <w:color w:val="auto"/>
          <w:kern w:val="0"/>
          <w:lang w:val="en-GB" w:eastAsia="en-US"/>
        </w:rPr>
        <w:t>Ohlan</w:t>
      </w:r>
      <w:proofErr w:type="spellEnd"/>
      <w:r w:rsidRPr="00B07519">
        <w:rPr>
          <w:color w:val="auto"/>
          <w:kern w:val="0"/>
          <w:lang w:val="en-GB" w:eastAsia="en-US"/>
        </w:rPr>
        <w:t>, 2013).</w:t>
      </w:r>
    </w:p>
    <w:p w:rsidR="00B07519" w:rsidRPr="00B07519" w:rsidRDefault="00B07519" w:rsidP="00C1102F">
      <w:pPr>
        <w:spacing w:before="100" w:beforeAutospacing="1" w:after="100" w:afterAutospacing="1" w:line="240" w:lineRule="auto"/>
        <w:ind w:left="0" w:right="0" w:firstLine="0"/>
        <w:rPr>
          <w:color w:val="auto"/>
          <w:kern w:val="0"/>
          <w:lang w:val="en-GB" w:eastAsia="en-US"/>
        </w:rPr>
      </w:pPr>
      <w:r w:rsidRPr="00B07519">
        <w:rPr>
          <w:color w:val="auto"/>
          <w:kern w:val="0"/>
          <w:lang w:val="en-GB" w:eastAsia="en-US"/>
        </w:rPr>
        <w:t xml:space="preserve">However, even this “club” perspective becomes more informative when human development is interpreted through the lens of capabilities rather than output alone. A district may register improvements in one development dimension without comparable gains in others, and regional gradients can therefore appear differently depending on whether the focus is health coverage, educational attainment, or women’s economic participation. The contemporary district-level human development </w:t>
      </w:r>
      <w:r w:rsidRPr="00565594">
        <w:rPr>
          <w:color w:val="auto"/>
          <w:kern w:val="0"/>
          <w:highlight w:val="yellow"/>
          <w:lang w:val="en-GB" w:eastAsia="en-US"/>
        </w:rPr>
        <w:t xml:space="preserve">literature </w:t>
      </w:r>
      <w:r w:rsidR="004644EB" w:rsidRPr="00565594">
        <w:rPr>
          <w:color w:val="auto"/>
          <w:kern w:val="0"/>
          <w:highlight w:val="yellow"/>
          <w:lang w:val="en-GB" w:eastAsia="en-US"/>
        </w:rPr>
        <w:t>emphasi</w:t>
      </w:r>
      <w:r w:rsidR="004644EB" w:rsidRPr="00565594">
        <w:rPr>
          <w:color w:val="auto"/>
          <w:kern w:val="0"/>
          <w:highlight w:val="yellow"/>
          <w:lang w:val="en-GB" w:eastAsia="en-US"/>
        </w:rPr>
        <w:t>s</w:t>
      </w:r>
      <w:r w:rsidR="004644EB" w:rsidRPr="00565594">
        <w:rPr>
          <w:color w:val="auto"/>
          <w:kern w:val="0"/>
          <w:highlight w:val="yellow"/>
          <w:lang w:val="en-GB" w:eastAsia="en-US"/>
        </w:rPr>
        <w:t xml:space="preserve">es </w:t>
      </w:r>
      <w:r w:rsidRPr="00565594">
        <w:rPr>
          <w:color w:val="auto"/>
          <w:kern w:val="0"/>
          <w:highlight w:val="yellow"/>
          <w:lang w:val="en-GB" w:eastAsia="en-US"/>
        </w:rPr>
        <w:t>pre</w:t>
      </w:r>
      <w:r w:rsidRPr="00B07519">
        <w:rPr>
          <w:color w:val="auto"/>
          <w:kern w:val="0"/>
          <w:lang w:val="en-GB" w:eastAsia="en-US"/>
        </w:rPr>
        <w:t>cisely this: subnational capability expansion in India is marked by substantial spatial structuring that cannot be captured through a single indicator or by state-level averages alone (</w:t>
      </w:r>
      <w:proofErr w:type="spellStart"/>
      <w:r w:rsidRPr="00B07519">
        <w:rPr>
          <w:color w:val="auto"/>
          <w:kern w:val="0"/>
          <w:lang w:val="en-GB" w:eastAsia="en-US"/>
        </w:rPr>
        <w:t>Chaurasia</w:t>
      </w:r>
      <w:proofErr w:type="spellEnd"/>
      <w:r w:rsidRPr="00B07519">
        <w:rPr>
          <w:color w:val="auto"/>
          <w:kern w:val="0"/>
          <w:lang w:val="en-GB" w:eastAsia="en-US"/>
        </w:rPr>
        <w:t>, 2023). In other words, empirical gradients exist, but their substantive meaning is domain-specific and policy-relevant because different regions can be constrained by different “missing links” in the pathway from public provisioning to achieved well-being (</w:t>
      </w:r>
      <w:proofErr w:type="spellStart"/>
      <w:r w:rsidRPr="00B07519">
        <w:rPr>
          <w:color w:val="auto"/>
          <w:kern w:val="0"/>
          <w:lang w:val="en-GB" w:eastAsia="en-US"/>
        </w:rPr>
        <w:t>Chaurasia</w:t>
      </w:r>
      <w:proofErr w:type="spellEnd"/>
      <w:r w:rsidRPr="00B07519">
        <w:rPr>
          <w:color w:val="auto"/>
          <w:kern w:val="0"/>
          <w:lang w:val="en-GB" w:eastAsia="en-US"/>
        </w:rPr>
        <w:t>, 2023).</w:t>
      </w:r>
    </w:p>
    <w:p w:rsidR="00B07519" w:rsidRPr="00B07519" w:rsidRDefault="00B07519" w:rsidP="00C1102F">
      <w:pPr>
        <w:spacing w:before="100" w:beforeAutospacing="1" w:after="100" w:afterAutospacing="1" w:line="240" w:lineRule="auto"/>
        <w:ind w:left="0" w:right="0" w:firstLine="0"/>
        <w:rPr>
          <w:color w:val="auto"/>
          <w:kern w:val="0"/>
          <w:lang w:val="en-GB" w:eastAsia="en-US"/>
        </w:rPr>
      </w:pPr>
      <w:r w:rsidRPr="00B07519">
        <w:rPr>
          <w:color w:val="auto"/>
          <w:kern w:val="0"/>
          <w:lang w:val="en-GB" w:eastAsia="en-US"/>
        </w:rPr>
        <w:t>A case-based illustration further highlights how gradients play out within a single state. Spatial analysis of human development in Karnataka shows that inequality can remain substantial even in a state widely perceived as relatively advanced, indicating that intra-state differences may be large enough to generate distinct internal “development geographies” (Niranjan, 2020). This observation is important for interpreting inter-regional variation nationally: it cautions against assuming that the spatial story is only about gaps between traditionally higher- and lower-performing states. Instead, the empirical record suggests layered gradients—across states, across regions within states, and across districts—each with potentially different drivers and policy implications (</w:t>
      </w:r>
      <w:proofErr w:type="spellStart"/>
      <w:r w:rsidRPr="00B07519">
        <w:rPr>
          <w:color w:val="auto"/>
          <w:kern w:val="0"/>
          <w:lang w:val="en-GB" w:eastAsia="en-US"/>
        </w:rPr>
        <w:t>Chaurasia</w:t>
      </w:r>
      <w:proofErr w:type="spellEnd"/>
      <w:r w:rsidRPr="00B07519">
        <w:rPr>
          <w:color w:val="auto"/>
          <w:kern w:val="0"/>
          <w:lang w:val="en-GB" w:eastAsia="en-US"/>
        </w:rPr>
        <w:t xml:space="preserve">, 2023; Niranjan, 2020; </w:t>
      </w:r>
      <w:proofErr w:type="spellStart"/>
      <w:r w:rsidRPr="00B07519">
        <w:rPr>
          <w:color w:val="auto"/>
          <w:kern w:val="0"/>
          <w:lang w:val="en-GB" w:eastAsia="en-US"/>
        </w:rPr>
        <w:t>Ohlan</w:t>
      </w:r>
      <w:proofErr w:type="spellEnd"/>
      <w:r w:rsidRPr="00B07519">
        <w:rPr>
          <w:color w:val="auto"/>
          <w:kern w:val="0"/>
          <w:lang w:val="en-GB" w:eastAsia="en-US"/>
        </w:rPr>
        <w:t>, 2013).</w:t>
      </w:r>
    </w:p>
    <w:p w:rsidR="00B07519" w:rsidRPr="00B07519" w:rsidRDefault="00B07519" w:rsidP="00C1102F">
      <w:pPr>
        <w:spacing w:before="100" w:beforeAutospacing="1" w:after="100" w:afterAutospacing="1" w:line="240" w:lineRule="auto"/>
        <w:ind w:left="0" w:right="0" w:firstLine="0"/>
        <w:outlineLvl w:val="2"/>
        <w:rPr>
          <w:b/>
          <w:bCs/>
          <w:color w:val="auto"/>
          <w:kern w:val="0"/>
          <w:sz w:val="27"/>
          <w:szCs w:val="27"/>
          <w:lang w:val="en-GB" w:eastAsia="en-US"/>
        </w:rPr>
      </w:pPr>
      <w:r w:rsidRPr="00B07519">
        <w:rPr>
          <w:b/>
          <w:bCs/>
          <w:color w:val="auto"/>
          <w:kern w:val="0"/>
          <w:sz w:val="27"/>
          <w:szCs w:val="27"/>
          <w:lang w:val="en-GB" w:eastAsia="en-US"/>
        </w:rPr>
        <w:t>4.2 Within-state heterogeneity and small-area disparities</w:t>
      </w:r>
    </w:p>
    <w:p w:rsidR="00B07519" w:rsidRPr="00B07519" w:rsidRDefault="00B07519" w:rsidP="00C1102F">
      <w:pPr>
        <w:spacing w:before="100" w:beforeAutospacing="1" w:after="100" w:afterAutospacing="1" w:line="240" w:lineRule="auto"/>
        <w:ind w:left="0" w:right="0" w:firstLine="0"/>
        <w:rPr>
          <w:color w:val="auto"/>
          <w:kern w:val="0"/>
          <w:lang w:val="en-GB" w:eastAsia="en-US"/>
        </w:rPr>
      </w:pPr>
      <w:r w:rsidRPr="00B07519">
        <w:rPr>
          <w:color w:val="auto"/>
          <w:kern w:val="0"/>
          <w:lang w:val="en-GB" w:eastAsia="en-US"/>
        </w:rPr>
        <w:t xml:space="preserve">The most consequential advances in recent years have come from studies that push beyond state and district averages to identify within-district and small-area clustering in key human development outcomes. This work is not merely an exercise in finer description; it changes the empirical claims one can make about inequality. When deprivation is geographically concentrated below the district level, using district means </w:t>
      </w:r>
      <w:r w:rsidRPr="00565594">
        <w:rPr>
          <w:color w:val="auto"/>
          <w:kern w:val="0"/>
          <w:highlight w:val="yellow"/>
          <w:lang w:val="en-GB" w:eastAsia="en-US"/>
        </w:rPr>
        <w:t xml:space="preserve">can </w:t>
      </w:r>
      <w:r w:rsidR="004644EB" w:rsidRPr="00565594">
        <w:rPr>
          <w:color w:val="auto"/>
          <w:kern w:val="0"/>
          <w:highlight w:val="yellow"/>
          <w:lang w:val="en-GB" w:eastAsia="en-US"/>
        </w:rPr>
        <w:t>mischaracteri</w:t>
      </w:r>
      <w:r w:rsidR="004644EB" w:rsidRPr="00565594">
        <w:rPr>
          <w:color w:val="auto"/>
          <w:kern w:val="0"/>
          <w:highlight w:val="yellow"/>
          <w:lang w:val="en-GB" w:eastAsia="en-US"/>
        </w:rPr>
        <w:t>s</w:t>
      </w:r>
      <w:r w:rsidR="004644EB" w:rsidRPr="00565594">
        <w:rPr>
          <w:color w:val="auto"/>
          <w:kern w:val="0"/>
          <w:highlight w:val="yellow"/>
          <w:lang w:val="en-GB" w:eastAsia="en-US"/>
        </w:rPr>
        <w:t xml:space="preserve">e </w:t>
      </w:r>
      <w:r w:rsidRPr="00565594">
        <w:rPr>
          <w:color w:val="auto"/>
          <w:kern w:val="0"/>
          <w:highlight w:val="yellow"/>
          <w:lang w:val="en-GB" w:eastAsia="en-US"/>
        </w:rPr>
        <w:t>th</w:t>
      </w:r>
      <w:r w:rsidRPr="00B07519">
        <w:rPr>
          <w:color w:val="auto"/>
          <w:kern w:val="0"/>
          <w:lang w:val="en-GB" w:eastAsia="en-US"/>
        </w:rPr>
        <w:t>e severity, location, and correlates of disadvantage.</w:t>
      </w:r>
    </w:p>
    <w:p w:rsidR="00B07519" w:rsidRPr="00B07519" w:rsidRDefault="00B07519" w:rsidP="00C1102F">
      <w:pPr>
        <w:spacing w:before="100" w:beforeAutospacing="1" w:after="100" w:afterAutospacing="1" w:line="240" w:lineRule="auto"/>
        <w:ind w:left="0" w:right="0" w:firstLine="0"/>
        <w:rPr>
          <w:color w:val="auto"/>
          <w:kern w:val="0"/>
          <w:lang w:val="en-GB" w:eastAsia="en-US"/>
        </w:rPr>
      </w:pPr>
      <w:r w:rsidRPr="00B07519">
        <w:rPr>
          <w:color w:val="auto"/>
          <w:kern w:val="0"/>
          <w:lang w:val="en-GB" w:eastAsia="en-US"/>
        </w:rPr>
        <w:t xml:space="preserve">A prominent example is precision mapping of child undernutrition across nearly 600,000 inhabited census villages in rural India, which reveals pronounced micro-geographies of stunting and related nutrition deficits (Kim et al., 2021). The empirical implication is that even districts with moderate averages can contain clusters of severe deprivation, and that intervention strategies premised on “district priority” lists may miss high-risk villages that do not dominate district-level statistics (Kim et al., 2021). </w:t>
      </w:r>
      <w:r w:rsidR="006F1ABF">
        <w:t xml:space="preserve">Spatial analysis of census-linked under-five mortality demonstrates that </w:t>
      </w:r>
      <w:r w:rsidR="006F1ABF" w:rsidRPr="006F1ABF">
        <w:rPr>
          <w:rStyle w:val="Strong"/>
          <w:b w:val="0"/>
        </w:rPr>
        <w:t>excess female child mortality is geographically clustered across districts</w:t>
      </w:r>
      <w:r w:rsidR="006F1ABF">
        <w:t xml:space="preserve"> and is strongly associated with low development and gender inequity, highlighting postnatal discrimination as a distinctly spatial process in India (</w:t>
      </w:r>
      <w:proofErr w:type="spellStart"/>
      <w:r w:rsidR="006F1ABF">
        <w:t>Guilmoto</w:t>
      </w:r>
      <w:proofErr w:type="spellEnd"/>
      <w:r w:rsidR="006F1ABF">
        <w:t xml:space="preserve"> et al., 2018). </w:t>
      </w:r>
      <w:r w:rsidRPr="00B07519">
        <w:rPr>
          <w:color w:val="auto"/>
          <w:kern w:val="0"/>
          <w:lang w:val="en-GB" w:eastAsia="en-US"/>
        </w:rPr>
        <w:t xml:space="preserve">This insight extends beyond nutrition: it indicates that the spatial </w:t>
      </w:r>
      <w:r w:rsidRPr="00B07519">
        <w:rPr>
          <w:color w:val="auto"/>
          <w:kern w:val="0"/>
          <w:lang w:val="en-GB" w:eastAsia="en-US"/>
        </w:rPr>
        <w:lastRenderedPageBreak/>
        <w:t>distribution of risk is often granular, implying that administrative boundaries are imperfect proxies for the true topology of disadvantage.</w:t>
      </w:r>
    </w:p>
    <w:p w:rsidR="00B07519" w:rsidRPr="00B07519" w:rsidRDefault="00B07519" w:rsidP="00C1102F">
      <w:pPr>
        <w:spacing w:before="100" w:beforeAutospacing="1" w:after="100" w:afterAutospacing="1" w:line="240" w:lineRule="auto"/>
        <w:ind w:left="0" w:right="0" w:firstLine="0"/>
        <w:rPr>
          <w:color w:val="auto"/>
          <w:kern w:val="0"/>
          <w:lang w:val="en-GB" w:eastAsia="en-US"/>
        </w:rPr>
      </w:pPr>
      <w:r w:rsidRPr="00B07519">
        <w:rPr>
          <w:color w:val="auto"/>
          <w:kern w:val="0"/>
          <w:lang w:val="en-GB" w:eastAsia="en-US"/>
        </w:rPr>
        <w:t>This conclusion is reinforced by work examining child undernutrition across both districts and parliamentary constituencies. By demonstrating small-area variation across 640 districts and 543 constituencies, the evidence shows that deprivation patterns can cut across conventional planning units and that the political geography of representation does not necessarily align with the epidemiological geography of undernutrition risk (Rajpal et al., 2021). Such findings matter for the empirical study of inter-regional variation because they indicate that “region” cannot be treated as a single level of analysis. Instead, multiple spatial partitions—administrative, political, and community-level—can each reveal different aspects of inequality (Kim et al., 2021; Rajpal et al., 2021).</w:t>
      </w:r>
    </w:p>
    <w:p w:rsidR="00B07519" w:rsidRPr="00B07519" w:rsidRDefault="00B07519" w:rsidP="00C1102F">
      <w:pPr>
        <w:spacing w:before="100" w:beforeAutospacing="1" w:after="100" w:afterAutospacing="1" w:line="240" w:lineRule="auto"/>
        <w:ind w:left="0" w:right="0" w:firstLine="0"/>
        <w:rPr>
          <w:color w:val="auto"/>
          <w:kern w:val="0"/>
          <w:lang w:val="en-GB" w:eastAsia="en-US"/>
        </w:rPr>
      </w:pPr>
      <w:r w:rsidRPr="00B07519">
        <w:rPr>
          <w:color w:val="auto"/>
          <w:kern w:val="0"/>
          <w:lang w:val="en-GB" w:eastAsia="en-US"/>
        </w:rPr>
        <w:t>Comparable patterns are visible in maternal and child health service coverage. District-level inequality and geographic clustering in reproductive, maternal, neonatal, and child health (RMNCH) coverage show that service uptake is uneven even within the same broader policy and program environment (Panda et al., 2020). This is empirically significant because RMNCH services are central to human development, shaping maternal survival and early-life capabilities. The persistence of geographic clustering suggests that inter-regional variation reflects not only differences in need but also differences in local access, service readiness, outreach effectiveness, and social barriers that influence care-seeking (Panda et al., 2020).</w:t>
      </w:r>
    </w:p>
    <w:p w:rsidR="00B07519" w:rsidRPr="00B07519" w:rsidRDefault="00B07519" w:rsidP="00C1102F">
      <w:pPr>
        <w:spacing w:before="100" w:beforeAutospacing="1" w:after="100" w:afterAutospacing="1" w:line="240" w:lineRule="auto"/>
        <w:ind w:left="0" w:right="0" w:firstLine="0"/>
        <w:rPr>
          <w:color w:val="auto"/>
          <w:kern w:val="0"/>
          <w:lang w:val="en-GB" w:eastAsia="en-US"/>
        </w:rPr>
      </w:pPr>
      <w:r w:rsidRPr="00B07519">
        <w:rPr>
          <w:color w:val="auto"/>
          <w:kern w:val="0"/>
          <w:lang w:val="en-GB" w:eastAsia="en-US"/>
        </w:rPr>
        <w:t xml:space="preserve">Evidence from vaccination mapping further strengthens the conclusion that small-area variation is substantial. Analysis of child under-vaccination across India using a multilevel framework finds meaningful differences not only across states and districts but also across thousands of small-area clusters (Johri et al., 2024). This pattern implies that under-vaccination is shaped </w:t>
      </w:r>
      <w:r w:rsidRPr="00565594">
        <w:rPr>
          <w:color w:val="auto"/>
          <w:kern w:val="0"/>
          <w:highlight w:val="yellow"/>
          <w:lang w:val="en-GB" w:eastAsia="en-US"/>
        </w:rPr>
        <w:t xml:space="preserve">by </w:t>
      </w:r>
      <w:r w:rsidR="004644EB" w:rsidRPr="00565594">
        <w:rPr>
          <w:color w:val="auto"/>
          <w:kern w:val="0"/>
          <w:highlight w:val="yellow"/>
          <w:lang w:val="en-GB" w:eastAsia="en-US"/>
        </w:rPr>
        <w:t>locali</w:t>
      </w:r>
      <w:r w:rsidR="004644EB" w:rsidRPr="00565594">
        <w:rPr>
          <w:color w:val="auto"/>
          <w:kern w:val="0"/>
          <w:highlight w:val="yellow"/>
          <w:lang w:val="en-GB" w:eastAsia="en-US"/>
        </w:rPr>
        <w:t>s</w:t>
      </w:r>
      <w:r w:rsidR="004644EB" w:rsidRPr="00565594">
        <w:rPr>
          <w:color w:val="auto"/>
          <w:kern w:val="0"/>
          <w:highlight w:val="yellow"/>
          <w:lang w:val="en-GB" w:eastAsia="en-US"/>
        </w:rPr>
        <w:t xml:space="preserve">ed </w:t>
      </w:r>
      <w:r w:rsidRPr="00565594">
        <w:rPr>
          <w:color w:val="auto"/>
          <w:kern w:val="0"/>
          <w:highlight w:val="yellow"/>
          <w:lang w:val="en-GB" w:eastAsia="en-US"/>
        </w:rPr>
        <w:t>determi</w:t>
      </w:r>
      <w:r w:rsidRPr="00B07519">
        <w:rPr>
          <w:color w:val="auto"/>
          <w:kern w:val="0"/>
          <w:lang w:val="en-GB" w:eastAsia="en-US"/>
        </w:rPr>
        <w:t xml:space="preserve">nants—such as last-mile service delivery, community trust, information diffusion, and social exclusion—that can generate concentrated pockets of low coverage (Johri et al., 2024). In empirical terms, it means that interpreting regional disparities </w:t>
      </w:r>
      <w:r w:rsidRPr="00565594">
        <w:rPr>
          <w:color w:val="auto"/>
          <w:kern w:val="0"/>
          <w:highlight w:val="yellow"/>
          <w:lang w:val="en-GB" w:eastAsia="en-US"/>
        </w:rPr>
        <w:t xml:space="preserve">in </w:t>
      </w:r>
      <w:r w:rsidR="004644EB" w:rsidRPr="00565594">
        <w:rPr>
          <w:color w:val="auto"/>
          <w:kern w:val="0"/>
          <w:highlight w:val="yellow"/>
          <w:lang w:val="en-GB" w:eastAsia="en-US"/>
        </w:rPr>
        <w:t>immuni</w:t>
      </w:r>
      <w:r w:rsidR="004644EB" w:rsidRPr="00565594">
        <w:rPr>
          <w:color w:val="auto"/>
          <w:kern w:val="0"/>
          <w:highlight w:val="yellow"/>
          <w:lang w:val="en-GB" w:eastAsia="en-US"/>
        </w:rPr>
        <w:t>s</w:t>
      </w:r>
      <w:r w:rsidR="004644EB" w:rsidRPr="00565594">
        <w:rPr>
          <w:color w:val="auto"/>
          <w:kern w:val="0"/>
          <w:highlight w:val="yellow"/>
          <w:lang w:val="en-GB" w:eastAsia="en-US"/>
        </w:rPr>
        <w:t xml:space="preserve">ation </w:t>
      </w:r>
      <w:r w:rsidRPr="00565594">
        <w:rPr>
          <w:color w:val="auto"/>
          <w:kern w:val="0"/>
          <w:highlight w:val="yellow"/>
          <w:lang w:val="en-GB" w:eastAsia="en-US"/>
        </w:rPr>
        <w:t>pur</w:t>
      </w:r>
      <w:r w:rsidRPr="00B07519">
        <w:rPr>
          <w:color w:val="auto"/>
          <w:kern w:val="0"/>
          <w:lang w:val="en-GB" w:eastAsia="en-US"/>
        </w:rPr>
        <w:t>ely as an inter-state story risks missing the fine-grained geography of under-coverage where policy action may be most urgent (Johri et al., 2024).</w:t>
      </w:r>
    </w:p>
    <w:p w:rsidR="00B07519" w:rsidRPr="00B07519" w:rsidRDefault="00B07519" w:rsidP="00C1102F">
      <w:pPr>
        <w:spacing w:before="100" w:beforeAutospacing="1" w:after="100" w:afterAutospacing="1" w:line="240" w:lineRule="auto"/>
        <w:ind w:left="0" w:right="0" w:firstLine="0"/>
        <w:rPr>
          <w:color w:val="auto"/>
          <w:kern w:val="0"/>
          <w:lang w:val="en-GB" w:eastAsia="en-US"/>
        </w:rPr>
      </w:pPr>
      <w:r w:rsidRPr="00B07519">
        <w:rPr>
          <w:color w:val="auto"/>
          <w:kern w:val="0"/>
          <w:lang w:val="en-GB" w:eastAsia="en-US"/>
        </w:rPr>
        <w:t>Taken together, these studies indicate that within-state and within-district heterogeneity is not a secondary detail but a core empirical feature of India’s development landscape. The combination of district-level human development perspectives and high-resolution mapping suggests that spatial inequality is best described as a nested structure: broad regional gradients exist, but the operationally relevant units of deprivation for policy may often be smaller than districts (Kim et al., 2021; Panda et al., 2020; Rajpal et al., 2021).</w:t>
      </w:r>
    </w:p>
    <w:p w:rsidR="00B07519" w:rsidRPr="00B07519" w:rsidRDefault="00B07519" w:rsidP="00C1102F">
      <w:pPr>
        <w:spacing w:before="100" w:beforeAutospacing="1" w:after="100" w:afterAutospacing="1" w:line="240" w:lineRule="auto"/>
        <w:ind w:left="0" w:right="0" w:firstLine="0"/>
        <w:rPr>
          <w:color w:val="auto"/>
          <w:kern w:val="0"/>
          <w:lang w:val="en-GB" w:eastAsia="en-US"/>
        </w:rPr>
      </w:pPr>
      <w:r w:rsidRPr="00B07519">
        <w:rPr>
          <w:color w:val="auto"/>
          <w:kern w:val="0"/>
          <w:lang w:val="en-GB" w:eastAsia="en-US"/>
        </w:rPr>
        <w:t xml:space="preserve">Finally, the empirical patterns of economic capability show parallel spatial structuring. Mapping women’s work participation through small-area estimation reveals pronounced regional variation in women’s employment and cash earnings, with patterns that are strongly place-dependent and indicative of regionally differentiated opportunity structures (Srivastava et al., 2025). This adds an important economic dimension to the broader evidence on health and nutrition: it suggests that spatial inequality in India is not confined to service coverage outcomes, but extends to the economic pathways through which households build resilience and individuals expand agency (Srivastava et al., 2025). The empirical picture that emerges is therefore multi-domain and multi-scalar, with inter-regional variation expressed through </w:t>
      </w:r>
      <w:r w:rsidRPr="00B07519">
        <w:rPr>
          <w:color w:val="auto"/>
          <w:kern w:val="0"/>
          <w:lang w:val="en-GB" w:eastAsia="en-US"/>
        </w:rPr>
        <w:lastRenderedPageBreak/>
        <w:t>overlapping but not identical geographies of health, nutrition, and work</w:t>
      </w:r>
      <w:r w:rsidR="009109E2" w:rsidRPr="00C51293">
        <w:rPr>
          <w:color w:val="auto"/>
          <w:kern w:val="0"/>
          <w:lang w:val="en-GB" w:eastAsia="en-US"/>
        </w:rPr>
        <w:t xml:space="preserve"> (</w:t>
      </w:r>
      <w:proofErr w:type="spellStart"/>
      <w:r w:rsidR="009109E2" w:rsidRPr="00B07519">
        <w:rPr>
          <w:color w:val="auto"/>
          <w:kern w:val="0"/>
          <w:lang w:val="en-GB" w:eastAsia="en-US"/>
        </w:rPr>
        <w:t>Chaurasia</w:t>
      </w:r>
      <w:proofErr w:type="spellEnd"/>
      <w:r w:rsidR="009109E2" w:rsidRPr="00B07519">
        <w:rPr>
          <w:color w:val="auto"/>
          <w:kern w:val="0"/>
          <w:lang w:val="en-GB" w:eastAsia="en-US"/>
        </w:rPr>
        <w:t>, 2023; Johri et al., 2024</w:t>
      </w:r>
      <w:r w:rsidR="009109E2" w:rsidRPr="00C51293">
        <w:rPr>
          <w:color w:val="auto"/>
          <w:kern w:val="0"/>
          <w:lang w:val="en-GB" w:eastAsia="en-US"/>
        </w:rPr>
        <w:t>)</w:t>
      </w:r>
      <w:r w:rsidRPr="00B07519">
        <w:rPr>
          <w:color w:val="auto"/>
          <w:kern w:val="0"/>
          <w:lang w:val="en-GB" w:eastAsia="en-US"/>
        </w:rPr>
        <w:t>.</w:t>
      </w:r>
    </w:p>
    <w:p w:rsidR="00B07519" w:rsidRPr="00B07519" w:rsidRDefault="00B07519" w:rsidP="00C1102F">
      <w:pPr>
        <w:spacing w:before="100" w:beforeAutospacing="1" w:after="100" w:afterAutospacing="1" w:line="240" w:lineRule="auto"/>
        <w:ind w:left="0" w:right="0" w:firstLine="0"/>
        <w:outlineLvl w:val="1"/>
        <w:rPr>
          <w:b/>
          <w:bCs/>
          <w:color w:val="auto"/>
          <w:kern w:val="0"/>
          <w:sz w:val="36"/>
          <w:szCs w:val="36"/>
          <w:lang w:val="en-GB" w:eastAsia="en-US"/>
        </w:rPr>
      </w:pPr>
      <w:r w:rsidRPr="00B07519">
        <w:rPr>
          <w:b/>
          <w:bCs/>
          <w:color w:val="auto"/>
          <w:kern w:val="0"/>
          <w:sz w:val="36"/>
          <w:szCs w:val="36"/>
          <w:lang w:val="en-GB" w:eastAsia="en-US"/>
        </w:rPr>
        <w:t>5. Gendered components of human development across regions</w:t>
      </w:r>
    </w:p>
    <w:p w:rsidR="00B07519" w:rsidRPr="00B07519" w:rsidRDefault="00B07519" w:rsidP="00C1102F">
      <w:pPr>
        <w:spacing w:before="100" w:beforeAutospacing="1" w:after="100" w:afterAutospacing="1" w:line="240" w:lineRule="auto"/>
        <w:ind w:left="0" w:right="0" w:firstLine="0"/>
        <w:outlineLvl w:val="2"/>
        <w:rPr>
          <w:b/>
          <w:bCs/>
          <w:color w:val="auto"/>
          <w:kern w:val="0"/>
          <w:sz w:val="27"/>
          <w:szCs w:val="27"/>
          <w:lang w:val="en-GB" w:eastAsia="en-US"/>
        </w:rPr>
      </w:pPr>
      <w:r w:rsidRPr="00B07519">
        <w:rPr>
          <w:b/>
          <w:bCs/>
          <w:color w:val="auto"/>
          <w:kern w:val="0"/>
          <w:sz w:val="27"/>
          <w:szCs w:val="27"/>
          <w:lang w:val="en-GB" w:eastAsia="en-US"/>
        </w:rPr>
        <w:t>5.1 Health, survival, and maternal–newborn capabilities</w:t>
      </w:r>
    </w:p>
    <w:p w:rsidR="00B07519" w:rsidRPr="00B07519" w:rsidRDefault="00B07519" w:rsidP="00C1102F">
      <w:pPr>
        <w:spacing w:before="100" w:beforeAutospacing="1" w:after="100" w:afterAutospacing="1" w:line="240" w:lineRule="auto"/>
        <w:ind w:left="0" w:right="0" w:firstLine="0"/>
        <w:rPr>
          <w:color w:val="auto"/>
          <w:kern w:val="0"/>
          <w:lang w:val="en-GB" w:eastAsia="en-US"/>
        </w:rPr>
      </w:pPr>
      <w:r w:rsidRPr="00B07519">
        <w:rPr>
          <w:color w:val="auto"/>
          <w:kern w:val="0"/>
          <w:lang w:val="en-GB" w:eastAsia="en-US"/>
        </w:rPr>
        <w:t>Across India, gendered human development is inseparable from the geography of health system access and from women’s ability to use that access effectively. Regional and within-state differences in reproductive, maternal, neonatal, and child health (RMNCH) coverage illustrate how gendered capabilities are produced through place-based service environments.</w:t>
      </w:r>
      <w:r w:rsidR="004951DA" w:rsidRPr="00C51293">
        <w:rPr>
          <w:color w:val="auto"/>
          <w:kern w:val="0"/>
          <w:lang w:val="en-GB" w:eastAsia="en-US"/>
        </w:rPr>
        <w:t xml:space="preserve"> </w:t>
      </w:r>
      <w:r w:rsidR="004951DA" w:rsidRPr="00C51293">
        <w:rPr>
          <w:lang w:val="en-GB"/>
        </w:rPr>
        <w:t>District-level “inequality of opportunity” analyses show that—even as maternal-service coverage improved—</w:t>
      </w:r>
      <w:r w:rsidR="004951DA" w:rsidRPr="00C51293">
        <w:rPr>
          <w:rStyle w:val="Strong"/>
          <w:b w:val="0"/>
          <w:lang w:val="en-GB"/>
        </w:rPr>
        <w:t>geographical inequity persisted</w:t>
      </w:r>
      <w:r w:rsidR="004951DA" w:rsidRPr="00C51293">
        <w:rPr>
          <w:lang w:val="en-GB"/>
        </w:rPr>
        <w:t xml:space="preserve">, with especially uneven opportunity for </w:t>
      </w:r>
      <w:r w:rsidR="004951DA" w:rsidRPr="00C51293">
        <w:rPr>
          <w:rStyle w:val="Strong"/>
          <w:b w:val="0"/>
          <w:lang w:val="en-GB"/>
        </w:rPr>
        <w:t>four or more antenatal visits</w:t>
      </w:r>
      <w:r w:rsidR="004951DA" w:rsidRPr="00C51293">
        <w:rPr>
          <w:b/>
          <w:lang w:val="en-GB"/>
        </w:rPr>
        <w:t>,</w:t>
      </w:r>
      <w:r w:rsidR="004951DA" w:rsidRPr="00C51293">
        <w:rPr>
          <w:lang w:val="en-GB"/>
        </w:rPr>
        <w:t xml:space="preserve"> underscoring why state averages can hide sharp intra-state disparities (</w:t>
      </w:r>
      <w:proofErr w:type="spellStart"/>
      <w:r w:rsidR="004951DA" w:rsidRPr="00C51293">
        <w:rPr>
          <w:lang w:val="en-GB"/>
        </w:rPr>
        <w:t>Dandona</w:t>
      </w:r>
      <w:proofErr w:type="spellEnd"/>
      <w:r w:rsidR="004951DA" w:rsidRPr="00C51293">
        <w:rPr>
          <w:lang w:val="en-GB"/>
        </w:rPr>
        <w:t xml:space="preserve"> et al., 2024). </w:t>
      </w:r>
      <w:r w:rsidRPr="00B07519">
        <w:rPr>
          <w:color w:val="auto"/>
          <w:kern w:val="0"/>
          <w:lang w:val="en-GB" w:eastAsia="en-US"/>
        </w:rPr>
        <w:t xml:space="preserve"> District-level evidence shows sizeable inequality and spatial clustering in RMNCH coverage, indicating that progress in maternal and child health is not evenly distributed even within the same national policy framework (Panda et al., 2020). This matters for gender and human development because maternal health is an intrinsically gendered capability domain: the quality and continuity of antenatal care, safe delivery, and postnatal support determine whether pregnancy and childbirth are navigated as safe life events or as periods of heightened risk, with consequences for women’s survival, morbidity, and agency. The same spatial patterning also shapes newborn and early-childhood capabilities by influencing timely care and preventive services, thereby linking women’s health to intergenerational development trajectories (Panda et al., 2020).</w:t>
      </w:r>
    </w:p>
    <w:p w:rsidR="00B07519" w:rsidRPr="00B07519" w:rsidRDefault="00B07519" w:rsidP="00C1102F">
      <w:pPr>
        <w:spacing w:before="100" w:beforeAutospacing="1" w:after="100" w:afterAutospacing="1" w:line="240" w:lineRule="auto"/>
        <w:ind w:left="0" w:right="0" w:firstLine="0"/>
        <w:rPr>
          <w:color w:val="auto"/>
          <w:kern w:val="0"/>
          <w:lang w:val="en-GB" w:eastAsia="en-US"/>
        </w:rPr>
      </w:pPr>
      <w:r w:rsidRPr="00B07519">
        <w:rPr>
          <w:color w:val="auto"/>
          <w:kern w:val="0"/>
          <w:lang w:val="en-GB" w:eastAsia="en-US"/>
        </w:rPr>
        <w:t xml:space="preserve">The evidence </w:t>
      </w:r>
      <w:r w:rsidRPr="00565594">
        <w:rPr>
          <w:color w:val="auto"/>
          <w:kern w:val="0"/>
          <w:highlight w:val="yellow"/>
          <w:lang w:val="en-GB" w:eastAsia="en-US"/>
        </w:rPr>
        <w:t xml:space="preserve">on </w:t>
      </w:r>
      <w:r w:rsidR="004644EB" w:rsidRPr="00565594">
        <w:rPr>
          <w:color w:val="auto"/>
          <w:kern w:val="0"/>
          <w:highlight w:val="yellow"/>
          <w:lang w:val="en-GB" w:eastAsia="en-US"/>
        </w:rPr>
        <w:t>immuni</w:t>
      </w:r>
      <w:r w:rsidR="004644EB" w:rsidRPr="00565594">
        <w:rPr>
          <w:color w:val="auto"/>
          <w:kern w:val="0"/>
          <w:highlight w:val="yellow"/>
          <w:lang w:val="en-GB" w:eastAsia="en-US"/>
        </w:rPr>
        <w:t>s</w:t>
      </w:r>
      <w:r w:rsidR="004644EB" w:rsidRPr="00565594">
        <w:rPr>
          <w:color w:val="auto"/>
          <w:kern w:val="0"/>
          <w:highlight w:val="yellow"/>
          <w:lang w:val="en-GB" w:eastAsia="en-US"/>
        </w:rPr>
        <w:t xml:space="preserve">ation </w:t>
      </w:r>
      <w:r w:rsidRPr="00565594">
        <w:rPr>
          <w:color w:val="auto"/>
          <w:kern w:val="0"/>
          <w:highlight w:val="yellow"/>
          <w:lang w:val="en-GB" w:eastAsia="en-US"/>
        </w:rPr>
        <w:t>adds an</w:t>
      </w:r>
      <w:r w:rsidRPr="00B07519">
        <w:rPr>
          <w:color w:val="auto"/>
          <w:kern w:val="0"/>
          <w:lang w:val="en-GB" w:eastAsia="en-US"/>
        </w:rPr>
        <w:t xml:space="preserve"> important layer to this spatial story. Small-area analysis of child under-vaccination reveals meaningful variation not only across states and districts but also across thousands of local clusters, suggesting that last-mile barriers—trust, information, outreach effectiveness, and local access—can create concentrated pockets of low coverage (Johri et al., 2024). From a gender lens, these clustered patterns are consequential because women are often the primary managers of child health, yet their ability to act on health knowledge depends on mobility, time availability, and household decision-making power. Where services are locally weak or social barriers are locally strong, women’s caregiving roles can become sources of stress and constraint rather than empowerment, reinforcing gendered capability deprivation and spatial inequality (Johri et al., 2024).</w:t>
      </w:r>
    </w:p>
    <w:p w:rsidR="00B07519" w:rsidRPr="00B07519" w:rsidRDefault="00B07519" w:rsidP="00C1102F">
      <w:pPr>
        <w:spacing w:before="100" w:beforeAutospacing="1" w:after="100" w:afterAutospacing="1" w:line="240" w:lineRule="auto"/>
        <w:ind w:left="0" w:right="0" w:firstLine="0"/>
        <w:rPr>
          <w:color w:val="auto"/>
          <w:kern w:val="0"/>
          <w:lang w:val="en-GB" w:eastAsia="en-US"/>
        </w:rPr>
      </w:pPr>
      <w:r w:rsidRPr="00B07519">
        <w:rPr>
          <w:color w:val="auto"/>
          <w:kern w:val="0"/>
          <w:lang w:val="en-GB" w:eastAsia="en-US"/>
        </w:rPr>
        <w:t xml:space="preserve">A further gendered pathway connecting health and regional inequality is violence and coercion. Evidence linking domestic violence with chronic malnutrition among women and children in India highlights that safety is not merely a rights issue but a development determinant, shaping nutritional status and related health outcomes (Ackerson &amp; Subramanian, 2008). Because the prevalence </w:t>
      </w:r>
      <w:r w:rsidRPr="00565594">
        <w:rPr>
          <w:color w:val="auto"/>
          <w:kern w:val="0"/>
          <w:highlight w:val="yellow"/>
          <w:lang w:val="en-GB" w:eastAsia="en-US"/>
        </w:rPr>
        <w:t xml:space="preserve">and </w:t>
      </w:r>
      <w:r w:rsidR="004644EB" w:rsidRPr="00565594">
        <w:rPr>
          <w:color w:val="auto"/>
          <w:kern w:val="0"/>
          <w:highlight w:val="yellow"/>
          <w:lang w:val="en-GB" w:eastAsia="en-US"/>
        </w:rPr>
        <w:t>normali</w:t>
      </w:r>
      <w:r w:rsidR="004644EB" w:rsidRPr="00565594">
        <w:rPr>
          <w:color w:val="auto"/>
          <w:kern w:val="0"/>
          <w:highlight w:val="yellow"/>
          <w:lang w:val="en-GB" w:eastAsia="en-US"/>
        </w:rPr>
        <w:t>s</w:t>
      </w:r>
      <w:r w:rsidR="004644EB" w:rsidRPr="00565594">
        <w:rPr>
          <w:color w:val="auto"/>
          <w:kern w:val="0"/>
          <w:highlight w:val="yellow"/>
          <w:lang w:val="en-GB" w:eastAsia="en-US"/>
        </w:rPr>
        <w:t xml:space="preserve">ation </w:t>
      </w:r>
      <w:r w:rsidRPr="00565594">
        <w:rPr>
          <w:color w:val="auto"/>
          <w:kern w:val="0"/>
          <w:highlight w:val="yellow"/>
          <w:lang w:val="en-GB" w:eastAsia="en-US"/>
        </w:rPr>
        <w:t>of domesti</w:t>
      </w:r>
      <w:r w:rsidRPr="00B07519">
        <w:rPr>
          <w:color w:val="auto"/>
          <w:kern w:val="0"/>
          <w:lang w:val="en-GB" w:eastAsia="en-US"/>
        </w:rPr>
        <w:t>c violence can vary across communities and localities, this mechanism can contribute to spatially differentiated patterns of poor nutrition and health capability deprivation, even where service coverage improves. The implication is that health capability expansion across regions cannot be fully explained by infrastructure and service inputs alone; it must also account for gendered insecurity that conditions women’s ability to protect their own health and that of their children (Ackerson &amp; Subramanian, 2008).</w:t>
      </w:r>
    </w:p>
    <w:p w:rsidR="00B07519" w:rsidRPr="00B07519" w:rsidRDefault="00B07519" w:rsidP="00C1102F">
      <w:pPr>
        <w:spacing w:before="100" w:beforeAutospacing="1" w:after="100" w:afterAutospacing="1" w:line="240" w:lineRule="auto"/>
        <w:ind w:left="0" w:right="0" w:firstLine="0"/>
        <w:outlineLvl w:val="2"/>
        <w:rPr>
          <w:b/>
          <w:bCs/>
          <w:color w:val="auto"/>
          <w:kern w:val="0"/>
          <w:sz w:val="27"/>
          <w:szCs w:val="27"/>
          <w:lang w:val="en-GB" w:eastAsia="en-US"/>
        </w:rPr>
      </w:pPr>
      <w:r w:rsidRPr="00B07519">
        <w:rPr>
          <w:b/>
          <w:bCs/>
          <w:color w:val="auto"/>
          <w:kern w:val="0"/>
          <w:sz w:val="27"/>
          <w:szCs w:val="27"/>
          <w:lang w:val="en-GB" w:eastAsia="en-US"/>
        </w:rPr>
        <w:lastRenderedPageBreak/>
        <w:t>5.2 Education and the spatial reproduction of gender disadvantage</w:t>
      </w:r>
    </w:p>
    <w:p w:rsidR="00B07519" w:rsidRPr="00B07519" w:rsidRDefault="00B07519" w:rsidP="00C1102F">
      <w:pPr>
        <w:spacing w:before="100" w:beforeAutospacing="1" w:after="100" w:afterAutospacing="1" w:line="240" w:lineRule="auto"/>
        <w:ind w:left="0" w:right="0" w:firstLine="0"/>
        <w:rPr>
          <w:color w:val="auto"/>
          <w:kern w:val="0"/>
          <w:lang w:val="en-GB" w:eastAsia="en-US"/>
        </w:rPr>
      </w:pPr>
      <w:r w:rsidRPr="00B07519">
        <w:rPr>
          <w:color w:val="auto"/>
          <w:kern w:val="0"/>
          <w:lang w:val="en-GB" w:eastAsia="en-US"/>
        </w:rPr>
        <w:t xml:space="preserve">Education is often treated as a central lever for human development, but its gendered returns are mediated by regionally varying social institutions. Research on gender inequality in education </w:t>
      </w:r>
      <w:r w:rsidR="004644EB" w:rsidRPr="00565594">
        <w:rPr>
          <w:color w:val="auto"/>
          <w:kern w:val="0"/>
          <w:highlight w:val="yellow"/>
          <w:lang w:val="en-GB" w:eastAsia="en-US"/>
        </w:rPr>
        <w:t>emphasi</w:t>
      </w:r>
      <w:r w:rsidR="004644EB" w:rsidRPr="00565594">
        <w:rPr>
          <w:color w:val="auto"/>
          <w:kern w:val="0"/>
          <w:highlight w:val="yellow"/>
          <w:lang w:val="en-GB" w:eastAsia="en-US"/>
        </w:rPr>
        <w:t>s</w:t>
      </w:r>
      <w:r w:rsidR="004644EB" w:rsidRPr="00565594">
        <w:rPr>
          <w:color w:val="auto"/>
          <w:kern w:val="0"/>
          <w:highlight w:val="yellow"/>
          <w:lang w:val="en-GB" w:eastAsia="en-US"/>
        </w:rPr>
        <w:t xml:space="preserve">es </w:t>
      </w:r>
      <w:r w:rsidRPr="00565594">
        <w:rPr>
          <w:color w:val="auto"/>
          <w:kern w:val="0"/>
          <w:highlight w:val="yellow"/>
          <w:lang w:val="en-GB" w:eastAsia="en-US"/>
        </w:rPr>
        <w:t>the r</w:t>
      </w:r>
      <w:r w:rsidRPr="00B07519">
        <w:rPr>
          <w:color w:val="auto"/>
          <w:kern w:val="0"/>
          <w:lang w:val="en-GB" w:eastAsia="en-US"/>
        </w:rPr>
        <w:t>ole of kinship norms, showing that family systems and social expectations shape girls’ educational trajectories and the extent to which schooling is supported or curtailed (</w:t>
      </w:r>
      <w:proofErr w:type="spellStart"/>
      <w:r w:rsidRPr="00B07519">
        <w:rPr>
          <w:color w:val="auto"/>
          <w:kern w:val="0"/>
          <w:lang w:val="en-GB" w:eastAsia="en-US"/>
        </w:rPr>
        <w:t>Rammohan</w:t>
      </w:r>
      <w:proofErr w:type="spellEnd"/>
      <w:r w:rsidRPr="00B07519">
        <w:rPr>
          <w:color w:val="auto"/>
          <w:kern w:val="0"/>
          <w:lang w:val="en-GB" w:eastAsia="en-US"/>
        </w:rPr>
        <w:t xml:space="preserve"> &amp; Vu, 2018). This is important for understanding inter-regional variation because kinship regimes themselves vary across India, influencing the perceived benefits of educating girls, the opportunity costs of continued schooling, and the social acceptability of girls’ mobility and aspirations. Consequently, two regions with similar school </w:t>
      </w:r>
      <w:proofErr w:type="spellStart"/>
      <w:r w:rsidRPr="00B07519">
        <w:rPr>
          <w:color w:val="auto"/>
          <w:kern w:val="0"/>
          <w:lang w:val="en-GB" w:eastAsia="en-US"/>
        </w:rPr>
        <w:t>enrollment</w:t>
      </w:r>
      <w:proofErr w:type="spellEnd"/>
      <w:r w:rsidRPr="00B07519">
        <w:rPr>
          <w:color w:val="auto"/>
          <w:kern w:val="0"/>
          <w:lang w:val="en-GB" w:eastAsia="en-US"/>
        </w:rPr>
        <w:t xml:space="preserve"> statistics may differ substantially in the lived capability expansion that education represents—whether schooling delays early marriage, expands social networks, increases bargaining power, or translates into economic opportunities (</w:t>
      </w:r>
      <w:proofErr w:type="spellStart"/>
      <w:r w:rsidRPr="00B07519">
        <w:rPr>
          <w:color w:val="auto"/>
          <w:kern w:val="0"/>
          <w:lang w:val="en-GB" w:eastAsia="en-US"/>
        </w:rPr>
        <w:t>Rammohan</w:t>
      </w:r>
      <w:proofErr w:type="spellEnd"/>
      <w:r w:rsidRPr="00B07519">
        <w:rPr>
          <w:color w:val="auto"/>
          <w:kern w:val="0"/>
          <w:lang w:val="en-GB" w:eastAsia="en-US"/>
        </w:rPr>
        <w:t xml:space="preserve"> &amp; Vu, 2018).</w:t>
      </w:r>
      <w:r w:rsidR="00220ADF" w:rsidRPr="00C51293">
        <w:rPr>
          <w:color w:val="auto"/>
          <w:kern w:val="0"/>
          <w:lang w:val="en-GB" w:eastAsia="en-US"/>
        </w:rPr>
        <w:t xml:space="preserve"> </w:t>
      </w:r>
      <w:r w:rsidR="00220ADF" w:rsidRPr="00C51293">
        <w:rPr>
          <w:lang w:val="en-GB"/>
        </w:rPr>
        <w:t xml:space="preserve">Recent state-level evidence also confirms sharp interstate unevenness in girls’ educational progression: composite </w:t>
      </w:r>
      <w:r w:rsidR="00220ADF" w:rsidRPr="00565594">
        <w:rPr>
          <w:highlight w:val="yellow"/>
          <w:lang w:val="en-GB"/>
        </w:rPr>
        <w:t>NFHS-</w:t>
      </w:r>
      <w:r w:rsidR="004644EB" w:rsidRPr="00565594">
        <w:rPr>
          <w:highlight w:val="yellow"/>
          <w:lang w:val="en-GB"/>
        </w:rPr>
        <w:t>V</w:t>
      </w:r>
      <w:r w:rsidR="004644EB" w:rsidRPr="00565594">
        <w:rPr>
          <w:highlight w:val="yellow"/>
          <w:lang w:val="en-GB"/>
        </w:rPr>
        <w:t>-</w:t>
      </w:r>
      <w:r w:rsidR="00220ADF" w:rsidRPr="00565594">
        <w:rPr>
          <w:highlight w:val="yellow"/>
          <w:lang w:val="en-GB"/>
        </w:rPr>
        <w:t>based</w:t>
      </w:r>
      <w:r w:rsidR="00220ADF" w:rsidRPr="00C51293">
        <w:rPr>
          <w:lang w:val="en-GB"/>
        </w:rPr>
        <w:t xml:space="preserve"> estimates show large gaps in female educational attainment across states, while panel evidence indicates that gender parity achieved </w:t>
      </w:r>
      <w:r w:rsidR="00220ADF" w:rsidRPr="00565594">
        <w:rPr>
          <w:highlight w:val="yellow"/>
          <w:lang w:val="en-GB"/>
        </w:rPr>
        <w:t xml:space="preserve">at </w:t>
      </w:r>
      <w:r w:rsidR="004644EB" w:rsidRPr="00565594">
        <w:rPr>
          <w:highlight w:val="yellow"/>
          <w:lang w:val="en-GB"/>
        </w:rPr>
        <w:t xml:space="preserve">the </w:t>
      </w:r>
      <w:r w:rsidR="00220ADF" w:rsidRPr="00565594">
        <w:rPr>
          <w:highlight w:val="yellow"/>
          <w:lang w:val="en-GB"/>
        </w:rPr>
        <w:t>primary leve</w:t>
      </w:r>
      <w:r w:rsidR="00220ADF" w:rsidRPr="00C51293">
        <w:rPr>
          <w:lang w:val="en-GB"/>
        </w:rPr>
        <w:t xml:space="preserve">l often weakens again at secondary and higher secondary stages, underscoring the need for state-specific retention strategies (Sharma &amp; </w:t>
      </w:r>
      <w:proofErr w:type="spellStart"/>
      <w:r w:rsidR="00220ADF" w:rsidRPr="00C51293">
        <w:rPr>
          <w:lang w:val="en-GB"/>
        </w:rPr>
        <w:t>Maiti</w:t>
      </w:r>
      <w:proofErr w:type="spellEnd"/>
      <w:r w:rsidR="00220ADF" w:rsidRPr="00C51293">
        <w:rPr>
          <w:lang w:val="en-GB"/>
        </w:rPr>
        <w:t xml:space="preserve">, 2026; Yadav, 2026). </w:t>
      </w:r>
    </w:p>
    <w:p w:rsidR="00B07519" w:rsidRPr="00B07519" w:rsidRDefault="00B07519" w:rsidP="00C1102F">
      <w:pPr>
        <w:spacing w:before="100" w:beforeAutospacing="1" w:after="100" w:afterAutospacing="1" w:line="240" w:lineRule="auto"/>
        <w:ind w:left="0" w:right="0" w:firstLine="0"/>
        <w:rPr>
          <w:color w:val="auto"/>
          <w:kern w:val="0"/>
          <w:lang w:val="en-GB" w:eastAsia="en-US"/>
        </w:rPr>
      </w:pPr>
      <w:r w:rsidRPr="00B07519">
        <w:rPr>
          <w:color w:val="auto"/>
          <w:kern w:val="0"/>
          <w:lang w:val="en-GB" w:eastAsia="en-US"/>
        </w:rPr>
        <w:t>Moreover, education is not only a standalone capability; it shapes conversion in other domains. Women’s literacy and schooling can strengthen health-seeking, enable interpretation of health information, and expand confidence in engaging institutions. Yet, where schooling is embedded in restrictive gender regimes, its conversion into voice and economic agency can be constrained. The regional implication is that education policy must be interpreted within local institutional contexts; otherwise, apparent convergence in educational indicators may coexist with persistent divergence in broader gendered human development outcomes (</w:t>
      </w:r>
      <w:proofErr w:type="spellStart"/>
      <w:r w:rsidRPr="00B07519">
        <w:rPr>
          <w:color w:val="auto"/>
          <w:kern w:val="0"/>
          <w:lang w:val="en-GB" w:eastAsia="en-US"/>
        </w:rPr>
        <w:t>Rammohan</w:t>
      </w:r>
      <w:proofErr w:type="spellEnd"/>
      <w:r w:rsidRPr="00B07519">
        <w:rPr>
          <w:color w:val="auto"/>
          <w:kern w:val="0"/>
          <w:lang w:val="en-GB" w:eastAsia="en-US"/>
        </w:rPr>
        <w:t xml:space="preserve"> &amp; Vu, 2018).</w:t>
      </w:r>
    </w:p>
    <w:p w:rsidR="00B07519" w:rsidRPr="00B07519" w:rsidRDefault="00B07519" w:rsidP="00C1102F">
      <w:pPr>
        <w:spacing w:before="100" w:beforeAutospacing="1" w:after="100" w:afterAutospacing="1" w:line="240" w:lineRule="auto"/>
        <w:ind w:left="0" w:right="0" w:firstLine="0"/>
        <w:outlineLvl w:val="2"/>
        <w:rPr>
          <w:b/>
          <w:bCs/>
          <w:color w:val="auto"/>
          <w:kern w:val="0"/>
          <w:sz w:val="27"/>
          <w:szCs w:val="27"/>
          <w:lang w:val="en-GB" w:eastAsia="en-US"/>
        </w:rPr>
      </w:pPr>
      <w:r w:rsidRPr="00B07519">
        <w:rPr>
          <w:b/>
          <w:bCs/>
          <w:color w:val="auto"/>
          <w:kern w:val="0"/>
          <w:sz w:val="27"/>
          <w:szCs w:val="27"/>
          <w:lang w:val="en-GB" w:eastAsia="en-US"/>
        </w:rPr>
        <w:t>5.3 Work, income, and economic agency as gendered capabilities</w:t>
      </w:r>
    </w:p>
    <w:p w:rsidR="00B07519" w:rsidRPr="00B07519" w:rsidRDefault="00B07519" w:rsidP="00C1102F">
      <w:pPr>
        <w:spacing w:before="100" w:beforeAutospacing="1" w:after="100" w:afterAutospacing="1" w:line="240" w:lineRule="auto"/>
        <w:ind w:left="0" w:right="0" w:firstLine="0"/>
        <w:rPr>
          <w:color w:val="auto"/>
          <w:kern w:val="0"/>
          <w:lang w:val="en-GB" w:eastAsia="en-US"/>
        </w:rPr>
      </w:pPr>
      <w:r w:rsidRPr="00B07519">
        <w:rPr>
          <w:color w:val="auto"/>
          <w:kern w:val="0"/>
          <w:lang w:val="en-GB" w:eastAsia="en-US"/>
        </w:rPr>
        <w:t xml:space="preserve">Women’s paid work is a crucial pathway through which education and health can translate into autonomy and improved living standards, but the geography of women’s employment in India is strikingly uneven. District-level mapping using small area estimation demonstrates pronounced regional variation in women’s work participation and cash earnings, </w:t>
      </w:r>
      <w:r w:rsidR="004644EB" w:rsidRPr="00565594">
        <w:rPr>
          <w:color w:val="auto"/>
          <w:kern w:val="0"/>
          <w:highlight w:val="yellow"/>
          <w:lang w:val="en-GB" w:eastAsia="en-US"/>
        </w:rPr>
        <w:t>emphasi</w:t>
      </w:r>
      <w:r w:rsidR="004644EB" w:rsidRPr="00565594">
        <w:rPr>
          <w:color w:val="auto"/>
          <w:kern w:val="0"/>
          <w:highlight w:val="yellow"/>
          <w:lang w:val="en-GB" w:eastAsia="en-US"/>
        </w:rPr>
        <w:t>s</w:t>
      </w:r>
      <w:r w:rsidR="004644EB" w:rsidRPr="00565594">
        <w:rPr>
          <w:color w:val="auto"/>
          <w:kern w:val="0"/>
          <w:highlight w:val="yellow"/>
          <w:lang w:val="en-GB" w:eastAsia="en-US"/>
        </w:rPr>
        <w:t xml:space="preserve">ing </w:t>
      </w:r>
      <w:r w:rsidRPr="00565594">
        <w:rPr>
          <w:color w:val="auto"/>
          <w:kern w:val="0"/>
          <w:highlight w:val="yellow"/>
          <w:lang w:val="en-GB" w:eastAsia="en-US"/>
        </w:rPr>
        <w:t>that wom</w:t>
      </w:r>
      <w:r w:rsidRPr="00B07519">
        <w:rPr>
          <w:color w:val="auto"/>
          <w:kern w:val="0"/>
          <w:lang w:val="en-GB" w:eastAsia="en-US"/>
        </w:rPr>
        <w:t>en’s economic capability is strongly shaped by place-specific opportunity structures and constraints (Srivastava et al., 2025). This evidence is significant for a human development review because work is not just a labo</w:t>
      </w:r>
      <w:r w:rsidR="004644EB">
        <w:rPr>
          <w:color w:val="auto"/>
          <w:kern w:val="0"/>
          <w:lang w:val="en-GB" w:eastAsia="en-US"/>
        </w:rPr>
        <w:t>u</w:t>
      </w:r>
      <w:r w:rsidRPr="00B07519">
        <w:rPr>
          <w:color w:val="auto"/>
          <w:kern w:val="0"/>
          <w:lang w:val="en-GB" w:eastAsia="en-US"/>
        </w:rPr>
        <w:t>r market statistic; it reflects whether women can convert time, skills, and aspirations into income and bargaining power.</w:t>
      </w:r>
    </w:p>
    <w:p w:rsidR="00B07519" w:rsidRPr="00B07519" w:rsidRDefault="00B07519" w:rsidP="00C1102F">
      <w:pPr>
        <w:spacing w:before="100" w:beforeAutospacing="1" w:after="100" w:afterAutospacing="1" w:line="240" w:lineRule="auto"/>
        <w:ind w:left="0" w:right="0" w:firstLine="0"/>
        <w:rPr>
          <w:color w:val="auto"/>
          <w:kern w:val="0"/>
          <w:lang w:val="en-GB" w:eastAsia="en-US"/>
        </w:rPr>
      </w:pPr>
      <w:r w:rsidRPr="00B07519">
        <w:rPr>
          <w:color w:val="auto"/>
          <w:kern w:val="0"/>
          <w:lang w:val="en-GB" w:eastAsia="en-US"/>
        </w:rPr>
        <w:t xml:space="preserve">Regional differences in women’s work participation can emerge from multiple interacting factors: the availability of suitable jobs, the structure of local economies, commuting and safety conditions, and norms about the acceptability of women’s employment. </w:t>
      </w:r>
      <w:r w:rsidR="006F1ABF">
        <w:t xml:space="preserve">Recent district-level mapping of women’s work participation using small-area estimation finds </w:t>
      </w:r>
      <w:r w:rsidR="006F1ABF" w:rsidRPr="006F1ABF">
        <w:rPr>
          <w:rStyle w:val="Strong"/>
          <w:b w:val="0"/>
        </w:rPr>
        <w:t>pronounced spatial heterogeneity and clustering</w:t>
      </w:r>
      <w:r w:rsidR="006F1ABF" w:rsidRPr="006F1ABF">
        <w:rPr>
          <w:b/>
        </w:rPr>
        <w:t>,</w:t>
      </w:r>
      <w:r w:rsidR="006F1ABF">
        <w:t xml:space="preserve"> with systematically lower women’s work and cash-earning prevalence in many central/eastern/northern districts relative to much of the south, reinforcing the need for sub-state analysis of gendered livelihoods (Srivastava et al., 2025). </w:t>
      </w:r>
      <w:r w:rsidRPr="00B07519">
        <w:rPr>
          <w:color w:val="auto"/>
          <w:kern w:val="0"/>
          <w:lang w:val="en-GB" w:eastAsia="en-US"/>
        </w:rPr>
        <w:t xml:space="preserve">Where opportunities are scarce or socially discouraged, women may be pushed into unpaid or low-return activities, limiting the capability expansion associated with work. Conversely, where women’s work is more feasible and socially legitimate, employment can </w:t>
      </w:r>
      <w:r w:rsidRPr="00B07519">
        <w:rPr>
          <w:color w:val="auto"/>
          <w:kern w:val="0"/>
          <w:lang w:val="en-GB" w:eastAsia="en-US"/>
        </w:rPr>
        <w:lastRenderedPageBreak/>
        <w:t>act as a multiplier—enhancing decision-making power, increasing resilience to shocks, and strengthening the intergenerational benefits of women’s education and health investments (Srivastava et al., 2025). The spatial distribution of women’s work thus contributes to inter-regional variation not only in incomes but in agency and voice, making it a pivotal gendered component of human development across India (Srivastava et al., 2025).</w:t>
      </w:r>
    </w:p>
    <w:p w:rsidR="00B07519" w:rsidRPr="00B07519" w:rsidRDefault="00B07519" w:rsidP="00C1102F">
      <w:pPr>
        <w:spacing w:before="100" w:beforeAutospacing="1" w:after="100" w:afterAutospacing="1" w:line="240" w:lineRule="auto"/>
        <w:ind w:left="0" w:right="0" w:firstLine="0"/>
        <w:outlineLvl w:val="2"/>
        <w:rPr>
          <w:b/>
          <w:bCs/>
          <w:color w:val="auto"/>
          <w:kern w:val="0"/>
          <w:sz w:val="27"/>
          <w:szCs w:val="27"/>
          <w:lang w:val="en-GB" w:eastAsia="en-US"/>
        </w:rPr>
      </w:pPr>
      <w:r w:rsidRPr="00B07519">
        <w:rPr>
          <w:b/>
          <w:bCs/>
          <w:color w:val="auto"/>
          <w:kern w:val="0"/>
          <w:sz w:val="27"/>
          <w:szCs w:val="27"/>
          <w:lang w:val="en-GB" w:eastAsia="en-US"/>
        </w:rPr>
        <w:t>5.4 Voice, safety, and intra-household power</w:t>
      </w:r>
    </w:p>
    <w:p w:rsidR="00B07519" w:rsidRPr="00B07519" w:rsidRDefault="00B07519" w:rsidP="00C1102F">
      <w:pPr>
        <w:spacing w:before="100" w:beforeAutospacing="1" w:after="100" w:afterAutospacing="1" w:line="240" w:lineRule="auto"/>
        <w:ind w:left="0" w:right="0" w:firstLine="0"/>
        <w:rPr>
          <w:color w:val="auto"/>
          <w:kern w:val="0"/>
          <w:lang w:val="en-GB" w:eastAsia="en-US"/>
        </w:rPr>
      </w:pPr>
      <w:r w:rsidRPr="00B07519">
        <w:rPr>
          <w:color w:val="auto"/>
          <w:kern w:val="0"/>
          <w:lang w:val="en-GB" w:eastAsia="en-US"/>
        </w:rPr>
        <w:t>Capabilities depend on the ability to exercise choice, and this makes autonomy and decision-making central to gendered human development. Evidence on women’s autonomy in household decision-making highlights how agency is patterned by social context and how it can shape health and family outcomes through bargaining, mobility, and control over resources (Acharya et al., 2010). While autonomy is not always directly measured in standard human development metrics, it functions as a critical conversion factor: the same service availability or household income can translate into different outcomes depending on whether women can decide to seek care, invest in nutrition, or allocate time to education and work (Acharya et al., 2010).</w:t>
      </w:r>
    </w:p>
    <w:p w:rsidR="00B07519" w:rsidRPr="00B07519" w:rsidRDefault="00B07519" w:rsidP="00C1102F">
      <w:pPr>
        <w:spacing w:before="100" w:beforeAutospacing="1" w:after="100" w:afterAutospacing="1" w:line="240" w:lineRule="auto"/>
        <w:ind w:left="0" w:right="0" w:firstLine="0"/>
        <w:rPr>
          <w:color w:val="auto"/>
          <w:kern w:val="0"/>
          <w:lang w:val="en-GB" w:eastAsia="en-US"/>
        </w:rPr>
      </w:pPr>
      <w:r w:rsidRPr="00B07519">
        <w:rPr>
          <w:color w:val="auto"/>
          <w:kern w:val="0"/>
          <w:lang w:val="en-GB" w:eastAsia="en-US"/>
        </w:rPr>
        <w:t>Safety is a closely linked dimension. The demonstrated association between domestic violence and chronic malnutrition among women and children underscores that coercion can operate as a structural barrier to capability expansion, affecting health and nutrition through pathways that include stress, restricted access to food and care, and diminished bargaining power (Ackerson &amp; Subramanian, 2008). When such constraints cluster geographically—through locally entrenched norms or weak protective institutions—they can generate regional patterns of capability deprivation that persist even amidst improvements in infrastructure or service coverage. Thus, understanding inter-regional variation in gender and human development requires treating autonomy and safety as foundational, not peripheral, components of the development process (Acharya et al., 2010; Ackerson &amp; Subramanian, 2008).</w:t>
      </w:r>
    </w:p>
    <w:p w:rsidR="009333FF" w:rsidRPr="00C51293" w:rsidRDefault="009333FF" w:rsidP="00C1102F">
      <w:pPr>
        <w:rPr>
          <w:lang w:val="en-GB"/>
        </w:rPr>
      </w:pPr>
    </w:p>
    <w:p w:rsidR="004754A5" w:rsidRPr="004754A5" w:rsidRDefault="004754A5" w:rsidP="00C1102F">
      <w:pPr>
        <w:spacing w:before="100" w:beforeAutospacing="1" w:after="100" w:afterAutospacing="1" w:line="240" w:lineRule="auto"/>
        <w:ind w:left="0" w:right="0" w:firstLine="0"/>
        <w:outlineLvl w:val="1"/>
        <w:rPr>
          <w:b/>
          <w:bCs/>
          <w:color w:val="auto"/>
          <w:kern w:val="0"/>
          <w:sz w:val="36"/>
          <w:szCs w:val="36"/>
          <w:lang w:val="en-GB" w:eastAsia="en-US"/>
        </w:rPr>
      </w:pPr>
      <w:r w:rsidRPr="004754A5">
        <w:rPr>
          <w:b/>
          <w:bCs/>
          <w:color w:val="auto"/>
          <w:kern w:val="0"/>
          <w:sz w:val="36"/>
          <w:szCs w:val="36"/>
          <w:lang w:val="en-GB" w:eastAsia="en-US"/>
        </w:rPr>
        <w:t>6. Explaining the geography: mechanisms linking gender and human development</w:t>
      </w:r>
    </w:p>
    <w:p w:rsidR="004754A5" w:rsidRPr="004754A5" w:rsidRDefault="004754A5" w:rsidP="00C1102F">
      <w:pPr>
        <w:spacing w:before="100" w:beforeAutospacing="1" w:after="100" w:afterAutospacing="1" w:line="240" w:lineRule="auto"/>
        <w:ind w:left="0" w:right="0" w:firstLine="0"/>
        <w:outlineLvl w:val="2"/>
        <w:rPr>
          <w:b/>
          <w:bCs/>
          <w:color w:val="auto"/>
          <w:kern w:val="0"/>
          <w:sz w:val="27"/>
          <w:szCs w:val="27"/>
          <w:lang w:val="en-GB" w:eastAsia="en-US"/>
        </w:rPr>
      </w:pPr>
      <w:r w:rsidRPr="004754A5">
        <w:rPr>
          <w:b/>
          <w:bCs/>
          <w:color w:val="auto"/>
          <w:kern w:val="0"/>
          <w:sz w:val="27"/>
          <w:szCs w:val="27"/>
          <w:lang w:val="en-GB" w:eastAsia="en-US"/>
        </w:rPr>
        <w:t>6.1 Norms, kinship regimes, and gendered conversion factors</w:t>
      </w:r>
    </w:p>
    <w:p w:rsidR="004754A5" w:rsidRPr="004754A5" w:rsidRDefault="004754A5" w:rsidP="00C1102F">
      <w:pPr>
        <w:spacing w:before="100" w:beforeAutospacing="1" w:after="100" w:afterAutospacing="1" w:line="240" w:lineRule="auto"/>
        <w:ind w:left="0" w:right="0" w:firstLine="0"/>
        <w:rPr>
          <w:color w:val="auto"/>
          <w:kern w:val="0"/>
          <w:lang w:val="en-GB" w:eastAsia="en-US"/>
        </w:rPr>
      </w:pPr>
      <w:r w:rsidRPr="004754A5">
        <w:rPr>
          <w:color w:val="auto"/>
          <w:kern w:val="0"/>
          <w:lang w:val="en-GB" w:eastAsia="en-US"/>
        </w:rPr>
        <w:t>A central mechanism linking gender and human development to geography in India is that social norms and kinship regimes operate as “conversion factors,” shaping how resources, services, and opportunities translate into real freedoms for women and girls. Conceptually, this is why critiques of gender indices are not merely technical: if gender inequalities are produced through institutions and norms, then measurement systems that treat gender as a small bundle of outcomes risk missing the deeper processes that differ across space (</w:t>
      </w:r>
      <w:proofErr w:type="spellStart"/>
      <w:r w:rsidRPr="004754A5">
        <w:rPr>
          <w:color w:val="auto"/>
          <w:kern w:val="0"/>
          <w:lang w:val="en-GB" w:eastAsia="en-US"/>
        </w:rPr>
        <w:t>Bardhan</w:t>
      </w:r>
      <w:proofErr w:type="spellEnd"/>
      <w:r w:rsidRPr="004754A5">
        <w:rPr>
          <w:color w:val="auto"/>
          <w:kern w:val="0"/>
          <w:lang w:val="en-GB" w:eastAsia="en-US"/>
        </w:rPr>
        <w:t xml:space="preserve"> &amp; </w:t>
      </w:r>
      <w:proofErr w:type="spellStart"/>
      <w:r w:rsidRPr="004754A5">
        <w:rPr>
          <w:color w:val="auto"/>
          <w:kern w:val="0"/>
          <w:lang w:val="en-GB" w:eastAsia="en-US"/>
        </w:rPr>
        <w:t>Klasen</w:t>
      </w:r>
      <w:proofErr w:type="spellEnd"/>
      <w:r w:rsidRPr="004754A5">
        <w:rPr>
          <w:color w:val="auto"/>
          <w:kern w:val="0"/>
          <w:lang w:val="en-GB" w:eastAsia="en-US"/>
        </w:rPr>
        <w:t xml:space="preserve">, 1999; </w:t>
      </w:r>
      <w:proofErr w:type="spellStart"/>
      <w:r w:rsidRPr="004754A5">
        <w:rPr>
          <w:color w:val="auto"/>
          <w:kern w:val="0"/>
          <w:lang w:val="en-GB" w:eastAsia="en-US"/>
        </w:rPr>
        <w:t>Klasen</w:t>
      </w:r>
      <w:proofErr w:type="spellEnd"/>
      <w:r w:rsidRPr="004754A5">
        <w:rPr>
          <w:color w:val="auto"/>
          <w:kern w:val="0"/>
          <w:lang w:val="en-GB" w:eastAsia="en-US"/>
        </w:rPr>
        <w:t>, 2006). In India, regional variation in family systems, mobility expectations, inheritance practices, and marriage-related norms can strongly condition whether girls’ schooling is sustained, whether women can access health services without gatekeeping, and whether paid work is feasible without social sanction.</w:t>
      </w:r>
    </w:p>
    <w:p w:rsidR="004754A5" w:rsidRPr="004754A5" w:rsidRDefault="004754A5" w:rsidP="00C1102F">
      <w:pPr>
        <w:spacing w:before="100" w:beforeAutospacing="1" w:after="100" w:afterAutospacing="1" w:line="240" w:lineRule="auto"/>
        <w:ind w:left="0" w:right="0" w:firstLine="0"/>
        <w:rPr>
          <w:color w:val="auto"/>
          <w:kern w:val="0"/>
          <w:lang w:val="en-GB" w:eastAsia="en-US"/>
        </w:rPr>
      </w:pPr>
      <w:r w:rsidRPr="004754A5">
        <w:rPr>
          <w:color w:val="auto"/>
          <w:kern w:val="0"/>
          <w:lang w:val="en-GB" w:eastAsia="en-US"/>
        </w:rPr>
        <w:lastRenderedPageBreak/>
        <w:t>Empirically, the relevance of kinship regimes is evident in research linking gender inequality in education to kinship norms, highlighting that education outcomes are shaped not only by supply-side schooling factors but also by social arrangements that influence the perceived benefits and acceptability of girls’ education (</w:t>
      </w:r>
      <w:proofErr w:type="spellStart"/>
      <w:r w:rsidRPr="004754A5">
        <w:rPr>
          <w:color w:val="auto"/>
          <w:kern w:val="0"/>
          <w:lang w:val="en-GB" w:eastAsia="en-US"/>
        </w:rPr>
        <w:t>Rammohan</w:t>
      </w:r>
      <w:proofErr w:type="spellEnd"/>
      <w:r w:rsidRPr="004754A5">
        <w:rPr>
          <w:color w:val="auto"/>
          <w:kern w:val="0"/>
          <w:lang w:val="en-GB" w:eastAsia="en-US"/>
        </w:rPr>
        <w:t xml:space="preserve"> &amp; Vu, 2018). This matters for regional inequality because kinship norms vary across India’s socio-cultural geographies, creating place-specific constraints on capability formation. Where restrictive norms prevail, the conversion of educational resources into sustained schooling and later-life agency can be weaker, and improvements in educational supply may produce smaller gains in gendered capabilities. Where norms are relatively enabling, similar investments may yield larger returns, potentially widening inter-regional differences unless policy design explicitly addresses norm-based barriers (</w:t>
      </w:r>
      <w:proofErr w:type="spellStart"/>
      <w:r w:rsidRPr="004754A5">
        <w:rPr>
          <w:color w:val="auto"/>
          <w:kern w:val="0"/>
          <w:lang w:val="en-GB" w:eastAsia="en-US"/>
        </w:rPr>
        <w:t>Rammohan</w:t>
      </w:r>
      <w:proofErr w:type="spellEnd"/>
      <w:r w:rsidRPr="004754A5">
        <w:rPr>
          <w:color w:val="auto"/>
          <w:kern w:val="0"/>
          <w:lang w:val="en-GB" w:eastAsia="en-US"/>
        </w:rPr>
        <w:t xml:space="preserve"> &amp; Vu, 2018).</w:t>
      </w:r>
    </w:p>
    <w:p w:rsidR="004754A5" w:rsidRPr="004754A5" w:rsidRDefault="004754A5" w:rsidP="00C1102F">
      <w:pPr>
        <w:spacing w:before="100" w:beforeAutospacing="1" w:after="100" w:afterAutospacing="1" w:line="240" w:lineRule="auto"/>
        <w:ind w:left="0" w:right="0" w:firstLine="0"/>
        <w:rPr>
          <w:color w:val="auto"/>
          <w:kern w:val="0"/>
          <w:lang w:val="en-GB" w:eastAsia="en-US"/>
        </w:rPr>
      </w:pPr>
      <w:r w:rsidRPr="004754A5">
        <w:rPr>
          <w:color w:val="auto"/>
          <w:kern w:val="0"/>
          <w:lang w:val="en-GB" w:eastAsia="en-US"/>
        </w:rPr>
        <w:t xml:space="preserve">The mechanism extends beyond education into health and nutrition. Gendered power relations can influence whether women can seek antenatal and delivery care in time, whether they can control fertility decisions, and whether they can protect their own nutrition during pregnancy and lactation. In this sense, regional patterns of human development are partly </w:t>
      </w:r>
      <w:proofErr w:type="gramStart"/>
      <w:r w:rsidRPr="004754A5">
        <w:rPr>
          <w:color w:val="auto"/>
          <w:kern w:val="0"/>
          <w:lang w:val="en-GB" w:eastAsia="en-US"/>
        </w:rPr>
        <w:t>patterns</w:t>
      </w:r>
      <w:proofErr w:type="gramEnd"/>
      <w:r w:rsidRPr="004754A5">
        <w:rPr>
          <w:color w:val="auto"/>
          <w:kern w:val="0"/>
          <w:lang w:val="en-GB" w:eastAsia="en-US"/>
        </w:rPr>
        <w:t xml:space="preserve"> of gendered social </w:t>
      </w:r>
      <w:r w:rsidR="004644EB" w:rsidRPr="00565594">
        <w:rPr>
          <w:color w:val="auto"/>
          <w:kern w:val="0"/>
          <w:highlight w:val="yellow"/>
          <w:lang w:val="en-GB" w:eastAsia="en-US"/>
        </w:rPr>
        <w:t>organi</w:t>
      </w:r>
      <w:r w:rsidR="004644EB" w:rsidRPr="00565594">
        <w:rPr>
          <w:color w:val="auto"/>
          <w:kern w:val="0"/>
          <w:highlight w:val="yellow"/>
          <w:lang w:val="en-GB" w:eastAsia="en-US"/>
        </w:rPr>
        <w:t>s</w:t>
      </w:r>
      <w:r w:rsidR="004644EB" w:rsidRPr="00565594">
        <w:rPr>
          <w:color w:val="auto"/>
          <w:kern w:val="0"/>
          <w:highlight w:val="yellow"/>
          <w:lang w:val="en-GB" w:eastAsia="en-US"/>
        </w:rPr>
        <w:t>ation</w:t>
      </w:r>
      <w:r w:rsidRPr="00565594">
        <w:rPr>
          <w:color w:val="auto"/>
          <w:kern w:val="0"/>
          <w:highlight w:val="yellow"/>
          <w:lang w:val="en-GB" w:eastAsia="en-US"/>
        </w:rPr>
        <w:t>, where norms</w:t>
      </w:r>
      <w:r w:rsidRPr="004754A5">
        <w:rPr>
          <w:color w:val="auto"/>
          <w:kern w:val="0"/>
          <w:lang w:val="en-GB" w:eastAsia="en-US"/>
        </w:rPr>
        <w:t xml:space="preserve"> interact with material conditions to shape capability outcomes (</w:t>
      </w:r>
      <w:proofErr w:type="spellStart"/>
      <w:r w:rsidRPr="004754A5">
        <w:rPr>
          <w:color w:val="auto"/>
          <w:kern w:val="0"/>
          <w:lang w:val="en-GB" w:eastAsia="en-US"/>
        </w:rPr>
        <w:t>Bardhan</w:t>
      </w:r>
      <w:proofErr w:type="spellEnd"/>
      <w:r w:rsidRPr="004754A5">
        <w:rPr>
          <w:color w:val="auto"/>
          <w:kern w:val="0"/>
          <w:lang w:val="en-GB" w:eastAsia="en-US"/>
        </w:rPr>
        <w:t xml:space="preserve"> &amp; </w:t>
      </w:r>
      <w:proofErr w:type="spellStart"/>
      <w:r w:rsidRPr="004754A5">
        <w:rPr>
          <w:color w:val="auto"/>
          <w:kern w:val="0"/>
          <w:lang w:val="en-GB" w:eastAsia="en-US"/>
        </w:rPr>
        <w:t>Klasen</w:t>
      </w:r>
      <w:proofErr w:type="spellEnd"/>
      <w:r w:rsidRPr="004754A5">
        <w:rPr>
          <w:color w:val="auto"/>
          <w:kern w:val="0"/>
          <w:lang w:val="en-GB" w:eastAsia="en-US"/>
        </w:rPr>
        <w:t xml:space="preserve">, 1999; </w:t>
      </w:r>
      <w:proofErr w:type="spellStart"/>
      <w:r w:rsidRPr="004754A5">
        <w:rPr>
          <w:color w:val="auto"/>
          <w:kern w:val="0"/>
          <w:lang w:val="en-GB" w:eastAsia="en-US"/>
        </w:rPr>
        <w:t>Klasen</w:t>
      </w:r>
      <w:proofErr w:type="spellEnd"/>
      <w:r w:rsidRPr="004754A5">
        <w:rPr>
          <w:color w:val="auto"/>
          <w:kern w:val="0"/>
          <w:lang w:val="en-GB" w:eastAsia="en-US"/>
        </w:rPr>
        <w:t>, 2006).</w:t>
      </w:r>
    </w:p>
    <w:p w:rsidR="004754A5" w:rsidRPr="004754A5" w:rsidRDefault="004754A5" w:rsidP="00C1102F">
      <w:pPr>
        <w:spacing w:before="100" w:beforeAutospacing="1" w:after="100" w:afterAutospacing="1" w:line="240" w:lineRule="auto"/>
        <w:ind w:left="0" w:right="0" w:firstLine="0"/>
        <w:outlineLvl w:val="2"/>
        <w:rPr>
          <w:b/>
          <w:bCs/>
          <w:color w:val="auto"/>
          <w:kern w:val="0"/>
          <w:sz w:val="27"/>
          <w:szCs w:val="27"/>
          <w:lang w:val="en-GB" w:eastAsia="en-US"/>
        </w:rPr>
      </w:pPr>
      <w:r w:rsidRPr="004754A5">
        <w:rPr>
          <w:b/>
          <w:bCs/>
          <w:color w:val="auto"/>
          <w:kern w:val="0"/>
          <w:sz w:val="27"/>
          <w:szCs w:val="27"/>
          <w:lang w:val="en-GB" w:eastAsia="en-US"/>
        </w:rPr>
        <w:t>6.2 Political economy of public provisioning and implementation capacity</w:t>
      </w:r>
    </w:p>
    <w:p w:rsidR="004754A5" w:rsidRPr="004754A5" w:rsidRDefault="004754A5" w:rsidP="00C1102F">
      <w:pPr>
        <w:spacing w:before="100" w:beforeAutospacing="1" w:after="100" w:afterAutospacing="1" w:line="240" w:lineRule="auto"/>
        <w:ind w:left="0" w:right="0" w:firstLine="0"/>
        <w:rPr>
          <w:color w:val="auto"/>
          <w:kern w:val="0"/>
          <w:lang w:val="en-GB" w:eastAsia="en-US"/>
        </w:rPr>
      </w:pPr>
      <w:r w:rsidRPr="004754A5">
        <w:rPr>
          <w:color w:val="auto"/>
          <w:kern w:val="0"/>
          <w:lang w:val="en-GB" w:eastAsia="en-US"/>
        </w:rPr>
        <w:t>A second major mechanism is the political economy of public provisioning. Even when national policies are uniform on paper, implementation capacity and service readiness can vary across states, districts, and localities, producing uneven capability expansion. District-level evidence of inequality and geographic clustering in RMNCH coverage suggests that some places persistently lag in essential services for women and children, indicating that last-mile health systems differ in effectiveness across space (Panda et al., 2020). This is consequential for gendered human development because maternal and child health services are not one-off interventions; they require repeated contacts and continuity of care. Thus, variability in outreach, facility quality, and local governance can translate directly into spatially differentiated survival and health capabilities for women and children (Panda et al., 2020).</w:t>
      </w:r>
    </w:p>
    <w:p w:rsidR="004754A5" w:rsidRPr="004754A5" w:rsidRDefault="004754A5" w:rsidP="00C1102F">
      <w:pPr>
        <w:spacing w:before="100" w:beforeAutospacing="1" w:after="100" w:afterAutospacing="1" w:line="240" w:lineRule="auto"/>
        <w:ind w:left="0" w:right="0" w:firstLine="0"/>
        <w:rPr>
          <w:color w:val="auto"/>
          <w:kern w:val="0"/>
          <w:lang w:val="en-GB" w:eastAsia="en-US"/>
        </w:rPr>
      </w:pPr>
      <w:r w:rsidRPr="004754A5">
        <w:rPr>
          <w:color w:val="auto"/>
          <w:kern w:val="0"/>
          <w:lang w:val="en-GB" w:eastAsia="en-US"/>
        </w:rPr>
        <w:t>Vaccination patterns provide parallel evidence. Small-area analysis shows that under-vaccination is shaped by clustering not only across states and districts but also across thousands of local clusters, implying that determinants such as trust, information flows, and outreach performance operate locally and can generate concentrated pockets of low coverage (Johri et al., 2024). This helps explain why inter-regional variation persists even where macro-level resources increase: the “delivery environment” differs spatially, and those differences interact with gender because women often shoulder responsibility for children’s health yet may face constraints on mobility, time, and decision-making authority. Consequently, uneven implementation can amplify gendered disadvantages in caregiving burdens and in the capacity to secure preventive health for children (Johri et al., 2024).</w:t>
      </w:r>
    </w:p>
    <w:p w:rsidR="004754A5" w:rsidRPr="004754A5" w:rsidRDefault="004754A5" w:rsidP="00C1102F">
      <w:pPr>
        <w:spacing w:before="100" w:beforeAutospacing="1" w:after="100" w:afterAutospacing="1" w:line="240" w:lineRule="auto"/>
        <w:ind w:left="0" w:right="0" w:firstLine="0"/>
        <w:rPr>
          <w:color w:val="auto"/>
          <w:kern w:val="0"/>
          <w:lang w:val="en-GB" w:eastAsia="en-US"/>
        </w:rPr>
      </w:pPr>
      <w:r w:rsidRPr="004754A5">
        <w:rPr>
          <w:color w:val="auto"/>
          <w:kern w:val="0"/>
          <w:lang w:val="en-GB" w:eastAsia="en-US"/>
        </w:rPr>
        <w:t>The broader implication is that geography matters not only because needs differ, but because institutions perform differently across space. Where administrative capability and accountability are stronger, the same program inputs can produce larger human development gains. Where they are weaker, progress can stall, and inequalities can persist or widen despite national-level improvements (Johri et al., 2024; Panda et al., 2020).</w:t>
      </w:r>
    </w:p>
    <w:p w:rsidR="004754A5" w:rsidRPr="004754A5" w:rsidRDefault="004754A5" w:rsidP="00C1102F">
      <w:pPr>
        <w:spacing w:before="100" w:beforeAutospacing="1" w:after="100" w:afterAutospacing="1" w:line="240" w:lineRule="auto"/>
        <w:ind w:left="0" w:right="0" w:firstLine="0"/>
        <w:outlineLvl w:val="2"/>
        <w:rPr>
          <w:b/>
          <w:bCs/>
          <w:color w:val="auto"/>
          <w:kern w:val="0"/>
          <w:sz w:val="27"/>
          <w:szCs w:val="27"/>
          <w:lang w:val="en-GB" w:eastAsia="en-US"/>
        </w:rPr>
      </w:pPr>
      <w:r w:rsidRPr="004754A5">
        <w:rPr>
          <w:b/>
          <w:bCs/>
          <w:color w:val="auto"/>
          <w:kern w:val="0"/>
          <w:sz w:val="27"/>
          <w:szCs w:val="27"/>
          <w:lang w:val="en-GB" w:eastAsia="en-US"/>
        </w:rPr>
        <w:lastRenderedPageBreak/>
        <w:t>6.3 Labo</w:t>
      </w:r>
      <w:r w:rsidR="004644EB">
        <w:rPr>
          <w:b/>
          <w:bCs/>
          <w:color w:val="auto"/>
          <w:kern w:val="0"/>
          <w:sz w:val="27"/>
          <w:szCs w:val="27"/>
          <w:lang w:val="en-GB" w:eastAsia="en-US"/>
        </w:rPr>
        <w:t>u</w:t>
      </w:r>
      <w:r w:rsidRPr="004754A5">
        <w:rPr>
          <w:b/>
          <w:bCs/>
          <w:color w:val="auto"/>
          <w:kern w:val="0"/>
          <w:sz w:val="27"/>
          <w:szCs w:val="27"/>
          <w:lang w:val="en-GB" w:eastAsia="en-US"/>
        </w:rPr>
        <w:t>r markets, sectoral structure, and gendered opportunity sets</w:t>
      </w:r>
    </w:p>
    <w:p w:rsidR="004754A5" w:rsidRPr="004754A5" w:rsidRDefault="004754A5" w:rsidP="00C1102F">
      <w:pPr>
        <w:spacing w:before="100" w:beforeAutospacing="1" w:after="100" w:afterAutospacing="1" w:line="240" w:lineRule="auto"/>
        <w:ind w:left="0" w:right="0" w:firstLine="0"/>
        <w:rPr>
          <w:color w:val="auto"/>
          <w:kern w:val="0"/>
          <w:lang w:val="en-GB" w:eastAsia="en-US"/>
        </w:rPr>
      </w:pPr>
      <w:r w:rsidRPr="004754A5">
        <w:rPr>
          <w:color w:val="auto"/>
          <w:kern w:val="0"/>
          <w:lang w:val="en-GB" w:eastAsia="en-US"/>
        </w:rPr>
        <w:t>A third mechanism concerns the structure of local economies and labo</w:t>
      </w:r>
      <w:r w:rsidR="004644EB">
        <w:rPr>
          <w:color w:val="auto"/>
          <w:kern w:val="0"/>
          <w:lang w:val="en-GB" w:eastAsia="en-US"/>
        </w:rPr>
        <w:t>u</w:t>
      </w:r>
      <w:r w:rsidRPr="004754A5">
        <w:rPr>
          <w:color w:val="auto"/>
          <w:kern w:val="0"/>
          <w:lang w:val="en-GB" w:eastAsia="en-US"/>
        </w:rPr>
        <w:t xml:space="preserve">r markets. </w:t>
      </w:r>
      <w:r w:rsidR="00E22BB9" w:rsidRPr="00C51293">
        <w:rPr>
          <w:lang w:val="en-GB"/>
        </w:rPr>
        <w:t>Macro-level economic reforms have also been argued to deepen gender inequality in India by reinforcing the feminisation of informal and precarious work and weakening access to key public services, dynamics that can interact with uneven regional labo</w:t>
      </w:r>
      <w:r w:rsidR="004644EB">
        <w:rPr>
          <w:lang w:val="en-GB"/>
        </w:rPr>
        <w:t>u</w:t>
      </w:r>
      <w:r w:rsidR="00E22BB9" w:rsidRPr="00C51293">
        <w:rPr>
          <w:lang w:val="en-GB"/>
        </w:rPr>
        <w:t xml:space="preserve">r markets and service capacity to sustain spatially differentiated gendered capabilities (Mondal, 2025). </w:t>
      </w:r>
      <w:r w:rsidRPr="004754A5">
        <w:rPr>
          <w:color w:val="auto"/>
          <w:kern w:val="0"/>
          <w:lang w:val="en-GB" w:eastAsia="en-US"/>
        </w:rPr>
        <w:t>Women’s work participation is strongly shaped by place-based opportunity sets—what kinds of jobs exist, how compatible those jobs are with household responsibilities, whether commuting is safe, and whether local norms permit women’s employment. District-level mapping of women’s work using small area estimation shows pronounced regional variation in women’s employment and cash earnings, demonstrating that women’s economic capability is deeply dependent on local labo</w:t>
      </w:r>
      <w:r w:rsidR="004644EB">
        <w:rPr>
          <w:color w:val="auto"/>
          <w:kern w:val="0"/>
          <w:lang w:val="en-GB" w:eastAsia="en-US"/>
        </w:rPr>
        <w:t>u</w:t>
      </w:r>
      <w:r w:rsidRPr="004754A5">
        <w:rPr>
          <w:color w:val="auto"/>
          <w:kern w:val="0"/>
          <w:lang w:val="en-GB" w:eastAsia="en-US"/>
        </w:rPr>
        <w:t>r market conditions and social acceptability (Srivastava et al., 2025).</w:t>
      </w:r>
    </w:p>
    <w:p w:rsidR="004754A5" w:rsidRPr="004754A5" w:rsidRDefault="004754A5" w:rsidP="00C1102F">
      <w:pPr>
        <w:spacing w:before="100" w:beforeAutospacing="1" w:after="100" w:afterAutospacing="1" w:line="240" w:lineRule="auto"/>
        <w:ind w:left="0" w:right="0" w:firstLine="0"/>
        <w:rPr>
          <w:color w:val="auto"/>
          <w:kern w:val="0"/>
          <w:lang w:val="en-GB" w:eastAsia="en-US"/>
        </w:rPr>
      </w:pPr>
      <w:r w:rsidRPr="004754A5">
        <w:rPr>
          <w:color w:val="auto"/>
          <w:kern w:val="0"/>
          <w:lang w:val="en-GB" w:eastAsia="en-US"/>
        </w:rPr>
        <w:t xml:space="preserve">This is not only an economic issue but a human development mechanism. Where women’s work is constrained, households depend more heavily on male earnings, women’s bargaining power may remain limited, and the potential agency returns from education and health improvements </w:t>
      </w:r>
      <w:r w:rsidRPr="00565594">
        <w:rPr>
          <w:color w:val="auto"/>
          <w:kern w:val="0"/>
          <w:highlight w:val="yellow"/>
          <w:lang w:val="en-GB" w:eastAsia="en-US"/>
        </w:rPr>
        <w:t xml:space="preserve">may be muted. Conversely, where women’s work is feasible and remunerative, employment can </w:t>
      </w:r>
      <w:r w:rsidR="004644EB" w:rsidRPr="00565594">
        <w:rPr>
          <w:color w:val="auto"/>
          <w:kern w:val="0"/>
          <w:highlight w:val="yellow"/>
          <w:lang w:val="en-GB" w:eastAsia="en-US"/>
        </w:rPr>
        <w:t>cataly</w:t>
      </w:r>
      <w:r w:rsidR="004644EB" w:rsidRPr="00565594">
        <w:rPr>
          <w:color w:val="auto"/>
          <w:kern w:val="0"/>
          <w:highlight w:val="yellow"/>
          <w:lang w:val="en-GB" w:eastAsia="en-US"/>
        </w:rPr>
        <w:t>s</w:t>
      </w:r>
      <w:r w:rsidR="004644EB" w:rsidRPr="00565594">
        <w:rPr>
          <w:color w:val="auto"/>
          <w:kern w:val="0"/>
          <w:highlight w:val="yellow"/>
          <w:lang w:val="en-GB" w:eastAsia="en-US"/>
        </w:rPr>
        <w:t>e</w:t>
      </w:r>
      <w:r w:rsidR="004644EB" w:rsidRPr="004754A5">
        <w:rPr>
          <w:color w:val="auto"/>
          <w:kern w:val="0"/>
          <w:lang w:val="en-GB" w:eastAsia="en-US"/>
        </w:rPr>
        <w:t xml:space="preserve"> </w:t>
      </w:r>
      <w:r w:rsidRPr="004754A5">
        <w:rPr>
          <w:color w:val="auto"/>
          <w:kern w:val="0"/>
          <w:lang w:val="en-GB" w:eastAsia="en-US"/>
        </w:rPr>
        <w:t xml:space="preserve">broader capability expansion by strengthening autonomy and resilience. Because </w:t>
      </w:r>
      <w:r w:rsidRPr="00565594">
        <w:rPr>
          <w:color w:val="auto"/>
          <w:kern w:val="0"/>
          <w:highlight w:val="yellow"/>
          <w:lang w:val="en-GB" w:eastAsia="en-US"/>
        </w:rPr>
        <w:t>labo</w:t>
      </w:r>
      <w:r w:rsidR="004644EB" w:rsidRPr="00565594">
        <w:rPr>
          <w:color w:val="auto"/>
          <w:kern w:val="0"/>
          <w:highlight w:val="yellow"/>
          <w:lang w:val="en-GB" w:eastAsia="en-US"/>
        </w:rPr>
        <w:t>u</w:t>
      </w:r>
      <w:r w:rsidRPr="00565594">
        <w:rPr>
          <w:color w:val="auto"/>
          <w:kern w:val="0"/>
          <w:highlight w:val="yellow"/>
          <w:lang w:val="en-GB" w:eastAsia="en-US"/>
        </w:rPr>
        <w:t>r marke</w:t>
      </w:r>
      <w:r w:rsidRPr="004754A5">
        <w:rPr>
          <w:color w:val="auto"/>
          <w:kern w:val="0"/>
          <w:lang w:val="en-GB" w:eastAsia="en-US"/>
        </w:rPr>
        <w:t>ts and norms vary geographically, these dynamics produce spatially patterned gendered development outcomes, contributing to inter-regional divergence in both living standards and agency (Srivastava et al., 2025).</w:t>
      </w:r>
    </w:p>
    <w:p w:rsidR="004754A5" w:rsidRPr="004754A5" w:rsidRDefault="004754A5" w:rsidP="00C1102F">
      <w:pPr>
        <w:spacing w:before="100" w:beforeAutospacing="1" w:after="100" w:afterAutospacing="1" w:line="240" w:lineRule="auto"/>
        <w:ind w:left="0" w:right="0" w:firstLine="0"/>
        <w:outlineLvl w:val="2"/>
        <w:rPr>
          <w:b/>
          <w:bCs/>
          <w:color w:val="auto"/>
          <w:kern w:val="0"/>
          <w:sz w:val="27"/>
          <w:szCs w:val="27"/>
          <w:lang w:val="en-GB" w:eastAsia="en-US"/>
        </w:rPr>
      </w:pPr>
      <w:r w:rsidRPr="004754A5">
        <w:rPr>
          <w:b/>
          <w:bCs/>
          <w:color w:val="auto"/>
          <w:kern w:val="0"/>
          <w:sz w:val="27"/>
          <w:szCs w:val="27"/>
          <w:lang w:val="en-GB" w:eastAsia="en-US"/>
        </w:rPr>
        <w:t>6.4 Measurement implications: moving from “inter-state” to “multi-scalar” inequality</w:t>
      </w:r>
    </w:p>
    <w:p w:rsidR="004754A5" w:rsidRPr="004754A5" w:rsidRDefault="004754A5" w:rsidP="00C1102F">
      <w:pPr>
        <w:spacing w:before="100" w:beforeAutospacing="1" w:after="100" w:afterAutospacing="1" w:line="240" w:lineRule="auto"/>
        <w:ind w:left="0" w:right="0" w:firstLine="0"/>
        <w:rPr>
          <w:color w:val="auto"/>
          <w:kern w:val="0"/>
          <w:lang w:val="en-GB" w:eastAsia="en-US"/>
        </w:rPr>
      </w:pPr>
      <w:r w:rsidRPr="004754A5">
        <w:rPr>
          <w:color w:val="auto"/>
          <w:kern w:val="0"/>
          <w:lang w:val="en-GB" w:eastAsia="en-US"/>
        </w:rPr>
        <w:t xml:space="preserve">A final mechanism that shapes how geography appears—and therefore how it is governed—is measurement scale. Multilevel perspectives on poverty </w:t>
      </w:r>
      <w:r w:rsidR="004644EB" w:rsidRPr="00565594">
        <w:rPr>
          <w:color w:val="auto"/>
          <w:kern w:val="0"/>
          <w:highlight w:val="yellow"/>
          <w:lang w:val="en-GB" w:eastAsia="en-US"/>
        </w:rPr>
        <w:t>emphasi</w:t>
      </w:r>
      <w:r w:rsidR="004644EB" w:rsidRPr="00565594">
        <w:rPr>
          <w:color w:val="auto"/>
          <w:kern w:val="0"/>
          <w:highlight w:val="yellow"/>
          <w:lang w:val="en-GB" w:eastAsia="en-US"/>
        </w:rPr>
        <w:t>s</w:t>
      </w:r>
      <w:r w:rsidR="004644EB" w:rsidRPr="00565594">
        <w:rPr>
          <w:color w:val="auto"/>
          <w:kern w:val="0"/>
          <w:highlight w:val="yellow"/>
          <w:lang w:val="en-GB" w:eastAsia="en-US"/>
        </w:rPr>
        <w:t>e</w:t>
      </w:r>
      <w:r w:rsidR="004644EB" w:rsidRPr="004754A5">
        <w:rPr>
          <w:color w:val="auto"/>
          <w:kern w:val="0"/>
          <w:lang w:val="en-GB" w:eastAsia="en-US"/>
        </w:rPr>
        <w:t xml:space="preserve"> </w:t>
      </w:r>
      <w:r w:rsidRPr="004754A5">
        <w:rPr>
          <w:color w:val="auto"/>
          <w:kern w:val="0"/>
          <w:lang w:val="en-GB" w:eastAsia="en-US"/>
        </w:rPr>
        <w:t>that inequality is distributed across multiple geographic levels, meaning that the choice of unit (state, district, or smaller) affects both inference and policy targeting (Kim et al., 2016). This is especially important for gendered human development because many constraints operate at community scale: local norms regulating women’s mobility</w:t>
      </w:r>
      <w:r w:rsidRPr="00565594">
        <w:rPr>
          <w:color w:val="auto"/>
          <w:kern w:val="0"/>
          <w:highlight w:val="yellow"/>
          <w:lang w:val="en-GB" w:eastAsia="en-US"/>
        </w:rPr>
        <w:t xml:space="preserve">, </w:t>
      </w:r>
      <w:r w:rsidR="004644EB" w:rsidRPr="00565594">
        <w:rPr>
          <w:color w:val="auto"/>
          <w:kern w:val="0"/>
          <w:highlight w:val="yellow"/>
          <w:lang w:val="en-GB" w:eastAsia="en-US"/>
        </w:rPr>
        <w:t>locali</w:t>
      </w:r>
      <w:r w:rsidR="004644EB" w:rsidRPr="00565594">
        <w:rPr>
          <w:color w:val="auto"/>
          <w:kern w:val="0"/>
          <w:highlight w:val="yellow"/>
          <w:lang w:val="en-GB" w:eastAsia="en-US"/>
        </w:rPr>
        <w:t>s</w:t>
      </w:r>
      <w:r w:rsidR="004644EB" w:rsidRPr="00565594">
        <w:rPr>
          <w:color w:val="auto"/>
          <w:kern w:val="0"/>
          <w:highlight w:val="yellow"/>
          <w:lang w:val="en-GB" w:eastAsia="en-US"/>
        </w:rPr>
        <w:t xml:space="preserve">ed </w:t>
      </w:r>
      <w:r w:rsidRPr="00565594">
        <w:rPr>
          <w:color w:val="auto"/>
          <w:kern w:val="0"/>
          <w:highlight w:val="yellow"/>
          <w:lang w:val="en-GB" w:eastAsia="en-US"/>
        </w:rPr>
        <w:t>service</w:t>
      </w:r>
      <w:r w:rsidRPr="004754A5">
        <w:rPr>
          <w:color w:val="auto"/>
          <w:kern w:val="0"/>
          <w:lang w:val="en-GB" w:eastAsia="en-US"/>
        </w:rPr>
        <w:t xml:space="preserve"> readiness, and </w:t>
      </w:r>
      <w:proofErr w:type="spellStart"/>
      <w:r w:rsidRPr="004754A5">
        <w:rPr>
          <w:color w:val="auto"/>
          <w:kern w:val="0"/>
          <w:lang w:val="en-GB" w:eastAsia="en-US"/>
        </w:rPr>
        <w:t>neighborhood</w:t>
      </w:r>
      <w:proofErr w:type="spellEnd"/>
      <w:r w:rsidRPr="004754A5">
        <w:rPr>
          <w:color w:val="auto"/>
          <w:kern w:val="0"/>
          <w:lang w:val="en-GB" w:eastAsia="en-US"/>
        </w:rPr>
        <w:t>-level social exclusion can all create micro-clusters of deprivation that disappear in district averages.</w:t>
      </w:r>
    </w:p>
    <w:p w:rsidR="004754A5" w:rsidRPr="004754A5" w:rsidRDefault="004754A5" w:rsidP="00C1102F">
      <w:pPr>
        <w:spacing w:before="100" w:beforeAutospacing="1" w:after="100" w:afterAutospacing="1" w:line="240" w:lineRule="auto"/>
        <w:ind w:left="0" w:right="0" w:firstLine="0"/>
        <w:rPr>
          <w:color w:val="auto"/>
          <w:kern w:val="0"/>
          <w:lang w:val="en-GB" w:eastAsia="en-US"/>
        </w:rPr>
      </w:pPr>
      <w:r w:rsidRPr="004754A5">
        <w:rPr>
          <w:color w:val="auto"/>
          <w:kern w:val="0"/>
          <w:lang w:val="en-GB" w:eastAsia="en-US"/>
        </w:rPr>
        <w:t xml:space="preserve">High-resolution mapping makes this concrete. Precision mapping of child undernutrition across India’s villages shows that deprivation can be </w:t>
      </w:r>
      <w:r w:rsidRPr="00565594">
        <w:rPr>
          <w:color w:val="auto"/>
          <w:kern w:val="0"/>
          <w:highlight w:val="yellow"/>
          <w:lang w:val="en-GB" w:eastAsia="en-US"/>
        </w:rPr>
        <w:t xml:space="preserve">intensely </w:t>
      </w:r>
      <w:r w:rsidR="004644EB" w:rsidRPr="00565594">
        <w:rPr>
          <w:color w:val="auto"/>
          <w:kern w:val="0"/>
          <w:highlight w:val="yellow"/>
          <w:lang w:val="en-GB" w:eastAsia="en-US"/>
        </w:rPr>
        <w:t>locali</w:t>
      </w:r>
      <w:r w:rsidR="004644EB" w:rsidRPr="00565594">
        <w:rPr>
          <w:color w:val="auto"/>
          <w:kern w:val="0"/>
          <w:highlight w:val="yellow"/>
          <w:lang w:val="en-GB" w:eastAsia="en-US"/>
        </w:rPr>
        <w:t>s</w:t>
      </w:r>
      <w:r w:rsidR="004644EB" w:rsidRPr="004754A5">
        <w:rPr>
          <w:color w:val="auto"/>
          <w:kern w:val="0"/>
          <w:lang w:val="en-GB" w:eastAsia="en-US"/>
        </w:rPr>
        <w:t xml:space="preserve">ed </w:t>
      </w:r>
      <w:r w:rsidRPr="004754A5">
        <w:rPr>
          <w:color w:val="auto"/>
          <w:kern w:val="0"/>
          <w:lang w:val="en-GB" w:eastAsia="en-US"/>
        </w:rPr>
        <w:t xml:space="preserve">and that targeting based on coarse averages risks overlooking high-burden clusters (Kim et al., 2021). Similarly, evidence that child undernutrition varies across districts and parliamentary constituencies illustrates that deprivation patterns can cut across administrative or political boundaries, complicating program planning that relies on standard units alone (Rajpal et al., </w:t>
      </w:r>
      <w:r w:rsidRPr="00565594">
        <w:rPr>
          <w:color w:val="auto"/>
          <w:kern w:val="0"/>
          <w:highlight w:val="yellow"/>
          <w:lang w:val="en-GB" w:eastAsia="en-US"/>
        </w:rPr>
        <w:t xml:space="preserve">2021). Conceptually, these findings suggest that “inter-regional variation” is partly an </w:t>
      </w:r>
      <w:r w:rsidR="004644EB" w:rsidRPr="00565594">
        <w:rPr>
          <w:color w:val="auto"/>
          <w:kern w:val="0"/>
          <w:highlight w:val="yellow"/>
          <w:lang w:val="en-GB" w:eastAsia="en-US"/>
        </w:rPr>
        <w:t>art</w:t>
      </w:r>
      <w:r w:rsidR="004644EB" w:rsidRPr="00565594">
        <w:rPr>
          <w:color w:val="auto"/>
          <w:kern w:val="0"/>
          <w:highlight w:val="yellow"/>
          <w:lang w:val="en-GB" w:eastAsia="en-US"/>
        </w:rPr>
        <w:t>e</w:t>
      </w:r>
      <w:r w:rsidR="004644EB" w:rsidRPr="00565594">
        <w:rPr>
          <w:color w:val="auto"/>
          <w:kern w:val="0"/>
          <w:highlight w:val="yellow"/>
          <w:lang w:val="en-GB" w:eastAsia="en-US"/>
        </w:rPr>
        <w:t xml:space="preserve">fact </w:t>
      </w:r>
      <w:r w:rsidRPr="00565594">
        <w:rPr>
          <w:color w:val="auto"/>
          <w:kern w:val="0"/>
          <w:highlight w:val="yellow"/>
          <w:lang w:val="en-GB" w:eastAsia="en-US"/>
        </w:rPr>
        <w:t>of ag</w:t>
      </w:r>
      <w:r w:rsidRPr="004754A5">
        <w:rPr>
          <w:color w:val="auto"/>
          <w:kern w:val="0"/>
          <w:lang w:val="en-GB" w:eastAsia="en-US"/>
        </w:rPr>
        <w:t>gregation: inequality is real at multiple levels, and understanding its mechanisms requires tools that can reveal where clustering occurs and how it relates to social and institutional processes (Kim et al., 2016; Kim et al., 2021; Rajpal et al., 2021).</w:t>
      </w:r>
    </w:p>
    <w:p w:rsidR="004754A5" w:rsidRPr="004754A5" w:rsidRDefault="004754A5" w:rsidP="00C1102F">
      <w:pPr>
        <w:spacing w:before="100" w:beforeAutospacing="1" w:after="100" w:afterAutospacing="1" w:line="240" w:lineRule="auto"/>
        <w:ind w:left="0" w:right="0" w:firstLine="0"/>
        <w:rPr>
          <w:color w:val="auto"/>
          <w:kern w:val="0"/>
          <w:lang w:val="en-GB" w:eastAsia="en-US"/>
        </w:rPr>
      </w:pPr>
      <w:r w:rsidRPr="004754A5">
        <w:rPr>
          <w:color w:val="auto"/>
          <w:kern w:val="0"/>
          <w:lang w:val="en-GB" w:eastAsia="en-US"/>
        </w:rPr>
        <w:t xml:space="preserve">Taken together, the literature points to an integrated explanation of India’s gendered human development geography. Norms and kinship regimes shape conversion of resources into capabilities; uneven provisioning and implementation produce spatial differences in service-based capability expansion; </w:t>
      </w:r>
      <w:r w:rsidRPr="00565594">
        <w:rPr>
          <w:color w:val="auto"/>
          <w:kern w:val="0"/>
          <w:highlight w:val="yellow"/>
          <w:lang w:val="en-GB" w:eastAsia="en-US"/>
        </w:rPr>
        <w:t>labo</w:t>
      </w:r>
      <w:r w:rsidR="004644EB" w:rsidRPr="00565594">
        <w:rPr>
          <w:color w:val="auto"/>
          <w:kern w:val="0"/>
          <w:highlight w:val="yellow"/>
          <w:lang w:val="en-GB" w:eastAsia="en-US"/>
        </w:rPr>
        <w:t>u</w:t>
      </w:r>
      <w:r w:rsidRPr="00565594">
        <w:rPr>
          <w:color w:val="auto"/>
          <w:kern w:val="0"/>
          <w:highlight w:val="yellow"/>
          <w:lang w:val="en-GB" w:eastAsia="en-US"/>
        </w:rPr>
        <w:t>r m</w:t>
      </w:r>
      <w:r w:rsidRPr="004754A5">
        <w:rPr>
          <w:color w:val="auto"/>
          <w:kern w:val="0"/>
          <w:lang w:val="en-GB" w:eastAsia="en-US"/>
        </w:rPr>
        <w:t xml:space="preserve">arkets and sectoral structures determine whether women </w:t>
      </w:r>
      <w:r w:rsidRPr="004754A5">
        <w:rPr>
          <w:color w:val="auto"/>
          <w:kern w:val="0"/>
          <w:lang w:val="en-GB" w:eastAsia="en-US"/>
        </w:rPr>
        <w:lastRenderedPageBreak/>
        <w:t>can translate skills into agency; and measurement scale determines whether these mechanisms are visible for research and policy. A robust account of inter-regional variation therefore</w:t>
      </w:r>
      <w:r w:rsidR="004644EB">
        <w:rPr>
          <w:color w:val="auto"/>
          <w:kern w:val="0"/>
          <w:lang w:val="en-GB" w:eastAsia="en-US"/>
        </w:rPr>
        <w:t>,</w:t>
      </w:r>
      <w:r w:rsidRPr="004754A5">
        <w:rPr>
          <w:color w:val="auto"/>
          <w:kern w:val="0"/>
          <w:lang w:val="en-GB" w:eastAsia="en-US"/>
        </w:rPr>
        <w:t xml:space="preserve"> requires a multi-scalar and gender-explicit framework that treats gender not as an outcome add-on but as a core set of mechanisms operating through institutions, markets, and local social arrangements (Kim et al., 2021; Panda et al., 2020; Rajpal et al., 2021; Srivastava et al., 2025).</w:t>
      </w:r>
    </w:p>
    <w:p w:rsidR="004754A5" w:rsidRPr="00C51293" w:rsidRDefault="004754A5" w:rsidP="00C1102F">
      <w:pPr>
        <w:pStyle w:val="Heading2"/>
        <w:jc w:val="both"/>
        <w:rPr>
          <w:lang w:val="en-GB"/>
        </w:rPr>
      </w:pPr>
    </w:p>
    <w:p w:rsidR="009333FF" w:rsidRPr="00C51293" w:rsidRDefault="009333FF" w:rsidP="00C1102F">
      <w:pPr>
        <w:pStyle w:val="Heading2"/>
        <w:jc w:val="both"/>
        <w:rPr>
          <w:lang w:val="en-GB"/>
        </w:rPr>
      </w:pPr>
      <w:r w:rsidRPr="00C51293">
        <w:rPr>
          <w:lang w:val="en-GB"/>
        </w:rPr>
        <w:t>7. Conclusions</w:t>
      </w:r>
    </w:p>
    <w:p w:rsidR="009333FF" w:rsidRPr="00C51293" w:rsidRDefault="009333FF" w:rsidP="00C1102F">
      <w:pPr>
        <w:pStyle w:val="NormalWeb"/>
        <w:jc w:val="both"/>
        <w:rPr>
          <w:lang w:val="en-GB"/>
        </w:rPr>
      </w:pPr>
      <w:r w:rsidRPr="00C51293">
        <w:rPr>
          <w:lang w:val="en-GB"/>
        </w:rPr>
        <w:t xml:space="preserve">Inter-regional variation in gender and human development in India is best understood as a layered geography rather than a single state ranking. The literature shows persistent broad gradients across regions, but </w:t>
      </w:r>
      <w:r w:rsidRPr="00565594">
        <w:rPr>
          <w:highlight w:val="yellow"/>
          <w:lang w:val="en-GB"/>
        </w:rPr>
        <w:t xml:space="preserve">equally </w:t>
      </w:r>
      <w:r w:rsidR="004644EB" w:rsidRPr="00565594">
        <w:rPr>
          <w:highlight w:val="yellow"/>
          <w:lang w:val="en-GB"/>
        </w:rPr>
        <w:t>emphasi</w:t>
      </w:r>
      <w:r w:rsidR="004644EB" w:rsidRPr="00565594">
        <w:rPr>
          <w:highlight w:val="yellow"/>
          <w:lang w:val="en-GB"/>
        </w:rPr>
        <w:t>s</w:t>
      </w:r>
      <w:r w:rsidR="004644EB" w:rsidRPr="00565594">
        <w:rPr>
          <w:highlight w:val="yellow"/>
          <w:lang w:val="en-GB"/>
        </w:rPr>
        <w:t xml:space="preserve">es </w:t>
      </w:r>
      <w:r w:rsidRPr="00565594">
        <w:rPr>
          <w:highlight w:val="yellow"/>
          <w:lang w:val="en-GB"/>
        </w:rPr>
        <w:t>that with</w:t>
      </w:r>
      <w:r w:rsidRPr="00C51293">
        <w:rPr>
          <w:lang w:val="en-GB"/>
        </w:rPr>
        <w:t>in-state and within-district heterogeneity can be large and policy-relevant. Recent advances in small-area estimation and multilevel analysis reveal that many of the most consequential capability deprivations—child undernutrition, under-vaccination, and gaps in maternal and child health coverage—are clustered at scales smaller than districts, complicating strategies that rely on coarse averages.</w:t>
      </w:r>
    </w:p>
    <w:p w:rsidR="009333FF" w:rsidRPr="00C51293" w:rsidRDefault="009333FF" w:rsidP="00C1102F">
      <w:pPr>
        <w:pStyle w:val="NormalWeb"/>
        <w:jc w:val="both"/>
        <w:rPr>
          <w:lang w:val="en-GB"/>
        </w:rPr>
      </w:pPr>
      <w:r w:rsidRPr="00C51293">
        <w:rPr>
          <w:lang w:val="en-GB"/>
        </w:rPr>
        <w:t>Gender is both an evaluative domain and a causal mechanism in this geography. Regional differences in norms, kinship regimes, labo</w:t>
      </w:r>
      <w:r w:rsidR="004644EB">
        <w:rPr>
          <w:lang w:val="en-GB"/>
        </w:rPr>
        <w:t>u</w:t>
      </w:r>
      <w:r w:rsidRPr="00C51293">
        <w:rPr>
          <w:lang w:val="en-GB"/>
        </w:rPr>
        <w:t xml:space="preserve">r market structures, and exposure to violence shape how resources and services translate into real freedoms for women and girls. Consequently, the most effective responses are likely to be those that combine scale-sensitive measurement with gender-explicit policy design: interventions that locate micro-geographies of deprivation, strengthen local service delivery, expand women’s safe economic opportunities, and reduce norm-based barriers to education, health </w:t>
      </w:r>
      <w:r w:rsidRPr="00565594">
        <w:rPr>
          <w:highlight w:val="yellow"/>
          <w:lang w:val="en-GB"/>
        </w:rPr>
        <w:t xml:space="preserve">care </w:t>
      </w:r>
      <w:r w:rsidR="004644EB" w:rsidRPr="00565594">
        <w:rPr>
          <w:highlight w:val="yellow"/>
          <w:lang w:val="en-GB"/>
        </w:rPr>
        <w:t>utili</w:t>
      </w:r>
      <w:r w:rsidR="004644EB" w:rsidRPr="00565594">
        <w:rPr>
          <w:highlight w:val="yellow"/>
          <w:lang w:val="en-GB"/>
        </w:rPr>
        <w:t>s</w:t>
      </w:r>
      <w:r w:rsidR="004644EB" w:rsidRPr="00565594">
        <w:rPr>
          <w:highlight w:val="yellow"/>
          <w:lang w:val="en-GB"/>
        </w:rPr>
        <w:t>ation</w:t>
      </w:r>
      <w:r w:rsidRPr="00565594">
        <w:rPr>
          <w:highlight w:val="yellow"/>
          <w:lang w:val="en-GB"/>
        </w:rPr>
        <w:t>,</w:t>
      </w:r>
      <w:r w:rsidRPr="00C51293">
        <w:rPr>
          <w:lang w:val="en-GB"/>
        </w:rPr>
        <w:t xml:space="preserve"> and agency.</w:t>
      </w:r>
    </w:p>
    <w:p w:rsidR="009333FF" w:rsidRPr="00C51293" w:rsidRDefault="009333FF" w:rsidP="00C1102F">
      <w:pPr>
        <w:rPr>
          <w:lang w:val="en-GB"/>
        </w:rPr>
      </w:pPr>
    </w:p>
    <w:p w:rsidR="009333FF" w:rsidRPr="00C51293" w:rsidRDefault="009333FF" w:rsidP="00C1102F">
      <w:pPr>
        <w:pStyle w:val="Heading2"/>
        <w:jc w:val="both"/>
        <w:rPr>
          <w:lang w:val="en-GB"/>
        </w:rPr>
      </w:pPr>
      <w:r w:rsidRPr="00C51293">
        <w:rPr>
          <w:lang w:val="en-GB"/>
        </w:rPr>
        <w:t>8. Limitations</w:t>
      </w:r>
    </w:p>
    <w:p w:rsidR="009333FF" w:rsidRPr="00C51293" w:rsidRDefault="009333FF" w:rsidP="00C1102F">
      <w:pPr>
        <w:pStyle w:val="NormalWeb"/>
        <w:jc w:val="both"/>
        <w:rPr>
          <w:lang w:val="en-GB"/>
        </w:rPr>
      </w:pPr>
      <w:r w:rsidRPr="00C51293">
        <w:rPr>
          <w:lang w:val="en-GB"/>
        </w:rPr>
        <w:t>This review is limited by the unevenness of subnational data availability across domains and time, and by the fact that peer-reviewed evidence is concentrated in certain outcome areas—particularly maternal and child health—relative to other capability domains such as political voice, safety, and time use. In addition, the rapid evolution of district boundaries and administrative classifications in India can complicate comparisons across studies. Finally, while small-area and multilevel methods improve granularity, they still depend on survey design, covariate quality, and mode</w:t>
      </w:r>
      <w:r w:rsidR="004644EB">
        <w:rPr>
          <w:lang w:val="en-GB"/>
        </w:rPr>
        <w:t>l</w:t>
      </w:r>
      <w:r w:rsidRPr="00C51293">
        <w:rPr>
          <w:lang w:val="en-GB"/>
        </w:rPr>
        <w:t>ling assumptions that may vary across settings.</w:t>
      </w:r>
    </w:p>
    <w:p w:rsidR="00E97975" w:rsidRPr="00E97975" w:rsidRDefault="00E97975" w:rsidP="00C1102F">
      <w:pPr>
        <w:spacing w:after="0" w:line="240" w:lineRule="auto"/>
        <w:ind w:left="0" w:right="0" w:firstLine="0"/>
        <w:rPr>
          <w:rFonts w:ascii="Arial" w:eastAsia="Calibri" w:hAnsi="Arial" w:cs="Arial"/>
          <w:color w:val="auto"/>
          <w:sz w:val="22"/>
          <w:szCs w:val="22"/>
          <w:highlight w:val="yellow"/>
          <w:lang w:val="en-US" w:eastAsia="en-US"/>
        </w:rPr>
      </w:pPr>
      <w:bookmarkStart w:id="1" w:name="_Hlk198031404"/>
      <w:r w:rsidRPr="00E97975">
        <w:rPr>
          <w:rFonts w:ascii="Arial" w:eastAsia="Calibri" w:hAnsi="Arial" w:cs="Arial"/>
          <w:color w:val="auto"/>
          <w:sz w:val="22"/>
          <w:szCs w:val="22"/>
          <w:highlight w:val="yellow"/>
          <w:lang w:val="en-US" w:eastAsia="en-US"/>
        </w:rPr>
        <w:t>Disclaimer (Artificial intelligence)</w:t>
      </w:r>
    </w:p>
    <w:p w:rsidR="00E97975" w:rsidRPr="00E97975" w:rsidRDefault="00E97975" w:rsidP="00C1102F">
      <w:pPr>
        <w:spacing w:after="0" w:line="240" w:lineRule="auto"/>
        <w:ind w:left="0" w:right="0" w:firstLine="0"/>
        <w:rPr>
          <w:rFonts w:ascii="Arial" w:eastAsia="Calibri" w:hAnsi="Arial" w:cs="Arial"/>
          <w:color w:val="auto"/>
          <w:sz w:val="22"/>
          <w:szCs w:val="22"/>
          <w:highlight w:val="yellow"/>
          <w:lang w:val="en-US" w:eastAsia="en-US"/>
        </w:rPr>
      </w:pPr>
    </w:p>
    <w:p w:rsidR="00E97975" w:rsidRPr="00E97975" w:rsidRDefault="00E97975" w:rsidP="00C1102F">
      <w:pPr>
        <w:spacing w:after="0" w:line="240" w:lineRule="auto"/>
        <w:ind w:left="0" w:right="0" w:firstLine="0"/>
        <w:rPr>
          <w:rFonts w:ascii="Arial" w:eastAsia="Calibri" w:hAnsi="Arial" w:cs="Arial"/>
          <w:color w:val="auto"/>
          <w:sz w:val="22"/>
          <w:szCs w:val="22"/>
          <w:highlight w:val="yellow"/>
          <w:lang w:val="en-US" w:eastAsia="en-US"/>
        </w:rPr>
      </w:pPr>
      <w:r w:rsidRPr="00E97975">
        <w:rPr>
          <w:rFonts w:ascii="Arial" w:eastAsia="Calibri" w:hAnsi="Arial" w:cs="Arial"/>
          <w:color w:val="auto"/>
          <w:sz w:val="22"/>
          <w:szCs w:val="22"/>
          <w:highlight w:val="yellow"/>
          <w:lang w:val="en-US" w:eastAsia="en-US"/>
        </w:rPr>
        <w:t>Author(s) hereby declare that NO generative AI technologies such as Large Language Models (</w:t>
      </w:r>
      <w:proofErr w:type="spellStart"/>
      <w:r w:rsidRPr="00E97975">
        <w:rPr>
          <w:rFonts w:ascii="Arial" w:eastAsia="Calibri" w:hAnsi="Arial" w:cs="Arial"/>
          <w:color w:val="auto"/>
          <w:sz w:val="22"/>
          <w:szCs w:val="22"/>
          <w:highlight w:val="yellow"/>
          <w:lang w:val="en-US" w:eastAsia="en-US"/>
        </w:rPr>
        <w:t>ChatGPT</w:t>
      </w:r>
      <w:proofErr w:type="spellEnd"/>
      <w:r w:rsidRPr="00E97975">
        <w:rPr>
          <w:rFonts w:ascii="Arial" w:eastAsia="Calibri" w:hAnsi="Arial" w:cs="Arial"/>
          <w:color w:val="auto"/>
          <w:sz w:val="22"/>
          <w:szCs w:val="22"/>
          <w:highlight w:val="yellow"/>
          <w:lang w:val="en-US" w:eastAsia="en-US"/>
        </w:rPr>
        <w:t xml:space="preserve">, COPILOT, etc.) and text-to-image generators have been used during the writing or editing of this manuscript. </w:t>
      </w:r>
    </w:p>
    <w:bookmarkEnd w:id="1"/>
    <w:p w:rsidR="00E97975" w:rsidRPr="00E97975" w:rsidRDefault="00E97975" w:rsidP="00C1102F">
      <w:pPr>
        <w:spacing w:after="0" w:line="240" w:lineRule="auto"/>
        <w:ind w:left="0" w:right="0" w:firstLine="0"/>
        <w:rPr>
          <w:rFonts w:ascii="Arial" w:eastAsia="Calibri" w:hAnsi="Arial" w:cs="Arial"/>
          <w:color w:val="auto"/>
          <w:sz w:val="22"/>
          <w:szCs w:val="22"/>
          <w:lang w:val="en-US" w:eastAsia="en-US"/>
        </w:rPr>
      </w:pPr>
    </w:p>
    <w:p w:rsidR="00E97975" w:rsidRPr="00E97975" w:rsidRDefault="00E97975" w:rsidP="00C1102F">
      <w:pPr>
        <w:spacing w:after="0" w:line="240" w:lineRule="auto"/>
        <w:ind w:left="0" w:right="0" w:firstLine="0"/>
        <w:rPr>
          <w:rFonts w:ascii="Arial" w:eastAsia="Calibri" w:hAnsi="Arial" w:cs="Arial"/>
          <w:color w:val="auto"/>
          <w:sz w:val="22"/>
          <w:szCs w:val="22"/>
          <w:lang w:val="en-US" w:eastAsia="en-US"/>
        </w:rPr>
      </w:pPr>
    </w:p>
    <w:p w:rsidR="00E97975" w:rsidRPr="00E97975" w:rsidRDefault="00E97975" w:rsidP="00C1102F">
      <w:pPr>
        <w:spacing w:after="0" w:line="240" w:lineRule="auto"/>
        <w:ind w:left="0" w:right="0" w:firstLine="0"/>
        <w:rPr>
          <w:rFonts w:ascii="Arial" w:eastAsia="Calibri" w:hAnsi="Arial" w:cs="Arial"/>
          <w:color w:val="auto"/>
          <w:sz w:val="22"/>
          <w:szCs w:val="22"/>
          <w:lang w:val="en-US" w:eastAsia="en-US"/>
        </w:rPr>
      </w:pPr>
    </w:p>
    <w:p w:rsidR="009333FF" w:rsidRPr="00C51293" w:rsidRDefault="009333FF" w:rsidP="00C1102F">
      <w:pPr>
        <w:rPr>
          <w:lang w:val="en-GB"/>
        </w:rPr>
      </w:pPr>
    </w:p>
    <w:p w:rsidR="009333FF" w:rsidRPr="00C51293" w:rsidRDefault="009333FF" w:rsidP="00C1102F">
      <w:pPr>
        <w:pStyle w:val="Heading2"/>
        <w:jc w:val="both"/>
        <w:rPr>
          <w:lang w:val="en-GB"/>
        </w:rPr>
      </w:pPr>
      <w:r w:rsidRPr="00C51293">
        <w:rPr>
          <w:lang w:val="en-GB"/>
        </w:rPr>
        <w:lastRenderedPageBreak/>
        <w:t xml:space="preserve">References </w:t>
      </w:r>
    </w:p>
    <w:p w:rsidR="0032634C" w:rsidRPr="00C51293" w:rsidRDefault="0032634C" w:rsidP="00C1102F">
      <w:pPr>
        <w:pStyle w:val="NormalWeb"/>
        <w:jc w:val="both"/>
        <w:rPr>
          <w:lang w:val="en-GB"/>
        </w:rPr>
      </w:pPr>
      <w:r w:rsidRPr="00C51293">
        <w:rPr>
          <w:lang w:val="en-GB"/>
        </w:rPr>
        <w:t xml:space="preserve">Acharya, D. R., Bell, J. S., </w:t>
      </w:r>
      <w:proofErr w:type="spellStart"/>
      <w:r w:rsidRPr="00C51293">
        <w:rPr>
          <w:lang w:val="en-GB"/>
        </w:rPr>
        <w:t>Simkhada</w:t>
      </w:r>
      <w:proofErr w:type="spellEnd"/>
      <w:r w:rsidRPr="00C51293">
        <w:rPr>
          <w:lang w:val="en-GB"/>
        </w:rPr>
        <w:t xml:space="preserve">, P., van </w:t>
      </w:r>
      <w:proofErr w:type="spellStart"/>
      <w:r w:rsidRPr="00C51293">
        <w:rPr>
          <w:lang w:val="en-GB"/>
        </w:rPr>
        <w:t>Teijlingen</w:t>
      </w:r>
      <w:proofErr w:type="spellEnd"/>
      <w:r w:rsidRPr="00C51293">
        <w:rPr>
          <w:lang w:val="en-GB"/>
        </w:rPr>
        <w:t xml:space="preserve">, E. R., &amp; </w:t>
      </w:r>
      <w:proofErr w:type="spellStart"/>
      <w:r w:rsidRPr="00C51293">
        <w:rPr>
          <w:lang w:val="en-GB"/>
        </w:rPr>
        <w:t>Regmi</w:t>
      </w:r>
      <w:proofErr w:type="spellEnd"/>
      <w:r w:rsidRPr="00C51293">
        <w:rPr>
          <w:lang w:val="en-GB"/>
        </w:rPr>
        <w:t xml:space="preserve">, P. R. (2010). Women’s autonomy in household decision-making: A demographic study in Nepal. </w:t>
      </w:r>
      <w:r w:rsidRPr="00C51293">
        <w:rPr>
          <w:rStyle w:val="Emphasis"/>
          <w:lang w:val="en-GB"/>
        </w:rPr>
        <w:t>Reproductive Health, 7</w:t>
      </w:r>
      <w:r w:rsidRPr="00C51293">
        <w:rPr>
          <w:lang w:val="en-GB"/>
        </w:rPr>
        <w:t xml:space="preserve">, 15. </w:t>
      </w:r>
      <w:hyperlink r:id="rId8" w:tgtFrame="_new" w:history="1">
        <w:r w:rsidRPr="00C51293">
          <w:rPr>
            <w:rStyle w:val="Hyperlink"/>
            <w:lang w:val="en-GB"/>
          </w:rPr>
          <w:t>https://doi.org/10.1186/1742-4755-7-15</w:t>
        </w:r>
      </w:hyperlink>
    </w:p>
    <w:p w:rsidR="0032634C" w:rsidRPr="00C51293" w:rsidRDefault="0032634C" w:rsidP="00C1102F">
      <w:pPr>
        <w:pStyle w:val="NormalWeb"/>
        <w:jc w:val="both"/>
        <w:rPr>
          <w:lang w:val="en-GB"/>
        </w:rPr>
      </w:pPr>
      <w:r w:rsidRPr="00C51293">
        <w:rPr>
          <w:lang w:val="en-GB"/>
        </w:rPr>
        <w:t xml:space="preserve">Ackerson, L. K., &amp; Subramanian, S. V. (2008). Domestic violence and chronic malnutrition among women and children in India. </w:t>
      </w:r>
      <w:r w:rsidRPr="00C51293">
        <w:rPr>
          <w:rStyle w:val="Emphasis"/>
          <w:lang w:val="en-GB"/>
        </w:rPr>
        <w:t>American Journal of Epidemiology, 167</w:t>
      </w:r>
      <w:r w:rsidRPr="00C51293">
        <w:rPr>
          <w:lang w:val="en-GB"/>
        </w:rPr>
        <w:t>(10), 1188–1196. https://doi.org/10.1093/aje/kwn049</w:t>
      </w:r>
    </w:p>
    <w:p w:rsidR="0032634C" w:rsidRPr="00C51293" w:rsidRDefault="0032634C" w:rsidP="00C1102F">
      <w:pPr>
        <w:pStyle w:val="NormalWeb"/>
        <w:jc w:val="both"/>
        <w:rPr>
          <w:lang w:val="en-GB"/>
        </w:rPr>
      </w:pPr>
      <w:r w:rsidRPr="00C51293">
        <w:rPr>
          <w:lang w:val="en-GB"/>
        </w:rPr>
        <w:t xml:space="preserve">Afridi, F., Dhillon, A., &amp; Roy, S. (2023). The gendered crisis: Livelihoods and mental well-being in India during COVID-19. </w:t>
      </w:r>
      <w:r w:rsidRPr="00C51293">
        <w:rPr>
          <w:rStyle w:val="Emphasis"/>
          <w:lang w:val="en-GB"/>
        </w:rPr>
        <w:t>Feminist Economics.</w:t>
      </w:r>
      <w:r w:rsidRPr="00C51293">
        <w:rPr>
          <w:lang w:val="en-GB"/>
        </w:rPr>
        <w:t xml:space="preserve"> Advance online publication. https://doi.org/10.1080/13545701.2023.2186461</w:t>
      </w:r>
    </w:p>
    <w:p w:rsidR="0032634C" w:rsidRPr="00C51293" w:rsidRDefault="0032634C" w:rsidP="00C1102F">
      <w:pPr>
        <w:pStyle w:val="NormalWeb"/>
        <w:jc w:val="both"/>
        <w:rPr>
          <w:lang w:val="en-GB"/>
        </w:rPr>
      </w:pPr>
      <w:proofErr w:type="spellStart"/>
      <w:r w:rsidRPr="00C51293">
        <w:rPr>
          <w:lang w:val="en-GB"/>
        </w:rPr>
        <w:t>Alkire</w:t>
      </w:r>
      <w:proofErr w:type="spellEnd"/>
      <w:r w:rsidRPr="00C51293">
        <w:rPr>
          <w:lang w:val="en-GB"/>
        </w:rPr>
        <w:t xml:space="preserve">, S., &amp; Foster, J. (2011). Counting and multidimensional poverty measurement. </w:t>
      </w:r>
      <w:r w:rsidRPr="00C51293">
        <w:rPr>
          <w:rStyle w:val="Emphasis"/>
          <w:lang w:val="en-GB"/>
        </w:rPr>
        <w:t>Journal of Public Economics, 95</w:t>
      </w:r>
      <w:r w:rsidRPr="00C51293">
        <w:rPr>
          <w:lang w:val="en-GB"/>
        </w:rPr>
        <w:t>(7–8), 476–487. https://doi.org/10.1016/j.jpubeco.2010.11.006</w:t>
      </w:r>
    </w:p>
    <w:p w:rsidR="0032634C" w:rsidRPr="00C51293" w:rsidRDefault="0032634C" w:rsidP="00C1102F">
      <w:pPr>
        <w:pStyle w:val="NormalWeb"/>
        <w:jc w:val="both"/>
        <w:rPr>
          <w:lang w:val="en-GB"/>
        </w:rPr>
      </w:pPr>
      <w:proofErr w:type="spellStart"/>
      <w:r w:rsidRPr="00C51293">
        <w:rPr>
          <w:lang w:val="en-GB"/>
        </w:rPr>
        <w:t>Bardhan</w:t>
      </w:r>
      <w:proofErr w:type="spellEnd"/>
      <w:r w:rsidRPr="00C51293">
        <w:rPr>
          <w:lang w:val="en-GB"/>
        </w:rPr>
        <w:t xml:space="preserve">, P., &amp; </w:t>
      </w:r>
      <w:proofErr w:type="spellStart"/>
      <w:r w:rsidRPr="00C51293">
        <w:rPr>
          <w:lang w:val="en-GB"/>
        </w:rPr>
        <w:t>Klasen</w:t>
      </w:r>
      <w:proofErr w:type="spellEnd"/>
      <w:r w:rsidRPr="00C51293">
        <w:rPr>
          <w:lang w:val="en-GB"/>
        </w:rPr>
        <w:t xml:space="preserve">, S. (1999). UNDP’s gender-related indices: A critical review. </w:t>
      </w:r>
      <w:r w:rsidRPr="00C51293">
        <w:rPr>
          <w:rStyle w:val="Emphasis"/>
          <w:lang w:val="en-GB"/>
        </w:rPr>
        <w:t>World Development, 27</w:t>
      </w:r>
      <w:r w:rsidRPr="00C51293">
        <w:rPr>
          <w:lang w:val="en-GB"/>
        </w:rPr>
        <w:t>(6), 985–1010. https://doi.org/10.1016/S0305-750X(99)00035-2</w:t>
      </w:r>
    </w:p>
    <w:p w:rsidR="0032634C" w:rsidRPr="00C51293" w:rsidRDefault="0032634C" w:rsidP="00C1102F">
      <w:pPr>
        <w:pStyle w:val="NormalWeb"/>
        <w:jc w:val="both"/>
        <w:rPr>
          <w:lang w:val="en-GB"/>
        </w:rPr>
      </w:pPr>
      <w:proofErr w:type="spellStart"/>
      <w:r w:rsidRPr="00C51293">
        <w:rPr>
          <w:lang w:val="en-GB"/>
        </w:rPr>
        <w:t>Chaurasia</w:t>
      </w:r>
      <w:proofErr w:type="spellEnd"/>
      <w:r w:rsidRPr="00C51293">
        <w:rPr>
          <w:lang w:val="en-GB"/>
        </w:rPr>
        <w:t xml:space="preserve">, A. R. (2023). Human development in districts of India: A 21st century perspective. </w:t>
      </w:r>
      <w:r w:rsidRPr="00C51293">
        <w:rPr>
          <w:rStyle w:val="Emphasis"/>
          <w:lang w:val="en-GB"/>
        </w:rPr>
        <w:t>Indian Journal of Human Development.</w:t>
      </w:r>
      <w:r w:rsidRPr="00C51293">
        <w:rPr>
          <w:lang w:val="en-GB"/>
        </w:rPr>
        <w:t xml:space="preserve"> Advance online publication. https://doi.org/10.1177/09737030231178362</w:t>
      </w:r>
    </w:p>
    <w:p w:rsidR="0032634C" w:rsidRPr="00C51293" w:rsidRDefault="0032634C" w:rsidP="00C1102F">
      <w:pPr>
        <w:pStyle w:val="NormalWeb"/>
        <w:jc w:val="both"/>
        <w:rPr>
          <w:lang w:val="en-GB"/>
        </w:rPr>
      </w:pPr>
      <w:proofErr w:type="spellStart"/>
      <w:r>
        <w:t>Dandona</w:t>
      </w:r>
      <w:proofErr w:type="spellEnd"/>
      <w:r>
        <w:t xml:space="preserve">, R., Kumar, G. A., &amp; Majumder, M. (2024). Population-level trends over a decade in geographical inequality for opportunity in access to maternal care services: A cross-sectional analysis from the National Family Health Surveys in India. </w:t>
      </w:r>
      <w:r>
        <w:rPr>
          <w:rStyle w:val="Emphasis"/>
        </w:rPr>
        <w:t>BMJ Open, 14</w:t>
      </w:r>
      <w:r>
        <w:t xml:space="preserve">(11), e083922. </w:t>
      </w:r>
      <w:hyperlink r:id="rId9" w:history="1">
        <w:r w:rsidRPr="000A49F5">
          <w:rPr>
            <w:rStyle w:val="Hyperlink"/>
          </w:rPr>
          <w:t>https://doi.org/10.1136/bmjopen-2024-083922</w:t>
        </w:r>
      </w:hyperlink>
      <w:r>
        <w:t xml:space="preserve"> </w:t>
      </w:r>
    </w:p>
    <w:p w:rsidR="0032634C" w:rsidRDefault="0032634C" w:rsidP="00C1102F">
      <w:pPr>
        <w:pStyle w:val="NormalWeb"/>
        <w:jc w:val="both"/>
      </w:pPr>
      <w:proofErr w:type="spellStart"/>
      <w:r>
        <w:t>Eom</w:t>
      </w:r>
      <w:proofErr w:type="spellEnd"/>
      <w:r>
        <w:t xml:space="preserve">, Y.-J., </w:t>
      </w:r>
      <w:proofErr w:type="spellStart"/>
      <w:r>
        <w:t>Balla</w:t>
      </w:r>
      <w:proofErr w:type="spellEnd"/>
      <w:r>
        <w:t xml:space="preserve">, S., Rajpal, S., Kim, R., &amp; Subramanian, S. V. (2026). Assessing geographic variation in women’s decision-making power across 720 districts in India, 2016–2021. </w:t>
      </w:r>
      <w:r>
        <w:rPr>
          <w:rStyle w:val="Emphasis"/>
        </w:rPr>
        <w:t>BMC Women’s Health, 26</w:t>
      </w:r>
      <w:r>
        <w:t xml:space="preserve">, Article 74. </w:t>
      </w:r>
      <w:hyperlink r:id="rId10" w:history="1">
        <w:r w:rsidRPr="000A49F5">
          <w:rPr>
            <w:rStyle w:val="Hyperlink"/>
          </w:rPr>
          <w:t>https://doi.org/10.1186/s12905-025-04194-0</w:t>
        </w:r>
      </w:hyperlink>
      <w:r>
        <w:t xml:space="preserve"> </w:t>
      </w:r>
    </w:p>
    <w:p w:rsidR="0032634C" w:rsidRDefault="0032634C" w:rsidP="00C1102F">
      <w:pPr>
        <w:pStyle w:val="NormalWeb"/>
        <w:jc w:val="both"/>
      </w:pPr>
      <w:proofErr w:type="spellStart"/>
      <w:r>
        <w:t>Guilmoto</w:t>
      </w:r>
      <w:proofErr w:type="spellEnd"/>
      <w:r>
        <w:t xml:space="preserve">, C. Z., </w:t>
      </w:r>
      <w:proofErr w:type="spellStart"/>
      <w:r>
        <w:t>Saikia</w:t>
      </w:r>
      <w:proofErr w:type="spellEnd"/>
      <w:r>
        <w:t xml:space="preserve">, N., </w:t>
      </w:r>
      <w:proofErr w:type="spellStart"/>
      <w:r>
        <w:t>Tamrakar</w:t>
      </w:r>
      <w:proofErr w:type="spellEnd"/>
      <w:r>
        <w:t xml:space="preserve">, V., &amp; Bora, J. K. (2018). Excess under-5 female mortality across India: A spatial analysis using 2011 census data. </w:t>
      </w:r>
      <w:r>
        <w:rPr>
          <w:rStyle w:val="Emphasis"/>
        </w:rPr>
        <w:t>The Lancet Global Health, 6</w:t>
      </w:r>
      <w:r>
        <w:t xml:space="preserve">(6), e650–e658. </w:t>
      </w:r>
      <w:hyperlink r:id="rId11" w:history="1">
        <w:r w:rsidRPr="000A49F5">
          <w:rPr>
            <w:rStyle w:val="Hyperlink"/>
          </w:rPr>
          <w:t>https://doi.org/10.1016/S2214-109X(18)30184-0</w:t>
        </w:r>
      </w:hyperlink>
      <w:r>
        <w:t xml:space="preserve"> </w:t>
      </w:r>
    </w:p>
    <w:p w:rsidR="0032634C" w:rsidRPr="00C51293" w:rsidRDefault="0032634C" w:rsidP="00C1102F">
      <w:pPr>
        <w:pStyle w:val="NormalWeb"/>
        <w:jc w:val="both"/>
        <w:rPr>
          <w:lang w:val="en-GB"/>
        </w:rPr>
      </w:pPr>
      <w:r w:rsidRPr="00C51293">
        <w:rPr>
          <w:lang w:val="en-GB"/>
        </w:rPr>
        <w:t xml:space="preserve">Johri, M., Rajpal, S., Kim, R., &amp; Subramanian, S. V. (2024). Small-area variation in child under-vaccination in India: A multilevel analysis of cross-sectional data from 36 states and Union Territories, 707 districts, and 22,349 small-area clusters. </w:t>
      </w:r>
      <w:r w:rsidRPr="00C51293">
        <w:rPr>
          <w:rStyle w:val="Emphasis"/>
          <w:lang w:val="en-GB"/>
        </w:rPr>
        <w:t>The Lancet Regional Health – Southeast Asia, 21</w:t>
      </w:r>
      <w:r w:rsidRPr="00C51293">
        <w:rPr>
          <w:lang w:val="en-GB"/>
        </w:rPr>
        <w:t xml:space="preserve">, 100504. </w:t>
      </w:r>
      <w:hyperlink r:id="rId12" w:tgtFrame="_new" w:history="1">
        <w:r w:rsidRPr="00C51293">
          <w:rPr>
            <w:rStyle w:val="Hyperlink"/>
            <w:lang w:val="en-GB"/>
          </w:rPr>
          <w:t>https://doi.org/10.1016/j.lansea.2024.100504</w:t>
        </w:r>
      </w:hyperlink>
    </w:p>
    <w:p w:rsidR="0032634C" w:rsidRPr="00C51293" w:rsidRDefault="0032634C" w:rsidP="00C1102F">
      <w:pPr>
        <w:pStyle w:val="NormalWeb"/>
        <w:jc w:val="both"/>
        <w:rPr>
          <w:lang w:val="en-GB"/>
        </w:rPr>
      </w:pPr>
      <w:r w:rsidRPr="00C51293">
        <w:rPr>
          <w:lang w:val="en-GB"/>
        </w:rPr>
        <w:t xml:space="preserve">Kim, R., </w:t>
      </w:r>
      <w:proofErr w:type="spellStart"/>
      <w:r w:rsidRPr="00C51293">
        <w:rPr>
          <w:lang w:val="en-GB"/>
        </w:rPr>
        <w:t>Bijral</w:t>
      </w:r>
      <w:proofErr w:type="spellEnd"/>
      <w:r w:rsidRPr="00C51293">
        <w:rPr>
          <w:lang w:val="en-GB"/>
        </w:rPr>
        <w:t xml:space="preserve">, A. S., Xu, Y., Zhang, X., Blossom, J. C., Swaminathan, A., King, G., Kumar, A., </w:t>
      </w:r>
      <w:proofErr w:type="spellStart"/>
      <w:r w:rsidRPr="00C51293">
        <w:rPr>
          <w:lang w:val="en-GB"/>
        </w:rPr>
        <w:t>Sarwal</w:t>
      </w:r>
      <w:proofErr w:type="spellEnd"/>
      <w:r w:rsidRPr="00C51293">
        <w:rPr>
          <w:lang w:val="en-GB"/>
        </w:rPr>
        <w:t xml:space="preserve">, R., </w:t>
      </w:r>
      <w:proofErr w:type="spellStart"/>
      <w:r w:rsidRPr="00C51293">
        <w:rPr>
          <w:lang w:val="en-GB"/>
        </w:rPr>
        <w:t>Lavista</w:t>
      </w:r>
      <w:proofErr w:type="spellEnd"/>
      <w:r w:rsidRPr="00C51293">
        <w:rPr>
          <w:lang w:val="en-GB"/>
        </w:rPr>
        <w:t xml:space="preserve"> </w:t>
      </w:r>
      <w:proofErr w:type="spellStart"/>
      <w:r w:rsidRPr="00C51293">
        <w:rPr>
          <w:lang w:val="en-GB"/>
        </w:rPr>
        <w:t>Ferres</w:t>
      </w:r>
      <w:proofErr w:type="spellEnd"/>
      <w:r w:rsidRPr="00C51293">
        <w:rPr>
          <w:lang w:val="en-GB"/>
        </w:rPr>
        <w:t xml:space="preserve">, J. M., &amp; Subramanian, S. V. (2021). Precision mapping child undernutrition for nearly 600,000 inhabited census villages in India. </w:t>
      </w:r>
      <w:r w:rsidRPr="00C51293">
        <w:rPr>
          <w:rStyle w:val="Emphasis"/>
          <w:lang w:val="en-GB"/>
        </w:rPr>
        <w:t>Proceedings of the National Academy of Sciences of the United States of America, 118</w:t>
      </w:r>
      <w:r w:rsidRPr="00C51293">
        <w:rPr>
          <w:lang w:val="en-GB"/>
        </w:rPr>
        <w:t xml:space="preserve">(18), e2025865118. </w:t>
      </w:r>
      <w:hyperlink r:id="rId13" w:history="1">
        <w:r w:rsidRPr="00C51293">
          <w:rPr>
            <w:rStyle w:val="Hyperlink"/>
            <w:lang w:val="en-GB"/>
          </w:rPr>
          <w:t>https://doi.org/10.1073/pnas.2025865118</w:t>
        </w:r>
      </w:hyperlink>
      <w:r w:rsidRPr="00C51293">
        <w:rPr>
          <w:lang w:val="en-GB"/>
        </w:rPr>
        <w:t xml:space="preserve"> </w:t>
      </w:r>
    </w:p>
    <w:p w:rsidR="0032634C" w:rsidRPr="00C51293" w:rsidRDefault="0032634C" w:rsidP="00C1102F">
      <w:pPr>
        <w:pStyle w:val="NormalWeb"/>
        <w:jc w:val="both"/>
        <w:rPr>
          <w:lang w:val="en-GB"/>
        </w:rPr>
      </w:pPr>
      <w:r w:rsidRPr="00C51293">
        <w:rPr>
          <w:lang w:val="en-GB"/>
        </w:rPr>
        <w:lastRenderedPageBreak/>
        <w:t xml:space="preserve">Kim, R., Mohanty, S. K., &amp; Subramanian, S. V. (2016). Multilevel geographies of poverty in India. </w:t>
      </w:r>
      <w:r w:rsidRPr="00C51293">
        <w:rPr>
          <w:rStyle w:val="Emphasis"/>
          <w:lang w:val="en-GB"/>
        </w:rPr>
        <w:t>World Development, 87</w:t>
      </w:r>
      <w:r w:rsidRPr="00C51293">
        <w:rPr>
          <w:lang w:val="en-GB"/>
        </w:rPr>
        <w:t xml:space="preserve">, 349–359. </w:t>
      </w:r>
      <w:hyperlink r:id="rId14" w:history="1">
        <w:r w:rsidRPr="00C51293">
          <w:rPr>
            <w:rStyle w:val="Hyperlink"/>
            <w:lang w:val="en-GB"/>
          </w:rPr>
          <w:t>https://doi.org/10.1016/j.worlddev.2016.07.001</w:t>
        </w:r>
      </w:hyperlink>
      <w:r w:rsidRPr="00C51293">
        <w:rPr>
          <w:lang w:val="en-GB"/>
        </w:rPr>
        <w:t xml:space="preserve"> </w:t>
      </w:r>
    </w:p>
    <w:p w:rsidR="0032634C" w:rsidRPr="00C51293" w:rsidRDefault="0032634C" w:rsidP="00C1102F">
      <w:pPr>
        <w:pStyle w:val="NormalWeb"/>
        <w:jc w:val="both"/>
        <w:rPr>
          <w:lang w:val="en-GB"/>
        </w:rPr>
      </w:pPr>
      <w:proofErr w:type="spellStart"/>
      <w:r w:rsidRPr="00C51293">
        <w:rPr>
          <w:lang w:val="en-GB"/>
        </w:rPr>
        <w:t>Klasen</w:t>
      </w:r>
      <w:proofErr w:type="spellEnd"/>
      <w:r w:rsidRPr="00C51293">
        <w:rPr>
          <w:lang w:val="en-GB"/>
        </w:rPr>
        <w:t xml:space="preserve">, S. (2006). UNDP’s gender-related measures: Some conceptual problems and possible solutions. </w:t>
      </w:r>
      <w:r w:rsidRPr="00C51293">
        <w:rPr>
          <w:rStyle w:val="Emphasis"/>
          <w:lang w:val="en-GB"/>
        </w:rPr>
        <w:t>Journal of Human Development and Capabilities, 7</w:t>
      </w:r>
      <w:r w:rsidRPr="00C51293">
        <w:rPr>
          <w:lang w:val="en-GB"/>
        </w:rPr>
        <w:t>(2), 243–274. https://doi.org/10.1080/14649880600768595</w:t>
      </w:r>
    </w:p>
    <w:p w:rsidR="0032634C" w:rsidRDefault="0032634C" w:rsidP="00C1102F">
      <w:pPr>
        <w:pStyle w:val="NormalWeb"/>
        <w:jc w:val="both"/>
        <w:rPr>
          <w:lang w:val="en-GB"/>
        </w:rPr>
      </w:pPr>
      <w:r w:rsidRPr="00C51293">
        <w:rPr>
          <w:lang w:val="en-GB"/>
        </w:rPr>
        <w:t xml:space="preserve">Mondal, S. (2025). </w:t>
      </w:r>
      <w:r w:rsidRPr="00C51293">
        <w:rPr>
          <w:rStyle w:val="Emphasis"/>
          <w:lang w:val="en-GB"/>
        </w:rPr>
        <w:t>Neoliberalism and gender justice: Examining economic reforms and feminist responses in India</w:t>
      </w:r>
      <w:r w:rsidRPr="00C51293">
        <w:rPr>
          <w:lang w:val="en-GB"/>
        </w:rPr>
        <w:t xml:space="preserve">. </w:t>
      </w:r>
      <w:r w:rsidRPr="00C51293">
        <w:rPr>
          <w:rStyle w:val="Strong"/>
          <w:b w:val="0"/>
          <w:lang w:val="en-GB"/>
        </w:rPr>
        <w:t>Asian Journal of Arts, Humanities and Social Studies, 8</w:t>
      </w:r>
      <w:r w:rsidRPr="00C51293">
        <w:rPr>
          <w:lang w:val="en-GB"/>
        </w:rPr>
        <w:t xml:space="preserve">(1), 11–30. </w:t>
      </w:r>
      <w:hyperlink r:id="rId15" w:tgtFrame="_new" w:history="1">
        <w:r w:rsidRPr="00C51293">
          <w:rPr>
            <w:rStyle w:val="Hyperlink"/>
            <w:lang w:val="en-GB"/>
          </w:rPr>
          <w:t>https://doi.org/10.56557/ajahss/2025/v8i174</w:t>
        </w:r>
      </w:hyperlink>
    </w:p>
    <w:p w:rsidR="0032634C" w:rsidRPr="00C51293" w:rsidRDefault="0032634C" w:rsidP="00C1102F">
      <w:pPr>
        <w:pStyle w:val="NormalWeb"/>
        <w:jc w:val="both"/>
        <w:rPr>
          <w:lang w:val="en-GB"/>
        </w:rPr>
      </w:pPr>
      <w:r w:rsidRPr="00C51293">
        <w:rPr>
          <w:lang w:val="en-GB"/>
        </w:rPr>
        <w:t xml:space="preserve">Niranjan, R. (2020). Spatial inequality in human development in India: A case study of Karnataka. </w:t>
      </w:r>
      <w:r w:rsidRPr="00C51293">
        <w:rPr>
          <w:rStyle w:val="Emphasis"/>
          <w:lang w:val="en-GB"/>
        </w:rPr>
        <w:t>Sustainable Futures, 2</w:t>
      </w:r>
      <w:r w:rsidRPr="00C51293">
        <w:rPr>
          <w:lang w:val="en-GB"/>
        </w:rPr>
        <w:t xml:space="preserve">, 100024. </w:t>
      </w:r>
      <w:hyperlink r:id="rId16" w:tgtFrame="_new" w:history="1">
        <w:r w:rsidRPr="00C51293">
          <w:rPr>
            <w:rStyle w:val="Hyperlink"/>
            <w:lang w:val="en-GB"/>
          </w:rPr>
          <w:t>https://doi.org/10.1016/j.sftr.2020.100024</w:t>
        </w:r>
      </w:hyperlink>
    </w:p>
    <w:p w:rsidR="0032634C" w:rsidRPr="00C51293" w:rsidRDefault="0032634C" w:rsidP="00C1102F">
      <w:pPr>
        <w:pStyle w:val="NormalWeb"/>
        <w:jc w:val="both"/>
        <w:rPr>
          <w:lang w:val="en-GB"/>
        </w:rPr>
      </w:pPr>
      <w:proofErr w:type="spellStart"/>
      <w:r w:rsidRPr="00C51293">
        <w:rPr>
          <w:lang w:val="en-GB"/>
        </w:rPr>
        <w:t>Ohlan</w:t>
      </w:r>
      <w:proofErr w:type="spellEnd"/>
      <w:r w:rsidRPr="00C51293">
        <w:rPr>
          <w:lang w:val="en-GB"/>
        </w:rPr>
        <w:t xml:space="preserve">, R. (2013). Pattern of regional disparities in socio-economic development in India: District level analysis. </w:t>
      </w:r>
      <w:r w:rsidRPr="00C51293">
        <w:rPr>
          <w:rStyle w:val="Emphasis"/>
          <w:lang w:val="en-GB"/>
        </w:rPr>
        <w:t>Social Indicators Research, 114</w:t>
      </w:r>
      <w:r w:rsidRPr="00C51293">
        <w:rPr>
          <w:lang w:val="en-GB"/>
        </w:rPr>
        <w:t>(3), 841–873. https://doi.org/10.1007/s11205-012-0176-8</w:t>
      </w:r>
    </w:p>
    <w:p w:rsidR="0032634C" w:rsidRPr="00C51293" w:rsidRDefault="0032634C" w:rsidP="00C1102F">
      <w:pPr>
        <w:pStyle w:val="NormalWeb"/>
        <w:jc w:val="both"/>
        <w:rPr>
          <w:lang w:val="en-GB"/>
        </w:rPr>
      </w:pPr>
      <w:r w:rsidRPr="00C51293">
        <w:rPr>
          <w:lang w:val="en-GB"/>
        </w:rPr>
        <w:t xml:space="preserve">Panda, B. K., Kumar, G., &amp; Awasthi, A. (2020). District level inequality in reproductive, </w:t>
      </w:r>
      <w:r w:rsidRPr="00FE4F46">
        <w:rPr>
          <w:highlight w:val="yellow"/>
          <w:lang w:val="en-GB"/>
        </w:rPr>
        <w:t xml:space="preserve">maternal, neonatal and child health coverage in India. </w:t>
      </w:r>
      <w:r w:rsidRPr="00FE4F46">
        <w:rPr>
          <w:rStyle w:val="Emphasis"/>
          <w:highlight w:val="yellow"/>
          <w:lang w:val="en-GB"/>
        </w:rPr>
        <w:t>BMC Public Health, 20</w:t>
      </w:r>
      <w:r w:rsidRPr="00FE4F46">
        <w:rPr>
          <w:highlight w:val="yellow"/>
          <w:lang w:val="en-GB"/>
        </w:rPr>
        <w:t>, 58. https://doi.org/10.1186/s12889-020-8151-9</w:t>
      </w:r>
    </w:p>
    <w:p w:rsidR="0032634C" w:rsidRPr="00C51293" w:rsidRDefault="0032634C" w:rsidP="00C1102F">
      <w:pPr>
        <w:pStyle w:val="NormalWeb"/>
        <w:jc w:val="both"/>
        <w:rPr>
          <w:lang w:val="en-GB"/>
        </w:rPr>
      </w:pPr>
      <w:r w:rsidRPr="00C51293">
        <w:rPr>
          <w:lang w:val="en-GB"/>
        </w:rPr>
        <w:t xml:space="preserve">Rajpal, S., Kim, J., Joe, W., Kim, R., &amp; Subramanian, S. V. (2021). Small area variation in child undernutrition across 640 districts and 543 parliamentary constituencies in India. </w:t>
      </w:r>
      <w:r w:rsidRPr="00C51293">
        <w:rPr>
          <w:rStyle w:val="Emphasis"/>
          <w:lang w:val="en-GB"/>
        </w:rPr>
        <w:t>Scientific Reports, 11</w:t>
      </w:r>
      <w:r w:rsidRPr="00C51293">
        <w:rPr>
          <w:lang w:val="en-GB"/>
        </w:rPr>
        <w:t>, 4558. https://doi.org/10.1038/s41598-021-83992-6</w:t>
      </w:r>
    </w:p>
    <w:p w:rsidR="0032634C" w:rsidRPr="00C51293" w:rsidRDefault="0032634C" w:rsidP="00C1102F">
      <w:pPr>
        <w:pStyle w:val="NormalWeb"/>
        <w:jc w:val="both"/>
        <w:rPr>
          <w:lang w:val="en-GB"/>
        </w:rPr>
      </w:pPr>
      <w:proofErr w:type="spellStart"/>
      <w:r w:rsidRPr="00C51293">
        <w:rPr>
          <w:lang w:val="en-GB"/>
        </w:rPr>
        <w:t>Rammohan</w:t>
      </w:r>
      <w:proofErr w:type="spellEnd"/>
      <w:r w:rsidRPr="00C51293">
        <w:rPr>
          <w:lang w:val="en-GB"/>
        </w:rPr>
        <w:t xml:space="preserve">, A., &amp; Vu, P. (2018). Gender inequality in education and kinship norms in India. </w:t>
      </w:r>
      <w:r w:rsidRPr="00C51293">
        <w:rPr>
          <w:rStyle w:val="Emphasis"/>
          <w:lang w:val="en-GB"/>
        </w:rPr>
        <w:t>Feminist Economics.</w:t>
      </w:r>
      <w:r w:rsidRPr="00C51293">
        <w:rPr>
          <w:lang w:val="en-GB"/>
        </w:rPr>
        <w:t xml:space="preserve"> Advance online publication. https://doi.org/10.1080/13545701.2017.1364399</w:t>
      </w:r>
    </w:p>
    <w:p w:rsidR="0032634C" w:rsidRPr="00C51293" w:rsidRDefault="0032634C" w:rsidP="00C1102F">
      <w:pPr>
        <w:pStyle w:val="NormalWeb"/>
        <w:jc w:val="both"/>
        <w:rPr>
          <w:lang w:val="en-GB"/>
        </w:rPr>
      </w:pPr>
      <w:r w:rsidRPr="00C51293">
        <w:rPr>
          <w:lang w:val="en-GB"/>
        </w:rPr>
        <w:t xml:space="preserve">Sharma, M., &amp; </w:t>
      </w:r>
      <w:proofErr w:type="spellStart"/>
      <w:r w:rsidRPr="00C51293">
        <w:rPr>
          <w:lang w:val="en-GB"/>
        </w:rPr>
        <w:t>Maiti</w:t>
      </w:r>
      <w:proofErr w:type="spellEnd"/>
      <w:r w:rsidRPr="00C51293">
        <w:rPr>
          <w:lang w:val="en-GB"/>
        </w:rPr>
        <w:t xml:space="preserve">, S. (2026). Tracing the current status of gender inequality in Indian primary, upper primary, secondary and higher secondary education: A state-specific analysis. </w:t>
      </w:r>
      <w:r w:rsidRPr="00C51293">
        <w:rPr>
          <w:rStyle w:val="Emphasis"/>
          <w:lang w:val="en-GB"/>
        </w:rPr>
        <w:t>Asian Journal of Education and Social Studies, 52</w:t>
      </w:r>
      <w:r w:rsidRPr="00C51293">
        <w:rPr>
          <w:lang w:val="en-GB"/>
        </w:rPr>
        <w:t xml:space="preserve">(1), 571–587. </w:t>
      </w:r>
      <w:hyperlink r:id="rId17" w:tgtFrame="_new" w:history="1">
        <w:r w:rsidRPr="00C51293">
          <w:rPr>
            <w:rStyle w:val="Hyperlink"/>
            <w:lang w:val="en-GB"/>
          </w:rPr>
          <w:t>https://doi.org/10.9734/ajess/2026/v52i12800</w:t>
        </w:r>
      </w:hyperlink>
      <w:r w:rsidRPr="00C51293">
        <w:rPr>
          <w:lang w:val="en-GB"/>
        </w:rPr>
        <w:t xml:space="preserve"> </w:t>
      </w:r>
    </w:p>
    <w:p w:rsidR="0032634C" w:rsidRPr="00C51293" w:rsidRDefault="0032634C" w:rsidP="00C1102F">
      <w:pPr>
        <w:pStyle w:val="NormalWeb"/>
        <w:jc w:val="both"/>
        <w:rPr>
          <w:lang w:val="en-GB"/>
        </w:rPr>
      </w:pPr>
      <w:r w:rsidRPr="00C51293">
        <w:rPr>
          <w:lang w:val="en-GB"/>
        </w:rPr>
        <w:t xml:space="preserve">Srivastava, S., Kumar, K., McDougal, L., Upadhyay, A. K., Hay, K., &amp; Singh, A. (2025). Mapping women’s work in India: An application of small area estimation. </w:t>
      </w:r>
      <w:r w:rsidRPr="00C51293">
        <w:rPr>
          <w:rStyle w:val="Emphasis"/>
          <w:lang w:val="en-GB"/>
        </w:rPr>
        <w:t>PLOS ONE, 20</w:t>
      </w:r>
      <w:r w:rsidRPr="00C51293">
        <w:rPr>
          <w:lang w:val="en-GB"/>
        </w:rPr>
        <w:t xml:space="preserve">(2), </w:t>
      </w:r>
      <w:r w:rsidRPr="00FE4F46">
        <w:rPr>
          <w:highlight w:val="yellow"/>
          <w:lang w:val="en-GB"/>
        </w:rPr>
        <w:t xml:space="preserve">e0317783. </w:t>
      </w:r>
      <w:hyperlink r:id="rId18" w:history="1">
        <w:r w:rsidRPr="00FE4F46">
          <w:rPr>
            <w:rStyle w:val="Hyperlink"/>
            <w:highlight w:val="yellow"/>
            <w:lang w:val="en-GB"/>
          </w:rPr>
          <w:t>https://doi.org/10.1371/journal.pone.0317783</w:t>
        </w:r>
      </w:hyperlink>
    </w:p>
    <w:p w:rsidR="0032634C" w:rsidRDefault="0032634C" w:rsidP="00C1102F">
      <w:pPr>
        <w:pStyle w:val="NormalWeb"/>
        <w:jc w:val="both"/>
        <w:rPr>
          <w:rStyle w:val="Hyperlink"/>
          <w:lang w:val="en-GB"/>
        </w:rPr>
      </w:pPr>
      <w:r w:rsidRPr="00C51293">
        <w:rPr>
          <w:lang w:val="en-GB"/>
        </w:rPr>
        <w:t xml:space="preserve">Yadav, B. L. (2026). Inter-state disparities in female educational attainment in India: A composite index based analysis using NFHS-V data. </w:t>
      </w:r>
      <w:r w:rsidRPr="00C51293">
        <w:rPr>
          <w:rStyle w:val="Emphasis"/>
          <w:lang w:val="en-GB"/>
        </w:rPr>
        <w:t>Journal of Education, Society and Behavioural Science, 39</w:t>
      </w:r>
      <w:r w:rsidRPr="00C51293">
        <w:rPr>
          <w:lang w:val="en-GB"/>
        </w:rPr>
        <w:t xml:space="preserve">(1), 37–46. </w:t>
      </w:r>
      <w:hyperlink r:id="rId19" w:tgtFrame="_new" w:history="1">
        <w:r w:rsidRPr="00C51293">
          <w:rPr>
            <w:rStyle w:val="Hyperlink"/>
            <w:lang w:val="en-GB"/>
          </w:rPr>
          <w:t>https://doi.org/10.9734/jesbs/2026/v39i11456</w:t>
        </w:r>
      </w:hyperlink>
    </w:p>
    <w:p w:rsidR="0008670C" w:rsidRDefault="0008670C" w:rsidP="00C1102F">
      <w:pPr>
        <w:pStyle w:val="NormalWeb"/>
        <w:jc w:val="both"/>
        <w:rPr>
          <w:lang w:val="en-GB"/>
        </w:rPr>
      </w:pPr>
      <w:r w:rsidRPr="0008670C">
        <w:rPr>
          <w:highlight w:val="yellow"/>
          <w:lang w:val="en-GB"/>
        </w:rPr>
        <w:t xml:space="preserve">Al </w:t>
      </w:r>
      <w:proofErr w:type="spellStart"/>
      <w:r w:rsidRPr="0008670C">
        <w:rPr>
          <w:highlight w:val="yellow"/>
          <w:lang w:val="en-GB"/>
        </w:rPr>
        <w:t>Azies</w:t>
      </w:r>
      <w:proofErr w:type="spellEnd"/>
      <w:r w:rsidRPr="0008670C">
        <w:rPr>
          <w:highlight w:val="yellow"/>
          <w:lang w:val="en-GB"/>
        </w:rPr>
        <w:t>, H. (2023, October). Gender Equality and Women's Participation in Indonesian Employment: An Empirical Study from A Spatial Perspective. In Proceeding Book of The International Conference on Manpower and Sustainable Development: Transformation of Manpower in the Changing World of Work (Vol. 1).</w:t>
      </w:r>
      <w:r w:rsidR="00CE5101" w:rsidRPr="00CE5101">
        <w:t xml:space="preserve"> </w:t>
      </w:r>
      <w:hyperlink r:id="rId20" w:history="1">
        <w:r w:rsidR="00CE5101" w:rsidRPr="00D23274">
          <w:rPr>
            <w:rStyle w:val="Hyperlink"/>
            <w:lang w:val="en-GB"/>
          </w:rPr>
          <w:t>https://jurnal.polteknaker.ac.id/index.php/Imside/article/view/82</w:t>
        </w:r>
      </w:hyperlink>
      <w:r w:rsidR="00CE5101">
        <w:rPr>
          <w:lang w:val="en-GB"/>
        </w:rPr>
        <w:t xml:space="preserve"> </w:t>
      </w:r>
    </w:p>
    <w:p w:rsidR="00A35D74" w:rsidRDefault="00A35D74" w:rsidP="00C1102F">
      <w:pPr>
        <w:pStyle w:val="NormalWeb"/>
        <w:jc w:val="both"/>
        <w:rPr>
          <w:lang w:val="en-GB"/>
        </w:rPr>
      </w:pPr>
      <w:r w:rsidRPr="00A35D74">
        <w:rPr>
          <w:lang w:val="en-GB"/>
        </w:rPr>
        <w:lastRenderedPageBreak/>
        <w:t>B</w:t>
      </w:r>
      <w:r w:rsidRPr="00A35D74">
        <w:rPr>
          <w:highlight w:val="yellow"/>
          <w:lang w:val="en-GB"/>
        </w:rPr>
        <w:t>anerjee, M. (2019). Gender equality and labour force participation: Mind the gap. ANTYAJAA: Indian Journal of Women and Social Change, 4(1), 113-123.</w:t>
      </w:r>
      <w:r w:rsidR="003977CD">
        <w:rPr>
          <w:highlight w:val="yellow"/>
          <w:lang w:val="en-GB"/>
        </w:rPr>
        <w:t xml:space="preserve"> </w:t>
      </w:r>
      <w:hyperlink r:id="rId21" w:history="1">
        <w:r w:rsidR="003977CD" w:rsidRPr="00D23274">
          <w:rPr>
            <w:rStyle w:val="Hyperlink"/>
            <w:lang w:val="en-GB"/>
          </w:rPr>
          <w:t>https://doi.org/10.1177/2455632719831827</w:t>
        </w:r>
      </w:hyperlink>
      <w:r w:rsidR="003977CD">
        <w:rPr>
          <w:lang w:val="en-GB"/>
        </w:rPr>
        <w:t xml:space="preserve"> </w:t>
      </w:r>
    </w:p>
    <w:p w:rsidR="004B3868" w:rsidRDefault="004B3868" w:rsidP="00C1102F">
      <w:pPr>
        <w:pStyle w:val="NormalWeb"/>
        <w:jc w:val="both"/>
        <w:rPr>
          <w:lang w:val="en-GB"/>
        </w:rPr>
      </w:pPr>
    </w:p>
    <w:p w:rsidR="00220ADF" w:rsidRPr="00C51293" w:rsidRDefault="00220ADF" w:rsidP="00C1102F">
      <w:pPr>
        <w:pStyle w:val="NormalWeb"/>
        <w:jc w:val="both"/>
        <w:rPr>
          <w:lang w:val="en-GB"/>
        </w:rPr>
      </w:pPr>
    </w:p>
    <w:p w:rsidR="00A34E95" w:rsidRPr="00C51293" w:rsidRDefault="00A34E95" w:rsidP="00C1102F">
      <w:pPr>
        <w:pStyle w:val="NormalWeb"/>
        <w:jc w:val="both"/>
        <w:rPr>
          <w:lang w:val="en-GB"/>
        </w:rPr>
      </w:pPr>
      <w:r w:rsidRPr="00C51293">
        <w:rPr>
          <w:color w:val="212121"/>
          <w:shd w:val="clear" w:color="auto" w:fill="FFFFFF"/>
          <w:lang w:val="en-GB"/>
        </w:rPr>
        <w:t xml:space="preserve"> </w:t>
      </w:r>
    </w:p>
    <w:sectPr w:rsidR="00A34E95" w:rsidRPr="00C51293" w:rsidSect="00CB6EB6">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7919" w:rsidRDefault="007A7919" w:rsidP="0058696B">
      <w:pPr>
        <w:spacing w:after="0" w:line="240" w:lineRule="auto"/>
      </w:pPr>
      <w:r>
        <w:separator/>
      </w:r>
    </w:p>
  </w:endnote>
  <w:endnote w:type="continuationSeparator" w:id="0">
    <w:p w:rsidR="007A7919" w:rsidRDefault="007A7919" w:rsidP="00586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96B" w:rsidRDefault="005869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96B" w:rsidRDefault="005869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96B" w:rsidRDefault="00586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7919" w:rsidRDefault="007A7919" w:rsidP="0058696B">
      <w:pPr>
        <w:spacing w:after="0" w:line="240" w:lineRule="auto"/>
      </w:pPr>
      <w:r>
        <w:separator/>
      </w:r>
    </w:p>
  </w:footnote>
  <w:footnote w:type="continuationSeparator" w:id="0">
    <w:p w:rsidR="007A7919" w:rsidRDefault="007A7919" w:rsidP="005869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96B" w:rsidRDefault="007A791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96B" w:rsidRDefault="007A791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96B" w:rsidRDefault="007A791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11774"/>
    <w:multiLevelType w:val="hybridMultilevel"/>
    <w:tmpl w:val="E9FE5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A6F44"/>
    <w:multiLevelType w:val="hybridMultilevel"/>
    <w:tmpl w:val="A5309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676E73"/>
    <w:multiLevelType w:val="hybridMultilevel"/>
    <w:tmpl w:val="2438D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BC7097"/>
    <w:multiLevelType w:val="hybridMultilevel"/>
    <w:tmpl w:val="66286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DB7CCF"/>
    <w:multiLevelType w:val="hybridMultilevel"/>
    <w:tmpl w:val="E2404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A61507"/>
    <w:multiLevelType w:val="hybridMultilevel"/>
    <w:tmpl w:val="BB6CC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A91791"/>
    <w:multiLevelType w:val="hybridMultilevel"/>
    <w:tmpl w:val="A6CA3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A961EE"/>
    <w:multiLevelType w:val="hybridMultilevel"/>
    <w:tmpl w:val="8AB27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4"/>
  </w:num>
  <w:num w:numId="4">
    <w:abstractNumId w:val="1"/>
  </w:num>
  <w:num w:numId="5">
    <w:abstractNumId w:val="0"/>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MwMzM2srA0MjExMjBQ0lEKTi0uzszPAykwrAUAU6FKkSwAAAA="/>
  </w:docVars>
  <w:rsids>
    <w:rsidRoot w:val="00761CB6"/>
    <w:rsid w:val="00004A77"/>
    <w:rsid w:val="000078F4"/>
    <w:rsid w:val="00007AAB"/>
    <w:rsid w:val="000336E1"/>
    <w:rsid w:val="000425DD"/>
    <w:rsid w:val="00053D7A"/>
    <w:rsid w:val="0005616C"/>
    <w:rsid w:val="0006037D"/>
    <w:rsid w:val="000607E4"/>
    <w:rsid w:val="0006413B"/>
    <w:rsid w:val="000643E7"/>
    <w:rsid w:val="0006527C"/>
    <w:rsid w:val="000652AA"/>
    <w:rsid w:val="000656B9"/>
    <w:rsid w:val="000814C4"/>
    <w:rsid w:val="0008670C"/>
    <w:rsid w:val="00086EDD"/>
    <w:rsid w:val="000A0EB4"/>
    <w:rsid w:val="000A2A54"/>
    <w:rsid w:val="000A79B2"/>
    <w:rsid w:val="000B75EF"/>
    <w:rsid w:val="000C0D71"/>
    <w:rsid w:val="000C411D"/>
    <w:rsid w:val="000C4F0E"/>
    <w:rsid w:val="000D461E"/>
    <w:rsid w:val="000D6AAA"/>
    <w:rsid w:val="000D7028"/>
    <w:rsid w:val="000D7DCE"/>
    <w:rsid w:val="000E33DE"/>
    <w:rsid w:val="000E67D1"/>
    <w:rsid w:val="000E709D"/>
    <w:rsid w:val="000F14D5"/>
    <w:rsid w:val="000F27AA"/>
    <w:rsid w:val="00106862"/>
    <w:rsid w:val="00111181"/>
    <w:rsid w:val="00114147"/>
    <w:rsid w:val="001261CC"/>
    <w:rsid w:val="00126ADF"/>
    <w:rsid w:val="001276CD"/>
    <w:rsid w:val="00131E50"/>
    <w:rsid w:val="00135191"/>
    <w:rsid w:val="00142919"/>
    <w:rsid w:val="0014312B"/>
    <w:rsid w:val="001514E1"/>
    <w:rsid w:val="001560E3"/>
    <w:rsid w:val="001622A1"/>
    <w:rsid w:val="00166050"/>
    <w:rsid w:val="00170C08"/>
    <w:rsid w:val="001860B4"/>
    <w:rsid w:val="00186E2A"/>
    <w:rsid w:val="00187CBB"/>
    <w:rsid w:val="0019059D"/>
    <w:rsid w:val="0019667B"/>
    <w:rsid w:val="001A165A"/>
    <w:rsid w:val="001A3703"/>
    <w:rsid w:val="001A6A2C"/>
    <w:rsid w:val="001A7A4E"/>
    <w:rsid w:val="001B2FA4"/>
    <w:rsid w:val="001B5753"/>
    <w:rsid w:val="001B7806"/>
    <w:rsid w:val="001D7EA7"/>
    <w:rsid w:val="001E6EC5"/>
    <w:rsid w:val="00202F35"/>
    <w:rsid w:val="00203EFF"/>
    <w:rsid w:val="0022042D"/>
    <w:rsid w:val="00220ADF"/>
    <w:rsid w:val="002216D7"/>
    <w:rsid w:val="002312EA"/>
    <w:rsid w:val="0024324D"/>
    <w:rsid w:val="00246BC3"/>
    <w:rsid w:val="00257AC1"/>
    <w:rsid w:val="00260455"/>
    <w:rsid w:val="00260B1D"/>
    <w:rsid w:val="002673C8"/>
    <w:rsid w:val="00267B17"/>
    <w:rsid w:val="00271A26"/>
    <w:rsid w:val="002778DD"/>
    <w:rsid w:val="00284F1F"/>
    <w:rsid w:val="0029252A"/>
    <w:rsid w:val="00294D81"/>
    <w:rsid w:val="002A01F2"/>
    <w:rsid w:val="002A27A8"/>
    <w:rsid w:val="002A4C47"/>
    <w:rsid w:val="002B76E6"/>
    <w:rsid w:val="002C0DF9"/>
    <w:rsid w:val="002C48BB"/>
    <w:rsid w:val="002D0FD7"/>
    <w:rsid w:val="002D6FFA"/>
    <w:rsid w:val="002E0776"/>
    <w:rsid w:val="002E39D4"/>
    <w:rsid w:val="002E404D"/>
    <w:rsid w:val="002F0434"/>
    <w:rsid w:val="002F3625"/>
    <w:rsid w:val="002F3AC7"/>
    <w:rsid w:val="002F4C0C"/>
    <w:rsid w:val="00307595"/>
    <w:rsid w:val="0031286E"/>
    <w:rsid w:val="00316D75"/>
    <w:rsid w:val="00317E7E"/>
    <w:rsid w:val="00324164"/>
    <w:rsid w:val="0032634C"/>
    <w:rsid w:val="00332243"/>
    <w:rsid w:val="0033735F"/>
    <w:rsid w:val="00343C0B"/>
    <w:rsid w:val="0035701C"/>
    <w:rsid w:val="003664CE"/>
    <w:rsid w:val="00366882"/>
    <w:rsid w:val="003740DE"/>
    <w:rsid w:val="003909C0"/>
    <w:rsid w:val="00391BB6"/>
    <w:rsid w:val="003975AE"/>
    <w:rsid w:val="003977CD"/>
    <w:rsid w:val="003A104D"/>
    <w:rsid w:val="003A20C7"/>
    <w:rsid w:val="003A4787"/>
    <w:rsid w:val="003A71E9"/>
    <w:rsid w:val="003B035B"/>
    <w:rsid w:val="003B09B4"/>
    <w:rsid w:val="003B31CA"/>
    <w:rsid w:val="003B3553"/>
    <w:rsid w:val="003B400E"/>
    <w:rsid w:val="003B64F9"/>
    <w:rsid w:val="003B6CCD"/>
    <w:rsid w:val="003B73A7"/>
    <w:rsid w:val="003C31E9"/>
    <w:rsid w:val="003C4000"/>
    <w:rsid w:val="003E35A3"/>
    <w:rsid w:val="003E61B2"/>
    <w:rsid w:val="003F02C5"/>
    <w:rsid w:val="003F6E91"/>
    <w:rsid w:val="00400005"/>
    <w:rsid w:val="004032F1"/>
    <w:rsid w:val="00405181"/>
    <w:rsid w:val="004132B1"/>
    <w:rsid w:val="004148C1"/>
    <w:rsid w:val="004148F5"/>
    <w:rsid w:val="00416C8C"/>
    <w:rsid w:val="00423789"/>
    <w:rsid w:val="004271AB"/>
    <w:rsid w:val="00434B0A"/>
    <w:rsid w:val="00443B5D"/>
    <w:rsid w:val="00445A92"/>
    <w:rsid w:val="00450568"/>
    <w:rsid w:val="0045531D"/>
    <w:rsid w:val="00456E20"/>
    <w:rsid w:val="004615AF"/>
    <w:rsid w:val="00462739"/>
    <w:rsid w:val="00463D85"/>
    <w:rsid w:val="004644EB"/>
    <w:rsid w:val="00471027"/>
    <w:rsid w:val="004711B7"/>
    <w:rsid w:val="004754A5"/>
    <w:rsid w:val="004951DA"/>
    <w:rsid w:val="004A16BD"/>
    <w:rsid w:val="004A508F"/>
    <w:rsid w:val="004A5427"/>
    <w:rsid w:val="004A586B"/>
    <w:rsid w:val="004A7955"/>
    <w:rsid w:val="004B02DF"/>
    <w:rsid w:val="004B3868"/>
    <w:rsid w:val="004C1A63"/>
    <w:rsid w:val="004C421D"/>
    <w:rsid w:val="004C6306"/>
    <w:rsid w:val="004C7547"/>
    <w:rsid w:val="004D7170"/>
    <w:rsid w:val="004E1999"/>
    <w:rsid w:val="004E7311"/>
    <w:rsid w:val="004F07D5"/>
    <w:rsid w:val="004F2BB5"/>
    <w:rsid w:val="004F5E1D"/>
    <w:rsid w:val="004F7DFC"/>
    <w:rsid w:val="00505FA4"/>
    <w:rsid w:val="00516AA1"/>
    <w:rsid w:val="00523936"/>
    <w:rsid w:val="0052448D"/>
    <w:rsid w:val="0054487D"/>
    <w:rsid w:val="00554C7D"/>
    <w:rsid w:val="005577C6"/>
    <w:rsid w:val="0056389E"/>
    <w:rsid w:val="00564FB4"/>
    <w:rsid w:val="00565594"/>
    <w:rsid w:val="00565C3C"/>
    <w:rsid w:val="00571246"/>
    <w:rsid w:val="0058696B"/>
    <w:rsid w:val="005A2AA6"/>
    <w:rsid w:val="005A5DEC"/>
    <w:rsid w:val="005B22C5"/>
    <w:rsid w:val="005B4ADB"/>
    <w:rsid w:val="005D2267"/>
    <w:rsid w:val="005D5E75"/>
    <w:rsid w:val="005D68FB"/>
    <w:rsid w:val="005F1FE6"/>
    <w:rsid w:val="006009AA"/>
    <w:rsid w:val="00605701"/>
    <w:rsid w:val="0061271E"/>
    <w:rsid w:val="0061521F"/>
    <w:rsid w:val="006156FC"/>
    <w:rsid w:val="00622C65"/>
    <w:rsid w:val="00626F6E"/>
    <w:rsid w:val="00632906"/>
    <w:rsid w:val="0063716F"/>
    <w:rsid w:val="0064677F"/>
    <w:rsid w:val="006500A6"/>
    <w:rsid w:val="00650475"/>
    <w:rsid w:val="00655F10"/>
    <w:rsid w:val="00657005"/>
    <w:rsid w:val="00661483"/>
    <w:rsid w:val="006618F5"/>
    <w:rsid w:val="0067007E"/>
    <w:rsid w:val="00671CE7"/>
    <w:rsid w:val="00676549"/>
    <w:rsid w:val="0067685B"/>
    <w:rsid w:val="00683EC3"/>
    <w:rsid w:val="00687524"/>
    <w:rsid w:val="006907D2"/>
    <w:rsid w:val="00692471"/>
    <w:rsid w:val="00693DFE"/>
    <w:rsid w:val="00695D59"/>
    <w:rsid w:val="006A2C8B"/>
    <w:rsid w:val="006A39B3"/>
    <w:rsid w:val="006A7ABC"/>
    <w:rsid w:val="006B578E"/>
    <w:rsid w:val="006B57D5"/>
    <w:rsid w:val="006B66BC"/>
    <w:rsid w:val="006D2558"/>
    <w:rsid w:val="006D455D"/>
    <w:rsid w:val="006E13D4"/>
    <w:rsid w:val="006E4B0A"/>
    <w:rsid w:val="006F1ABF"/>
    <w:rsid w:val="006F1FC2"/>
    <w:rsid w:val="006F708E"/>
    <w:rsid w:val="00705A87"/>
    <w:rsid w:val="00711B14"/>
    <w:rsid w:val="00713825"/>
    <w:rsid w:val="00720F41"/>
    <w:rsid w:val="00721966"/>
    <w:rsid w:val="00737A32"/>
    <w:rsid w:val="007434EA"/>
    <w:rsid w:val="00755BDC"/>
    <w:rsid w:val="00761CB6"/>
    <w:rsid w:val="00773599"/>
    <w:rsid w:val="00774395"/>
    <w:rsid w:val="0077761A"/>
    <w:rsid w:val="0078275D"/>
    <w:rsid w:val="00783E9E"/>
    <w:rsid w:val="00786C67"/>
    <w:rsid w:val="00791141"/>
    <w:rsid w:val="00796571"/>
    <w:rsid w:val="007A25E7"/>
    <w:rsid w:val="007A5BAB"/>
    <w:rsid w:val="007A7919"/>
    <w:rsid w:val="007B0E74"/>
    <w:rsid w:val="007B437D"/>
    <w:rsid w:val="007C5F8A"/>
    <w:rsid w:val="007C7951"/>
    <w:rsid w:val="007D03BC"/>
    <w:rsid w:val="007D38FC"/>
    <w:rsid w:val="007D6740"/>
    <w:rsid w:val="007E249F"/>
    <w:rsid w:val="007F1928"/>
    <w:rsid w:val="008017C0"/>
    <w:rsid w:val="00804929"/>
    <w:rsid w:val="008107F6"/>
    <w:rsid w:val="00812006"/>
    <w:rsid w:val="008132DB"/>
    <w:rsid w:val="00820C75"/>
    <w:rsid w:val="00831623"/>
    <w:rsid w:val="0083179B"/>
    <w:rsid w:val="008374C4"/>
    <w:rsid w:val="008426E2"/>
    <w:rsid w:val="008461BC"/>
    <w:rsid w:val="00851466"/>
    <w:rsid w:val="00852537"/>
    <w:rsid w:val="00855A4C"/>
    <w:rsid w:val="00856AFD"/>
    <w:rsid w:val="0087023A"/>
    <w:rsid w:val="00870945"/>
    <w:rsid w:val="00872F5F"/>
    <w:rsid w:val="00876190"/>
    <w:rsid w:val="008811F8"/>
    <w:rsid w:val="00881487"/>
    <w:rsid w:val="00883166"/>
    <w:rsid w:val="00891C2F"/>
    <w:rsid w:val="00893BAA"/>
    <w:rsid w:val="008A2470"/>
    <w:rsid w:val="008A4BFC"/>
    <w:rsid w:val="008A7416"/>
    <w:rsid w:val="008D0444"/>
    <w:rsid w:val="008E71C6"/>
    <w:rsid w:val="008F3850"/>
    <w:rsid w:val="00904403"/>
    <w:rsid w:val="009109E2"/>
    <w:rsid w:val="00916DED"/>
    <w:rsid w:val="00921557"/>
    <w:rsid w:val="00925CAF"/>
    <w:rsid w:val="00926AE1"/>
    <w:rsid w:val="009302A6"/>
    <w:rsid w:val="009333FF"/>
    <w:rsid w:val="00935182"/>
    <w:rsid w:val="0094256C"/>
    <w:rsid w:val="00944906"/>
    <w:rsid w:val="00951A3D"/>
    <w:rsid w:val="009536DC"/>
    <w:rsid w:val="009551E6"/>
    <w:rsid w:val="00960579"/>
    <w:rsid w:val="0096776A"/>
    <w:rsid w:val="00975E52"/>
    <w:rsid w:val="009851F5"/>
    <w:rsid w:val="009903E9"/>
    <w:rsid w:val="009918F3"/>
    <w:rsid w:val="009929A7"/>
    <w:rsid w:val="00992B92"/>
    <w:rsid w:val="00994A4A"/>
    <w:rsid w:val="00994D23"/>
    <w:rsid w:val="009B3A8A"/>
    <w:rsid w:val="009B55DE"/>
    <w:rsid w:val="009C2C46"/>
    <w:rsid w:val="009C39A1"/>
    <w:rsid w:val="009D05A9"/>
    <w:rsid w:val="009D0B9D"/>
    <w:rsid w:val="009D13F6"/>
    <w:rsid w:val="009D5BA5"/>
    <w:rsid w:val="009E5244"/>
    <w:rsid w:val="009F0120"/>
    <w:rsid w:val="009F589F"/>
    <w:rsid w:val="00A00B22"/>
    <w:rsid w:val="00A029C3"/>
    <w:rsid w:val="00A1605B"/>
    <w:rsid w:val="00A2270F"/>
    <w:rsid w:val="00A22B39"/>
    <w:rsid w:val="00A23EB8"/>
    <w:rsid w:val="00A24B38"/>
    <w:rsid w:val="00A27BF4"/>
    <w:rsid w:val="00A32ED4"/>
    <w:rsid w:val="00A34E95"/>
    <w:rsid w:val="00A35A95"/>
    <w:rsid w:val="00A35D74"/>
    <w:rsid w:val="00A4069A"/>
    <w:rsid w:val="00A43928"/>
    <w:rsid w:val="00A478B2"/>
    <w:rsid w:val="00A50845"/>
    <w:rsid w:val="00A5299F"/>
    <w:rsid w:val="00A54719"/>
    <w:rsid w:val="00A57A87"/>
    <w:rsid w:val="00A62C46"/>
    <w:rsid w:val="00A64590"/>
    <w:rsid w:val="00A66C70"/>
    <w:rsid w:val="00A7055A"/>
    <w:rsid w:val="00A83053"/>
    <w:rsid w:val="00A8506E"/>
    <w:rsid w:val="00A94050"/>
    <w:rsid w:val="00A95D31"/>
    <w:rsid w:val="00A97AEF"/>
    <w:rsid w:val="00AA06F7"/>
    <w:rsid w:val="00AA2B64"/>
    <w:rsid w:val="00AA4644"/>
    <w:rsid w:val="00AA4B35"/>
    <w:rsid w:val="00AB0C7A"/>
    <w:rsid w:val="00AB1103"/>
    <w:rsid w:val="00AB632D"/>
    <w:rsid w:val="00AD7B8B"/>
    <w:rsid w:val="00AE13A7"/>
    <w:rsid w:val="00AE651D"/>
    <w:rsid w:val="00AE79C2"/>
    <w:rsid w:val="00AE7CA1"/>
    <w:rsid w:val="00AF279A"/>
    <w:rsid w:val="00AF7425"/>
    <w:rsid w:val="00B06888"/>
    <w:rsid w:val="00B07519"/>
    <w:rsid w:val="00B1065D"/>
    <w:rsid w:val="00B451DB"/>
    <w:rsid w:val="00B567DD"/>
    <w:rsid w:val="00B6043D"/>
    <w:rsid w:val="00B74506"/>
    <w:rsid w:val="00B778CE"/>
    <w:rsid w:val="00B81562"/>
    <w:rsid w:val="00B84C19"/>
    <w:rsid w:val="00B928B4"/>
    <w:rsid w:val="00BA3C57"/>
    <w:rsid w:val="00BB0BE1"/>
    <w:rsid w:val="00BB4C3B"/>
    <w:rsid w:val="00BB6828"/>
    <w:rsid w:val="00BB7829"/>
    <w:rsid w:val="00BC43AE"/>
    <w:rsid w:val="00BD22E5"/>
    <w:rsid w:val="00BE2004"/>
    <w:rsid w:val="00BF0896"/>
    <w:rsid w:val="00BF26BF"/>
    <w:rsid w:val="00BF31D8"/>
    <w:rsid w:val="00C00621"/>
    <w:rsid w:val="00C02293"/>
    <w:rsid w:val="00C033E1"/>
    <w:rsid w:val="00C04B81"/>
    <w:rsid w:val="00C077F0"/>
    <w:rsid w:val="00C100D0"/>
    <w:rsid w:val="00C1102F"/>
    <w:rsid w:val="00C1225B"/>
    <w:rsid w:val="00C12B29"/>
    <w:rsid w:val="00C13468"/>
    <w:rsid w:val="00C26094"/>
    <w:rsid w:val="00C27740"/>
    <w:rsid w:val="00C3420C"/>
    <w:rsid w:val="00C40318"/>
    <w:rsid w:val="00C404E0"/>
    <w:rsid w:val="00C41073"/>
    <w:rsid w:val="00C41BA6"/>
    <w:rsid w:val="00C47A2A"/>
    <w:rsid w:val="00C51293"/>
    <w:rsid w:val="00C524EC"/>
    <w:rsid w:val="00C54922"/>
    <w:rsid w:val="00C5683C"/>
    <w:rsid w:val="00C57B8F"/>
    <w:rsid w:val="00C650CE"/>
    <w:rsid w:val="00C6694F"/>
    <w:rsid w:val="00C7136B"/>
    <w:rsid w:val="00C93A8A"/>
    <w:rsid w:val="00C955E0"/>
    <w:rsid w:val="00CA346F"/>
    <w:rsid w:val="00CB0EDD"/>
    <w:rsid w:val="00CB6EB6"/>
    <w:rsid w:val="00CB75A8"/>
    <w:rsid w:val="00CC2B1A"/>
    <w:rsid w:val="00CC3336"/>
    <w:rsid w:val="00CC40DF"/>
    <w:rsid w:val="00CD57AF"/>
    <w:rsid w:val="00CE051F"/>
    <w:rsid w:val="00CE0C42"/>
    <w:rsid w:val="00CE5101"/>
    <w:rsid w:val="00CE5BFA"/>
    <w:rsid w:val="00CF3244"/>
    <w:rsid w:val="00CF4943"/>
    <w:rsid w:val="00D055EE"/>
    <w:rsid w:val="00D07932"/>
    <w:rsid w:val="00D1176E"/>
    <w:rsid w:val="00D2322A"/>
    <w:rsid w:val="00D261CC"/>
    <w:rsid w:val="00D370EF"/>
    <w:rsid w:val="00D40796"/>
    <w:rsid w:val="00D63323"/>
    <w:rsid w:val="00D66880"/>
    <w:rsid w:val="00D71250"/>
    <w:rsid w:val="00D75C9D"/>
    <w:rsid w:val="00D879A1"/>
    <w:rsid w:val="00D90471"/>
    <w:rsid w:val="00D9293B"/>
    <w:rsid w:val="00D95D20"/>
    <w:rsid w:val="00DA02EE"/>
    <w:rsid w:val="00DA3203"/>
    <w:rsid w:val="00DB7756"/>
    <w:rsid w:val="00DC3E34"/>
    <w:rsid w:val="00DC5190"/>
    <w:rsid w:val="00DC5FB9"/>
    <w:rsid w:val="00DC6BC2"/>
    <w:rsid w:val="00DC6E1F"/>
    <w:rsid w:val="00DC74C9"/>
    <w:rsid w:val="00DD02B6"/>
    <w:rsid w:val="00DD451C"/>
    <w:rsid w:val="00DD62DF"/>
    <w:rsid w:val="00DE0A9F"/>
    <w:rsid w:val="00DE544F"/>
    <w:rsid w:val="00DF20BB"/>
    <w:rsid w:val="00DF5AB4"/>
    <w:rsid w:val="00DF6AF0"/>
    <w:rsid w:val="00E125DA"/>
    <w:rsid w:val="00E16C81"/>
    <w:rsid w:val="00E20962"/>
    <w:rsid w:val="00E22310"/>
    <w:rsid w:val="00E22408"/>
    <w:rsid w:val="00E22BB9"/>
    <w:rsid w:val="00E3113F"/>
    <w:rsid w:val="00E40B47"/>
    <w:rsid w:val="00E52157"/>
    <w:rsid w:val="00E52483"/>
    <w:rsid w:val="00E61E16"/>
    <w:rsid w:val="00E6358B"/>
    <w:rsid w:val="00E643E8"/>
    <w:rsid w:val="00E6564A"/>
    <w:rsid w:val="00E7044C"/>
    <w:rsid w:val="00E7210E"/>
    <w:rsid w:val="00E76785"/>
    <w:rsid w:val="00E84B62"/>
    <w:rsid w:val="00E87D5B"/>
    <w:rsid w:val="00E93BAE"/>
    <w:rsid w:val="00E97626"/>
    <w:rsid w:val="00E97975"/>
    <w:rsid w:val="00E97CB8"/>
    <w:rsid w:val="00E97F4E"/>
    <w:rsid w:val="00EA45FD"/>
    <w:rsid w:val="00EA7C0C"/>
    <w:rsid w:val="00EC266D"/>
    <w:rsid w:val="00EC4D6C"/>
    <w:rsid w:val="00EE2E7D"/>
    <w:rsid w:val="00EE50CC"/>
    <w:rsid w:val="00EF4D40"/>
    <w:rsid w:val="00EF4D87"/>
    <w:rsid w:val="00EF5941"/>
    <w:rsid w:val="00F13040"/>
    <w:rsid w:val="00F133C3"/>
    <w:rsid w:val="00F278AB"/>
    <w:rsid w:val="00F36C5B"/>
    <w:rsid w:val="00F43253"/>
    <w:rsid w:val="00F43CC2"/>
    <w:rsid w:val="00F45317"/>
    <w:rsid w:val="00F4728A"/>
    <w:rsid w:val="00F533A4"/>
    <w:rsid w:val="00F6047F"/>
    <w:rsid w:val="00F754E8"/>
    <w:rsid w:val="00F90FEB"/>
    <w:rsid w:val="00F97B7F"/>
    <w:rsid w:val="00FA03AB"/>
    <w:rsid w:val="00FA1C67"/>
    <w:rsid w:val="00FA5C8B"/>
    <w:rsid w:val="00FA7321"/>
    <w:rsid w:val="00FB1450"/>
    <w:rsid w:val="00FB5CFC"/>
    <w:rsid w:val="00FB6475"/>
    <w:rsid w:val="00FC1A30"/>
    <w:rsid w:val="00FC3FB3"/>
    <w:rsid w:val="00FD042D"/>
    <w:rsid w:val="00FD1C43"/>
    <w:rsid w:val="00FD402F"/>
    <w:rsid w:val="00FE4F46"/>
    <w:rsid w:val="00FF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854D7F"/>
  <w15:docId w15:val="{476D3141-DD63-4C22-B414-E29BBE462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NoSpacing">
    <w:name w:val="No Spacing"/>
    <w:uiPriority w:val="1"/>
    <w:qFormat/>
    <w:rsid w:val="00316D75"/>
    <w:pPr>
      <w:spacing w:after="0" w:line="240"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z-TopofForm">
    <w:name w:val="HTML Top of Form"/>
    <w:basedOn w:val="Normal"/>
    <w:next w:val="Normal"/>
    <w:link w:val="z-TopofFormChar"/>
    <w:hidden/>
    <w:uiPriority w:val="99"/>
    <w:semiHidden/>
    <w:unhideWhenUsed/>
    <w:rsid w:val="002673C8"/>
    <w:pPr>
      <w:pBdr>
        <w:bottom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TopofFormChar">
    <w:name w:val="z-Top of Form Char"/>
    <w:basedOn w:val="DefaultParagraphFont"/>
    <w:link w:val="z-TopofForm"/>
    <w:uiPriority w:val="99"/>
    <w:semiHidden/>
    <w:rsid w:val="002673C8"/>
    <w:rPr>
      <w:rFonts w:ascii="Arial" w:eastAsia="Times New Roman" w:hAnsi="Arial" w:cs="Arial"/>
      <w:vanish/>
      <w:sz w:val="16"/>
      <w:szCs w:val="16"/>
      <w:lang w:val="en-US"/>
    </w:rPr>
  </w:style>
  <w:style w:type="paragraph" w:customStyle="1" w:styleId="placeholder">
    <w:name w:val="placeholder"/>
    <w:basedOn w:val="Normal"/>
    <w:rsid w:val="002673C8"/>
    <w:pPr>
      <w:spacing w:before="100" w:beforeAutospacing="1" w:after="100" w:afterAutospacing="1" w:line="240" w:lineRule="auto"/>
      <w:ind w:left="0" w:right="0" w:firstLine="0"/>
      <w:jc w:val="left"/>
    </w:pPr>
    <w:rPr>
      <w:color w:val="auto"/>
      <w:kern w:val="0"/>
      <w:lang w:val="en-US" w:eastAsia="en-US"/>
    </w:rPr>
  </w:style>
  <w:style w:type="paragraph" w:styleId="z-BottomofForm">
    <w:name w:val="HTML Bottom of Form"/>
    <w:basedOn w:val="Normal"/>
    <w:next w:val="Normal"/>
    <w:link w:val="z-BottomofFormChar"/>
    <w:hidden/>
    <w:uiPriority w:val="99"/>
    <w:semiHidden/>
    <w:unhideWhenUsed/>
    <w:rsid w:val="002673C8"/>
    <w:pPr>
      <w:pBdr>
        <w:top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BottomofFormChar">
    <w:name w:val="z-Bottom of Form Char"/>
    <w:basedOn w:val="DefaultParagraphFont"/>
    <w:link w:val="z-BottomofForm"/>
    <w:uiPriority w:val="99"/>
    <w:semiHidden/>
    <w:rsid w:val="002673C8"/>
    <w:rPr>
      <w:rFonts w:ascii="Arial" w:eastAsia="Times New Roman" w:hAnsi="Arial" w:cs="Arial"/>
      <w:vanish/>
      <w:sz w:val="16"/>
      <w:szCs w:val="16"/>
      <w:lang w:val="en-US"/>
    </w:rPr>
  </w:style>
  <w:style w:type="table" w:styleId="TableGrid">
    <w:name w:val="Table Grid"/>
    <w:basedOn w:val="TableNormal"/>
    <w:uiPriority w:val="39"/>
    <w:rsid w:val="00FD0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bibliographic-informationvalue">
    <w:name w:val="c-bibliographic-information__value"/>
    <w:basedOn w:val="DefaultParagraphFont"/>
    <w:rsid w:val="00317E7E"/>
  </w:style>
  <w:style w:type="character" w:customStyle="1" w:styleId="highwire-cite-metadata-doi">
    <w:name w:val="highwire-cite-metadata-doi"/>
    <w:basedOn w:val="DefaultParagraphFont"/>
    <w:rsid w:val="00317E7E"/>
  </w:style>
  <w:style w:type="paragraph" w:styleId="Header">
    <w:name w:val="header"/>
    <w:basedOn w:val="Normal"/>
    <w:link w:val="HeaderChar"/>
    <w:uiPriority w:val="99"/>
    <w:unhideWhenUsed/>
    <w:rsid w:val="005869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696B"/>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5869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96B"/>
    <w:rPr>
      <w:rFonts w:ascii="Times New Roman" w:eastAsia="Times New Roman" w:hAnsi="Times New Roman" w:cs="Times New Roman"/>
      <w:color w:val="000000"/>
      <w:kern w:val="2"/>
      <w:sz w:val="24"/>
      <w:szCs w:val="24"/>
      <w:lang w:val="en-IN" w:eastAsia="en-IN"/>
    </w:rPr>
  </w:style>
  <w:style w:type="character" w:styleId="UnresolvedMention">
    <w:name w:val="Unresolved Mention"/>
    <w:basedOn w:val="DefaultParagraphFont"/>
    <w:uiPriority w:val="99"/>
    <w:semiHidden/>
    <w:unhideWhenUsed/>
    <w:rsid w:val="00CE51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38820126">
      <w:bodyDiv w:val="1"/>
      <w:marLeft w:val="0"/>
      <w:marRight w:val="0"/>
      <w:marTop w:val="0"/>
      <w:marBottom w:val="0"/>
      <w:divBdr>
        <w:top w:val="none" w:sz="0" w:space="0" w:color="auto"/>
        <w:left w:val="none" w:sz="0" w:space="0" w:color="auto"/>
        <w:bottom w:val="none" w:sz="0" w:space="0" w:color="auto"/>
        <w:right w:val="none" w:sz="0" w:space="0" w:color="auto"/>
      </w:divBdr>
      <w:divsChild>
        <w:div w:id="130826465">
          <w:marLeft w:val="0"/>
          <w:marRight w:val="0"/>
          <w:marTop w:val="0"/>
          <w:marBottom w:val="0"/>
          <w:divBdr>
            <w:top w:val="none" w:sz="0" w:space="0" w:color="auto"/>
            <w:left w:val="none" w:sz="0" w:space="0" w:color="auto"/>
            <w:bottom w:val="none" w:sz="0" w:space="0" w:color="auto"/>
            <w:right w:val="none" w:sz="0" w:space="0" w:color="auto"/>
          </w:divBdr>
          <w:divsChild>
            <w:div w:id="16997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81897">
      <w:bodyDiv w:val="1"/>
      <w:marLeft w:val="0"/>
      <w:marRight w:val="0"/>
      <w:marTop w:val="0"/>
      <w:marBottom w:val="0"/>
      <w:divBdr>
        <w:top w:val="none" w:sz="0" w:space="0" w:color="auto"/>
        <w:left w:val="none" w:sz="0" w:space="0" w:color="auto"/>
        <w:bottom w:val="none" w:sz="0" w:space="0" w:color="auto"/>
        <w:right w:val="none" w:sz="0" w:space="0" w:color="auto"/>
      </w:divBdr>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02652908">
      <w:bodyDiv w:val="1"/>
      <w:marLeft w:val="0"/>
      <w:marRight w:val="0"/>
      <w:marTop w:val="0"/>
      <w:marBottom w:val="0"/>
      <w:divBdr>
        <w:top w:val="none" w:sz="0" w:space="0" w:color="auto"/>
        <w:left w:val="none" w:sz="0" w:space="0" w:color="auto"/>
        <w:bottom w:val="none" w:sz="0" w:space="0" w:color="auto"/>
        <w:right w:val="none" w:sz="0" w:space="0" w:color="auto"/>
      </w:divBdr>
    </w:div>
    <w:div w:id="126355994">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2645113">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61089740">
      <w:bodyDiv w:val="1"/>
      <w:marLeft w:val="0"/>
      <w:marRight w:val="0"/>
      <w:marTop w:val="0"/>
      <w:marBottom w:val="0"/>
      <w:divBdr>
        <w:top w:val="none" w:sz="0" w:space="0" w:color="auto"/>
        <w:left w:val="none" w:sz="0" w:space="0" w:color="auto"/>
        <w:bottom w:val="none" w:sz="0" w:space="0" w:color="auto"/>
        <w:right w:val="none" w:sz="0" w:space="0" w:color="auto"/>
      </w:divBdr>
    </w:div>
    <w:div w:id="168758855">
      <w:bodyDiv w:val="1"/>
      <w:marLeft w:val="0"/>
      <w:marRight w:val="0"/>
      <w:marTop w:val="0"/>
      <w:marBottom w:val="0"/>
      <w:divBdr>
        <w:top w:val="none" w:sz="0" w:space="0" w:color="auto"/>
        <w:left w:val="none" w:sz="0" w:space="0" w:color="auto"/>
        <w:bottom w:val="none" w:sz="0" w:space="0" w:color="auto"/>
        <w:right w:val="none" w:sz="0" w:space="0" w:color="auto"/>
      </w:divBdr>
    </w:div>
    <w:div w:id="178280681">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26234173">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283344220">
      <w:bodyDiv w:val="1"/>
      <w:marLeft w:val="0"/>
      <w:marRight w:val="0"/>
      <w:marTop w:val="0"/>
      <w:marBottom w:val="0"/>
      <w:divBdr>
        <w:top w:val="none" w:sz="0" w:space="0" w:color="auto"/>
        <w:left w:val="none" w:sz="0" w:space="0" w:color="auto"/>
        <w:bottom w:val="none" w:sz="0" w:space="0" w:color="auto"/>
        <w:right w:val="none" w:sz="0" w:space="0" w:color="auto"/>
      </w:divBdr>
      <w:divsChild>
        <w:div w:id="497960011">
          <w:marLeft w:val="0"/>
          <w:marRight w:val="0"/>
          <w:marTop w:val="0"/>
          <w:marBottom w:val="0"/>
          <w:divBdr>
            <w:top w:val="none" w:sz="0" w:space="0" w:color="auto"/>
            <w:left w:val="none" w:sz="0" w:space="0" w:color="auto"/>
            <w:bottom w:val="none" w:sz="0" w:space="0" w:color="auto"/>
            <w:right w:val="none" w:sz="0" w:space="0" w:color="auto"/>
          </w:divBdr>
          <w:divsChild>
            <w:div w:id="1338728772">
              <w:marLeft w:val="0"/>
              <w:marRight w:val="0"/>
              <w:marTop w:val="0"/>
              <w:marBottom w:val="0"/>
              <w:divBdr>
                <w:top w:val="none" w:sz="0" w:space="0" w:color="auto"/>
                <w:left w:val="none" w:sz="0" w:space="0" w:color="auto"/>
                <w:bottom w:val="none" w:sz="0" w:space="0" w:color="auto"/>
                <w:right w:val="none" w:sz="0" w:space="0" w:color="auto"/>
              </w:divBdr>
              <w:divsChild>
                <w:div w:id="2112626679">
                  <w:marLeft w:val="0"/>
                  <w:marRight w:val="0"/>
                  <w:marTop w:val="0"/>
                  <w:marBottom w:val="0"/>
                  <w:divBdr>
                    <w:top w:val="none" w:sz="0" w:space="0" w:color="auto"/>
                    <w:left w:val="none" w:sz="0" w:space="0" w:color="auto"/>
                    <w:bottom w:val="none" w:sz="0" w:space="0" w:color="auto"/>
                    <w:right w:val="none" w:sz="0" w:space="0" w:color="auto"/>
                  </w:divBdr>
                  <w:divsChild>
                    <w:div w:id="234560354">
                      <w:marLeft w:val="0"/>
                      <w:marRight w:val="0"/>
                      <w:marTop w:val="0"/>
                      <w:marBottom w:val="0"/>
                      <w:divBdr>
                        <w:top w:val="none" w:sz="0" w:space="0" w:color="auto"/>
                        <w:left w:val="none" w:sz="0" w:space="0" w:color="auto"/>
                        <w:bottom w:val="none" w:sz="0" w:space="0" w:color="auto"/>
                        <w:right w:val="none" w:sz="0" w:space="0" w:color="auto"/>
                      </w:divBdr>
                      <w:divsChild>
                        <w:div w:id="1447853245">
                          <w:marLeft w:val="0"/>
                          <w:marRight w:val="0"/>
                          <w:marTop w:val="0"/>
                          <w:marBottom w:val="0"/>
                          <w:divBdr>
                            <w:top w:val="none" w:sz="0" w:space="0" w:color="auto"/>
                            <w:left w:val="none" w:sz="0" w:space="0" w:color="auto"/>
                            <w:bottom w:val="none" w:sz="0" w:space="0" w:color="auto"/>
                            <w:right w:val="none" w:sz="0" w:space="0" w:color="auto"/>
                          </w:divBdr>
                          <w:divsChild>
                            <w:div w:id="2070105402">
                              <w:marLeft w:val="0"/>
                              <w:marRight w:val="0"/>
                              <w:marTop w:val="0"/>
                              <w:marBottom w:val="0"/>
                              <w:divBdr>
                                <w:top w:val="none" w:sz="0" w:space="0" w:color="auto"/>
                                <w:left w:val="none" w:sz="0" w:space="0" w:color="auto"/>
                                <w:bottom w:val="none" w:sz="0" w:space="0" w:color="auto"/>
                                <w:right w:val="none" w:sz="0" w:space="0" w:color="auto"/>
                              </w:divBdr>
                              <w:divsChild>
                                <w:div w:id="47815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557400">
      <w:bodyDiv w:val="1"/>
      <w:marLeft w:val="0"/>
      <w:marRight w:val="0"/>
      <w:marTop w:val="0"/>
      <w:marBottom w:val="0"/>
      <w:divBdr>
        <w:top w:val="none" w:sz="0" w:space="0" w:color="auto"/>
        <w:left w:val="none" w:sz="0" w:space="0" w:color="auto"/>
        <w:bottom w:val="none" w:sz="0" w:space="0" w:color="auto"/>
        <w:right w:val="none" w:sz="0" w:space="0" w:color="auto"/>
      </w:divBdr>
      <w:divsChild>
        <w:div w:id="1387219884">
          <w:marLeft w:val="0"/>
          <w:marRight w:val="0"/>
          <w:marTop w:val="0"/>
          <w:marBottom w:val="0"/>
          <w:divBdr>
            <w:top w:val="none" w:sz="0" w:space="0" w:color="auto"/>
            <w:left w:val="none" w:sz="0" w:space="0" w:color="auto"/>
            <w:bottom w:val="none" w:sz="0" w:space="0" w:color="auto"/>
            <w:right w:val="none" w:sz="0" w:space="0" w:color="auto"/>
          </w:divBdr>
        </w:div>
      </w:divsChild>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1061265">
      <w:bodyDiv w:val="1"/>
      <w:marLeft w:val="0"/>
      <w:marRight w:val="0"/>
      <w:marTop w:val="0"/>
      <w:marBottom w:val="0"/>
      <w:divBdr>
        <w:top w:val="none" w:sz="0" w:space="0" w:color="auto"/>
        <w:left w:val="none" w:sz="0" w:space="0" w:color="auto"/>
        <w:bottom w:val="none" w:sz="0" w:space="0" w:color="auto"/>
        <w:right w:val="none" w:sz="0" w:space="0" w:color="auto"/>
      </w:divBdr>
      <w:divsChild>
        <w:div w:id="1085810141">
          <w:marLeft w:val="0"/>
          <w:marRight w:val="0"/>
          <w:marTop w:val="0"/>
          <w:marBottom w:val="0"/>
          <w:divBdr>
            <w:top w:val="none" w:sz="0" w:space="0" w:color="auto"/>
            <w:left w:val="none" w:sz="0" w:space="0" w:color="auto"/>
            <w:bottom w:val="none" w:sz="0" w:space="0" w:color="auto"/>
            <w:right w:val="none" w:sz="0" w:space="0" w:color="auto"/>
          </w:divBdr>
        </w:div>
      </w:divsChild>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21399493">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36226013">
      <w:bodyDiv w:val="1"/>
      <w:marLeft w:val="0"/>
      <w:marRight w:val="0"/>
      <w:marTop w:val="0"/>
      <w:marBottom w:val="0"/>
      <w:divBdr>
        <w:top w:val="none" w:sz="0" w:space="0" w:color="auto"/>
        <w:left w:val="none" w:sz="0" w:space="0" w:color="auto"/>
        <w:bottom w:val="none" w:sz="0" w:space="0" w:color="auto"/>
        <w:right w:val="none" w:sz="0" w:space="0" w:color="auto"/>
      </w:divBdr>
      <w:divsChild>
        <w:div w:id="1213662312">
          <w:marLeft w:val="0"/>
          <w:marRight w:val="0"/>
          <w:marTop w:val="0"/>
          <w:marBottom w:val="0"/>
          <w:divBdr>
            <w:top w:val="none" w:sz="0" w:space="0" w:color="auto"/>
            <w:left w:val="none" w:sz="0" w:space="0" w:color="auto"/>
            <w:bottom w:val="none" w:sz="0" w:space="0" w:color="auto"/>
            <w:right w:val="none" w:sz="0" w:space="0" w:color="auto"/>
          </w:divBdr>
          <w:divsChild>
            <w:div w:id="490682574">
              <w:marLeft w:val="0"/>
              <w:marRight w:val="0"/>
              <w:marTop w:val="0"/>
              <w:marBottom w:val="0"/>
              <w:divBdr>
                <w:top w:val="none" w:sz="0" w:space="0" w:color="auto"/>
                <w:left w:val="none" w:sz="0" w:space="0" w:color="auto"/>
                <w:bottom w:val="none" w:sz="0" w:space="0" w:color="auto"/>
                <w:right w:val="none" w:sz="0" w:space="0" w:color="auto"/>
              </w:divBdr>
              <w:divsChild>
                <w:div w:id="423113839">
                  <w:marLeft w:val="0"/>
                  <w:marRight w:val="0"/>
                  <w:marTop w:val="0"/>
                  <w:marBottom w:val="0"/>
                  <w:divBdr>
                    <w:top w:val="none" w:sz="0" w:space="0" w:color="auto"/>
                    <w:left w:val="none" w:sz="0" w:space="0" w:color="auto"/>
                    <w:bottom w:val="none" w:sz="0" w:space="0" w:color="auto"/>
                    <w:right w:val="none" w:sz="0" w:space="0" w:color="auto"/>
                  </w:divBdr>
                  <w:divsChild>
                    <w:div w:id="1475949629">
                      <w:marLeft w:val="0"/>
                      <w:marRight w:val="0"/>
                      <w:marTop w:val="0"/>
                      <w:marBottom w:val="0"/>
                      <w:divBdr>
                        <w:top w:val="none" w:sz="0" w:space="0" w:color="auto"/>
                        <w:left w:val="none" w:sz="0" w:space="0" w:color="auto"/>
                        <w:bottom w:val="none" w:sz="0" w:space="0" w:color="auto"/>
                        <w:right w:val="none" w:sz="0" w:space="0" w:color="auto"/>
                      </w:divBdr>
                      <w:divsChild>
                        <w:div w:id="115375829">
                          <w:marLeft w:val="0"/>
                          <w:marRight w:val="0"/>
                          <w:marTop w:val="0"/>
                          <w:marBottom w:val="0"/>
                          <w:divBdr>
                            <w:top w:val="none" w:sz="0" w:space="0" w:color="auto"/>
                            <w:left w:val="none" w:sz="0" w:space="0" w:color="auto"/>
                            <w:bottom w:val="none" w:sz="0" w:space="0" w:color="auto"/>
                            <w:right w:val="none" w:sz="0" w:space="0" w:color="auto"/>
                          </w:divBdr>
                          <w:divsChild>
                            <w:div w:id="1556358347">
                              <w:marLeft w:val="0"/>
                              <w:marRight w:val="0"/>
                              <w:marTop w:val="0"/>
                              <w:marBottom w:val="0"/>
                              <w:divBdr>
                                <w:top w:val="none" w:sz="0" w:space="0" w:color="auto"/>
                                <w:left w:val="none" w:sz="0" w:space="0" w:color="auto"/>
                                <w:bottom w:val="none" w:sz="0" w:space="0" w:color="auto"/>
                                <w:right w:val="none" w:sz="0" w:space="0" w:color="auto"/>
                              </w:divBdr>
                              <w:divsChild>
                                <w:div w:id="207180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57704782">
      <w:bodyDiv w:val="1"/>
      <w:marLeft w:val="0"/>
      <w:marRight w:val="0"/>
      <w:marTop w:val="0"/>
      <w:marBottom w:val="0"/>
      <w:divBdr>
        <w:top w:val="none" w:sz="0" w:space="0" w:color="auto"/>
        <w:left w:val="none" w:sz="0" w:space="0" w:color="auto"/>
        <w:bottom w:val="none" w:sz="0" w:space="0" w:color="auto"/>
        <w:right w:val="none" w:sz="0" w:space="0" w:color="auto"/>
      </w:divBdr>
      <w:divsChild>
        <w:div w:id="1521626172">
          <w:marLeft w:val="0"/>
          <w:marRight w:val="0"/>
          <w:marTop w:val="0"/>
          <w:marBottom w:val="0"/>
          <w:divBdr>
            <w:top w:val="none" w:sz="0" w:space="0" w:color="auto"/>
            <w:left w:val="none" w:sz="0" w:space="0" w:color="auto"/>
            <w:bottom w:val="none" w:sz="0" w:space="0" w:color="auto"/>
            <w:right w:val="none" w:sz="0" w:space="0" w:color="auto"/>
          </w:divBdr>
        </w:div>
      </w:divsChild>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0542696">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749095">
      <w:bodyDiv w:val="1"/>
      <w:marLeft w:val="0"/>
      <w:marRight w:val="0"/>
      <w:marTop w:val="0"/>
      <w:marBottom w:val="0"/>
      <w:divBdr>
        <w:top w:val="none" w:sz="0" w:space="0" w:color="auto"/>
        <w:left w:val="none" w:sz="0" w:space="0" w:color="auto"/>
        <w:bottom w:val="none" w:sz="0" w:space="0" w:color="auto"/>
        <w:right w:val="none" w:sz="0" w:space="0" w:color="auto"/>
      </w:divBdr>
    </w:div>
    <w:div w:id="399060434">
      <w:bodyDiv w:val="1"/>
      <w:marLeft w:val="0"/>
      <w:marRight w:val="0"/>
      <w:marTop w:val="0"/>
      <w:marBottom w:val="0"/>
      <w:divBdr>
        <w:top w:val="none" w:sz="0" w:space="0" w:color="auto"/>
        <w:left w:val="none" w:sz="0" w:space="0" w:color="auto"/>
        <w:bottom w:val="none" w:sz="0" w:space="0" w:color="auto"/>
        <w:right w:val="none" w:sz="0" w:space="0" w:color="auto"/>
      </w:divBdr>
    </w:div>
    <w:div w:id="414279670">
      <w:bodyDiv w:val="1"/>
      <w:marLeft w:val="0"/>
      <w:marRight w:val="0"/>
      <w:marTop w:val="0"/>
      <w:marBottom w:val="0"/>
      <w:divBdr>
        <w:top w:val="none" w:sz="0" w:space="0" w:color="auto"/>
        <w:left w:val="none" w:sz="0" w:space="0" w:color="auto"/>
        <w:bottom w:val="none" w:sz="0" w:space="0" w:color="auto"/>
        <w:right w:val="none" w:sz="0" w:space="0" w:color="auto"/>
      </w:divBdr>
    </w:div>
    <w:div w:id="425350658">
      <w:bodyDiv w:val="1"/>
      <w:marLeft w:val="0"/>
      <w:marRight w:val="0"/>
      <w:marTop w:val="0"/>
      <w:marBottom w:val="0"/>
      <w:divBdr>
        <w:top w:val="none" w:sz="0" w:space="0" w:color="auto"/>
        <w:left w:val="none" w:sz="0" w:space="0" w:color="auto"/>
        <w:bottom w:val="none" w:sz="0" w:space="0" w:color="auto"/>
        <w:right w:val="none" w:sz="0" w:space="0" w:color="auto"/>
      </w:divBdr>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43962094">
      <w:bodyDiv w:val="1"/>
      <w:marLeft w:val="0"/>
      <w:marRight w:val="0"/>
      <w:marTop w:val="0"/>
      <w:marBottom w:val="0"/>
      <w:divBdr>
        <w:top w:val="none" w:sz="0" w:space="0" w:color="auto"/>
        <w:left w:val="none" w:sz="0" w:space="0" w:color="auto"/>
        <w:bottom w:val="none" w:sz="0" w:space="0" w:color="auto"/>
        <w:right w:val="none" w:sz="0" w:space="0" w:color="auto"/>
      </w:divBdr>
      <w:divsChild>
        <w:div w:id="1682390391">
          <w:marLeft w:val="0"/>
          <w:marRight w:val="0"/>
          <w:marTop w:val="0"/>
          <w:marBottom w:val="0"/>
          <w:divBdr>
            <w:top w:val="none" w:sz="0" w:space="0" w:color="auto"/>
            <w:left w:val="none" w:sz="0" w:space="0" w:color="auto"/>
            <w:bottom w:val="none" w:sz="0" w:space="0" w:color="auto"/>
            <w:right w:val="none" w:sz="0" w:space="0" w:color="auto"/>
          </w:divBdr>
        </w:div>
      </w:divsChild>
    </w:div>
    <w:div w:id="448939355">
      <w:bodyDiv w:val="1"/>
      <w:marLeft w:val="0"/>
      <w:marRight w:val="0"/>
      <w:marTop w:val="0"/>
      <w:marBottom w:val="0"/>
      <w:divBdr>
        <w:top w:val="none" w:sz="0" w:space="0" w:color="auto"/>
        <w:left w:val="none" w:sz="0" w:space="0" w:color="auto"/>
        <w:bottom w:val="none" w:sz="0" w:space="0" w:color="auto"/>
        <w:right w:val="none" w:sz="0" w:space="0" w:color="auto"/>
      </w:divBdr>
      <w:divsChild>
        <w:div w:id="1482120192">
          <w:marLeft w:val="0"/>
          <w:marRight w:val="0"/>
          <w:marTop w:val="0"/>
          <w:marBottom w:val="0"/>
          <w:divBdr>
            <w:top w:val="none" w:sz="0" w:space="0" w:color="auto"/>
            <w:left w:val="none" w:sz="0" w:space="0" w:color="auto"/>
            <w:bottom w:val="none" w:sz="0" w:space="0" w:color="auto"/>
            <w:right w:val="none" w:sz="0" w:space="0" w:color="auto"/>
          </w:divBdr>
        </w:div>
      </w:divsChild>
    </w:div>
    <w:div w:id="452749519">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3037522">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89055143">
      <w:bodyDiv w:val="1"/>
      <w:marLeft w:val="0"/>
      <w:marRight w:val="0"/>
      <w:marTop w:val="0"/>
      <w:marBottom w:val="0"/>
      <w:divBdr>
        <w:top w:val="none" w:sz="0" w:space="0" w:color="auto"/>
        <w:left w:val="none" w:sz="0" w:space="0" w:color="auto"/>
        <w:bottom w:val="none" w:sz="0" w:space="0" w:color="auto"/>
        <w:right w:val="none" w:sz="0" w:space="0" w:color="auto"/>
      </w:divBdr>
      <w:divsChild>
        <w:div w:id="1789739480">
          <w:marLeft w:val="0"/>
          <w:marRight w:val="0"/>
          <w:marTop w:val="0"/>
          <w:marBottom w:val="0"/>
          <w:divBdr>
            <w:top w:val="none" w:sz="0" w:space="0" w:color="auto"/>
            <w:left w:val="none" w:sz="0" w:space="0" w:color="auto"/>
            <w:bottom w:val="none" w:sz="0" w:space="0" w:color="auto"/>
            <w:right w:val="none" w:sz="0" w:space="0" w:color="auto"/>
          </w:divBdr>
        </w:div>
      </w:divsChild>
    </w:div>
    <w:div w:id="490340757">
      <w:bodyDiv w:val="1"/>
      <w:marLeft w:val="0"/>
      <w:marRight w:val="0"/>
      <w:marTop w:val="0"/>
      <w:marBottom w:val="0"/>
      <w:divBdr>
        <w:top w:val="none" w:sz="0" w:space="0" w:color="auto"/>
        <w:left w:val="none" w:sz="0" w:space="0" w:color="auto"/>
        <w:bottom w:val="none" w:sz="0" w:space="0" w:color="auto"/>
        <w:right w:val="none" w:sz="0" w:space="0" w:color="auto"/>
      </w:divBdr>
      <w:divsChild>
        <w:div w:id="907152727">
          <w:marLeft w:val="0"/>
          <w:marRight w:val="0"/>
          <w:marTop w:val="0"/>
          <w:marBottom w:val="0"/>
          <w:divBdr>
            <w:top w:val="none" w:sz="0" w:space="0" w:color="auto"/>
            <w:left w:val="none" w:sz="0" w:space="0" w:color="auto"/>
            <w:bottom w:val="none" w:sz="0" w:space="0" w:color="auto"/>
            <w:right w:val="none" w:sz="0" w:space="0" w:color="auto"/>
          </w:divBdr>
          <w:divsChild>
            <w:div w:id="1941329153">
              <w:marLeft w:val="0"/>
              <w:marRight w:val="0"/>
              <w:marTop w:val="0"/>
              <w:marBottom w:val="0"/>
              <w:divBdr>
                <w:top w:val="none" w:sz="0" w:space="0" w:color="auto"/>
                <w:left w:val="none" w:sz="0" w:space="0" w:color="auto"/>
                <w:bottom w:val="none" w:sz="0" w:space="0" w:color="auto"/>
                <w:right w:val="none" w:sz="0" w:space="0" w:color="auto"/>
              </w:divBdr>
              <w:divsChild>
                <w:div w:id="1614896538">
                  <w:marLeft w:val="0"/>
                  <w:marRight w:val="0"/>
                  <w:marTop w:val="0"/>
                  <w:marBottom w:val="0"/>
                  <w:divBdr>
                    <w:top w:val="none" w:sz="0" w:space="0" w:color="auto"/>
                    <w:left w:val="none" w:sz="0" w:space="0" w:color="auto"/>
                    <w:bottom w:val="none" w:sz="0" w:space="0" w:color="auto"/>
                    <w:right w:val="none" w:sz="0" w:space="0" w:color="auto"/>
                  </w:divBdr>
                  <w:divsChild>
                    <w:div w:id="977146560">
                      <w:marLeft w:val="0"/>
                      <w:marRight w:val="0"/>
                      <w:marTop w:val="0"/>
                      <w:marBottom w:val="0"/>
                      <w:divBdr>
                        <w:top w:val="none" w:sz="0" w:space="0" w:color="auto"/>
                        <w:left w:val="none" w:sz="0" w:space="0" w:color="auto"/>
                        <w:bottom w:val="none" w:sz="0" w:space="0" w:color="auto"/>
                        <w:right w:val="none" w:sz="0" w:space="0" w:color="auto"/>
                      </w:divBdr>
                      <w:divsChild>
                        <w:div w:id="719595758">
                          <w:marLeft w:val="0"/>
                          <w:marRight w:val="0"/>
                          <w:marTop w:val="0"/>
                          <w:marBottom w:val="0"/>
                          <w:divBdr>
                            <w:top w:val="none" w:sz="0" w:space="0" w:color="auto"/>
                            <w:left w:val="none" w:sz="0" w:space="0" w:color="auto"/>
                            <w:bottom w:val="none" w:sz="0" w:space="0" w:color="auto"/>
                            <w:right w:val="none" w:sz="0" w:space="0" w:color="auto"/>
                          </w:divBdr>
                          <w:divsChild>
                            <w:div w:id="1395591503">
                              <w:marLeft w:val="0"/>
                              <w:marRight w:val="0"/>
                              <w:marTop w:val="0"/>
                              <w:marBottom w:val="0"/>
                              <w:divBdr>
                                <w:top w:val="none" w:sz="0" w:space="0" w:color="auto"/>
                                <w:left w:val="none" w:sz="0" w:space="0" w:color="auto"/>
                                <w:bottom w:val="none" w:sz="0" w:space="0" w:color="auto"/>
                                <w:right w:val="none" w:sz="0" w:space="0" w:color="auto"/>
                              </w:divBdr>
                              <w:divsChild>
                                <w:div w:id="79448421">
                                  <w:marLeft w:val="0"/>
                                  <w:marRight w:val="0"/>
                                  <w:marTop w:val="0"/>
                                  <w:marBottom w:val="0"/>
                                  <w:divBdr>
                                    <w:top w:val="none" w:sz="0" w:space="0" w:color="auto"/>
                                    <w:left w:val="none" w:sz="0" w:space="0" w:color="auto"/>
                                    <w:bottom w:val="none" w:sz="0" w:space="0" w:color="auto"/>
                                    <w:right w:val="none" w:sz="0" w:space="0" w:color="auto"/>
                                  </w:divBdr>
                                  <w:divsChild>
                                    <w:div w:id="1792088012">
                                      <w:marLeft w:val="0"/>
                                      <w:marRight w:val="0"/>
                                      <w:marTop w:val="0"/>
                                      <w:marBottom w:val="0"/>
                                      <w:divBdr>
                                        <w:top w:val="none" w:sz="0" w:space="0" w:color="auto"/>
                                        <w:left w:val="none" w:sz="0" w:space="0" w:color="auto"/>
                                        <w:bottom w:val="none" w:sz="0" w:space="0" w:color="auto"/>
                                        <w:right w:val="none" w:sz="0" w:space="0" w:color="auto"/>
                                      </w:divBdr>
                                      <w:divsChild>
                                        <w:div w:id="140969493">
                                          <w:marLeft w:val="0"/>
                                          <w:marRight w:val="0"/>
                                          <w:marTop w:val="0"/>
                                          <w:marBottom w:val="0"/>
                                          <w:divBdr>
                                            <w:top w:val="none" w:sz="0" w:space="0" w:color="auto"/>
                                            <w:left w:val="none" w:sz="0" w:space="0" w:color="auto"/>
                                            <w:bottom w:val="none" w:sz="0" w:space="0" w:color="auto"/>
                                            <w:right w:val="none" w:sz="0" w:space="0" w:color="auto"/>
                                          </w:divBdr>
                                          <w:divsChild>
                                            <w:div w:id="14102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583106">
          <w:marLeft w:val="0"/>
          <w:marRight w:val="0"/>
          <w:marTop w:val="0"/>
          <w:marBottom w:val="0"/>
          <w:divBdr>
            <w:top w:val="none" w:sz="0" w:space="0" w:color="auto"/>
            <w:left w:val="none" w:sz="0" w:space="0" w:color="auto"/>
            <w:bottom w:val="none" w:sz="0" w:space="0" w:color="auto"/>
            <w:right w:val="none" w:sz="0" w:space="0" w:color="auto"/>
          </w:divBdr>
          <w:divsChild>
            <w:div w:id="2113740119">
              <w:marLeft w:val="0"/>
              <w:marRight w:val="0"/>
              <w:marTop w:val="0"/>
              <w:marBottom w:val="0"/>
              <w:divBdr>
                <w:top w:val="none" w:sz="0" w:space="0" w:color="auto"/>
                <w:left w:val="none" w:sz="0" w:space="0" w:color="auto"/>
                <w:bottom w:val="none" w:sz="0" w:space="0" w:color="auto"/>
                <w:right w:val="none" w:sz="0" w:space="0" w:color="auto"/>
              </w:divBdr>
              <w:divsChild>
                <w:div w:id="977690344">
                  <w:marLeft w:val="0"/>
                  <w:marRight w:val="0"/>
                  <w:marTop w:val="0"/>
                  <w:marBottom w:val="0"/>
                  <w:divBdr>
                    <w:top w:val="none" w:sz="0" w:space="0" w:color="auto"/>
                    <w:left w:val="none" w:sz="0" w:space="0" w:color="auto"/>
                    <w:bottom w:val="none" w:sz="0" w:space="0" w:color="auto"/>
                    <w:right w:val="none" w:sz="0" w:space="0" w:color="auto"/>
                  </w:divBdr>
                  <w:divsChild>
                    <w:div w:id="728698052">
                      <w:marLeft w:val="0"/>
                      <w:marRight w:val="0"/>
                      <w:marTop w:val="0"/>
                      <w:marBottom w:val="0"/>
                      <w:divBdr>
                        <w:top w:val="none" w:sz="0" w:space="0" w:color="auto"/>
                        <w:left w:val="none" w:sz="0" w:space="0" w:color="auto"/>
                        <w:bottom w:val="none" w:sz="0" w:space="0" w:color="auto"/>
                        <w:right w:val="none" w:sz="0" w:space="0" w:color="auto"/>
                      </w:divBdr>
                      <w:divsChild>
                        <w:div w:id="902368411">
                          <w:marLeft w:val="0"/>
                          <w:marRight w:val="0"/>
                          <w:marTop w:val="0"/>
                          <w:marBottom w:val="0"/>
                          <w:divBdr>
                            <w:top w:val="none" w:sz="0" w:space="0" w:color="auto"/>
                            <w:left w:val="none" w:sz="0" w:space="0" w:color="auto"/>
                            <w:bottom w:val="none" w:sz="0" w:space="0" w:color="auto"/>
                            <w:right w:val="none" w:sz="0" w:space="0" w:color="auto"/>
                          </w:divBdr>
                          <w:divsChild>
                            <w:div w:id="2034263318">
                              <w:marLeft w:val="0"/>
                              <w:marRight w:val="0"/>
                              <w:marTop w:val="0"/>
                              <w:marBottom w:val="0"/>
                              <w:divBdr>
                                <w:top w:val="none" w:sz="0" w:space="0" w:color="auto"/>
                                <w:left w:val="none" w:sz="0" w:space="0" w:color="auto"/>
                                <w:bottom w:val="none" w:sz="0" w:space="0" w:color="auto"/>
                                <w:right w:val="none" w:sz="0" w:space="0" w:color="auto"/>
                              </w:divBdr>
                              <w:divsChild>
                                <w:div w:id="489831004">
                                  <w:marLeft w:val="0"/>
                                  <w:marRight w:val="0"/>
                                  <w:marTop w:val="0"/>
                                  <w:marBottom w:val="0"/>
                                  <w:divBdr>
                                    <w:top w:val="none" w:sz="0" w:space="0" w:color="auto"/>
                                    <w:left w:val="none" w:sz="0" w:space="0" w:color="auto"/>
                                    <w:bottom w:val="none" w:sz="0" w:space="0" w:color="auto"/>
                                    <w:right w:val="none" w:sz="0" w:space="0" w:color="auto"/>
                                  </w:divBdr>
                                  <w:divsChild>
                                    <w:div w:id="1450661755">
                                      <w:marLeft w:val="0"/>
                                      <w:marRight w:val="0"/>
                                      <w:marTop w:val="0"/>
                                      <w:marBottom w:val="0"/>
                                      <w:divBdr>
                                        <w:top w:val="none" w:sz="0" w:space="0" w:color="auto"/>
                                        <w:left w:val="none" w:sz="0" w:space="0" w:color="auto"/>
                                        <w:bottom w:val="none" w:sz="0" w:space="0" w:color="auto"/>
                                        <w:right w:val="none" w:sz="0" w:space="0" w:color="auto"/>
                                      </w:divBdr>
                                      <w:divsChild>
                                        <w:div w:id="418872981">
                                          <w:marLeft w:val="0"/>
                                          <w:marRight w:val="0"/>
                                          <w:marTop w:val="0"/>
                                          <w:marBottom w:val="0"/>
                                          <w:divBdr>
                                            <w:top w:val="none" w:sz="0" w:space="0" w:color="auto"/>
                                            <w:left w:val="none" w:sz="0" w:space="0" w:color="auto"/>
                                            <w:bottom w:val="none" w:sz="0" w:space="0" w:color="auto"/>
                                            <w:right w:val="none" w:sz="0" w:space="0" w:color="auto"/>
                                          </w:divBdr>
                                          <w:divsChild>
                                            <w:div w:id="14979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834196">
              <w:marLeft w:val="0"/>
              <w:marRight w:val="0"/>
              <w:marTop w:val="0"/>
              <w:marBottom w:val="0"/>
              <w:divBdr>
                <w:top w:val="none" w:sz="0" w:space="0" w:color="auto"/>
                <w:left w:val="none" w:sz="0" w:space="0" w:color="auto"/>
                <w:bottom w:val="none" w:sz="0" w:space="0" w:color="auto"/>
                <w:right w:val="none" w:sz="0" w:space="0" w:color="auto"/>
              </w:divBdr>
              <w:divsChild>
                <w:div w:id="642809547">
                  <w:marLeft w:val="0"/>
                  <w:marRight w:val="0"/>
                  <w:marTop w:val="0"/>
                  <w:marBottom w:val="0"/>
                  <w:divBdr>
                    <w:top w:val="none" w:sz="0" w:space="0" w:color="auto"/>
                    <w:left w:val="none" w:sz="0" w:space="0" w:color="auto"/>
                    <w:bottom w:val="none" w:sz="0" w:space="0" w:color="auto"/>
                    <w:right w:val="none" w:sz="0" w:space="0" w:color="auto"/>
                  </w:divBdr>
                  <w:divsChild>
                    <w:div w:id="3492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499546872">
      <w:bodyDiv w:val="1"/>
      <w:marLeft w:val="0"/>
      <w:marRight w:val="0"/>
      <w:marTop w:val="0"/>
      <w:marBottom w:val="0"/>
      <w:divBdr>
        <w:top w:val="none" w:sz="0" w:space="0" w:color="auto"/>
        <w:left w:val="none" w:sz="0" w:space="0" w:color="auto"/>
        <w:bottom w:val="none" w:sz="0" w:space="0" w:color="auto"/>
        <w:right w:val="none" w:sz="0" w:space="0" w:color="auto"/>
      </w:divBdr>
      <w:divsChild>
        <w:div w:id="1204513116">
          <w:marLeft w:val="0"/>
          <w:marRight w:val="0"/>
          <w:marTop w:val="0"/>
          <w:marBottom w:val="0"/>
          <w:divBdr>
            <w:top w:val="none" w:sz="0" w:space="0" w:color="auto"/>
            <w:left w:val="none" w:sz="0" w:space="0" w:color="auto"/>
            <w:bottom w:val="none" w:sz="0" w:space="0" w:color="auto"/>
            <w:right w:val="none" w:sz="0" w:space="0" w:color="auto"/>
          </w:divBdr>
        </w:div>
      </w:divsChild>
    </w:div>
    <w:div w:id="504251175">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3421635">
      <w:bodyDiv w:val="1"/>
      <w:marLeft w:val="0"/>
      <w:marRight w:val="0"/>
      <w:marTop w:val="0"/>
      <w:marBottom w:val="0"/>
      <w:divBdr>
        <w:top w:val="none" w:sz="0" w:space="0" w:color="auto"/>
        <w:left w:val="none" w:sz="0" w:space="0" w:color="auto"/>
        <w:bottom w:val="none" w:sz="0" w:space="0" w:color="auto"/>
        <w:right w:val="none" w:sz="0" w:space="0" w:color="auto"/>
      </w:divBdr>
    </w:div>
    <w:div w:id="515970222">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34463556">
      <w:bodyDiv w:val="1"/>
      <w:marLeft w:val="0"/>
      <w:marRight w:val="0"/>
      <w:marTop w:val="0"/>
      <w:marBottom w:val="0"/>
      <w:divBdr>
        <w:top w:val="none" w:sz="0" w:space="0" w:color="auto"/>
        <w:left w:val="none" w:sz="0" w:space="0" w:color="auto"/>
        <w:bottom w:val="none" w:sz="0" w:space="0" w:color="auto"/>
        <w:right w:val="none" w:sz="0" w:space="0" w:color="auto"/>
      </w:divBdr>
    </w:div>
    <w:div w:id="536163032">
      <w:bodyDiv w:val="1"/>
      <w:marLeft w:val="0"/>
      <w:marRight w:val="0"/>
      <w:marTop w:val="0"/>
      <w:marBottom w:val="0"/>
      <w:divBdr>
        <w:top w:val="none" w:sz="0" w:space="0" w:color="auto"/>
        <w:left w:val="none" w:sz="0" w:space="0" w:color="auto"/>
        <w:bottom w:val="none" w:sz="0" w:space="0" w:color="auto"/>
        <w:right w:val="none" w:sz="0" w:space="0" w:color="auto"/>
      </w:divBdr>
    </w:div>
    <w:div w:id="539635598">
      <w:bodyDiv w:val="1"/>
      <w:marLeft w:val="0"/>
      <w:marRight w:val="0"/>
      <w:marTop w:val="0"/>
      <w:marBottom w:val="0"/>
      <w:divBdr>
        <w:top w:val="none" w:sz="0" w:space="0" w:color="auto"/>
        <w:left w:val="none" w:sz="0" w:space="0" w:color="auto"/>
        <w:bottom w:val="none" w:sz="0" w:space="0" w:color="auto"/>
        <w:right w:val="none" w:sz="0" w:space="0" w:color="auto"/>
      </w:divBdr>
      <w:divsChild>
        <w:div w:id="1202939672">
          <w:marLeft w:val="0"/>
          <w:marRight w:val="0"/>
          <w:marTop w:val="0"/>
          <w:marBottom w:val="0"/>
          <w:divBdr>
            <w:top w:val="none" w:sz="0" w:space="0" w:color="auto"/>
            <w:left w:val="none" w:sz="0" w:space="0" w:color="auto"/>
            <w:bottom w:val="none" w:sz="0" w:space="0" w:color="auto"/>
            <w:right w:val="none" w:sz="0" w:space="0" w:color="auto"/>
          </w:divBdr>
        </w:div>
      </w:divsChild>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7978658">
      <w:bodyDiv w:val="1"/>
      <w:marLeft w:val="0"/>
      <w:marRight w:val="0"/>
      <w:marTop w:val="0"/>
      <w:marBottom w:val="0"/>
      <w:divBdr>
        <w:top w:val="none" w:sz="0" w:space="0" w:color="auto"/>
        <w:left w:val="none" w:sz="0" w:space="0" w:color="auto"/>
        <w:bottom w:val="none" w:sz="0" w:space="0" w:color="auto"/>
        <w:right w:val="none" w:sz="0" w:space="0" w:color="auto"/>
      </w:divBdr>
      <w:divsChild>
        <w:div w:id="943342287">
          <w:marLeft w:val="0"/>
          <w:marRight w:val="0"/>
          <w:marTop w:val="0"/>
          <w:marBottom w:val="0"/>
          <w:divBdr>
            <w:top w:val="none" w:sz="0" w:space="0" w:color="auto"/>
            <w:left w:val="none" w:sz="0" w:space="0" w:color="auto"/>
            <w:bottom w:val="none" w:sz="0" w:space="0" w:color="auto"/>
            <w:right w:val="none" w:sz="0" w:space="0" w:color="auto"/>
          </w:divBdr>
        </w:div>
      </w:divsChild>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65141382">
      <w:bodyDiv w:val="1"/>
      <w:marLeft w:val="0"/>
      <w:marRight w:val="0"/>
      <w:marTop w:val="0"/>
      <w:marBottom w:val="0"/>
      <w:divBdr>
        <w:top w:val="none" w:sz="0" w:space="0" w:color="auto"/>
        <w:left w:val="none" w:sz="0" w:space="0" w:color="auto"/>
        <w:bottom w:val="none" w:sz="0" w:space="0" w:color="auto"/>
        <w:right w:val="none" w:sz="0" w:space="0" w:color="auto"/>
      </w:divBdr>
    </w:div>
    <w:div w:id="584076485">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4992785">
      <w:bodyDiv w:val="1"/>
      <w:marLeft w:val="0"/>
      <w:marRight w:val="0"/>
      <w:marTop w:val="0"/>
      <w:marBottom w:val="0"/>
      <w:divBdr>
        <w:top w:val="none" w:sz="0" w:space="0" w:color="auto"/>
        <w:left w:val="none" w:sz="0" w:space="0" w:color="auto"/>
        <w:bottom w:val="none" w:sz="0" w:space="0" w:color="auto"/>
        <w:right w:val="none" w:sz="0" w:space="0" w:color="auto"/>
      </w:divBdr>
      <w:divsChild>
        <w:div w:id="1084568287">
          <w:marLeft w:val="0"/>
          <w:marRight w:val="0"/>
          <w:marTop w:val="0"/>
          <w:marBottom w:val="0"/>
          <w:divBdr>
            <w:top w:val="none" w:sz="0" w:space="0" w:color="auto"/>
            <w:left w:val="none" w:sz="0" w:space="0" w:color="auto"/>
            <w:bottom w:val="none" w:sz="0" w:space="0" w:color="auto"/>
            <w:right w:val="none" w:sz="0" w:space="0" w:color="auto"/>
          </w:divBdr>
        </w:div>
      </w:divsChild>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45121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0259718">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66370251">
      <w:bodyDiv w:val="1"/>
      <w:marLeft w:val="0"/>
      <w:marRight w:val="0"/>
      <w:marTop w:val="0"/>
      <w:marBottom w:val="0"/>
      <w:divBdr>
        <w:top w:val="none" w:sz="0" w:space="0" w:color="auto"/>
        <w:left w:val="none" w:sz="0" w:space="0" w:color="auto"/>
        <w:bottom w:val="none" w:sz="0" w:space="0" w:color="auto"/>
        <w:right w:val="none" w:sz="0" w:space="0" w:color="auto"/>
      </w:divBdr>
    </w:div>
    <w:div w:id="671299537">
      <w:bodyDiv w:val="1"/>
      <w:marLeft w:val="0"/>
      <w:marRight w:val="0"/>
      <w:marTop w:val="0"/>
      <w:marBottom w:val="0"/>
      <w:divBdr>
        <w:top w:val="none" w:sz="0" w:space="0" w:color="auto"/>
        <w:left w:val="none" w:sz="0" w:space="0" w:color="auto"/>
        <w:bottom w:val="none" w:sz="0" w:space="0" w:color="auto"/>
        <w:right w:val="none" w:sz="0" w:space="0" w:color="auto"/>
      </w:divBdr>
    </w:div>
    <w:div w:id="673993840">
      <w:bodyDiv w:val="1"/>
      <w:marLeft w:val="0"/>
      <w:marRight w:val="0"/>
      <w:marTop w:val="0"/>
      <w:marBottom w:val="0"/>
      <w:divBdr>
        <w:top w:val="none" w:sz="0" w:space="0" w:color="auto"/>
        <w:left w:val="none" w:sz="0" w:space="0" w:color="auto"/>
        <w:bottom w:val="none" w:sz="0" w:space="0" w:color="auto"/>
        <w:right w:val="none" w:sz="0" w:space="0" w:color="auto"/>
      </w:divBdr>
      <w:divsChild>
        <w:div w:id="1484195775">
          <w:marLeft w:val="0"/>
          <w:marRight w:val="0"/>
          <w:marTop w:val="0"/>
          <w:marBottom w:val="0"/>
          <w:divBdr>
            <w:top w:val="none" w:sz="0" w:space="0" w:color="auto"/>
            <w:left w:val="none" w:sz="0" w:space="0" w:color="auto"/>
            <w:bottom w:val="none" w:sz="0" w:space="0" w:color="auto"/>
            <w:right w:val="none" w:sz="0" w:space="0" w:color="auto"/>
          </w:divBdr>
        </w:div>
      </w:divsChild>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510084">
      <w:bodyDiv w:val="1"/>
      <w:marLeft w:val="0"/>
      <w:marRight w:val="0"/>
      <w:marTop w:val="0"/>
      <w:marBottom w:val="0"/>
      <w:divBdr>
        <w:top w:val="none" w:sz="0" w:space="0" w:color="auto"/>
        <w:left w:val="none" w:sz="0" w:space="0" w:color="auto"/>
        <w:bottom w:val="none" w:sz="0" w:space="0" w:color="auto"/>
        <w:right w:val="none" w:sz="0" w:space="0" w:color="auto"/>
      </w:divBdr>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4067817">
      <w:bodyDiv w:val="1"/>
      <w:marLeft w:val="0"/>
      <w:marRight w:val="0"/>
      <w:marTop w:val="0"/>
      <w:marBottom w:val="0"/>
      <w:divBdr>
        <w:top w:val="none" w:sz="0" w:space="0" w:color="auto"/>
        <w:left w:val="none" w:sz="0" w:space="0" w:color="auto"/>
        <w:bottom w:val="none" w:sz="0" w:space="0" w:color="auto"/>
        <w:right w:val="none" w:sz="0" w:space="0" w:color="auto"/>
      </w:divBdr>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077779">
      <w:bodyDiv w:val="1"/>
      <w:marLeft w:val="0"/>
      <w:marRight w:val="0"/>
      <w:marTop w:val="0"/>
      <w:marBottom w:val="0"/>
      <w:divBdr>
        <w:top w:val="none" w:sz="0" w:space="0" w:color="auto"/>
        <w:left w:val="none" w:sz="0" w:space="0" w:color="auto"/>
        <w:bottom w:val="none" w:sz="0" w:space="0" w:color="auto"/>
        <w:right w:val="none" w:sz="0" w:space="0" w:color="auto"/>
      </w:divBdr>
    </w:div>
    <w:div w:id="733629230">
      <w:bodyDiv w:val="1"/>
      <w:marLeft w:val="0"/>
      <w:marRight w:val="0"/>
      <w:marTop w:val="0"/>
      <w:marBottom w:val="0"/>
      <w:divBdr>
        <w:top w:val="none" w:sz="0" w:space="0" w:color="auto"/>
        <w:left w:val="none" w:sz="0" w:space="0" w:color="auto"/>
        <w:bottom w:val="none" w:sz="0" w:space="0" w:color="auto"/>
        <w:right w:val="none" w:sz="0" w:space="0" w:color="auto"/>
      </w:divBdr>
    </w:div>
    <w:div w:id="734671331">
      <w:bodyDiv w:val="1"/>
      <w:marLeft w:val="0"/>
      <w:marRight w:val="0"/>
      <w:marTop w:val="0"/>
      <w:marBottom w:val="0"/>
      <w:divBdr>
        <w:top w:val="none" w:sz="0" w:space="0" w:color="auto"/>
        <w:left w:val="none" w:sz="0" w:space="0" w:color="auto"/>
        <w:bottom w:val="none" w:sz="0" w:space="0" w:color="auto"/>
        <w:right w:val="none" w:sz="0" w:space="0" w:color="auto"/>
      </w:divBdr>
    </w:div>
    <w:div w:id="746342270">
      <w:bodyDiv w:val="1"/>
      <w:marLeft w:val="0"/>
      <w:marRight w:val="0"/>
      <w:marTop w:val="0"/>
      <w:marBottom w:val="0"/>
      <w:divBdr>
        <w:top w:val="none" w:sz="0" w:space="0" w:color="auto"/>
        <w:left w:val="none" w:sz="0" w:space="0" w:color="auto"/>
        <w:bottom w:val="none" w:sz="0" w:space="0" w:color="auto"/>
        <w:right w:val="none" w:sz="0" w:space="0" w:color="auto"/>
      </w:divBdr>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3793880">
      <w:bodyDiv w:val="1"/>
      <w:marLeft w:val="0"/>
      <w:marRight w:val="0"/>
      <w:marTop w:val="0"/>
      <w:marBottom w:val="0"/>
      <w:divBdr>
        <w:top w:val="none" w:sz="0" w:space="0" w:color="auto"/>
        <w:left w:val="none" w:sz="0" w:space="0" w:color="auto"/>
        <w:bottom w:val="none" w:sz="0" w:space="0" w:color="auto"/>
        <w:right w:val="none" w:sz="0" w:space="0" w:color="auto"/>
      </w:divBdr>
    </w:div>
    <w:div w:id="774129005">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22703302">
      <w:bodyDiv w:val="1"/>
      <w:marLeft w:val="0"/>
      <w:marRight w:val="0"/>
      <w:marTop w:val="0"/>
      <w:marBottom w:val="0"/>
      <w:divBdr>
        <w:top w:val="none" w:sz="0" w:space="0" w:color="auto"/>
        <w:left w:val="none" w:sz="0" w:space="0" w:color="auto"/>
        <w:bottom w:val="none" w:sz="0" w:space="0" w:color="auto"/>
        <w:right w:val="none" w:sz="0" w:space="0" w:color="auto"/>
      </w:divBdr>
      <w:divsChild>
        <w:div w:id="1058165974">
          <w:marLeft w:val="0"/>
          <w:marRight w:val="0"/>
          <w:marTop w:val="0"/>
          <w:marBottom w:val="0"/>
          <w:divBdr>
            <w:top w:val="none" w:sz="0" w:space="0" w:color="auto"/>
            <w:left w:val="none" w:sz="0" w:space="0" w:color="auto"/>
            <w:bottom w:val="none" w:sz="0" w:space="0" w:color="auto"/>
            <w:right w:val="none" w:sz="0" w:space="0" w:color="auto"/>
          </w:divBdr>
        </w:div>
      </w:divsChild>
    </w:div>
    <w:div w:id="826743961">
      <w:bodyDiv w:val="1"/>
      <w:marLeft w:val="0"/>
      <w:marRight w:val="0"/>
      <w:marTop w:val="0"/>
      <w:marBottom w:val="0"/>
      <w:divBdr>
        <w:top w:val="none" w:sz="0" w:space="0" w:color="auto"/>
        <w:left w:val="none" w:sz="0" w:space="0" w:color="auto"/>
        <w:bottom w:val="none" w:sz="0" w:space="0" w:color="auto"/>
        <w:right w:val="none" w:sz="0" w:space="0" w:color="auto"/>
      </w:divBdr>
    </w:div>
    <w:div w:id="826822595">
      <w:bodyDiv w:val="1"/>
      <w:marLeft w:val="0"/>
      <w:marRight w:val="0"/>
      <w:marTop w:val="0"/>
      <w:marBottom w:val="0"/>
      <w:divBdr>
        <w:top w:val="none" w:sz="0" w:space="0" w:color="auto"/>
        <w:left w:val="none" w:sz="0" w:space="0" w:color="auto"/>
        <w:bottom w:val="none" w:sz="0" w:space="0" w:color="auto"/>
        <w:right w:val="none" w:sz="0" w:space="0" w:color="auto"/>
      </w:divBdr>
    </w:div>
    <w:div w:id="831528906">
      <w:bodyDiv w:val="1"/>
      <w:marLeft w:val="0"/>
      <w:marRight w:val="0"/>
      <w:marTop w:val="0"/>
      <w:marBottom w:val="0"/>
      <w:divBdr>
        <w:top w:val="none" w:sz="0" w:space="0" w:color="auto"/>
        <w:left w:val="none" w:sz="0" w:space="0" w:color="auto"/>
        <w:bottom w:val="none" w:sz="0" w:space="0" w:color="auto"/>
        <w:right w:val="none" w:sz="0" w:space="0" w:color="auto"/>
      </w:divBdr>
    </w:div>
    <w:div w:id="832184317">
      <w:bodyDiv w:val="1"/>
      <w:marLeft w:val="0"/>
      <w:marRight w:val="0"/>
      <w:marTop w:val="0"/>
      <w:marBottom w:val="0"/>
      <w:divBdr>
        <w:top w:val="none" w:sz="0" w:space="0" w:color="auto"/>
        <w:left w:val="none" w:sz="0" w:space="0" w:color="auto"/>
        <w:bottom w:val="none" w:sz="0" w:space="0" w:color="auto"/>
        <w:right w:val="none" w:sz="0" w:space="0" w:color="auto"/>
      </w:divBdr>
      <w:divsChild>
        <w:div w:id="1160927860">
          <w:marLeft w:val="0"/>
          <w:marRight w:val="0"/>
          <w:marTop w:val="0"/>
          <w:marBottom w:val="0"/>
          <w:divBdr>
            <w:top w:val="none" w:sz="0" w:space="0" w:color="auto"/>
            <w:left w:val="none" w:sz="0" w:space="0" w:color="auto"/>
            <w:bottom w:val="none" w:sz="0" w:space="0" w:color="auto"/>
            <w:right w:val="none" w:sz="0" w:space="0" w:color="auto"/>
          </w:divBdr>
          <w:divsChild>
            <w:div w:id="579213659">
              <w:marLeft w:val="0"/>
              <w:marRight w:val="0"/>
              <w:marTop w:val="0"/>
              <w:marBottom w:val="0"/>
              <w:divBdr>
                <w:top w:val="none" w:sz="0" w:space="0" w:color="auto"/>
                <w:left w:val="none" w:sz="0" w:space="0" w:color="auto"/>
                <w:bottom w:val="none" w:sz="0" w:space="0" w:color="auto"/>
                <w:right w:val="none" w:sz="0" w:space="0" w:color="auto"/>
              </w:divBdr>
              <w:divsChild>
                <w:div w:id="406028051">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sChild>
                        <w:div w:id="101455696">
                          <w:marLeft w:val="0"/>
                          <w:marRight w:val="0"/>
                          <w:marTop w:val="0"/>
                          <w:marBottom w:val="0"/>
                          <w:divBdr>
                            <w:top w:val="none" w:sz="0" w:space="0" w:color="auto"/>
                            <w:left w:val="none" w:sz="0" w:space="0" w:color="auto"/>
                            <w:bottom w:val="none" w:sz="0" w:space="0" w:color="auto"/>
                            <w:right w:val="none" w:sz="0" w:space="0" w:color="auto"/>
                          </w:divBdr>
                          <w:divsChild>
                            <w:div w:id="1512255755">
                              <w:marLeft w:val="0"/>
                              <w:marRight w:val="0"/>
                              <w:marTop w:val="0"/>
                              <w:marBottom w:val="0"/>
                              <w:divBdr>
                                <w:top w:val="none" w:sz="0" w:space="0" w:color="auto"/>
                                <w:left w:val="none" w:sz="0" w:space="0" w:color="auto"/>
                                <w:bottom w:val="none" w:sz="0" w:space="0" w:color="auto"/>
                                <w:right w:val="none" w:sz="0" w:space="0" w:color="auto"/>
                              </w:divBdr>
                              <w:divsChild>
                                <w:div w:id="128820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070070">
      <w:bodyDiv w:val="1"/>
      <w:marLeft w:val="0"/>
      <w:marRight w:val="0"/>
      <w:marTop w:val="0"/>
      <w:marBottom w:val="0"/>
      <w:divBdr>
        <w:top w:val="none" w:sz="0" w:space="0" w:color="auto"/>
        <w:left w:val="none" w:sz="0" w:space="0" w:color="auto"/>
        <w:bottom w:val="none" w:sz="0" w:space="0" w:color="auto"/>
        <w:right w:val="none" w:sz="0" w:space="0" w:color="auto"/>
      </w:divBdr>
    </w:div>
    <w:div w:id="837770859">
      <w:bodyDiv w:val="1"/>
      <w:marLeft w:val="0"/>
      <w:marRight w:val="0"/>
      <w:marTop w:val="0"/>
      <w:marBottom w:val="0"/>
      <w:divBdr>
        <w:top w:val="none" w:sz="0" w:space="0" w:color="auto"/>
        <w:left w:val="none" w:sz="0" w:space="0" w:color="auto"/>
        <w:bottom w:val="none" w:sz="0" w:space="0" w:color="auto"/>
        <w:right w:val="none" w:sz="0" w:space="0" w:color="auto"/>
      </w:divBdr>
    </w:div>
    <w:div w:id="843789823">
      <w:bodyDiv w:val="1"/>
      <w:marLeft w:val="0"/>
      <w:marRight w:val="0"/>
      <w:marTop w:val="0"/>
      <w:marBottom w:val="0"/>
      <w:divBdr>
        <w:top w:val="none" w:sz="0" w:space="0" w:color="auto"/>
        <w:left w:val="none" w:sz="0" w:space="0" w:color="auto"/>
        <w:bottom w:val="none" w:sz="0" w:space="0" w:color="auto"/>
        <w:right w:val="none" w:sz="0" w:space="0" w:color="auto"/>
      </w:divBdr>
      <w:divsChild>
        <w:div w:id="107162892">
          <w:marLeft w:val="0"/>
          <w:marRight w:val="0"/>
          <w:marTop w:val="0"/>
          <w:marBottom w:val="0"/>
          <w:divBdr>
            <w:top w:val="none" w:sz="0" w:space="0" w:color="auto"/>
            <w:left w:val="none" w:sz="0" w:space="0" w:color="auto"/>
            <w:bottom w:val="none" w:sz="0" w:space="0" w:color="auto"/>
            <w:right w:val="none" w:sz="0" w:space="0" w:color="auto"/>
          </w:divBdr>
          <w:divsChild>
            <w:div w:id="838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783222">
      <w:bodyDiv w:val="1"/>
      <w:marLeft w:val="0"/>
      <w:marRight w:val="0"/>
      <w:marTop w:val="0"/>
      <w:marBottom w:val="0"/>
      <w:divBdr>
        <w:top w:val="none" w:sz="0" w:space="0" w:color="auto"/>
        <w:left w:val="none" w:sz="0" w:space="0" w:color="auto"/>
        <w:bottom w:val="none" w:sz="0" w:space="0" w:color="auto"/>
        <w:right w:val="none" w:sz="0" w:space="0" w:color="auto"/>
      </w:divBdr>
    </w:div>
    <w:div w:id="884482574">
      <w:bodyDiv w:val="1"/>
      <w:marLeft w:val="0"/>
      <w:marRight w:val="0"/>
      <w:marTop w:val="0"/>
      <w:marBottom w:val="0"/>
      <w:divBdr>
        <w:top w:val="none" w:sz="0" w:space="0" w:color="auto"/>
        <w:left w:val="none" w:sz="0" w:space="0" w:color="auto"/>
        <w:bottom w:val="none" w:sz="0" w:space="0" w:color="auto"/>
        <w:right w:val="none" w:sz="0" w:space="0" w:color="auto"/>
      </w:divBdr>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835716">
      <w:bodyDiv w:val="1"/>
      <w:marLeft w:val="0"/>
      <w:marRight w:val="0"/>
      <w:marTop w:val="0"/>
      <w:marBottom w:val="0"/>
      <w:divBdr>
        <w:top w:val="none" w:sz="0" w:space="0" w:color="auto"/>
        <w:left w:val="none" w:sz="0" w:space="0" w:color="auto"/>
        <w:bottom w:val="none" w:sz="0" w:space="0" w:color="auto"/>
        <w:right w:val="none" w:sz="0" w:space="0" w:color="auto"/>
      </w:divBdr>
    </w:div>
    <w:div w:id="940986381">
      <w:bodyDiv w:val="1"/>
      <w:marLeft w:val="0"/>
      <w:marRight w:val="0"/>
      <w:marTop w:val="0"/>
      <w:marBottom w:val="0"/>
      <w:divBdr>
        <w:top w:val="none" w:sz="0" w:space="0" w:color="auto"/>
        <w:left w:val="none" w:sz="0" w:space="0" w:color="auto"/>
        <w:bottom w:val="none" w:sz="0" w:space="0" w:color="auto"/>
        <w:right w:val="none" w:sz="0" w:space="0" w:color="auto"/>
      </w:divBdr>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55211631">
      <w:bodyDiv w:val="1"/>
      <w:marLeft w:val="0"/>
      <w:marRight w:val="0"/>
      <w:marTop w:val="0"/>
      <w:marBottom w:val="0"/>
      <w:divBdr>
        <w:top w:val="none" w:sz="0" w:space="0" w:color="auto"/>
        <w:left w:val="none" w:sz="0" w:space="0" w:color="auto"/>
        <w:bottom w:val="none" w:sz="0" w:space="0" w:color="auto"/>
        <w:right w:val="none" w:sz="0" w:space="0" w:color="auto"/>
      </w:divBdr>
      <w:divsChild>
        <w:div w:id="42020952">
          <w:marLeft w:val="0"/>
          <w:marRight w:val="0"/>
          <w:marTop w:val="0"/>
          <w:marBottom w:val="0"/>
          <w:divBdr>
            <w:top w:val="none" w:sz="0" w:space="0" w:color="auto"/>
            <w:left w:val="none" w:sz="0" w:space="0" w:color="auto"/>
            <w:bottom w:val="none" w:sz="0" w:space="0" w:color="auto"/>
            <w:right w:val="none" w:sz="0" w:space="0" w:color="auto"/>
          </w:divBdr>
        </w:div>
      </w:divsChild>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74987707">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14578644">
      <w:bodyDiv w:val="1"/>
      <w:marLeft w:val="0"/>
      <w:marRight w:val="0"/>
      <w:marTop w:val="0"/>
      <w:marBottom w:val="0"/>
      <w:divBdr>
        <w:top w:val="none" w:sz="0" w:space="0" w:color="auto"/>
        <w:left w:val="none" w:sz="0" w:space="0" w:color="auto"/>
        <w:bottom w:val="none" w:sz="0" w:space="0" w:color="auto"/>
        <w:right w:val="none" w:sz="0" w:space="0" w:color="auto"/>
      </w:divBdr>
    </w:div>
    <w:div w:id="1016662066">
      <w:bodyDiv w:val="1"/>
      <w:marLeft w:val="0"/>
      <w:marRight w:val="0"/>
      <w:marTop w:val="0"/>
      <w:marBottom w:val="0"/>
      <w:divBdr>
        <w:top w:val="none" w:sz="0" w:space="0" w:color="auto"/>
        <w:left w:val="none" w:sz="0" w:space="0" w:color="auto"/>
        <w:bottom w:val="none" w:sz="0" w:space="0" w:color="auto"/>
        <w:right w:val="none" w:sz="0" w:space="0" w:color="auto"/>
      </w:divBdr>
    </w:div>
    <w:div w:id="1020204614">
      <w:bodyDiv w:val="1"/>
      <w:marLeft w:val="0"/>
      <w:marRight w:val="0"/>
      <w:marTop w:val="0"/>
      <w:marBottom w:val="0"/>
      <w:divBdr>
        <w:top w:val="none" w:sz="0" w:space="0" w:color="auto"/>
        <w:left w:val="none" w:sz="0" w:space="0" w:color="auto"/>
        <w:bottom w:val="none" w:sz="0" w:space="0" w:color="auto"/>
        <w:right w:val="none" w:sz="0" w:space="0" w:color="auto"/>
      </w:divBdr>
    </w:div>
    <w:div w:id="1021201197">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27448">
      <w:bodyDiv w:val="1"/>
      <w:marLeft w:val="0"/>
      <w:marRight w:val="0"/>
      <w:marTop w:val="0"/>
      <w:marBottom w:val="0"/>
      <w:divBdr>
        <w:top w:val="none" w:sz="0" w:space="0" w:color="auto"/>
        <w:left w:val="none" w:sz="0" w:space="0" w:color="auto"/>
        <w:bottom w:val="none" w:sz="0" w:space="0" w:color="auto"/>
        <w:right w:val="none" w:sz="0" w:space="0" w:color="auto"/>
      </w:divBdr>
      <w:divsChild>
        <w:div w:id="1137137865">
          <w:marLeft w:val="0"/>
          <w:marRight w:val="0"/>
          <w:marTop w:val="0"/>
          <w:marBottom w:val="0"/>
          <w:divBdr>
            <w:top w:val="none" w:sz="0" w:space="0" w:color="auto"/>
            <w:left w:val="none" w:sz="0" w:space="0" w:color="auto"/>
            <w:bottom w:val="none" w:sz="0" w:space="0" w:color="auto"/>
            <w:right w:val="none" w:sz="0" w:space="0" w:color="auto"/>
          </w:divBdr>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1092852">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54221492">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399782">
      <w:bodyDiv w:val="1"/>
      <w:marLeft w:val="0"/>
      <w:marRight w:val="0"/>
      <w:marTop w:val="0"/>
      <w:marBottom w:val="0"/>
      <w:divBdr>
        <w:top w:val="none" w:sz="0" w:space="0" w:color="auto"/>
        <w:left w:val="none" w:sz="0" w:space="0" w:color="auto"/>
        <w:bottom w:val="none" w:sz="0" w:space="0" w:color="auto"/>
        <w:right w:val="none" w:sz="0" w:space="0" w:color="auto"/>
      </w:divBdr>
    </w:div>
    <w:div w:id="1231960381">
      <w:bodyDiv w:val="1"/>
      <w:marLeft w:val="0"/>
      <w:marRight w:val="0"/>
      <w:marTop w:val="0"/>
      <w:marBottom w:val="0"/>
      <w:divBdr>
        <w:top w:val="none" w:sz="0" w:space="0" w:color="auto"/>
        <w:left w:val="none" w:sz="0" w:space="0" w:color="auto"/>
        <w:bottom w:val="none" w:sz="0" w:space="0" w:color="auto"/>
        <w:right w:val="none" w:sz="0" w:space="0" w:color="auto"/>
      </w:divBdr>
    </w:div>
    <w:div w:id="1239169781">
      <w:bodyDiv w:val="1"/>
      <w:marLeft w:val="0"/>
      <w:marRight w:val="0"/>
      <w:marTop w:val="0"/>
      <w:marBottom w:val="0"/>
      <w:divBdr>
        <w:top w:val="none" w:sz="0" w:space="0" w:color="auto"/>
        <w:left w:val="none" w:sz="0" w:space="0" w:color="auto"/>
        <w:bottom w:val="none" w:sz="0" w:space="0" w:color="auto"/>
        <w:right w:val="none" w:sz="0" w:space="0" w:color="auto"/>
      </w:divBdr>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51082650">
      <w:bodyDiv w:val="1"/>
      <w:marLeft w:val="0"/>
      <w:marRight w:val="0"/>
      <w:marTop w:val="0"/>
      <w:marBottom w:val="0"/>
      <w:divBdr>
        <w:top w:val="none" w:sz="0" w:space="0" w:color="auto"/>
        <w:left w:val="none" w:sz="0" w:space="0" w:color="auto"/>
        <w:bottom w:val="none" w:sz="0" w:space="0" w:color="auto"/>
        <w:right w:val="none" w:sz="0" w:space="0" w:color="auto"/>
      </w:divBdr>
      <w:divsChild>
        <w:div w:id="1505702053">
          <w:marLeft w:val="0"/>
          <w:marRight w:val="0"/>
          <w:marTop w:val="0"/>
          <w:marBottom w:val="0"/>
          <w:divBdr>
            <w:top w:val="none" w:sz="0" w:space="0" w:color="auto"/>
            <w:left w:val="none" w:sz="0" w:space="0" w:color="auto"/>
            <w:bottom w:val="none" w:sz="0" w:space="0" w:color="auto"/>
            <w:right w:val="none" w:sz="0" w:space="0" w:color="auto"/>
          </w:divBdr>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66812590">
      <w:bodyDiv w:val="1"/>
      <w:marLeft w:val="0"/>
      <w:marRight w:val="0"/>
      <w:marTop w:val="0"/>
      <w:marBottom w:val="0"/>
      <w:divBdr>
        <w:top w:val="none" w:sz="0" w:space="0" w:color="auto"/>
        <w:left w:val="none" w:sz="0" w:space="0" w:color="auto"/>
        <w:bottom w:val="none" w:sz="0" w:space="0" w:color="auto"/>
        <w:right w:val="none" w:sz="0" w:space="0" w:color="auto"/>
      </w:divBdr>
    </w:div>
    <w:div w:id="1266888565">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275505">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05089528">
      <w:bodyDiv w:val="1"/>
      <w:marLeft w:val="0"/>
      <w:marRight w:val="0"/>
      <w:marTop w:val="0"/>
      <w:marBottom w:val="0"/>
      <w:divBdr>
        <w:top w:val="none" w:sz="0" w:space="0" w:color="auto"/>
        <w:left w:val="none" w:sz="0" w:space="0" w:color="auto"/>
        <w:bottom w:val="none" w:sz="0" w:space="0" w:color="auto"/>
        <w:right w:val="none" w:sz="0" w:space="0" w:color="auto"/>
      </w:divBdr>
    </w:div>
    <w:div w:id="13097457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791">
          <w:marLeft w:val="0"/>
          <w:marRight w:val="0"/>
          <w:marTop w:val="0"/>
          <w:marBottom w:val="0"/>
          <w:divBdr>
            <w:top w:val="none" w:sz="0" w:space="0" w:color="auto"/>
            <w:left w:val="none" w:sz="0" w:space="0" w:color="auto"/>
            <w:bottom w:val="none" w:sz="0" w:space="0" w:color="auto"/>
            <w:right w:val="none" w:sz="0" w:space="0" w:color="auto"/>
          </w:divBdr>
        </w:div>
      </w:divsChild>
    </w:div>
    <w:div w:id="1313024464">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44935009">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396662957">
      <w:bodyDiv w:val="1"/>
      <w:marLeft w:val="0"/>
      <w:marRight w:val="0"/>
      <w:marTop w:val="0"/>
      <w:marBottom w:val="0"/>
      <w:divBdr>
        <w:top w:val="none" w:sz="0" w:space="0" w:color="auto"/>
        <w:left w:val="none" w:sz="0" w:space="0" w:color="auto"/>
        <w:bottom w:val="none" w:sz="0" w:space="0" w:color="auto"/>
        <w:right w:val="none" w:sz="0" w:space="0" w:color="auto"/>
      </w:divBdr>
    </w:div>
    <w:div w:id="1399477405">
      <w:bodyDiv w:val="1"/>
      <w:marLeft w:val="0"/>
      <w:marRight w:val="0"/>
      <w:marTop w:val="0"/>
      <w:marBottom w:val="0"/>
      <w:divBdr>
        <w:top w:val="none" w:sz="0" w:space="0" w:color="auto"/>
        <w:left w:val="none" w:sz="0" w:space="0" w:color="auto"/>
        <w:bottom w:val="none" w:sz="0" w:space="0" w:color="auto"/>
        <w:right w:val="none" w:sz="0" w:space="0" w:color="auto"/>
      </w:divBdr>
    </w:div>
    <w:div w:id="1404137214">
      <w:bodyDiv w:val="1"/>
      <w:marLeft w:val="0"/>
      <w:marRight w:val="0"/>
      <w:marTop w:val="0"/>
      <w:marBottom w:val="0"/>
      <w:divBdr>
        <w:top w:val="none" w:sz="0" w:space="0" w:color="auto"/>
        <w:left w:val="none" w:sz="0" w:space="0" w:color="auto"/>
        <w:bottom w:val="none" w:sz="0" w:space="0" w:color="auto"/>
        <w:right w:val="none" w:sz="0" w:space="0" w:color="auto"/>
      </w:divBdr>
    </w:div>
    <w:div w:id="1408072175">
      <w:bodyDiv w:val="1"/>
      <w:marLeft w:val="0"/>
      <w:marRight w:val="0"/>
      <w:marTop w:val="0"/>
      <w:marBottom w:val="0"/>
      <w:divBdr>
        <w:top w:val="none" w:sz="0" w:space="0" w:color="auto"/>
        <w:left w:val="none" w:sz="0" w:space="0" w:color="auto"/>
        <w:bottom w:val="none" w:sz="0" w:space="0" w:color="auto"/>
        <w:right w:val="none" w:sz="0" w:space="0" w:color="auto"/>
      </w:divBdr>
    </w:div>
    <w:div w:id="1409231481">
      <w:bodyDiv w:val="1"/>
      <w:marLeft w:val="0"/>
      <w:marRight w:val="0"/>
      <w:marTop w:val="0"/>
      <w:marBottom w:val="0"/>
      <w:divBdr>
        <w:top w:val="none" w:sz="0" w:space="0" w:color="auto"/>
        <w:left w:val="none" w:sz="0" w:space="0" w:color="auto"/>
        <w:bottom w:val="none" w:sz="0" w:space="0" w:color="auto"/>
        <w:right w:val="none" w:sz="0" w:space="0" w:color="auto"/>
      </w:divBdr>
      <w:divsChild>
        <w:div w:id="2130932873">
          <w:marLeft w:val="0"/>
          <w:marRight w:val="0"/>
          <w:marTop w:val="0"/>
          <w:marBottom w:val="0"/>
          <w:divBdr>
            <w:top w:val="none" w:sz="0" w:space="0" w:color="auto"/>
            <w:left w:val="none" w:sz="0" w:space="0" w:color="auto"/>
            <w:bottom w:val="none" w:sz="0" w:space="0" w:color="auto"/>
            <w:right w:val="none" w:sz="0" w:space="0" w:color="auto"/>
          </w:divBdr>
          <w:divsChild>
            <w:div w:id="1860505107">
              <w:marLeft w:val="0"/>
              <w:marRight w:val="0"/>
              <w:marTop w:val="0"/>
              <w:marBottom w:val="0"/>
              <w:divBdr>
                <w:top w:val="none" w:sz="0" w:space="0" w:color="auto"/>
                <w:left w:val="none" w:sz="0" w:space="0" w:color="auto"/>
                <w:bottom w:val="none" w:sz="0" w:space="0" w:color="auto"/>
                <w:right w:val="none" w:sz="0" w:space="0" w:color="auto"/>
              </w:divBdr>
              <w:divsChild>
                <w:div w:id="1306198349">
                  <w:marLeft w:val="0"/>
                  <w:marRight w:val="0"/>
                  <w:marTop w:val="0"/>
                  <w:marBottom w:val="0"/>
                  <w:divBdr>
                    <w:top w:val="none" w:sz="0" w:space="0" w:color="auto"/>
                    <w:left w:val="none" w:sz="0" w:space="0" w:color="auto"/>
                    <w:bottom w:val="none" w:sz="0" w:space="0" w:color="auto"/>
                    <w:right w:val="none" w:sz="0" w:space="0" w:color="auto"/>
                  </w:divBdr>
                  <w:divsChild>
                    <w:div w:id="1596330507">
                      <w:marLeft w:val="0"/>
                      <w:marRight w:val="0"/>
                      <w:marTop w:val="0"/>
                      <w:marBottom w:val="0"/>
                      <w:divBdr>
                        <w:top w:val="none" w:sz="0" w:space="0" w:color="auto"/>
                        <w:left w:val="none" w:sz="0" w:space="0" w:color="auto"/>
                        <w:bottom w:val="none" w:sz="0" w:space="0" w:color="auto"/>
                        <w:right w:val="none" w:sz="0" w:space="0" w:color="auto"/>
                      </w:divBdr>
                      <w:divsChild>
                        <w:div w:id="427509083">
                          <w:marLeft w:val="0"/>
                          <w:marRight w:val="0"/>
                          <w:marTop w:val="0"/>
                          <w:marBottom w:val="0"/>
                          <w:divBdr>
                            <w:top w:val="none" w:sz="0" w:space="0" w:color="auto"/>
                            <w:left w:val="none" w:sz="0" w:space="0" w:color="auto"/>
                            <w:bottom w:val="none" w:sz="0" w:space="0" w:color="auto"/>
                            <w:right w:val="none" w:sz="0" w:space="0" w:color="auto"/>
                          </w:divBdr>
                          <w:divsChild>
                            <w:div w:id="431508816">
                              <w:marLeft w:val="0"/>
                              <w:marRight w:val="0"/>
                              <w:marTop w:val="0"/>
                              <w:marBottom w:val="0"/>
                              <w:divBdr>
                                <w:top w:val="none" w:sz="0" w:space="0" w:color="auto"/>
                                <w:left w:val="none" w:sz="0" w:space="0" w:color="auto"/>
                                <w:bottom w:val="none" w:sz="0" w:space="0" w:color="auto"/>
                                <w:right w:val="none" w:sz="0" w:space="0" w:color="auto"/>
                              </w:divBdr>
                              <w:divsChild>
                                <w:div w:id="9466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27995812">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55520908">
      <w:bodyDiv w:val="1"/>
      <w:marLeft w:val="0"/>
      <w:marRight w:val="0"/>
      <w:marTop w:val="0"/>
      <w:marBottom w:val="0"/>
      <w:divBdr>
        <w:top w:val="none" w:sz="0" w:space="0" w:color="auto"/>
        <w:left w:val="none" w:sz="0" w:space="0" w:color="auto"/>
        <w:bottom w:val="none" w:sz="0" w:space="0" w:color="auto"/>
        <w:right w:val="none" w:sz="0" w:space="0" w:color="auto"/>
      </w:divBdr>
    </w:div>
    <w:div w:id="1457413395">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70634705">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0974104">
      <w:bodyDiv w:val="1"/>
      <w:marLeft w:val="0"/>
      <w:marRight w:val="0"/>
      <w:marTop w:val="0"/>
      <w:marBottom w:val="0"/>
      <w:divBdr>
        <w:top w:val="none" w:sz="0" w:space="0" w:color="auto"/>
        <w:left w:val="none" w:sz="0" w:space="0" w:color="auto"/>
        <w:bottom w:val="none" w:sz="0" w:space="0" w:color="auto"/>
        <w:right w:val="none" w:sz="0" w:space="0" w:color="auto"/>
      </w:divBdr>
      <w:divsChild>
        <w:div w:id="153881459">
          <w:marLeft w:val="0"/>
          <w:marRight w:val="0"/>
          <w:marTop w:val="0"/>
          <w:marBottom w:val="0"/>
          <w:divBdr>
            <w:top w:val="none" w:sz="0" w:space="0" w:color="auto"/>
            <w:left w:val="none" w:sz="0" w:space="0" w:color="auto"/>
            <w:bottom w:val="none" w:sz="0" w:space="0" w:color="auto"/>
            <w:right w:val="none" w:sz="0" w:space="0" w:color="auto"/>
          </w:divBdr>
          <w:divsChild>
            <w:div w:id="19516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02313963">
      <w:bodyDiv w:val="1"/>
      <w:marLeft w:val="0"/>
      <w:marRight w:val="0"/>
      <w:marTop w:val="0"/>
      <w:marBottom w:val="0"/>
      <w:divBdr>
        <w:top w:val="none" w:sz="0" w:space="0" w:color="auto"/>
        <w:left w:val="none" w:sz="0" w:space="0" w:color="auto"/>
        <w:bottom w:val="none" w:sz="0" w:space="0" w:color="auto"/>
        <w:right w:val="none" w:sz="0" w:space="0" w:color="auto"/>
      </w:divBdr>
      <w:divsChild>
        <w:div w:id="773944150">
          <w:marLeft w:val="0"/>
          <w:marRight w:val="0"/>
          <w:marTop w:val="0"/>
          <w:marBottom w:val="0"/>
          <w:divBdr>
            <w:top w:val="none" w:sz="0" w:space="0" w:color="auto"/>
            <w:left w:val="none" w:sz="0" w:space="0" w:color="auto"/>
            <w:bottom w:val="none" w:sz="0" w:space="0" w:color="auto"/>
            <w:right w:val="none" w:sz="0" w:space="0" w:color="auto"/>
          </w:divBdr>
        </w:div>
      </w:divsChild>
    </w:div>
    <w:div w:id="1506745105">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4250029">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70055">
      <w:bodyDiv w:val="1"/>
      <w:marLeft w:val="0"/>
      <w:marRight w:val="0"/>
      <w:marTop w:val="0"/>
      <w:marBottom w:val="0"/>
      <w:divBdr>
        <w:top w:val="none" w:sz="0" w:space="0" w:color="auto"/>
        <w:left w:val="none" w:sz="0" w:space="0" w:color="auto"/>
        <w:bottom w:val="none" w:sz="0" w:space="0" w:color="auto"/>
        <w:right w:val="none" w:sz="0" w:space="0" w:color="auto"/>
      </w:divBdr>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46940550">
      <w:bodyDiv w:val="1"/>
      <w:marLeft w:val="0"/>
      <w:marRight w:val="0"/>
      <w:marTop w:val="0"/>
      <w:marBottom w:val="0"/>
      <w:divBdr>
        <w:top w:val="none" w:sz="0" w:space="0" w:color="auto"/>
        <w:left w:val="none" w:sz="0" w:space="0" w:color="auto"/>
        <w:bottom w:val="none" w:sz="0" w:space="0" w:color="auto"/>
        <w:right w:val="none" w:sz="0" w:space="0" w:color="auto"/>
      </w:divBdr>
    </w:div>
    <w:div w:id="1555196827">
      <w:bodyDiv w:val="1"/>
      <w:marLeft w:val="0"/>
      <w:marRight w:val="0"/>
      <w:marTop w:val="0"/>
      <w:marBottom w:val="0"/>
      <w:divBdr>
        <w:top w:val="none" w:sz="0" w:space="0" w:color="auto"/>
        <w:left w:val="none" w:sz="0" w:space="0" w:color="auto"/>
        <w:bottom w:val="none" w:sz="0" w:space="0" w:color="auto"/>
        <w:right w:val="none" w:sz="0" w:space="0" w:color="auto"/>
      </w:divBdr>
      <w:divsChild>
        <w:div w:id="1069159351">
          <w:marLeft w:val="0"/>
          <w:marRight w:val="0"/>
          <w:marTop w:val="0"/>
          <w:marBottom w:val="0"/>
          <w:divBdr>
            <w:top w:val="none" w:sz="0" w:space="0" w:color="auto"/>
            <w:left w:val="none" w:sz="0" w:space="0" w:color="auto"/>
            <w:bottom w:val="none" w:sz="0" w:space="0" w:color="auto"/>
            <w:right w:val="none" w:sz="0" w:space="0" w:color="auto"/>
          </w:divBdr>
          <w:divsChild>
            <w:div w:id="343284526">
              <w:marLeft w:val="0"/>
              <w:marRight w:val="0"/>
              <w:marTop w:val="0"/>
              <w:marBottom w:val="0"/>
              <w:divBdr>
                <w:top w:val="none" w:sz="0" w:space="0" w:color="auto"/>
                <w:left w:val="none" w:sz="0" w:space="0" w:color="auto"/>
                <w:bottom w:val="none" w:sz="0" w:space="0" w:color="auto"/>
                <w:right w:val="none" w:sz="0" w:space="0" w:color="auto"/>
              </w:divBdr>
              <w:divsChild>
                <w:div w:id="2135515563">
                  <w:marLeft w:val="0"/>
                  <w:marRight w:val="0"/>
                  <w:marTop w:val="0"/>
                  <w:marBottom w:val="0"/>
                  <w:divBdr>
                    <w:top w:val="none" w:sz="0" w:space="0" w:color="auto"/>
                    <w:left w:val="none" w:sz="0" w:space="0" w:color="auto"/>
                    <w:bottom w:val="none" w:sz="0" w:space="0" w:color="auto"/>
                    <w:right w:val="none" w:sz="0" w:space="0" w:color="auto"/>
                  </w:divBdr>
                  <w:divsChild>
                    <w:div w:id="516626257">
                      <w:marLeft w:val="0"/>
                      <w:marRight w:val="0"/>
                      <w:marTop w:val="0"/>
                      <w:marBottom w:val="0"/>
                      <w:divBdr>
                        <w:top w:val="none" w:sz="0" w:space="0" w:color="auto"/>
                        <w:left w:val="none" w:sz="0" w:space="0" w:color="auto"/>
                        <w:bottom w:val="none" w:sz="0" w:space="0" w:color="auto"/>
                        <w:right w:val="none" w:sz="0" w:space="0" w:color="auto"/>
                      </w:divBdr>
                      <w:divsChild>
                        <w:div w:id="981692555">
                          <w:marLeft w:val="0"/>
                          <w:marRight w:val="0"/>
                          <w:marTop w:val="0"/>
                          <w:marBottom w:val="0"/>
                          <w:divBdr>
                            <w:top w:val="none" w:sz="0" w:space="0" w:color="auto"/>
                            <w:left w:val="none" w:sz="0" w:space="0" w:color="auto"/>
                            <w:bottom w:val="none" w:sz="0" w:space="0" w:color="auto"/>
                            <w:right w:val="none" w:sz="0" w:space="0" w:color="auto"/>
                          </w:divBdr>
                          <w:divsChild>
                            <w:div w:id="365568838">
                              <w:marLeft w:val="0"/>
                              <w:marRight w:val="0"/>
                              <w:marTop w:val="0"/>
                              <w:marBottom w:val="0"/>
                              <w:divBdr>
                                <w:top w:val="none" w:sz="0" w:space="0" w:color="auto"/>
                                <w:left w:val="none" w:sz="0" w:space="0" w:color="auto"/>
                                <w:bottom w:val="none" w:sz="0" w:space="0" w:color="auto"/>
                                <w:right w:val="none" w:sz="0" w:space="0" w:color="auto"/>
                              </w:divBdr>
                              <w:divsChild>
                                <w:div w:id="9396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3340917">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82506274">
      <w:bodyDiv w:val="1"/>
      <w:marLeft w:val="0"/>
      <w:marRight w:val="0"/>
      <w:marTop w:val="0"/>
      <w:marBottom w:val="0"/>
      <w:divBdr>
        <w:top w:val="none" w:sz="0" w:space="0" w:color="auto"/>
        <w:left w:val="none" w:sz="0" w:space="0" w:color="auto"/>
        <w:bottom w:val="none" w:sz="0" w:space="0" w:color="auto"/>
        <w:right w:val="none" w:sz="0" w:space="0" w:color="auto"/>
      </w:divBdr>
    </w:div>
    <w:div w:id="1683358917">
      <w:bodyDiv w:val="1"/>
      <w:marLeft w:val="0"/>
      <w:marRight w:val="0"/>
      <w:marTop w:val="0"/>
      <w:marBottom w:val="0"/>
      <w:divBdr>
        <w:top w:val="none" w:sz="0" w:space="0" w:color="auto"/>
        <w:left w:val="none" w:sz="0" w:space="0" w:color="auto"/>
        <w:bottom w:val="none" w:sz="0" w:space="0" w:color="auto"/>
        <w:right w:val="none" w:sz="0" w:space="0" w:color="auto"/>
      </w:divBdr>
    </w:div>
    <w:div w:id="1692224421">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4936606">
      <w:bodyDiv w:val="1"/>
      <w:marLeft w:val="0"/>
      <w:marRight w:val="0"/>
      <w:marTop w:val="0"/>
      <w:marBottom w:val="0"/>
      <w:divBdr>
        <w:top w:val="none" w:sz="0" w:space="0" w:color="auto"/>
        <w:left w:val="none" w:sz="0" w:space="0" w:color="auto"/>
        <w:bottom w:val="none" w:sz="0" w:space="0" w:color="auto"/>
        <w:right w:val="none" w:sz="0" w:space="0" w:color="auto"/>
      </w:divBdr>
      <w:divsChild>
        <w:div w:id="140849481">
          <w:marLeft w:val="0"/>
          <w:marRight w:val="0"/>
          <w:marTop w:val="0"/>
          <w:marBottom w:val="0"/>
          <w:divBdr>
            <w:top w:val="none" w:sz="0" w:space="0" w:color="auto"/>
            <w:left w:val="none" w:sz="0" w:space="0" w:color="auto"/>
            <w:bottom w:val="none" w:sz="0" w:space="0" w:color="auto"/>
            <w:right w:val="none" w:sz="0" w:space="0" w:color="auto"/>
          </w:divBdr>
        </w:div>
      </w:divsChild>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31729244">
      <w:bodyDiv w:val="1"/>
      <w:marLeft w:val="0"/>
      <w:marRight w:val="0"/>
      <w:marTop w:val="0"/>
      <w:marBottom w:val="0"/>
      <w:divBdr>
        <w:top w:val="none" w:sz="0" w:space="0" w:color="auto"/>
        <w:left w:val="none" w:sz="0" w:space="0" w:color="auto"/>
        <w:bottom w:val="none" w:sz="0" w:space="0" w:color="auto"/>
        <w:right w:val="none" w:sz="0" w:space="0" w:color="auto"/>
      </w:divBdr>
      <w:divsChild>
        <w:div w:id="671951561">
          <w:marLeft w:val="0"/>
          <w:marRight w:val="0"/>
          <w:marTop w:val="0"/>
          <w:marBottom w:val="0"/>
          <w:divBdr>
            <w:top w:val="none" w:sz="0" w:space="0" w:color="auto"/>
            <w:left w:val="none" w:sz="0" w:space="0" w:color="auto"/>
            <w:bottom w:val="none" w:sz="0" w:space="0" w:color="auto"/>
            <w:right w:val="none" w:sz="0" w:space="0" w:color="auto"/>
          </w:divBdr>
        </w:div>
      </w:divsChild>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1899179">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67724073">
      <w:bodyDiv w:val="1"/>
      <w:marLeft w:val="0"/>
      <w:marRight w:val="0"/>
      <w:marTop w:val="0"/>
      <w:marBottom w:val="0"/>
      <w:divBdr>
        <w:top w:val="none" w:sz="0" w:space="0" w:color="auto"/>
        <w:left w:val="none" w:sz="0" w:space="0" w:color="auto"/>
        <w:bottom w:val="none" w:sz="0" w:space="0" w:color="auto"/>
        <w:right w:val="none" w:sz="0" w:space="0" w:color="auto"/>
      </w:divBdr>
      <w:divsChild>
        <w:div w:id="1952976269">
          <w:marLeft w:val="0"/>
          <w:marRight w:val="0"/>
          <w:marTop w:val="0"/>
          <w:marBottom w:val="0"/>
          <w:divBdr>
            <w:top w:val="none" w:sz="0" w:space="0" w:color="auto"/>
            <w:left w:val="none" w:sz="0" w:space="0" w:color="auto"/>
            <w:bottom w:val="none" w:sz="0" w:space="0" w:color="auto"/>
            <w:right w:val="none" w:sz="0" w:space="0" w:color="auto"/>
          </w:divBdr>
          <w:divsChild>
            <w:div w:id="6171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45423">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0753551">
      <w:bodyDiv w:val="1"/>
      <w:marLeft w:val="0"/>
      <w:marRight w:val="0"/>
      <w:marTop w:val="0"/>
      <w:marBottom w:val="0"/>
      <w:divBdr>
        <w:top w:val="none" w:sz="0" w:space="0" w:color="auto"/>
        <w:left w:val="none" w:sz="0" w:space="0" w:color="auto"/>
        <w:bottom w:val="none" w:sz="0" w:space="0" w:color="auto"/>
        <w:right w:val="none" w:sz="0" w:space="0" w:color="auto"/>
      </w:divBdr>
      <w:divsChild>
        <w:div w:id="986279489">
          <w:marLeft w:val="0"/>
          <w:marRight w:val="0"/>
          <w:marTop w:val="0"/>
          <w:marBottom w:val="0"/>
          <w:divBdr>
            <w:top w:val="none" w:sz="0" w:space="0" w:color="auto"/>
            <w:left w:val="none" w:sz="0" w:space="0" w:color="auto"/>
            <w:bottom w:val="none" w:sz="0" w:space="0" w:color="auto"/>
            <w:right w:val="none" w:sz="0" w:space="0" w:color="auto"/>
          </w:divBdr>
          <w:divsChild>
            <w:div w:id="130562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60583832">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6458">
      <w:bodyDiv w:val="1"/>
      <w:marLeft w:val="0"/>
      <w:marRight w:val="0"/>
      <w:marTop w:val="0"/>
      <w:marBottom w:val="0"/>
      <w:divBdr>
        <w:top w:val="none" w:sz="0" w:space="0" w:color="auto"/>
        <w:left w:val="none" w:sz="0" w:space="0" w:color="auto"/>
        <w:bottom w:val="none" w:sz="0" w:space="0" w:color="auto"/>
        <w:right w:val="none" w:sz="0" w:space="0" w:color="auto"/>
      </w:divBdr>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898394525">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2005530">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365909">
      <w:bodyDiv w:val="1"/>
      <w:marLeft w:val="0"/>
      <w:marRight w:val="0"/>
      <w:marTop w:val="0"/>
      <w:marBottom w:val="0"/>
      <w:divBdr>
        <w:top w:val="none" w:sz="0" w:space="0" w:color="auto"/>
        <w:left w:val="none" w:sz="0" w:space="0" w:color="auto"/>
        <w:bottom w:val="none" w:sz="0" w:space="0" w:color="auto"/>
        <w:right w:val="none" w:sz="0" w:space="0" w:color="auto"/>
      </w:divBdr>
      <w:divsChild>
        <w:div w:id="750539925">
          <w:marLeft w:val="0"/>
          <w:marRight w:val="0"/>
          <w:marTop w:val="0"/>
          <w:marBottom w:val="0"/>
          <w:divBdr>
            <w:top w:val="none" w:sz="0" w:space="0" w:color="auto"/>
            <w:left w:val="none" w:sz="0" w:space="0" w:color="auto"/>
            <w:bottom w:val="none" w:sz="0" w:space="0" w:color="auto"/>
            <w:right w:val="none" w:sz="0" w:space="0" w:color="auto"/>
          </w:divBdr>
        </w:div>
      </w:divsChild>
    </w:div>
    <w:div w:id="1958176268">
      <w:bodyDiv w:val="1"/>
      <w:marLeft w:val="0"/>
      <w:marRight w:val="0"/>
      <w:marTop w:val="0"/>
      <w:marBottom w:val="0"/>
      <w:divBdr>
        <w:top w:val="none" w:sz="0" w:space="0" w:color="auto"/>
        <w:left w:val="none" w:sz="0" w:space="0" w:color="auto"/>
        <w:bottom w:val="none" w:sz="0" w:space="0" w:color="auto"/>
        <w:right w:val="none" w:sz="0" w:space="0" w:color="auto"/>
      </w:divBdr>
    </w:div>
    <w:div w:id="1981029681">
      <w:bodyDiv w:val="1"/>
      <w:marLeft w:val="0"/>
      <w:marRight w:val="0"/>
      <w:marTop w:val="0"/>
      <w:marBottom w:val="0"/>
      <w:divBdr>
        <w:top w:val="none" w:sz="0" w:space="0" w:color="auto"/>
        <w:left w:val="none" w:sz="0" w:space="0" w:color="auto"/>
        <w:bottom w:val="none" w:sz="0" w:space="0" w:color="auto"/>
        <w:right w:val="none" w:sz="0" w:space="0" w:color="auto"/>
      </w:divBdr>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816323">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45211653">
      <w:bodyDiv w:val="1"/>
      <w:marLeft w:val="0"/>
      <w:marRight w:val="0"/>
      <w:marTop w:val="0"/>
      <w:marBottom w:val="0"/>
      <w:divBdr>
        <w:top w:val="none" w:sz="0" w:space="0" w:color="auto"/>
        <w:left w:val="none" w:sz="0" w:space="0" w:color="auto"/>
        <w:bottom w:val="none" w:sz="0" w:space="0" w:color="auto"/>
        <w:right w:val="none" w:sz="0" w:space="0" w:color="auto"/>
      </w:divBdr>
    </w:div>
    <w:div w:id="2048093314">
      <w:bodyDiv w:val="1"/>
      <w:marLeft w:val="0"/>
      <w:marRight w:val="0"/>
      <w:marTop w:val="0"/>
      <w:marBottom w:val="0"/>
      <w:divBdr>
        <w:top w:val="none" w:sz="0" w:space="0" w:color="auto"/>
        <w:left w:val="none" w:sz="0" w:space="0" w:color="auto"/>
        <w:bottom w:val="none" w:sz="0" w:space="0" w:color="auto"/>
        <w:right w:val="none" w:sz="0" w:space="0" w:color="auto"/>
      </w:divBdr>
    </w:div>
    <w:div w:id="2059236510">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71071357">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0813882">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20903309">
      <w:bodyDiv w:val="1"/>
      <w:marLeft w:val="0"/>
      <w:marRight w:val="0"/>
      <w:marTop w:val="0"/>
      <w:marBottom w:val="0"/>
      <w:divBdr>
        <w:top w:val="none" w:sz="0" w:space="0" w:color="auto"/>
        <w:left w:val="none" w:sz="0" w:space="0" w:color="auto"/>
        <w:bottom w:val="none" w:sz="0" w:space="0" w:color="auto"/>
        <w:right w:val="none" w:sz="0" w:space="0" w:color="auto"/>
      </w:divBdr>
      <w:divsChild>
        <w:div w:id="1523398760">
          <w:marLeft w:val="0"/>
          <w:marRight w:val="0"/>
          <w:marTop w:val="0"/>
          <w:marBottom w:val="0"/>
          <w:divBdr>
            <w:top w:val="none" w:sz="0" w:space="0" w:color="auto"/>
            <w:left w:val="none" w:sz="0" w:space="0" w:color="auto"/>
            <w:bottom w:val="none" w:sz="0" w:space="0" w:color="auto"/>
            <w:right w:val="none" w:sz="0" w:space="0" w:color="auto"/>
          </w:divBdr>
          <w:divsChild>
            <w:div w:id="16211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4911">
      <w:bodyDiv w:val="1"/>
      <w:marLeft w:val="0"/>
      <w:marRight w:val="0"/>
      <w:marTop w:val="0"/>
      <w:marBottom w:val="0"/>
      <w:divBdr>
        <w:top w:val="none" w:sz="0" w:space="0" w:color="auto"/>
        <w:left w:val="none" w:sz="0" w:space="0" w:color="auto"/>
        <w:bottom w:val="none" w:sz="0" w:space="0" w:color="auto"/>
        <w:right w:val="none" w:sz="0" w:space="0" w:color="auto"/>
      </w:divBdr>
      <w:divsChild>
        <w:div w:id="15541244">
          <w:marLeft w:val="0"/>
          <w:marRight w:val="0"/>
          <w:marTop w:val="0"/>
          <w:marBottom w:val="0"/>
          <w:divBdr>
            <w:top w:val="none" w:sz="0" w:space="0" w:color="auto"/>
            <w:left w:val="none" w:sz="0" w:space="0" w:color="auto"/>
            <w:bottom w:val="none" w:sz="0" w:space="0" w:color="auto"/>
            <w:right w:val="none" w:sz="0" w:space="0" w:color="auto"/>
          </w:divBdr>
        </w:div>
      </w:divsChild>
    </w:div>
    <w:div w:id="2129854522">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1742-4755-7-15" TargetMode="External"/><Relationship Id="rId13" Type="http://schemas.openxmlformats.org/officeDocument/2006/relationships/hyperlink" Target="https://doi.org/10.1073/pnas.2025865118" TargetMode="External"/><Relationship Id="rId18" Type="http://schemas.openxmlformats.org/officeDocument/2006/relationships/hyperlink" Target="https://doi.org/10.1371/journal.pone.0317783"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1177/2455632719831827" TargetMode="External"/><Relationship Id="rId7" Type="http://schemas.openxmlformats.org/officeDocument/2006/relationships/endnotes" Target="endnotes.xml"/><Relationship Id="rId12" Type="http://schemas.openxmlformats.org/officeDocument/2006/relationships/hyperlink" Target="https://doi.org/10.1016/j.lansea.2024.100504" TargetMode="External"/><Relationship Id="rId17" Type="http://schemas.openxmlformats.org/officeDocument/2006/relationships/hyperlink" Target="https://doi.org/10.9734/ajess/2026/v52i12800?utm_source=chatgpt.com"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016/j.sftr.2020.100024" TargetMode="External"/><Relationship Id="rId20" Type="http://schemas.openxmlformats.org/officeDocument/2006/relationships/hyperlink" Target="https://jurnal.polteknaker.ac.id/index.php/Imside/article/view/8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S2214-109X(18)30184-0"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56557/ajahss/2025/v8i174?utm_source=chatgpt.com"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1186/s12905-025-04194-0" TargetMode="External"/><Relationship Id="rId19" Type="http://schemas.openxmlformats.org/officeDocument/2006/relationships/hyperlink" Target="https://doi.org/10.9734/jesbs/2026/v39i11456?utm_source=chatgpt.com" TargetMode="External"/><Relationship Id="rId4" Type="http://schemas.openxmlformats.org/officeDocument/2006/relationships/settings" Target="settings.xml"/><Relationship Id="rId9" Type="http://schemas.openxmlformats.org/officeDocument/2006/relationships/hyperlink" Target="https://doi.org/10.1136/bmjopen-2024-083922" TargetMode="External"/><Relationship Id="rId14" Type="http://schemas.openxmlformats.org/officeDocument/2006/relationships/hyperlink" Target="https://doi.org/10.1016/j.worlddev.2016.07.001"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5522DF-DC78-4001-A4F2-CA1F82C8E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10369</TotalTime>
  <Pages>17</Pages>
  <Words>8413</Words>
  <Characters>47956</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1020</cp:lastModifiedBy>
  <cp:revision>152</cp:revision>
  <cp:lastPrinted>2025-12-13T07:14:00Z</cp:lastPrinted>
  <dcterms:created xsi:type="dcterms:W3CDTF">2025-09-24T12:44:00Z</dcterms:created>
  <dcterms:modified xsi:type="dcterms:W3CDTF">2026-02-20T13:23:00Z</dcterms:modified>
</cp:coreProperties>
</file>