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75A31" w14:textId="77777777" w:rsidR="007E09CA" w:rsidRDefault="007E09CA" w:rsidP="00EB5DB6">
      <w:pPr>
        <w:spacing w:before="240" w:line="360" w:lineRule="auto"/>
        <w:jc w:val="right"/>
        <w:rPr>
          <w:rFonts w:ascii="Arial" w:hAnsi="Arial" w:cs="Arial"/>
          <w:b/>
          <w:bCs/>
          <w:sz w:val="32"/>
          <w:szCs w:val="32"/>
        </w:rPr>
      </w:pPr>
      <w:r w:rsidRPr="007E09CA">
        <w:rPr>
          <w:rFonts w:ascii="Arial" w:hAnsi="Arial" w:cs="Arial"/>
          <w:b/>
          <w:bCs/>
          <w:sz w:val="32"/>
          <w:szCs w:val="32"/>
        </w:rPr>
        <w:t xml:space="preserve">Original Research Article </w:t>
      </w:r>
    </w:p>
    <w:p w14:paraId="7F918656" w14:textId="77777777" w:rsidR="007E09CA" w:rsidRDefault="007E09CA" w:rsidP="00EB5DB6">
      <w:pPr>
        <w:spacing w:before="240" w:line="360" w:lineRule="auto"/>
        <w:jc w:val="right"/>
        <w:rPr>
          <w:rFonts w:ascii="Arial" w:hAnsi="Arial" w:cs="Arial"/>
          <w:b/>
          <w:bCs/>
          <w:sz w:val="32"/>
          <w:szCs w:val="32"/>
        </w:rPr>
      </w:pPr>
    </w:p>
    <w:p w14:paraId="6EE0A637" w14:textId="00760590" w:rsidR="00C26805" w:rsidRDefault="00C26805" w:rsidP="00EB5DB6">
      <w:pPr>
        <w:spacing w:before="240" w:line="360" w:lineRule="auto"/>
        <w:jc w:val="right"/>
        <w:rPr>
          <w:rFonts w:ascii="Arial" w:hAnsi="Arial" w:cs="Arial"/>
          <w:b/>
          <w:bCs/>
          <w:sz w:val="32"/>
          <w:szCs w:val="32"/>
        </w:rPr>
      </w:pPr>
      <w:r w:rsidRPr="00C26805">
        <w:rPr>
          <w:rFonts w:ascii="Arial" w:hAnsi="Arial" w:cs="Arial"/>
          <w:b/>
          <w:bCs/>
          <w:sz w:val="32"/>
          <w:szCs w:val="32"/>
        </w:rPr>
        <w:t>Determinants of Saving Behaviour and Financial Vulnerability among Women Gig Workers in Malabar, Kerala: A Logistic Regression Analysis</w:t>
      </w:r>
    </w:p>
    <w:p w14:paraId="128387EB" w14:textId="11F736E4" w:rsidR="005571C5" w:rsidRPr="0059717B" w:rsidRDefault="0059717B" w:rsidP="007F1D34">
      <w:pPr>
        <w:spacing w:after="0" w:line="360" w:lineRule="auto"/>
        <w:jc w:val="both"/>
        <w:rPr>
          <w:rFonts w:ascii="Arial" w:hAnsi="Arial" w:cs="Arial"/>
          <w:b/>
          <w:bCs/>
        </w:rPr>
      </w:pPr>
      <w:r w:rsidRPr="0059717B">
        <w:rPr>
          <w:rFonts w:ascii="Arial" w:hAnsi="Arial" w:cs="Arial"/>
          <w:b/>
          <w:bCs/>
        </w:rPr>
        <w:t>ABSTRACT</w:t>
      </w:r>
    </w:p>
    <w:p w14:paraId="24118446" w14:textId="51ED30AE" w:rsidR="007F3801" w:rsidRDefault="007F3801" w:rsidP="007647B9">
      <w:pPr>
        <w:spacing w:before="240" w:line="360" w:lineRule="auto"/>
        <w:jc w:val="both"/>
        <w:rPr>
          <w:rFonts w:ascii="Arial" w:hAnsi="Arial" w:cs="Arial"/>
          <w:sz w:val="20"/>
          <w:szCs w:val="20"/>
        </w:rPr>
      </w:pPr>
      <w:r w:rsidRPr="007F3801">
        <w:rPr>
          <w:rFonts w:ascii="Arial" w:hAnsi="Arial" w:cs="Arial"/>
          <w:sz w:val="20"/>
          <w:szCs w:val="20"/>
        </w:rPr>
        <w:t xml:space="preserve">This study investigates patterns of saving behaviour and financial vulnerability among women gig workers in the Malabar region of Kerala, a state characterised by high female literacy alongside substantial engagement in informal employment. Based on primary data collected from 300 women engaged in diverse gig occupations, the analysis employs descriptive statistics, logistic regression, and complementary log–log models to identify key socio-economic determinants of savings participation and financial vulnerability. The complementary log–log model is used to robustly estimate non-linear effects, thereby enhancing the reliability of the empirical inferences. </w:t>
      </w:r>
      <w:r w:rsidRPr="007647B9">
        <w:rPr>
          <w:rFonts w:ascii="Arial" w:hAnsi="Arial" w:cs="Arial"/>
          <w:sz w:val="20"/>
          <w:szCs w:val="20"/>
        </w:rPr>
        <w:t>The results indicate that income stability, financial goals, access to formal financial products, financial literacy, control over finances, and household responsibilities, particularly during financial emergencies, significantly shape the earnings and saving behaviour of women gig workers</w:t>
      </w:r>
      <w:r w:rsidRPr="007F3801">
        <w:rPr>
          <w:rFonts w:ascii="Arial" w:hAnsi="Arial" w:cs="Arial"/>
          <w:sz w:val="20"/>
          <w:szCs w:val="20"/>
        </w:rPr>
        <w:t>. In contrast, income volatility, job insecurity, and limited access to credit significantly exacerbate financial vulnerability. The empirical evidence suggests that inclusive finance, tailored financial literacy efforts, and effective social protection play a pivotal role in reducing income instability and enhancing livelihood security among women gig workers.</w:t>
      </w:r>
    </w:p>
    <w:p w14:paraId="4656FF0E" w14:textId="5708F34F" w:rsidR="005571C5" w:rsidRPr="007647B9" w:rsidRDefault="005571C5" w:rsidP="006177EA">
      <w:pPr>
        <w:spacing w:before="240" w:after="0" w:line="360" w:lineRule="auto"/>
        <w:jc w:val="both"/>
        <w:rPr>
          <w:rFonts w:ascii="Arial" w:hAnsi="Arial" w:cs="Arial"/>
          <w:i/>
          <w:iCs/>
          <w:sz w:val="16"/>
          <w:szCs w:val="16"/>
        </w:rPr>
      </w:pPr>
      <w:r w:rsidRPr="0059717B">
        <w:rPr>
          <w:rFonts w:ascii="Arial" w:hAnsi="Arial" w:cs="Arial"/>
          <w:b/>
          <w:bCs/>
          <w:i/>
          <w:iCs/>
          <w:sz w:val="20"/>
          <w:szCs w:val="20"/>
        </w:rPr>
        <w:t>Keywords:</w:t>
      </w:r>
      <w:r w:rsidRPr="0059717B">
        <w:rPr>
          <w:rFonts w:ascii="Arial" w:hAnsi="Arial" w:cs="Arial"/>
          <w:i/>
          <w:iCs/>
          <w:sz w:val="20"/>
          <w:szCs w:val="20"/>
        </w:rPr>
        <w:t xml:space="preserve"> </w:t>
      </w:r>
      <w:r w:rsidR="007647B9" w:rsidRPr="007647B9">
        <w:rPr>
          <w:rFonts w:ascii="Arial" w:hAnsi="Arial" w:cs="Arial"/>
          <w:sz w:val="20"/>
          <w:szCs w:val="20"/>
        </w:rPr>
        <w:t>Women Gig Workers, Savings, Financial Vulnerability, Logistic Regression, Complementary log–log Model, Kerala</w:t>
      </w:r>
    </w:p>
    <w:p w14:paraId="61151C39" w14:textId="5D6DD8FF" w:rsidR="003D642D" w:rsidRPr="0059717B" w:rsidRDefault="0059717B" w:rsidP="006177EA">
      <w:pPr>
        <w:spacing w:before="240" w:line="360" w:lineRule="auto"/>
        <w:jc w:val="both"/>
        <w:rPr>
          <w:rFonts w:ascii="Arial" w:hAnsi="Arial" w:cs="Arial"/>
          <w:b/>
          <w:bCs/>
        </w:rPr>
      </w:pPr>
      <w:r w:rsidRPr="0059717B">
        <w:rPr>
          <w:rFonts w:ascii="Arial" w:hAnsi="Arial" w:cs="Arial"/>
          <w:b/>
          <w:bCs/>
        </w:rPr>
        <w:t xml:space="preserve">1 INTRODUCTION </w:t>
      </w:r>
    </w:p>
    <w:p w14:paraId="619A114A" w14:textId="77777777"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 xml:space="preserve">The expansion of the gig economy has fundamentally reshaped contemporary labour markets by altering employment relationships, income security, and access to social protection. Gig work, commonly mediated through digital platforms and characterised by short-term, task-based engagements, has become an important source of livelihood in many developing economies. Rapid advances in information and communication technologies, coupled with neoliberal economic reforms, have significantly accelerated the growth of this labour arrangement, in which workers perform discrete tasks while being classified as independent service providers rather than formal employees (Zwick, 2018; </w:t>
      </w:r>
      <w:proofErr w:type="spellStart"/>
      <w:r w:rsidRPr="007647B9">
        <w:rPr>
          <w:rFonts w:ascii="Arial" w:hAnsi="Arial" w:cs="Arial"/>
          <w:sz w:val="20"/>
          <w:szCs w:val="20"/>
        </w:rPr>
        <w:t>Bracha</w:t>
      </w:r>
      <w:proofErr w:type="spellEnd"/>
      <w:r w:rsidRPr="007647B9">
        <w:rPr>
          <w:rFonts w:ascii="Arial" w:hAnsi="Arial" w:cs="Arial"/>
          <w:sz w:val="20"/>
          <w:szCs w:val="20"/>
        </w:rPr>
        <w:t xml:space="preserve"> &amp; Burke, 2018; </w:t>
      </w:r>
      <w:proofErr w:type="spellStart"/>
      <w:r w:rsidRPr="007647B9">
        <w:rPr>
          <w:rFonts w:ascii="Arial" w:hAnsi="Arial" w:cs="Arial"/>
          <w:sz w:val="20"/>
          <w:szCs w:val="20"/>
        </w:rPr>
        <w:t>Yaraghi</w:t>
      </w:r>
      <w:proofErr w:type="spellEnd"/>
      <w:r w:rsidRPr="007647B9">
        <w:rPr>
          <w:rFonts w:ascii="Arial" w:hAnsi="Arial" w:cs="Arial"/>
          <w:sz w:val="20"/>
          <w:szCs w:val="20"/>
        </w:rPr>
        <w:t xml:space="preserve"> &amp; Ravi, 2017). The coexistence of widespread labour informality with relatively advanced social development raises important concerns regarding savings behaviour, investment patterns, and financial resilience among women engaged in gig work. Savings and </w:t>
      </w:r>
      <w:r w:rsidRPr="007647B9">
        <w:rPr>
          <w:rFonts w:ascii="Arial" w:hAnsi="Arial" w:cs="Arial"/>
          <w:sz w:val="20"/>
          <w:szCs w:val="20"/>
        </w:rPr>
        <w:lastRenderedPageBreak/>
        <w:t>investment are critical mechanisms for managing income uncertainty and mitigating financial vulnerability. Digital gig platforms play a significant role in shaping household income flows and savings behaviour, while also serving as an important avenue for expanding women’s labour market participation (Kar, 2019). For gig workers, regular savings facilitate consumption smoothing during periods of income instability, while investments contribute to long-term economic security. However, persistent gender-based disadvantages in the labour market, including wage differentials, irregular employment opportunities, occupational segregation, and limited access to formal financial institutions, significantly restrict women’s ability to accumulate savings and assets (Joseph, 2021). In the absence of stable earnings and employer-provided social security, these structural constraints further intensify the economic vulnerability of women gig workers.</w:t>
      </w:r>
    </w:p>
    <w:p w14:paraId="6E9630FA" w14:textId="3452029B"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Kerala provides a distinctive context for examining these dynamics. Although the state is widely recognised for its high literacy rates and relatively favourable gender development indicators (</w:t>
      </w:r>
      <w:proofErr w:type="spellStart"/>
      <w:r w:rsidRPr="007647B9">
        <w:rPr>
          <w:rFonts w:ascii="Arial" w:hAnsi="Arial" w:cs="Arial"/>
          <w:sz w:val="20"/>
          <w:szCs w:val="20"/>
        </w:rPr>
        <w:t>Oommen</w:t>
      </w:r>
      <w:proofErr w:type="spellEnd"/>
      <w:r w:rsidRPr="007647B9">
        <w:rPr>
          <w:rFonts w:ascii="Arial" w:hAnsi="Arial" w:cs="Arial"/>
          <w:sz w:val="20"/>
          <w:szCs w:val="20"/>
        </w:rPr>
        <w:t>, 2008), it has simultaneously witnessed a growing shift towards informal and platform-mediated forms of employment. Women in Kerala are increasingly engaged in a wide range of gig activities, including app-based services, freelance work, and care-related as well as home-based digital occupations. However, increased participation in the labour market has not necessarily translated into enhanced financial security. Furthermore, engagement in gig work influences the nature and direction of women’s financial decisions within and beyond these platforms (</w:t>
      </w:r>
      <w:proofErr w:type="spellStart"/>
      <w:r w:rsidRPr="007647B9">
        <w:rPr>
          <w:rFonts w:ascii="Arial" w:hAnsi="Arial" w:cs="Arial"/>
          <w:sz w:val="20"/>
          <w:szCs w:val="20"/>
        </w:rPr>
        <w:t>Kasliwal</w:t>
      </w:r>
      <w:proofErr w:type="spellEnd"/>
      <w:r w:rsidRPr="007647B9">
        <w:rPr>
          <w:rFonts w:ascii="Arial" w:hAnsi="Arial" w:cs="Arial"/>
          <w:sz w:val="20"/>
          <w:szCs w:val="20"/>
        </w:rPr>
        <w:t xml:space="preserve">, 2020). Despite these opportunities, women gig workers often encounter multiple barriers to effective financial planning, such as income volatility, limited financial literacy, and competing household responsibilities. Reliance on informal financial instruments, coupled with the absence of insurance and pension coverage, further heightens their vulnerability to economic shocks (Mehta, 2023). </w:t>
      </w:r>
      <w:r w:rsidR="00134289" w:rsidRPr="00134289">
        <w:rPr>
          <w:rFonts w:ascii="Arial" w:hAnsi="Arial" w:cs="Arial"/>
          <w:sz w:val="20"/>
          <w:szCs w:val="20"/>
        </w:rPr>
        <w:t>Although the gig economy has been widely studied, gender-focused analyses of financial behaviour and financial vulnerability remain scarce in India, with particularly limited evidence from Kerala</w:t>
      </w:r>
      <w:r w:rsidRPr="007647B9">
        <w:rPr>
          <w:rFonts w:ascii="Arial" w:hAnsi="Arial" w:cs="Arial"/>
          <w:sz w:val="20"/>
          <w:szCs w:val="20"/>
        </w:rPr>
        <w:t>. Addressing this gap, the present study examines the relationship between earnings, savings, and financial vulnerability among women gig workers in the Malabar region of Kerala. By situating the analysis within broader debates on informal employment and gendered economic insecurity, the study seeks to contribute robust empirical evidence to the academic literature and generate policy-relevant insights aimed at strengthening the financial resilience of women in the gig economy.</w:t>
      </w:r>
    </w:p>
    <w:p w14:paraId="45350897" w14:textId="19473FF8" w:rsidR="000D4AEE" w:rsidRPr="0059717B" w:rsidRDefault="0059717B" w:rsidP="00C22E25">
      <w:pPr>
        <w:spacing w:line="360" w:lineRule="auto"/>
        <w:jc w:val="both"/>
        <w:rPr>
          <w:rFonts w:ascii="Arial" w:hAnsi="Arial" w:cs="Arial"/>
          <w:b/>
          <w:bCs/>
        </w:rPr>
      </w:pPr>
      <w:r w:rsidRPr="0059717B">
        <w:rPr>
          <w:rFonts w:ascii="Arial" w:hAnsi="Arial" w:cs="Arial"/>
          <w:b/>
          <w:bCs/>
        </w:rPr>
        <w:t>2 THEORETICAL PERSPECTIVES OF THE STUDY</w:t>
      </w:r>
    </w:p>
    <w:p w14:paraId="020183F1" w14:textId="77777777"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 xml:space="preserve">The dynamics of earnings stability, savings behaviour, and financial vulnerability in the gig economy can be comprehensively understood through an integration of established theoretical frameworks that account for individual agency, structural constraints, socio-cultural influences, and perceptions of risk. This study draws on three principal theoretical perspectives: the Life-Cycle Hypothesis (LCH), Behavioural Life-Cycle Theory, and Intersectionality Theory. The Life-Cycle Hypothesis, originally advanced by Modigliani and </w:t>
      </w:r>
      <w:proofErr w:type="spellStart"/>
      <w:r w:rsidRPr="007647B9">
        <w:rPr>
          <w:rFonts w:ascii="Arial" w:hAnsi="Arial" w:cs="Arial"/>
          <w:sz w:val="20"/>
          <w:szCs w:val="20"/>
        </w:rPr>
        <w:t>Brumberg</w:t>
      </w:r>
      <w:proofErr w:type="spellEnd"/>
      <w:r w:rsidRPr="007647B9">
        <w:rPr>
          <w:rFonts w:ascii="Arial" w:hAnsi="Arial" w:cs="Arial"/>
          <w:sz w:val="20"/>
          <w:szCs w:val="20"/>
        </w:rPr>
        <w:t xml:space="preserve">, argues that individuals plan their consumption and saving behaviour across different stages of life in order to smooth consumption amid fluctuating income levels (Modigliani &amp; </w:t>
      </w:r>
      <w:proofErr w:type="spellStart"/>
      <w:r w:rsidRPr="007647B9">
        <w:rPr>
          <w:rFonts w:ascii="Arial" w:hAnsi="Arial" w:cs="Arial"/>
          <w:sz w:val="20"/>
          <w:szCs w:val="20"/>
        </w:rPr>
        <w:t>Brumberg</w:t>
      </w:r>
      <w:proofErr w:type="spellEnd"/>
      <w:r w:rsidRPr="007647B9">
        <w:rPr>
          <w:rFonts w:ascii="Arial" w:hAnsi="Arial" w:cs="Arial"/>
          <w:sz w:val="20"/>
          <w:szCs w:val="20"/>
        </w:rPr>
        <w:t xml:space="preserve">, 1954). According to this framework, individuals tend to accumulate savings during periods of relatively higher income and draw down these savings during retirement or times of </w:t>
      </w:r>
      <w:r w:rsidRPr="007647B9">
        <w:rPr>
          <w:rFonts w:ascii="Arial" w:hAnsi="Arial" w:cs="Arial"/>
          <w:sz w:val="20"/>
          <w:szCs w:val="20"/>
        </w:rPr>
        <w:lastRenderedPageBreak/>
        <w:t>financial distress. However, the income structure inherent in gig work—marked by irregularity and uncertainty—poses a challenge to the core assumption of stable lifetime earnings embedded in the LCH. In the context of women gig workers in Kerala, frequent income fluctuations can undermine long-term financial planning, leading to reduced savings accumulation and heightened vulnerability to economic shocks. Consequently, the Life-Cycle Hypothesis serves as a foundational analytical lens for examining how income volatility shapes savings behaviour within non-standard employment arrangements. Moreover, the framework highlights the critical role of institutional support mechanisms, such as access to social security and formal credit, in strengthening the financial resilience of gig workers.</w:t>
      </w:r>
    </w:p>
    <w:p w14:paraId="0F2F5BE4" w14:textId="77777777"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 xml:space="preserve">Behavioural Life-Cycle Theory (BLCT), proposed by </w:t>
      </w:r>
      <w:proofErr w:type="spellStart"/>
      <w:r w:rsidRPr="007647B9">
        <w:rPr>
          <w:rFonts w:ascii="Arial" w:hAnsi="Arial" w:cs="Arial"/>
          <w:sz w:val="20"/>
          <w:szCs w:val="20"/>
        </w:rPr>
        <w:t>Shefrin</w:t>
      </w:r>
      <w:proofErr w:type="spellEnd"/>
      <w:r w:rsidRPr="007647B9">
        <w:rPr>
          <w:rFonts w:ascii="Arial" w:hAnsi="Arial" w:cs="Arial"/>
          <w:sz w:val="20"/>
          <w:szCs w:val="20"/>
        </w:rPr>
        <w:t xml:space="preserve"> and Thaler (1988), extends beyond the rational planning framework of the Life-Cycle Hypothesis by integrating psychological factors into the analysis of saving behaviour. The theory posits that individuals mentally allocate their financial resources into separate categories, such as current income, accumulated assets, and future income, and that financial decisions are influenced by behavioural tendencies including present bias, loss aversion, and challenges in self-control. These cognitive and emotional factors often lead to suboptimal saving and investment outcomes. Among women engaged in the gig economy, present bias may be particularly pronounced due to immediate financial pressures arising from household responsibilities and caregiving roles, which can weaken long-term financial planning. Furthermore, inadequate access to financial literacy and formal planning mechanisms may intensify these behavioural constraints, thereby increasing exposure to financial vulnerability. Complementing this behavioural perspective, Intersectionality Theory, articulated by Crenshaw (1989), underscores how overlapping social identities such as gender, caste, class, and labour status jointly shape individuals’ economic experiences and opportunities. In Kerala, women gig workers often occupy a distinctive socio-economic position, simultaneously managing unpaid domestic labour and unstable forms of paid work. These intersecting identities significantly influence their financial agency and exposure to economic risk. Consequently, an intersectional framework is essential for understanding the structural determinants of financial behaviour and vulnerability among women gig workers.</w:t>
      </w:r>
    </w:p>
    <w:p w14:paraId="72AA2FB2" w14:textId="3048E6D6" w:rsidR="00403910" w:rsidRPr="0059717B" w:rsidRDefault="0059717B" w:rsidP="00403910">
      <w:pPr>
        <w:spacing w:line="360" w:lineRule="auto"/>
        <w:jc w:val="both"/>
        <w:rPr>
          <w:rFonts w:ascii="Arial" w:hAnsi="Arial" w:cs="Arial"/>
          <w:b/>
          <w:bCs/>
        </w:rPr>
      </w:pPr>
      <w:r w:rsidRPr="0059717B">
        <w:rPr>
          <w:rFonts w:ascii="Arial" w:hAnsi="Arial" w:cs="Arial"/>
          <w:b/>
          <w:bCs/>
        </w:rPr>
        <w:t>3 REVIEW OF LITERATURE</w:t>
      </w:r>
    </w:p>
    <w:p w14:paraId="30EC7FF2" w14:textId="77777777"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The growth of the gig economy has led to the emergence of technology-mediated employment, commonly described as digital or platform-based labour (</w:t>
      </w:r>
      <w:proofErr w:type="spellStart"/>
      <w:r w:rsidRPr="007647B9">
        <w:rPr>
          <w:rFonts w:ascii="Arial" w:hAnsi="Arial" w:cs="Arial"/>
          <w:sz w:val="20"/>
          <w:szCs w:val="20"/>
        </w:rPr>
        <w:t>Heeks</w:t>
      </w:r>
      <w:proofErr w:type="spellEnd"/>
      <w:r w:rsidRPr="007647B9">
        <w:rPr>
          <w:rFonts w:ascii="Arial" w:hAnsi="Arial" w:cs="Arial"/>
          <w:sz w:val="20"/>
          <w:szCs w:val="20"/>
        </w:rPr>
        <w:t xml:space="preserve">, 2017; Tran &amp; </w:t>
      </w:r>
      <w:proofErr w:type="spellStart"/>
      <w:r w:rsidRPr="007647B9">
        <w:rPr>
          <w:rFonts w:ascii="Arial" w:hAnsi="Arial" w:cs="Arial"/>
          <w:sz w:val="20"/>
          <w:szCs w:val="20"/>
        </w:rPr>
        <w:t>Sokas</w:t>
      </w:r>
      <w:proofErr w:type="spellEnd"/>
      <w:r w:rsidRPr="007647B9">
        <w:rPr>
          <w:rFonts w:ascii="Arial" w:hAnsi="Arial" w:cs="Arial"/>
          <w:sz w:val="20"/>
          <w:szCs w:val="20"/>
        </w:rPr>
        <w:t xml:space="preserve">, 2017). The gig economy has emerged as an attractive employment avenue for women, primarily due to its flexible schedules, accessible entry points, and perceived durability, features that are largely absent in traditional labour arrangements (Kaine &amp; Josserand, 2019). The existing body of literature on the gig economy consistently highlights the dual nature of platform-mediated work, presenting both opportunities and vulnerabilities, particularly for women. Global studies indicate that enhanced access to mobile financial services and greater digital inclusion can positively influence investment behaviour and promote women’s financial empowerment (ILO, 2021). These findings suggest that, if effectively leveraged, digital platforms may support savings and investment among gig workers. In the Indian context, the platform economy has expanded rapidly; however, women’s participation remains uneven </w:t>
      </w:r>
      <w:r w:rsidRPr="007647B9">
        <w:rPr>
          <w:rFonts w:ascii="Arial" w:hAnsi="Arial" w:cs="Arial"/>
          <w:sz w:val="20"/>
          <w:szCs w:val="20"/>
        </w:rPr>
        <w:lastRenderedPageBreak/>
        <w:t>and constrained by entrenched socio-cultural and economic barriers. Based on NITI Aayog’s (2022) projections, India’s gig economy employed about 7.7 million workers in 2020–21, accounting for roughly 2.6 percent of non-agricultural employment and 1.5 percent of the total workforce. The report forecasts rapid expansion, with gig workers expected to number around 23.5 million by 2029–30, representing 6.7 percent of non-agricultural employment and 4.1 percent of overall labour force participation. Gendered segmentation within gig platforms reflects broader labour market inequalities, thereby challenging the assumption that gig work inherently facilitates women’s labour force participation (</w:t>
      </w:r>
      <w:proofErr w:type="spellStart"/>
      <w:r w:rsidRPr="007647B9">
        <w:rPr>
          <w:rFonts w:ascii="Arial" w:hAnsi="Arial" w:cs="Arial"/>
          <w:sz w:val="20"/>
          <w:szCs w:val="20"/>
        </w:rPr>
        <w:t>Kasliwal</w:t>
      </w:r>
      <w:proofErr w:type="spellEnd"/>
      <w:r w:rsidRPr="007647B9">
        <w:rPr>
          <w:rFonts w:ascii="Arial" w:hAnsi="Arial" w:cs="Arial"/>
          <w:sz w:val="20"/>
          <w:szCs w:val="20"/>
        </w:rPr>
        <w:t xml:space="preserve">, 2020). Supporting this view, Rahul and </w:t>
      </w:r>
      <w:proofErr w:type="spellStart"/>
      <w:r w:rsidRPr="007647B9">
        <w:rPr>
          <w:rFonts w:ascii="Arial" w:hAnsi="Arial" w:cs="Arial"/>
          <w:sz w:val="20"/>
          <w:szCs w:val="20"/>
        </w:rPr>
        <w:t>Shaifali</w:t>
      </w:r>
      <w:proofErr w:type="spellEnd"/>
      <w:r w:rsidRPr="007647B9">
        <w:rPr>
          <w:rFonts w:ascii="Arial" w:hAnsi="Arial" w:cs="Arial"/>
          <w:sz w:val="20"/>
          <w:szCs w:val="20"/>
        </w:rPr>
        <w:t xml:space="preserve"> (2025) demonstrate that women’s lower engagement in platform work is closely associated with societal norms, safety concerns, and the precarious nature of employment within the digital economy. </w:t>
      </w:r>
    </w:p>
    <w:p w14:paraId="7BF522B4" w14:textId="77777777"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The literature on the financial dimensions of gig work highlights income volatility and employment insecurity as pervasive challenges that directly constrain workers’ capacity to save and invest. Chatterjee et al. (2021), drawing on global and Indian evidence, reveal that platform workers experience substantial income instability and limited access to appropriate financial instruments, thereby restricting their ability to accumulate savings or manage economic shocks. Similarly, Sharma et al. (2025) document the evolving nature of gig work in India, showing that its informal status limits access to traditional financial protections and stable earnings, heightening financial vulnerability. Empirical evidence from Kerala further illustrates the multifaceted challenges faced by women gig workers. A study conducted in Malappuram identified irregular earnings, lack of social security, domestic responsibilities, platform-based discrimination, and limited digital skills as significant factors exacerbating adverse working conditions for women in the gig economy (</w:t>
      </w:r>
      <w:proofErr w:type="spellStart"/>
      <w:r w:rsidRPr="007647B9">
        <w:rPr>
          <w:rFonts w:ascii="Arial" w:hAnsi="Arial" w:cs="Arial"/>
          <w:sz w:val="20"/>
          <w:szCs w:val="20"/>
        </w:rPr>
        <w:t>Noushad</w:t>
      </w:r>
      <w:proofErr w:type="spellEnd"/>
      <w:r w:rsidRPr="007647B9">
        <w:rPr>
          <w:rFonts w:ascii="Arial" w:hAnsi="Arial" w:cs="Arial"/>
          <w:sz w:val="20"/>
          <w:szCs w:val="20"/>
        </w:rPr>
        <w:t xml:space="preserve"> &amp; </w:t>
      </w:r>
      <w:proofErr w:type="spellStart"/>
      <w:r w:rsidRPr="007647B9">
        <w:rPr>
          <w:rFonts w:ascii="Arial" w:hAnsi="Arial" w:cs="Arial"/>
          <w:sz w:val="20"/>
          <w:szCs w:val="20"/>
        </w:rPr>
        <w:t>Jamsheer</w:t>
      </w:r>
      <w:proofErr w:type="spellEnd"/>
      <w:r w:rsidRPr="007647B9">
        <w:rPr>
          <w:rFonts w:ascii="Arial" w:hAnsi="Arial" w:cs="Arial"/>
          <w:sz w:val="20"/>
          <w:szCs w:val="20"/>
        </w:rPr>
        <w:t>, 2025). Studies focusing on working women in Kerala identify low levels of financial literacy and restricted investment opportunities as major impediments to sound investment behaviour (</w:t>
      </w:r>
      <w:proofErr w:type="spellStart"/>
      <w:r w:rsidRPr="007647B9">
        <w:rPr>
          <w:rFonts w:ascii="Arial" w:hAnsi="Arial" w:cs="Arial"/>
          <w:sz w:val="20"/>
          <w:szCs w:val="20"/>
        </w:rPr>
        <w:t>Devayani</w:t>
      </w:r>
      <w:proofErr w:type="spellEnd"/>
      <w:r w:rsidRPr="007647B9">
        <w:rPr>
          <w:rFonts w:ascii="Arial" w:hAnsi="Arial" w:cs="Arial"/>
          <w:sz w:val="20"/>
          <w:szCs w:val="20"/>
        </w:rPr>
        <w:t xml:space="preserve"> &amp; Kalpana, 2024). Furthermore, </w:t>
      </w:r>
      <w:proofErr w:type="spellStart"/>
      <w:r w:rsidRPr="007647B9">
        <w:rPr>
          <w:rFonts w:ascii="Arial" w:hAnsi="Arial" w:cs="Arial"/>
          <w:sz w:val="20"/>
          <w:szCs w:val="20"/>
        </w:rPr>
        <w:t>Shekhawat</w:t>
      </w:r>
      <w:proofErr w:type="spellEnd"/>
      <w:r w:rsidRPr="007647B9">
        <w:rPr>
          <w:rFonts w:ascii="Arial" w:hAnsi="Arial" w:cs="Arial"/>
          <w:sz w:val="20"/>
          <w:szCs w:val="20"/>
        </w:rPr>
        <w:t xml:space="preserve"> and Saxena (2025) observe that financial instability arising from irregular income flows is a primary source of stress among gig workers in India, adversely affecting well-being and financial decision-making. Evidence from West Bengal also indicates that limited financial knowledge and the absence of protective institutional frameworks weaken the financial resilience of gig workers (Mallick &amp; Das, 2025). Although the existing body of research provides valuable insights into women’s savings behaviour, investment patterns, and financial vulnerability within informal and gig-based employment, the literature remains fragmented and highly context-specific. Notably, empirical studies that simultaneously examine these interrelated dimensions among women gig workers in Kerala are scarce. Addressing this gap, the present study offers context-specific evidence aimed at informing inclusive financial policies and gender-responsive interventions within the rapidly evolving gig economy.</w:t>
      </w:r>
    </w:p>
    <w:p w14:paraId="77785FA8" w14:textId="188701DE" w:rsidR="00DB5CC8" w:rsidRPr="0059717B" w:rsidRDefault="007647B9" w:rsidP="00DB5CC8">
      <w:pPr>
        <w:spacing w:before="240" w:after="0" w:line="360" w:lineRule="auto"/>
        <w:jc w:val="both"/>
        <w:rPr>
          <w:rFonts w:ascii="Arial" w:hAnsi="Arial" w:cs="Arial"/>
          <w:b/>
          <w:bCs/>
        </w:rPr>
      </w:pPr>
      <w:r>
        <w:rPr>
          <w:rFonts w:ascii="Arial" w:hAnsi="Arial" w:cs="Arial"/>
          <w:b/>
          <w:bCs/>
        </w:rPr>
        <w:t>4</w:t>
      </w:r>
      <w:r w:rsidR="00542751">
        <w:rPr>
          <w:rFonts w:ascii="Arial" w:hAnsi="Arial" w:cs="Arial"/>
          <w:b/>
          <w:bCs/>
        </w:rPr>
        <w:t xml:space="preserve"> </w:t>
      </w:r>
      <w:r w:rsidR="0059717B" w:rsidRPr="0059717B">
        <w:rPr>
          <w:rFonts w:ascii="Arial" w:hAnsi="Arial" w:cs="Arial"/>
          <w:b/>
          <w:bCs/>
        </w:rPr>
        <w:t>METHODOLOGY</w:t>
      </w:r>
      <w:r w:rsidR="00542751">
        <w:rPr>
          <w:rFonts w:ascii="Arial" w:hAnsi="Arial" w:cs="Arial"/>
          <w:b/>
          <w:bCs/>
        </w:rPr>
        <w:t xml:space="preserve"> </w:t>
      </w:r>
    </w:p>
    <w:p w14:paraId="0B8ED11C" w14:textId="391F157B" w:rsidR="00A12A99"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 xml:space="preserve">The study adopted a cross-sectional quantitative research design to examine patterns of earnings, savings behaviour, and financial vulnerability among women engaged in gig work in the Malabar region of Kerala. This approach facilitated the collection of primary data at a single point in time and enabled </w:t>
      </w:r>
      <w:r w:rsidRPr="00542751">
        <w:rPr>
          <w:rFonts w:ascii="Arial" w:hAnsi="Arial" w:cs="Arial"/>
          <w:sz w:val="20"/>
          <w:szCs w:val="20"/>
        </w:rPr>
        <w:lastRenderedPageBreak/>
        <w:t>rigorous statistical analysis of the relationships between selected socio-economic characteristics and financial outcomes. To identify the determinants of savings and financial vulnerability, two advanced binary regression techniques were employed. Logistic regression was used to estimate the probability of favourable financial outcomes as a function of relevant explanatory variables. In addition, to enhance the robustness of the empirical findings, the complementary log–log regression model was applied. This model is particularly suitable when the dependent variable exhibits an asymmetric distribution or when the probability of occurrence is relatively low, as it effectively captures scenarios in which the hazard of an event varies with changes in covariates. Descriptive statistical measures, including the mean, standard deviation, minimum, and maximum values, were also employed to provide comprehensive analytical insights into the data</w:t>
      </w:r>
      <w:r w:rsidR="00A12A99" w:rsidRPr="00542751">
        <w:rPr>
          <w:rFonts w:ascii="Arial" w:hAnsi="Arial" w:cs="Arial"/>
          <w:sz w:val="20"/>
          <w:szCs w:val="20"/>
        </w:rPr>
        <w:t xml:space="preserve">. </w:t>
      </w:r>
    </w:p>
    <w:p w14:paraId="68E4159D" w14:textId="7D976898" w:rsidR="007601BD" w:rsidRPr="0059717B" w:rsidRDefault="00542751" w:rsidP="00DB5CC8">
      <w:pPr>
        <w:spacing w:before="240" w:after="0" w:line="360" w:lineRule="auto"/>
        <w:jc w:val="both"/>
        <w:rPr>
          <w:rFonts w:ascii="Arial" w:hAnsi="Arial" w:cs="Arial"/>
          <w:b/>
          <w:bCs/>
        </w:rPr>
      </w:pPr>
      <w:r>
        <w:rPr>
          <w:rFonts w:ascii="Arial" w:hAnsi="Arial" w:cs="Arial"/>
          <w:b/>
          <w:bCs/>
        </w:rPr>
        <w:t>4</w:t>
      </w:r>
      <w:r w:rsidR="009E7CF5" w:rsidRPr="0059717B">
        <w:rPr>
          <w:rFonts w:ascii="Arial" w:hAnsi="Arial" w:cs="Arial"/>
          <w:b/>
          <w:bCs/>
        </w:rPr>
        <w:t>.1 Data</w:t>
      </w:r>
    </w:p>
    <w:p w14:paraId="6F166512" w14:textId="63D0BAC3" w:rsidR="004A37B9" w:rsidRPr="00187AF7" w:rsidRDefault="00542751" w:rsidP="009E7CF5">
      <w:pPr>
        <w:spacing w:before="240" w:after="0" w:line="360" w:lineRule="auto"/>
        <w:jc w:val="both"/>
        <w:rPr>
          <w:rFonts w:ascii="Arial" w:hAnsi="Arial" w:cs="Arial"/>
          <w:sz w:val="20"/>
          <w:szCs w:val="20"/>
        </w:rPr>
      </w:pPr>
      <w:r w:rsidRPr="00542751">
        <w:rPr>
          <w:rFonts w:ascii="Arial" w:hAnsi="Arial" w:cs="Arial"/>
          <w:sz w:val="20"/>
          <w:szCs w:val="20"/>
        </w:rPr>
        <w:t xml:space="preserve">The study is based on primary data collected from three districts of the Malabar region of Kerala: Kannur, Kozhikode, and Malappuram. Specifically, the data were gathered from the </w:t>
      </w:r>
      <w:proofErr w:type="spellStart"/>
      <w:r w:rsidRPr="00542751">
        <w:rPr>
          <w:rFonts w:ascii="Arial" w:hAnsi="Arial" w:cs="Arial"/>
          <w:sz w:val="20"/>
          <w:szCs w:val="20"/>
        </w:rPr>
        <w:t>Thalassery</w:t>
      </w:r>
      <w:proofErr w:type="spellEnd"/>
      <w:r w:rsidRPr="00542751">
        <w:rPr>
          <w:rFonts w:ascii="Arial" w:hAnsi="Arial" w:cs="Arial"/>
          <w:sz w:val="20"/>
          <w:szCs w:val="20"/>
        </w:rPr>
        <w:t xml:space="preserve">, </w:t>
      </w:r>
      <w:proofErr w:type="spellStart"/>
      <w:r w:rsidRPr="00542751">
        <w:rPr>
          <w:rFonts w:ascii="Arial" w:hAnsi="Arial" w:cs="Arial"/>
          <w:sz w:val="20"/>
          <w:szCs w:val="20"/>
        </w:rPr>
        <w:t>Taliparamba</w:t>
      </w:r>
      <w:proofErr w:type="spellEnd"/>
      <w:r w:rsidRPr="00542751">
        <w:rPr>
          <w:rFonts w:ascii="Arial" w:hAnsi="Arial" w:cs="Arial"/>
          <w:sz w:val="20"/>
          <w:szCs w:val="20"/>
        </w:rPr>
        <w:t xml:space="preserve">, and </w:t>
      </w:r>
      <w:proofErr w:type="spellStart"/>
      <w:r w:rsidRPr="00542751">
        <w:rPr>
          <w:rFonts w:ascii="Arial" w:hAnsi="Arial" w:cs="Arial"/>
          <w:sz w:val="20"/>
          <w:szCs w:val="20"/>
        </w:rPr>
        <w:t>Iritty</w:t>
      </w:r>
      <w:proofErr w:type="spellEnd"/>
      <w:r w:rsidRPr="00542751">
        <w:rPr>
          <w:rFonts w:ascii="Arial" w:hAnsi="Arial" w:cs="Arial"/>
          <w:sz w:val="20"/>
          <w:szCs w:val="20"/>
        </w:rPr>
        <w:t xml:space="preserve"> taluks of Kannur district; the </w:t>
      </w:r>
      <w:proofErr w:type="spellStart"/>
      <w:r w:rsidRPr="00542751">
        <w:rPr>
          <w:rFonts w:ascii="Arial" w:hAnsi="Arial" w:cs="Arial"/>
          <w:sz w:val="20"/>
          <w:szCs w:val="20"/>
        </w:rPr>
        <w:t>Koyilandy</w:t>
      </w:r>
      <w:proofErr w:type="spellEnd"/>
      <w:r w:rsidRPr="00542751">
        <w:rPr>
          <w:rFonts w:ascii="Arial" w:hAnsi="Arial" w:cs="Arial"/>
          <w:sz w:val="20"/>
          <w:szCs w:val="20"/>
        </w:rPr>
        <w:t xml:space="preserve">, </w:t>
      </w:r>
      <w:proofErr w:type="spellStart"/>
      <w:r w:rsidRPr="00542751">
        <w:rPr>
          <w:rFonts w:ascii="Arial" w:hAnsi="Arial" w:cs="Arial"/>
          <w:sz w:val="20"/>
          <w:szCs w:val="20"/>
        </w:rPr>
        <w:t>Thamarassery</w:t>
      </w:r>
      <w:proofErr w:type="spellEnd"/>
      <w:r w:rsidRPr="00542751">
        <w:rPr>
          <w:rFonts w:ascii="Arial" w:hAnsi="Arial" w:cs="Arial"/>
          <w:sz w:val="20"/>
          <w:szCs w:val="20"/>
        </w:rPr>
        <w:t xml:space="preserve">, and Vadakara taluks of Kozhikode district; and the </w:t>
      </w:r>
      <w:proofErr w:type="spellStart"/>
      <w:r w:rsidRPr="00542751">
        <w:rPr>
          <w:rFonts w:ascii="Arial" w:hAnsi="Arial" w:cs="Arial"/>
          <w:sz w:val="20"/>
          <w:szCs w:val="20"/>
        </w:rPr>
        <w:t>Tirur</w:t>
      </w:r>
      <w:proofErr w:type="spellEnd"/>
      <w:r w:rsidRPr="00542751">
        <w:rPr>
          <w:rFonts w:ascii="Arial" w:hAnsi="Arial" w:cs="Arial"/>
          <w:sz w:val="20"/>
          <w:szCs w:val="20"/>
        </w:rPr>
        <w:t xml:space="preserve">, Nilambur, and </w:t>
      </w:r>
      <w:proofErr w:type="spellStart"/>
      <w:r w:rsidRPr="00542751">
        <w:rPr>
          <w:rFonts w:ascii="Arial" w:hAnsi="Arial" w:cs="Arial"/>
          <w:sz w:val="20"/>
          <w:szCs w:val="20"/>
        </w:rPr>
        <w:t>Kondotty</w:t>
      </w:r>
      <w:proofErr w:type="spellEnd"/>
      <w:r w:rsidRPr="00542751">
        <w:rPr>
          <w:rFonts w:ascii="Arial" w:hAnsi="Arial" w:cs="Arial"/>
          <w:sz w:val="20"/>
          <w:szCs w:val="20"/>
        </w:rPr>
        <w:t xml:space="preserve"> taluks of Malappuram district. The target population comprised female gig workers aged 18 years and above who were actively engaged in various forms of digital platform-based employment, including ride-hailing services, delivery work, freelancing, and home-based services. A sample of 300 respondents was selected to ensure adequate statistical power and representativeness, while accounting for the heterogeneity of gig work sectors across the region. Primary data were collected using a structured questionnaire administered through both face-to-face interviews and online survey forms during the period from July to October 2025. The questionnaire was developed based on an extensive review of relevant literature and was subsequently validated through a pilot survey conducted among 30 respondents to ensure clarity, reliability, and contextual relevance.</w:t>
      </w:r>
    </w:p>
    <w:p w14:paraId="0FF8A803" w14:textId="77777777" w:rsidR="00187AF7" w:rsidRDefault="00542751" w:rsidP="00187AF7">
      <w:pPr>
        <w:spacing w:before="240" w:after="0" w:line="360" w:lineRule="auto"/>
        <w:jc w:val="both"/>
        <w:rPr>
          <w:rFonts w:ascii="Arial" w:hAnsi="Arial" w:cs="Arial"/>
        </w:rPr>
      </w:pPr>
      <w:r>
        <w:rPr>
          <w:rFonts w:ascii="Arial" w:hAnsi="Arial" w:cs="Arial"/>
          <w:b/>
          <w:bCs/>
        </w:rPr>
        <w:t>4</w:t>
      </w:r>
      <w:r w:rsidR="009E7CF5" w:rsidRPr="0059717B">
        <w:rPr>
          <w:rFonts w:ascii="Arial" w:hAnsi="Arial" w:cs="Arial"/>
          <w:b/>
          <w:bCs/>
        </w:rPr>
        <w:t>.2 Method</w:t>
      </w:r>
    </w:p>
    <w:p w14:paraId="42FB92CD" w14:textId="46A701B0" w:rsidR="00187AF7" w:rsidRPr="00187AF7" w:rsidRDefault="00187AF7" w:rsidP="00187AF7">
      <w:pPr>
        <w:spacing w:before="240" w:after="0" w:line="360" w:lineRule="auto"/>
        <w:jc w:val="both"/>
        <w:rPr>
          <w:rFonts w:ascii="Arial" w:hAnsi="Arial" w:cs="Arial"/>
        </w:rPr>
      </w:pPr>
      <w:r w:rsidRPr="00187AF7">
        <w:rPr>
          <w:rFonts w:ascii="Arial" w:hAnsi="Arial" w:cs="Arial"/>
          <w:sz w:val="20"/>
          <w:szCs w:val="20"/>
        </w:rPr>
        <w:t xml:space="preserve">Given the binary nature of the dependent variable, which indicates whether a respondent saves from gig work income (1 for yes and 0 for no), logistic regression is employed for the empirical analysis. Model parameters are estimated using the maximum likelihood estimation technique. All statistical analyses are performed using Stata (version 11), and robust standard errors are employed to correct for potential heteroskedasticity. The choice of explanatory variables is informed by prior empirical and theoretical literature on saving behaviour, financial inclusion, and labour outcomes within the gig economy. The model incorporates variables reflecting financial behaviour (such as the presence of financial goals and emergency savings), financial access (including access to debit and credit cards and health insurance coverage), and empowerment-related factors (financial management skills and control over personal finances). These variables are intended to capture both economic and behavioural determinants of saving. Although the model controls for several observed characteristics, the possibility of omitted-variable bias cannot be completely eliminated due to unobserved factors such as individual </w:t>
      </w:r>
      <w:r w:rsidRPr="00187AF7">
        <w:rPr>
          <w:rFonts w:ascii="Arial" w:hAnsi="Arial" w:cs="Arial"/>
          <w:sz w:val="20"/>
          <w:szCs w:val="20"/>
        </w:rPr>
        <w:lastRenderedPageBreak/>
        <w:t>preferences and income instability. Before estimation, multicollinearity among the explanatory variables was assessed using the Variance Inflation Factor (VIF). All VIF values remained below the commonly accepted threshold of five, suggesting no serious multicollinearity concerns. Key model assumptions, including the independence of observations and linearity in the logit, were carefully evaluated and found to be appropriate for the cross-sectional nature of the data.</w:t>
      </w:r>
    </w:p>
    <w:p w14:paraId="49AB0177" w14:textId="5999AA86" w:rsidR="00542751"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 xml:space="preserve">The savings behaviour of women gig workers is examined by classifying respondents into savings and non-savings groups, and the key determinants influencing this behaviour are analysed using an econometric model. Let Sᵢ denote the saving behaviour of the </w:t>
      </w:r>
      <w:proofErr w:type="spellStart"/>
      <w:r w:rsidRPr="00542751">
        <w:rPr>
          <w:rFonts w:ascii="Arial" w:hAnsi="Arial" w:cs="Arial"/>
          <w:i/>
          <w:iCs/>
          <w:sz w:val="20"/>
          <w:szCs w:val="20"/>
        </w:rPr>
        <w:t>i</w:t>
      </w:r>
      <w:r w:rsidRPr="00542751">
        <w:rPr>
          <w:rFonts w:ascii="Arial" w:hAnsi="Arial" w:cs="Arial"/>
          <w:sz w:val="20"/>
          <w:szCs w:val="20"/>
        </w:rPr>
        <w:t>ᵗʰ</w:t>
      </w:r>
      <w:proofErr w:type="spellEnd"/>
      <w:r w:rsidRPr="00542751">
        <w:rPr>
          <w:rFonts w:ascii="Arial" w:hAnsi="Arial" w:cs="Arial"/>
          <w:sz w:val="20"/>
          <w:szCs w:val="20"/>
        </w:rPr>
        <w:t xml:space="preserve"> gig worker in the logistic regression model.</w:t>
      </w:r>
    </w:p>
    <w:p w14:paraId="40640866" w14:textId="77777777" w:rsidR="00542751" w:rsidRPr="00542751" w:rsidRDefault="009F0DD2" w:rsidP="00542751">
      <w:pPr>
        <w:spacing w:before="240" w:line="360" w:lineRule="auto"/>
        <w:jc w:val="both"/>
        <w:rPr>
          <w:rFonts w:ascii="Arial" w:eastAsia="Times New Roman" w:hAnsi="Arial" w:cs="Arial"/>
          <w:color w:val="000000"/>
          <w:kern w:val="0"/>
          <w:sz w:val="20"/>
          <w:szCs w:val="20"/>
          <w:lang w:eastAsia="en-IN"/>
          <w14:ligatures w14:val="none"/>
        </w:rPr>
      </w:pP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 xml:space="preserve">=1: </m:t>
        </m:r>
      </m:oMath>
      <w:r w:rsidR="00542751" w:rsidRPr="00542751">
        <w:rPr>
          <w:rFonts w:ascii="Arial" w:hAnsi="Arial" w:cs="Arial"/>
          <w:sz w:val="20"/>
          <w:szCs w:val="20"/>
        </w:rPr>
        <w:t>If the individual saves from gig work income and</w:t>
      </w:r>
      <w:r w:rsidR="00542751" w:rsidRPr="00542751">
        <w:rPr>
          <w:rFonts w:ascii="Arial" w:hAnsi="Arial" w:cs="Arial"/>
          <w:sz w:val="20"/>
          <w:szCs w:val="20"/>
        </w:rPr>
        <w:br/>
      </w: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=0</m:t>
        </m:r>
      </m:oMath>
      <w:r w:rsidR="00542751" w:rsidRPr="00542751">
        <w:rPr>
          <w:rFonts w:ascii="Arial" w:eastAsiaTheme="minorEastAsia" w:hAnsi="Arial" w:cs="Arial"/>
          <w:sz w:val="20"/>
          <w:szCs w:val="20"/>
        </w:rPr>
        <w:t xml:space="preserve">: Otherwise  </w:t>
      </w:r>
    </w:p>
    <w:p w14:paraId="58A3068C" w14:textId="77777777" w:rsidR="00542751" w:rsidRPr="00542751" w:rsidRDefault="00542751" w:rsidP="00542751">
      <w:pPr>
        <w:spacing w:line="360" w:lineRule="auto"/>
        <w:jc w:val="both"/>
        <w:rPr>
          <w:rFonts w:ascii="Arial" w:hAnsi="Arial" w:cs="Arial"/>
          <w:sz w:val="20"/>
          <w:szCs w:val="20"/>
        </w:rPr>
      </w:pPr>
      <w:r w:rsidRPr="00542751">
        <w:rPr>
          <w:rFonts w:ascii="Arial" w:hAnsi="Arial" w:cs="Arial"/>
          <w:sz w:val="20"/>
          <w:szCs w:val="20"/>
        </w:rPr>
        <w:t>The logistic regression model is specified as:</w:t>
      </w:r>
    </w:p>
    <w:p w14:paraId="013F0C5E" w14:textId="77777777" w:rsidR="00542751" w:rsidRPr="00542751" w:rsidRDefault="00542751" w:rsidP="00542751">
      <w:pPr>
        <w:spacing w:line="360" w:lineRule="auto"/>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m:t>
          </m:r>
          <m:d>
            <m:dPr>
              <m:ctrlPr>
                <w:rPr>
                  <w:rFonts w:ascii="Cambria Math" w:hAnsi="Cambria Math" w:cs="Arial"/>
                  <w:sz w:val="20"/>
                  <w:szCs w:val="20"/>
                </w:rPr>
              </m:ctrlPr>
            </m:dPr>
            <m:e>
              <m:f>
                <m:fPr>
                  <m:ctrlPr>
                    <w:rPr>
                      <w:rFonts w:ascii="Cambria Math" w:hAnsi="Cambria Math" w:cs="Arial"/>
                      <w:sz w:val="20"/>
                      <w:szCs w:val="20"/>
                    </w:rPr>
                  </m:ctrlPr>
                </m:fPr>
                <m:num>
                  <m:r>
                    <w:rPr>
                      <w:rFonts w:ascii="Cambria Math" w:hAnsi="Cambria Math" w:cs="Arial"/>
                      <w:sz w:val="20"/>
                      <w:szCs w:val="20"/>
                    </w:rPr>
                    <m:t>P(</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=1)</m:t>
                  </m:r>
                </m:num>
                <m:den>
                  <m:r>
                    <w:rPr>
                      <w:rFonts w:ascii="Cambria Math" w:hAnsi="Cambria Math" w:cs="Arial"/>
                      <w:sz w:val="20"/>
                      <w:szCs w:val="20"/>
                    </w:rPr>
                    <m:t>1-P(</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=1)</m:t>
                  </m:r>
                </m:den>
              </m:f>
            </m:e>
          </m:d>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F</m:t>
          </m:r>
          <m:sSub>
            <m:sSubPr>
              <m:ctrlPr>
                <w:rPr>
                  <w:rFonts w:ascii="Cambria Math" w:hAnsi="Cambria Math" w:cs="Arial"/>
                  <w:sz w:val="20"/>
                  <w:szCs w:val="20"/>
                </w:rPr>
              </m:ctrlPr>
            </m:sSubPr>
            <m:e>
              <m:r>
                <w:rPr>
                  <w:rFonts w:ascii="Cambria Math" w:hAnsi="Cambria Math" w:cs="Arial"/>
                  <w:sz w:val="20"/>
                  <w:szCs w:val="20"/>
                </w:rPr>
                <m:t>G</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r>
            <w:rPr>
              <w:rFonts w:ascii="Cambria Math" w:hAnsi="Cambria Math" w:cs="Arial"/>
              <w:sz w:val="20"/>
              <w:szCs w:val="20"/>
            </w:rPr>
            <m:t>E</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L</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D</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5</m:t>
              </m:r>
            </m:sub>
          </m:sSub>
          <m:r>
            <w:rPr>
              <w:rFonts w:ascii="Cambria Math" w:hAnsi="Cambria Math" w:cs="Arial"/>
              <w:sz w:val="20"/>
              <w:szCs w:val="20"/>
            </w:rPr>
            <m:t>C</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6</m:t>
              </m:r>
            </m:sub>
          </m:sSub>
          <m:r>
            <w:rPr>
              <w:rFonts w:ascii="Cambria Math" w:hAnsi="Cambria Math" w:cs="Arial"/>
              <w:sz w:val="20"/>
              <w:szCs w:val="20"/>
            </w:rPr>
            <m:t>H</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7</m:t>
              </m:r>
            </m:sub>
          </m:sSub>
          <m:r>
            <w:rPr>
              <w:rFonts w:ascii="Cambria Math" w:hAnsi="Cambria Math" w:cs="Arial"/>
              <w:sz w:val="20"/>
              <w:szCs w:val="20"/>
            </w:rPr>
            <m:t>F</m:t>
          </m:r>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8</m:t>
              </m:r>
            </m:sub>
          </m:sSub>
          <m:r>
            <w:rPr>
              <w:rFonts w:ascii="Cambria Math" w:hAnsi="Cambria Math" w:cs="Arial"/>
              <w:sz w:val="20"/>
              <w:szCs w:val="20"/>
            </w:rPr>
            <m:t>C</m:t>
          </m:r>
          <m:sSub>
            <m:sSubPr>
              <m:ctrlPr>
                <w:rPr>
                  <w:rFonts w:ascii="Cambria Math" w:hAnsi="Cambria Math" w:cs="Arial"/>
                  <w:sz w:val="20"/>
                  <w:szCs w:val="20"/>
                </w:rPr>
              </m:ctrlPr>
            </m:sSubPr>
            <m:e>
              <m:r>
                <w:rPr>
                  <w:rFonts w:ascii="Cambria Math" w:hAnsi="Cambria Math" w:cs="Arial"/>
                  <w:sz w:val="20"/>
                  <w:szCs w:val="20"/>
                </w:rPr>
                <m:t>F</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i</m:t>
              </m:r>
            </m:sub>
          </m:sSub>
        </m:oMath>
      </m:oMathPara>
    </w:p>
    <w:p w14:paraId="317DB3A6" w14:textId="0DF687FE" w:rsidR="0066614D" w:rsidRPr="00542751" w:rsidRDefault="00542751" w:rsidP="003A5CF4">
      <w:pPr>
        <w:spacing w:before="240" w:line="360" w:lineRule="auto"/>
        <w:jc w:val="both"/>
        <w:rPr>
          <w:rFonts w:ascii="Arial" w:hAnsi="Arial" w:cs="Arial"/>
          <w:sz w:val="20"/>
          <w:szCs w:val="20"/>
        </w:rPr>
      </w:pPr>
      <w:r w:rsidRPr="00542751">
        <w:rPr>
          <w:rFonts w:ascii="Arial" w:hAnsi="Arial" w:cs="Arial"/>
          <w:sz w:val="20"/>
          <w:szCs w:val="20"/>
        </w:rPr>
        <w:t>The analysis incorporates multiple dimensions of savings and financial vulnerability among women gig workers. The explanatory variables include financial goals (FGᵢ), emergency savings (ESᵢ), loan dependence (LDᵢ), access to a debit card (DCᵢ), access to a credit card (CCᵢ), health insurance coverage (HIᵢ), financial management skills (FMᵢ), and control over personal finances (CFᵢ). The error term (eᵢ) captures the influence of omitted variables as well as measurement errors within the model.</w:t>
      </w:r>
    </w:p>
    <w:p w14:paraId="08EDFEB7" w14:textId="20E83208" w:rsidR="005536A2" w:rsidRPr="0059717B" w:rsidRDefault="00542751" w:rsidP="005536A2">
      <w:pPr>
        <w:spacing w:before="240" w:after="0" w:line="360" w:lineRule="auto"/>
        <w:jc w:val="both"/>
        <w:rPr>
          <w:rFonts w:ascii="Arial" w:hAnsi="Arial" w:cs="Arial"/>
          <w:b/>
          <w:bCs/>
        </w:rPr>
      </w:pPr>
      <w:r>
        <w:rPr>
          <w:rFonts w:ascii="Arial" w:hAnsi="Arial" w:cs="Arial"/>
          <w:b/>
          <w:bCs/>
        </w:rPr>
        <w:t>5</w:t>
      </w:r>
      <w:r w:rsidR="0059717B" w:rsidRPr="0059717B">
        <w:rPr>
          <w:rFonts w:ascii="Arial" w:hAnsi="Arial" w:cs="Arial"/>
          <w:b/>
          <w:bCs/>
        </w:rPr>
        <w:t xml:space="preserve"> RESULTS AND DISCUSSION</w:t>
      </w:r>
    </w:p>
    <w:p w14:paraId="2417938B" w14:textId="7957E10F" w:rsidR="00542751"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The descriptive statistics summarise the key characteristics of the 300 gig workers included in the study. All variables are measured as binary indicators (1 = Yes, 0 = No), as presented in Table 1. Consequently, the mean values represent the proportion of respondents exhibiting each attribute, while the standard deviations reflect the extent of variation among individuals. A notable finding is the high prevalence of saving behaviour among gig workers, with nearly 88 percent of respondents reporting that they save from their gig work income. This suggests a relatively strong saving orientation, despite the income uncertainty and irregular work conditions inherent in gig work. However, the observed variation indicates that a segment of workers remains unable or unwilling to save, highlighting heterogeneity in financial capacity and behaviour. Financial goal-setting is reported by approximately 70 percent of respondents, indicating that a majority engage in forward-looking financial planning. This aligns with the observed saving behaviour and suggests that goal orientation may play a critical role in shaping financial decisions. In contrast, only 38 percent of respondents report having emergency savings, revealing a gap between general saving and preparedness for unexpected financial shocks. This underscores the financial vulnerability of a substantial proportion of gig workers to income or health-related contingencies.</w:t>
      </w:r>
    </w:p>
    <w:p w14:paraId="1780C015" w14:textId="3E61EB92" w:rsidR="00542751" w:rsidRPr="00542751" w:rsidRDefault="00542751" w:rsidP="00542751">
      <w:pPr>
        <w:spacing w:line="360" w:lineRule="auto"/>
        <w:jc w:val="center"/>
        <w:rPr>
          <w:rFonts w:ascii="Arial" w:hAnsi="Arial" w:cs="Arial"/>
          <w:b/>
          <w:bCs/>
          <w:sz w:val="20"/>
          <w:szCs w:val="20"/>
        </w:rPr>
      </w:pPr>
      <w:r w:rsidRPr="00542751">
        <w:rPr>
          <w:rFonts w:ascii="Arial" w:hAnsi="Arial" w:cs="Arial"/>
          <w:b/>
          <w:bCs/>
          <w:sz w:val="20"/>
          <w:szCs w:val="20"/>
        </w:rPr>
        <w:lastRenderedPageBreak/>
        <w:t>Table 1: Descriptive statistics of the variables used for the study</w:t>
      </w:r>
    </w:p>
    <w:tbl>
      <w:tblPr>
        <w:tblW w:w="5000" w:type="pct"/>
        <w:tblBorders>
          <w:top w:val="single" w:sz="4" w:space="0" w:color="auto"/>
          <w:bottom w:val="single" w:sz="4" w:space="0" w:color="auto"/>
        </w:tblBorders>
        <w:tblLook w:val="04A0" w:firstRow="1" w:lastRow="0" w:firstColumn="1" w:lastColumn="0" w:noHBand="0" w:noVBand="1"/>
      </w:tblPr>
      <w:tblGrid>
        <w:gridCol w:w="3684"/>
        <w:gridCol w:w="1025"/>
        <w:gridCol w:w="1439"/>
        <w:gridCol w:w="1439"/>
        <w:gridCol w:w="1439"/>
      </w:tblGrid>
      <w:tr w:rsidR="00542751" w:rsidRPr="00542751" w14:paraId="39511DE7" w14:textId="77777777" w:rsidTr="00CA250F">
        <w:trPr>
          <w:trHeight w:val="570"/>
        </w:trPr>
        <w:tc>
          <w:tcPr>
            <w:tcW w:w="2041" w:type="pct"/>
            <w:tcBorders>
              <w:top w:val="single" w:sz="4" w:space="0" w:color="auto"/>
              <w:bottom w:val="single" w:sz="4" w:space="0" w:color="auto"/>
            </w:tcBorders>
            <w:vAlign w:val="center"/>
            <w:hideMark/>
          </w:tcPr>
          <w:p w14:paraId="4155A398" w14:textId="77777777" w:rsidR="00542751" w:rsidRPr="00542751" w:rsidRDefault="00542751" w:rsidP="00CA250F">
            <w:pPr>
              <w:spacing w:after="0" w:line="24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Variable</w:t>
            </w:r>
          </w:p>
        </w:tc>
        <w:tc>
          <w:tcPr>
            <w:tcW w:w="568" w:type="pct"/>
            <w:tcBorders>
              <w:top w:val="single" w:sz="4" w:space="0" w:color="auto"/>
              <w:bottom w:val="single" w:sz="4" w:space="0" w:color="auto"/>
            </w:tcBorders>
            <w:vAlign w:val="center"/>
            <w:hideMark/>
          </w:tcPr>
          <w:p w14:paraId="0D71E061" w14:textId="77777777" w:rsidR="00542751" w:rsidRPr="00542751" w:rsidRDefault="00542751" w:rsidP="00CA250F">
            <w:pPr>
              <w:spacing w:after="0" w:line="24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Mean</w:t>
            </w:r>
          </w:p>
        </w:tc>
        <w:tc>
          <w:tcPr>
            <w:tcW w:w="797" w:type="pct"/>
            <w:tcBorders>
              <w:top w:val="single" w:sz="4" w:space="0" w:color="auto"/>
              <w:bottom w:val="single" w:sz="4" w:space="0" w:color="auto"/>
            </w:tcBorders>
            <w:vAlign w:val="center"/>
            <w:hideMark/>
          </w:tcPr>
          <w:p w14:paraId="64B99AC4" w14:textId="77777777" w:rsidR="00542751" w:rsidRPr="00542751" w:rsidRDefault="00542751" w:rsidP="00CA250F">
            <w:pPr>
              <w:spacing w:after="0" w:line="24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Std. Dev.</w:t>
            </w:r>
          </w:p>
        </w:tc>
        <w:tc>
          <w:tcPr>
            <w:tcW w:w="797" w:type="pct"/>
            <w:tcBorders>
              <w:top w:val="single" w:sz="4" w:space="0" w:color="auto"/>
              <w:bottom w:val="single" w:sz="4" w:space="0" w:color="auto"/>
            </w:tcBorders>
            <w:vAlign w:val="center"/>
            <w:hideMark/>
          </w:tcPr>
          <w:p w14:paraId="3F732D84" w14:textId="77777777" w:rsidR="00542751" w:rsidRPr="00542751" w:rsidRDefault="00542751" w:rsidP="00CA250F">
            <w:pPr>
              <w:spacing w:after="0" w:line="24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Min</w:t>
            </w:r>
          </w:p>
        </w:tc>
        <w:tc>
          <w:tcPr>
            <w:tcW w:w="797" w:type="pct"/>
            <w:tcBorders>
              <w:top w:val="single" w:sz="4" w:space="0" w:color="auto"/>
              <w:bottom w:val="single" w:sz="4" w:space="0" w:color="auto"/>
            </w:tcBorders>
            <w:vAlign w:val="center"/>
            <w:hideMark/>
          </w:tcPr>
          <w:p w14:paraId="40A5F267" w14:textId="77777777" w:rsidR="00542751" w:rsidRPr="00542751" w:rsidRDefault="00542751" w:rsidP="00CA250F">
            <w:pPr>
              <w:spacing w:after="0" w:line="24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Max</w:t>
            </w:r>
          </w:p>
        </w:tc>
      </w:tr>
      <w:tr w:rsidR="00542751" w:rsidRPr="00542751" w14:paraId="7196BDBE" w14:textId="77777777" w:rsidTr="00CA250F">
        <w:trPr>
          <w:trHeight w:val="594"/>
        </w:trPr>
        <w:tc>
          <w:tcPr>
            <w:tcW w:w="2041" w:type="pct"/>
            <w:tcBorders>
              <w:top w:val="single" w:sz="4" w:space="0" w:color="auto"/>
            </w:tcBorders>
            <w:vAlign w:val="center"/>
            <w:hideMark/>
          </w:tcPr>
          <w:p w14:paraId="5C7C0C3B" w14:textId="77777777" w:rsid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Saving from gig work income </w:t>
            </w:r>
          </w:p>
          <w:p w14:paraId="77F50181" w14:textId="3783F5DE"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i/>
                <w:iCs/>
                <w:color w:val="000000"/>
                <w:kern w:val="0"/>
                <w:sz w:val="20"/>
                <w:szCs w:val="20"/>
                <w:lang w:eastAsia="en-IN"/>
                <w14:ligatures w14:val="none"/>
              </w:rPr>
              <w:t>(1 = Yes, 0 = No)</w:t>
            </w:r>
          </w:p>
        </w:tc>
        <w:tc>
          <w:tcPr>
            <w:tcW w:w="568" w:type="pct"/>
            <w:tcBorders>
              <w:top w:val="single" w:sz="4" w:space="0" w:color="auto"/>
            </w:tcBorders>
            <w:vAlign w:val="center"/>
            <w:hideMark/>
          </w:tcPr>
          <w:p w14:paraId="0D47A2DC"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0.883</w:t>
            </w:r>
          </w:p>
        </w:tc>
        <w:tc>
          <w:tcPr>
            <w:tcW w:w="797" w:type="pct"/>
            <w:tcBorders>
              <w:top w:val="single" w:sz="4" w:space="0" w:color="auto"/>
            </w:tcBorders>
            <w:vAlign w:val="center"/>
            <w:hideMark/>
          </w:tcPr>
          <w:p w14:paraId="103F821B"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0.322</w:t>
            </w:r>
          </w:p>
        </w:tc>
        <w:tc>
          <w:tcPr>
            <w:tcW w:w="797" w:type="pct"/>
            <w:tcBorders>
              <w:top w:val="single" w:sz="4" w:space="0" w:color="auto"/>
            </w:tcBorders>
            <w:vAlign w:val="center"/>
            <w:hideMark/>
          </w:tcPr>
          <w:p w14:paraId="6F6EF16A"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tcBorders>
              <w:top w:val="single" w:sz="4" w:space="0" w:color="auto"/>
            </w:tcBorders>
            <w:vAlign w:val="center"/>
            <w:hideMark/>
          </w:tcPr>
          <w:p w14:paraId="0E3064C6"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2386A2B8" w14:textId="77777777" w:rsidTr="00CA250F">
        <w:trPr>
          <w:trHeight w:val="600"/>
        </w:trPr>
        <w:tc>
          <w:tcPr>
            <w:tcW w:w="2041" w:type="pct"/>
            <w:vAlign w:val="center"/>
            <w:hideMark/>
          </w:tcPr>
          <w:p w14:paraId="3EFA1C9B"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Financial goals </w:t>
            </w: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1C284672"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0.703</w:t>
            </w:r>
          </w:p>
        </w:tc>
        <w:tc>
          <w:tcPr>
            <w:tcW w:w="797" w:type="pct"/>
            <w:vAlign w:val="center"/>
            <w:hideMark/>
          </w:tcPr>
          <w:p w14:paraId="5023389D"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0.458</w:t>
            </w:r>
          </w:p>
        </w:tc>
        <w:tc>
          <w:tcPr>
            <w:tcW w:w="797" w:type="pct"/>
            <w:vAlign w:val="center"/>
            <w:hideMark/>
          </w:tcPr>
          <w:p w14:paraId="723FB786"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11707D61"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3EBF3137" w14:textId="77777777" w:rsidTr="00CA250F">
        <w:trPr>
          <w:trHeight w:val="513"/>
        </w:trPr>
        <w:tc>
          <w:tcPr>
            <w:tcW w:w="2041" w:type="pct"/>
            <w:vAlign w:val="center"/>
            <w:hideMark/>
          </w:tcPr>
          <w:p w14:paraId="7F1D3452"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Emergency savings </w:t>
            </w: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1E6D38EF"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0.38</w:t>
            </w:r>
          </w:p>
        </w:tc>
        <w:tc>
          <w:tcPr>
            <w:tcW w:w="797" w:type="pct"/>
            <w:vAlign w:val="center"/>
            <w:hideMark/>
          </w:tcPr>
          <w:p w14:paraId="5F2DE823"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0.486</w:t>
            </w:r>
          </w:p>
        </w:tc>
        <w:tc>
          <w:tcPr>
            <w:tcW w:w="797" w:type="pct"/>
            <w:vAlign w:val="center"/>
            <w:hideMark/>
          </w:tcPr>
          <w:p w14:paraId="7F2F7335"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5A63B90E"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551C918B" w14:textId="77777777" w:rsidTr="00CA250F">
        <w:trPr>
          <w:trHeight w:val="600"/>
        </w:trPr>
        <w:tc>
          <w:tcPr>
            <w:tcW w:w="2041" w:type="pct"/>
            <w:vAlign w:val="center"/>
            <w:hideMark/>
          </w:tcPr>
          <w:p w14:paraId="47CFF0BC"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Loan dependence </w:t>
            </w: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0F532967"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0.61</w:t>
            </w:r>
          </w:p>
        </w:tc>
        <w:tc>
          <w:tcPr>
            <w:tcW w:w="797" w:type="pct"/>
            <w:vAlign w:val="center"/>
            <w:hideMark/>
          </w:tcPr>
          <w:p w14:paraId="04680460"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0.489</w:t>
            </w:r>
          </w:p>
        </w:tc>
        <w:tc>
          <w:tcPr>
            <w:tcW w:w="797" w:type="pct"/>
            <w:vAlign w:val="center"/>
            <w:hideMark/>
          </w:tcPr>
          <w:p w14:paraId="257C93F2"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37445FD0"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43D69D26" w14:textId="77777777" w:rsidTr="00CA250F">
        <w:trPr>
          <w:trHeight w:val="600"/>
        </w:trPr>
        <w:tc>
          <w:tcPr>
            <w:tcW w:w="2041" w:type="pct"/>
            <w:vAlign w:val="center"/>
            <w:hideMark/>
          </w:tcPr>
          <w:p w14:paraId="44085950"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Access to debit card </w:t>
            </w: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0F572769"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0.65</w:t>
            </w:r>
          </w:p>
        </w:tc>
        <w:tc>
          <w:tcPr>
            <w:tcW w:w="797" w:type="pct"/>
            <w:vAlign w:val="center"/>
            <w:hideMark/>
          </w:tcPr>
          <w:p w14:paraId="1D8F965A"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0.478</w:t>
            </w:r>
          </w:p>
        </w:tc>
        <w:tc>
          <w:tcPr>
            <w:tcW w:w="797" w:type="pct"/>
            <w:vAlign w:val="center"/>
            <w:hideMark/>
          </w:tcPr>
          <w:p w14:paraId="2887BECF"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7AAFC2F1"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3095F81F" w14:textId="77777777" w:rsidTr="00CA250F">
        <w:trPr>
          <w:trHeight w:val="600"/>
        </w:trPr>
        <w:tc>
          <w:tcPr>
            <w:tcW w:w="2041" w:type="pct"/>
            <w:vAlign w:val="center"/>
            <w:hideMark/>
          </w:tcPr>
          <w:p w14:paraId="1B578F8D"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Access to credit card </w:t>
            </w: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092AD869"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0.447</w:t>
            </w:r>
          </w:p>
        </w:tc>
        <w:tc>
          <w:tcPr>
            <w:tcW w:w="797" w:type="pct"/>
            <w:vAlign w:val="center"/>
            <w:hideMark/>
          </w:tcPr>
          <w:p w14:paraId="4BBCF2DC"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0.498</w:t>
            </w:r>
          </w:p>
        </w:tc>
        <w:tc>
          <w:tcPr>
            <w:tcW w:w="797" w:type="pct"/>
            <w:vAlign w:val="center"/>
            <w:hideMark/>
          </w:tcPr>
          <w:p w14:paraId="2ABDBD09"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4C09D750"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56070E84" w14:textId="77777777" w:rsidTr="00CA250F">
        <w:trPr>
          <w:trHeight w:val="900"/>
        </w:trPr>
        <w:tc>
          <w:tcPr>
            <w:tcW w:w="2041" w:type="pct"/>
            <w:vAlign w:val="center"/>
            <w:hideMark/>
          </w:tcPr>
          <w:p w14:paraId="511B411E" w14:textId="77777777" w:rsid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Health insurance coverage </w:t>
            </w:r>
          </w:p>
          <w:p w14:paraId="045C91DC" w14:textId="1DEE1152"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6E545B2B"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0.367</w:t>
            </w:r>
          </w:p>
        </w:tc>
        <w:tc>
          <w:tcPr>
            <w:tcW w:w="797" w:type="pct"/>
            <w:vAlign w:val="center"/>
            <w:hideMark/>
          </w:tcPr>
          <w:p w14:paraId="353A6DF1"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0.483</w:t>
            </w:r>
          </w:p>
        </w:tc>
        <w:tc>
          <w:tcPr>
            <w:tcW w:w="797" w:type="pct"/>
            <w:vAlign w:val="center"/>
            <w:hideMark/>
          </w:tcPr>
          <w:p w14:paraId="1D9890FE"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00FF1CF8"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3AE44332" w14:textId="77777777" w:rsidTr="00CA250F">
        <w:trPr>
          <w:trHeight w:val="900"/>
        </w:trPr>
        <w:tc>
          <w:tcPr>
            <w:tcW w:w="2041" w:type="pct"/>
            <w:vAlign w:val="center"/>
            <w:hideMark/>
          </w:tcPr>
          <w:p w14:paraId="50FD18EA" w14:textId="77777777" w:rsid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Financial management skills </w:t>
            </w:r>
          </w:p>
          <w:p w14:paraId="67C4AF2D" w14:textId="1D9DFCEF"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7F8132C0"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0.917</w:t>
            </w:r>
          </w:p>
        </w:tc>
        <w:tc>
          <w:tcPr>
            <w:tcW w:w="797" w:type="pct"/>
            <w:vAlign w:val="center"/>
            <w:hideMark/>
          </w:tcPr>
          <w:p w14:paraId="1A84F50D"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0.277</w:t>
            </w:r>
          </w:p>
        </w:tc>
        <w:tc>
          <w:tcPr>
            <w:tcW w:w="797" w:type="pct"/>
            <w:vAlign w:val="center"/>
            <w:hideMark/>
          </w:tcPr>
          <w:p w14:paraId="79B9AC97"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631F17E3"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3EE51540" w14:textId="77777777" w:rsidTr="00CA250F">
        <w:trPr>
          <w:trHeight w:val="600"/>
        </w:trPr>
        <w:tc>
          <w:tcPr>
            <w:tcW w:w="2041" w:type="pct"/>
            <w:vAlign w:val="center"/>
            <w:hideMark/>
          </w:tcPr>
          <w:p w14:paraId="75A3C3C1" w14:textId="77777777" w:rsid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Control over finances </w:t>
            </w:r>
          </w:p>
          <w:p w14:paraId="61F2A5EF" w14:textId="2699BC6D"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34D4BAAF"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0.84</w:t>
            </w:r>
          </w:p>
        </w:tc>
        <w:tc>
          <w:tcPr>
            <w:tcW w:w="797" w:type="pct"/>
            <w:vAlign w:val="center"/>
            <w:hideMark/>
          </w:tcPr>
          <w:p w14:paraId="600AA4E3"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0.367</w:t>
            </w:r>
          </w:p>
        </w:tc>
        <w:tc>
          <w:tcPr>
            <w:tcW w:w="797" w:type="pct"/>
            <w:vAlign w:val="center"/>
            <w:hideMark/>
          </w:tcPr>
          <w:p w14:paraId="13648617"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1278C9DE"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21262C34" w14:textId="77777777" w:rsidTr="00CA250F">
        <w:trPr>
          <w:trHeight w:val="600"/>
        </w:trPr>
        <w:tc>
          <w:tcPr>
            <w:tcW w:w="2041" w:type="pct"/>
            <w:vAlign w:val="center"/>
          </w:tcPr>
          <w:p w14:paraId="756D1CA7"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Observation</w:t>
            </w:r>
          </w:p>
        </w:tc>
        <w:tc>
          <w:tcPr>
            <w:tcW w:w="568" w:type="pct"/>
            <w:vAlign w:val="center"/>
          </w:tcPr>
          <w:p w14:paraId="75F11BCA"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300</w:t>
            </w:r>
          </w:p>
        </w:tc>
        <w:tc>
          <w:tcPr>
            <w:tcW w:w="797" w:type="pct"/>
            <w:vAlign w:val="center"/>
          </w:tcPr>
          <w:p w14:paraId="3DC40E97"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p>
        </w:tc>
        <w:tc>
          <w:tcPr>
            <w:tcW w:w="797" w:type="pct"/>
            <w:vAlign w:val="center"/>
          </w:tcPr>
          <w:p w14:paraId="25709A96"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p>
        </w:tc>
        <w:tc>
          <w:tcPr>
            <w:tcW w:w="797" w:type="pct"/>
            <w:vAlign w:val="center"/>
          </w:tcPr>
          <w:p w14:paraId="6BE73D43"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p>
        </w:tc>
      </w:tr>
    </w:tbl>
    <w:p w14:paraId="507A79EB" w14:textId="77777777" w:rsidR="00542751" w:rsidRPr="00542751" w:rsidRDefault="00542751" w:rsidP="00542751">
      <w:pPr>
        <w:jc w:val="both"/>
        <w:rPr>
          <w:rFonts w:ascii="Arial" w:hAnsi="Arial" w:cs="Arial"/>
          <w:sz w:val="20"/>
          <w:szCs w:val="20"/>
        </w:rPr>
      </w:pPr>
      <w:r w:rsidRPr="00542751">
        <w:rPr>
          <w:rFonts w:ascii="Arial" w:hAnsi="Arial" w:cs="Arial"/>
          <w:sz w:val="20"/>
          <w:szCs w:val="20"/>
        </w:rPr>
        <w:t>Source: Field Survey</w:t>
      </w:r>
    </w:p>
    <w:p w14:paraId="404BC71E" w14:textId="54A94DBD" w:rsidR="00775173" w:rsidRPr="00542751" w:rsidRDefault="00542751" w:rsidP="000E0CD0">
      <w:pPr>
        <w:spacing w:before="240" w:line="360" w:lineRule="auto"/>
        <w:jc w:val="both"/>
        <w:rPr>
          <w:rFonts w:ascii="Arial" w:hAnsi="Arial" w:cs="Arial"/>
          <w:sz w:val="20"/>
          <w:szCs w:val="20"/>
        </w:rPr>
      </w:pPr>
      <w:r w:rsidRPr="00542751">
        <w:rPr>
          <w:rFonts w:ascii="Arial" w:hAnsi="Arial" w:cs="Arial"/>
          <w:sz w:val="20"/>
          <w:szCs w:val="20"/>
        </w:rPr>
        <w:t>Loan dependence among gig workers is relatively high, with 61 percent relying on borrowing, reflecting the liquidity constraints and income volatility characteristic of gig work. Access to financial infrastructure is moderately widespread, as 65 percent of respondents have debit cards and approximately 45 percent have credit cards. While this indicates a reasonable level of financial inclusion, a significant proportion of workers still lack access to formal credit instruments. Health insurance coverage is limited, with only 37 percent reporting coverage, underscoring inadequate social protection among gig workers. At the same time, a large majority of respondents (92 percent) report possessing financial management skills, such as budgeting, and 84 percent indicate having control over their finances. Overall, the descriptive statistics reveal a complex financial profile in which relatively high saving behaviour coexists with limited emergency preparedness, significant loan dependence, and partial financial inclusion among women gig workers in Kerala.</w:t>
      </w:r>
      <w:r w:rsidR="00F178F8" w:rsidRPr="00542751">
        <w:rPr>
          <w:rFonts w:ascii="Arial" w:hAnsi="Arial" w:cs="Arial"/>
          <w:sz w:val="20"/>
          <w:szCs w:val="20"/>
        </w:rPr>
        <w:t xml:space="preserve"> </w:t>
      </w:r>
    </w:p>
    <w:p w14:paraId="5930E8CB" w14:textId="6A5C0AD5" w:rsidR="00542751" w:rsidRPr="00542751" w:rsidRDefault="00542751" w:rsidP="000455D8">
      <w:pPr>
        <w:spacing w:line="360" w:lineRule="auto"/>
        <w:jc w:val="both"/>
        <w:rPr>
          <w:rFonts w:ascii="Arial" w:hAnsi="Arial" w:cs="Arial"/>
          <w:b/>
          <w:bCs/>
        </w:rPr>
      </w:pPr>
      <w:r>
        <w:rPr>
          <w:rFonts w:ascii="Arial" w:hAnsi="Arial" w:cs="Arial"/>
          <w:b/>
          <w:bCs/>
        </w:rPr>
        <w:t>5</w:t>
      </w:r>
      <w:r w:rsidR="000455D8" w:rsidRPr="0059717B">
        <w:rPr>
          <w:rFonts w:ascii="Arial" w:hAnsi="Arial" w:cs="Arial"/>
          <w:b/>
          <w:bCs/>
        </w:rPr>
        <w:t>.1</w:t>
      </w:r>
      <w:r w:rsidR="000455D8" w:rsidRPr="0059717B">
        <w:rPr>
          <w:rFonts w:ascii="Arial" w:hAnsi="Arial" w:cs="Arial"/>
        </w:rPr>
        <w:t xml:space="preserve"> </w:t>
      </w:r>
      <w:r w:rsidRPr="00542751">
        <w:rPr>
          <w:rFonts w:ascii="Arial" w:hAnsi="Arial" w:cs="Arial"/>
          <w:b/>
          <w:bCs/>
        </w:rPr>
        <w:t xml:space="preserve">Socio-Economic Characteristics of the Respondents  </w:t>
      </w:r>
    </w:p>
    <w:p w14:paraId="0AAC0C00" w14:textId="77777777" w:rsidR="00542751"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 xml:space="preserve">Table 2 presents the socio-economic profile of the sampled women gig workers, encompassing key variables such as religious affiliation, caste composition, marital status, and economic status. Muslims constitute the majority of the respondents, accounting for 65 percent of the total sample, while Hindus represent the remaining 35 percent. This distribution reflects the regional and occupational </w:t>
      </w:r>
      <w:r w:rsidRPr="00542751">
        <w:rPr>
          <w:rFonts w:ascii="Arial" w:hAnsi="Arial" w:cs="Arial"/>
          <w:sz w:val="20"/>
          <w:szCs w:val="20"/>
        </w:rPr>
        <w:lastRenderedPageBreak/>
        <w:t>concentration of women gig workers in specific parts of Kerala, where participation in informal and platform-based employment is shaped by community-specific socio-economic factors. The caste-wise composition indicates that a large proportion of respondents belong to the Other Backward Classes (OBC), comprising 70.7 percent of the sample. Scheduled Caste (SC) respondents account for 11.7 percent, while 17.6 percent belong to the General category. The dominance of OBC respondents suggests that women from socially and economically intermediate groups are more inclined towards gig work, possibly due to constrained access to stable formal employment and the demand for flexible income sources.</w:t>
      </w:r>
    </w:p>
    <w:p w14:paraId="055503A4" w14:textId="0764A28D" w:rsidR="00542751" w:rsidRPr="00542751" w:rsidRDefault="00542751" w:rsidP="00542751">
      <w:pPr>
        <w:autoSpaceDE w:val="0"/>
        <w:autoSpaceDN w:val="0"/>
        <w:adjustRightInd w:val="0"/>
        <w:spacing w:after="0" w:line="360" w:lineRule="auto"/>
        <w:jc w:val="center"/>
        <w:rPr>
          <w:rFonts w:ascii="Arial" w:hAnsi="Arial" w:cs="Arial"/>
          <w:b/>
          <w:bCs/>
          <w:sz w:val="20"/>
          <w:szCs w:val="20"/>
        </w:rPr>
      </w:pPr>
      <w:r w:rsidRPr="00542751">
        <w:rPr>
          <w:rFonts w:ascii="Arial" w:hAnsi="Arial" w:cs="Arial"/>
          <w:b/>
          <w:bCs/>
          <w:sz w:val="20"/>
          <w:szCs w:val="20"/>
        </w:rPr>
        <w:t xml:space="preserve">Table 2: Socio-economic </w:t>
      </w:r>
      <w:r w:rsidR="001D7356" w:rsidRPr="00542751">
        <w:rPr>
          <w:rFonts w:ascii="Arial" w:hAnsi="Arial" w:cs="Arial"/>
          <w:b/>
          <w:bCs/>
          <w:sz w:val="20"/>
          <w:szCs w:val="20"/>
        </w:rPr>
        <w:t>profile of the respondents</w:t>
      </w:r>
    </w:p>
    <w:tbl>
      <w:tblPr>
        <w:tblStyle w:val="TableGrid"/>
        <w:tblW w:w="90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083"/>
        <w:gridCol w:w="858"/>
        <w:gridCol w:w="865"/>
        <w:gridCol w:w="1080"/>
        <w:gridCol w:w="941"/>
        <w:gridCol w:w="1284"/>
        <w:gridCol w:w="968"/>
        <w:gridCol w:w="968"/>
      </w:tblGrid>
      <w:tr w:rsidR="00542751" w:rsidRPr="00542751" w14:paraId="144795BC" w14:textId="77777777" w:rsidTr="00CA250F">
        <w:trPr>
          <w:trHeight w:val="196"/>
          <w:jc w:val="center"/>
        </w:trPr>
        <w:tc>
          <w:tcPr>
            <w:tcW w:w="2052" w:type="dxa"/>
            <w:gridSpan w:val="2"/>
            <w:tcBorders>
              <w:top w:val="single" w:sz="4" w:space="0" w:color="auto"/>
              <w:bottom w:val="single" w:sz="4" w:space="0" w:color="auto"/>
            </w:tcBorders>
            <w:vAlign w:val="center"/>
          </w:tcPr>
          <w:p w14:paraId="2979616D"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Religion</w:t>
            </w:r>
          </w:p>
        </w:tc>
        <w:tc>
          <w:tcPr>
            <w:tcW w:w="2803" w:type="dxa"/>
            <w:gridSpan w:val="3"/>
            <w:tcBorders>
              <w:top w:val="single" w:sz="4" w:space="0" w:color="auto"/>
              <w:bottom w:val="single" w:sz="4" w:space="0" w:color="auto"/>
            </w:tcBorders>
            <w:vAlign w:val="center"/>
          </w:tcPr>
          <w:p w14:paraId="309B6AF0"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Caste</w:t>
            </w:r>
          </w:p>
        </w:tc>
        <w:tc>
          <w:tcPr>
            <w:tcW w:w="2225" w:type="dxa"/>
            <w:gridSpan w:val="2"/>
            <w:tcBorders>
              <w:top w:val="single" w:sz="4" w:space="0" w:color="auto"/>
              <w:bottom w:val="single" w:sz="4" w:space="0" w:color="auto"/>
            </w:tcBorders>
            <w:vAlign w:val="center"/>
          </w:tcPr>
          <w:p w14:paraId="556258F2"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Marital Status</w:t>
            </w:r>
          </w:p>
        </w:tc>
        <w:tc>
          <w:tcPr>
            <w:tcW w:w="1936" w:type="dxa"/>
            <w:gridSpan w:val="2"/>
            <w:tcBorders>
              <w:top w:val="single" w:sz="4" w:space="0" w:color="auto"/>
              <w:bottom w:val="single" w:sz="4" w:space="0" w:color="auto"/>
            </w:tcBorders>
          </w:tcPr>
          <w:p w14:paraId="38FB1B00"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Economic Status</w:t>
            </w:r>
          </w:p>
        </w:tc>
      </w:tr>
      <w:tr w:rsidR="00542751" w:rsidRPr="00542751" w14:paraId="162F07D0" w14:textId="77777777" w:rsidTr="00CA250F">
        <w:trPr>
          <w:trHeight w:val="69"/>
          <w:jc w:val="center"/>
        </w:trPr>
        <w:tc>
          <w:tcPr>
            <w:tcW w:w="969" w:type="dxa"/>
            <w:tcBorders>
              <w:top w:val="single" w:sz="4" w:space="0" w:color="auto"/>
              <w:bottom w:val="single" w:sz="4" w:space="0" w:color="auto"/>
            </w:tcBorders>
            <w:vAlign w:val="center"/>
          </w:tcPr>
          <w:p w14:paraId="194812C2"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Hindu</w:t>
            </w:r>
          </w:p>
        </w:tc>
        <w:tc>
          <w:tcPr>
            <w:tcW w:w="1083" w:type="dxa"/>
            <w:tcBorders>
              <w:top w:val="single" w:sz="4" w:space="0" w:color="auto"/>
              <w:bottom w:val="single" w:sz="4" w:space="0" w:color="auto"/>
            </w:tcBorders>
            <w:vAlign w:val="center"/>
          </w:tcPr>
          <w:p w14:paraId="7D045E8F"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Muslim</w:t>
            </w:r>
          </w:p>
        </w:tc>
        <w:tc>
          <w:tcPr>
            <w:tcW w:w="858" w:type="dxa"/>
            <w:tcBorders>
              <w:top w:val="single" w:sz="4" w:space="0" w:color="auto"/>
              <w:bottom w:val="single" w:sz="4" w:space="0" w:color="auto"/>
            </w:tcBorders>
            <w:vAlign w:val="center"/>
          </w:tcPr>
          <w:p w14:paraId="2BAC9C18"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SC</w:t>
            </w:r>
          </w:p>
        </w:tc>
        <w:tc>
          <w:tcPr>
            <w:tcW w:w="865" w:type="dxa"/>
            <w:tcBorders>
              <w:top w:val="single" w:sz="4" w:space="0" w:color="auto"/>
              <w:bottom w:val="single" w:sz="4" w:space="0" w:color="auto"/>
            </w:tcBorders>
            <w:vAlign w:val="center"/>
          </w:tcPr>
          <w:p w14:paraId="17ED2035"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OBC</w:t>
            </w:r>
          </w:p>
        </w:tc>
        <w:tc>
          <w:tcPr>
            <w:tcW w:w="1080" w:type="dxa"/>
            <w:tcBorders>
              <w:top w:val="single" w:sz="4" w:space="0" w:color="auto"/>
              <w:bottom w:val="single" w:sz="4" w:space="0" w:color="auto"/>
            </w:tcBorders>
            <w:vAlign w:val="center"/>
          </w:tcPr>
          <w:p w14:paraId="7EF962C6"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General</w:t>
            </w:r>
          </w:p>
        </w:tc>
        <w:tc>
          <w:tcPr>
            <w:tcW w:w="941" w:type="dxa"/>
            <w:tcBorders>
              <w:top w:val="single" w:sz="4" w:space="0" w:color="auto"/>
              <w:bottom w:val="single" w:sz="4" w:space="0" w:color="auto"/>
            </w:tcBorders>
          </w:tcPr>
          <w:p w14:paraId="404F37BF"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Single</w:t>
            </w:r>
          </w:p>
        </w:tc>
        <w:tc>
          <w:tcPr>
            <w:tcW w:w="1284" w:type="dxa"/>
            <w:tcBorders>
              <w:top w:val="single" w:sz="4" w:space="0" w:color="auto"/>
              <w:bottom w:val="single" w:sz="4" w:space="0" w:color="auto"/>
            </w:tcBorders>
          </w:tcPr>
          <w:p w14:paraId="3A1A70EE"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Married</w:t>
            </w:r>
          </w:p>
        </w:tc>
        <w:tc>
          <w:tcPr>
            <w:tcW w:w="968" w:type="dxa"/>
            <w:tcBorders>
              <w:top w:val="single" w:sz="4" w:space="0" w:color="auto"/>
              <w:bottom w:val="single" w:sz="4" w:space="0" w:color="auto"/>
            </w:tcBorders>
          </w:tcPr>
          <w:p w14:paraId="236B2C6F"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APL</w:t>
            </w:r>
          </w:p>
        </w:tc>
        <w:tc>
          <w:tcPr>
            <w:tcW w:w="968" w:type="dxa"/>
            <w:tcBorders>
              <w:top w:val="single" w:sz="4" w:space="0" w:color="auto"/>
              <w:bottom w:val="single" w:sz="4" w:space="0" w:color="auto"/>
            </w:tcBorders>
          </w:tcPr>
          <w:p w14:paraId="61946D39"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BPL</w:t>
            </w:r>
          </w:p>
        </w:tc>
      </w:tr>
      <w:tr w:rsidR="00542751" w:rsidRPr="00542751" w14:paraId="1AF65DDA" w14:textId="77777777" w:rsidTr="00CA250F">
        <w:trPr>
          <w:trHeight w:val="394"/>
          <w:jc w:val="center"/>
        </w:trPr>
        <w:tc>
          <w:tcPr>
            <w:tcW w:w="969" w:type="dxa"/>
            <w:tcBorders>
              <w:top w:val="single" w:sz="4" w:space="0" w:color="auto"/>
            </w:tcBorders>
            <w:vAlign w:val="center"/>
          </w:tcPr>
          <w:p w14:paraId="254B83D1"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105</w:t>
            </w:r>
          </w:p>
          <w:p w14:paraId="5D0CA6D1"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(35.0)</w:t>
            </w:r>
          </w:p>
        </w:tc>
        <w:tc>
          <w:tcPr>
            <w:tcW w:w="1083" w:type="dxa"/>
            <w:tcBorders>
              <w:top w:val="single" w:sz="4" w:space="0" w:color="auto"/>
            </w:tcBorders>
            <w:vAlign w:val="center"/>
          </w:tcPr>
          <w:p w14:paraId="49687B1D"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195</w:t>
            </w:r>
          </w:p>
          <w:p w14:paraId="4847E38C"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(65.0)</w:t>
            </w:r>
          </w:p>
        </w:tc>
        <w:tc>
          <w:tcPr>
            <w:tcW w:w="858" w:type="dxa"/>
            <w:tcBorders>
              <w:top w:val="single" w:sz="4" w:space="0" w:color="auto"/>
            </w:tcBorders>
            <w:vAlign w:val="center"/>
          </w:tcPr>
          <w:p w14:paraId="08F14DCD"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35 (11.7)</w:t>
            </w:r>
          </w:p>
        </w:tc>
        <w:tc>
          <w:tcPr>
            <w:tcW w:w="865" w:type="dxa"/>
            <w:tcBorders>
              <w:top w:val="single" w:sz="4" w:space="0" w:color="auto"/>
            </w:tcBorders>
            <w:vAlign w:val="center"/>
          </w:tcPr>
          <w:p w14:paraId="2C426014"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212 (70.7)</w:t>
            </w:r>
          </w:p>
        </w:tc>
        <w:tc>
          <w:tcPr>
            <w:tcW w:w="1080" w:type="dxa"/>
            <w:tcBorders>
              <w:top w:val="single" w:sz="4" w:space="0" w:color="auto"/>
            </w:tcBorders>
            <w:vAlign w:val="center"/>
          </w:tcPr>
          <w:p w14:paraId="096CB85C"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53</w:t>
            </w:r>
          </w:p>
          <w:p w14:paraId="2AE953C6"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(17.6)</w:t>
            </w:r>
          </w:p>
        </w:tc>
        <w:tc>
          <w:tcPr>
            <w:tcW w:w="941" w:type="dxa"/>
            <w:tcBorders>
              <w:top w:val="single" w:sz="4" w:space="0" w:color="auto"/>
            </w:tcBorders>
          </w:tcPr>
          <w:p w14:paraId="543FAF2A"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108</w:t>
            </w:r>
          </w:p>
          <w:p w14:paraId="2A2FCF1A"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(36.0)</w:t>
            </w:r>
          </w:p>
        </w:tc>
        <w:tc>
          <w:tcPr>
            <w:tcW w:w="1284" w:type="dxa"/>
            <w:tcBorders>
              <w:top w:val="single" w:sz="4" w:space="0" w:color="auto"/>
            </w:tcBorders>
          </w:tcPr>
          <w:p w14:paraId="0728E10E"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192</w:t>
            </w:r>
          </w:p>
          <w:p w14:paraId="464E89F0"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(64.0)</w:t>
            </w:r>
          </w:p>
        </w:tc>
        <w:tc>
          <w:tcPr>
            <w:tcW w:w="968" w:type="dxa"/>
            <w:tcBorders>
              <w:top w:val="single" w:sz="4" w:space="0" w:color="auto"/>
            </w:tcBorders>
          </w:tcPr>
          <w:p w14:paraId="4E0E8A56"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135</w:t>
            </w:r>
          </w:p>
          <w:p w14:paraId="1EDDF064"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(45.0)</w:t>
            </w:r>
          </w:p>
        </w:tc>
        <w:tc>
          <w:tcPr>
            <w:tcW w:w="968" w:type="dxa"/>
            <w:tcBorders>
              <w:top w:val="single" w:sz="4" w:space="0" w:color="auto"/>
            </w:tcBorders>
          </w:tcPr>
          <w:p w14:paraId="435BFC6D"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165</w:t>
            </w:r>
          </w:p>
          <w:p w14:paraId="3AEFC21B"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(65.0)</w:t>
            </w:r>
          </w:p>
        </w:tc>
      </w:tr>
    </w:tbl>
    <w:p w14:paraId="787B3814" w14:textId="77777777" w:rsidR="00542751" w:rsidRPr="00542751" w:rsidRDefault="00542751" w:rsidP="00542751">
      <w:pPr>
        <w:autoSpaceDE w:val="0"/>
        <w:autoSpaceDN w:val="0"/>
        <w:adjustRightInd w:val="0"/>
        <w:spacing w:after="0" w:line="360" w:lineRule="auto"/>
        <w:jc w:val="both"/>
        <w:rPr>
          <w:rFonts w:ascii="Arial" w:hAnsi="Arial" w:cs="Arial"/>
          <w:sz w:val="20"/>
          <w:szCs w:val="20"/>
        </w:rPr>
      </w:pPr>
      <w:r w:rsidRPr="00542751">
        <w:rPr>
          <w:rFonts w:ascii="Arial" w:hAnsi="Arial" w:cs="Arial"/>
          <w:sz w:val="20"/>
          <w:szCs w:val="20"/>
        </w:rPr>
        <w:t xml:space="preserve">Source: Survey Data </w:t>
      </w:r>
      <w:r w:rsidRPr="00542751">
        <w:rPr>
          <w:rFonts w:ascii="Arial" w:hAnsi="Arial" w:cs="Arial"/>
          <w:sz w:val="20"/>
          <w:szCs w:val="20"/>
        </w:rPr>
        <w:tab/>
        <w:t>(Figures in parenthesis are in percentages)</w:t>
      </w:r>
    </w:p>
    <w:p w14:paraId="2A2346D6" w14:textId="77777777" w:rsidR="00542751"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The distribution by marital status indicates a higher representation of married women (64 percent) compared to single women (36 percent). The higher participation of married women highlights the significance of gig work in enabling income generation alongside domestic and caregiving responsibilities. This has direct implications for savings behaviour and financial vulnerability, as married women often manage household expenses amid irregular and uncertain earnings. In terms of economic status, 65 percent of the respondents belong to the Below Poverty Line (BPL) category, whereas 35 percent fall under the Above Poverty Line (APL) category. The predominance of BPL households underscores the economic precarity faced by a substantial segment of women gig workers. Such vulnerability limits their capacity to save and invest, thereby heightening their exposure to income volatility and employment-related uncertainties inherent in gig work.</w:t>
      </w:r>
    </w:p>
    <w:p w14:paraId="7FF6E99B" w14:textId="77777777" w:rsidR="00542751" w:rsidRPr="00542751" w:rsidRDefault="00542751" w:rsidP="00542751">
      <w:pPr>
        <w:spacing w:before="240" w:line="360" w:lineRule="auto"/>
        <w:jc w:val="both"/>
        <w:rPr>
          <w:rFonts w:ascii="Arial" w:hAnsi="Arial" w:cs="Arial"/>
        </w:rPr>
      </w:pPr>
      <w:r w:rsidRPr="00542751">
        <w:rPr>
          <w:rFonts w:ascii="Arial" w:hAnsi="Arial" w:cs="Arial"/>
          <w:b/>
          <w:bCs/>
        </w:rPr>
        <w:t>5.2</w:t>
      </w:r>
      <w:r w:rsidRPr="00542751">
        <w:rPr>
          <w:rFonts w:ascii="Arial" w:hAnsi="Arial" w:cs="Arial"/>
        </w:rPr>
        <w:t xml:space="preserve"> </w:t>
      </w:r>
      <w:r w:rsidRPr="00542751">
        <w:rPr>
          <w:rFonts w:ascii="Arial" w:hAnsi="Arial" w:cs="Arial"/>
          <w:b/>
          <w:bCs/>
        </w:rPr>
        <w:t>Determinants of Saving Behaviour among Women Gig Workers: Logistic Regression Results</w:t>
      </w:r>
    </w:p>
    <w:p w14:paraId="3312A09A" w14:textId="3B61EF2A" w:rsidR="004A37B9" w:rsidRPr="00542751" w:rsidRDefault="00542751" w:rsidP="00542751">
      <w:pPr>
        <w:spacing w:line="360" w:lineRule="auto"/>
        <w:jc w:val="both"/>
        <w:rPr>
          <w:rFonts w:ascii="Arial" w:hAnsi="Arial" w:cs="Arial"/>
          <w:sz w:val="20"/>
          <w:szCs w:val="20"/>
        </w:rPr>
      </w:pPr>
      <w:r w:rsidRPr="00542751">
        <w:rPr>
          <w:rFonts w:ascii="Arial" w:hAnsi="Arial" w:cs="Arial"/>
          <w:sz w:val="20"/>
          <w:szCs w:val="20"/>
        </w:rPr>
        <w:t>The logistic regression results presented in Table 3 analyse the determinants of saving behaviour among women gig workers, with saving from gig income specified as a binary dependent variable (1 = Yes, 0 = No). The model is statistically significant overall, suggesting that the selected financial, behavioural, and institutional factors collectively explain variations in the likelihood of saving. Given the binary nature of the dependent variable, the estimated coefficients indicate the effect of each explanatory variable on the log-odds of saving from gig income, while controlling for other factors.</w:t>
      </w:r>
    </w:p>
    <w:p w14:paraId="71CD3613" w14:textId="1DCBD83B" w:rsidR="00542751" w:rsidRPr="00542751" w:rsidRDefault="00542751" w:rsidP="00542751">
      <w:pPr>
        <w:spacing w:line="360" w:lineRule="auto"/>
        <w:jc w:val="center"/>
        <w:rPr>
          <w:rFonts w:ascii="Arial" w:hAnsi="Arial" w:cs="Arial"/>
          <w:b/>
          <w:bCs/>
          <w:sz w:val="20"/>
          <w:szCs w:val="20"/>
        </w:rPr>
      </w:pPr>
      <w:r w:rsidRPr="00542751">
        <w:rPr>
          <w:rFonts w:ascii="Arial" w:hAnsi="Arial" w:cs="Arial"/>
          <w:b/>
          <w:bCs/>
          <w:sz w:val="20"/>
          <w:szCs w:val="20"/>
        </w:rPr>
        <w:t>Table 3: Key independent variables used in the study</w:t>
      </w:r>
    </w:p>
    <w:tbl>
      <w:tblPr>
        <w:tblW w:w="5000" w:type="pct"/>
        <w:tblBorders>
          <w:top w:val="single" w:sz="4" w:space="0" w:color="auto"/>
          <w:bottom w:val="single" w:sz="4" w:space="0" w:color="auto"/>
        </w:tblBorders>
        <w:tblLook w:val="04A0" w:firstRow="1" w:lastRow="0" w:firstColumn="1" w:lastColumn="0" w:noHBand="0" w:noVBand="1"/>
      </w:tblPr>
      <w:tblGrid>
        <w:gridCol w:w="2515"/>
        <w:gridCol w:w="2096"/>
        <w:gridCol w:w="1547"/>
        <w:gridCol w:w="1547"/>
        <w:gridCol w:w="1321"/>
      </w:tblGrid>
      <w:tr w:rsidR="00542751" w:rsidRPr="00542751" w14:paraId="3C1BBDCE" w14:textId="77777777" w:rsidTr="00CA250F">
        <w:trPr>
          <w:trHeight w:val="570"/>
        </w:trPr>
        <w:tc>
          <w:tcPr>
            <w:tcW w:w="1393" w:type="pct"/>
            <w:tcBorders>
              <w:top w:val="single" w:sz="4" w:space="0" w:color="auto"/>
              <w:bottom w:val="single" w:sz="4" w:space="0" w:color="auto"/>
            </w:tcBorders>
            <w:vAlign w:val="center"/>
            <w:hideMark/>
          </w:tcPr>
          <w:p w14:paraId="68A07561"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Independent Variable</w:t>
            </w:r>
          </w:p>
        </w:tc>
        <w:tc>
          <w:tcPr>
            <w:tcW w:w="1161" w:type="pct"/>
            <w:tcBorders>
              <w:top w:val="single" w:sz="4" w:space="0" w:color="auto"/>
              <w:bottom w:val="single" w:sz="4" w:space="0" w:color="auto"/>
            </w:tcBorders>
            <w:vAlign w:val="center"/>
            <w:hideMark/>
          </w:tcPr>
          <w:p w14:paraId="6EC3FB74"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Coefficient</w:t>
            </w:r>
          </w:p>
        </w:tc>
        <w:tc>
          <w:tcPr>
            <w:tcW w:w="857" w:type="pct"/>
            <w:tcBorders>
              <w:top w:val="single" w:sz="4" w:space="0" w:color="auto"/>
              <w:bottom w:val="single" w:sz="4" w:space="0" w:color="auto"/>
            </w:tcBorders>
            <w:vAlign w:val="center"/>
            <w:hideMark/>
          </w:tcPr>
          <w:p w14:paraId="6F927C96"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Std. Error</w:t>
            </w:r>
          </w:p>
        </w:tc>
        <w:tc>
          <w:tcPr>
            <w:tcW w:w="857" w:type="pct"/>
            <w:tcBorders>
              <w:top w:val="single" w:sz="4" w:space="0" w:color="auto"/>
              <w:bottom w:val="single" w:sz="4" w:space="0" w:color="auto"/>
            </w:tcBorders>
            <w:vAlign w:val="center"/>
            <w:hideMark/>
          </w:tcPr>
          <w:p w14:paraId="61C2729D"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z-value</w:t>
            </w:r>
          </w:p>
        </w:tc>
        <w:tc>
          <w:tcPr>
            <w:tcW w:w="732" w:type="pct"/>
            <w:tcBorders>
              <w:top w:val="single" w:sz="4" w:space="0" w:color="auto"/>
              <w:bottom w:val="single" w:sz="4" w:space="0" w:color="auto"/>
            </w:tcBorders>
            <w:vAlign w:val="center"/>
            <w:hideMark/>
          </w:tcPr>
          <w:p w14:paraId="7BB3CF11"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p-value</w:t>
            </w:r>
          </w:p>
        </w:tc>
      </w:tr>
      <w:tr w:rsidR="00542751" w:rsidRPr="00542751" w14:paraId="47854B4A" w14:textId="77777777" w:rsidTr="00CA250F">
        <w:trPr>
          <w:trHeight w:val="300"/>
        </w:trPr>
        <w:tc>
          <w:tcPr>
            <w:tcW w:w="1393" w:type="pct"/>
            <w:tcBorders>
              <w:top w:val="single" w:sz="4" w:space="0" w:color="auto"/>
            </w:tcBorders>
            <w:vAlign w:val="center"/>
            <w:hideMark/>
          </w:tcPr>
          <w:p w14:paraId="0F4D60C7"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Financial goals</w:t>
            </w:r>
          </w:p>
        </w:tc>
        <w:tc>
          <w:tcPr>
            <w:tcW w:w="1161" w:type="pct"/>
            <w:tcBorders>
              <w:top w:val="single" w:sz="4" w:space="0" w:color="auto"/>
            </w:tcBorders>
            <w:vAlign w:val="center"/>
            <w:hideMark/>
          </w:tcPr>
          <w:p w14:paraId="26867D13"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1.436</w:t>
            </w:r>
          </w:p>
        </w:tc>
        <w:tc>
          <w:tcPr>
            <w:tcW w:w="857" w:type="pct"/>
            <w:tcBorders>
              <w:top w:val="single" w:sz="4" w:space="0" w:color="auto"/>
            </w:tcBorders>
            <w:vAlign w:val="center"/>
            <w:hideMark/>
          </w:tcPr>
          <w:p w14:paraId="10790005"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0.652</w:t>
            </w:r>
          </w:p>
        </w:tc>
        <w:tc>
          <w:tcPr>
            <w:tcW w:w="857" w:type="pct"/>
            <w:tcBorders>
              <w:top w:val="single" w:sz="4" w:space="0" w:color="auto"/>
            </w:tcBorders>
            <w:vAlign w:val="center"/>
            <w:hideMark/>
          </w:tcPr>
          <w:p w14:paraId="0D02898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2.2</w:t>
            </w:r>
          </w:p>
        </w:tc>
        <w:tc>
          <w:tcPr>
            <w:tcW w:w="732" w:type="pct"/>
            <w:tcBorders>
              <w:top w:val="single" w:sz="4" w:space="0" w:color="auto"/>
            </w:tcBorders>
            <w:vAlign w:val="center"/>
            <w:hideMark/>
          </w:tcPr>
          <w:p w14:paraId="35638F8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0.028</w:t>
            </w:r>
          </w:p>
        </w:tc>
      </w:tr>
      <w:tr w:rsidR="00542751" w:rsidRPr="00542751" w14:paraId="1F28A0D9" w14:textId="77777777" w:rsidTr="00CA250F">
        <w:trPr>
          <w:trHeight w:val="257"/>
        </w:trPr>
        <w:tc>
          <w:tcPr>
            <w:tcW w:w="1393" w:type="pct"/>
            <w:vAlign w:val="center"/>
            <w:hideMark/>
          </w:tcPr>
          <w:p w14:paraId="5FA62049"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Emergency savings</w:t>
            </w:r>
          </w:p>
        </w:tc>
        <w:tc>
          <w:tcPr>
            <w:tcW w:w="1161" w:type="pct"/>
            <w:vAlign w:val="center"/>
            <w:hideMark/>
          </w:tcPr>
          <w:p w14:paraId="0331788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1.054</w:t>
            </w:r>
          </w:p>
        </w:tc>
        <w:tc>
          <w:tcPr>
            <w:tcW w:w="857" w:type="pct"/>
            <w:vAlign w:val="center"/>
            <w:hideMark/>
          </w:tcPr>
          <w:p w14:paraId="1BE964A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0.483</w:t>
            </w:r>
          </w:p>
        </w:tc>
        <w:tc>
          <w:tcPr>
            <w:tcW w:w="857" w:type="pct"/>
            <w:vAlign w:val="center"/>
            <w:hideMark/>
          </w:tcPr>
          <w:p w14:paraId="63C7287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2.18</w:t>
            </w:r>
          </w:p>
        </w:tc>
        <w:tc>
          <w:tcPr>
            <w:tcW w:w="732" w:type="pct"/>
            <w:vAlign w:val="center"/>
            <w:hideMark/>
          </w:tcPr>
          <w:p w14:paraId="6A677CB8"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0.029</w:t>
            </w:r>
          </w:p>
        </w:tc>
      </w:tr>
      <w:tr w:rsidR="00542751" w:rsidRPr="00542751" w14:paraId="767EA453" w14:textId="77777777" w:rsidTr="00CA250F">
        <w:trPr>
          <w:trHeight w:val="275"/>
        </w:trPr>
        <w:tc>
          <w:tcPr>
            <w:tcW w:w="1393" w:type="pct"/>
            <w:vAlign w:val="center"/>
            <w:hideMark/>
          </w:tcPr>
          <w:p w14:paraId="74AF5DED"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lastRenderedPageBreak/>
              <w:t>Loan dependence</w:t>
            </w:r>
          </w:p>
        </w:tc>
        <w:tc>
          <w:tcPr>
            <w:tcW w:w="1161" w:type="pct"/>
            <w:vAlign w:val="center"/>
            <w:hideMark/>
          </w:tcPr>
          <w:p w14:paraId="06B336A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0.297</w:t>
            </w:r>
          </w:p>
        </w:tc>
        <w:tc>
          <w:tcPr>
            <w:tcW w:w="857" w:type="pct"/>
            <w:vAlign w:val="center"/>
            <w:hideMark/>
          </w:tcPr>
          <w:p w14:paraId="24453BC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0.389</w:t>
            </w:r>
          </w:p>
        </w:tc>
        <w:tc>
          <w:tcPr>
            <w:tcW w:w="857" w:type="pct"/>
            <w:vAlign w:val="center"/>
            <w:hideMark/>
          </w:tcPr>
          <w:p w14:paraId="0F130C39"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0.77</w:t>
            </w:r>
          </w:p>
        </w:tc>
        <w:tc>
          <w:tcPr>
            <w:tcW w:w="732" w:type="pct"/>
            <w:vAlign w:val="center"/>
            <w:hideMark/>
          </w:tcPr>
          <w:p w14:paraId="68C8B2C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0.444</w:t>
            </w:r>
          </w:p>
        </w:tc>
      </w:tr>
      <w:tr w:rsidR="00542751" w:rsidRPr="00542751" w14:paraId="2E7C0A9D" w14:textId="77777777" w:rsidTr="00CA250F">
        <w:trPr>
          <w:trHeight w:val="265"/>
        </w:trPr>
        <w:tc>
          <w:tcPr>
            <w:tcW w:w="1393" w:type="pct"/>
            <w:vAlign w:val="center"/>
            <w:hideMark/>
          </w:tcPr>
          <w:p w14:paraId="7372FAE9"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Access to debit card</w:t>
            </w:r>
          </w:p>
        </w:tc>
        <w:tc>
          <w:tcPr>
            <w:tcW w:w="1161" w:type="pct"/>
            <w:vAlign w:val="center"/>
            <w:hideMark/>
          </w:tcPr>
          <w:p w14:paraId="1D10B91A"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−0.555</w:t>
            </w:r>
          </w:p>
        </w:tc>
        <w:tc>
          <w:tcPr>
            <w:tcW w:w="857" w:type="pct"/>
            <w:vAlign w:val="center"/>
            <w:hideMark/>
          </w:tcPr>
          <w:p w14:paraId="2599E90C"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0.649</w:t>
            </w:r>
          </w:p>
        </w:tc>
        <w:tc>
          <w:tcPr>
            <w:tcW w:w="857" w:type="pct"/>
            <w:vAlign w:val="center"/>
            <w:hideMark/>
          </w:tcPr>
          <w:p w14:paraId="1C8E3998"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−0.85</w:t>
            </w:r>
          </w:p>
        </w:tc>
        <w:tc>
          <w:tcPr>
            <w:tcW w:w="732" w:type="pct"/>
            <w:vAlign w:val="center"/>
            <w:hideMark/>
          </w:tcPr>
          <w:p w14:paraId="17443398"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0.393</w:t>
            </w:r>
          </w:p>
        </w:tc>
      </w:tr>
      <w:tr w:rsidR="00542751" w:rsidRPr="00542751" w14:paraId="676F2502" w14:textId="77777777" w:rsidTr="00CA250F">
        <w:trPr>
          <w:trHeight w:val="283"/>
        </w:trPr>
        <w:tc>
          <w:tcPr>
            <w:tcW w:w="1393" w:type="pct"/>
            <w:vAlign w:val="center"/>
            <w:hideMark/>
          </w:tcPr>
          <w:p w14:paraId="67AFEBF2"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Access to credit card</w:t>
            </w:r>
          </w:p>
        </w:tc>
        <w:tc>
          <w:tcPr>
            <w:tcW w:w="1161" w:type="pct"/>
            <w:vAlign w:val="center"/>
            <w:hideMark/>
          </w:tcPr>
          <w:p w14:paraId="62FB849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−0.389</w:t>
            </w:r>
          </w:p>
        </w:tc>
        <w:tc>
          <w:tcPr>
            <w:tcW w:w="857" w:type="pct"/>
            <w:vAlign w:val="center"/>
            <w:hideMark/>
          </w:tcPr>
          <w:p w14:paraId="661B9C3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0.39</w:t>
            </w:r>
          </w:p>
        </w:tc>
        <w:tc>
          <w:tcPr>
            <w:tcW w:w="857" w:type="pct"/>
            <w:vAlign w:val="center"/>
            <w:hideMark/>
          </w:tcPr>
          <w:p w14:paraId="4C446BE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−1.00</w:t>
            </w:r>
          </w:p>
        </w:tc>
        <w:tc>
          <w:tcPr>
            <w:tcW w:w="732" w:type="pct"/>
            <w:vAlign w:val="center"/>
            <w:hideMark/>
          </w:tcPr>
          <w:p w14:paraId="77ED58A8"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0.319</w:t>
            </w:r>
          </w:p>
        </w:tc>
      </w:tr>
      <w:tr w:rsidR="00542751" w:rsidRPr="00542751" w14:paraId="4ADC2AA4" w14:textId="77777777" w:rsidTr="00CA250F">
        <w:trPr>
          <w:trHeight w:val="259"/>
        </w:trPr>
        <w:tc>
          <w:tcPr>
            <w:tcW w:w="1393" w:type="pct"/>
            <w:vAlign w:val="center"/>
            <w:hideMark/>
          </w:tcPr>
          <w:p w14:paraId="2DEBA0DC"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Health insurance</w:t>
            </w:r>
          </w:p>
        </w:tc>
        <w:tc>
          <w:tcPr>
            <w:tcW w:w="1161" w:type="pct"/>
            <w:vAlign w:val="center"/>
            <w:hideMark/>
          </w:tcPr>
          <w:p w14:paraId="4386D750"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−0.464</w:t>
            </w:r>
          </w:p>
        </w:tc>
        <w:tc>
          <w:tcPr>
            <w:tcW w:w="857" w:type="pct"/>
            <w:vAlign w:val="center"/>
            <w:hideMark/>
          </w:tcPr>
          <w:p w14:paraId="26FEE52A"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0.402</w:t>
            </w:r>
          </w:p>
        </w:tc>
        <w:tc>
          <w:tcPr>
            <w:tcW w:w="857" w:type="pct"/>
            <w:vAlign w:val="center"/>
            <w:hideMark/>
          </w:tcPr>
          <w:p w14:paraId="1BAA529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−1.15</w:t>
            </w:r>
          </w:p>
        </w:tc>
        <w:tc>
          <w:tcPr>
            <w:tcW w:w="732" w:type="pct"/>
            <w:vAlign w:val="center"/>
            <w:hideMark/>
          </w:tcPr>
          <w:p w14:paraId="702EB4D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0.248</w:t>
            </w:r>
          </w:p>
        </w:tc>
      </w:tr>
      <w:tr w:rsidR="00542751" w:rsidRPr="00542751" w14:paraId="20D80355" w14:textId="77777777" w:rsidTr="00CA250F">
        <w:trPr>
          <w:trHeight w:val="419"/>
        </w:trPr>
        <w:tc>
          <w:tcPr>
            <w:tcW w:w="1393" w:type="pct"/>
            <w:vAlign w:val="center"/>
            <w:hideMark/>
          </w:tcPr>
          <w:p w14:paraId="7B5CB8B4"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Financial management skills</w:t>
            </w:r>
          </w:p>
        </w:tc>
        <w:tc>
          <w:tcPr>
            <w:tcW w:w="1161" w:type="pct"/>
            <w:vAlign w:val="center"/>
            <w:hideMark/>
          </w:tcPr>
          <w:p w14:paraId="2F26DD8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0.246</w:t>
            </w:r>
          </w:p>
        </w:tc>
        <w:tc>
          <w:tcPr>
            <w:tcW w:w="857" w:type="pct"/>
            <w:vAlign w:val="center"/>
            <w:hideMark/>
          </w:tcPr>
          <w:p w14:paraId="010C917B"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0.624</w:t>
            </w:r>
          </w:p>
        </w:tc>
        <w:tc>
          <w:tcPr>
            <w:tcW w:w="857" w:type="pct"/>
            <w:vAlign w:val="center"/>
            <w:hideMark/>
          </w:tcPr>
          <w:p w14:paraId="5A35D993"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0.39</w:t>
            </w:r>
          </w:p>
        </w:tc>
        <w:tc>
          <w:tcPr>
            <w:tcW w:w="732" w:type="pct"/>
            <w:vAlign w:val="center"/>
            <w:hideMark/>
          </w:tcPr>
          <w:p w14:paraId="5EE8B79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0.694</w:t>
            </w:r>
          </w:p>
        </w:tc>
      </w:tr>
      <w:tr w:rsidR="00542751" w:rsidRPr="00542751" w14:paraId="56C542BD" w14:textId="77777777" w:rsidTr="00CA250F">
        <w:trPr>
          <w:trHeight w:val="271"/>
        </w:trPr>
        <w:tc>
          <w:tcPr>
            <w:tcW w:w="1393" w:type="pct"/>
            <w:tcBorders>
              <w:bottom w:val="single" w:sz="4" w:space="0" w:color="auto"/>
            </w:tcBorders>
            <w:vAlign w:val="center"/>
            <w:hideMark/>
          </w:tcPr>
          <w:p w14:paraId="1A04A7CD"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Control over finances</w:t>
            </w:r>
          </w:p>
        </w:tc>
        <w:tc>
          <w:tcPr>
            <w:tcW w:w="1161" w:type="pct"/>
            <w:tcBorders>
              <w:bottom w:val="single" w:sz="4" w:space="0" w:color="auto"/>
            </w:tcBorders>
            <w:vAlign w:val="center"/>
            <w:hideMark/>
          </w:tcPr>
          <w:p w14:paraId="3FA627BC"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1.091</w:t>
            </w:r>
          </w:p>
        </w:tc>
        <w:tc>
          <w:tcPr>
            <w:tcW w:w="857" w:type="pct"/>
            <w:tcBorders>
              <w:bottom w:val="single" w:sz="4" w:space="0" w:color="auto"/>
            </w:tcBorders>
            <w:vAlign w:val="center"/>
            <w:hideMark/>
          </w:tcPr>
          <w:p w14:paraId="644F1CFA"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0.446</w:t>
            </w:r>
          </w:p>
        </w:tc>
        <w:tc>
          <w:tcPr>
            <w:tcW w:w="857" w:type="pct"/>
            <w:tcBorders>
              <w:bottom w:val="single" w:sz="4" w:space="0" w:color="auto"/>
            </w:tcBorders>
            <w:vAlign w:val="center"/>
            <w:hideMark/>
          </w:tcPr>
          <w:p w14:paraId="4A17A02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2.44</w:t>
            </w:r>
          </w:p>
        </w:tc>
        <w:tc>
          <w:tcPr>
            <w:tcW w:w="732" w:type="pct"/>
            <w:tcBorders>
              <w:bottom w:val="single" w:sz="4" w:space="0" w:color="auto"/>
            </w:tcBorders>
            <w:vAlign w:val="center"/>
            <w:hideMark/>
          </w:tcPr>
          <w:p w14:paraId="0768B3C5"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0.015</w:t>
            </w:r>
          </w:p>
        </w:tc>
      </w:tr>
      <w:tr w:rsidR="00542751" w:rsidRPr="00542751" w14:paraId="41C13EE1" w14:textId="77777777" w:rsidTr="00CA250F">
        <w:trPr>
          <w:trHeight w:val="300"/>
        </w:trPr>
        <w:tc>
          <w:tcPr>
            <w:tcW w:w="1393" w:type="pct"/>
            <w:tcBorders>
              <w:top w:val="single" w:sz="4" w:space="0" w:color="auto"/>
              <w:bottom w:val="single" w:sz="4" w:space="0" w:color="auto"/>
            </w:tcBorders>
            <w:vAlign w:val="center"/>
            <w:hideMark/>
          </w:tcPr>
          <w:p w14:paraId="689E3303"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Constant</w:t>
            </w:r>
          </w:p>
        </w:tc>
        <w:tc>
          <w:tcPr>
            <w:tcW w:w="1161" w:type="pct"/>
            <w:tcBorders>
              <w:top w:val="single" w:sz="4" w:space="0" w:color="auto"/>
              <w:bottom w:val="single" w:sz="4" w:space="0" w:color="auto"/>
            </w:tcBorders>
            <w:vAlign w:val="center"/>
            <w:hideMark/>
          </w:tcPr>
          <w:p w14:paraId="1817D89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w:t>
            </w:r>
          </w:p>
        </w:tc>
        <w:tc>
          <w:tcPr>
            <w:tcW w:w="857" w:type="pct"/>
            <w:tcBorders>
              <w:top w:val="single" w:sz="4" w:space="0" w:color="auto"/>
              <w:bottom w:val="single" w:sz="4" w:space="0" w:color="auto"/>
            </w:tcBorders>
            <w:vAlign w:val="center"/>
            <w:hideMark/>
          </w:tcPr>
          <w:p w14:paraId="65DC5B1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0.695</w:t>
            </w:r>
          </w:p>
        </w:tc>
        <w:tc>
          <w:tcPr>
            <w:tcW w:w="857" w:type="pct"/>
            <w:tcBorders>
              <w:top w:val="single" w:sz="4" w:space="0" w:color="auto"/>
              <w:bottom w:val="single" w:sz="4" w:space="0" w:color="auto"/>
            </w:tcBorders>
            <w:vAlign w:val="center"/>
            <w:hideMark/>
          </w:tcPr>
          <w:p w14:paraId="51A04DF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0.43</w:t>
            </w:r>
          </w:p>
        </w:tc>
        <w:tc>
          <w:tcPr>
            <w:tcW w:w="732" w:type="pct"/>
            <w:tcBorders>
              <w:top w:val="single" w:sz="4" w:space="0" w:color="auto"/>
              <w:bottom w:val="single" w:sz="4" w:space="0" w:color="auto"/>
            </w:tcBorders>
            <w:vAlign w:val="center"/>
            <w:hideMark/>
          </w:tcPr>
          <w:p w14:paraId="0DDBBBD3"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0.667</w:t>
            </w:r>
          </w:p>
        </w:tc>
      </w:tr>
    </w:tbl>
    <w:p w14:paraId="2D96248B" w14:textId="77777777" w:rsidR="00542751" w:rsidRPr="00542751" w:rsidRDefault="00542751" w:rsidP="00542751">
      <w:pPr>
        <w:jc w:val="both"/>
        <w:rPr>
          <w:rFonts w:ascii="Arial" w:hAnsi="Arial" w:cs="Arial"/>
          <w:sz w:val="20"/>
          <w:szCs w:val="20"/>
        </w:rPr>
      </w:pPr>
      <w:r w:rsidRPr="00542751">
        <w:rPr>
          <w:rFonts w:ascii="Arial" w:hAnsi="Arial" w:cs="Arial"/>
          <w:sz w:val="20"/>
          <w:szCs w:val="20"/>
        </w:rPr>
        <w:t>Source: Primary Data</w:t>
      </w:r>
    </w:p>
    <w:p w14:paraId="2C822DA5" w14:textId="3D65B127" w:rsidR="00811E01" w:rsidRPr="00811E01" w:rsidRDefault="00811E01" w:rsidP="00811E01">
      <w:pPr>
        <w:spacing w:before="240" w:line="360" w:lineRule="auto"/>
        <w:jc w:val="both"/>
        <w:rPr>
          <w:rFonts w:ascii="Arial" w:hAnsi="Arial" w:cs="Arial"/>
          <w:sz w:val="20"/>
          <w:szCs w:val="20"/>
        </w:rPr>
      </w:pPr>
      <w:r w:rsidRPr="00811E01">
        <w:rPr>
          <w:rFonts w:ascii="Arial" w:hAnsi="Arial" w:cs="Arial"/>
          <w:sz w:val="20"/>
          <w:szCs w:val="20"/>
        </w:rPr>
        <w:t>The logistic regression model analysing saving behaviour among gig workers is estimated using cross-sectional data from 300 respondents. The overall model is statistically significant, as evidenced by the likelihood ratio chi-square statistic (LR χ² = 23.91, p = 0.0024), which rejects the null hypothesis that all slope coefficients are jointly equal to zero. This indicates that the included explanatory variables jointly account for meaningful variation in the probability of saving from gig work income. The log-likelihood value of −96.11 and the pseudo-R² of 0.1106 suggest an acceptable model fit for a binary outcome in a cross-sectional setting. The results underscore the central role of behavioural and empowerment-related factors in shaping saving behaviour. Financial goal setting exhibits a positive and statistically significant influence on the likelihood of saving (coefficient = 1.436, p = 0.028), implying that gig workers who articulate clear financial objectives are considerably more inclined to save from their earnings. Similarly, the presence of emergency savings is positively and significantly associated with saving behaviour (coefficient = 1.054, p = 0.029), suggesting that individuals with precautionary reserves demonstrate a stronger propensity for regular saving. Financial autonomy also emerges as a key determinant. Control over personal or household finances has a positive and statistically significant effect on saving behaviour (coefficient = 1.091, p = 0.015), highlighting the importance of decision-making power and empowerment in facilitating saving among gig workers. The confidence intervals for these variables exclude zero, lending further support to the robustness of their estimated effects.</w:t>
      </w:r>
    </w:p>
    <w:p w14:paraId="603D9935" w14:textId="77777777" w:rsidR="00811E01" w:rsidRDefault="00811E01" w:rsidP="00811E01">
      <w:pPr>
        <w:spacing w:before="240" w:line="360" w:lineRule="auto"/>
        <w:jc w:val="both"/>
        <w:rPr>
          <w:rFonts w:ascii="Arial" w:hAnsi="Arial" w:cs="Arial"/>
          <w:sz w:val="20"/>
          <w:szCs w:val="20"/>
        </w:rPr>
      </w:pPr>
      <w:r w:rsidRPr="00811E01">
        <w:rPr>
          <w:rFonts w:ascii="Arial" w:hAnsi="Arial" w:cs="Arial"/>
          <w:sz w:val="20"/>
          <w:szCs w:val="20"/>
        </w:rPr>
        <w:t>In contrast, variables such as loan dependence, access to debit cards, access to credit cards, health insurance coverage, and financial management skills do not exert statistically significant influences on saving behaviour. Although the coefficients associated with access to debit and credit cards and health insurance coverage are negative, their lack of statistical significance indicates that mere access to financial instruments or risk-mitigating mechanisms does not automatically translate into higher saving. Likewise, the insignificance of financial management skills suggests that self-assessed financial knowledge alone may be insufficient to induce saving in the absence of strong behavioural commitment and financial control. Overall, the findings suggest that saving behaviour among gig workers is driven more by behavioural orientation and financial empowerment than by access to formal financial products. The robustness of these results is further supported by alternative model specifications using a complementary log–log link function. In addition, marginal effects evaluated at sample means confirm that financial goal setting, emergency savings, and control over finances significantly increase the predicted probability of saving from gig work income.</w:t>
      </w:r>
    </w:p>
    <w:p w14:paraId="161584B9" w14:textId="37A8C295" w:rsidR="00542751" w:rsidRPr="00811E01" w:rsidRDefault="00542751" w:rsidP="00811E01">
      <w:pPr>
        <w:spacing w:before="240" w:line="360" w:lineRule="auto"/>
        <w:jc w:val="both"/>
        <w:rPr>
          <w:rFonts w:ascii="Arial" w:hAnsi="Arial" w:cs="Arial"/>
          <w:sz w:val="20"/>
          <w:szCs w:val="20"/>
        </w:rPr>
      </w:pPr>
      <w:r w:rsidRPr="00542751">
        <w:rPr>
          <w:rFonts w:ascii="Arial" w:hAnsi="Arial" w:cs="Arial"/>
          <w:b/>
          <w:bCs/>
        </w:rPr>
        <w:lastRenderedPageBreak/>
        <w:t>5.3 Complementary log–log Model</w:t>
      </w:r>
    </w:p>
    <w:p w14:paraId="5291652D" w14:textId="73E5795B" w:rsidR="00542751" w:rsidRPr="00542751" w:rsidRDefault="00811E01" w:rsidP="00542751">
      <w:pPr>
        <w:spacing w:before="240" w:line="360" w:lineRule="auto"/>
        <w:jc w:val="both"/>
        <w:rPr>
          <w:rFonts w:ascii="Arial" w:hAnsi="Arial" w:cs="Arial"/>
          <w:sz w:val="20"/>
          <w:szCs w:val="20"/>
        </w:rPr>
      </w:pPr>
      <w:r w:rsidRPr="00811E01">
        <w:rPr>
          <w:rFonts w:ascii="Arial" w:hAnsi="Arial" w:cs="Arial"/>
          <w:sz w:val="20"/>
          <w:szCs w:val="20"/>
        </w:rPr>
        <w:t>In addition to the logistic regression model, a complementary log–log (</w:t>
      </w:r>
      <w:proofErr w:type="spellStart"/>
      <w:r w:rsidRPr="00811E01">
        <w:rPr>
          <w:rFonts w:ascii="Arial" w:hAnsi="Arial" w:cs="Arial"/>
          <w:sz w:val="20"/>
          <w:szCs w:val="20"/>
        </w:rPr>
        <w:t>cloglog</w:t>
      </w:r>
      <w:proofErr w:type="spellEnd"/>
      <w:r w:rsidRPr="00811E01">
        <w:rPr>
          <w:rFonts w:ascii="Arial" w:hAnsi="Arial" w:cs="Arial"/>
          <w:sz w:val="20"/>
          <w:szCs w:val="20"/>
        </w:rPr>
        <w:t xml:space="preserve">) specification is employed as a robustness check. The use of the </w:t>
      </w:r>
      <w:proofErr w:type="spellStart"/>
      <w:r w:rsidRPr="00811E01">
        <w:rPr>
          <w:rFonts w:ascii="Arial" w:hAnsi="Arial" w:cs="Arial"/>
          <w:sz w:val="20"/>
          <w:szCs w:val="20"/>
        </w:rPr>
        <w:t>cloglog</w:t>
      </w:r>
      <w:proofErr w:type="spellEnd"/>
      <w:r w:rsidRPr="00811E01">
        <w:rPr>
          <w:rFonts w:ascii="Arial" w:hAnsi="Arial" w:cs="Arial"/>
          <w:sz w:val="20"/>
          <w:szCs w:val="20"/>
        </w:rPr>
        <w:t xml:space="preserve"> model is motivated by the asymmetric distribution of the dependent variable, given that a substantial majority of respondents report saving from gig income. Unlike the logit model, which assumes a symmetric error distribution, the </w:t>
      </w:r>
      <w:proofErr w:type="spellStart"/>
      <w:r w:rsidRPr="00811E01">
        <w:rPr>
          <w:rFonts w:ascii="Arial" w:hAnsi="Arial" w:cs="Arial"/>
          <w:sz w:val="20"/>
          <w:szCs w:val="20"/>
        </w:rPr>
        <w:t>cloglog</w:t>
      </w:r>
      <w:proofErr w:type="spellEnd"/>
      <w:r w:rsidRPr="00811E01">
        <w:rPr>
          <w:rFonts w:ascii="Arial" w:hAnsi="Arial" w:cs="Arial"/>
          <w:sz w:val="20"/>
          <w:szCs w:val="20"/>
        </w:rPr>
        <w:t xml:space="preserve"> link function is more appropriate for </w:t>
      </w:r>
      <w:proofErr w:type="spellStart"/>
      <w:r w:rsidRPr="00811E01">
        <w:rPr>
          <w:rFonts w:ascii="Arial" w:hAnsi="Arial" w:cs="Arial"/>
          <w:sz w:val="20"/>
          <w:szCs w:val="20"/>
        </w:rPr>
        <w:t>modeling</w:t>
      </w:r>
      <w:proofErr w:type="spellEnd"/>
      <w:r w:rsidRPr="00811E01">
        <w:rPr>
          <w:rFonts w:ascii="Arial" w:hAnsi="Arial" w:cs="Arial"/>
          <w:sz w:val="20"/>
          <w:szCs w:val="20"/>
        </w:rPr>
        <w:t xml:space="preserve"> skewed binary outcomes. The consistency of results across these alternative specifications enhances the robustness and credibility of the empirical findings</w:t>
      </w:r>
      <w:r>
        <w:rPr>
          <w:rFonts w:ascii="Arial" w:hAnsi="Arial" w:cs="Arial"/>
          <w:sz w:val="20"/>
          <w:szCs w:val="20"/>
        </w:rPr>
        <w:t xml:space="preserve">. </w:t>
      </w:r>
      <w:r w:rsidR="00542751" w:rsidRPr="00542751">
        <w:rPr>
          <w:rFonts w:ascii="Arial" w:hAnsi="Arial" w:cs="Arial"/>
          <w:sz w:val="20"/>
          <w:szCs w:val="20"/>
        </w:rPr>
        <w:t xml:space="preserve">Let </w:t>
      </w: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oMath>
      <w:r w:rsidR="00542751" w:rsidRPr="00542751">
        <w:rPr>
          <w:rFonts w:ascii="Arial" w:hAnsi="Arial" w:cs="Arial"/>
          <w:sz w:val="20"/>
          <w:szCs w:val="20"/>
        </w:rPr>
        <w:t xml:space="preserve">denote the binary outcome indicating whether the </w:t>
      </w:r>
      <m:oMath>
        <m:sSup>
          <m:sSupPr>
            <m:ctrlPr>
              <w:rPr>
                <w:rFonts w:ascii="Cambria Math" w:hAnsi="Cambria Math" w:cs="Arial"/>
                <w:sz w:val="20"/>
                <w:szCs w:val="20"/>
              </w:rPr>
            </m:ctrlPr>
          </m:sSupPr>
          <m:e>
            <m:r>
              <w:rPr>
                <w:rFonts w:ascii="Cambria Math" w:hAnsi="Cambria Math" w:cs="Arial"/>
                <w:sz w:val="20"/>
                <w:szCs w:val="20"/>
              </w:rPr>
              <m:t>i</m:t>
            </m:r>
          </m:e>
          <m:sup>
            <m:r>
              <m:rPr>
                <m:nor/>
              </m:rPr>
              <w:rPr>
                <w:rFonts w:ascii="Arial" w:hAnsi="Arial" w:cs="Arial"/>
                <w:sz w:val="20"/>
                <w:szCs w:val="20"/>
              </w:rPr>
              <m:t>th</m:t>
            </m:r>
          </m:sup>
        </m:sSup>
      </m:oMath>
      <w:r w:rsidR="00542751" w:rsidRPr="00542751">
        <w:rPr>
          <w:rFonts w:ascii="Arial" w:hAnsi="Arial" w:cs="Arial"/>
          <w:sz w:val="20"/>
          <w:szCs w:val="20"/>
        </w:rPr>
        <w:t>gig worker saves from gig income (</w:t>
      </w: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=1</m:t>
        </m:r>
      </m:oMath>
      <w:r w:rsidR="00542751" w:rsidRPr="00542751">
        <w:rPr>
          <w:rFonts w:ascii="Arial" w:hAnsi="Arial" w:cs="Arial"/>
          <w:sz w:val="20"/>
          <w:szCs w:val="20"/>
        </w:rPr>
        <w:t xml:space="preserve"> if yes, 0 otherwise). The complementary log–log model is specified as:</w:t>
      </w:r>
    </w:p>
    <w:p w14:paraId="2EE3637D" w14:textId="77777777" w:rsidR="00542751" w:rsidRPr="00542751" w:rsidRDefault="00542751" w:rsidP="00542751">
      <w:pPr>
        <w:spacing w:line="360" w:lineRule="auto"/>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m:t>
          </m:r>
          <m:r>
            <m:rPr>
              <m:sty m:val="p"/>
            </m:rPr>
            <w:rPr>
              <w:rFonts w:ascii="Cambria Math" w:hAnsi="Cambria Math" w:cs="Arial"/>
              <w:sz w:val="20"/>
              <w:szCs w:val="20"/>
            </w:rPr>
            <m:t>ln</m:t>
          </m:r>
          <m:r>
            <w:rPr>
              <w:rFonts w:ascii="Cambria Math" w:hAnsi="Cambria Math" w:cs="Arial"/>
              <w:sz w:val="20"/>
              <w:szCs w:val="20"/>
            </w:rPr>
            <m:t>⁡(1-P(</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=1))]=</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F</m:t>
          </m:r>
          <m:sSub>
            <m:sSubPr>
              <m:ctrlPr>
                <w:rPr>
                  <w:rFonts w:ascii="Cambria Math" w:hAnsi="Cambria Math" w:cs="Arial"/>
                  <w:sz w:val="20"/>
                  <w:szCs w:val="20"/>
                </w:rPr>
              </m:ctrlPr>
            </m:sSubPr>
            <m:e>
              <m:r>
                <w:rPr>
                  <w:rFonts w:ascii="Cambria Math" w:hAnsi="Cambria Math" w:cs="Arial"/>
                  <w:sz w:val="20"/>
                  <w:szCs w:val="20"/>
                </w:rPr>
                <m:t>G</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r>
            <w:rPr>
              <w:rFonts w:ascii="Cambria Math" w:hAnsi="Cambria Math" w:cs="Arial"/>
              <w:sz w:val="20"/>
              <w:szCs w:val="20"/>
            </w:rPr>
            <m:t>E</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L</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D</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5</m:t>
              </m:r>
            </m:sub>
          </m:sSub>
          <m:r>
            <w:rPr>
              <w:rFonts w:ascii="Cambria Math" w:hAnsi="Cambria Math" w:cs="Arial"/>
              <w:sz w:val="20"/>
              <w:szCs w:val="20"/>
            </w:rPr>
            <m:t>C</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6</m:t>
              </m:r>
            </m:sub>
          </m:sSub>
          <m:r>
            <w:rPr>
              <w:rFonts w:ascii="Cambria Math" w:hAnsi="Cambria Math" w:cs="Arial"/>
              <w:sz w:val="20"/>
              <w:szCs w:val="20"/>
            </w:rPr>
            <m:t>H</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7</m:t>
              </m:r>
            </m:sub>
          </m:sSub>
          <m:r>
            <w:rPr>
              <w:rFonts w:ascii="Cambria Math" w:hAnsi="Cambria Math" w:cs="Arial"/>
              <w:sz w:val="20"/>
              <w:szCs w:val="20"/>
            </w:rPr>
            <m:t>F</m:t>
          </m:r>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8</m:t>
              </m:r>
            </m:sub>
          </m:sSub>
          <m:r>
            <w:rPr>
              <w:rFonts w:ascii="Cambria Math" w:hAnsi="Cambria Math" w:cs="Arial"/>
              <w:sz w:val="20"/>
              <w:szCs w:val="20"/>
            </w:rPr>
            <m:t>C</m:t>
          </m:r>
          <m:sSub>
            <m:sSubPr>
              <m:ctrlPr>
                <w:rPr>
                  <w:rFonts w:ascii="Cambria Math" w:hAnsi="Cambria Math" w:cs="Arial"/>
                  <w:sz w:val="20"/>
                  <w:szCs w:val="20"/>
                </w:rPr>
              </m:ctrlPr>
            </m:sSubPr>
            <m:e>
              <m:r>
                <w:rPr>
                  <w:rFonts w:ascii="Cambria Math" w:hAnsi="Cambria Math" w:cs="Arial"/>
                  <w:sz w:val="20"/>
                  <w:szCs w:val="20"/>
                </w:rPr>
                <m:t>F</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i</m:t>
              </m:r>
            </m:sub>
          </m:sSub>
        </m:oMath>
      </m:oMathPara>
    </w:p>
    <w:p w14:paraId="557EE7C9" w14:textId="3ABCA841" w:rsidR="004A37B9"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Table 4 presents the results of the complementary log–log (</w:t>
      </w:r>
      <w:proofErr w:type="spellStart"/>
      <w:r w:rsidRPr="00542751">
        <w:rPr>
          <w:rFonts w:ascii="Arial" w:hAnsi="Arial" w:cs="Arial"/>
          <w:sz w:val="20"/>
          <w:szCs w:val="20"/>
        </w:rPr>
        <w:t>cloglog</w:t>
      </w:r>
      <w:proofErr w:type="spellEnd"/>
      <w:r w:rsidRPr="00542751">
        <w:rPr>
          <w:rFonts w:ascii="Arial" w:hAnsi="Arial" w:cs="Arial"/>
          <w:sz w:val="20"/>
          <w:szCs w:val="20"/>
        </w:rPr>
        <w:t xml:space="preserve">) regression, where the dependent variable represents whether an individual saves from gig work income. Among 300 respondents, 265 women gig workers report saving, while only 35 do not, indicating that saving is a highly prevalent behaviour within the sample. The overall model is statistically significant, as evidenced by a likelihood ratio chi-square value of 23.96 (p = 0.0023), suggesting that the explanatory variables included in the model collectively account for variations in saving behaviour. The use of the </w:t>
      </w:r>
      <w:proofErr w:type="spellStart"/>
      <w:r w:rsidRPr="00542751">
        <w:rPr>
          <w:rFonts w:ascii="Arial" w:hAnsi="Arial" w:cs="Arial"/>
          <w:sz w:val="20"/>
          <w:szCs w:val="20"/>
        </w:rPr>
        <w:t>cloglog</w:t>
      </w:r>
      <w:proofErr w:type="spellEnd"/>
      <w:r w:rsidRPr="00542751">
        <w:rPr>
          <w:rFonts w:ascii="Arial" w:hAnsi="Arial" w:cs="Arial"/>
          <w:sz w:val="20"/>
          <w:szCs w:val="20"/>
        </w:rPr>
        <w:t xml:space="preserve"> specification is particularly appropriate given the asymmetrical distribution of the dependent variable. The findings reveal that behavioural and empowerment-related factors play a central role in shaping saving behaviour. Financial goal-setting exhibits a positive and statistically significant effect (coefficient = 0.710, p = 0.030), indicating that gig workers who set financial goals are more likely to save from their gig income. This underscores the critical role of forward-looking financial planning in influencing saving decisions. </w:t>
      </w:r>
    </w:p>
    <w:p w14:paraId="30ACA32F" w14:textId="29300084" w:rsidR="00542751" w:rsidRPr="00542751" w:rsidRDefault="00542751" w:rsidP="001D7356">
      <w:pPr>
        <w:spacing w:line="360" w:lineRule="auto"/>
        <w:jc w:val="center"/>
        <w:rPr>
          <w:rFonts w:ascii="Arial" w:hAnsi="Arial" w:cs="Arial"/>
          <w:b/>
          <w:bCs/>
          <w:sz w:val="20"/>
          <w:szCs w:val="20"/>
        </w:rPr>
      </w:pPr>
      <w:r w:rsidRPr="00542751">
        <w:rPr>
          <w:rFonts w:ascii="Arial" w:hAnsi="Arial" w:cs="Arial"/>
          <w:b/>
          <w:bCs/>
          <w:sz w:val="20"/>
          <w:szCs w:val="20"/>
        </w:rPr>
        <w:t>Table 4: Trends in savings among women gig workers: complementary log–log model results</w:t>
      </w:r>
    </w:p>
    <w:tbl>
      <w:tblPr>
        <w:tblW w:w="5000" w:type="pct"/>
        <w:tblBorders>
          <w:top w:val="single" w:sz="4" w:space="0" w:color="auto"/>
          <w:bottom w:val="single" w:sz="4" w:space="0" w:color="auto"/>
        </w:tblBorders>
        <w:tblLook w:val="04A0" w:firstRow="1" w:lastRow="0" w:firstColumn="1" w:lastColumn="0" w:noHBand="0" w:noVBand="1"/>
      </w:tblPr>
      <w:tblGrid>
        <w:gridCol w:w="2320"/>
        <w:gridCol w:w="1475"/>
        <w:gridCol w:w="1128"/>
        <w:gridCol w:w="1128"/>
        <w:gridCol w:w="1128"/>
        <w:gridCol w:w="1847"/>
      </w:tblGrid>
      <w:tr w:rsidR="00542751" w:rsidRPr="00542751" w14:paraId="69FDCBDA" w14:textId="77777777" w:rsidTr="00CA250F">
        <w:trPr>
          <w:trHeight w:val="900"/>
        </w:trPr>
        <w:tc>
          <w:tcPr>
            <w:tcW w:w="1285" w:type="pct"/>
            <w:tcBorders>
              <w:top w:val="single" w:sz="4" w:space="0" w:color="auto"/>
              <w:bottom w:val="single" w:sz="4" w:space="0" w:color="auto"/>
            </w:tcBorders>
            <w:vAlign w:val="center"/>
            <w:hideMark/>
          </w:tcPr>
          <w:p w14:paraId="69FD20B5"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Independent Variable</w:t>
            </w:r>
          </w:p>
        </w:tc>
        <w:tc>
          <w:tcPr>
            <w:tcW w:w="817" w:type="pct"/>
            <w:tcBorders>
              <w:top w:val="single" w:sz="4" w:space="0" w:color="auto"/>
              <w:bottom w:val="single" w:sz="4" w:space="0" w:color="auto"/>
            </w:tcBorders>
            <w:vAlign w:val="center"/>
            <w:hideMark/>
          </w:tcPr>
          <w:p w14:paraId="2EDCA967"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Coefficient</w:t>
            </w:r>
          </w:p>
        </w:tc>
        <w:tc>
          <w:tcPr>
            <w:tcW w:w="625" w:type="pct"/>
            <w:tcBorders>
              <w:top w:val="single" w:sz="4" w:space="0" w:color="auto"/>
              <w:bottom w:val="single" w:sz="4" w:space="0" w:color="auto"/>
            </w:tcBorders>
            <w:vAlign w:val="center"/>
            <w:hideMark/>
          </w:tcPr>
          <w:p w14:paraId="625BB29A"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Standard Error</w:t>
            </w:r>
          </w:p>
        </w:tc>
        <w:tc>
          <w:tcPr>
            <w:tcW w:w="625" w:type="pct"/>
            <w:tcBorders>
              <w:top w:val="single" w:sz="4" w:space="0" w:color="auto"/>
              <w:bottom w:val="single" w:sz="4" w:space="0" w:color="auto"/>
            </w:tcBorders>
            <w:vAlign w:val="center"/>
            <w:hideMark/>
          </w:tcPr>
          <w:p w14:paraId="72DFA425"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z-value</w:t>
            </w:r>
          </w:p>
        </w:tc>
        <w:tc>
          <w:tcPr>
            <w:tcW w:w="625" w:type="pct"/>
            <w:tcBorders>
              <w:top w:val="single" w:sz="4" w:space="0" w:color="auto"/>
              <w:bottom w:val="single" w:sz="4" w:space="0" w:color="auto"/>
            </w:tcBorders>
            <w:vAlign w:val="center"/>
            <w:hideMark/>
          </w:tcPr>
          <w:p w14:paraId="08A9165B"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p-value</w:t>
            </w:r>
          </w:p>
        </w:tc>
        <w:tc>
          <w:tcPr>
            <w:tcW w:w="1023" w:type="pct"/>
            <w:tcBorders>
              <w:top w:val="single" w:sz="4" w:space="0" w:color="auto"/>
              <w:bottom w:val="single" w:sz="4" w:space="0" w:color="auto"/>
            </w:tcBorders>
            <w:vAlign w:val="center"/>
            <w:hideMark/>
          </w:tcPr>
          <w:p w14:paraId="59CB5EB9"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95% Confidence Interval</w:t>
            </w:r>
          </w:p>
        </w:tc>
      </w:tr>
      <w:tr w:rsidR="00542751" w:rsidRPr="00542751" w14:paraId="5D9834A1" w14:textId="77777777" w:rsidTr="00CA250F">
        <w:trPr>
          <w:trHeight w:val="600"/>
        </w:trPr>
        <w:tc>
          <w:tcPr>
            <w:tcW w:w="1285" w:type="pct"/>
            <w:tcBorders>
              <w:top w:val="single" w:sz="4" w:space="0" w:color="auto"/>
            </w:tcBorders>
            <w:vAlign w:val="bottom"/>
            <w:hideMark/>
          </w:tcPr>
          <w:p w14:paraId="48825292"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Financial goals </w:t>
            </w:r>
          </w:p>
          <w:p w14:paraId="4AA685DA"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 = Yes, 0 = No)</w:t>
            </w:r>
          </w:p>
        </w:tc>
        <w:tc>
          <w:tcPr>
            <w:tcW w:w="817" w:type="pct"/>
            <w:tcBorders>
              <w:top w:val="single" w:sz="4" w:space="0" w:color="auto"/>
            </w:tcBorders>
            <w:vAlign w:val="center"/>
            <w:hideMark/>
          </w:tcPr>
          <w:p w14:paraId="7169DBBA"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0.71</w:t>
            </w:r>
          </w:p>
        </w:tc>
        <w:tc>
          <w:tcPr>
            <w:tcW w:w="625" w:type="pct"/>
            <w:tcBorders>
              <w:top w:val="single" w:sz="4" w:space="0" w:color="auto"/>
            </w:tcBorders>
            <w:vAlign w:val="center"/>
            <w:hideMark/>
          </w:tcPr>
          <w:p w14:paraId="051F5F1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0.326</w:t>
            </w:r>
          </w:p>
        </w:tc>
        <w:tc>
          <w:tcPr>
            <w:tcW w:w="625" w:type="pct"/>
            <w:tcBorders>
              <w:top w:val="single" w:sz="4" w:space="0" w:color="auto"/>
            </w:tcBorders>
            <w:vAlign w:val="center"/>
            <w:hideMark/>
          </w:tcPr>
          <w:p w14:paraId="1F90AEC8"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2.17</w:t>
            </w:r>
          </w:p>
        </w:tc>
        <w:tc>
          <w:tcPr>
            <w:tcW w:w="625" w:type="pct"/>
            <w:tcBorders>
              <w:top w:val="single" w:sz="4" w:space="0" w:color="auto"/>
            </w:tcBorders>
            <w:vAlign w:val="center"/>
            <w:hideMark/>
          </w:tcPr>
          <w:p w14:paraId="0C8E00E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0.03</w:t>
            </w:r>
          </w:p>
        </w:tc>
        <w:tc>
          <w:tcPr>
            <w:tcW w:w="1023" w:type="pct"/>
            <w:tcBorders>
              <w:top w:val="single" w:sz="4" w:space="0" w:color="auto"/>
            </w:tcBorders>
            <w:vAlign w:val="center"/>
            <w:hideMark/>
          </w:tcPr>
          <w:p w14:paraId="3EC66EDF"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[0.070, 1.349]</w:t>
            </w:r>
          </w:p>
        </w:tc>
      </w:tr>
      <w:tr w:rsidR="00542751" w:rsidRPr="00542751" w14:paraId="028136AD" w14:textId="77777777" w:rsidTr="00CA250F">
        <w:trPr>
          <w:trHeight w:val="600"/>
        </w:trPr>
        <w:tc>
          <w:tcPr>
            <w:tcW w:w="1285" w:type="pct"/>
            <w:vAlign w:val="bottom"/>
            <w:hideMark/>
          </w:tcPr>
          <w:p w14:paraId="3327F99A"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Emergency savings (1 = Yes, 0 = No)</w:t>
            </w:r>
          </w:p>
        </w:tc>
        <w:tc>
          <w:tcPr>
            <w:tcW w:w="817" w:type="pct"/>
            <w:vAlign w:val="center"/>
            <w:hideMark/>
          </w:tcPr>
          <w:p w14:paraId="1F9F5F1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0.388</w:t>
            </w:r>
          </w:p>
        </w:tc>
        <w:tc>
          <w:tcPr>
            <w:tcW w:w="625" w:type="pct"/>
            <w:vAlign w:val="center"/>
            <w:hideMark/>
          </w:tcPr>
          <w:p w14:paraId="4010B10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0.173</w:t>
            </w:r>
          </w:p>
        </w:tc>
        <w:tc>
          <w:tcPr>
            <w:tcW w:w="625" w:type="pct"/>
            <w:vAlign w:val="center"/>
            <w:hideMark/>
          </w:tcPr>
          <w:p w14:paraId="5B643D0C"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2.25</w:t>
            </w:r>
          </w:p>
        </w:tc>
        <w:tc>
          <w:tcPr>
            <w:tcW w:w="625" w:type="pct"/>
            <w:vAlign w:val="center"/>
            <w:hideMark/>
          </w:tcPr>
          <w:p w14:paraId="2F86D79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0.025</w:t>
            </w:r>
          </w:p>
        </w:tc>
        <w:tc>
          <w:tcPr>
            <w:tcW w:w="1023" w:type="pct"/>
            <w:vAlign w:val="center"/>
            <w:hideMark/>
          </w:tcPr>
          <w:p w14:paraId="63099AB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[0.050, 0.727]</w:t>
            </w:r>
          </w:p>
        </w:tc>
      </w:tr>
      <w:tr w:rsidR="00542751" w:rsidRPr="00542751" w14:paraId="3443469D" w14:textId="77777777" w:rsidTr="00CA250F">
        <w:trPr>
          <w:trHeight w:val="600"/>
        </w:trPr>
        <w:tc>
          <w:tcPr>
            <w:tcW w:w="1285" w:type="pct"/>
            <w:vAlign w:val="bottom"/>
            <w:hideMark/>
          </w:tcPr>
          <w:p w14:paraId="321B364F"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Loan dependence </w:t>
            </w:r>
          </w:p>
          <w:p w14:paraId="58FF35AA"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 = Yes, 0 = No)</w:t>
            </w:r>
          </w:p>
        </w:tc>
        <w:tc>
          <w:tcPr>
            <w:tcW w:w="817" w:type="pct"/>
            <w:vAlign w:val="center"/>
            <w:hideMark/>
          </w:tcPr>
          <w:p w14:paraId="51BA97B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0.154</w:t>
            </w:r>
          </w:p>
        </w:tc>
        <w:tc>
          <w:tcPr>
            <w:tcW w:w="625" w:type="pct"/>
            <w:vAlign w:val="center"/>
            <w:hideMark/>
          </w:tcPr>
          <w:p w14:paraId="7E5C3DD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0.163</w:t>
            </w:r>
          </w:p>
        </w:tc>
        <w:tc>
          <w:tcPr>
            <w:tcW w:w="625" w:type="pct"/>
            <w:vAlign w:val="center"/>
            <w:hideMark/>
          </w:tcPr>
          <w:p w14:paraId="33BC8D69"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0.94</w:t>
            </w:r>
          </w:p>
        </w:tc>
        <w:tc>
          <w:tcPr>
            <w:tcW w:w="625" w:type="pct"/>
            <w:vAlign w:val="center"/>
            <w:hideMark/>
          </w:tcPr>
          <w:p w14:paraId="6389D32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0.346</w:t>
            </w:r>
          </w:p>
        </w:tc>
        <w:tc>
          <w:tcPr>
            <w:tcW w:w="1023" w:type="pct"/>
            <w:vAlign w:val="center"/>
            <w:hideMark/>
          </w:tcPr>
          <w:p w14:paraId="397763FA"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[−0.166, 0.474]</w:t>
            </w:r>
          </w:p>
        </w:tc>
      </w:tr>
      <w:tr w:rsidR="00542751" w:rsidRPr="00542751" w14:paraId="3136C059" w14:textId="77777777" w:rsidTr="00CA250F">
        <w:trPr>
          <w:trHeight w:val="600"/>
        </w:trPr>
        <w:tc>
          <w:tcPr>
            <w:tcW w:w="1285" w:type="pct"/>
            <w:vAlign w:val="bottom"/>
            <w:hideMark/>
          </w:tcPr>
          <w:p w14:paraId="13F8B1E1"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Access to debit card (1 = Yes, 0 = No)</w:t>
            </w:r>
          </w:p>
        </w:tc>
        <w:tc>
          <w:tcPr>
            <w:tcW w:w="817" w:type="pct"/>
            <w:vAlign w:val="center"/>
            <w:hideMark/>
          </w:tcPr>
          <w:p w14:paraId="46CCCB19"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−0.330</w:t>
            </w:r>
          </w:p>
        </w:tc>
        <w:tc>
          <w:tcPr>
            <w:tcW w:w="625" w:type="pct"/>
            <w:vAlign w:val="center"/>
            <w:hideMark/>
          </w:tcPr>
          <w:p w14:paraId="39984710"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0.323</w:t>
            </w:r>
          </w:p>
        </w:tc>
        <w:tc>
          <w:tcPr>
            <w:tcW w:w="625" w:type="pct"/>
            <w:vAlign w:val="center"/>
            <w:hideMark/>
          </w:tcPr>
          <w:p w14:paraId="21EB078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−1.02</w:t>
            </w:r>
          </w:p>
        </w:tc>
        <w:tc>
          <w:tcPr>
            <w:tcW w:w="625" w:type="pct"/>
            <w:vAlign w:val="center"/>
            <w:hideMark/>
          </w:tcPr>
          <w:p w14:paraId="508BBFC5"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0.306</w:t>
            </w:r>
          </w:p>
        </w:tc>
        <w:tc>
          <w:tcPr>
            <w:tcW w:w="1023" w:type="pct"/>
            <w:vAlign w:val="center"/>
            <w:hideMark/>
          </w:tcPr>
          <w:p w14:paraId="1C48D59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[−0.963, 0.302]</w:t>
            </w:r>
          </w:p>
        </w:tc>
      </w:tr>
      <w:tr w:rsidR="00542751" w:rsidRPr="00542751" w14:paraId="26E573F3" w14:textId="77777777" w:rsidTr="00CA250F">
        <w:trPr>
          <w:trHeight w:val="900"/>
        </w:trPr>
        <w:tc>
          <w:tcPr>
            <w:tcW w:w="1285" w:type="pct"/>
            <w:vAlign w:val="bottom"/>
            <w:hideMark/>
          </w:tcPr>
          <w:p w14:paraId="1C7DDC8B"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Access to credit card (1 = Yes, 0 = No)</w:t>
            </w:r>
          </w:p>
        </w:tc>
        <w:tc>
          <w:tcPr>
            <w:tcW w:w="817" w:type="pct"/>
            <w:vAlign w:val="center"/>
            <w:hideMark/>
          </w:tcPr>
          <w:p w14:paraId="23827B8B"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−0.166</w:t>
            </w:r>
          </w:p>
        </w:tc>
        <w:tc>
          <w:tcPr>
            <w:tcW w:w="625" w:type="pct"/>
            <w:vAlign w:val="center"/>
            <w:hideMark/>
          </w:tcPr>
          <w:p w14:paraId="5FCA3C11"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0.163</w:t>
            </w:r>
          </w:p>
        </w:tc>
        <w:tc>
          <w:tcPr>
            <w:tcW w:w="625" w:type="pct"/>
            <w:vAlign w:val="center"/>
            <w:hideMark/>
          </w:tcPr>
          <w:p w14:paraId="6C6F3755"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−1.02</w:t>
            </w:r>
          </w:p>
        </w:tc>
        <w:tc>
          <w:tcPr>
            <w:tcW w:w="625" w:type="pct"/>
            <w:vAlign w:val="center"/>
            <w:hideMark/>
          </w:tcPr>
          <w:p w14:paraId="01AAABF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0.31</w:t>
            </w:r>
          </w:p>
        </w:tc>
        <w:tc>
          <w:tcPr>
            <w:tcW w:w="1023" w:type="pct"/>
            <w:vAlign w:val="center"/>
            <w:hideMark/>
          </w:tcPr>
          <w:p w14:paraId="0B93245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[−0.486, 0.154]</w:t>
            </w:r>
          </w:p>
        </w:tc>
      </w:tr>
      <w:tr w:rsidR="00542751" w:rsidRPr="00542751" w14:paraId="748BE07C" w14:textId="77777777" w:rsidTr="00CA250F">
        <w:trPr>
          <w:trHeight w:val="900"/>
        </w:trPr>
        <w:tc>
          <w:tcPr>
            <w:tcW w:w="1285" w:type="pct"/>
            <w:vAlign w:val="bottom"/>
            <w:hideMark/>
          </w:tcPr>
          <w:p w14:paraId="4B9DFC0C"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lastRenderedPageBreak/>
              <w:t xml:space="preserve">Health insurance coverage </w:t>
            </w:r>
          </w:p>
          <w:p w14:paraId="06DB2D98"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 = Yes, 0 = No)</w:t>
            </w:r>
          </w:p>
        </w:tc>
        <w:tc>
          <w:tcPr>
            <w:tcW w:w="817" w:type="pct"/>
            <w:vAlign w:val="center"/>
            <w:hideMark/>
          </w:tcPr>
          <w:p w14:paraId="2170D81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−0.210</w:t>
            </w:r>
          </w:p>
        </w:tc>
        <w:tc>
          <w:tcPr>
            <w:tcW w:w="625" w:type="pct"/>
            <w:vAlign w:val="center"/>
            <w:hideMark/>
          </w:tcPr>
          <w:p w14:paraId="011FBDB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0.169</w:t>
            </w:r>
          </w:p>
        </w:tc>
        <w:tc>
          <w:tcPr>
            <w:tcW w:w="625" w:type="pct"/>
            <w:vAlign w:val="center"/>
            <w:hideMark/>
          </w:tcPr>
          <w:p w14:paraId="39BD952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−1.24</w:t>
            </w:r>
          </w:p>
        </w:tc>
        <w:tc>
          <w:tcPr>
            <w:tcW w:w="625" w:type="pct"/>
            <w:vAlign w:val="center"/>
            <w:hideMark/>
          </w:tcPr>
          <w:p w14:paraId="3910EA0B"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0.215</w:t>
            </w:r>
          </w:p>
        </w:tc>
        <w:tc>
          <w:tcPr>
            <w:tcW w:w="1023" w:type="pct"/>
            <w:vAlign w:val="center"/>
            <w:hideMark/>
          </w:tcPr>
          <w:p w14:paraId="58EF6F40"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[−0.541, 0.122]</w:t>
            </w:r>
          </w:p>
        </w:tc>
      </w:tr>
      <w:tr w:rsidR="00542751" w:rsidRPr="00542751" w14:paraId="058D4835" w14:textId="77777777" w:rsidTr="00CA250F">
        <w:trPr>
          <w:trHeight w:val="900"/>
        </w:trPr>
        <w:tc>
          <w:tcPr>
            <w:tcW w:w="1285" w:type="pct"/>
            <w:vAlign w:val="bottom"/>
            <w:hideMark/>
          </w:tcPr>
          <w:p w14:paraId="352FE704"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Financial management skills </w:t>
            </w:r>
          </w:p>
          <w:p w14:paraId="09BE4293"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 = Yes, 0 = No)</w:t>
            </w:r>
          </w:p>
        </w:tc>
        <w:tc>
          <w:tcPr>
            <w:tcW w:w="817" w:type="pct"/>
            <w:vAlign w:val="center"/>
            <w:hideMark/>
          </w:tcPr>
          <w:p w14:paraId="630CA4C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0.048</w:t>
            </w:r>
          </w:p>
        </w:tc>
        <w:tc>
          <w:tcPr>
            <w:tcW w:w="625" w:type="pct"/>
            <w:vAlign w:val="center"/>
            <w:hideMark/>
          </w:tcPr>
          <w:p w14:paraId="7719E93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0.293</w:t>
            </w:r>
          </w:p>
        </w:tc>
        <w:tc>
          <w:tcPr>
            <w:tcW w:w="625" w:type="pct"/>
            <w:vAlign w:val="center"/>
            <w:hideMark/>
          </w:tcPr>
          <w:p w14:paraId="3814C00B"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w:t>
            </w:r>
          </w:p>
        </w:tc>
        <w:tc>
          <w:tcPr>
            <w:tcW w:w="625" w:type="pct"/>
            <w:vAlign w:val="center"/>
            <w:hideMark/>
          </w:tcPr>
          <w:p w14:paraId="0F18308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0.87</w:t>
            </w:r>
          </w:p>
        </w:tc>
        <w:tc>
          <w:tcPr>
            <w:tcW w:w="1023" w:type="pct"/>
            <w:vAlign w:val="center"/>
            <w:hideMark/>
          </w:tcPr>
          <w:p w14:paraId="2E0B60CC"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[−0.526, 0.622]</w:t>
            </w:r>
          </w:p>
        </w:tc>
      </w:tr>
      <w:tr w:rsidR="00542751" w:rsidRPr="00542751" w14:paraId="24679F43" w14:textId="77777777" w:rsidTr="00CA250F">
        <w:trPr>
          <w:trHeight w:val="900"/>
        </w:trPr>
        <w:tc>
          <w:tcPr>
            <w:tcW w:w="1285" w:type="pct"/>
            <w:tcBorders>
              <w:bottom w:val="single" w:sz="4" w:space="0" w:color="auto"/>
            </w:tcBorders>
            <w:vAlign w:val="bottom"/>
            <w:hideMark/>
          </w:tcPr>
          <w:p w14:paraId="1817C16B"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Control over finances (1 = Yes, 0 = No)</w:t>
            </w:r>
          </w:p>
        </w:tc>
        <w:tc>
          <w:tcPr>
            <w:tcW w:w="817" w:type="pct"/>
            <w:tcBorders>
              <w:bottom w:val="single" w:sz="4" w:space="0" w:color="auto"/>
            </w:tcBorders>
            <w:vAlign w:val="center"/>
            <w:hideMark/>
          </w:tcPr>
          <w:p w14:paraId="6263E72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0.467</w:t>
            </w:r>
          </w:p>
        </w:tc>
        <w:tc>
          <w:tcPr>
            <w:tcW w:w="625" w:type="pct"/>
            <w:tcBorders>
              <w:bottom w:val="single" w:sz="4" w:space="0" w:color="auto"/>
            </w:tcBorders>
            <w:vAlign w:val="center"/>
            <w:hideMark/>
          </w:tcPr>
          <w:p w14:paraId="2DA6E53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0.222</w:t>
            </w:r>
          </w:p>
        </w:tc>
        <w:tc>
          <w:tcPr>
            <w:tcW w:w="625" w:type="pct"/>
            <w:tcBorders>
              <w:bottom w:val="single" w:sz="4" w:space="0" w:color="auto"/>
            </w:tcBorders>
            <w:vAlign w:val="center"/>
            <w:hideMark/>
          </w:tcPr>
          <w:p w14:paraId="76B404A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2.1</w:t>
            </w:r>
          </w:p>
        </w:tc>
        <w:tc>
          <w:tcPr>
            <w:tcW w:w="625" w:type="pct"/>
            <w:tcBorders>
              <w:bottom w:val="single" w:sz="4" w:space="0" w:color="auto"/>
            </w:tcBorders>
            <w:vAlign w:val="center"/>
            <w:hideMark/>
          </w:tcPr>
          <w:p w14:paraId="7322A7A5"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0.035</w:t>
            </w:r>
          </w:p>
        </w:tc>
        <w:tc>
          <w:tcPr>
            <w:tcW w:w="1023" w:type="pct"/>
            <w:tcBorders>
              <w:bottom w:val="single" w:sz="4" w:space="0" w:color="auto"/>
            </w:tcBorders>
            <w:vAlign w:val="center"/>
            <w:hideMark/>
          </w:tcPr>
          <w:p w14:paraId="13865B4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[0.032, 0.903]</w:t>
            </w:r>
          </w:p>
        </w:tc>
      </w:tr>
      <w:tr w:rsidR="00542751" w:rsidRPr="00542751" w14:paraId="69371210" w14:textId="77777777" w:rsidTr="00CA250F">
        <w:trPr>
          <w:trHeight w:val="300"/>
        </w:trPr>
        <w:tc>
          <w:tcPr>
            <w:tcW w:w="1285" w:type="pct"/>
            <w:tcBorders>
              <w:top w:val="single" w:sz="4" w:space="0" w:color="auto"/>
              <w:bottom w:val="nil"/>
            </w:tcBorders>
            <w:vAlign w:val="bottom"/>
            <w:hideMark/>
          </w:tcPr>
          <w:p w14:paraId="36558E3B"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Constant</w:t>
            </w:r>
          </w:p>
        </w:tc>
        <w:tc>
          <w:tcPr>
            <w:tcW w:w="817" w:type="pct"/>
            <w:tcBorders>
              <w:top w:val="single" w:sz="4" w:space="0" w:color="auto"/>
              <w:bottom w:val="nil"/>
            </w:tcBorders>
            <w:vAlign w:val="center"/>
            <w:hideMark/>
          </w:tcPr>
          <w:p w14:paraId="0B3E2C7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0.04</w:t>
            </w:r>
          </w:p>
        </w:tc>
        <w:tc>
          <w:tcPr>
            <w:tcW w:w="625" w:type="pct"/>
            <w:tcBorders>
              <w:top w:val="single" w:sz="4" w:space="0" w:color="auto"/>
              <w:bottom w:val="nil"/>
            </w:tcBorders>
            <w:vAlign w:val="center"/>
            <w:hideMark/>
          </w:tcPr>
          <w:p w14:paraId="6B3C086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0.332</w:t>
            </w:r>
          </w:p>
        </w:tc>
        <w:tc>
          <w:tcPr>
            <w:tcW w:w="625" w:type="pct"/>
            <w:tcBorders>
              <w:top w:val="single" w:sz="4" w:space="0" w:color="auto"/>
              <w:bottom w:val="nil"/>
            </w:tcBorders>
            <w:vAlign w:val="center"/>
            <w:hideMark/>
          </w:tcPr>
          <w:p w14:paraId="791B1BF9"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0.12</w:t>
            </w:r>
          </w:p>
        </w:tc>
        <w:tc>
          <w:tcPr>
            <w:tcW w:w="625" w:type="pct"/>
            <w:tcBorders>
              <w:top w:val="single" w:sz="4" w:space="0" w:color="auto"/>
              <w:bottom w:val="nil"/>
            </w:tcBorders>
            <w:vAlign w:val="center"/>
            <w:hideMark/>
          </w:tcPr>
          <w:p w14:paraId="200D277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0.904</w:t>
            </w:r>
          </w:p>
        </w:tc>
        <w:tc>
          <w:tcPr>
            <w:tcW w:w="1023" w:type="pct"/>
            <w:tcBorders>
              <w:top w:val="single" w:sz="4" w:space="0" w:color="auto"/>
              <w:bottom w:val="nil"/>
            </w:tcBorders>
            <w:vAlign w:val="center"/>
            <w:hideMark/>
          </w:tcPr>
          <w:p w14:paraId="33AF5AB1"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[−0.611, 0.691]</w:t>
            </w:r>
          </w:p>
        </w:tc>
      </w:tr>
      <w:tr w:rsidR="00542751" w:rsidRPr="00542751" w14:paraId="7D9A0875" w14:textId="77777777" w:rsidTr="00CA250F">
        <w:trPr>
          <w:trHeight w:val="300"/>
        </w:trPr>
        <w:tc>
          <w:tcPr>
            <w:tcW w:w="1285" w:type="pct"/>
            <w:tcBorders>
              <w:top w:val="nil"/>
              <w:bottom w:val="single" w:sz="4" w:space="0" w:color="auto"/>
            </w:tcBorders>
            <w:vAlign w:val="bottom"/>
          </w:tcPr>
          <w:p w14:paraId="00BCE0E2"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Observation</w:t>
            </w:r>
          </w:p>
        </w:tc>
        <w:tc>
          <w:tcPr>
            <w:tcW w:w="817" w:type="pct"/>
            <w:tcBorders>
              <w:top w:val="nil"/>
              <w:bottom w:val="single" w:sz="4" w:space="0" w:color="auto"/>
            </w:tcBorders>
            <w:vAlign w:val="center"/>
          </w:tcPr>
          <w:p w14:paraId="690BF53F"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300</w:t>
            </w:r>
          </w:p>
        </w:tc>
        <w:tc>
          <w:tcPr>
            <w:tcW w:w="625" w:type="pct"/>
            <w:tcBorders>
              <w:top w:val="nil"/>
              <w:bottom w:val="single" w:sz="4" w:space="0" w:color="auto"/>
            </w:tcBorders>
            <w:vAlign w:val="center"/>
          </w:tcPr>
          <w:p w14:paraId="0ACC661B"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p>
        </w:tc>
        <w:tc>
          <w:tcPr>
            <w:tcW w:w="625" w:type="pct"/>
            <w:tcBorders>
              <w:top w:val="nil"/>
              <w:bottom w:val="single" w:sz="4" w:space="0" w:color="auto"/>
            </w:tcBorders>
            <w:vAlign w:val="center"/>
          </w:tcPr>
          <w:p w14:paraId="5E75CE2F"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p>
        </w:tc>
        <w:tc>
          <w:tcPr>
            <w:tcW w:w="625" w:type="pct"/>
            <w:tcBorders>
              <w:top w:val="nil"/>
              <w:bottom w:val="single" w:sz="4" w:space="0" w:color="auto"/>
            </w:tcBorders>
            <w:vAlign w:val="center"/>
          </w:tcPr>
          <w:p w14:paraId="6873B9A3"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p>
        </w:tc>
        <w:tc>
          <w:tcPr>
            <w:tcW w:w="1023" w:type="pct"/>
            <w:tcBorders>
              <w:top w:val="nil"/>
              <w:bottom w:val="single" w:sz="4" w:space="0" w:color="auto"/>
            </w:tcBorders>
            <w:vAlign w:val="center"/>
          </w:tcPr>
          <w:p w14:paraId="3AA596E1"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p>
        </w:tc>
      </w:tr>
    </w:tbl>
    <w:p w14:paraId="19435EBA" w14:textId="77777777" w:rsidR="00542751" w:rsidRPr="00542751" w:rsidRDefault="00542751" w:rsidP="00542751">
      <w:pPr>
        <w:jc w:val="both"/>
        <w:rPr>
          <w:rFonts w:ascii="Arial" w:hAnsi="Arial" w:cs="Arial"/>
          <w:sz w:val="20"/>
          <w:szCs w:val="20"/>
        </w:rPr>
      </w:pPr>
      <w:r w:rsidRPr="00542751">
        <w:rPr>
          <w:rFonts w:ascii="Arial" w:hAnsi="Arial" w:cs="Arial"/>
          <w:sz w:val="20"/>
          <w:szCs w:val="20"/>
        </w:rPr>
        <w:t>Source: Field Survey</w:t>
      </w:r>
    </w:p>
    <w:p w14:paraId="709E799A" w14:textId="6A6A67A8" w:rsidR="00542751" w:rsidRDefault="00542751" w:rsidP="00F77B07">
      <w:pPr>
        <w:spacing w:before="240" w:line="360" w:lineRule="auto"/>
        <w:jc w:val="both"/>
        <w:rPr>
          <w:rFonts w:ascii="Arial" w:hAnsi="Arial" w:cs="Arial"/>
          <w:sz w:val="20"/>
          <w:szCs w:val="20"/>
        </w:rPr>
      </w:pPr>
      <w:r w:rsidRPr="00542751">
        <w:rPr>
          <w:rFonts w:ascii="Arial" w:hAnsi="Arial" w:cs="Arial"/>
          <w:sz w:val="20"/>
          <w:szCs w:val="20"/>
        </w:rPr>
        <w:t>Similarly, maintaining emergency savings significantly predicts current saving behaviour (coefficient = 0.388, p = 0.025), reflecting both precautionary motives and the persistence of saving habits. Furthermore, control over personal or household finances positively and significantly influences saving (coefficient = 0.467, p = 0.035), highlighting the importance of financial autonomy and decision-making power in enabling consistent saving among gig workers. In contrast, variables such as loan dependence, access to debit and credit cards, health insurance coverage, and self-reported financial management skills do not show statistically significant effects. While some of these variables exhibit expected directional signs, their lack of significance suggests that mere access to financial instruments, risk coverage, or perceived financial competence does not automatically translate into higher saving probabilities without the presence of behavioural commitment or financial control. Overall, the complementary log–log results align with logistic regression estimates, confirming the robustness of the findings. The analysis indicates that saving behaviour among women gig workers is primarily driven by behavioural orientation and financial autonomy rather than by access to financial products or insurance mechanisms alone.</w:t>
      </w:r>
    </w:p>
    <w:p w14:paraId="547EC331" w14:textId="4AF42C3D" w:rsidR="00F77B07" w:rsidRPr="00F77B07" w:rsidRDefault="00F77B07" w:rsidP="00E112E8">
      <w:pPr>
        <w:spacing w:before="240" w:after="0" w:line="360" w:lineRule="auto"/>
        <w:jc w:val="both"/>
        <w:rPr>
          <w:rFonts w:ascii="Arial" w:hAnsi="Arial" w:cs="Arial"/>
          <w:b/>
          <w:bCs/>
          <w:sz w:val="20"/>
          <w:szCs w:val="20"/>
        </w:rPr>
      </w:pPr>
      <w:r w:rsidRPr="00F77B07">
        <w:rPr>
          <w:rFonts w:ascii="Arial" w:hAnsi="Arial" w:cs="Arial"/>
          <w:b/>
          <w:bCs/>
          <w:sz w:val="20"/>
          <w:szCs w:val="20"/>
        </w:rPr>
        <w:t>5.3.1 Compare Logit model and Complementary Log-log Model</w:t>
      </w:r>
    </w:p>
    <w:p w14:paraId="7D58B2C4" w14:textId="14B154AA" w:rsidR="0059717B" w:rsidRPr="00811E01" w:rsidRDefault="00F77B07" w:rsidP="00F77B07">
      <w:pPr>
        <w:spacing w:before="240" w:line="360" w:lineRule="auto"/>
        <w:jc w:val="both"/>
        <w:rPr>
          <w:rFonts w:ascii="Arial" w:hAnsi="Arial" w:cs="Arial"/>
          <w:sz w:val="20"/>
          <w:szCs w:val="20"/>
        </w:rPr>
      </w:pPr>
      <w:r w:rsidRPr="00F77B07">
        <w:rPr>
          <w:rFonts w:ascii="Arial" w:hAnsi="Arial" w:cs="Arial"/>
          <w:sz w:val="20"/>
          <w:szCs w:val="20"/>
        </w:rPr>
        <w:t>As a robustness check, this study estimates both logit and complementary log–log (</w:t>
      </w:r>
      <w:proofErr w:type="spellStart"/>
      <w:r w:rsidRPr="00F77B07">
        <w:rPr>
          <w:rFonts w:ascii="Arial" w:hAnsi="Arial" w:cs="Arial"/>
          <w:sz w:val="20"/>
          <w:szCs w:val="20"/>
        </w:rPr>
        <w:t>cloglog</w:t>
      </w:r>
      <w:proofErr w:type="spellEnd"/>
      <w:r w:rsidRPr="00F77B07">
        <w:rPr>
          <w:rFonts w:ascii="Arial" w:hAnsi="Arial" w:cs="Arial"/>
          <w:sz w:val="20"/>
          <w:szCs w:val="20"/>
        </w:rPr>
        <w:t xml:space="preserve">) models to examine the determinants of saving behaviour among gig workers. While the logit model assumes a symmetric distribution of the error term, the </w:t>
      </w:r>
      <w:proofErr w:type="spellStart"/>
      <w:r w:rsidRPr="00F77B07">
        <w:rPr>
          <w:rFonts w:ascii="Arial" w:hAnsi="Arial" w:cs="Arial"/>
          <w:sz w:val="20"/>
          <w:szCs w:val="20"/>
        </w:rPr>
        <w:t>cloglog</w:t>
      </w:r>
      <w:proofErr w:type="spellEnd"/>
      <w:r w:rsidRPr="00F77B07">
        <w:rPr>
          <w:rFonts w:ascii="Arial" w:hAnsi="Arial" w:cs="Arial"/>
          <w:sz w:val="20"/>
          <w:szCs w:val="20"/>
        </w:rPr>
        <w:t xml:space="preserve"> model accommodates an asymmetric response, making it particularly suitable when the dependent variable is highly unbalanced. In the present sample, a large majority of respondents report saving from gig work income, resulting in relatively few zero outcomes. </w:t>
      </w:r>
      <w:r w:rsidR="00DE0F27" w:rsidRPr="00DE0F27">
        <w:rPr>
          <w:rFonts w:ascii="Arial" w:hAnsi="Arial" w:cs="Arial"/>
          <w:sz w:val="20"/>
          <w:szCs w:val="20"/>
        </w:rPr>
        <w:t xml:space="preserve">The key explanatory variables, namely financial goal setting, emergency savings, and control over personal or household finances, remain positive and statistically significant across both model specifications. This consistency indicates that the core findings are robust and not influenced by the choice of functional form. </w:t>
      </w:r>
      <w:r w:rsidRPr="00DE0F27">
        <w:rPr>
          <w:rFonts w:ascii="Arial" w:hAnsi="Arial" w:cs="Arial"/>
          <w:sz w:val="20"/>
          <w:szCs w:val="20"/>
        </w:rPr>
        <w:t>Furthermore, the overall model fit, as reflected by the likelihood ratio statistics, is comparable across the</w:t>
      </w:r>
      <w:r w:rsidRPr="00F77B07">
        <w:rPr>
          <w:rFonts w:ascii="Arial" w:hAnsi="Arial" w:cs="Arial"/>
          <w:sz w:val="20"/>
          <w:szCs w:val="20"/>
        </w:rPr>
        <w:t xml:space="preserve"> two models. The consistency of coefficient signs, significance levels, and substantive interpretations across the logit and </w:t>
      </w:r>
      <w:proofErr w:type="spellStart"/>
      <w:r w:rsidRPr="00F77B07">
        <w:rPr>
          <w:rFonts w:ascii="Arial" w:hAnsi="Arial" w:cs="Arial"/>
          <w:sz w:val="20"/>
          <w:szCs w:val="20"/>
        </w:rPr>
        <w:t>cloglog</w:t>
      </w:r>
      <w:proofErr w:type="spellEnd"/>
      <w:r w:rsidRPr="00F77B07">
        <w:rPr>
          <w:rFonts w:ascii="Arial" w:hAnsi="Arial" w:cs="Arial"/>
          <w:sz w:val="20"/>
          <w:szCs w:val="20"/>
        </w:rPr>
        <w:t xml:space="preserve"> estimations confirms the robustness of the results and strengthens confidence in the identified determinants of saving behaviour among gig </w:t>
      </w:r>
      <w:r w:rsidRPr="00F77B07">
        <w:rPr>
          <w:rFonts w:ascii="Arial" w:hAnsi="Arial" w:cs="Arial"/>
          <w:sz w:val="20"/>
          <w:szCs w:val="20"/>
        </w:rPr>
        <w:lastRenderedPageBreak/>
        <w:t>workers.</w:t>
      </w:r>
      <w:r w:rsidR="00811E01">
        <w:rPr>
          <w:rFonts w:ascii="Arial" w:hAnsi="Arial" w:cs="Arial"/>
          <w:sz w:val="20"/>
          <w:szCs w:val="20"/>
        </w:rPr>
        <w:t xml:space="preserve"> </w:t>
      </w:r>
      <w:r w:rsidR="00811E01" w:rsidRPr="00811E01">
        <w:rPr>
          <w:rFonts w:ascii="Arial" w:hAnsi="Arial" w:cs="Arial"/>
          <w:sz w:val="20"/>
          <w:szCs w:val="20"/>
        </w:rPr>
        <w:t>Model adequacy was evaluated using likelihood ratio tests and standard goodness-of-fit diagnostics. The Hosmer–</w:t>
      </w:r>
      <w:proofErr w:type="spellStart"/>
      <w:r w:rsidR="00811E01" w:rsidRPr="00811E01">
        <w:rPr>
          <w:rFonts w:ascii="Arial" w:hAnsi="Arial" w:cs="Arial"/>
          <w:sz w:val="20"/>
          <w:szCs w:val="20"/>
        </w:rPr>
        <w:t>Lemeshow</w:t>
      </w:r>
      <w:proofErr w:type="spellEnd"/>
      <w:r w:rsidR="00811E01" w:rsidRPr="00811E01">
        <w:rPr>
          <w:rFonts w:ascii="Arial" w:hAnsi="Arial" w:cs="Arial"/>
          <w:sz w:val="20"/>
          <w:szCs w:val="20"/>
        </w:rPr>
        <w:t xml:space="preserve"> test results for the logistic regression model indicate no evidence of lack of fit. Overall, the diagnostic findings confirm the reliability and validity of the estimated models.</w:t>
      </w:r>
    </w:p>
    <w:p w14:paraId="5711C096" w14:textId="7AB08781" w:rsidR="00F37D09" w:rsidRPr="0059717B" w:rsidRDefault="00F77B07" w:rsidP="00F37D09">
      <w:pPr>
        <w:spacing w:before="240" w:after="0" w:line="360" w:lineRule="auto"/>
        <w:jc w:val="both"/>
        <w:rPr>
          <w:rFonts w:ascii="Arial" w:hAnsi="Arial" w:cs="Arial"/>
          <w:b/>
          <w:bCs/>
        </w:rPr>
      </w:pPr>
      <w:r>
        <w:rPr>
          <w:rFonts w:ascii="Arial" w:hAnsi="Arial" w:cs="Arial"/>
          <w:b/>
          <w:bCs/>
        </w:rPr>
        <w:t>6</w:t>
      </w:r>
      <w:r w:rsidR="0059717B" w:rsidRPr="0059717B">
        <w:rPr>
          <w:rFonts w:ascii="Arial" w:hAnsi="Arial" w:cs="Arial"/>
          <w:b/>
          <w:bCs/>
        </w:rPr>
        <w:t xml:space="preserve"> CONCLUSION AND POLICY IMPLICATIONS</w:t>
      </w:r>
    </w:p>
    <w:p w14:paraId="2AD99BCE" w14:textId="77777777" w:rsidR="00F77B07" w:rsidRPr="00F77B07" w:rsidRDefault="00F77B07" w:rsidP="00F77B07">
      <w:pPr>
        <w:spacing w:before="240" w:line="360" w:lineRule="auto"/>
        <w:jc w:val="both"/>
        <w:rPr>
          <w:rFonts w:ascii="Arial" w:hAnsi="Arial" w:cs="Arial"/>
          <w:sz w:val="20"/>
          <w:szCs w:val="20"/>
        </w:rPr>
      </w:pPr>
      <w:r w:rsidRPr="00F77B07">
        <w:rPr>
          <w:rFonts w:ascii="Arial" w:hAnsi="Arial" w:cs="Arial"/>
          <w:sz w:val="20"/>
          <w:szCs w:val="20"/>
        </w:rPr>
        <w:t>The findings of this study reveal several actionable policy implications aimed at reducing financial vulnerability among women gig workers in Kerala. A critical priority is the promotion of structured savings mechanisms that accommodate the irregular and uncertain income patterns characteristic of gig employment. Financial institutions and fintech providers can play a pivotal role by designing flexible micro-savings instruments and goal-oriented savings accounts, preferably integrated with mobile applications already familiar to gig workers. Additionally, incentive-based initiatives, such as matched savings or conditional contributions, can motivate the accumulation of emergency funds. Such mechanisms can significantly enhance financial resilience and reduce dependence on high-interest borrowing during periods of income volatility.</w:t>
      </w:r>
    </w:p>
    <w:p w14:paraId="793AE967" w14:textId="77777777" w:rsidR="00F77B07" w:rsidRPr="00F77B07" w:rsidRDefault="00F77B07" w:rsidP="00F77B07">
      <w:pPr>
        <w:spacing w:line="360" w:lineRule="auto"/>
        <w:jc w:val="both"/>
        <w:rPr>
          <w:rFonts w:ascii="Arial" w:hAnsi="Arial" w:cs="Arial"/>
          <w:sz w:val="20"/>
          <w:szCs w:val="20"/>
        </w:rPr>
      </w:pPr>
      <w:r w:rsidRPr="00F77B07">
        <w:rPr>
          <w:rFonts w:ascii="Arial" w:hAnsi="Arial" w:cs="Arial"/>
          <w:sz w:val="20"/>
          <w:szCs w:val="20"/>
        </w:rPr>
        <w:t>Expanding access to affordable and formal credit is equally essential, provided that responsible lending practices are strictly enforced. Short-term, low-cost credit facilities can enable women gig workers to undertake productive investments and smooth consumption without exposing them to chronic indebtedness. At the same time, regulatory safeguards are required to protect workers from predatory informal lending arrangements and exorbitant interest rates, which often intensify financial stress. Complementary policy measures, including subsidized and occupation-specific health insurance schemes, are vital for mitigating financial shocks arising from medical emergencies. These interventions can help preserve long-term savings and strengthen overall financial security.</w:t>
      </w:r>
    </w:p>
    <w:p w14:paraId="6418FDC4" w14:textId="77777777" w:rsidR="00F77B07" w:rsidRPr="00F77B07" w:rsidRDefault="00F77B07" w:rsidP="00F77B07">
      <w:pPr>
        <w:spacing w:line="360" w:lineRule="auto"/>
        <w:jc w:val="both"/>
        <w:rPr>
          <w:rFonts w:ascii="Arial" w:hAnsi="Arial" w:cs="Arial"/>
          <w:sz w:val="20"/>
          <w:szCs w:val="20"/>
        </w:rPr>
      </w:pPr>
      <w:r w:rsidRPr="00F77B07">
        <w:rPr>
          <w:rFonts w:ascii="Arial" w:hAnsi="Arial" w:cs="Arial"/>
          <w:sz w:val="20"/>
          <w:szCs w:val="20"/>
        </w:rPr>
        <w:t xml:space="preserve">Strengthening financial literacy and capability emerges as a central pillar of financial empowerment. Capacity-building initiatives should emphasize practical skills such as budgeting, debt management, prudent use of digital financial services, and basic investment planning, while also reinforcing women’s control over personal and household financial decisions. These programs must be gender-sensitive and context-specific, and should be embedded within the broader gig-economy ecosystem. Effective implementation requires coordinated efforts among government departments, gig platforms, financial institutions, and local self-government bodies in Kerala. </w:t>
      </w:r>
      <w:bookmarkStart w:id="0" w:name="_GoBack"/>
      <w:bookmarkEnd w:id="0"/>
      <w:r w:rsidRPr="00F77B07">
        <w:rPr>
          <w:rFonts w:ascii="Arial" w:hAnsi="Arial" w:cs="Arial"/>
          <w:sz w:val="20"/>
          <w:szCs w:val="20"/>
        </w:rPr>
        <w:t xml:space="preserve">Enhancing financial knowledge and decision-making autonomy can empower women gig workers to navigate financial risks more effectively and build sustainable economic security. In addition, institutionalizing social protection mechanisms tailored to the needs of gig workers is crucial. Given the absence of traditional employment benefits such as paid leave, pensions, and employer-sponsored insurance, women gig workers remain particularly exposed to income and lifecycle risks. The introduction of contributory pension schemes, maternity benefits, and income stabilization funds can provide a basic safety net and reduce long-term vulnerability. </w:t>
      </w:r>
    </w:p>
    <w:p w14:paraId="2DCC3107" w14:textId="77777777" w:rsidR="00F77B07" w:rsidRDefault="00F77B07" w:rsidP="00F77B07">
      <w:pPr>
        <w:spacing w:line="360" w:lineRule="auto"/>
        <w:jc w:val="both"/>
        <w:rPr>
          <w:rFonts w:ascii="Arial" w:hAnsi="Arial" w:cs="Arial"/>
          <w:sz w:val="20"/>
          <w:szCs w:val="20"/>
        </w:rPr>
      </w:pPr>
      <w:r w:rsidRPr="00F77B07">
        <w:rPr>
          <w:rFonts w:ascii="Arial" w:hAnsi="Arial" w:cs="Arial"/>
          <w:sz w:val="20"/>
          <w:szCs w:val="20"/>
        </w:rPr>
        <w:t xml:space="preserve">In summary, empirical evidence from the Logistic Regression and Complementary log–log models </w:t>
      </w:r>
      <w:proofErr w:type="gramStart"/>
      <w:r w:rsidRPr="00F77B07">
        <w:rPr>
          <w:rFonts w:ascii="Arial" w:hAnsi="Arial" w:cs="Arial"/>
          <w:sz w:val="20"/>
          <w:szCs w:val="20"/>
        </w:rPr>
        <w:t>underscores</w:t>
      </w:r>
      <w:proofErr w:type="gramEnd"/>
      <w:r w:rsidRPr="00F77B07">
        <w:rPr>
          <w:rFonts w:ascii="Arial" w:hAnsi="Arial" w:cs="Arial"/>
          <w:sz w:val="20"/>
          <w:szCs w:val="20"/>
        </w:rPr>
        <w:t xml:space="preserve"> the critical role of emergency savings, structured financial planning, and intra-household </w:t>
      </w:r>
      <w:r w:rsidRPr="00F77B07">
        <w:rPr>
          <w:rFonts w:ascii="Arial" w:hAnsi="Arial" w:cs="Arial"/>
          <w:sz w:val="20"/>
          <w:szCs w:val="20"/>
        </w:rPr>
        <w:lastRenderedPageBreak/>
        <w:t xml:space="preserve">financial autonomy in mitigating financial risk among women gig workers. In contrast, excessive reliance on informal credit and inadequate insurance coverage significantly heighten financial insecurity. Addressing these challenges requires a comprehensive and integrated policy approach that combines financial inclusion, social protection, and capability-building strategies. By promoting structured savings, accessible and responsible credit, insurance coverage, and financial literacy, policymakers can strengthen the economic resilience of women gig workers. Gender-responsive and context-specific interventions hold the potential to shift financial outcomes from short-term survival strategies to pathways of sustainable economic well-being. </w:t>
      </w:r>
    </w:p>
    <w:p w14:paraId="76E06E38" w14:textId="77777777" w:rsidR="008E1841" w:rsidRPr="003657FE" w:rsidRDefault="008E1841" w:rsidP="008E1841">
      <w:pPr>
        <w:spacing w:before="240" w:line="360" w:lineRule="auto"/>
        <w:rPr>
          <w:rFonts w:ascii="Arial" w:hAnsi="Arial" w:cs="Arial"/>
          <w:b/>
          <w:bCs/>
        </w:rPr>
      </w:pPr>
      <w:r w:rsidRPr="003657FE">
        <w:rPr>
          <w:rFonts w:ascii="Arial" w:hAnsi="Arial" w:cs="Arial"/>
          <w:b/>
          <w:bCs/>
        </w:rPr>
        <w:t>DISCLAIMER (ARTIFICIAL INTELLIGENCE)</w:t>
      </w:r>
    </w:p>
    <w:p w14:paraId="218767B8" w14:textId="176F1B81" w:rsidR="008E1841" w:rsidRPr="008E1841" w:rsidRDefault="008E1841" w:rsidP="008E1841">
      <w:pPr>
        <w:spacing w:line="360" w:lineRule="auto"/>
        <w:jc w:val="both"/>
        <w:rPr>
          <w:rFonts w:ascii="Arial" w:hAnsi="Arial" w:cs="Arial"/>
        </w:rPr>
      </w:pPr>
      <w:r w:rsidRPr="003657FE">
        <w:rPr>
          <w:rFonts w:ascii="Arial" w:hAnsi="Arial" w:cs="Arial"/>
        </w:rPr>
        <w:t>The author</w:t>
      </w:r>
      <w:r>
        <w:rPr>
          <w:rFonts w:ascii="Arial" w:hAnsi="Arial" w:cs="Arial"/>
        </w:rPr>
        <w:t>s</w:t>
      </w:r>
      <w:r w:rsidRPr="003657FE">
        <w:rPr>
          <w:rFonts w:ascii="Arial" w:hAnsi="Arial" w:cs="Arial"/>
        </w:rPr>
        <w:t xml:space="preserve"> hereby declare that generative AI technologies</w:t>
      </w:r>
      <w:r>
        <w:rPr>
          <w:rFonts w:ascii="Arial" w:hAnsi="Arial" w:cs="Arial"/>
        </w:rPr>
        <w:t xml:space="preserve"> </w:t>
      </w:r>
      <w:r w:rsidRPr="003657FE">
        <w:rPr>
          <w:rFonts w:ascii="Arial" w:hAnsi="Arial" w:cs="Arial"/>
        </w:rPr>
        <w:t>were utilized during the writing and editing of this manuscript. This disclosure includes the name, version, model, and source of the generative AI technology, as well as the input prompts provided.</w:t>
      </w:r>
    </w:p>
    <w:p w14:paraId="62A2D0A3" w14:textId="77777777" w:rsidR="008E1841" w:rsidRPr="003657FE" w:rsidRDefault="008E1841" w:rsidP="008E1841">
      <w:pPr>
        <w:spacing w:line="360" w:lineRule="auto"/>
        <w:rPr>
          <w:rFonts w:ascii="Arial" w:hAnsi="Arial" w:cs="Arial"/>
          <w:b/>
          <w:bCs/>
        </w:rPr>
      </w:pPr>
      <w:r w:rsidRPr="003657FE">
        <w:rPr>
          <w:rFonts w:ascii="Arial" w:hAnsi="Arial" w:cs="Arial"/>
          <w:b/>
          <w:bCs/>
        </w:rPr>
        <w:t>Details of AI Usage</w:t>
      </w:r>
    </w:p>
    <w:p w14:paraId="1B2AF268" w14:textId="77777777" w:rsidR="008E1841" w:rsidRPr="00E00C1B" w:rsidRDefault="008E1841" w:rsidP="008E1841">
      <w:pPr>
        <w:spacing w:line="360" w:lineRule="auto"/>
        <w:jc w:val="both"/>
        <w:rPr>
          <w:rFonts w:ascii="Arial" w:hAnsi="Arial" w:cs="Arial"/>
        </w:rPr>
      </w:pPr>
      <w:proofErr w:type="spellStart"/>
      <w:r w:rsidRPr="00E00C1B">
        <w:rPr>
          <w:rFonts w:ascii="Arial" w:hAnsi="Arial" w:cs="Arial"/>
        </w:rPr>
        <w:t>ChatGPT</w:t>
      </w:r>
      <w:proofErr w:type="spellEnd"/>
      <w:r w:rsidRPr="00E00C1B">
        <w:rPr>
          <w:rFonts w:ascii="Arial" w:hAnsi="Arial" w:cs="Arial"/>
        </w:rPr>
        <w:t xml:space="preserve">, version </w:t>
      </w:r>
      <w:r>
        <w:rPr>
          <w:rFonts w:ascii="Arial" w:hAnsi="Arial" w:cs="Arial"/>
        </w:rPr>
        <w:t>5</w:t>
      </w:r>
      <w:r w:rsidRPr="00E00C1B">
        <w:rPr>
          <w:rFonts w:ascii="Arial" w:hAnsi="Arial" w:cs="Arial"/>
        </w:rPr>
        <w:t xml:space="preserve">.0, developed by </w:t>
      </w:r>
      <w:proofErr w:type="spellStart"/>
      <w:r w:rsidRPr="00E00C1B">
        <w:rPr>
          <w:rFonts w:ascii="Arial" w:hAnsi="Arial" w:cs="Arial"/>
        </w:rPr>
        <w:t>OpenAI</w:t>
      </w:r>
      <w:proofErr w:type="spellEnd"/>
      <w:r w:rsidRPr="003657FE">
        <w:rPr>
          <w:rFonts w:ascii="Arial" w:hAnsi="Arial" w:cs="Arial"/>
        </w:rPr>
        <w:t xml:space="preserve">, was used for language correction in select sections of the manuscript. Input prompt used: </w:t>
      </w:r>
      <w:r w:rsidRPr="00E00C1B">
        <w:rPr>
          <w:rFonts w:ascii="Arial" w:hAnsi="Arial" w:cs="Arial"/>
        </w:rPr>
        <w:t>“Correct and improve language.”</w:t>
      </w:r>
    </w:p>
    <w:p w14:paraId="59A2368D" w14:textId="6523B671" w:rsidR="008E1841" w:rsidRPr="00F14B28" w:rsidRDefault="008E1841" w:rsidP="008E1841">
      <w:pPr>
        <w:spacing w:line="360" w:lineRule="auto"/>
        <w:rPr>
          <w:rFonts w:ascii="Arial" w:hAnsi="Arial" w:cs="Arial"/>
          <w:b/>
          <w:bCs/>
        </w:rPr>
      </w:pPr>
      <w:r w:rsidRPr="00F14B28">
        <w:rPr>
          <w:rFonts w:ascii="Arial" w:hAnsi="Arial" w:cs="Arial"/>
          <w:b/>
          <w:bCs/>
        </w:rPr>
        <w:t>COMPETING INTERESTS</w:t>
      </w:r>
      <w:r w:rsidR="00F14B28" w:rsidRPr="00F14B28">
        <w:rPr>
          <w:rFonts w:ascii="Arial" w:hAnsi="Arial" w:cs="Arial"/>
          <w:b/>
          <w:bCs/>
        </w:rPr>
        <w:t xml:space="preserve"> DISCLAIMER</w:t>
      </w:r>
    </w:p>
    <w:p w14:paraId="2E453D49" w14:textId="12EAAA7F" w:rsidR="006D555E" w:rsidRPr="00F77B07" w:rsidRDefault="00F14B28" w:rsidP="00F77B07">
      <w:pPr>
        <w:spacing w:line="360" w:lineRule="auto"/>
        <w:jc w:val="both"/>
        <w:rPr>
          <w:rFonts w:ascii="Arial" w:hAnsi="Arial" w:cs="Arial"/>
          <w:sz w:val="20"/>
          <w:szCs w:val="20"/>
        </w:rPr>
      </w:pPr>
      <w:r w:rsidRPr="00F14B28">
        <w:rPr>
          <w:rFonts w:ascii="Arial" w:hAnsi="Arial" w:cs="Arial"/>
          <w:sz w:val="20"/>
          <w:szCs w:val="20"/>
        </w:rPr>
        <w:t>The authors declare that they have no known competing financial or non-financial interests, and no personal relationships, that could have influenced the work reported in this paper.</w:t>
      </w:r>
    </w:p>
    <w:p w14:paraId="4DD0B12A" w14:textId="382D2936" w:rsidR="00F77B07" w:rsidRPr="00F179FC" w:rsidRDefault="0059717B" w:rsidP="00F179FC">
      <w:pPr>
        <w:spacing w:before="240" w:after="0" w:line="360" w:lineRule="auto"/>
        <w:jc w:val="both"/>
        <w:rPr>
          <w:rFonts w:ascii="Arial" w:hAnsi="Arial" w:cs="Arial"/>
          <w:b/>
          <w:bCs/>
        </w:rPr>
      </w:pPr>
      <w:r w:rsidRPr="0059717B">
        <w:rPr>
          <w:rFonts w:ascii="Arial" w:hAnsi="Arial" w:cs="Arial"/>
          <w:b/>
          <w:bCs/>
        </w:rPr>
        <w:t xml:space="preserve">REFERENCES </w:t>
      </w:r>
    </w:p>
    <w:p w14:paraId="631EDF99" w14:textId="77777777" w:rsidR="00F77B07" w:rsidRDefault="00F77B07" w:rsidP="00F179FC">
      <w:pPr>
        <w:spacing w:before="240" w:after="0" w:line="360" w:lineRule="auto"/>
        <w:jc w:val="both"/>
        <w:rPr>
          <w:rFonts w:ascii="Arial" w:hAnsi="Arial" w:cs="Arial"/>
          <w:sz w:val="20"/>
          <w:szCs w:val="20"/>
        </w:rPr>
      </w:pPr>
      <w:proofErr w:type="spellStart"/>
      <w:r w:rsidRPr="00F77B07">
        <w:rPr>
          <w:rFonts w:ascii="Arial" w:hAnsi="Arial" w:cs="Arial"/>
          <w:sz w:val="20"/>
          <w:szCs w:val="20"/>
        </w:rPr>
        <w:t>Bracha</w:t>
      </w:r>
      <w:proofErr w:type="spellEnd"/>
      <w:r w:rsidRPr="00F77B07">
        <w:rPr>
          <w:rFonts w:ascii="Arial" w:hAnsi="Arial" w:cs="Arial"/>
          <w:sz w:val="20"/>
          <w:szCs w:val="20"/>
        </w:rPr>
        <w:t xml:space="preserve">, A., &amp; Burke, M. A. (2018). </w:t>
      </w:r>
      <w:r w:rsidRPr="00F77B07">
        <w:rPr>
          <w:rFonts w:ascii="Arial" w:hAnsi="Arial" w:cs="Arial"/>
          <w:i/>
          <w:iCs/>
          <w:sz w:val="20"/>
          <w:szCs w:val="20"/>
        </w:rPr>
        <w:t>Wage inflation and informal work</w:t>
      </w:r>
      <w:r w:rsidRPr="00F77B07">
        <w:rPr>
          <w:rFonts w:ascii="Arial" w:hAnsi="Arial" w:cs="Arial"/>
          <w:sz w:val="20"/>
          <w:szCs w:val="20"/>
        </w:rPr>
        <w:t xml:space="preserve">. </w:t>
      </w:r>
      <w:r w:rsidRPr="00F77B07">
        <w:rPr>
          <w:rFonts w:ascii="Arial" w:hAnsi="Arial" w:cs="Arial"/>
          <w:i/>
          <w:iCs/>
          <w:sz w:val="20"/>
          <w:szCs w:val="20"/>
        </w:rPr>
        <w:t>Economics Letters, 171</w:t>
      </w:r>
      <w:r w:rsidRPr="00F77B07">
        <w:rPr>
          <w:rFonts w:ascii="Arial" w:hAnsi="Arial" w:cs="Arial"/>
          <w:sz w:val="20"/>
          <w:szCs w:val="20"/>
        </w:rPr>
        <w:t xml:space="preserve">, 159–163. </w:t>
      </w:r>
    </w:p>
    <w:p w14:paraId="14D2A32B" w14:textId="686418F8"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sz w:val="20"/>
          <w:szCs w:val="20"/>
        </w:rPr>
        <w:t>https://doi.org/10.1016/j.econlet.2018.07.033</w:t>
      </w:r>
    </w:p>
    <w:p w14:paraId="3DEB32AC" w14:textId="77777777" w:rsidR="00F77B07" w:rsidRDefault="00F77B07" w:rsidP="00F77B07">
      <w:pPr>
        <w:spacing w:after="0" w:line="360" w:lineRule="auto"/>
        <w:jc w:val="both"/>
        <w:rPr>
          <w:rFonts w:ascii="Arial" w:hAnsi="Arial" w:cs="Arial"/>
          <w:sz w:val="20"/>
          <w:szCs w:val="20"/>
        </w:rPr>
      </w:pPr>
      <w:r w:rsidRPr="00F77B07">
        <w:rPr>
          <w:rFonts w:ascii="Arial" w:hAnsi="Arial" w:cs="Arial"/>
          <w:sz w:val="20"/>
          <w:szCs w:val="20"/>
        </w:rPr>
        <w:t xml:space="preserve">Crenshaw, K. (1989). Demarginalizing the intersection of race and sex: A Black feminist critique of </w:t>
      </w:r>
    </w:p>
    <w:p w14:paraId="6FCA5BDF" w14:textId="46C2E580"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antidiscrimination doctrine, feminist theory, and antiracist politics. </w:t>
      </w:r>
      <w:r w:rsidRPr="00F77B07">
        <w:rPr>
          <w:rFonts w:ascii="Arial" w:hAnsi="Arial" w:cs="Arial"/>
          <w:i/>
          <w:iCs/>
          <w:sz w:val="20"/>
          <w:szCs w:val="20"/>
        </w:rPr>
        <w:t>University of Chicago Legal Forum, 1989</w:t>
      </w:r>
      <w:r w:rsidRPr="00F77B07">
        <w:rPr>
          <w:rFonts w:ascii="Arial" w:hAnsi="Arial" w:cs="Arial"/>
          <w:sz w:val="20"/>
          <w:szCs w:val="20"/>
        </w:rPr>
        <w:t>(1), 139–167.</w:t>
      </w:r>
    </w:p>
    <w:p w14:paraId="4D37ED0A"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Devayani</w:t>
      </w:r>
      <w:proofErr w:type="spellEnd"/>
      <w:r w:rsidRPr="00F77B07">
        <w:rPr>
          <w:rFonts w:ascii="Arial" w:hAnsi="Arial" w:cs="Arial"/>
          <w:sz w:val="20"/>
          <w:szCs w:val="20"/>
        </w:rPr>
        <w:t xml:space="preserve">, K. S., &amp; Kalpana, G. (2024). Investment challenges faced by working women in Kerala: A </w:t>
      </w:r>
    </w:p>
    <w:p w14:paraId="41335D24" w14:textId="2D9BCDEE"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structural equation modelling analysis. </w:t>
      </w:r>
      <w:r w:rsidRPr="00F77B07">
        <w:rPr>
          <w:rFonts w:ascii="Arial" w:hAnsi="Arial" w:cs="Arial"/>
          <w:i/>
          <w:iCs/>
          <w:sz w:val="20"/>
          <w:szCs w:val="20"/>
        </w:rPr>
        <w:t>Educational Administration: Theory and Practice, 30</w:t>
      </w:r>
      <w:r w:rsidRPr="00F77B07">
        <w:rPr>
          <w:rFonts w:ascii="Arial" w:hAnsi="Arial" w:cs="Arial"/>
          <w:sz w:val="20"/>
          <w:szCs w:val="20"/>
        </w:rPr>
        <w:t>(5), 9675–9683.</w:t>
      </w:r>
    </w:p>
    <w:p w14:paraId="34F45144" w14:textId="77777777" w:rsidR="00F77B07" w:rsidRDefault="00F77B07" w:rsidP="00F77B07">
      <w:pPr>
        <w:spacing w:after="0" w:line="360" w:lineRule="auto"/>
        <w:jc w:val="both"/>
        <w:rPr>
          <w:rFonts w:ascii="Arial" w:hAnsi="Arial" w:cs="Arial"/>
          <w:i/>
          <w:iCs/>
          <w:sz w:val="20"/>
          <w:szCs w:val="20"/>
        </w:rPr>
      </w:pPr>
      <w:proofErr w:type="spellStart"/>
      <w:r w:rsidRPr="00F77B07">
        <w:rPr>
          <w:rFonts w:ascii="Arial" w:hAnsi="Arial" w:cs="Arial"/>
          <w:sz w:val="20"/>
          <w:szCs w:val="20"/>
        </w:rPr>
        <w:t>Heeks</w:t>
      </w:r>
      <w:proofErr w:type="spellEnd"/>
      <w:r w:rsidRPr="00F77B07">
        <w:rPr>
          <w:rFonts w:ascii="Arial" w:hAnsi="Arial" w:cs="Arial"/>
          <w:sz w:val="20"/>
          <w:szCs w:val="20"/>
        </w:rPr>
        <w:t xml:space="preserve">, R. (2017). </w:t>
      </w:r>
      <w:r w:rsidRPr="00F77B07">
        <w:rPr>
          <w:rFonts w:ascii="Arial" w:hAnsi="Arial" w:cs="Arial"/>
          <w:i/>
          <w:iCs/>
          <w:sz w:val="20"/>
          <w:szCs w:val="20"/>
        </w:rPr>
        <w:t xml:space="preserve">Decent work and the digital gig economy: A developing country perspective on </w:t>
      </w:r>
    </w:p>
    <w:p w14:paraId="037B5062" w14:textId="77777777" w:rsidR="00F77B07" w:rsidRDefault="00F77B07" w:rsidP="00F77B07">
      <w:pPr>
        <w:spacing w:line="360" w:lineRule="auto"/>
        <w:ind w:left="360"/>
        <w:jc w:val="both"/>
        <w:rPr>
          <w:rFonts w:ascii="Arial" w:hAnsi="Arial" w:cs="Arial"/>
          <w:sz w:val="20"/>
          <w:szCs w:val="20"/>
        </w:rPr>
      </w:pPr>
      <w:r w:rsidRPr="00F77B07">
        <w:rPr>
          <w:rFonts w:ascii="Arial" w:hAnsi="Arial" w:cs="Arial"/>
          <w:i/>
          <w:iCs/>
          <w:sz w:val="20"/>
          <w:szCs w:val="20"/>
        </w:rPr>
        <w:t>employment impacts and standards in online outsourcing and crowd work</w:t>
      </w:r>
      <w:r w:rsidRPr="00F77B07">
        <w:rPr>
          <w:rFonts w:ascii="Arial" w:hAnsi="Arial" w:cs="Arial"/>
          <w:sz w:val="20"/>
          <w:szCs w:val="20"/>
        </w:rPr>
        <w:t xml:space="preserve"> (Development Informatics Working Paper No. 71). University of Manchester.</w:t>
      </w:r>
    </w:p>
    <w:p w14:paraId="7B572F45" w14:textId="77777777" w:rsidR="00F77B07" w:rsidRDefault="00F77B07" w:rsidP="00F77B07">
      <w:pPr>
        <w:spacing w:after="0" w:line="360" w:lineRule="auto"/>
        <w:jc w:val="both"/>
        <w:rPr>
          <w:rFonts w:ascii="Arial" w:hAnsi="Arial" w:cs="Arial"/>
          <w:i/>
          <w:iCs/>
          <w:sz w:val="20"/>
          <w:szCs w:val="20"/>
        </w:rPr>
      </w:pPr>
      <w:r w:rsidRPr="00F77B07">
        <w:rPr>
          <w:rFonts w:ascii="Arial" w:hAnsi="Arial" w:cs="Arial"/>
          <w:sz w:val="20"/>
          <w:szCs w:val="20"/>
        </w:rPr>
        <w:t xml:space="preserve">International Labour Organization. (2021). </w:t>
      </w:r>
      <w:r w:rsidRPr="00F77B07">
        <w:rPr>
          <w:rFonts w:ascii="Arial" w:hAnsi="Arial" w:cs="Arial"/>
          <w:i/>
          <w:iCs/>
          <w:sz w:val="20"/>
          <w:szCs w:val="20"/>
        </w:rPr>
        <w:t xml:space="preserve">World employment and social outlook: The role of digital </w:t>
      </w:r>
    </w:p>
    <w:p w14:paraId="27CD7F5A" w14:textId="2CC77819"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i/>
          <w:iCs/>
          <w:sz w:val="20"/>
          <w:szCs w:val="20"/>
        </w:rPr>
        <w:t>labour platforms in transforming the world of work</w:t>
      </w:r>
      <w:r w:rsidRPr="00F77B07">
        <w:rPr>
          <w:rFonts w:ascii="Arial" w:hAnsi="Arial" w:cs="Arial"/>
          <w:sz w:val="20"/>
          <w:szCs w:val="20"/>
        </w:rPr>
        <w:t>. ILO.</w:t>
      </w:r>
    </w:p>
    <w:p w14:paraId="5C8FD414" w14:textId="77777777" w:rsidR="00F77B07" w:rsidRDefault="00F77B07" w:rsidP="00F77B07">
      <w:pPr>
        <w:spacing w:after="0" w:line="360" w:lineRule="auto"/>
        <w:jc w:val="both"/>
        <w:rPr>
          <w:rFonts w:ascii="Arial" w:hAnsi="Arial" w:cs="Arial"/>
          <w:i/>
          <w:iCs/>
          <w:sz w:val="20"/>
          <w:szCs w:val="20"/>
        </w:rPr>
      </w:pPr>
      <w:r w:rsidRPr="00F77B07">
        <w:rPr>
          <w:rFonts w:ascii="Arial" w:hAnsi="Arial" w:cs="Arial"/>
          <w:sz w:val="20"/>
          <w:szCs w:val="20"/>
        </w:rPr>
        <w:t xml:space="preserve">Joseph, K. J. (2021). Platform economy and the Kerala model: Opportunities and challenges. </w:t>
      </w:r>
      <w:r w:rsidRPr="00F77B07">
        <w:rPr>
          <w:rFonts w:ascii="Arial" w:hAnsi="Arial" w:cs="Arial"/>
          <w:i/>
          <w:iCs/>
          <w:sz w:val="20"/>
          <w:szCs w:val="20"/>
        </w:rPr>
        <w:t xml:space="preserve">Economic </w:t>
      </w:r>
    </w:p>
    <w:p w14:paraId="119B71E5" w14:textId="073021DD"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i/>
          <w:iCs/>
          <w:sz w:val="20"/>
          <w:szCs w:val="20"/>
        </w:rPr>
        <w:lastRenderedPageBreak/>
        <w:t>and Political Weekly, 56</w:t>
      </w:r>
      <w:r w:rsidRPr="00F77B07">
        <w:rPr>
          <w:rFonts w:ascii="Arial" w:hAnsi="Arial" w:cs="Arial"/>
          <w:sz w:val="20"/>
          <w:szCs w:val="20"/>
        </w:rPr>
        <w:t>(34), 45–52.</w:t>
      </w:r>
    </w:p>
    <w:p w14:paraId="69149344" w14:textId="77777777" w:rsidR="00F77B07" w:rsidRDefault="00F77B07" w:rsidP="00F77B07">
      <w:pPr>
        <w:spacing w:after="0" w:line="360" w:lineRule="auto"/>
        <w:jc w:val="both"/>
        <w:rPr>
          <w:rFonts w:ascii="Arial" w:hAnsi="Arial" w:cs="Arial"/>
          <w:i/>
          <w:iCs/>
          <w:sz w:val="20"/>
          <w:szCs w:val="20"/>
        </w:rPr>
      </w:pPr>
      <w:r w:rsidRPr="00F77B07">
        <w:rPr>
          <w:rFonts w:ascii="Arial" w:hAnsi="Arial" w:cs="Arial"/>
          <w:sz w:val="20"/>
          <w:szCs w:val="20"/>
        </w:rPr>
        <w:t xml:space="preserve">Kaine, S., &amp; Josserand, E. (2019). The organisation and experience of work in the gig economy. </w:t>
      </w:r>
      <w:r w:rsidRPr="00F77B07">
        <w:rPr>
          <w:rFonts w:ascii="Arial" w:hAnsi="Arial" w:cs="Arial"/>
          <w:i/>
          <w:iCs/>
          <w:sz w:val="20"/>
          <w:szCs w:val="20"/>
        </w:rPr>
        <w:t xml:space="preserve">Journal </w:t>
      </w:r>
    </w:p>
    <w:p w14:paraId="4409DBCB" w14:textId="13AE8EAE" w:rsidR="00F77B07" w:rsidRDefault="00F77B07" w:rsidP="00F77B07">
      <w:pPr>
        <w:spacing w:after="0" w:line="360" w:lineRule="auto"/>
        <w:ind w:firstLine="360"/>
        <w:jc w:val="both"/>
        <w:rPr>
          <w:rFonts w:ascii="Arial" w:hAnsi="Arial" w:cs="Arial"/>
          <w:sz w:val="20"/>
          <w:szCs w:val="20"/>
        </w:rPr>
      </w:pPr>
      <w:r w:rsidRPr="00F77B07">
        <w:rPr>
          <w:rFonts w:ascii="Arial" w:hAnsi="Arial" w:cs="Arial"/>
          <w:i/>
          <w:iCs/>
          <w:sz w:val="20"/>
          <w:szCs w:val="20"/>
        </w:rPr>
        <w:t>of Industrial Relations, 61</w:t>
      </w:r>
      <w:r w:rsidRPr="00F77B07">
        <w:rPr>
          <w:rFonts w:ascii="Arial" w:hAnsi="Arial" w:cs="Arial"/>
          <w:sz w:val="20"/>
          <w:szCs w:val="20"/>
        </w:rPr>
        <w:t>(4), 479–501</w:t>
      </w:r>
      <w:r w:rsidRPr="00AC5C62">
        <w:rPr>
          <w:rFonts w:ascii="Arial" w:hAnsi="Arial" w:cs="Arial"/>
          <w:sz w:val="20"/>
          <w:szCs w:val="20"/>
        </w:rPr>
        <w:t xml:space="preserve">. </w:t>
      </w:r>
      <w:hyperlink r:id="rId8" w:history="1">
        <w:r w:rsidRPr="00AC5C62">
          <w:rPr>
            <w:rStyle w:val="Hyperlink"/>
            <w:rFonts w:ascii="Arial" w:hAnsi="Arial" w:cs="Arial"/>
            <w:color w:val="auto"/>
            <w:sz w:val="20"/>
            <w:szCs w:val="20"/>
            <w:u w:val="none"/>
          </w:rPr>
          <w:t>https://doi.org/10.1177/0022185619865480</w:t>
        </w:r>
      </w:hyperlink>
    </w:p>
    <w:p w14:paraId="4DE81BC6" w14:textId="77777777" w:rsidR="00F77B07" w:rsidRDefault="00F77B07" w:rsidP="00F77B07">
      <w:pPr>
        <w:spacing w:before="240" w:after="0" w:line="360" w:lineRule="auto"/>
        <w:jc w:val="both"/>
        <w:rPr>
          <w:rFonts w:ascii="Arial" w:hAnsi="Arial" w:cs="Arial"/>
          <w:i/>
          <w:iCs/>
          <w:sz w:val="20"/>
          <w:szCs w:val="20"/>
        </w:rPr>
      </w:pPr>
      <w:r w:rsidRPr="00F77B07">
        <w:rPr>
          <w:rFonts w:ascii="Arial" w:hAnsi="Arial" w:cs="Arial"/>
          <w:sz w:val="20"/>
          <w:szCs w:val="20"/>
        </w:rPr>
        <w:t xml:space="preserve">Kar, S. (2019, December 3). Women bag frontline roles in gig economy, but lag behind in wages. </w:t>
      </w:r>
      <w:r w:rsidRPr="00F77B07">
        <w:rPr>
          <w:rFonts w:ascii="Arial" w:hAnsi="Arial" w:cs="Arial"/>
          <w:i/>
          <w:iCs/>
          <w:sz w:val="20"/>
          <w:szCs w:val="20"/>
        </w:rPr>
        <w:t xml:space="preserve">The </w:t>
      </w:r>
    </w:p>
    <w:p w14:paraId="3F5D00F5" w14:textId="77777777" w:rsidR="00F77B07" w:rsidRDefault="00F77B07" w:rsidP="00F77B07">
      <w:pPr>
        <w:spacing w:after="0" w:line="360" w:lineRule="auto"/>
        <w:ind w:firstLine="360"/>
        <w:jc w:val="both"/>
        <w:rPr>
          <w:rFonts w:ascii="Arial" w:hAnsi="Arial" w:cs="Arial"/>
          <w:sz w:val="20"/>
          <w:szCs w:val="20"/>
        </w:rPr>
      </w:pPr>
      <w:r w:rsidRPr="00F77B07">
        <w:rPr>
          <w:rFonts w:ascii="Arial" w:hAnsi="Arial" w:cs="Arial"/>
          <w:i/>
          <w:iCs/>
          <w:sz w:val="20"/>
          <w:szCs w:val="20"/>
        </w:rPr>
        <w:t>Economic Times</w:t>
      </w:r>
      <w:r w:rsidRPr="00F77B07">
        <w:rPr>
          <w:rFonts w:ascii="Arial" w:hAnsi="Arial" w:cs="Arial"/>
          <w:sz w:val="20"/>
          <w:szCs w:val="20"/>
        </w:rPr>
        <w:t>.</w:t>
      </w:r>
    </w:p>
    <w:p w14:paraId="1FC149E2" w14:textId="37E09FBE" w:rsidR="00F77B07" w:rsidRPr="00F77B07" w:rsidRDefault="00F77B07" w:rsidP="00F77B07">
      <w:pPr>
        <w:spacing w:before="240" w:after="0" w:line="360" w:lineRule="auto"/>
        <w:jc w:val="both"/>
        <w:rPr>
          <w:rFonts w:ascii="Arial" w:hAnsi="Arial" w:cs="Arial"/>
          <w:sz w:val="20"/>
          <w:szCs w:val="20"/>
        </w:rPr>
      </w:pPr>
      <w:proofErr w:type="spellStart"/>
      <w:r w:rsidRPr="00F77B07">
        <w:rPr>
          <w:rFonts w:ascii="Arial" w:hAnsi="Arial" w:cs="Arial"/>
          <w:sz w:val="20"/>
          <w:szCs w:val="20"/>
        </w:rPr>
        <w:t>Kasliwal</w:t>
      </w:r>
      <w:proofErr w:type="spellEnd"/>
      <w:r w:rsidRPr="00F77B07">
        <w:rPr>
          <w:rFonts w:ascii="Arial" w:hAnsi="Arial" w:cs="Arial"/>
          <w:sz w:val="20"/>
          <w:szCs w:val="20"/>
        </w:rPr>
        <w:t xml:space="preserve">, R. (2020). </w:t>
      </w:r>
      <w:r w:rsidRPr="00F77B07">
        <w:rPr>
          <w:rFonts w:ascii="Arial" w:hAnsi="Arial" w:cs="Arial"/>
          <w:i/>
          <w:iCs/>
          <w:sz w:val="20"/>
          <w:szCs w:val="20"/>
        </w:rPr>
        <w:t xml:space="preserve">Gender and the gig economy: A qualitative study of gig platforms for women </w:t>
      </w:r>
    </w:p>
    <w:p w14:paraId="6CACAE97" w14:textId="21CBBA92"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i/>
          <w:iCs/>
          <w:sz w:val="20"/>
          <w:szCs w:val="20"/>
        </w:rPr>
        <w:t>workers</w:t>
      </w:r>
      <w:r w:rsidRPr="00F77B07">
        <w:rPr>
          <w:rFonts w:ascii="Arial" w:hAnsi="Arial" w:cs="Arial"/>
          <w:sz w:val="20"/>
          <w:szCs w:val="20"/>
        </w:rPr>
        <w:t xml:space="preserve"> (ORF Issue Brief No. 359). Observer Research Foundation.</w:t>
      </w:r>
    </w:p>
    <w:p w14:paraId="413478E6" w14:textId="77777777" w:rsidR="00F77B07" w:rsidRDefault="00F77B07" w:rsidP="00F77B07">
      <w:pPr>
        <w:spacing w:after="0" w:line="360" w:lineRule="auto"/>
        <w:jc w:val="both"/>
        <w:rPr>
          <w:rFonts w:ascii="Arial" w:hAnsi="Arial" w:cs="Arial"/>
          <w:sz w:val="20"/>
          <w:szCs w:val="20"/>
        </w:rPr>
      </w:pPr>
      <w:r w:rsidRPr="00F77B07">
        <w:rPr>
          <w:rFonts w:ascii="Arial" w:hAnsi="Arial" w:cs="Arial"/>
          <w:sz w:val="20"/>
          <w:szCs w:val="20"/>
        </w:rPr>
        <w:t xml:space="preserve">Mallick, M., &amp; Das, S. (2025). A study to explore financial capability among gig workers in West Bengal, </w:t>
      </w:r>
    </w:p>
    <w:p w14:paraId="4AD98630" w14:textId="77777777" w:rsidR="00F77B07" w:rsidRDefault="00F77B07" w:rsidP="00F77B07">
      <w:pPr>
        <w:spacing w:after="0" w:line="360" w:lineRule="auto"/>
        <w:ind w:firstLine="360"/>
        <w:jc w:val="both"/>
        <w:rPr>
          <w:rFonts w:ascii="Arial" w:hAnsi="Arial" w:cs="Arial"/>
          <w:sz w:val="20"/>
          <w:szCs w:val="20"/>
        </w:rPr>
      </w:pPr>
      <w:r w:rsidRPr="00F77B07">
        <w:rPr>
          <w:rFonts w:ascii="Arial" w:hAnsi="Arial" w:cs="Arial"/>
          <w:sz w:val="20"/>
          <w:szCs w:val="20"/>
        </w:rPr>
        <w:t xml:space="preserve">India. </w:t>
      </w:r>
      <w:r w:rsidRPr="00F77B07">
        <w:rPr>
          <w:rFonts w:ascii="Arial" w:hAnsi="Arial" w:cs="Arial"/>
          <w:i/>
          <w:iCs/>
          <w:sz w:val="20"/>
          <w:szCs w:val="20"/>
        </w:rPr>
        <w:t>ACR Journal, 15</w:t>
      </w:r>
      <w:r w:rsidRPr="00F77B07">
        <w:rPr>
          <w:rFonts w:ascii="Arial" w:hAnsi="Arial" w:cs="Arial"/>
          <w:sz w:val="20"/>
          <w:szCs w:val="20"/>
        </w:rPr>
        <w:t>(1), 1–15.</w:t>
      </w:r>
    </w:p>
    <w:p w14:paraId="426622B5" w14:textId="77777777" w:rsidR="00F77B07" w:rsidRDefault="00F77B07" w:rsidP="00F77B07">
      <w:pPr>
        <w:spacing w:after="0" w:line="360" w:lineRule="auto"/>
        <w:jc w:val="both"/>
        <w:rPr>
          <w:rFonts w:ascii="Arial" w:hAnsi="Arial" w:cs="Arial"/>
          <w:sz w:val="20"/>
          <w:szCs w:val="20"/>
        </w:rPr>
      </w:pPr>
    </w:p>
    <w:p w14:paraId="4C491E27" w14:textId="77777777" w:rsidR="00F77B07" w:rsidRDefault="00F77B07" w:rsidP="00F77B07">
      <w:pPr>
        <w:spacing w:after="0" w:line="360" w:lineRule="auto"/>
        <w:jc w:val="both"/>
        <w:rPr>
          <w:rFonts w:ascii="Arial" w:hAnsi="Arial" w:cs="Arial"/>
          <w:i/>
          <w:iCs/>
          <w:sz w:val="20"/>
          <w:szCs w:val="20"/>
        </w:rPr>
      </w:pPr>
      <w:r w:rsidRPr="00F77B07">
        <w:rPr>
          <w:rFonts w:ascii="Arial" w:hAnsi="Arial" w:cs="Arial"/>
          <w:sz w:val="20"/>
          <w:szCs w:val="20"/>
        </w:rPr>
        <w:t xml:space="preserve">Mehta, B. S. (2023). Changing nature of work and the gig economy: Theory and debate. </w:t>
      </w:r>
      <w:r w:rsidRPr="00F77B07">
        <w:rPr>
          <w:rFonts w:ascii="Arial" w:hAnsi="Arial" w:cs="Arial"/>
          <w:i/>
          <w:iCs/>
          <w:sz w:val="20"/>
          <w:szCs w:val="20"/>
        </w:rPr>
        <w:t xml:space="preserve">FIIB Business </w:t>
      </w:r>
    </w:p>
    <w:p w14:paraId="62EB6C74" w14:textId="634E420F" w:rsidR="00F77B07" w:rsidRPr="00F77B07" w:rsidRDefault="00F77B07" w:rsidP="00F77B07">
      <w:pPr>
        <w:spacing w:after="0" w:line="360" w:lineRule="auto"/>
        <w:ind w:firstLine="360"/>
        <w:jc w:val="both"/>
        <w:rPr>
          <w:rFonts w:ascii="Arial" w:hAnsi="Arial" w:cs="Arial"/>
          <w:sz w:val="20"/>
          <w:szCs w:val="20"/>
        </w:rPr>
      </w:pPr>
      <w:r w:rsidRPr="00F77B07">
        <w:rPr>
          <w:rFonts w:ascii="Arial" w:hAnsi="Arial" w:cs="Arial"/>
          <w:i/>
          <w:iCs/>
          <w:sz w:val="20"/>
          <w:szCs w:val="20"/>
        </w:rPr>
        <w:t>Review, 12</w:t>
      </w:r>
      <w:r w:rsidRPr="00F77B07">
        <w:rPr>
          <w:rFonts w:ascii="Arial" w:hAnsi="Arial" w:cs="Arial"/>
          <w:sz w:val="20"/>
          <w:szCs w:val="20"/>
        </w:rPr>
        <w:t>(3), 227–237. https://doi.org/10.1177/23197145231174321</w:t>
      </w:r>
    </w:p>
    <w:p w14:paraId="6461A51D" w14:textId="77777777" w:rsidR="00F77B07" w:rsidRDefault="00F77B07" w:rsidP="00AC5C62">
      <w:pPr>
        <w:spacing w:before="240" w:after="0" w:line="360" w:lineRule="auto"/>
        <w:jc w:val="both"/>
        <w:rPr>
          <w:rFonts w:ascii="Arial" w:hAnsi="Arial" w:cs="Arial"/>
          <w:sz w:val="20"/>
          <w:szCs w:val="20"/>
        </w:rPr>
      </w:pPr>
      <w:r w:rsidRPr="00F77B07">
        <w:rPr>
          <w:rFonts w:ascii="Arial" w:hAnsi="Arial" w:cs="Arial"/>
          <w:sz w:val="20"/>
          <w:szCs w:val="20"/>
        </w:rPr>
        <w:t xml:space="preserve">Modigliani, F., &amp; </w:t>
      </w:r>
      <w:proofErr w:type="spellStart"/>
      <w:r w:rsidRPr="00F77B07">
        <w:rPr>
          <w:rFonts w:ascii="Arial" w:hAnsi="Arial" w:cs="Arial"/>
          <w:sz w:val="20"/>
          <w:szCs w:val="20"/>
        </w:rPr>
        <w:t>Brumberg</w:t>
      </w:r>
      <w:proofErr w:type="spellEnd"/>
      <w:r w:rsidRPr="00F77B07">
        <w:rPr>
          <w:rFonts w:ascii="Arial" w:hAnsi="Arial" w:cs="Arial"/>
          <w:sz w:val="20"/>
          <w:szCs w:val="20"/>
        </w:rPr>
        <w:t xml:space="preserve">, R. (1954). Utility analysis and the consumption function: An interpretation </w:t>
      </w:r>
    </w:p>
    <w:p w14:paraId="7CAC86BD" w14:textId="2C3E12BD"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of cross-section data. In K. K. </w:t>
      </w:r>
      <w:proofErr w:type="spellStart"/>
      <w:r w:rsidRPr="00F77B07">
        <w:rPr>
          <w:rFonts w:ascii="Arial" w:hAnsi="Arial" w:cs="Arial"/>
          <w:sz w:val="20"/>
          <w:szCs w:val="20"/>
        </w:rPr>
        <w:t>Kurihara</w:t>
      </w:r>
      <w:proofErr w:type="spellEnd"/>
      <w:r w:rsidRPr="00F77B07">
        <w:rPr>
          <w:rFonts w:ascii="Arial" w:hAnsi="Arial" w:cs="Arial"/>
          <w:sz w:val="20"/>
          <w:szCs w:val="20"/>
        </w:rPr>
        <w:t xml:space="preserve"> (Ed.), </w:t>
      </w:r>
      <w:r w:rsidRPr="00F77B07">
        <w:rPr>
          <w:rFonts w:ascii="Arial" w:hAnsi="Arial" w:cs="Arial"/>
          <w:i/>
          <w:iCs/>
          <w:sz w:val="20"/>
          <w:szCs w:val="20"/>
        </w:rPr>
        <w:t>Post-Keynesian economics</w:t>
      </w:r>
      <w:r w:rsidRPr="00F77B07">
        <w:rPr>
          <w:rFonts w:ascii="Arial" w:hAnsi="Arial" w:cs="Arial"/>
          <w:sz w:val="20"/>
          <w:szCs w:val="20"/>
        </w:rPr>
        <w:t xml:space="preserve"> (pp. 388–436). Rutgers University Press.</w:t>
      </w:r>
    </w:p>
    <w:p w14:paraId="01B9F062" w14:textId="7A8A4E1E" w:rsidR="00F77B07" w:rsidRPr="00F77B07" w:rsidRDefault="00F77B07" w:rsidP="00F77B07">
      <w:pPr>
        <w:spacing w:line="360" w:lineRule="auto"/>
        <w:jc w:val="both"/>
        <w:rPr>
          <w:rFonts w:ascii="Arial" w:hAnsi="Arial" w:cs="Arial"/>
          <w:sz w:val="20"/>
          <w:szCs w:val="20"/>
        </w:rPr>
      </w:pPr>
      <w:r w:rsidRPr="00F77B07">
        <w:rPr>
          <w:rFonts w:ascii="Arial" w:hAnsi="Arial" w:cs="Arial"/>
          <w:sz w:val="20"/>
          <w:szCs w:val="20"/>
        </w:rPr>
        <w:t xml:space="preserve">NITI Aayog. (2022). </w:t>
      </w:r>
      <w:r w:rsidRPr="00F77B07">
        <w:rPr>
          <w:rFonts w:ascii="Arial" w:hAnsi="Arial" w:cs="Arial"/>
          <w:i/>
          <w:iCs/>
          <w:sz w:val="20"/>
          <w:szCs w:val="20"/>
        </w:rPr>
        <w:t>India’s booming gig and platform economy</w:t>
      </w:r>
      <w:r w:rsidRPr="00F77B07">
        <w:rPr>
          <w:rFonts w:ascii="Arial" w:hAnsi="Arial" w:cs="Arial"/>
          <w:sz w:val="20"/>
          <w:szCs w:val="20"/>
        </w:rPr>
        <w:t>. Government of India.</w:t>
      </w:r>
    </w:p>
    <w:p w14:paraId="453B4103"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Noushad</w:t>
      </w:r>
      <w:proofErr w:type="spellEnd"/>
      <w:r w:rsidRPr="00F77B07">
        <w:rPr>
          <w:rFonts w:ascii="Arial" w:hAnsi="Arial" w:cs="Arial"/>
          <w:sz w:val="20"/>
          <w:szCs w:val="20"/>
        </w:rPr>
        <w:t xml:space="preserve"> </w:t>
      </w:r>
      <w:proofErr w:type="spellStart"/>
      <w:r w:rsidRPr="00F77B07">
        <w:rPr>
          <w:rFonts w:ascii="Arial" w:hAnsi="Arial" w:cs="Arial"/>
          <w:sz w:val="20"/>
          <w:szCs w:val="20"/>
        </w:rPr>
        <w:t>Chengodan</w:t>
      </w:r>
      <w:proofErr w:type="spellEnd"/>
      <w:r w:rsidRPr="00F77B07">
        <w:rPr>
          <w:rFonts w:ascii="Arial" w:hAnsi="Arial" w:cs="Arial"/>
          <w:sz w:val="20"/>
          <w:szCs w:val="20"/>
        </w:rPr>
        <w:t xml:space="preserve">, &amp; </w:t>
      </w:r>
      <w:proofErr w:type="spellStart"/>
      <w:r w:rsidRPr="00F77B07">
        <w:rPr>
          <w:rFonts w:ascii="Arial" w:hAnsi="Arial" w:cs="Arial"/>
          <w:sz w:val="20"/>
          <w:szCs w:val="20"/>
        </w:rPr>
        <w:t>Jamsheer</w:t>
      </w:r>
      <w:proofErr w:type="spellEnd"/>
      <w:r w:rsidRPr="00F77B07">
        <w:rPr>
          <w:rFonts w:ascii="Arial" w:hAnsi="Arial" w:cs="Arial"/>
          <w:sz w:val="20"/>
          <w:szCs w:val="20"/>
        </w:rPr>
        <w:t xml:space="preserve">, T. P. (2025). Assessing the challenges faced by women gig workers </w:t>
      </w:r>
    </w:p>
    <w:p w14:paraId="55478C7C" w14:textId="67BC7E04"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in the Malappuram district of Kerala, India: A logistic regression approach. </w:t>
      </w:r>
      <w:r w:rsidRPr="00F77B07">
        <w:rPr>
          <w:rFonts w:ascii="Arial" w:hAnsi="Arial" w:cs="Arial"/>
          <w:i/>
          <w:iCs/>
          <w:sz w:val="20"/>
          <w:szCs w:val="20"/>
        </w:rPr>
        <w:t>South Asian Journal of Social Studies and Economics, 16</w:t>
      </w:r>
      <w:r w:rsidRPr="00F77B07">
        <w:rPr>
          <w:rFonts w:ascii="Arial" w:hAnsi="Arial" w:cs="Arial"/>
          <w:sz w:val="20"/>
          <w:szCs w:val="20"/>
        </w:rPr>
        <w:t>(2), 1–14.</w:t>
      </w:r>
    </w:p>
    <w:p w14:paraId="7EEA827F"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Oommen</w:t>
      </w:r>
      <w:proofErr w:type="spellEnd"/>
      <w:r w:rsidRPr="00F77B07">
        <w:rPr>
          <w:rFonts w:ascii="Arial" w:hAnsi="Arial" w:cs="Arial"/>
          <w:sz w:val="20"/>
          <w:szCs w:val="20"/>
        </w:rPr>
        <w:t xml:space="preserve">, M. A. (2008). </w:t>
      </w:r>
      <w:r w:rsidRPr="00F77B07">
        <w:rPr>
          <w:rFonts w:ascii="Arial" w:hAnsi="Arial" w:cs="Arial"/>
          <w:i/>
          <w:iCs/>
          <w:sz w:val="20"/>
          <w:szCs w:val="20"/>
        </w:rPr>
        <w:t>Reforms and the Kerala Model</w:t>
      </w:r>
      <w:r w:rsidRPr="00F77B07">
        <w:rPr>
          <w:rFonts w:ascii="Arial" w:hAnsi="Arial" w:cs="Arial"/>
          <w:sz w:val="20"/>
          <w:szCs w:val="20"/>
        </w:rPr>
        <w:t xml:space="preserve">. </w:t>
      </w:r>
      <w:r w:rsidRPr="00F77B07">
        <w:rPr>
          <w:rFonts w:ascii="Arial" w:hAnsi="Arial" w:cs="Arial"/>
          <w:i/>
          <w:iCs/>
          <w:sz w:val="20"/>
          <w:szCs w:val="20"/>
        </w:rPr>
        <w:t>Economic and Political Weekly, 43</w:t>
      </w:r>
      <w:r w:rsidRPr="00F77B07">
        <w:rPr>
          <w:rFonts w:ascii="Arial" w:hAnsi="Arial" w:cs="Arial"/>
          <w:sz w:val="20"/>
          <w:szCs w:val="20"/>
        </w:rPr>
        <w:t xml:space="preserve">(2), 22–25. </w:t>
      </w:r>
    </w:p>
    <w:p w14:paraId="34E54352" w14:textId="0D39D69A"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sz w:val="20"/>
          <w:szCs w:val="20"/>
        </w:rPr>
        <w:t>https://doi.org/10.2307/40276897</w:t>
      </w:r>
    </w:p>
    <w:p w14:paraId="1607F206" w14:textId="77777777" w:rsidR="00F77B07" w:rsidRDefault="00F77B07" w:rsidP="00F77B07">
      <w:pPr>
        <w:spacing w:after="0" w:line="360" w:lineRule="auto"/>
        <w:jc w:val="both"/>
        <w:rPr>
          <w:rFonts w:ascii="Arial" w:hAnsi="Arial" w:cs="Arial"/>
          <w:i/>
          <w:iCs/>
          <w:sz w:val="20"/>
          <w:szCs w:val="20"/>
        </w:rPr>
      </w:pPr>
      <w:r w:rsidRPr="00F77B07">
        <w:rPr>
          <w:rFonts w:ascii="Arial" w:hAnsi="Arial" w:cs="Arial"/>
          <w:sz w:val="20"/>
          <w:szCs w:val="20"/>
        </w:rPr>
        <w:t xml:space="preserve">Rahul, &amp; </w:t>
      </w:r>
      <w:proofErr w:type="spellStart"/>
      <w:r w:rsidRPr="00F77B07">
        <w:rPr>
          <w:rFonts w:ascii="Arial" w:hAnsi="Arial" w:cs="Arial"/>
          <w:sz w:val="20"/>
          <w:szCs w:val="20"/>
        </w:rPr>
        <w:t>Shaifali</w:t>
      </w:r>
      <w:proofErr w:type="spellEnd"/>
      <w:r w:rsidRPr="00F77B07">
        <w:rPr>
          <w:rFonts w:ascii="Arial" w:hAnsi="Arial" w:cs="Arial"/>
          <w:sz w:val="20"/>
          <w:szCs w:val="20"/>
        </w:rPr>
        <w:t xml:space="preserve">. (2025). Invisible labour in the digital age: Women and the gig economy. </w:t>
      </w:r>
      <w:r w:rsidRPr="00F77B07">
        <w:rPr>
          <w:rFonts w:ascii="Arial" w:hAnsi="Arial" w:cs="Arial"/>
          <w:i/>
          <w:iCs/>
          <w:sz w:val="20"/>
          <w:szCs w:val="20"/>
        </w:rPr>
        <w:t xml:space="preserve">International </w:t>
      </w:r>
    </w:p>
    <w:p w14:paraId="5A547C33" w14:textId="06D78B4E"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i/>
          <w:iCs/>
          <w:sz w:val="20"/>
          <w:szCs w:val="20"/>
        </w:rPr>
        <w:t>Journal of Engineering Technologies and Management Research, 12</w:t>
      </w:r>
      <w:r w:rsidRPr="00F77B07">
        <w:rPr>
          <w:rFonts w:ascii="Arial" w:hAnsi="Arial" w:cs="Arial"/>
          <w:sz w:val="20"/>
          <w:szCs w:val="20"/>
        </w:rPr>
        <w:t>(7), 28–40.</w:t>
      </w:r>
    </w:p>
    <w:p w14:paraId="593EAFDE"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Shefrin</w:t>
      </w:r>
      <w:proofErr w:type="spellEnd"/>
      <w:r w:rsidRPr="00F77B07">
        <w:rPr>
          <w:rFonts w:ascii="Arial" w:hAnsi="Arial" w:cs="Arial"/>
          <w:sz w:val="20"/>
          <w:szCs w:val="20"/>
        </w:rPr>
        <w:t xml:space="preserve">, H. M., &amp; Thaler, R. H. (1988). The behavioural life-cycle hypothesis. </w:t>
      </w:r>
      <w:r w:rsidRPr="00F77B07">
        <w:rPr>
          <w:rFonts w:ascii="Arial" w:hAnsi="Arial" w:cs="Arial"/>
          <w:i/>
          <w:iCs/>
          <w:sz w:val="20"/>
          <w:szCs w:val="20"/>
        </w:rPr>
        <w:t>Economic Inquiry, 26</w:t>
      </w:r>
      <w:r w:rsidRPr="00F77B07">
        <w:rPr>
          <w:rFonts w:ascii="Arial" w:hAnsi="Arial" w:cs="Arial"/>
          <w:sz w:val="20"/>
          <w:szCs w:val="20"/>
        </w:rPr>
        <w:t xml:space="preserve">(4), </w:t>
      </w:r>
    </w:p>
    <w:p w14:paraId="762DA171" w14:textId="7E9946D1"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sz w:val="20"/>
          <w:szCs w:val="20"/>
        </w:rPr>
        <w:t xml:space="preserve">609–643. </w:t>
      </w:r>
      <w:hyperlink r:id="rId9" w:tgtFrame="_new" w:history="1">
        <w:r w:rsidRPr="00F77B07">
          <w:rPr>
            <w:rStyle w:val="Hyperlink"/>
            <w:rFonts w:ascii="Arial" w:hAnsi="Arial" w:cs="Arial"/>
            <w:color w:val="auto"/>
            <w:sz w:val="20"/>
            <w:szCs w:val="20"/>
            <w:u w:val="none"/>
          </w:rPr>
          <w:t>https://doi.org/10.1111/j.1465-7295.1988.tb01520.x</w:t>
        </w:r>
      </w:hyperlink>
    </w:p>
    <w:p w14:paraId="40E5B37D"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Shekhawat</w:t>
      </w:r>
      <w:proofErr w:type="spellEnd"/>
      <w:r w:rsidRPr="00F77B07">
        <w:rPr>
          <w:rFonts w:ascii="Arial" w:hAnsi="Arial" w:cs="Arial"/>
          <w:sz w:val="20"/>
          <w:szCs w:val="20"/>
        </w:rPr>
        <w:t xml:space="preserve">, S., &amp; Saxena, S. (2025). The gig economy and worker stress: A review of literature in the </w:t>
      </w:r>
    </w:p>
    <w:p w14:paraId="4F9761FD" w14:textId="1BAC6D31"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Indian context. </w:t>
      </w:r>
      <w:r w:rsidRPr="00F77B07">
        <w:rPr>
          <w:rFonts w:ascii="Arial" w:hAnsi="Arial" w:cs="Arial"/>
          <w:i/>
          <w:iCs/>
          <w:sz w:val="20"/>
          <w:szCs w:val="20"/>
        </w:rPr>
        <w:t>International Journal of Scientific Research in Humanities and Social Sciences, 2</w:t>
      </w:r>
      <w:r w:rsidRPr="00F77B07">
        <w:rPr>
          <w:rFonts w:ascii="Arial" w:hAnsi="Arial" w:cs="Arial"/>
          <w:sz w:val="20"/>
          <w:szCs w:val="20"/>
        </w:rPr>
        <w:t>(2), 167–173.</w:t>
      </w:r>
    </w:p>
    <w:p w14:paraId="385C6366" w14:textId="77777777" w:rsidR="00F77B07" w:rsidRDefault="00F77B07" w:rsidP="00F77B07">
      <w:pPr>
        <w:spacing w:after="0" w:line="360" w:lineRule="auto"/>
        <w:jc w:val="both"/>
        <w:rPr>
          <w:rFonts w:ascii="Arial" w:hAnsi="Arial" w:cs="Arial"/>
          <w:sz w:val="20"/>
          <w:szCs w:val="20"/>
        </w:rPr>
      </w:pPr>
      <w:r w:rsidRPr="00F77B07">
        <w:rPr>
          <w:rFonts w:ascii="Arial" w:hAnsi="Arial" w:cs="Arial"/>
          <w:sz w:val="20"/>
          <w:szCs w:val="20"/>
        </w:rPr>
        <w:t xml:space="preserve">Tran, M., &amp; </w:t>
      </w:r>
      <w:proofErr w:type="spellStart"/>
      <w:r w:rsidRPr="00F77B07">
        <w:rPr>
          <w:rFonts w:ascii="Arial" w:hAnsi="Arial" w:cs="Arial"/>
          <w:sz w:val="20"/>
          <w:szCs w:val="20"/>
        </w:rPr>
        <w:t>Sokas</w:t>
      </w:r>
      <w:proofErr w:type="spellEnd"/>
      <w:r w:rsidRPr="00F77B07">
        <w:rPr>
          <w:rFonts w:ascii="Arial" w:hAnsi="Arial" w:cs="Arial"/>
          <w:sz w:val="20"/>
          <w:szCs w:val="20"/>
        </w:rPr>
        <w:t xml:space="preserve">, R. (2017). The gig economy and contingent work: An occupational health </w:t>
      </w:r>
    </w:p>
    <w:p w14:paraId="7D96FD26" w14:textId="38A8A205"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assessment. </w:t>
      </w:r>
      <w:r w:rsidRPr="00F77B07">
        <w:rPr>
          <w:rFonts w:ascii="Arial" w:hAnsi="Arial" w:cs="Arial"/>
          <w:i/>
          <w:iCs/>
          <w:sz w:val="20"/>
          <w:szCs w:val="20"/>
        </w:rPr>
        <w:t>Journal of Occupational and Environmental Medicine, 59</w:t>
      </w:r>
      <w:r w:rsidRPr="00F77B07">
        <w:rPr>
          <w:rFonts w:ascii="Arial" w:hAnsi="Arial" w:cs="Arial"/>
          <w:sz w:val="20"/>
          <w:szCs w:val="20"/>
        </w:rPr>
        <w:t>(4), e63–e66. https://doi.org/10.1097/JOM.0000000000000977</w:t>
      </w:r>
    </w:p>
    <w:p w14:paraId="30DF88B8"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Yaraghi</w:t>
      </w:r>
      <w:proofErr w:type="spellEnd"/>
      <w:r w:rsidRPr="00F77B07">
        <w:rPr>
          <w:rFonts w:ascii="Arial" w:hAnsi="Arial" w:cs="Arial"/>
          <w:sz w:val="20"/>
          <w:szCs w:val="20"/>
        </w:rPr>
        <w:t xml:space="preserve">, N., &amp; Ravi, S. (2017). </w:t>
      </w:r>
      <w:r w:rsidRPr="00F77B07">
        <w:rPr>
          <w:rFonts w:ascii="Arial" w:hAnsi="Arial" w:cs="Arial"/>
          <w:i/>
          <w:iCs/>
          <w:sz w:val="20"/>
          <w:szCs w:val="20"/>
        </w:rPr>
        <w:t>The current and future state of the sharing economy</w:t>
      </w:r>
      <w:r w:rsidRPr="00F77B07">
        <w:rPr>
          <w:rFonts w:ascii="Arial" w:hAnsi="Arial" w:cs="Arial"/>
          <w:sz w:val="20"/>
          <w:szCs w:val="20"/>
        </w:rPr>
        <w:t xml:space="preserve"> (SSRN Working </w:t>
      </w:r>
    </w:p>
    <w:p w14:paraId="247A9DA2" w14:textId="2F537C97"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sz w:val="20"/>
          <w:szCs w:val="20"/>
        </w:rPr>
        <w:t>Paper). https://doi.org/10.2139/ssrn.3041207</w:t>
      </w:r>
    </w:p>
    <w:p w14:paraId="7741ED96" w14:textId="77777777" w:rsidR="00F77B07" w:rsidRDefault="00F77B07" w:rsidP="00F77B07">
      <w:pPr>
        <w:spacing w:after="0" w:line="360" w:lineRule="auto"/>
        <w:jc w:val="both"/>
        <w:rPr>
          <w:rFonts w:ascii="Arial" w:hAnsi="Arial" w:cs="Arial"/>
          <w:sz w:val="20"/>
          <w:szCs w:val="20"/>
        </w:rPr>
      </w:pPr>
      <w:r w:rsidRPr="00F77B07">
        <w:rPr>
          <w:rFonts w:ascii="Arial" w:hAnsi="Arial" w:cs="Arial"/>
          <w:sz w:val="20"/>
          <w:szCs w:val="20"/>
        </w:rPr>
        <w:lastRenderedPageBreak/>
        <w:t xml:space="preserve">Zwick, A. (2018). Welcome to the gig economy: Neoliberal industrial relations and the case of Uber. </w:t>
      </w:r>
    </w:p>
    <w:p w14:paraId="0EFE0906" w14:textId="0D7FB4A6" w:rsidR="00F77B07" w:rsidRPr="00F77B07" w:rsidRDefault="00F77B07" w:rsidP="00F77B07">
      <w:pPr>
        <w:spacing w:line="360" w:lineRule="auto"/>
        <w:ind w:firstLine="720"/>
        <w:jc w:val="both"/>
        <w:rPr>
          <w:rFonts w:ascii="Arial" w:hAnsi="Arial" w:cs="Arial"/>
          <w:sz w:val="20"/>
          <w:szCs w:val="20"/>
        </w:rPr>
      </w:pPr>
      <w:proofErr w:type="spellStart"/>
      <w:r w:rsidRPr="00F77B07">
        <w:rPr>
          <w:rFonts w:ascii="Arial" w:hAnsi="Arial" w:cs="Arial"/>
          <w:i/>
          <w:iCs/>
          <w:sz w:val="20"/>
          <w:szCs w:val="20"/>
        </w:rPr>
        <w:t>GeoJournal</w:t>
      </w:r>
      <w:proofErr w:type="spellEnd"/>
      <w:r w:rsidRPr="00F77B07">
        <w:rPr>
          <w:rFonts w:ascii="Arial" w:hAnsi="Arial" w:cs="Arial"/>
          <w:i/>
          <w:iCs/>
          <w:sz w:val="20"/>
          <w:szCs w:val="20"/>
        </w:rPr>
        <w:t>, 83</w:t>
      </w:r>
      <w:r w:rsidRPr="00F77B07">
        <w:rPr>
          <w:rFonts w:ascii="Arial" w:hAnsi="Arial" w:cs="Arial"/>
          <w:sz w:val="20"/>
          <w:szCs w:val="20"/>
        </w:rPr>
        <w:t>(4), 679–691. https://doi.org/10.1007/s10708-017-9793-8</w:t>
      </w:r>
    </w:p>
    <w:p w14:paraId="029DBFAC" w14:textId="77777777" w:rsidR="00F77B07" w:rsidRDefault="00F77B07" w:rsidP="002B3121">
      <w:pPr>
        <w:spacing w:after="0" w:line="360" w:lineRule="auto"/>
        <w:jc w:val="both"/>
        <w:rPr>
          <w:rFonts w:ascii="Arial" w:hAnsi="Arial" w:cs="Arial"/>
          <w:sz w:val="20"/>
          <w:szCs w:val="20"/>
        </w:rPr>
      </w:pPr>
    </w:p>
    <w:p w14:paraId="33671663" w14:textId="77777777" w:rsidR="00F77B07" w:rsidRDefault="00F77B07" w:rsidP="002B3121">
      <w:pPr>
        <w:spacing w:after="0" w:line="360" w:lineRule="auto"/>
        <w:jc w:val="both"/>
        <w:rPr>
          <w:rFonts w:ascii="Arial" w:hAnsi="Arial" w:cs="Arial"/>
          <w:sz w:val="20"/>
          <w:szCs w:val="20"/>
        </w:rPr>
      </w:pPr>
    </w:p>
    <w:p w14:paraId="6F108430" w14:textId="77777777" w:rsidR="002D1F76" w:rsidRPr="0059717B" w:rsidRDefault="002D1F76" w:rsidP="00DB4131">
      <w:pPr>
        <w:spacing w:line="360" w:lineRule="auto"/>
        <w:jc w:val="both"/>
        <w:rPr>
          <w:rFonts w:ascii="Arial" w:hAnsi="Arial" w:cs="Arial"/>
          <w:sz w:val="20"/>
          <w:szCs w:val="20"/>
        </w:rPr>
      </w:pPr>
    </w:p>
    <w:sectPr w:rsidR="002D1F76" w:rsidRPr="005971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49DDB" w14:textId="77777777" w:rsidR="009F0DD2" w:rsidRDefault="009F0DD2" w:rsidP="000F76EB">
      <w:pPr>
        <w:spacing w:after="0" w:line="240" w:lineRule="auto"/>
      </w:pPr>
      <w:r>
        <w:separator/>
      </w:r>
    </w:p>
  </w:endnote>
  <w:endnote w:type="continuationSeparator" w:id="0">
    <w:p w14:paraId="71A7FB0C" w14:textId="77777777" w:rsidR="009F0DD2" w:rsidRDefault="009F0DD2"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41731" w14:textId="77777777" w:rsidR="006F4D8C" w:rsidRDefault="006F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2566"/>
      <w:docPartObj>
        <w:docPartGallery w:val="Page Numbers (Bottom of Page)"/>
        <w:docPartUnique/>
      </w:docPartObj>
    </w:sdtPr>
    <w:sdtEndPr>
      <w:rPr>
        <w:color w:val="7F7F7F" w:themeColor="background1" w:themeShade="7F"/>
        <w:spacing w:val="60"/>
      </w:rPr>
    </w:sdtEndPr>
    <w:sdtContent>
      <w:p w14:paraId="1C4A78D3" w14:textId="4ADD1DD4"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58D09" w14:textId="77777777" w:rsidR="006F4D8C" w:rsidRDefault="006F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19643" w14:textId="77777777" w:rsidR="009F0DD2" w:rsidRDefault="009F0DD2" w:rsidP="000F76EB">
      <w:pPr>
        <w:spacing w:after="0" w:line="240" w:lineRule="auto"/>
      </w:pPr>
      <w:r>
        <w:separator/>
      </w:r>
    </w:p>
  </w:footnote>
  <w:footnote w:type="continuationSeparator" w:id="0">
    <w:p w14:paraId="497A0D14" w14:textId="77777777" w:rsidR="009F0DD2" w:rsidRDefault="009F0DD2"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6250" w14:textId="3FC46335" w:rsidR="006F4D8C" w:rsidRDefault="009F0DD2">
    <w:pPr>
      <w:pStyle w:val="Header"/>
    </w:pPr>
    <w:r>
      <w:rPr>
        <w:noProof/>
      </w:rPr>
      <w:pict w14:anchorId="3D9CB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D604" w14:textId="445CEC42" w:rsidR="006F4D8C" w:rsidRDefault="009F0DD2">
    <w:pPr>
      <w:pStyle w:val="Header"/>
    </w:pPr>
    <w:r>
      <w:rPr>
        <w:noProof/>
      </w:rPr>
      <w:pict w14:anchorId="1F5CC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DFD4" w14:textId="76208447" w:rsidR="006F4D8C" w:rsidRDefault="009F0DD2">
    <w:pPr>
      <w:pStyle w:val="Header"/>
    </w:pPr>
    <w:r>
      <w:rPr>
        <w:noProof/>
      </w:rPr>
      <w:pict w14:anchorId="5AB1E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4901"/>
    <w:multiLevelType w:val="hybridMultilevel"/>
    <w:tmpl w:val="7A0227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815419"/>
    <w:multiLevelType w:val="hybridMultilevel"/>
    <w:tmpl w:val="F656E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0D"/>
    <w:rsid w:val="000016E9"/>
    <w:rsid w:val="00030349"/>
    <w:rsid w:val="00043EF7"/>
    <w:rsid w:val="000455D8"/>
    <w:rsid w:val="000C0FA5"/>
    <w:rsid w:val="000D4AEE"/>
    <w:rsid w:val="000D5573"/>
    <w:rsid w:val="000E0CD0"/>
    <w:rsid w:val="000E2B17"/>
    <w:rsid w:val="000E6758"/>
    <w:rsid w:val="000F76EB"/>
    <w:rsid w:val="00134289"/>
    <w:rsid w:val="00144909"/>
    <w:rsid w:val="001451A9"/>
    <w:rsid w:val="001617E1"/>
    <w:rsid w:val="00175D97"/>
    <w:rsid w:val="0018085E"/>
    <w:rsid w:val="00184F5B"/>
    <w:rsid w:val="00187AF7"/>
    <w:rsid w:val="00191033"/>
    <w:rsid w:val="001A3AAD"/>
    <w:rsid w:val="001B3AD1"/>
    <w:rsid w:val="001B71BC"/>
    <w:rsid w:val="001D43AD"/>
    <w:rsid w:val="001D7356"/>
    <w:rsid w:val="001E125D"/>
    <w:rsid w:val="001F2BE5"/>
    <w:rsid w:val="00202D2C"/>
    <w:rsid w:val="00215722"/>
    <w:rsid w:val="00222C82"/>
    <w:rsid w:val="00225533"/>
    <w:rsid w:val="00232C6A"/>
    <w:rsid w:val="00235C1B"/>
    <w:rsid w:val="00246692"/>
    <w:rsid w:val="00262573"/>
    <w:rsid w:val="00266F16"/>
    <w:rsid w:val="00273010"/>
    <w:rsid w:val="002A415E"/>
    <w:rsid w:val="002B3121"/>
    <w:rsid w:val="002B7AB5"/>
    <w:rsid w:val="002B7F28"/>
    <w:rsid w:val="002C689E"/>
    <w:rsid w:val="002C78FD"/>
    <w:rsid w:val="002D1F76"/>
    <w:rsid w:val="002E0A26"/>
    <w:rsid w:val="002E73F0"/>
    <w:rsid w:val="002F2D48"/>
    <w:rsid w:val="002F6D04"/>
    <w:rsid w:val="00312E10"/>
    <w:rsid w:val="00316400"/>
    <w:rsid w:val="00317278"/>
    <w:rsid w:val="00361671"/>
    <w:rsid w:val="00364C95"/>
    <w:rsid w:val="00366B14"/>
    <w:rsid w:val="00367C28"/>
    <w:rsid w:val="00373EE8"/>
    <w:rsid w:val="00380434"/>
    <w:rsid w:val="003878E2"/>
    <w:rsid w:val="003A5CF4"/>
    <w:rsid w:val="003B6FF3"/>
    <w:rsid w:val="003C0BFC"/>
    <w:rsid w:val="003D5B6A"/>
    <w:rsid w:val="003D642D"/>
    <w:rsid w:val="003E0295"/>
    <w:rsid w:val="003E3E3B"/>
    <w:rsid w:val="00403910"/>
    <w:rsid w:val="004041F3"/>
    <w:rsid w:val="00422608"/>
    <w:rsid w:val="00432791"/>
    <w:rsid w:val="00445B06"/>
    <w:rsid w:val="0046746D"/>
    <w:rsid w:val="00491737"/>
    <w:rsid w:val="00494326"/>
    <w:rsid w:val="004A37B9"/>
    <w:rsid w:val="004A6152"/>
    <w:rsid w:val="004C2859"/>
    <w:rsid w:val="004D2FA7"/>
    <w:rsid w:val="004E73DA"/>
    <w:rsid w:val="00511073"/>
    <w:rsid w:val="0051190C"/>
    <w:rsid w:val="0052057F"/>
    <w:rsid w:val="0052532F"/>
    <w:rsid w:val="00542751"/>
    <w:rsid w:val="00550A44"/>
    <w:rsid w:val="00551884"/>
    <w:rsid w:val="005536A2"/>
    <w:rsid w:val="005568EE"/>
    <w:rsid w:val="005571C5"/>
    <w:rsid w:val="005601B8"/>
    <w:rsid w:val="00575B7E"/>
    <w:rsid w:val="005828BC"/>
    <w:rsid w:val="0059188D"/>
    <w:rsid w:val="0059717B"/>
    <w:rsid w:val="005A7EFE"/>
    <w:rsid w:val="005D065F"/>
    <w:rsid w:val="005E3110"/>
    <w:rsid w:val="005F1FD5"/>
    <w:rsid w:val="0061348F"/>
    <w:rsid w:val="006177EA"/>
    <w:rsid w:val="00626787"/>
    <w:rsid w:val="00642AC9"/>
    <w:rsid w:val="00650FB2"/>
    <w:rsid w:val="0066096C"/>
    <w:rsid w:val="0066614D"/>
    <w:rsid w:val="00675E25"/>
    <w:rsid w:val="00680FEF"/>
    <w:rsid w:val="006A06EA"/>
    <w:rsid w:val="006A7535"/>
    <w:rsid w:val="006B2B5D"/>
    <w:rsid w:val="006B5EA6"/>
    <w:rsid w:val="006B7264"/>
    <w:rsid w:val="006D0F75"/>
    <w:rsid w:val="006D555E"/>
    <w:rsid w:val="006F1079"/>
    <w:rsid w:val="006F4D8C"/>
    <w:rsid w:val="0071142B"/>
    <w:rsid w:val="00724365"/>
    <w:rsid w:val="00726474"/>
    <w:rsid w:val="0073518E"/>
    <w:rsid w:val="00742972"/>
    <w:rsid w:val="007601BD"/>
    <w:rsid w:val="00761999"/>
    <w:rsid w:val="007647B9"/>
    <w:rsid w:val="0077154E"/>
    <w:rsid w:val="00775173"/>
    <w:rsid w:val="00776F1D"/>
    <w:rsid w:val="00792935"/>
    <w:rsid w:val="007B2F7F"/>
    <w:rsid w:val="007C0FD9"/>
    <w:rsid w:val="007C2E38"/>
    <w:rsid w:val="007C703E"/>
    <w:rsid w:val="007E09CA"/>
    <w:rsid w:val="007F1D34"/>
    <w:rsid w:val="007F3801"/>
    <w:rsid w:val="00806308"/>
    <w:rsid w:val="00807669"/>
    <w:rsid w:val="00810513"/>
    <w:rsid w:val="00811E01"/>
    <w:rsid w:val="0082793E"/>
    <w:rsid w:val="00835AFA"/>
    <w:rsid w:val="008438D8"/>
    <w:rsid w:val="00852F03"/>
    <w:rsid w:val="008624AE"/>
    <w:rsid w:val="0086322D"/>
    <w:rsid w:val="0087336E"/>
    <w:rsid w:val="008D1136"/>
    <w:rsid w:val="008D6822"/>
    <w:rsid w:val="008E1841"/>
    <w:rsid w:val="008E1DB6"/>
    <w:rsid w:val="008F1A2E"/>
    <w:rsid w:val="008F6F65"/>
    <w:rsid w:val="009016E4"/>
    <w:rsid w:val="00904193"/>
    <w:rsid w:val="00905C2D"/>
    <w:rsid w:val="009150C1"/>
    <w:rsid w:val="00917560"/>
    <w:rsid w:val="00950894"/>
    <w:rsid w:val="00952FE4"/>
    <w:rsid w:val="009E7CF5"/>
    <w:rsid w:val="009F0DD2"/>
    <w:rsid w:val="009F7DDA"/>
    <w:rsid w:val="00A021C5"/>
    <w:rsid w:val="00A0779C"/>
    <w:rsid w:val="00A12A99"/>
    <w:rsid w:val="00A22BB5"/>
    <w:rsid w:val="00A252D3"/>
    <w:rsid w:val="00A365D2"/>
    <w:rsid w:val="00A56ADF"/>
    <w:rsid w:val="00A73483"/>
    <w:rsid w:val="00A7738A"/>
    <w:rsid w:val="00AB07B5"/>
    <w:rsid w:val="00AC0A74"/>
    <w:rsid w:val="00AC5C62"/>
    <w:rsid w:val="00AD6E77"/>
    <w:rsid w:val="00AF1EEC"/>
    <w:rsid w:val="00AF217B"/>
    <w:rsid w:val="00AF67F9"/>
    <w:rsid w:val="00B25968"/>
    <w:rsid w:val="00B32812"/>
    <w:rsid w:val="00B5139C"/>
    <w:rsid w:val="00B63B26"/>
    <w:rsid w:val="00B67278"/>
    <w:rsid w:val="00B67692"/>
    <w:rsid w:val="00B70CEC"/>
    <w:rsid w:val="00BA086B"/>
    <w:rsid w:val="00BD3447"/>
    <w:rsid w:val="00BE2653"/>
    <w:rsid w:val="00C01857"/>
    <w:rsid w:val="00C11A6C"/>
    <w:rsid w:val="00C22E25"/>
    <w:rsid w:val="00C26805"/>
    <w:rsid w:val="00C30245"/>
    <w:rsid w:val="00C40AC9"/>
    <w:rsid w:val="00C51BE0"/>
    <w:rsid w:val="00C7476E"/>
    <w:rsid w:val="00C93F05"/>
    <w:rsid w:val="00C96180"/>
    <w:rsid w:val="00CA4042"/>
    <w:rsid w:val="00CA436B"/>
    <w:rsid w:val="00CA4B8D"/>
    <w:rsid w:val="00CC1F42"/>
    <w:rsid w:val="00CE5335"/>
    <w:rsid w:val="00CF67EE"/>
    <w:rsid w:val="00D0385F"/>
    <w:rsid w:val="00D152E5"/>
    <w:rsid w:val="00D17776"/>
    <w:rsid w:val="00D21347"/>
    <w:rsid w:val="00D4796C"/>
    <w:rsid w:val="00D50CEF"/>
    <w:rsid w:val="00D52071"/>
    <w:rsid w:val="00D65E99"/>
    <w:rsid w:val="00D66FB4"/>
    <w:rsid w:val="00D71F71"/>
    <w:rsid w:val="00D7383C"/>
    <w:rsid w:val="00D759DA"/>
    <w:rsid w:val="00DB4131"/>
    <w:rsid w:val="00DB5CC8"/>
    <w:rsid w:val="00DD2E11"/>
    <w:rsid w:val="00DD5906"/>
    <w:rsid w:val="00DD5B8F"/>
    <w:rsid w:val="00DE0F27"/>
    <w:rsid w:val="00DE41E7"/>
    <w:rsid w:val="00E112E8"/>
    <w:rsid w:val="00E23360"/>
    <w:rsid w:val="00E42BAC"/>
    <w:rsid w:val="00E4401F"/>
    <w:rsid w:val="00E512AC"/>
    <w:rsid w:val="00E55E4B"/>
    <w:rsid w:val="00E63B56"/>
    <w:rsid w:val="00E87686"/>
    <w:rsid w:val="00E916C4"/>
    <w:rsid w:val="00EB5DB6"/>
    <w:rsid w:val="00EB6250"/>
    <w:rsid w:val="00EC12A8"/>
    <w:rsid w:val="00EC412D"/>
    <w:rsid w:val="00ED7974"/>
    <w:rsid w:val="00F05341"/>
    <w:rsid w:val="00F10F62"/>
    <w:rsid w:val="00F11624"/>
    <w:rsid w:val="00F14B28"/>
    <w:rsid w:val="00F178F8"/>
    <w:rsid w:val="00F179FC"/>
    <w:rsid w:val="00F20605"/>
    <w:rsid w:val="00F37D09"/>
    <w:rsid w:val="00F40BDD"/>
    <w:rsid w:val="00F634CF"/>
    <w:rsid w:val="00F679DB"/>
    <w:rsid w:val="00F71DFB"/>
    <w:rsid w:val="00F77B07"/>
    <w:rsid w:val="00F94A50"/>
    <w:rsid w:val="00F96A4E"/>
    <w:rsid w:val="00FA4D5B"/>
    <w:rsid w:val="00FC680D"/>
    <w:rsid w:val="00FC7F0F"/>
    <w:rsid w:val="00FD4716"/>
    <w:rsid w:val="00FD52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semiHidden/>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 w:type="character" w:styleId="UnresolvedMention">
    <w:name w:val="Unresolved Mention"/>
    <w:basedOn w:val="DefaultParagraphFont"/>
    <w:uiPriority w:val="99"/>
    <w:semiHidden/>
    <w:unhideWhenUsed/>
    <w:rsid w:val="00F77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2218561986548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j.1465-7295.1988.tb01520.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0809-29EC-4946-A1AE-F0259CE6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15</Pages>
  <Words>6372</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158</cp:revision>
  <dcterms:created xsi:type="dcterms:W3CDTF">2025-08-05T01:13:00Z</dcterms:created>
  <dcterms:modified xsi:type="dcterms:W3CDTF">2026-02-06T08:27:00Z</dcterms:modified>
</cp:coreProperties>
</file>