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4B3FDC" w:rsidRDefault="004B3FDC" w:rsidP="004B3FDC">
      <w:pPr>
        <w:pStyle w:val="Title"/>
        <w:spacing w:after="0"/>
        <w:rPr>
          <w:rFonts w:ascii="Arial" w:hAnsi="Arial" w:cs="Arial"/>
          <w:i/>
          <w:u w:val="single"/>
        </w:rPr>
      </w:pPr>
      <w:bookmarkStart w:id="0" w:name="_GoBack"/>
      <w:bookmarkEnd w:id="0"/>
      <w:r w:rsidRPr="004B3FDC">
        <w:rPr>
          <w:rFonts w:ascii="Arial" w:hAnsi="Arial" w:cs="Arial"/>
          <w:i/>
          <w:u w:val="single"/>
        </w:rPr>
        <w:t>Original Research Article</w:t>
      </w:r>
    </w:p>
    <w:p w:rsidR="004B3FDC" w:rsidRDefault="004B3FDC" w:rsidP="00441B6F">
      <w:pPr>
        <w:pStyle w:val="Title"/>
        <w:spacing w:after="0"/>
        <w:jc w:val="both"/>
        <w:rPr>
          <w:rFonts w:ascii="Arial" w:hAnsi="Arial" w:cs="Arial"/>
        </w:rPr>
      </w:pPr>
    </w:p>
    <w:p w:rsidR="00AC47C2" w:rsidRPr="00AC47C2" w:rsidRDefault="00AC47C2" w:rsidP="00AC47C2">
      <w:pPr>
        <w:pStyle w:val="Author"/>
        <w:spacing w:line="240" w:lineRule="auto"/>
        <w:jc w:val="both"/>
        <w:rPr>
          <w:rFonts w:ascii="Arial" w:hAnsi="Arial" w:cs="Arial"/>
          <w:bCs/>
          <w:iCs/>
          <w:kern w:val="28"/>
          <w:sz w:val="36"/>
        </w:rPr>
      </w:pPr>
      <w:r w:rsidRPr="00AC47C2">
        <w:rPr>
          <w:rFonts w:ascii="Arial" w:hAnsi="Arial" w:cs="Arial"/>
          <w:bCs/>
          <w:iCs/>
          <w:kern w:val="28"/>
          <w:sz w:val="36"/>
        </w:rPr>
        <w:t xml:space="preserve">An Empirical Study on the Socio-Economic Condition of Fishermen Communities of </w:t>
      </w:r>
      <w:proofErr w:type="spellStart"/>
      <w:r w:rsidRPr="00AC47C2">
        <w:rPr>
          <w:rFonts w:ascii="Arial" w:hAnsi="Arial" w:cs="Arial"/>
          <w:bCs/>
          <w:iCs/>
          <w:kern w:val="28"/>
          <w:sz w:val="36"/>
        </w:rPr>
        <w:t>Ashulia</w:t>
      </w:r>
      <w:proofErr w:type="spellEnd"/>
      <w:r w:rsidRPr="00AC47C2">
        <w:rPr>
          <w:rFonts w:ascii="Arial" w:hAnsi="Arial" w:cs="Arial"/>
          <w:bCs/>
          <w:iCs/>
          <w:kern w:val="28"/>
          <w:sz w:val="36"/>
        </w:rPr>
        <w:t>, Dhaka</w:t>
      </w:r>
    </w:p>
    <w:p w:rsidR="00297BD5" w:rsidRPr="00790ADA" w:rsidRDefault="00297BD5" w:rsidP="00441B6F">
      <w:pPr>
        <w:pStyle w:val="Author"/>
        <w:spacing w:line="240" w:lineRule="auto"/>
        <w:jc w:val="both"/>
        <w:rPr>
          <w:rFonts w:ascii="Arial" w:hAnsi="Arial" w:cs="Arial"/>
          <w:sz w:val="36"/>
        </w:rPr>
      </w:pPr>
    </w:p>
    <w:p w:rsidR="00B83937" w:rsidRPr="00035F77" w:rsidRDefault="00B83937" w:rsidP="00AC47C2">
      <w:pPr>
        <w:pStyle w:val="Affiliation"/>
        <w:jc w:val="center"/>
        <w:rPr>
          <w:rFonts w:ascii="Arial" w:hAnsi="Arial" w:cs="Arial"/>
          <w:i/>
        </w:rPr>
      </w:pPr>
    </w:p>
    <w:p w:rsidR="00B01FCD" w:rsidRPr="00FB3A86" w:rsidRDefault="00297BD5" w:rsidP="00441B6F">
      <w:pPr>
        <w:pStyle w:val="Copyright"/>
        <w:spacing w:after="0" w:line="240" w:lineRule="auto"/>
        <w:jc w:val="both"/>
        <w:rPr>
          <w:rFonts w:ascii="Arial" w:hAnsi="Arial" w:cs="Arial"/>
        </w:rPr>
        <w:sectPr w:rsidR="00B01FCD" w:rsidRPr="00FB3A86" w:rsidSect="00F23BAF">
          <w:headerReference w:type="even" r:id="rId9"/>
          <w:head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20D838" wp14:editId="7C13E815">
                <wp:extent cx="5303520" cy="0"/>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7ACD5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rsidR="00B01FCD" w:rsidRDefault="00B01FCD" w:rsidP="00441B6F">
      <w:pPr>
        <w:pStyle w:val="AbstHead"/>
        <w:spacing w:after="0"/>
        <w:jc w:val="both"/>
        <w:rPr>
          <w:rFonts w:ascii="Arial" w:hAnsi="Arial" w:cs="Arial"/>
        </w:rPr>
      </w:pP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D162A9">
        <w:tc>
          <w:tcPr>
            <w:tcW w:w="9576" w:type="dxa"/>
            <w:shd w:val="clear" w:color="auto" w:fill="F2F2F2"/>
          </w:tcPr>
          <w:p w:rsidR="000B2585" w:rsidRDefault="00035F77" w:rsidP="00035F77">
            <w:pPr>
              <w:pStyle w:val="Body"/>
              <w:rPr>
                <w:rFonts w:ascii="Arial" w:eastAsia="Calibri" w:hAnsi="Arial" w:cs="Arial"/>
                <w:szCs w:val="22"/>
              </w:rPr>
            </w:pPr>
            <w:r w:rsidRPr="00035F77">
              <w:rPr>
                <w:rFonts w:ascii="Arial" w:hAnsi="Arial" w:cs="Arial"/>
                <w:b/>
                <w:sz w:val="22"/>
                <w:szCs w:val="22"/>
              </w:rPr>
              <w:t>ABSTRACT</w:t>
            </w:r>
            <w:r w:rsidRPr="009D7391">
              <w:rPr>
                <w:rFonts w:ascii="Arial" w:eastAsia="Calibri" w:hAnsi="Arial" w:cs="Arial"/>
                <w:szCs w:val="22"/>
              </w:rPr>
              <w:t xml:space="preserve"> </w:t>
            </w:r>
          </w:p>
          <w:p w:rsidR="00505F06" w:rsidRPr="00D162A9" w:rsidRDefault="00D12C04" w:rsidP="00D162A9">
            <w:pPr>
              <w:pStyle w:val="Body"/>
              <w:rPr>
                <w:rFonts w:ascii="Arial" w:eastAsia="Calibri" w:hAnsi="Arial" w:cs="Arial"/>
                <w:bCs/>
                <w:szCs w:val="22"/>
              </w:rPr>
            </w:pPr>
            <w:r w:rsidRPr="00E0782B">
              <w:rPr>
                <w:rFonts w:ascii="Arial" w:eastAsia="Calibri" w:hAnsi="Arial" w:cs="Arial"/>
                <w:bCs/>
                <w:szCs w:val="22"/>
              </w:rPr>
              <w:t>This is an empirical study that explor</w:t>
            </w:r>
            <w:r w:rsidR="0002191B">
              <w:rPr>
                <w:rFonts w:ascii="Arial" w:eastAsia="Calibri" w:hAnsi="Arial" w:cs="Arial"/>
                <w:bCs/>
                <w:szCs w:val="22"/>
              </w:rPr>
              <w:t>es the socio-economic conditions of</w:t>
            </w:r>
            <w:r w:rsidRPr="00E0782B">
              <w:rPr>
                <w:rFonts w:ascii="Arial" w:eastAsia="Calibri" w:hAnsi="Arial" w:cs="Arial"/>
                <w:bCs/>
                <w:szCs w:val="22"/>
              </w:rPr>
              <w:t xml:space="preserve"> fishermen</w:t>
            </w:r>
            <w:r>
              <w:rPr>
                <w:rFonts w:ascii="Arial" w:eastAsia="Calibri" w:hAnsi="Arial" w:cs="Arial"/>
                <w:bCs/>
                <w:szCs w:val="22"/>
              </w:rPr>
              <w:t xml:space="preserve"> </w:t>
            </w:r>
            <w:r w:rsidR="0002191B">
              <w:rPr>
                <w:rFonts w:ascii="Arial" w:eastAsia="Calibri" w:hAnsi="Arial" w:cs="Arial"/>
                <w:bCs/>
                <w:szCs w:val="22"/>
              </w:rPr>
              <w:t>living</w:t>
            </w:r>
            <w:r>
              <w:rPr>
                <w:rFonts w:ascii="Arial" w:eastAsia="Calibri" w:hAnsi="Arial" w:cs="Arial"/>
                <w:bCs/>
                <w:szCs w:val="22"/>
              </w:rPr>
              <w:t xml:space="preserve"> along</w:t>
            </w:r>
            <w:r w:rsidR="0002191B">
              <w:rPr>
                <w:rFonts w:ascii="Arial" w:eastAsia="Calibri" w:hAnsi="Arial" w:cs="Arial"/>
                <w:bCs/>
                <w:szCs w:val="22"/>
              </w:rPr>
              <w:t xml:space="preserve"> the </w:t>
            </w:r>
            <w:proofErr w:type="spellStart"/>
            <w:r w:rsidR="0002191B">
              <w:rPr>
                <w:rFonts w:ascii="Arial" w:eastAsia="Calibri" w:hAnsi="Arial" w:cs="Arial"/>
                <w:bCs/>
                <w:szCs w:val="22"/>
              </w:rPr>
              <w:t>Turag</w:t>
            </w:r>
            <w:proofErr w:type="spellEnd"/>
            <w:r w:rsidR="0002191B">
              <w:rPr>
                <w:rFonts w:ascii="Arial" w:eastAsia="Calibri" w:hAnsi="Arial" w:cs="Arial"/>
                <w:bCs/>
                <w:szCs w:val="22"/>
              </w:rPr>
              <w:t xml:space="preserve"> River which is</w:t>
            </w:r>
            <w:r w:rsidRPr="00E0782B">
              <w:rPr>
                <w:rFonts w:ascii="Arial" w:eastAsia="Calibri" w:hAnsi="Arial" w:cs="Arial"/>
                <w:bCs/>
                <w:szCs w:val="22"/>
              </w:rPr>
              <w:t xml:space="preserve"> </w:t>
            </w:r>
            <w:r w:rsidR="007B0C62" w:rsidRPr="00A1208D">
              <w:rPr>
                <w:rFonts w:ascii="Arial" w:eastAsia="Calibri" w:hAnsi="Arial" w:cs="Arial"/>
                <w:szCs w:val="22"/>
              </w:rPr>
              <w:t>a peri-ur</w:t>
            </w:r>
            <w:r w:rsidR="0002191B">
              <w:rPr>
                <w:rFonts w:ascii="Arial" w:eastAsia="Calibri" w:hAnsi="Arial" w:cs="Arial"/>
                <w:szCs w:val="22"/>
              </w:rPr>
              <w:t>ban area of Dhaka in</w:t>
            </w:r>
            <w:r w:rsidR="007B0C62">
              <w:rPr>
                <w:rFonts w:ascii="Arial" w:eastAsia="Calibri" w:hAnsi="Arial" w:cs="Arial"/>
                <w:szCs w:val="22"/>
              </w:rPr>
              <w:t xml:space="preserve"> Bangladesh</w:t>
            </w:r>
            <w:r w:rsidRPr="00E0782B">
              <w:rPr>
                <w:rFonts w:ascii="Arial" w:eastAsia="Calibri" w:hAnsi="Arial" w:cs="Arial"/>
                <w:bCs/>
                <w:szCs w:val="22"/>
              </w:rPr>
              <w:t xml:space="preserve">. </w:t>
            </w:r>
            <w:r w:rsidR="007B0C62" w:rsidRPr="00E0782B">
              <w:rPr>
                <w:rFonts w:ascii="Arial" w:eastAsia="Calibri" w:hAnsi="Arial" w:cs="Arial"/>
                <w:bCs/>
                <w:szCs w:val="22"/>
              </w:rPr>
              <w:t>By using a mixed-methods approach</w:t>
            </w:r>
            <w:r w:rsidR="007B0C62">
              <w:rPr>
                <w:rFonts w:ascii="Arial" w:eastAsia="Calibri" w:hAnsi="Arial" w:cs="Arial"/>
                <w:bCs/>
                <w:szCs w:val="22"/>
              </w:rPr>
              <w:t xml:space="preserve">, </w:t>
            </w:r>
            <w:r w:rsidR="007B0C62">
              <w:t xml:space="preserve">this study combines a household survey of 150 fisher households with in-depth interviews, focus group discussions, case studies, and key informant interviews conducted in the villages of </w:t>
            </w:r>
            <w:proofErr w:type="spellStart"/>
            <w:r w:rsidR="007B0C62">
              <w:t>Rostompur</w:t>
            </w:r>
            <w:proofErr w:type="spellEnd"/>
            <w:r w:rsidR="007B0C62">
              <w:t xml:space="preserve">, </w:t>
            </w:r>
            <w:proofErr w:type="spellStart"/>
            <w:r w:rsidR="007B0C62">
              <w:t>Paragram</w:t>
            </w:r>
            <w:proofErr w:type="spellEnd"/>
            <w:r w:rsidR="007B0C62">
              <w:t xml:space="preserve">, and </w:t>
            </w:r>
            <w:proofErr w:type="spellStart"/>
            <w:r w:rsidR="007B0C62">
              <w:t>Noapara</w:t>
            </w:r>
            <w:proofErr w:type="spellEnd"/>
            <w:r w:rsidR="007B0C62">
              <w:t>.</w:t>
            </w:r>
            <w:r w:rsidR="00D162A9">
              <w:rPr>
                <w:rFonts w:ascii="Arial" w:eastAsia="Calibri" w:hAnsi="Arial" w:cs="Arial"/>
                <w:bCs/>
                <w:szCs w:val="22"/>
              </w:rPr>
              <w:t xml:space="preserve"> </w:t>
            </w:r>
            <w:r w:rsidR="007B0C62">
              <w:t>The analysis is guided by the Sustainable Livelihoods Framework (SLF), which enables a comprehensive understanding of how environmental, economic, and institutional factors interact to shape livelihood outcomes.</w:t>
            </w:r>
            <w:r w:rsidR="00D162A9">
              <w:rPr>
                <w:rFonts w:ascii="Arial" w:eastAsia="Calibri" w:hAnsi="Arial" w:cs="Arial"/>
                <w:bCs/>
                <w:szCs w:val="22"/>
              </w:rPr>
              <w:t xml:space="preserve"> </w:t>
            </w:r>
            <w:r w:rsidR="00D162A9">
              <w:rPr>
                <w:rFonts w:ascii="Arial" w:eastAsia="Calibri" w:hAnsi="Arial" w:cs="Arial"/>
                <w:szCs w:val="22"/>
              </w:rPr>
              <w:t>The</w:t>
            </w:r>
            <w:r>
              <w:rPr>
                <w:rFonts w:ascii="Arial" w:eastAsia="Calibri" w:hAnsi="Arial" w:cs="Arial"/>
                <w:szCs w:val="22"/>
              </w:rPr>
              <w:t xml:space="preserve"> finding</w:t>
            </w:r>
            <w:r w:rsidR="00790D26">
              <w:rPr>
                <w:rFonts w:ascii="Arial" w:eastAsia="Calibri" w:hAnsi="Arial" w:cs="Arial"/>
                <w:szCs w:val="22"/>
              </w:rPr>
              <w:t xml:space="preserve"> shows that it is a multidimensional crisis. </w:t>
            </w:r>
            <w:r w:rsidR="00A1208D" w:rsidRPr="00A1208D">
              <w:rPr>
                <w:rFonts w:ascii="Arial" w:eastAsia="Calibri" w:hAnsi="Arial" w:cs="Arial"/>
                <w:szCs w:val="22"/>
              </w:rPr>
              <w:t>The intensive and destructive environmental degradation caused by industrial pollution has significantly exhausted the stock of fish, which is the main natural capital of the community. Households are highly vulnerable socio-economically with low literacy (88.7% primary school education and less), precarious incomes (60% earn 600 BDT or less/day), poor housing, and limited access to formal credit, resulting in their having to reply on exploitative middlemen. Diversification of livelihoods into the daily labor and informal labor is more rampant but is a sign of coping and not of an upward mobility. There is a strong change in intergen</w:t>
            </w:r>
            <w:r>
              <w:rPr>
                <w:rFonts w:ascii="Arial" w:eastAsia="Calibri" w:hAnsi="Arial" w:cs="Arial"/>
                <w:szCs w:val="22"/>
              </w:rPr>
              <w:t>erational shift where 85%</w:t>
            </w:r>
            <w:r w:rsidR="00A1208D" w:rsidRPr="00A1208D">
              <w:rPr>
                <w:rFonts w:ascii="Arial" w:eastAsia="Calibri" w:hAnsi="Arial" w:cs="Arial"/>
                <w:szCs w:val="22"/>
              </w:rPr>
              <w:t xml:space="preserve"> of parents are not encouraging their children to become fishers, but again lack of funds and education is creating a barrier towards other dreams.</w:t>
            </w:r>
            <w:r>
              <w:rPr>
                <w:rFonts w:ascii="Arial" w:eastAsia="Calibri" w:hAnsi="Arial" w:cs="Arial"/>
                <w:szCs w:val="22"/>
              </w:rPr>
              <w:t xml:space="preserve"> This study</w:t>
            </w:r>
            <w:r w:rsidR="00A1208D" w:rsidRPr="00A1208D">
              <w:rPr>
                <w:rFonts w:ascii="Arial" w:eastAsia="Calibri" w:hAnsi="Arial" w:cs="Arial"/>
                <w:szCs w:val="22"/>
              </w:rPr>
              <w:t xml:space="preserve"> adds a SLF-enlightened holistic perspective of how </w:t>
            </w:r>
            <w:r w:rsidR="00D162A9" w:rsidRPr="00D162A9">
              <w:rPr>
                <w:rFonts w:ascii="Arial" w:eastAsia="Calibri" w:hAnsi="Arial" w:cs="Arial"/>
                <w:szCs w:val="22"/>
              </w:rPr>
              <w:t>interconnected</w:t>
            </w:r>
            <w:r w:rsidR="00A1208D" w:rsidRPr="00A1208D">
              <w:rPr>
                <w:rFonts w:ascii="Arial" w:eastAsia="Calibri" w:hAnsi="Arial" w:cs="Arial"/>
                <w:szCs w:val="22"/>
              </w:rPr>
              <w:t xml:space="preserve"> environmental, economic and institutional failures entrap and leave peri-urban fishing communities in a vicious cycle. It finds that this cycle cannot be broken without combined policy action targets on ecological recovery of </w:t>
            </w:r>
            <w:proofErr w:type="spellStart"/>
            <w:r w:rsidR="00A1208D" w:rsidRPr="00A1208D">
              <w:rPr>
                <w:rFonts w:ascii="Arial" w:eastAsia="Calibri" w:hAnsi="Arial" w:cs="Arial"/>
                <w:szCs w:val="22"/>
              </w:rPr>
              <w:t>Turag</w:t>
            </w:r>
            <w:proofErr w:type="spellEnd"/>
            <w:r w:rsidR="00A1208D" w:rsidRPr="00A1208D">
              <w:rPr>
                <w:rFonts w:ascii="Arial" w:eastAsia="Calibri" w:hAnsi="Arial" w:cs="Arial"/>
                <w:szCs w:val="22"/>
              </w:rPr>
              <w:t xml:space="preserve"> River, greater education and professional training, better access to credit, and greater government to rein in pollution and market abuse. </w:t>
            </w:r>
            <w:r w:rsidR="0002191B">
              <w:rPr>
                <w:rFonts w:ascii="Arial" w:eastAsia="Calibri" w:hAnsi="Arial" w:cs="Arial"/>
                <w:szCs w:val="22"/>
              </w:rPr>
              <w:t>This study</w:t>
            </w:r>
            <w:r w:rsidR="0002191B" w:rsidRPr="00A1208D">
              <w:rPr>
                <w:rFonts w:ascii="Arial" w:eastAsia="Calibri" w:hAnsi="Arial" w:cs="Arial"/>
                <w:szCs w:val="22"/>
              </w:rPr>
              <w:t xml:space="preserve"> highlights</w:t>
            </w:r>
            <w:r w:rsidR="00A1208D" w:rsidRPr="00A1208D">
              <w:rPr>
                <w:rFonts w:ascii="Arial" w:eastAsia="Calibri" w:hAnsi="Arial" w:cs="Arial"/>
                <w:szCs w:val="22"/>
              </w:rPr>
              <w:t xml:space="preserve"> the necessity of the sustainable development approaches that would balance between economic development, social welfare, and the health of the environment in fast urbanizing environments.</w:t>
            </w:r>
          </w:p>
        </w:tc>
      </w:tr>
    </w:tbl>
    <w:p w:rsidR="00636EB2" w:rsidRDefault="00636EB2" w:rsidP="00441B6F">
      <w:pPr>
        <w:pStyle w:val="Body"/>
        <w:spacing w:after="0"/>
        <w:rPr>
          <w:rFonts w:ascii="Arial" w:hAnsi="Arial" w:cs="Arial"/>
          <w:i/>
        </w:rPr>
      </w:pPr>
    </w:p>
    <w:p w:rsidR="00505F06" w:rsidRPr="00A24E7E" w:rsidRDefault="00A24E7E" w:rsidP="00035F77">
      <w:pPr>
        <w:pStyle w:val="Body"/>
        <w:rPr>
          <w:rFonts w:ascii="Arial" w:hAnsi="Arial" w:cs="Arial"/>
          <w:i/>
        </w:rPr>
      </w:pPr>
      <w:r>
        <w:rPr>
          <w:rFonts w:ascii="Arial" w:hAnsi="Arial" w:cs="Arial"/>
          <w:i/>
        </w:rPr>
        <w:t xml:space="preserve">Keywords: </w:t>
      </w:r>
      <w:r w:rsidR="00AC47C2" w:rsidRPr="00AC47C2">
        <w:rPr>
          <w:rFonts w:ascii="Arial" w:hAnsi="Arial" w:cs="Arial"/>
          <w:i/>
        </w:rPr>
        <w:t>Fishermen, Livelihoods, Pollution,</w:t>
      </w:r>
      <w:r w:rsidR="0002191B" w:rsidRPr="0002191B">
        <w:rPr>
          <w:rFonts w:ascii="Segoe UI" w:hAnsi="Segoe UI" w:cs="Segoe UI"/>
          <w:color w:val="0F1115"/>
          <w:shd w:val="clear" w:color="auto" w:fill="FFFFFF"/>
        </w:rPr>
        <w:t xml:space="preserve"> </w:t>
      </w:r>
      <w:r w:rsidR="0002191B" w:rsidRPr="0002191B">
        <w:rPr>
          <w:rFonts w:ascii="Arial" w:hAnsi="Arial" w:cs="Arial"/>
          <w:i/>
        </w:rPr>
        <w:t>Sustainable Livelihoods Framework (SLF)</w:t>
      </w:r>
      <w:r w:rsidR="0002191B">
        <w:rPr>
          <w:rFonts w:ascii="Arial" w:hAnsi="Arial" w:cs="Arial"/>
          <w:i/>
        </w:rPr>
        <w:t>,</w:t>
      </w:r>
      <w:r w:rsidR="00AC47C2" w:rsidRPr="00AC47C2">
        <w:rPr>
          <w:rFonts w:ascii="Arial" w:hAnsi="Arial" w:cs="Arial"/>
          <w:i/>
        </w:rPr>
        <w:t xml:space="preserve"> </w:t>
      </w:r>
      <w:proofErr w:type="spellStart"/>
      <w:r w:rsidR="00AC47C2">
        <w:rPr>
          <w:rFonts w:ascii="Arial" w:hAnsi="Arial" w:cs="Arial"/>
          <w:i/>
        </w:rPr>
        <w:t>Turag</w:t>
      </w:r>
      <w:proofErr w:type="spellEnd"/>
      <w:r w:rsidR="00AC47C2">
        <w:rPr>
          <w:rFonts w:ascii="Arial" w:hAnsi="Arial" w:cs="Arial"/>
          <w:i/>
        </w:rPr>
        <w:t xml:space="preserve"> River</w:t>
      </w:r>
      <w:r w:rsidR="009D7391" w:rsidRPr="009D7391">
        <w:rPr>
          <w:rFonts w:ascii="Arial" w:hAnsi="Arial" w:cs="Arial"/>
          <w:i/>
        </w:rPr>
        <w:t>, Bangladesh</w:t>
      </w: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AC47C2" w:rsidRPr="00AC47C2" w:rsidRDefault="00AC47C2" w:rsidP="00AC47C2">
      <w:pPr>
        <w:pStyle w:val="Body"/>
        <w:rPr>
          <w:rFonts w:ascii="Arial" w:hAnsi="Arial" w:cs="Arial"/>
          <w:bCs/>
        </w:rPr>
      </w:pPr>
      <w:r w:rsidRPr="00AC47C2">
        <w:rPr>
          <w:rFonts w:ascii="Arial" w:hAnsi="Arial" w:cs="Arial"/>
          <w:bCs/>
        </w:rPr>
        <w:t>Fisheries form an essential part of the Bangladesh economy, food security and rural livelihood. The industry is a major contributor of GDP, it generates jobs, and it is also a major source of animal protein to millions of people (</w:t>
      </w:r>
      <w:proofErr w:type="spellStart"/>
      <w:r w:rsidRPr="00AC47C2">
        <w:rPr>
          <w:rFonts w:ascii="Arial" w:hAnsi="Arial" w:cs="Arial"/>
          <w:bCs/>
        </w:rPr>
        <w:t>DoF</w:t>
      </w:r>
      <w:proofErr w:type="spellEnd"/>
      <w:r w:rsidRPr="00AC47C2">
        <w:rPr>
          <w:rFonts w:ascii="Arial" w:hAnsi="Arial" w:cs="Arial"/>
          <w:bCs/>
        </w:rPr>
        <w:t>, 2010). In this system, inland fisheries are based on small-scale fishermen. But, ironically, they are one of the most socio-economically marginal groups in the country. Their constant susceptibility is an intricate combination of reasons, such as environmental degradation, fishery resources depletion, poor institutional assistance, and socio-political marginalization (</w:t>
      </w:r>
      <w:proofErr w:type="spellStart"/>
      <w:r w:rsidRPr="00AC47C2">
        <w:rPr>
          <w:rFonts w:ascii="Arial" w:hAnsi="Arial" w:cs="Arial"/>
          <w:bCs/>
        </w:rPr>
        <w:t>Shamsuzzaman</w:t>
      </w:r>
      <w:proofErr w:type="spellEnd"/>
      <w:r w:rsidRPr="00AC47C2">
        <w:rPr>
          <w:rFonts w:ascii="Arial" w:hAnsi="Arial" w:cs="Arial"/>
          <w:bCs/>
        </w:rPr>
        <w:t xml:space="preserve"> et al., 2017).</w:t>
      </w:r>
    </w:p>
    <w:p w:rsidR="00AC47C2" w:rsidRPr="00AC47C2" w:rsidRDefault="00AC47C2" w:rsidP="00AC47C2">
      <w:pPr>
        <w:pStyle w:val="Body"/>
        <w:rPr>
          <w:rFonts w:ascii="Arial" w:hAnsi="Arial" w:cs="Arial"/>
          <w:bCs/>
        </w:rPr>
      </w:pPr>
      <w:r w:rsidRPr="00AC47C2">
        <w:rPr>
          <w:rFonts w:ascii="Arial" w:hAnsi="Arial" w:cs="Arial"/>
          <w:bCs/>
        </w:rPr>
        <w:lastRenderedPageBreak/>
        <w:t xml:space="preserve">The fisheries and aquaculture industry has been on a modest growth all over the world. A total of 184 million </w:t>
      </w:r>
      <w:proofErr w:type="spellStart"/>
      <w:r w:rsidRPr="00AC47C2">
        <w:rPr>
          <w:rFonts w:ascii="Arial" w:hAnsi="Arial" w:cs="Arial"/>
          <w:bCs/>
        </w:rPr>
        <w:t>tonnes</w:t>
      </w:r>
      <w:proofErr w:type="spellEnd"/>
      <w:r w:rsidRPr="00AC47C2">
        <w:rPr>
          <w:rFonts w:ascii="Arial" w:hAnsi="Arial" w:cs="Arial"/>
          <w:bCs/>
        </w:rPr>
        <w:t xml:space="preserve"> of production was achieved in 2022 around the world compared to 182 million </w:t>
      </w:r>
      <w:proofErr w:type="spellStart"/>
      <w:r w:rsidRPr="00AC47C2">
        <w:rPr>
          <w:rFonts w:ascii="Arial" w:hAnsi="Arial" w:cs="Arial"/>
          <w:bCs/>
        </w:rPr>
        <w:t>tonnes</w:t>
      </w:r>
      <w:proofErr w:type="spellEnd"/>
      <w:r w:rsidRPr="00AC47C2">
        <w:rPr>
          <w:rFonts w:ascii="Arial" w:hAnsi="Arial" w:cs="Arial"/>
          <w:bCs/>
        </w:rPr>
        <w:t xml:space="preserve"> in 2021. This has been much reduced by a two percent reduction in the capture fisheries which is associated with social and climatic issues (</w:t>
      </w:r>
      <w:proofErr w:type="spellStart"/>
      <w:r w:rsidRPr="00AC47C2">
        <w:rPr>
          <w:rFonts w:ascii="Arial" w:hAnsi="Arial" w:cs="Arial"/>
          <w:bCs/>
        </w:rPr>
        <w:t>Tacon</w:t>
      </w:r>
      <w:proofErr w:type="spellEnd"/>
      <w:r w:rsidRPr="00AC47C2">
        <w:rPr>
          <w:rFonts w:ascii="Arial" w:hAnsi="Arial" w:cs="Arial"/>
          <w:bCs/>
        </w:rPr>
        <w:t xml:space="preserve"> et al., 2024). The Food and Agriculture Organization (FAO), reports that the world fish and aquaculture production in 2020 hit a record of 214 million </w:t>
      </w:r>
      <w:proofErr w:type="spellStart"/>
      <w:r w:rsidRPr="00AC47C2">
        <w:rPr>
          <w:rFonts w:ascii="Arial" w:hAnsi="Arial" w:cs="Arial"/>
          <w:bCs/>
        </w:rPr>
        <w:t>tonnes</w:t>
      </w:r>
      <w:proofErr w:type="spellEnd"/>
      <w:r w:rsidRPr="00AC47C2">
        <w:rPr>
          <w:rFonts w:ascii="Arial" w:hAnsi="Arial" w:cs="Arial"/>
          <w:bCs/>
        </w:rPr>
        <w:t xml:space="preserve">, including 178 million </w:t>
      </w:r>
      <w:proofErr w:type="spellStart"/>
      <w:r w:rsidRPr="00AC47C2">
        <w:rPr>
          <w:rFonts w:ascii="Arial" w:hAnsi="Arial" w:cs="Arial"/>
          <w:bCs/>
        </w:rPr>
        <w:t>tonnes</w:t>
      </w:r>
      <w:proofErr w:type="spellEnd"/>
      <w:r w:rsidRPr="00AC47C2">
        <w:rPr>
          <w:rFonts w:ascii="Arial" w:hAnsi="Arial" w:cs="Arial"/>
          <w:bCs/>
        </w:rPr>
        <w:t xml:space="preserve"> of aquatic animals and 36 million </w:t>
      </w:r>
      <w:proofErr w:type="spellStart"/>
      <w:r w:rsidRPr="00AC47C2">
        <w:rPr>
          <w:rFonts w:ascii="Arial" w:hAnsi="Arial" w:cs="Arial"/>
          <w:bCs/>
        </w:rPr>
        <w:t>tonnes</w:t>
      </w:r>
      <w:proofErr w:type="spellEnd"/>
      <w:r w:rsidRPr="00AC47C2">
        <w:rPr>
          <w:rFonts w:ascii="Arial" w:hAnsi="Arial" w:cs="Arial"/>
          <w:bCs/>
        </w:rPr>
        <w:t xml:space="preserve"> of algae compared to the year before, a 3 percent increase (FAO, 2020).</w:t>
      </w:r>
    </w:p>
    <w:p w:rsidR="00AC47C2" w:rsidRPr="00AC47C2" w:rsidRDefault="00AC47C2" w:rsidP="00AC47C2">
      <w:pPr>
        <w:pStyle w:val="Body"/>
        <w:rPr>
          <w:rFonts w:ascii="Arial" w:hAnsi="Arial" w:cs="Arial"/>
          <w:bCs/>
        </w:rPr>
      </w:pPr>
      <w:r w:rsidRPr="00AC47C2">
        <w:rPr>
          <w:rFonts w:ascii="Arial" w:hAnsi="Arial" w:cs="Arial"/>
          <w:bCs/>
        </w:rPr>
        <w:t>Bangladesh being the eighth most populous country in the world has a population of almost 169 million individuals in a land area of 148,460 square kilometers. The country is defined by low lying and riverine geography, with a long 720 km coastal area along the northern Bay of Bengal (</w:t>
      </w:r>
      <w:proofErr w:type="spellStart"/>
      <w:r w:rsidRPr="00AC47C2">
        <w:rPr>
          <w:rFonts w:ascii="Arial" w:hAnsi="Arial" w:cs="Arial"/>
          <w:bCs/>
        </w:rPr>
        <w:t>DoF</w:t>
      </w:r>
      <w:proofErr w:type="spellEnd"/>
      <w:r w:rsidRPr="00AC47C2">
        <w:rPr>
          <w:rFonts w:ascii="Arial" w:hAnsi="Arial" w:cs="Arial"/>
          <w:bCs/>
        </w:rPr>
        <w:t>, 2020). Bangladesh is made up by deltaic plains, which are composed of the Ganges (Padma), Brahmaputra (Jamuna), and Meghna river systems and their great number of tributaries, about 79 percent of Bangladesh. In 64 districts, the number of registered fishermen is about 1,733,328, 97 percent of whom are men, and only 3 percent are women (</w:t>
      </w:r>
      <w:proofErr w:type="spellStart"/>
      <w:r w:rsidRPr="00AC47C2">
        <w:rPr>
          <w:rFonts w:ascii="Arial" w:hAnsi="Arial" w:cs="Arial"/>
          <w:bCs/>
        </w:rPr>
        <w:t>DoF</w:t>
      </w:r>
      <w:proofErr w:type="spellEnd"/>
      <w:r w:rsidRPr="00AC47C2">
        <w:rPr>
          <w:rFonts w:ascii="Arial" w:hAnsi="Arial" w:cs="Arial"/>
          <w:bCs/>
        </w:rPr>
        <w:t>, 2020).  Fish and fishery products in Bangladesh have a key socio-economic role that includes nutrition, employment, source of income and foreign exchange. Fish continues to be the leading source of animal protein, which is above 80 percent of the total animal protein consumption in the country (Das et al., 2015).</w:t>
      </w:r>
    </w:p>
    <w:p w:rsidR="00AC47C2" w:rsidRPr="00AC47C2" w:rsidRDefault="00AC47C2" w:rsidP="00AC47C2">
      <w:pPr>
        <w:pStyle w:val="Body"/>
        <w:rPr>
          <w:rFonts w:ascii="Arial" w:hAnsi="Arial" w:cs="Arial"/>
          <w:bCs/>
        </w:rPr>
      </w:pPr>
      <w:r w:rsidRPr="00AC47C2">
        <w:rPr>
          <w:rFonts w:ascii="Arial" w:hAnsi="Arial" w:cs="Arial"/>
          <w:bCs/>
        </w:rPr>
        <w:t xml:space="preserve">An evident example of environmental pressure and reduction of livelihood is the </w:t>
      </w:r>
      <w:proofErr w:type="spellStart"/>
      <w:r w:rsidRPr="00AC47C2">
        <w:rPr>
          <w:rFonts w:ascii="Arial" w:hAnsi="Arial" w:cs="Arial"/>
          <w:bCs/>
        </w:rPr>
        <w:t>Turag</w:t>
      </w:r>
      <w:proofErr w:type="spellEnd"/>
      <w:r w:rsidRPr="00AC47C2">
        <w:rPr>
          <w:rFonts w:ascii="Arial" w:hAnsi="Arial" w:cs="Arial"/>
          <w:bCs/>
        </w:rPr>
        <w:t xml:space="preserve"> River, which is running along the urban periphery of Dhaka. The ripple impact on the ecological well-being of the river has been devastating due to high rate of industrialization, haphazard urbanization, and carelessness in disposal of waste materials. Research has also shown that untreated effluents in textile and tannery industries are the biggest cause of bad water quality, biodiversity loss, and drastic drops in fish population (</w:t>
      </w:r>
      <w:proofErr w:type="spellStart"/>
      <w:r w:rsidRPr="00AC47C2">
        <w:rPr>
          <w:rFonts w:ascii="Arial" w:hAnsi="Arial" w:cs="Arial"/>
          <w:bCs/>
        </w:rPr>
        <w:t>Asaduzzaman</w:t>
      </w:r>
      <w:proofErr w:type="spellEnd"/>
      <w:r w:rsidRPr="00AC47C2">
        <w:rPr>
          <w:rFonts w:ascii="Arial" w:hAnsi="Arial" w:cs="Arial"/>
          <w:bCs/>
        </w:rPr>
        <w:t xml:space="preserve"> et al., 2016; Tania et al., 2021). The river erosion has also had immediate impact on the fishing communities especially in </w:t>
      </w:r>
      <w:proofErr w:type="spellStart"/>
      <w:r w:rsidRPr="00AC47C2">
        <w:rPr>
          <w:rFonts w:ascii="Arial" w:hAnsi="Arial" w:cs="Arial"/>
          <w:bCs/>
        </w:rPr>
        <w:t>Ashulia</w:t>
      </w:r>
      <w:proofErr w:type="spellEnd"/>
      <w:r w:rsidRPr="00AC47C2">
        <w:rPr>
          <w:rFonts w:ascii="Arial" w:hAnsi="Arial" w:cs="Arial"/>
          <w:bCs/>
        </w:rPr>
        <w:t xml:space="preserve"> Union which has always been the main source of livelihood of generations of families.</w:t>
      </w:r>
    </w:p>
    <w:p w:rsidR="006A5B3D" w:rsidRPr="006A5B3D" w:rsidRDefault="00AC47C2" w:rsidP="006A5B3D">
      <w:pPr>
        <w:jc w:val="both"/>
        <w:rPr>
          <w:rFonts w:ascii="Arial" w:hAnsi="Arial" w:cs="Arial"/>
          <w:bCs/>
          <w:highlight w:val="yellow"/>
        </w:rPr>
      </w:pPr>
      <w:r w:rsidRPr="00AC47C2">
        <w:rPr>
          <w:rFonts w:ascii="Arial" w:hAnsi="Arial" w:cs="Arial"/>
          <w:bCs/>
        </w:rPr>
        <w:t xml:space="preserve">The community of </w:t>
      </w:r>
      <w:proofErr w:type="spellStart"/>
      <w:r w:rsidRPr="00AC47C2">
        <w:rPr>
          <w:rFonts w:ascii="Arial" w:hAnsi="Arial" w:cs="Arial"/>
          <w:bCs/>
        </w:rPr>
        <w:t>Rostompur</w:t>
      </w:r>
      <w:proofErr w:type="spellEnd"/>
      <w:r w:rsidRPr="00AC47C2">
        <w:rPr>
          <w:rFonts w:ascii="Arial" w:hAnsi="Arial" w:cs="Arial"/>
          <w:bCs/>
        </w:rPr>
        <w:t xml:space="preserve">, </w:t>
      </w:r>
      <w:proofErr w:type="spellStart"/>
      <w:r w:rsidRPr="00AC47C2">
        <w:rPr>
          <w:rFonts w:ascii="Arial" w:hAnsi="Arial" w:cs="Arial"/>
          <w:bCs/>
        </w:rPr>
        <w:t>Pargram</w:t>
      </w:r>
      <w:proofErr w:type="spellEnd"/>
      <w:r w:rsidRPr="00AC47C2">
        <w:rPr>
          <w:rFonts w:ascii="Arial" w:hAnsi="Arial" w:cs="Arial"/>
          <w:bCs/>
        </w:rPr>
        <w:t xml:space="preserve"> and </w:t>
      </w:r>
      <w:proofErr w:type="spellStart"/>
      <w:r w:rsidRPr="00AC47C2">
        <w:rPr>
          <w:rFonts w:ascii="Arial" w:hAnsi="Arial" w:cs="Arial"/>
          <w:bCs/>
        </w:rPr>
        <w:t>Noapara</w:t>
      </w:r>
      <w:proofErr w:type="spellEnd"/>
      <w:r w:rsidRPr="00AC47C2">
        <w:rPr>
          <w:rFonts w:ascii="Arial" w:hAnsi="Arial" w:cs="Arial"/>
          <w:bCs/>
        </w:rPr>
        <w:t xml:space="preserve"> fishermen may be regarded as an example of this crisis. Despite their significance in the maintenance of food supply, there is a declining income level in such communities, insecure employment, low access to education, healthcare, and financial services. </w:t>
      </w:r>
      <w:r w:rsidR="006A5B3D" w:rsidRPr="006A5B3D">
        <w:rPr>
          <w:rFonts w:ascii="Arial" w:hAnsi="Arial" w:cs="Arial"/>
          <w:bCs/>
          <w:highlight w:val="yellow"/>
        </w:rPr>
        <w:t xml:space="preserve">In the terms of the Sustainable Livelihoods Framework (SLF), such issues point to the degradation of primary livelihood resources and heightened vulnerability in which the development of the sector has not been accompanied by better livelihoods among the small-scale fishers in the grassroots levels (Allison, 2001, </w:t>
      </w:r>
      <w:proofErr w:type="spellStart"/>
      <w:r w:rsidR="006A5B3D" w:rsidRPr="006A5B3D">
        <w:rPr>
          <w:rFonts w:ascii="Arial" w:hAnsi="Arial" w:cs="Arial"/>
          <w:bCs/>
          <w:highlight w:val="yellow"/>
        </w:rPr>
        <w:t>Baki</w:t>
      </w:r>
      <w:proofErr w:type="spellEnd"/>
      <w:r w:rsidR="006A5B3D" w:rsidRPr="006A5B3D">
        <w:rPr>
          <w:rFonts w:ascii="Arial" w:hAnsi="Arial" w:cs="Arial"/>
          <w:bCs/>
          <w:highlight w:val="yellow"/>
        </w:rPr>
        <w:t xml:space="preserve"> et al., 2015). Following the Sustainable Livelihoods Framework (SLF), this study aims to examine the socio-economic conditions of fishing communities </w:t>
      </w:r>
      <w:r w:rsidR="0042706D" w:rsidRPr="006A5B3D">
        <w:rPr>
          <w:rFonts w:ascii="Arial" w:hAnsi="Arial" w:cs="Arial"/>
          <w:color w:val="222222"/>
          <w:highlight w:val="yellow"/>
          <w:shd w:val="clear" w:color="auto" w:fill="FFFFFF"/>
        </w:rPr>
        <w:t>through the following specific objectives:</w:t>
      </w:r>
    </w:p>
    <w:p w:rsidR="006A5B3D" w:rsidRPr="006A5B3D" w:rsidRDefault="0042706D" w:rsidP="006A5B3D">
      <w:pPr>
        <w:pStyle w:val="ListParagraph"/>
        <w:numPr>
          <w:ilvl w:val="0"/>
          <w:numId w:val="33"/>
        </w:numPr>
        <w:jc w:val="both"/>
        <w:rPr>
          <w:rFonts w:ascii="Arial" w:hAnsi="Arial" w:cs="Arial"/>
          <w:bCs/>
          <w:highlight w:val="yellow"/>
        </w:rPr>
      </w:pPr>
      <w:r w:rsidRPr="006A5B3D">
        <w:rPr>
          <w:rFonts w:ascii="Arial" w:hAnsi="Arial" w:cs="Arial"/>
          <w:bCs/>
          <w:color w:val="222222"/>
          <w:highlight w:val="yellow"/>
          <w:shd w:val="clear" w:color="auto" w:fill="FFFFFF"/>
        </w:rPr>
        <w:t>To examine the socio-economic profile of fishermen households in the study areas.</w:t>
      </w:r>
      <w:r w:rsidRPr="006A5B3D">
        <w:rPr>
          <w:rFonts w:ascii="Arial" w:hAnsi="Arial" w:cs="Arial"/>
          <w:color w:val="222222"/>
          <w:highlight w:val="yellow"/>
          <w:shd w:val="clear" w:color="auto" w:fill="FFFFFF"/>
        </w:rPr>
        <w:t xml:space="preserve"> </w:t>
      </w:r>
    </w:p>
    <w:p w:rsidR="006A5B3D" w:rsidRPr="006A5B3D" w:rsidRDefault="0042706D" w:rsidP="0042706D">
      <w:pPr>
        <w:pStyle w:val="ListParagraph"/>
        <w:numPr>
          <w:ilvl w:val="0"/>
          <w:numId w:val="33"/>
        </w:numPr>
        <w:jc w:val="both"/>
        <w:rPr>
          <w:rFonts w:ascii="Arial" w:hAnsi="Arial" w:cs="Arial"/>
          <w:bCs/>
          <w:highlight w:val="yellow"/>
        </w:rPr>
      </w:pPr>
      <w:r w:rsidRPr="006A5B3D">
        <w:rPr>
          <w:rFonts w:ascii="Arial" w:hAnsi="Arial" w:cs="Arial"/>
          <w:bCs/>
          <w:color w:val="222222"/>
          <w:highlight w:val="yellow"/>
          <w:shd w:val="clear" w:color="auto" w:fill="FFFFFF"/>
        </w:rPr>
        <w:t>To identify the key challenges and barriers affecting fishing-based livelihoods.</w:t>
      </w:r>
    </w:p>
    <w:p w:rsidR="0042706D" w:rsidRPr="006A5B3D" w:rsidRDefault="0042706D" w:rsidP="0042706D">
      <w:pPr>
        <w:pStyle w:val="ListParagraph"/>
        <w:numPr>
          <w:ilvl w:val="0"/>
          <w:numId w:val="33"/>
        </w:numPr>
        <w:jc w:val="both"/>
        <w:rPr>
          <w:rFonts w:ascii="Arial" w:hAnsi="Arial" w:cs="Arial"/>
          <w:bCs/>
          <w:highlight w:val="yellow"/>
        </w:rPr>
      </w:pPr>
      <w:r w:rsidRPr="006A5B3D">
        <w:rPr>
          <w:rFonts w:ascii="Arial" w:hAnsi="Arial" w:cs="Arial"/>
          <w:highlight w:val="yellow"/>
        </w:rPr>
        <w:t>To examine intergenerational views on fishing as a future occupation.</w:t>
      </w:r>
    </w:p>
    <w:p w:rsidR="00AC47C2" w:rsidRPr="00AC47C2" w:rsidRDefault="00AC47C2" w:rsidP="00AC47C2">
      <w:pPr>
        <w:pStyle w:val="Body"/>
        <w:rPr>
          <w:rFonts w:ascii="Arial" w:hAnsi="Arial" w:cs="Arial"/>
          <w:bCs/>
        </w:rPr>
      </w:pPr>
    </w:p>
    <w:p w:rsidR="009A2CAD" w:rsidRPr="006A5B3D" w:rsidRDefault="006A5B3D" w:rsidP="009A2CAD">
      <w:pPr>
        <w:pStyle w:val="AbstHead"/>
        <w:spacing w:after="0"/>
        <w:jc w:val="both"/>
        <w:rPr>
          <w:rFonts w:ascii="Arial" w:hAnsi="Arial" w:cs="Arial"/>
          <w:highlight w:val="yellow"/>
        </w:rPr>
      </w:pPr>
      <w:r w:rsidRPr="006A5B3D">
        <w:rPr>
          <w:rFonts w:ascii="Arial" w:hAnsi="Arial" w:cs="Arial"/>
          <w:highlight w:val="yellow"/>
        </w:rPr>
        <w:t xml:space="preserve">2. </w:t>
      </w:r>
      <w:r w:rsidR="009A2CAD" w:rsidRPr="006A5B3D">
        <w:rPr>
          <w:rFonts w:ascii="Arial" w:hAnsi="Arial" w:cs="Arial"/>
          <w:highlight w:val="yellow"/>
        </w:rPr>
        <w:t xml:space="preserve">Theoretical framework </w:t>
      </w:r>
    </w:p>
    <w:p w:rsidR="009A2CAD" w:rsidRPr="006A5B3D" w:rsidRDefault="009A2CAD" w:rsidP="009A2CAD">
      <w:pPr>
        <w:jc w:val="both"/>
        <w:rPr>
          <w:rFonts w:ascii="Arial" w:hAnsi="Arial" w:cs="Arial"/>
          <w:bCs/>
          <w:highlight w:val="yellow"/>
        </w:rPr>
      </w:pPr>
      <w:r w:rsidRPr="006A5B3D">
        <w:rPr>
          <w:rFonts w:ascii="Arial" w:hAnsi="Arial" w:cs="Arial"/>
          <w:bCs/>
          <w:highlight w:val="yellow"/>
        </w:rPr>
        <w:t xml:space="preserve">This study is grounded in the Sustainable Livelihoods Framework (SLF). It’s a common tool of analysis in interpreting how households create and maintain livelihoods in the context of vulnerability (Chambers and Conway, 1992; </w:t>
      </w:r>
      <w:proofErr w:type="spellStart"/>
      <w:r w:rsidRPr="006A5B3D">
        <w:rPr>
          <w:rFonts w:ascii="Arial" w:hAnsi="Arial" w:cs="Arial"/>
          <w:bCs/>
          <w:highlight w:val="yellow"/>
        </w:rPr>
        <w:t>Scoones</w:t>
      </w:r>
      <w:proofErr w:type="spellEnd"/>
      <w:r w:rsidRPr="006A5B3D">
        <w:rPr>
          <w:rFonts w:ascii="Arial" w:hAnsi="Arial" w:cs="Arial"/>
          <w:bCs/>
          <w:highlight w:val="yellow"/>
        </w:rPr>
        <w:t xml:space="preserve">, 1998; DFID, 1999). The SLF understands livelihoods as the interplay between five types of capital human, natural, physical, financial, and social, which are mediated by forms of institutional structures, policies, and external shocks. A livelihood is said to be sustainable when it is able to handle pressures, shocks and still be able to sustain its assets base or even improve it without harming the natural resources (Carney, 1998; </w:t>
      </w:r>
      <w:proofErr w:type="spellStart"/>
      <w:r w:rsidRPr="006A5B3D">
        <w:rPr>
          <w:rFonts w:ascii="Arial" w:hAnsi="Arial" w:cs="Arial"/>
          <w:bCs/>
          <w:highlight w:val="yellow"/>
        </w:rPr>
        <w:t>Scoones</w:t>
      </w:r>
      <w:proofErr w:type="spellEnd"/>
      <w:r w:rsidRPr="006A5B3D">
        <w:rPr>
          <w:rFonts w:ascii="Arial" w:hAnsi="Arial" w:cs="Arial"/>
          <w:bCs/>
          <w:highlight w:val="yellow"/>
        </w:rPr>
        <w:t>, 2009).</w:t>
      </w:r>
    </w:p>
    <w:p w:rsidR="009A2CAD" w:rsidRPr="006A5B3D" w:rsidRDefault="009A2CAD" w:rsidP="009A2CAD">
      <w:pPr>
        <w:jc w:val="both"/>
        <w:rPr>
          <w:rFonts w:ascii="Arial" w:hAnsi="Arial" w:cs="Arial"/>
          <w:bCs/>
          <w:highlight w:val="yellow"/>
        </w:rPr>
      </w:pPr>
      <w:r w:rsidRPr="006A5B3D">
        <w:rPr>
          <w:rFonts w:ascii="Arial" w:hAnsi="Arial" w:cs="Arial"/>
          <w:bCs/>
          <w:highlight w:val="yellow"/>
        </w:rPr>
        <w:t xml:space="preserve">In the SLF sense, the environmental degradation, failure of governance, and market restrictions are the major vulnerability situations that destroy livelihood assets and the ability to adapt (Bebbington, 1999; Allison and Ellis, 2001). In the example of fishing communities on the </w:t>
      </w:r>
      <w:proofErr w:type="spellStart"/>
      <w:r w:rsidRPr="006A5B3D">
        <w:rPr>
          <w:rFonts w:ascii="Arial" w:hAnsi="Arial" w:cs="Arial"/>
          <w:bCs/>
          <w:highlight w:val="yellow"/>
        </w:rPr>
        <w:t>Turag</w:t>
      </w:r>
      <w:proofErr w:type="spellEnd"/>
      <w:r w:rsidRPr="006A5B3D">
        <w:rPr>
          <w:rFonts w:ascii="Arial" w:hAnsi="Arial" w:cs="Arial"/>
          <w:bCs/>
          <w:highlight w:val="yellow"/>
        </w:rPr>
        <w:t xml:space="preserve"> River, natural capital such as fish stocks, water quality and river ecology has also been destroyed harshly following industrial contamination, diminished water flow during dry periods and encroachment of the river. It is a reduction in this main asset base that officially nullifies livelihood sustainability and income security, and solidifies the chronic vulnerability (Allison and </w:t>
      </w:r>
      <w:proofErr w:type="spellStart"/>
      <w:r w:rsidRPr="006A5B3D">
        <w:rPr>
          <w:rFonts w:ascii="Arial" w:hAnsi="Arial" w:cs="Arial"/>
          <w:bCs/>
          <w:highlight w:val="yellow"/>
        </w:rPr>
        <w:t>Horemans</w:t>
      </w:r>
      <w:proofErr w:type="spellEnd"/>
      <w:r w:rsidRPr="006A5B3D">
        <w:rPr>
          <w:rFonts w:ascii="Arial" w:hAnsi="Arial" w:cs="Arial"/>
          <w:bCs/>
          <w:highlight w:val="yellow"/>
        </w:rPr>
        <w:t>, 2006).</w:t>
      </w:r>
    </w:p>
    <w:p w:rsidR="009A2CAD" w:rsidRPr="006A5B3D" w:rsidRDefault="009A2CAD" w:rsidP="009A2CAD">
      <w:pPr>
        <w:jc w:val="both"/>
        <w:rPr>
          <w:rFonts w:ascii="Arial" w:hAnsi="Arial" w:cs="Arial"/>
          <w:bCs/>
          <w:highlight w:val="yellow"/>
        </w:rPr>
      </w:pPr>
      <w:r w:rsidRPr="006A5B3D">
        <w:rPr>
          <w:rFonts w:ascii="Arial" w:hAnsi="Arial" w:cs="Arial"/>
          <w:bCs/>
          <w:highlight w:val="yellow"/>
        </w:rPr>
        <w:t>At the same time, low human capital, as indicated by low rates of formal education and low skill diversification, inhibits movement out of the fishing-related occupation. This lack of formal banking and collective organization and bargaining power, which results in weak financial capital and social capital, only exacerbates the reliance on informal credit facilities and exploitative middlemen (Ellis, 2000; Kabir et al., 2012). These vicious cycles of poverty and marginalization put fishing households in these interconnected gaps.</w:t>
      </w:r>
    </w:p>
    <w:p w:rsidR="009A2CAD" w:rsidRPr="006A5B3D" w:rsidRDefault="009A2CAD" w:rsidP="009A2CAD">
      <w:pPr>
        <w:jc w:val="both"/>
        <w:rPr>
          <w:rFonts w:ascii="Arial" w:hAnsi="Arial" w:cs="Arial"/>
          <w:bCs/>
          <w:highlight w:val="yellow"/>
        </w:rPr>
      </w:pPr>
      <w:r w:rsidRPr="006A5B3D">
        <w:rPr>
          <w:rFonts w:ascii="Arial" w:hAnsi="Arial" w:cs="Arial"/>
          <w:bCs/>
          <w:highlight w:val="yellow"/>
        </w:rPr>
        <w:t xml:space="preserve">Livelihood diversification is also mentioned by the SLF as a major coping and adaptation tool to dwindling natural resources (Ellis, 1998; Barrett et al., 2001). But, in the situation where environmental collapse, and not opportunity, leads to diversification; in such situations, diversification tends to produce a transition to low-paid, insecure, and informal jobs, which will not significantly improve the long-term wellbeing. This framework consequently explains why the occupational </w:t>
      </w:r>
      <w:r w:rsidRPr="006A5B3D">
        <w:rPr>
          <w:rFonts w:ascii="Arial" w:hAnsi="Arial" w:cs="Arial"/>
          <w:bCs/>
          <w:highlight w:val="yellow"/>
        </w:rPr>
        <w:lastRenderedPageBreak/>
        <w:t xml:space="preserve">changes involving fishing families within </w:t>
      </w:r>
      <w:proofErr w:type="spellStart"/>
      <w:r w:rsidRPr="006A5B3D">
        <w:rPr>
          <w:rFonts w:ascii="Arial" w:hAnsi="Arial" w:cs="Arial"/>
          <w:bCs/>
          <w:highlight w:val="yellow"/>
        </w:rPr>
        <w:t>Ashulia</w:t>
      </w:r>
      <w:proofErr w:type="spellEnd"/>
      <w:r w:rsidRPr="006A5B3D">
        <w:rPr>
          <w:rFonts w:ascii="Arial" w:hAnsi="Arial" w:cs="Arial"/>
          <w:bCs/>
          <w:highlight w:val="yellow"/>
        </w:rPr>
        <w:t xml:space="preserve"> are more of a livelihood substitution as opposed to economic progress (Allison and Ellis, 2001; </w:t>
      </w:r>
      <w:proofErr w:type="spellStart"/>
      <w:r w:rsidRPr="006A5B3D">
        <w:rPr>
          <w:rFonts w:ascii="Arial" w:hAnsi="Arial" w:cs="Arial"/>
          <w:bCs/>
          <w:highlight w:val="yellow"/>
        </w:rPr>
        <w:t>Scoones</w:t>
      </w:r>
      <w:proofErr w:type="spellEnd"/>
      <w:r w:rsidRPr="006A5B3D">
        <w:rPr>
          <w:rFonts w:ascii="Arial" w:hAnsi="Arial" w:cs="Arial"/>
          <w:bCs/>
          <w:highlight w:val="yellow"/>
        </w:rPr>
        <w:t>, 2009).</w:t>
      </w:r>
    </w:p>
    <w:p w:rsidR="009A2CAD" w:rsidRDefault="009A2CAD" w:rsidP="009A2CAD">
      <w:pPr>
        <w:jc w:val="both"/>
        <w:rPr>
          <w:rFonts w:ascii="Arial" w:hAnsi="Arial" w:cs="Arial"/>
          <w:bCs/>
        </w:rPr>
      </w:pPr>
      <w:r w:rsidRPr="006A5B3D">
        <w:rPr>
          <w:rFonts w:ascii="Arial" w:hAnsi="Arial" w:cs="Arial"/>
          <w:bCs/>
          <w:highlight w:val="yellow"/>
        </w:rPr>
        <w:t xml:space="preserve">Our study is a comprehensive analysis of livelihood insecurity in peri-urban fishing communities along the </w:t>
      </w:r>
      <w:proofErr w:type="spellStart"/>
      <w:r w:rsidRPr="006A5B3D">
        <w:rPr>
          <w:rFonts w:ascii="Arial" w:hAnsi="Arial" w:cs="Arial"/>
          <w:bCs/>
          <w:highlight w:val="yellow"/>
        </w:rPr>
        <w:t>Turag</w:t>
      </w:r>
      <w:proofErr w:type="spellEnd"/>
      <w:r w:rsidRPr="006A5B3D">
        <w:rPr>
          <w:rFonts w:ascii="Arial" w:hAnsi="Arial" w:cs="Arial"/>
          <w:bCs/>
          <w:highlight w:val="yellow"/>
        </w:rPr>
        <w:t xml:space="preserve"> River by using the Sustainable Livelihoods Framework that incorporates systematically the environmental degradation, socio-economic vulnerability, and adaptive responses in understanding the nature of livelihood insecurity in these peri-urban communities.</w:t>
      </w:r>
    </w:p>
    <w:p w:rsidR="009A2CAD" w:rsidRDefault="009A2CAD" w:rsidP="009A2CAD">
      <w:pPr>
        <w:jc w:val="center"/>
        <w:rPr>
          <w:rFonts w:ascii="Arial" w:hAnsi="Arial" w:cs="Arial"/>
          <w:bCs/>
        </w:rPr>
      </w:pPr>
      <w:r>
        <w:rPr>
          <w:rFonts w:ascii="Arial" w:hAnsi="Arial" w:cs="Arial"/>
          <w:bCs/>
          <w:noProof/>
        </w:rPr>
        <w:lastRenderedPageBreak/>
        <w:drawing>
          <wp:inline distT="0" distB="0" distL="0" distR="0" wp14:anchorId="5F7A2F23" wp14:editId="6D6F4A92">
            <wp:extent cx="6778104" cy="914865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1.png"/>
                    <pic:cNvPicPr/>
                  </pic:nvPicPr>
                  <pic:blipFill>
                    <a:blip r:embed="rId13">
                      <a:extLst>
                        <a:ext uri="{28A0092B-C50C-407E-A947-70E740481C1C}">
                          <a14:useLocalDpi xmlns:a14="http://schemas.microsoft.com/office/drawing/2010/main" val="0"/>
                        </a:ext>
                      </a:extLst>
                    </a:blip>
                    <a:stretch>
                      <a:fillRect/>
                    </a:stretch>
                  </pic:blipFill>
                  <pic:spPr>
                    <a:xfrm>
                      <a:off x="0" y="0"/>
                      <a:ext cx="8062856" cy="10882732"/>
                    </a:xfrm>
                    <a:prstGeom prst="rect">
                      <a:avLst/>
                    </a:prstGeom>
                  </pic:spPr>
                </pic:pic>
              </a:graphicData>
            </a:graphic>
          </wp:inline>
        </w:drawing>
      </w:r>
    </w:p>
    <w:p w:rsidR="009A2CAD" w:rsidRPr="000B1094" w:rsidRDefault="000A53A6" w:rsidP="00867527">
      <w:pPr>
        <w:jc w:val="center"/>
        <w:rPr>
          <w:rFonts w:ascii="Arial" w:hAnsi="Arial" w:cs="Arial"/>
          <w:bCs/>
        </w:rPr>
      </w:pPr>
      <w:r>
        <w:rPr>
          <w:rFonts w:ascii="Arial" w:hAnsi="Arial" w:cs="Arial"/>
          <w:b/>
          <w:bCs/>
          <w:szCs w:val="22"/>
        </w:rPr>
        <w:lastRenderedPageBreak/>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867527" w:rsidRPr="000B1094">
        <w:rPr>
          <w:rFonts w:ascii="Arial" w:hAnsi="Arial" w:cs="Arial"/>
          <w:bCs/>
        </w:rPr>
        <w:t xml:space="preserve">Theoretical Framework of Livelihood Vulnerability among Peri-Urban Fishing Communities in </w:t>
      </w:r>
      <w:proofErr w:type="spellStart"/>
      <w:r w:rsidR="00867527" w:rsidRPr="000B1094">
        <w:rPr>
          <w:rFonts w:ascii="Arial" w:hAnsi="Arial" w:cs="Arial"/>
          <w:bCs/>
        </w:rPr>
        <w:t>Ashulia</w:t>
      </w:r>
      <w:proofErr w:type="spellEnd"/>
      <w:r w:rsidR="009A2CAD" w:rsidRPr="000B1094">
        <w:rPr>
          <w:rFonts w:ascii="Arial" w:hAnsi="Arial" w:cs="Arial"/>
          <w:bCs/>
        </w:rPr>
        <w:t xml:space="preserve"> </w:t>
      </w:r>
    </w:p>
    <w:p w:rsidR="00790ADA" w:rsidRPr="000B1094" w:rsidRDefault="00790ADA" w:rsidP="00441B6F">
      <w:pPr>
        <w:pStyle w:val="Body"/>
        <w:spacing w:after="0"/>
        <w:rPr>
          <w:rFonts w:ascii="Arial" w:hAnsi="Arial" w:cs="Arial"/>
        </w:rPr>
      </w:pPr>
    </w:p>
    <w:p w:rsidR="007F7B32" w:rsidRDefault="007567E5"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90ADA" w:rsidRDefault="00AC47C2" w:rsidP="0096066C">
      <w:pPr>
        <w:pStyle w:val="Body"/>
        <w:rPr>
          <w:rFonts w:ascii="Arial" w:hAnsi="Arial" w:cs="Arial"/>
          <w:bCs/>
        </w:rPr>
      </w:pPr>
      <w:r w:rsidRPr="00E0782B">
        <w:rPr>
          <w:rFonts w:ascii="Arial" w:hAnsi="Arial" w:cs="Arial"/>
          <w:bCs/>
        </w:rPr>
        <w:t xml:space="preserve">The study was carried out in three fishing villages along the </w:t>
      </w:r>
      <w:proofErr w:type="spellStart"/>
      <w:r w:rsidRPr="00E0782B">
        <w:rPr>
          <w:rFonts w:ascii="Arial" w:hAnsi="Arial" w:cs="Arial"/>
          <w:bCs/>
        </w:rPr>
        <w:t>Turag</w:t>
      </w:r>
      <w:proofErr w:type="spellEnd"/>
      <w:r w:rsidRPr="00E0782B">
        <w:rPr>
          <w:rFonts w:ascii="Arial" w:hAnsi="Arial" w:cs="Arial"/>
          <w:bCs/>
        </w:rPr>
        <w:t xml:space="preserve"> River in </w:t>
      </w:r>
      <w:proofErr w:type="spellStart"/>
      <w:r w:rsidRPr="00E0782B">
        <w:rPr>
          <w:rFonts w:ascii="Arial" w:hAnsi="Arial" w:cs="Arial"/>
          <w:bCs/>
        </w:rPr>
        <w:t>Ashulia</w:t>
      </w:r>
      <w:proofErr w:type="spellEnd"/>
      <w:r w:rsidRPr="00E0782B">
        <w:rPr>
          <w:rFonts w:ascii="Arial" w:hAnsi="Arial" w:cs="Arial"/>
          <w:bCs/>
        </w:rPr>
        <w:t xml:space="preserve"> Union, </w:t>
      </w:r>
      <w:proofErr w:type="spellStart"/>
      <w:r w:rsidRPr="00E0782B">
        <w:rPr>
          <w:rFonts w:ascii="Arial" w:hAnsi="Arial" w:cs="Arial"/>
          <w:bCs/>
        </w:rPr>
        <w:t>Savar</w:t>
      </w:r>
      <w:proofErr w:type="spellEnd"/>
      <w:r w:rsidRPr="00E0782B">
        <w:rPr>
          <w:rFonts w:ascii="Arial" w:hAnsi="Arial" w:cs="Arial"/>
          <w:bCs/>
        </w:rPr>
        <w:t xml:space="preserve">, Dhaka: </w:t>
      </w:r>
      <w:proofErr w:type="spellStart"/>
      <w:r w:rsidRPr="00E0782B">
        <w:rPr>
          <w:rFonts w:ascii="Arial" w:hAnsi="Arial" w:cs="Arial"/>
          <w:bCs/>
        </w:rPr>
        <w:t>Rostompur</w:t>
      </w:r>
      <w:proofErr w:type="spellEnd"/>
      <w:r w:rsidRPr="00E0782B">
        <w:rPr>
          <w:rFonts w:ascii="Arial" w:hAnsi="Arial" w:cs="Arial"/>
          <w:bCs/>
        </w:rPr>
        <w:t xml:space="preserve">, </w:t>
      </w:r>
      <w:proofErr w:type="spellStart"/>
      <w:r w:rsidRPr="00E0782B">
        <w:rPr>
          <w:rFonts w:ascii="Arial" w:hAnsi="Arial" w:cs="Arial"/>
          <w:bCs/>
        </w:rPr>
        <w:t>Paragram</w:t>
      </w:r>
      <w:proofErr w:type="spellEnd"/>
      <w:r w:rsidRPr="00E0782B">
        <w:rPr>
          <w:rFonts w:ascii="Arial" w:hAnsi="Arial" w:cs="Arial"/>
          <w:bCs/>
        </w:rPr>
        <w:t xml:space="preserve"> and </w:t>
      </w:r>
      <w:proofErr w:type="spellStart"/>
      <w:r w:rsidRPr="00E0782B">
        <w:rPr>
          <w:rFonts w:ascii="Arial" w:hAnsi="Arial" w:cs="Arial"/>
          <w:bCs/>
        </w:rPr>
        <w:t>Noapara</w:t>
      </w:r>
      <w:proofErr w:type="spellEnd"/>
      <w:r w:rsidRPr="00E0782B">
        <w:rPr>
          <w:rFonts w:ascii="Arial" w:hAnsi="Arial" w:cs="Arial"/>
          <w:bCs/>
        </w:rPr>
        <w:t xml:space="preserve">. </w:t>
      </w:r>
      <w:proofErr w:type="spellStart"/>
      <w:r w:rsidRPr="00E0782B">
        <w:rPr>
          <w:rFonts w:ascii="Arial" w:hAnsi="Arial" w:cs="Arial"/>
          <w:bCs/>
        </w:rPr>
        <w:t>Ashulia</w:t>
      </w:r>
      <w:proofErr w:type="spellEnd"/>
      <w:r w:rsidRPr="00E0782B">
        <w:rPr>
          <w:rFonts w:ascii="Arial" w:hAnsi="Arial" w:cs="Arial"/>
          <w:bCs/>
        </w:rPr>
        <w:t xml:space="preserve"> is a peri-urban zone near Dhaka with a long history of river-based livelihoods; however, intensive industrial activity and urbanization have stressed the </w:t>
      </w:r>
      <w:proofErr w:type="spellStart"/>
      <w:r w:rsidRPr="00E0782B">
        <w:rPr>
          <w:rFonts w:ascii="Arial" w:hAnsi="Arial" w:cs="Arial"/>
          <w:bCs/>
        </w:rPr>
        <w:t>Turag</w:t>
      </w:r>
      <w:proofErr w:type="spellEnd"/>
      <w:r w:rsidR="006A5B3D">
        <w:rPr>
          <w:rFonts w:ascii="Arial" w:hAnsi="Arial" w:cs="Arial"/>
          <w:bCs/>
        </w:rPr>
        <w:t xml:space="preserve"> River</w:t>
      </w:r>
      <w:r w:rsidRPr="00E0782B">
        <w:rPr>
          <w:rFonts w:ascii="Arial" w:hAnsi="Arial" w:cs="Arial"/>
          <w:bCs/>
        </w:rPr>
        <w:t xml:space="preserve"> ec</w:t>
      </w:r>
      <w:r w:rsidR="00485045">
        <w:rPr>
          <w:rFonts w:ascii="Arial" w:hAnsi="Arial" w:cs="Arial"/>
          <w:bCs/>
        </w:rPr>
        <w:t xml:space="preserve">osystem and local livelihoods. </w:t>
      </w:r>
      <w:r w:rsidRPr="00E0782B">
        <w:rPr>
          <w:rFonts w:ascii="Arial" w:hAnsi="Arial" w:cs="Arial"/>
          <w:bCs/>
        </w:rPr>
        <w:t xml:space="preserve">Fieldwork took </w:t>
      </w:r>
      <w:r w:rsidR="006A5B3D">
        <w:rPr>
          <w:rFonts w:ascii="Arial" w:hAnsi="Arial" w:cs="Arial"/>
          <w:bCs/>
        </w:rPr>
        <w:t>place from June 2024 to September</w:t>
      </w:r>
      <w:r w:rsidRPr="00E0782B">
        <w:rPr>
          <w:rFonts w:ascii="Arial" w:hAnsi="Arial" w:cs="Arial"/>
          <w:bCs/>
        </w:rPr>
        <w:t xml:space="preserve"> 2024. From the three villages, 150 fishermen were interviewed using a structured questionnaire; villages were purposively selected for their high concentration of fishing households and respon</w:t>
      </w:r>
      <w:r w:rsidR="00AB69AA">
        <w:rPr>
          <w:rFonts w:ascii="Arial" w:hAnsi="Arial" w:cs="Arial"/>
          <w:bCs/>
        </w:rPr>
        <w:t>dents wer</w:t>
      </w:r>
      <w:r w:rsidR="00867527">
        <w:rPr>
          <w:rFonts w:ascii="Arial" w:hAnsi="Arial" w:cs="Arial"/>
          <w:bCs/>
        </w:rPr>
        <w:t xml:space="preserve">e selected using </w:t>
      </w:r>
      <w:r w:rsidR="00867527">
        <w:t>random</w:t>
      </w:r>
      <w:r w:rsidRPr="00E0782B">
        <w:rPr>
          <w:rFonts w:ascii="Arial" w:hAnsi="Arial" w:cs="Arial"/>
          <w:bCs/>
        </w:rPr>
        <w:t xml:space="preserve"> sampling within each village cluster. The mixed method approach was employed in the collection of the data. To obtain socio-economic pointers of the region,</w:t>
      </w:r>
      <w:r w:rsidR="00867527">
        <w:rPr>
          <w:rFonts w:ascii="Arial" w:hAnsi="Arial" w:cs="Arial"/>
          <w:bCs/>
        </w:rPr>
        <w:t xml:space="preserve"> 20 </w:t>
      </w:r>
      <w:r w:rsidR="00867527">
        <w:t>In-depth interviews (IDIs) and</w:t>
      </w:r>
      <w:r w:rsidRPr="00E0782B">
        <w:rPr>
          <w:rFonts w:ascii="Arial" w:hAnsi="Arial" w:cs="Arial"/>
          <w:bCs/>
        </w:rPr>
        <w:t xml:space="preserve"> semi-structured interviews of 150 fishermen and 6 FGDs (6-8 participants each) were undertaken to capture the community perceptions of the river health, fish trends and livelihoods. 10 KIIs with local leaders were conducted to obtain knowledge abou</w:t>
      </w:r>
      <w:r w:rsidR="006A5B3D">
        <w:rPr>
          <w:rFonts w:ascii="Arial" w:hAnsi="Arial" w:cs="Arial"/>
          <w:bCs/>
        </w:rPr>
        <w:t>t institutional perspectives. 10</w:t>
      </w:r>
      <w:r w:rsidRPr="00E0782B">
        <w:rPr>
          <w:rFonts w:ascii="Arial" w:hAnsi="Arial" w:cs="Arial"/>
          <w:bCs/>
        </w:rPr>
        <w:t xml:space="preserve"> Case studies were used to provide detailed profiles that represent household coping mechanisms and moves away </w:t>
      </w:r>
      <w:r w:rsidR="001D640E">
        <w:rPr>
          <w:rFonts w:ascii="Arial" w:hAnsi="Arial" w:cs="Arial"/>
          <w:bCs/>
        </w:rPr>
        <w:t xml:space="preserve">from </w:t>
      </w:r>
      <w:r w:rsidRPr="00E0782B">
        <w:rPr>
          <w:rFonts w:ascii="Arial" w:hAnsi="Arial" w:cs="Arial"/>
          <w:bCs/>
        </w:rPr>
        <w:t>fishing. Besides that, there was close Observation of village infrastructure, markets and fishing practices</w:t>
      </w:r>
      <w:r w:rsidR="001D640E">
        <w:rPr>
          <w:rFonts w:ascii="Arial" w:hAnsi="Arial" w:cs="Arial"/>
          <w:bCs/>
        </w:rPr>
        <w:t>,</w:t>
      </w:r>
      <w:r w:rsidRPr="00E0782B">
        <w:rPr>
          <w:rFonts w:ascii="Arial" w:hAnsi="Arial" w:cs="Arial"/>
          <w:bCs/>
        </w:rPr>
        <w:t xml:space="preserve"> which provided a bigger picture of the way of life in the area. The quantitative responses were placed in a spreadsheet and the quantitative statistics analysis was carried out (frequencies, percentages). Thematic coding was applied to qualitative data received through the use of FGDs, KIIs and case studies</w:t>
      </w:r>
      <w:r w:rsidR="004E2FC3" w:rsidRPr="00E0782B">
        <w:rPr>
          <w:rFonts w:ascii="Arial" w:hAnsi="Arial" w:cs="Arial"/>
          <w:bCs/>
        </w:rPr>
        <w:t>.</w:t>
      </w:r>
    </w:p>
    <w:p w:rsidR="00485045" w:rsidRPr="00485045" w:rsidRDefault="007567E5" w:rsidP="00485045">
      <w:pPr>
        <w:pStyle w:val="Body"/>
        <w:rPr>
          <w:rFonts w:ascii="Arial" w:hAnsi="Arial" w:cs="Arial"/>
          <w:b/>
          <w:bCs/>
          <w:highlight w:val="yellow"/>
        </w:rPr>
      </w:pPr>
      <w:r>
        <w:rPr>
          <w:rFonts w:ascii="Arial" w:hAnsi="Arial" w:cs="Arial"/>
          <w:b/>
          <w:bCs/>
          <w:highlight w:val="yellow"/>
        </w:rPr>
        <w:t>3</w:t>
      </w:r>
      <w:r w:rsidR="00485045" w:rsidRPr="00485045">
        <w:rPr>
          <w:rFonts w:ascii="Arial" w:hAnsi="Arial" w:cs="Arial"/>
          <w:b/>
          <w:bCs/>
          <w:highlight w:val="yellow"/>
        </w:rPr>
        <w:t>.1 Sampling Strategy and Rationale</w:t>
      </w:r>
    </w:p>
    <w:p w:rsidR="00E0782B" w:rsidRDefault="00485045" w:rsidP="0096066C">
      <w:pPr>
        <w:pStyle w:val="Body"/>
        <w:rPr>
          <w:rFonts w:ascii="Arial" w:hAnsi="Arial" w:cs="Arial"/>
          <w:bCs/>
        </w:rPr>
      </w:pPr>
      <w:r w:rsidRPr="00485045">
        <w:rPr>
          <w:rFonts w:ascii="Arial" w:hAnsi="Arial" w:cs="Arial"/>
          <w:bCs/>
          <w:highlight w:val="yellow"/>
        </w:rPr>
        <w:t xml:space="preserve">These three villages are known as </w:t>
      </w:r>
      <w:proofErr w:type="spellStart"/>
      <w:r w:rsidRPr="00485045">
        <w:rPr>
          <w:rFonts w:ascii="Arial" w:hAnsi="Arial" w:cs="Arial"/>
          <w:bCs/>
          <w:highlight w:val="yellow"/>
        </w:rPr>
        <w:t>Rostompur</w:t>
      </w:r>
      <w:proofErr w:type="spellEnd"/>
      <w:r w:rsidRPr="00485045">
        <w:rPr>
          <w:rFonts w:ascii="Arial" w:hAnsi="Arial" w:cs="Arial"/>
          <w:bCs/>
          <w:highlight w:val="yellow"/>
        </w:rPr>
        <w:t xml:space="preserve">, </w:t>
      </w:r>
      <w:proofErr w:type="spellStart"/>
      <w:r w:rsidRPr="00485045">
        <w:rPr>
          <w:rFonts w:ascii="Arial" w:hAnsi="Arial" w:cs="Arial"/>
          <w:bCs/>
          <w:highlight w:val="yellow"/>
        </w:rPr>
        <w:t>Pargram</w:t>
      </w:r>
      <w:proofErr w:type="spellEnd"/>
      <w:r w:rsidRPr="00485045">
        <w:rPr>
          <w:rFonts w:ascii="Arial" w:hAnsi="Arial" w:cs="Arial"/>
          <w:bCs/>
          <w:highlight w:val="yellow"/>
        </w:rPr>
        <w:t xml:space="preserve">, and </w:t>
      </w:r>
      <w:proofErr w:type="spellStart"/>
      <w:r w:rsidRPr="00485045">
        <w:rPr>
          <w:rFonts w:ascii="Arial" w:hAnsi="Arial" w:cs="Arial"/>
          <w:bCs/>
          <w:highlight w:val="yellow"/>
        </w:rPr>
        <w:t>Noapara</w:t>
      </w:r>
      <w:proofErr w:type="spellEnd"/>
      <w:r w:rsidRPr="00485045">
        <w:rPr>
          <w:rFonts w:ascii="Arial" w:hAnsi="Arial" w:cs="Arial"/>
          <w:bCs/>
          <w:highlight w:val="yellow"/>
        </w:rPr>
        <w:t xml:space="preserve"> that were specifically chosen using three criteria, (1) a dense population of fishing-dependent households, (2) proximity of the villages to the sources of industrial pollution, and (3) the availability of varying settlement patterns on the </w:t>
      </w:r>
      <w:proofErr w:type="spellStart"/>
      <w:r w:rsidRPr="00485045">
        <w:rPr>
          <w:rFonts w:ascii="Arial" w:hAnsi="Arial" w:cs="Arial"/>
          <w:bCs/>
          <w:highlight w:val="yellow"/>
        </w:rPr>
        <w:t>Turag</w:t>
      </w:r>
      <w:proofErr w:type="spellEnd"/>
      <w:r w:rsidRPr="00485045">
        <w:rPr>
          <w:rFonts w:ascii="Arial" w:hAnsi="Arial" w:cs="Arial"/>
          <w:bCs/>
          <w:highlight w:val="yellow"/>
        </w:rPr>
        <w:t xml:space="preserve"> River. The number of households considered was 150 and the formula provided by Yamane (1967) at 95% confidence and 8% margin of error was used based on the estimated population of 250 fishing households in the three villages.</w:t>
      </w:r>
    </w:p>
    <w:p w:rsidR="00485045" w:rsidRDefault="007567E5" w:rsidP="00485045">
      <w:pPr>
        <w:pStyle w:val="Body"/>
        <w:rPr>
          <w:rFonts w:ascii="Arial" w:hAnsi="Arial" w:cs="Arial"/>
          <w:b/>
          <w:bCs/>
        </w:rPr>
      </w:pPr>
      <w:r>
        <w:rPr>
          <w:rFonts w:ascii="Arial" w:hAnsi="Arial" w:cs="Arial"/>
          <w:b/>
          <w:bCs/>
          <w:highlight w:val="yellow"/>
        </w:rPr>
        <w:t>3</w:t>
      </w:r>
      <w:r w:rsidR="00485045" w:rsidRPr="00485045">
        <w:rPr>
          <w:rFonts w:ascii="Arial" w:hAnsi="Arial" w:cs="Arial"/>
          <w:b/>
          <w:bCs/>
          <w:highlight w:val="yellow"/>
        </w:rPr>
        <w:t>.2 Mixed-Methods Integration Strategy</w:t>
      </w:r>
    </w:p>
    <w:p w:rsidR="00485045" w:rsidRDefault="00485045" w:rsidP="00485045">
      <w:pPr>
        <w:pStyle w:val="Body"/>
        <w:rPr>
          <w:rFonts w:ascii="Arial" w:hAnsi="Arial" w:cs="Arial"/>
          <w:bCs/>
        </w:rPr>
      </w:pPr>
      <w:r w:rsidRPr="00485045">
        <w:rPr>
          <w:rFonts w:ascii="Arial" w:hAnsi="Arial" w:cs="Arial"/>
          <w:bCs/>
          <w:highlight w:val="yellow"/>
        </w:rPr>
        <w:t>This study was based on convergent parallel mixed-method design where quantitative (survey) and qualitative (</w:t>
      </w:r>
      <w:r w:rsidR="00AB69AA">
        <w:rPr>
          <w:rFonts w:ascii="Arial" w:hAnsi="Arial" w:cs="Arial"/>
          <w:bCs/>
          <w:highlight w:val="yellow"/>
        </w:rPr>
        <w:t>IDIs, FGDs</w:t>
      </w:r>
      <w:r w:rsidRPr="00485045">
        <w:rPr>
          <w:rFonts w:ascii="Arial" w:hAnsi="Arial" w:cs="Arial"/>
          <w:bCs/>
          <w:highlight w:val="yellow"/>
        </w:rPr>
        <w:t xml:space="preserve">, KIIs, case studies) data were collected concomitantly but analyzed independently. Integration happened in three phases: (1) design stage-qualitative information was used to formulate the survey </w:t>
      </w:r>
      <w:proofErr w:type="gramStart"/>
      <w:r w:rsidRPr="00485045">
        <w:rPr>
          <w:rFonts w:ascii="Arial" w:hAnsi="Arial" w:cs="Arial"/>
          <w:bCs/>
          <w:highlight w:val="yellow"/>
        </w:rPr>
        <w:t>question(</w:t>
      </w:r>
      <w:proofErr w:type="gramEnd"/>
      <w:r w:rsidRPr="00485045">
        <w:rPr>
          <w:rFonts w:ascii="Arial" w:hAnsi="Arial" w:cs="Arial"/>
          <w:bCs/>
          <w:highlight w:val="yellow"/>
        </w:rPr>
        <w:t>2) analysis stage-quantitative observations were described through qualitative stories, (3) interpretation stage-both data sets were used to give a holistic interpretation.</w:t>
      </w:r>
    </w:p>
    <w:p w:rsidR="00AB69AA" w:rsidRPr="00AB69AA" w:rsidRDefault="007567E5" w:rsidP="00485045">
      <w:pPr>
        <w:pStyle w:val="Body"/>
        <w:rPr>
          <w:rFonts w:ascii="Arial" w:hAnsi="Arial" w:cs="Arial"/>
          <w:b/>
        </w:rPr>
      </w:pPr>
      <w:r>
        <w:rPr>
          <w:rFonts w:ascii="Arial" w:hAnsi="Arial" w:cs="Arial"/>
          <w:b/>
          <w:highlight w:val="yellow"/>
        </w:rPr>
        <w:t>3</w:t>
      </w:r>
      <w:r w:rsidR="00AB69AA" w:rsidRPr="00AB69AA">
        <w:rPr>
          <w:rFonts w:ascii="Arial" w:hAnsi="Arial" w:cs="Arial"/>
          <w:b/>
          <w:highlight w:val="yellow"/>
        </w:rPr>
        <w:t>.3 Ethical Considerations</w:t>
      </w:r>
      <w:r w:rsidR="00AB69AA" w:rsidRPr="00AB69AA">
        <w:rPr>
          <w:rFonts w:ascii="Arial" w:hAnsi="Arial" w:cs="Arial"/>
          <w:b/>
        </w:rPr>
        <w:t xml:space="preserve"> </w:t>
      </w:r>
    </w:p>
    <w:p w:rsidR="00485045" w:rsidRDefault="00AB69AA" w:rsidP="00FE6B74">
      <w:pPr>
        <w:rPr>
          <w:rFonts w:ascii="Arial" w:hAnsi="Arial" w:cs="Arial"/>
          <w:shd w:val="clear" w:color="auto" w:fill="D4EDDA"/>
        </w:rPr>
      </w:pPr>
      <w:r w:rsidRPr="00AB69AA">
        <w:rPr>
          <w:rFonts w:ascii="Arial" w:hAnsi="Arial" w:cs="Arial"/>
          <w:highlight w:val="yellow"/>
          <w:shd w:val="clear" w:color="auto" w:fill="D4EDDA"/>
        </w:rPr>
        <w:t>The research complied with ethical standards such as: (1) informed consent printed and signed by all participants and the purpose of the research and use of their data, (2) anonymity and assurance of confidentiality, (3) voluntary participation and right to withdraw, (4) cultural sensitivity during issues formulation, and (5) preliminary findings sharing with community leaders in the validation of the findings.</w:t>
      </w:r>
    </w:p>
    <w:p w:rsidR="00FE6B74" w:rsidRPr="00E0782B" w:rsidRDefault="00FE6B74" w:rsidP="00FE6B74">
      <w:pPr>
        <w:rPr>
          <w:rFonts w:ascii="Arial" w:hAnsi="Arial" w:cs="Arial"/>
          <w:bCs/>
        </w:rPr>
      </w:pPr>
    </w:p>
    <w:p w:rsidR="00902823" w:rsidRDefault="007567E5"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 xml:space="preserve">results </w:t>
      </w:r>
    </w:p>
    <w:p w:rsidR="00AC47C2" w:rsidRDefault="00AC47C2" w:rsidP="00AC47C2">
      <w:pPr>
        <w:pStyle w:val="Body"/>
        <w:rPr>
          <w:rFonts w:ascii="Times New Roman" w:hAnsi="Times New Roman"/>
        </w:rPr>
      </w:pPr>
    </w:p>
    <w:p w:rsidR="00AC47C2" w:rsidRPr="00AC47C2" w:rsidRDefault="00AC47C2" w:rsidP="00AC47C2">
      <w:pPr>
        <w:pStyle w:val="Body"/>
        <w:rPr>
          <w:rFonts w:ascii="Arial" w:hAnsi="Arial" w:cs="Arial"/>
        </w:rPr>
      </w:pPr>
      <w:r w:rsidRPr="00E0782B">
        <w:rPr>
          <w:rFonts w:ascii="Arial" w:hAnsi="Arial" w:cs="Arial"/>
        </w:rPr>
        <w:t>This section presents the findings from the mixed-methods analysis, integrating quantitative data from the survey of 150 fishermen households with qualitative insights from</w:t>
      </w:r>
      <w:r w:rsidR="00825A8A" w:rsidRPr="00825A8A">
        <w:t xml:space="preserve"> </w:t>
      </w:r>
      <w:r w:rsidR="00825A8A">
        <w:t>In-depth interviews (IDIs),</w:t>
      </w:r>
      <w:r w:rsidRPr="00E0782B">
        <w:rPr>
          <w:rFonts w:ascii="Arial" w:hAnsi="Arial" w:cs="Arial"/>
        </w:rPr>
        <w:t xml:space="preserve"> Focus Group Discussions (FGDs), Key Informant Interviews (KIIs), case studies. The results are organized thematically to provide a comprehensive overview of the socio-economic conditions of the fishing communities in </w:t>
      </w:r>
      <w:proofErr w:type="spellStart"/>
      <w:r w:rsidRPr="00E0782B">
        <w:rPr>
          <w:rFonts w:ascii="Arial" w:hAnsi="Arial" w:cs="Arial"/>
        </w:rPr>
        <w:t>Rostompur</w:t>
      </w:r>
      <w:proofErr w:type="spellEnd"/>
      <w:r w:rsidRPr="00E0782B">
        <w:rPr>
          <w:rFonts w:ascii="Arial" w:hAnsi="Arial" w:cs="Arial"/>
        </w:rPr>
        <w:t xml:space="preserve">, </w:t>
      </w:r>
      <w:proofErr w:type="spellStart"/>
      <w:r w:rsidRPr="00E0782B">
        <w:rPr>
          <w:rFonts w:ascii="Arial" w:hAnsi="Arial" w:cs="Arial"/>
        </w:rPr>
        <w:t>Paragram</w:t>
      </w:r>
      <w:proofErr w:type="spellEnd"/>
      <w:r w:rsidRPr="00E0782B">
        <w:rPr>
          <w:rFonts w:ascii="Arial" w:hAnsi="Arial" w:cs="Arial"/>
        </w:rPr>
        <w:t xml:space="preserve">, and </w:t>
      </w:r>
      <w:proofErr w:type="spellStart"/>
      <w:r w:rsidRPr="00E0782B">
        <w:rPr>
          <w:rFonts w:ascii="Arial" w:hAnsi="Arial" w:cs="Arial"/>
        </w:rPr>
        <w:t>Noapara</w:t>
      </w:r>
      <w:proofErr w:type="spellEnd"/>
      <w:r w:rsidRPr="00E0782B">
        <w:rPr>
          <w:rFonts w:ascii="Arial" w:hAnsi="Arial" w:cs="Arial"/>
        </w:rPr>
        <w:t>.</w:t>
      </w:r>
    </w:p>
    <w:p w:rsidR="004E2FC3" w:rsidRPr="004E2FC3" w:rsidRDefault="007567E5" w:rsidP="004E2FC3">
      <w:pPr>
        <w:pStyle w:val="Body"/>
        <w:rPr>
          <w:rFonts w:ascii="Arial" w:hAnsi="Arial" w:cs="Arial"/>
          <w:b/>
          <w:bCs/>
          <w:iCs/>
        </w:rPr>
      </w:pPr>
      <w:r>
        <w:rPr>
          <w:rFonts w:ascii="Arial" w:hAnsi="Arial" w:cs="Arial"/>
          <w:b/>
          <w:bCs/>
          <w:iCs/>
        </w:rPr>
        <w:t>4</w:t>
      </w:r>
      <w:r w:rsidR="0096066C">
        <w:rPr>
          <w:rFonts w:ascii="Arial" w:hAnsi="Arial" w:cs="Arial"/>
          <w:b/>
          <w:bCs/>
          <w:iCs/>
        </w:rPr>
        <w:t xml:space="preserve">.1 </w:t>
      </w:r>
      <w:r w:rsidR="00AC47C2" w:rsidRPr="00AC47C2">
        <w:rPr>
          <w:rFonts w:ascii="Arial" w:hAnsi="Arial" w:cs="Arial"/>
          <w:b/>
          <w:bCs/>
          <w:iCs/>
        </w:rPr>
        <w:t>Demographic and Socio-Economic Profile</w:t>
      </w:r>
    </w:p>
    <w:p w:rsidR="00AC47C2" w:rsidRPr="00375A4B" w:rsidRDefault="00091159" w:rsidP="00AC47C2">
      <w:pPr>
        <w:pStyle w:val="Body"/>
        <w:rPr>
          <w:rFonts w:ascii="Arial" w:hAnsi="Arial" w:cs="Arial"/>
        </w:rPr>
      </w:pPr>
      <w:r w:rsidRPr="00375A4B">
        <w:rPr>
          <w:rFonts w:ascii="Arial" w:hAnsi="Arial" w:cs="Arial"/>
        </w:rPr>
        <w:t>The demographic data indicate that there is a community that is mainly made up of males within the working age bracket, very low literacy rates, and average to high dependency rates</w:t>
      </w:r>
      <w:r w:rsidR="00AC47C2" w:rsidRPr="00375A4B">
        <w:rPr>
          <w:rFonts w:ascii="Arial" w:hAnsi="Arial" w:cs="Arial"/>
        </w:rPr>
        <w:t>.</w:t>
      </w:r>
    </w:p>
    <w:p w:rsidR="00AC47C2" w:rsidRPr="000B1094" w:rsidRDefault="000A53A6" w:rsidP="00E0782B">
      <w:pPr>
        <w:pStyle w:val="Body"/>
        <w:jc w:val="center"/>
        <w:rPr>
          <w:rFonts w:ascii="Arial" w:hAnsi="Arial" w:cs="Arial"/>
        </w:rPr>
      </w:pPr>
      <w:r>
        <w:rPr>
          <w:rFonts w:ascii="Arial" w:hAnsi="Arial"/>
          <w:b/>
        </w:rPr>
        <w:t xml:space="preserve">Table 1. </w:t>
      </w:r>
      <w:r w:rsidR="00AC47C2" w:rsidRPr="000A53A6">
        <w:rPr>
          <w:rFonts w:ascii="Arial" w:hAnsi="Arial" w:cs="Arial"/>
          <w:b/>
        </w:rPr>
        <w:t>Demographic Characteristics of Respondents (N=150)</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574"/>
        <w:gridCol w:w="2015"/>
        <w:gridCol w:w="1492"/>
        <w:gridCol w:w="1559"/>
      </w:tblGrid>
      <w:tr w:rsidR="00AC47C2" w:rsidRPr="00AC47C2" w:rsidTr="00700FB4">
        <w:trPr>
          <w:tblHeader/>
          <w:jc w:val="center"/>
        </w:trPr>
        <w:tc>
          <w:tcPr>
            <w:tcW w:w="1515" w:type="dxa"/>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lastRenderedPageBreak/>
              <w:t>Characteristic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Category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rsidTr="00700FB4">
        <w:trPr>
          <w:jc w:val="center"/>
        </w:trPr>
        <w:tc>
          <w:tcPr>
            <w:tcW w:w="1515" w:type="dxa"/>
            <w:tcBorders>
              <w:top w:val="single" w:sz="4" w:space="0" w:color="auto"/>
            </w:tcBorders>
            <w:shd w:val="clear" w:color="auto" w:fill="FFFFFF"/>
            <w:tcMar>
              <w:top w:w="150" w:type="dxa"/>
              <w:left w:w="0" w:type="dxa"/>
              <w:bottom w:w="150" w:type="dxa"/>
              <w:right w:w="240" w:type="dxa"/>
            </w:tcMar>
            <w:vAlign w:val="center"/>
            <w:hideMark/>
          </w:tcPr>
          <w:p w:rsidR="00AC47C2" w:rsidRPr="000A53A6" w:rsidRDefault="00AC47C2" w:rsidP="00AC47C2">
            <w:pPr>
              <w:pStyle w:val="Body"/>
              <w:rPr>
                <w:rFonts w:ascii="Arial" w:hAnsi="Arial" w:cs="Arial"/>
                <w:b/>
              </w:rPr>
            </w:pPr>
            <w:r w:rsidRPr="000A53A6">
              <w:rPr>
                <w:rFonts w:ascii="Arial" w:hAnsi="Arial" w:cs="Arial"/>
                <w:b/>
              </w:rPr>
              <w:t>Gender</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Male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147</w:t>
            </w:r>
          </w:p>
        </w:tc>
        <w:tc>
          <w:tcPr>
            <w:tcW w:w="0" w:type="auto"/>
            <w:tcBorders>
              <w:top w:val="single" w:sz="4" w:space="0" w:color="auto"/>
            </w:tcBorders>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98%</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Female</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3</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2%</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0A53A6" w:rsidRDefault="00AC47C2" w:rsidP="00AC47C2">
            <w:pPr>
              <w:pStyle w:val="Body"/>
              <w:rPr>
                <w:rFonts w:ascii="Arial" w:hAnsi="Arial" w:cs="Arial"/>
                <w:b/>
              </w:rPr>
            </w:pPr>
            <w:r w:rsidRPr="000A53A6">
              <w:rPr>
                <w:rFonts w:ascii="Arial" w:hAnsi="Arial" w:cs="Arial"/>
                <w:b/>
              </w:rPr>
              <w:t>Age Group</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20-29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25</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16.7%</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30-39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64</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42.7%</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40-49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50</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33.3%</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50-59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16</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10.7%</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60-70 years</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5</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3.3%</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0A53A6" w:rsidRDefault="00AC47C2" w:rsidP="00AC47C2">
            <w:pPr>
              <w:pStyle w:val="Body"/>
              <w:rPr>
                <w:rFonts w:ascii="Arial" w:hAnsi="Arial" w:cs="Arial"/>
                <w:b/>
              </w:rPr>
            </w:pPr>
            <w:r w:rsidRPr="000A53A6">
              <w:rPr>
                <w:rFonts w:ascii="Arial" w:hAnsi="Arial" w:cs="Arial"/>
                <w:b/>
              </w:rPr>
              <w:t>Education Level</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Illiterate</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60</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40%</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Primary</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73</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48.7%</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Secondary</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17</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11.3%</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Higher Education</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0</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0%</w:t>
            </w:r>
          </w:p>
        </w:tc>
      </w:tr>
      <w:tr w:rsidR="00AC47C2" w:rsidRPr="00AC47C2" w:rsidTr="00700FB4">
        <w:trPr>
          <w:jc w:val="center"/>
        </w:trPr>
        <w:tc>
          <w:tcPr>
            <w:tcW w:w="1515" w:type="dxa"/>
            <w:shd w:val="clear" w:color="auto" w:fill="FFFFFF"/>
            <w:tcMar>
              <w:top w:w="150" w:type="dxa"/>
              <w:left w:w="0" w:type="dxa"/>
              <w:bottom w:w="150" w:type="dxa"/>
              <w:right w:w="240" w:type="dxa"/>
            </w:tcMar>
            <w:vAlign w:val="center"/>
            <w:hideMark/>
          </w:tcPr>
          <w:p w:rsidR="00AC47C2" w:rsidRPr="000A53A6" w:rsidRDefault="00AC47C2" w:rsidP="00AC47C2">
            <w:pPr>
              <w:pStyle w:val="Body"/>
              <w:rPr>
                <w:rFonts w:ascii="Arial" w:hAnsi="Arial" w:cs="Arial"/>
                <w:b/>
              </w:rPr>
            </w:pPr>
            <w:r w:rsidRPr="000A53A6">
              <w:rPr>
                <w:rFonts w:ascii="Arial" w:hAnsi="Arial" w:cs="Arial"/>
                <w:b/>
              </w:rPr>
              <w:t>Religion</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Hindu</w:t>
            </w:r>
          </w:p>
        </w:tc>
        <w:tc>
          <w:tcPr>
            <w:tcW w:w="0" w:type="auto"/>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132</w:t>
            </w:r>
          </w:p>
        </w:tc>
        <w:tc>
          <w:tcPr>
            <w:tcW w:w="0" w:type="auto"/>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88%</w:t>
            </w:r>
          </w:p>
        </w:tc>
      </w:tr>
      <w:tr w:rsidR="00AC47C2" w:rsidRPr="00AC47C2" w:rsidTr="00700FB4">
        <w:trPr>
          <w:jc w:val="center"/>
        </w:trPr>
        <w:tc>
          <w:tcPr>
            <w:tcW w:w="1515" w:type="dxa"/>
            <w:tcBorders>
              <w:bottom w:val="single" w:sz="4" w:space="0" w:color="auto"/>
            </w:tcBorders>
            <w:shd w:val="clear" w:color="auto" w:fill="FFFFFF"/>
            <w:tcMar>
              <w:top w:w="150" w:type="dxa"/>
              <w:left w:w="0" w:type="dxa"/>
              <w:bottom w:w="150" w:type="dxa"/>
              <w:right w:w="240" w:type="dxa"/>
            </w:tcMar>
            <w:vAlign w:val="center"/>
            <w:hideMark/>
          </w:tcPr>
          <w:p w:rsidR="00AC47C2" w:rsidRPr="00AC47C2" w:rsidRDefault="00AC47C2" w:rsidP="00AC47C2">
            <w:pPr>
              <w:pStyle w:val="Body"/>
              <w:rPr>
                <w:rFonts w:ascii="Arial" w:hAnsi="Arial" w:cs="Arial"/>
              </w:rPr>
            </w:pP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Muslim</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rsidR="00AC47C2" w:rsidRPr="00AC47C2" w:rsidRDefault="00AC47C2" w:rsidP="00AC47C2">
            <w:pPr>
              <w:pStyle w:val="Body"/>
              <w:rPr>
                <w:rFonts w:ascii="Arial" w:hAnsi="Arial" w:cs="Arial"/>
              </w:rPr>
            </w:pPr>
            <w:r w:rsidRPr="00AC47C2">
              <w:rPr>
                <w:rFonts w:ascii="Arial" w:hAnsi="Arial" w:cs="Arial"/>
              </w:rPr>
              <w:t>18</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rsidR="00AC47C2" w:rsidRPr="00AC47C2" w:rsidRDefault="00AC47C2" w:rsidP="00AC47C2">
            <w:pPr>
              <w:pStyle w:val="Body"/>
              <w:rPr>
                <w:rFonts w:ascii="Arial" w:hAnsi="Arial" w:cs="Arial"/>
              </w:rPr>
            </w:pPr>
            <w:r w:rsidRPr="00AC47C2">
              <w:rPr>
                <w:rFonts w:ascii="Arial" w:hAnsi="Arial" w:cs="Arial"/>
              </w:rPr>
              <w:t>12%</w:t>
            </w:r>
          </w:p>
        </w:tc>
      </w:tr>
    </w:tbl>
    <w:p w:rsidR="00AC47C2" w:rsidRPr="00AC47C2" w:rsidRDefault="00700FB4" w:rsidP="00700FB4">
      <w:pPr>
        <w:pStyle w:val="Body"/>
        <w:jc w:val="center"/>
        <w:rPr>
          <w:rFonts w:ascii="Arial" w:hAnsi="Arial" w:cs="Arial"/>
        </w:rPr>
      </w:pPr>
      <w:r>
        <w:t>(Source: Field survey, 2024)</w:t>
      </w:r>
    </w:p>
    <w:p w:rsidR="004E2FC3" w:rsidRPr="00375A4B" w:rsidRDefault="00091159" w:rsidP="00AC47C2">
      <w:pPr>
        <w:pStyle w:val="Body"/>
        <w:rPr>
          <w:rFonts w:ascii="Arial" w:hAnsi="Arial" w:cs="Arial"/>
        </w:rPr>
      </w:pPr>
      <w:r w:rsidRPr="00375A4B">
        <w:rPr>
          <w:rFonts w:ascii="Arial" w:hAnsi="Arial" w:cs="Arial"/>
        </w:rPr>
        <w:t>Fishing is still a male</w:t>
      </w:r>
      <w:r w:rsidR="00375A4B" w:rsidRPr="00375A4B">
        <w:rPr>
          <w:rFonts w:ascii="Arial" w:hAnsi="Arial" w:cs="Arial"/>
        </w:rPr>
        <w:t xml:space="preserve"> dominate</w:t>
      </w:r>
      <w:r w:rsidRPr="00375A4B">
        <w:rPr>
          <w:rFonts w:ascii="Arial" w:hAnsi="Arial" w:cs="Arial"/>
        </w:rPr>
        <w:t xml:space="preserve"> occupation as indic</w:t>
      </w:r>
      <w:r w:rsidR="00375A4B" w:rsidRPr="00375A4B">
        <w:rPr>
          <w:rFonts w:ascii="Arial" w:hAnsi="Arial" w:cs="Arial"/>
        </w:rPr>
        <w:t>ated in Table 1 where 98%</w:t>
      </w:r>
      <w:r w:rsidRPr="00375A4B">
        <w:rPr>
          <w:rFonts w:ascii="Arial" w:hAnsi="Arial" w:cs="Arial"/>
        </w:rPr>
        <w:t xml:space="preserve"> of the respondents were males. Majority of the fishermen (76%), are in the prime age (30-49 years) of working. Its suggestion of that fishing is mainly done by the working-age adults. The educational attainment of the community is very low as reflected in the ed</w:t>
      </w:r>
      <w:r w:rsidR="00375A4B" w:rsidRPr="00375A4B">
        <w:rPr>
          <w:rFonts w:ascii="Arial" w:hAnsi="Arial" w:cs="Arial"/>
        </w:rPr>
        <w:t>ucational profile. 40%</w:t>
      </w:r>
      <w:r w:rsidRPr="00375A4B">
        <w:rPr>
          <w:rFonts w:ascii="Arial" w:hAnsi="Arial" w:cs="Arial"/>
        </w:rPr>
        <w:t xml:space="preserve"> of the respondents are illiterate and 48.7</w:t>
      </w:r>
      <w:r w:rsidR="00375A4B" w:rsidRPr="00375A4B">
        <w:rPr>
          <w:rFonts w:ascii="Arial" w:hAnsi="Arial" w:cs="Arial"/>
        </w:rPr>
        <w:t>%</w:t>
      </w:r>
      <w:r w:rsidRPr="00375A4B">
        <w:rPr>
          <w:rFonts w:ascii="Arial" w:hAnsi="Arial" w:cs="Arial"/>
        </w:rPr>
        <w:t xml:space="preserve"> have primary education only. Only a few respondents (11.3%) have completed secondary education. All the respondents were not at higher education. This can be attributed to such poor education levels that limit their chances to get out of di</w:t>
      </w:r>
      <w:r w:rsidR="00375A4B" w:rsidRPr="00375A4B">
        <w:rPr>
          <w:rFonts w:ascii="Arial" w:hAnsi="Arial" w:cs="Arial"/>
        </w:rPr>
        <w:t>ving into other non-fishing work</w:t>
      </w:r>
      <w:r w:rsidRPr="00375A4B">
        <w:rPr>
          <w:rFonts w:ascii="Arial" w:hAnsi="Arial" w:cs="Arial"/>
        </w:rPr>
        <w:t xml:space="preserve">. Religiously, the community makes up of mostly Hindu people (88%), since in the past it has been living in </w:t>
      </w:r>
      <w:r w:rsidR="00375A4B" w:rsidRPr="00375A4B">
        <w:rPr>
          <w:rFonts w:ascii="Arial" w:hAnsi="Arial" w:cs="Arial"/>
        </w:rPr>
        <w:t>the region. There are 12%</w:t>
      </w:r>
      <w:r w:rsidRPr="00375A4B">
        <w:rPr>
          <w:rFonts w:ascii="Arial" w:hAnsi="Arial" w:cs="Arial"/>
        </w:rPr>
        <w:t xml:space="preserve"> of Muslims out of the surveyed population. The distribution is one of the consequences of a long history and the presence of the Hindu communities who were engaged in fishing in the region</w:t>
      </w:r>
      <w:r w:rsidR="004E2FC3" w:rsidRPr="00375A4B">
        <w:rPr>
          <w:rFonts w:ascii="Arial" w:hAnsi="Arial" w:cs="Arial"/>
        </w:rPr>
        <w:t>.</w:t>
      </w:r>
      <w:bookmarkStart w:id="1" w:name="_Toc203472589"/>
    </w:p>
    <w:p w:rsidR="004E2FC3" w:rsidRPr="004E2FC3" w:rsidRDefault="007567E5" w:rsidP="004E2FC3">
      <w:pPr>
        <w:pStyle w:val="Body"/>
        <w:rPr>
          <w:rFonts w:ascii="Arial" w:hAnsi="Arial" w:cs="Arial"/>
          <w:b/>
          <w:bCs/>
          <w:iCs/>
        </w:rPr>
      </w:pPr>
      <w:r>
        <w:rPr>
          <w:rFonts w:ascii="Arial" w:hAnsi="Arial" w:cs="Arial"/>
          <w:b/>
          <w:bCs/>
          <w:iCs/>
        </w:rPr>
        <w:lastRenderedPageBreak/>
        <w:t>4</w:t>
      </w:r>
      <w:r w:rsidR="0096066C">
        <w:rPr>
          <w:rFonts w:ascii="Arial" w:hAnsi="Arial" w:cs="Arial"/>
          <w:b/>
          <w:bCs/>
          <w:iCs/>
        </w:rPr>
        <w:t xml:space="preserve">.2 </w:t>
      </w:r>
      <w:bookmarkEnd w:id="1"/>
      <w:r w:rsidR="00AC47C2" w:rsidRPr="00AC47C2">
        <w:rPr>
          <w:rFonts w:ascii="Arial" w:hAnsi="Arial" w:cs="Arial"/>
          <w:b/>
          <w:bCs/>
          <w:iCs/>
        </w:rPr>
        <w:t>Occupation, Income and Employment Patterns</w:t>
      </w:r>
    </w:p>
    <w:p w:rsidR="00AC47C2" w:rsidRDefault="00AC47C2" w:rsidP="00AC47C2">
      <w:pPr>
        <w:pStyle w:val="Body"/>
        <w:rPr>
          <w:rFonts w:ascii="Arial" w:hAnsi="Arial" w:cs="Arial"/>
        </w:rPr>
      </w:pPr>
      <w:r w:rsidRPr="00AC47C2">
        <w:rPr>
          <w:rFonts w:ascii="Arial" w:hAnsi="Arial" w:cs="Arial"/>
        </w:rPr>
        <w:t>For generations, the pulse of life here has been dictated by the tides. Fishing isn't just a</w:t>
      </w:r>
      <w:r w:rsidR="002D4FB3">
        <w:rPr>
          <w:rFonts w:ascii="Arial" w:hAnsi="Arial" w:cs="Arial"/>
        </w:rPr>
        <w:t>n</w:t>
      </w:r>
      <w:r w:rsidRPr="00AC47C2">
        <w:rPr>
          <w:rFonts w:ascii="Arial" w:hAnsi="Arial" w:cs="Arial"/>
        </w:rPr>
        <w:t xml:space="preserve"> occupation; it's an identity. Yet, that identity is now synonymous with a precarious struggle for survival. As the table below explain</w:t>
      </w:r>
      <w:r w:rsidR="002D4FB3">
        <w:rPr>
          <w:rFonts w:ascii="Arial" w:hAnsi="Arial" w:cs="Arial"/>
        </w:rPr>
        <w:t>s</w:t>
      </w:r>
      <w:r w:rsidRPr="00AC47C2">
        <w:rPr>
          <w:rFonts w:ascii="Arial" w:hAnsi="Arial" w:cs="Arial"/>
        </w:rPr>
        <w:t>, while the river remains the community's primary employer, it provides a meager and deeply unstable income, pushing the vast majority of families to the very edge of poverty.</w:t>
      </w:r>
    </w:p>
    <w:p w:rsidR="00AC47C2" w:rsidRPr="000B1094" w:rsidRDefault="000A53A6" w:rsidP="00E0782B">
      <w:pPr>
        <w:pStyle w:val="Body"/>
        <w:jc w:val="center"/>
        <w:rPr>
          <w:rFonts w:ascii="Arial" w:hAnsi="Arial" w:cs="Arial"/>
        </w:rPr>
      </w:pPr>
      <w:r>
        <w:rPr>
          <w:rFonts w:ascii="Arial" w:hAnsi="Arial" w:cs="Arial"/>
          <w:b/>
        </w:rPr>
        <w:t>Table 2.</w:t>
      </w:r>
      <w:r w:rsidR="00AC47C2" w:rsidRPr="00AC47C2">
        <w:rPr>
          <w:rFonts w:ascii="Arial" w:hAnsi="Arial" w:cs="Arial"/>
          <w:b/>
        </w:rPr>
        <w:t xml:space="preserve"> </w:t>
      </w:r>
      <w:r w:rsidR="00AC47C2" w:rsidRPr="000A53A6">
        <w:rPr>
          <w:rFonts w:ascii="Arial" w:hAnsi="Arial" w:cs="Arial"/>
          <w:b/>
        </w:rPr>
        <w:t>Occupation and Daily Income Patterns (N=150)</w:t>
      </w:r>
    </w:p>
    <w:tbl>
      <w:tblPr>
        <w:tblW w:w="5754" w:type="dxa"/>
        <w:jc w:val="center"/>
        <w:tblCellMar>
          <w:top w:w="15" w:type="dxa"/>
          <w:left w:w="15" w:type="dxa"/>
          <w:bottom w:w="15" w:type="dxa"/>
          <w:right w:w="15" w:type="dxa"/>
        </w:tblCellMar>
        <w:tblLook w:val="04A0" w:firstRow="1" w:lastRow="0" w:firstColumn="1" w:lastColumn="0" w:noHBand="0" w:noVBand="1"/>
      </w:tblPr>
      <w:tblGrid>
        <w:gridCol w:w="2373"/>
        <w:gridCol w:w="1653"/>
        <w:gridCol w:w="1728"/>
      </w:tblGrid>
      <w:tr w:rsidR="00AC47C2" w:rsidRPr="00AC47C2" w:rsidTr="00363D51">
        <w:trPr>
          <w:trHeight w:val="27"/>
          <w:tblHeader/>
          <w:jc w:val="center"/>
        </w:trPr>
        <w:tc>
          <w:tcPr>
            <w:tcW w:w="0" w:type="auto"/>
            <w:tcBorders>
              <w:top w:val="single" w:sz="4" w:space="0" w:color="auto"/>
              <w:bottom w:val="single" w:sz="4" w:space="0" w:color="auto"/>
            </w:tcBorders>
            <w:tcMar>
              <w:top w:w="150" w:type="dxa"/>
              <w:left w:w="0" w:type="dxa"/>
              <w:bottom w:w="150" w:type="dxa"/>
              <w:right w:w="240" w:type="dxa"/>
            </w:tcMar>
            <w:hideMark/>
          </w:tcPr>
          <w:p w:rsidR="00AC47C2" w:rsidRPr="00AC47C2" w:rsidRDefault="00AC47C2" w:rsidP="00AC47C2">
            <w:pPr>
              <w:pStyle w:val="Body"/>
              <w:rPr>
                <w:rFonts w:ascii="Arial" w:hAnsi="Arial" w:cs="Arial"/>
                <w:b/>
                <w:i/>
              </w:rPr>
            </w:pPr>
            <w:r w:rsidRPr="00AC47C2">
              <w:rPr>
                <w:rFonts w:ascii="Arial" w:hAnsi="Arial" w:cs="Arial"/>
                <w:b/>
                <w:i/>
              </w:rPr>
              <w:t>Primary Occupation</w:t>
            </w:r>
          </w:p>
        </w:tc>
        <w:tc>
          <w:tcPr>
            <w:tcW w:w="0" w:type="auto"/>
            <w:tcBorders>
              <w:top w:val="single" w:sz="4" w:space="0" w:color="auto"/>
              <w:bottom w:val="single" w:sz="4" w:space="0" w:color="auto"/>
            </w:tcBorders>
            <w:tcMar>
              <w:top w:w="150" w:type="dxa"/>
              <w:left w:w="240" w:type="dxa"/>
              <w:bottom w:w="150" w:type="dxa"/>
              <w:right w:w="240" w:type="dxa"/>
            </w:tcMar>
            <w:hideMark/>
          </w:tcPr>
          <w:p w:rsidR="00AC47C2" w:rsidRPr="00AC47C2" w:rsidRDefault="00AC47C2" w:rsidP="00AC47C2">
            <w:pPr>
              <w:pStyle w:val="Body"/>
              <w:rPr>
                <w:rFonts w:ascii="Arial" w:hAnsi="Arial" w:cs="Arial"/>
                <w:b/>
                <w:i/>
              </w:rPr>
            </w:pPr>
            <w:r w:rsidRPr="00AC47C2">
              <w:rPr>
                <w:rFonts w:ascii="Arial" w:hAnsi="Arial" w:cs="Arial"/>
                <w:b/>
                <w:i/>
              </w:rPr>
              <w:t>Frequency</w:t>
            </w:r>
          </w:p>
        </w:tc>
        <w:tc>
          <w:tcPr>
            <w:tcW w:w="0" w:type="auto"/>
            <w:tcBorders>
              <w:top w:val="single" w:sz="4" w:space="0" w:color="auto"/>
              <w:bottom w:val="single" w:sz="4" w:space="0" w:color="auto"/>
            </w:tcBorders>
            <w:tcMar>
              <w:top w:w="150" w:type="dxa"/>
              <w:left w:w="240" w:type="dxa"/>
              <w:bottom w:w="150" w:type="dxa"/>
              <w:right w:w="240" w:type="dxa"/>
            </w:tcMar>
            <w:hideMark/>
          </w:tcPr>
          <w:p w:rsidR="00AC47C2" w:rsidRPr="00AC47C2" w:rsidRDefault="00AC47C2" w:rsidP="00AC47C2">
            <w:pPr>
              <w:pStyle w:val="Body"/>
              <w:rPr>
                <w:rFonts w:ascii="Arial" w:hAnsi="Arial" w:cs="Arial"/>
                <w:b/>
                <w:i/>
              </w:rPr>
            </w:pPr>
            <w:r w:rsidRPr="00AC47C2">
              <w:rPr>
                <w:rFonts w:ascii="Arial" w:hAnsi="Arial" w:cs="Arial"/>
                <w:b/>
                <w:i/>
              </w:rPr>
              <w:t>Percentage</w:t>
            </w:r>
          </w:p>
        </w:tc>
      </w:tr>
      <w:tr w:rsidR="00AC47C2" w:rsidRPr="00AC47C2" w:rsidTr="00363D51">
        <w:trPr>
          <w:trHeight w:val="27"/>
          <w:jc w:val="center"/>
        </w:trPr>
        <w:tc>
          <w:tcPr>
            <w:tcW w:w="0" w:type="auto"/>
            <w:tcBorders>
              <w:top w:val="single" w:sz="4" w:space="0" w:color="auto"/>
            </w:tcBorders>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Fishing</w:t>
            </w:r>
          </w:p>
        </w:tc>
        <w:tc>
          <w:tcPr>
            <w:tcW w:w="0" w:type="auto"/>
            <w:tcBorders>
              <w:top w:val="single" w:sz="4" w:space="0" w:color="auto"/>
            </w:tcBorders>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65</w:t>
            </w:r>
          </w:p>
        </w:tc>
        <w:tc>
          <w:tcPr>
            <w:tcW w:w="0" w:type="auto"/>
            <w:tcBorders>
              <w:top w:val="single" w:sz="4" w:space="0" w:color="auto"/>
            </w:tcBorders>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43.3%</w:t>
            </w:r>
          </w:p>
        </w:tc>
      </w:tr>
      <w:tr w:rsidR="00AC47C2" w:rsidRPr="00AC47C2" w:rsidTr="00363D51">
        <w:trPr>
          <w:trHeight w:val="207"/>
          <w:jc w:val="center"/>
        </w:trPr>
        <w:tc>
          <w:tcPr>
            <w:tcW w:w="0" w:type="auto"/>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Daily Labor</w:t>
            </w:r>
          </w:p>
        </w:tc>
        <w:tc>
          <w:tcPr>
            <w:tcW w:w="0" w:type="auto"/>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30</w:t>
            </w:r>
          </w:p>
        </w:tc>
        <w:tc>
          <w:tcPr>
            <w:tcW w:w="0" w:type="auto"/>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23.3%</w:t>
            </w:r>
          </w:p>
        </w:tc>
      </w:tr>
      <w:tr w:rsidR="00AC47C2" w:rsidRPr="00AC47C2" w:rsidTr="00363D51">
        <w:trPr>
          <w:trHeight w:val="218"/>
          <w:jc w:val="center"/>
        </w:trPr>
        <w:tc>
          <w:tcPr>
            <w:tcW w:w="0" w:type="auto"/>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Small Businesses</w:t>
            </w:r>
          </w:p>
        </w:tc>
        <w:tc>
          <w:tcPr>
            <w:tcW w:w="0" w:type="auto"/>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35</w:t>
            </w:r>
          </w:p>
        </w:tc>
        <w:tc>
          <w:tcPr>
            <w:tcW w:w="0" w:type="auto"/>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20.0%</w:t>
            </w:r>
          </w:p>
        </w:tc>
      </w:tr>
      <w:tr w:rsidR="00AC47C2" w:rsidRPr="00AC47C2" w:rsidTr="00363D51">
        <w:trPr>
          <w:trHeight w:val="77"/>
          <w:jc w:val="center"/>
        </w:trPr>
        <w:tc>
          <w:tcPr>
            <w:tcW w:w="0" w:type="auto"/>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Other</w:t>
            </w:r>
          </w:p>
        </w:tc>
        <w:tc>
          <w:tcPr>
            <w:tcW w:w="0" w:type="auto"/>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20</w:t>
            </w:r>
          </w:p>
        </w:tc>
        <w:tc>
          <w:tcPr>
            <w:tcW w:w="0" w:type="auto"/>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13.3%</w:t>
            </w:r>
          </w:p>
        </w:tc>
      </w:tr>
      <w:tr w:rsidR="00AC47C2" w:rsidRPr="00AC47C2" w:rsidTr="00363D51">
        <w:trPr>
          <w:trHeight w:val="207"/>
          <w:jc w:val="center"/>
        </w:trPr>
        <w:tc>
          <w:tcPr>
            <w:tcW w:w="0" w:type="auto"/>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Daily Income (BDT)</w:t>
            </w:r>
          </w:p>
        </w:tc>
        <w:tc>
          <w:tcPr>
            <w:tcW w:w="0" w:type="auto"/>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p>
        </w:tc>
        <w:tc>
          <w:tcPr>
            <w:tcW w:w="0" w:type="auto"/>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p>
        </w:tc>
      </w:tr>
      <w:tr w:rsidR="00AC47C2" w:rsidRPr="00AC47C2" w:rsidTr="00363D51">
        <w:trPr>
          <w:trHeight w:val="207"/>
          <w:jc w:val="center"/>
        </w:trPr>
        <w:tc>
          <w:tcPr>
            <w:tcW w:w="0" w:type="auto"/>
            <w:shd w:val="clear" w:color="auto" w:fill="FFFFFF"/>
            <w:tcMar>
              <w:top w:w="150" w:type="dxa"/>
              <w:left w:w="0" w:type="dxa"/>
              <w:bottom w:w="150" w:type="dxa"/>
              <w:right w:w="240" w:type="dxa"/>
            </w:tcMar>
            <w:hideMark/>
          </w:tcPr>
          <w:p w:rsidR="00AC47C2" w:rsidRPr="00AC47C2" w:rsidRDefault="00363D51" w:rsidP="00AC47C2">
            <w:pPr>
              <w:pStyle w:val="Body"/>
              <w:rPr>
                <w:rFonts w:ascii="Arial" w:hAnsi="Arial" w:cs="Arial"/>
              </w:rPr>
            </w:pPr>
            <w:r>
              <w:t>≤600 BDT</w:t>
            </w:r>
          </w:p>
        </w:tc>
        <w:tc>
          <w:tcPr>
            <w:tcW w:w="0" w:type="auto"/>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90</w:t>
            </w:r>
          </w:p>
        </w:tc>
        <w:tc>
          <w:tcPr>
            <w:tcW w:w="0" w:type="auto"/>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60%</w:t>
            </w:r>
          </w:p>
        </w:tc>
      </w:tr>
      <w:tr w:rsidR="00AC47C2" w:rsidRPr="00AC47C2" w:rsidTr="00363D51">
        <w:trPr>
          <w:trHeight w:val="27"/>
          <w:jc w:val="center"/>
        </w:trPr>
        <w:tc>
          <w:tcPr>
            <w:tcW w:w="0" w:type="auto"/>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601 - 700</w:t>
            </w:r>
          </w:p>
        </w:tc>
        <w:tc>
          <w:tcPr>
            <w:tcW w:w="0" w:type="auto"/>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35</w:t>
            </w:r>
          </w:p>
        </w:tc>
        <w:tc>
          <w:tcPr>
            <w:tcW w:w="0" w:type="auto"/>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23.3%</w:t>
            </w:r>
          </w:p>
        </w:tc>
      </w:tr>
      <w:tr w:rsidR="00AC47C2" w:rsidRPr="00AC47C2" w:rsidTr="00363D51">
        <w:trPr>
          <w:trHeight w:val="27"/>
          <w:jc w:val="center"/>
        </w:trPr>
        <w:tc>
          <w:tcPr>
            <w:tcW w:w="0" w:type="auto"/>
            <w:tcBorders>
              <w:bottom w:val="single" w:sz="4" w:space="0" w:color="auto"/>
            </w:tcBorders>
            <w:shd w:val="clear" w:color="auto" w:fill="FFFFFF"/>
            <w:tcMar>
              <w:top w:w="150" w:type="dxa"/>
              <w:left w:w="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Above 700</w:t>
            </w:r>
          </w:p>
        </w:tc>
        <w:tc>
          <w:tcPr>
            <w:tcW w:w="0" w:type="auto"/>
            <w:tcBorders>
              <w:bottom w:val="single" w:sz="4" w:space="0" w:color="auto"/>
            </w:tcBorders>
            <w:shd w:val="clear" w:color="auto" w:fill="FFFFFF"/>
            <w:tcMar>
              <w:top w:w="150" w:type="dxa"/>
              <w:left w:w="240" w:type="dxa"/>
              <w:bottom w:w="150" w:type="dxa"/>
              <w:right w:w="240" w:type="dxa"/>
            </w:tcMar>
            <w:hideMark/>
          </w:tcPr>
          <w:p w:rsidR="00AC47C2" w:rsidRPr="00AC47C2" w:rsidRDefault="00AC47C2" w:rsidP="00AC47C2">
            <w:pPr>
              <w:pStyle w:val="Body"/>
              <w:rPr>
                <w:rFonts w:ascii="Arial" w:hAnsi="Arial" w:cs="Arial"/>
              </w:rPr>
            </w:pPr>
            <w:r w:rsidRPr="00AC47C2">
              <w:rPr>
                <w:rFonts w:ascii="Arial" w:hAnsi="Arial" w:cs="Arial"/>
              </w:rPr>
              <w:t>25</w:t>
            </w:r>
          </w:p>
        </w:tc>
        <w:tc>
          <w:tcPr>
            <w:tcW w:w="0" w:type="auto"/>
            <w:tcBorders>
              <w:bottom w:val="single" w:sz="4" w:space="0" w:color="auto"/>
            </w:tcBorders>
            <w:shd w:val="clear" w:color="auto" w:fill="FFFFFF"/>
            <w:tcMar>
              <w:top w:w="150" w:type="dxa"/>
              <w:left w:w="240" w:type="dxa"/>
              <w:bottom w:w="150" w:type="dxa"/>
              <w:right w:w="0" w:type="dxa"/>
            </w:tcMar>
            <w:hideMark/>
          </w:tcPr>
          <w:p w:rsidR="00AC47C2" w:rsidRPr="00AC47C2" w:rsidRDefault="00AC47C2" w:rsidP="00AC47C2">
            <w:pPr>
              <w:pStyle w:val="Body"/>
              <w:rPr>
                <w:rFonts w:ascii="Arial" w:hAnsi="Arial" w:cs="Arial"/>
              </w:rPr>
            </w:pPr>
            <w:r w:rsidRPr="00AC47C2">
              <w:rPr>
                <w:rFonts w:ascii="Arial" w:hAnsi="Arial" w:cs="Arial"/>
              </w:rPr>
              <w:t>16.7%</w:t>
            </w:r>
          </w:p>
        </w:tc>
      </w:tr>
    </w:tbl>
    <w:p w:rsidR="00AC47C2" w:rsidRDefault="00AC47C2" w:rsidP="00700FB4">
      <w:pPr>
        <w:pStyle w:val="Body"/>
        <w:spacing w:after="0"/>
        <w:jc w:val="center"/>
        <w:rPr>
          <w:rFonts w:ascii="Arial" w:hAnsi="Arial" w:cs="Arial"/>
          <w:i/>
        </w:rPr>
      </w:pPr>
      <w:r w:rsidRPr="00AC47C2">
        <w:rPr>
          <w:rFonts w:ascii="Arial" w:hAnsi="Arial" w:cs="Arial"/>
          <w:b/>
          <w:bCs/>
          <w:i/>
        </w:rPr>
        <w:t>Note:</w:t>
      </w:r>
      <w:r w:rsidRPr="00AC47C2">
        <w:rPr>
          <w:rFonts w:ascii="Arial" w:hAnsi="Arial" w:cs="Arial"/>
          <w:i/>
        </w:rPr>
        <w:t xml:space="preserve"> The “Other” category includes occupations such as rickshaw </w:t>
      </w:r>
      <w:r w:rsidR="002D4FB3">
        <w:rPr>
          <w:rFonts w:ascii="Arial" w:hAnsi="Arial" w:cs="Arial"/>
          <w:i/>
        </w:rPr>
        <w:t>puller</w:t>
      </w:r>
      <w:r w:rsidRPr="00AC47C2">
        <w:rPr>
          <w:rFonts w:ascii="Arial" w:hAnsi="Arial" w:cs="Arial"/>
          <w:i/>
        </w:rPr>
        <w:t>, Auto driver, and domestic work.</w:t>
      </w:r>
    </w:p>
    <w:p w:rsidR="00700FB4" w:rsidRPr="00700FB4" w:rsidRDefault="00700FB4" w:rsidP="00700FB4">
      <w:pPr>
        <w:pStyle w:val="Body"/>
        <w:spacing w:after="0"/>
        <w:jc w:val="center"/>
        <w:rPr>
          <w:rFonts w:ascii="Arial" w:hAnsi="Arial" w:cs="Arial"/>
        </w:rPr>
      </w:pPr>
      <w:r>
        <w:t>(Source: Field survey, 2024)</w:t>
      </w:r>
    </w:p>
    <w:p w:rsidR="00700FB4" w:rsidRPr="00EE7C60" w:rsidRDefault="00700FB4" w:rsidP="00AC47C2">
      <w:pPr>
        <w:pStyle w:val="Body"/>
        <w:rPr>
          <w:rFonts w:ascii="Arial" w:hAnsi="Arial" w:cs="Arial"/>
          <w:i/>
        </w:rPr>
      </w:pPr>
    </w:p>
    <w:p w:rsidR="00AC47C2" w:rsidRPr="008F07AD" w:rsidRDefault="00091159" w:rsidP="00AC47C2">
      <w:pPr>
        <w:pStyle w:val="Body"/>
      </w:pPr>
      <w:r w:rsidRPr="00375A4B">
        <w:rPr>
          <w:rFonts w:ascii="Arial" w:hAnsi="Arial" w:cs="Arial"/>
        </w:rPr>
        <w:t>The occupational status of the community as depicted in Table 2 reveals that the economy has significantly changed towards the occupation being based on fishing. Fishing is the most popular occupation but only 43.3</w:t>
      </w:r>
      <w:r w:rsidR="00624665" w:rsidRPr="00375A4B">
        <w:rPr>
          <w:rFonts w:ascii="Arial" w:hAnsi="Arial" w:cs="Arial"/>
        </w:rPr>
        <w:t>%</w:t>
      </w:r>
      <w:r w:rsidRPr="00375A4B">
        <w:rPr>
          <w:rFonts w:ascii="Arial" w:hAnsi="Arial" w:cs="Arial"/>
        </w:rPr>
        <w:t xml:space="preserve"> of households have been engaged in the activity currently. Although a fairly large percentage has moved to daily work (23.3%), small businesses (20.0%), and other informal work (13.3%). This means a slow transition towards non-reliance on fishing. The income-related information demonstrates that there is a high level of economic vulnerability because 60% of people that participated in the survey have less than BDT 600 per day. Only 16.7 per cent of them earn above BDT 700 indicating that even diversified livelihoods have low financial security. This professional change does not, however, signify the good times in large volumes. It is a depressing image of abject poverty as the daily income</w:t>
      </w:r>
      <w:r w:rsidR="00375A4B" w:rsidRPr="00375A4B">
        <w:rPr>
          <w:rFonts w:ascii="Arial" w:hAnsi="Arial" w:cs="Arial"/>
        </w:rPr>
        <w:t xml:space="preserve"> of fisherman</w:t>
      </w:r>
      <w:r w:rsidR="00AC47C2" w:rsidRPr="00375A4B">
        <w:rPr>
          <w:rFonts w:ascii="Arial" w:hAnsi="Arial" w:cs="Arial"/>
        </w:rPr>
        <w:t xml:space="preserve">. </w:t>
      </w:r>
      <w:r w:rsidR="008F07AD">
        <w:rPr>
          <w:rFonts w:ascii="Arial" w:hAnsi="Arial" w:cs="Arial"/>
          <w:highlight w:val="yellow"/>
        </w:rPr>
        <w:t>A staggering 60%</w:t>
      </w:r>
      <w:r w:rsidR="00AC47C2" w:rsidRPr="008066D3">
        <w:rPr>
          <w:rFonts w:ascii="Arial" w:hAnsi="Arial" w:cs="Arial"/>
          <w:highlight w:val="yellow"/>
        </w:rPr>
        <w:t xml:space="preserve"> of the population makes</w:t>
      </w:r>
      <w:r w:rsidR="00363D51">
        <w:rPr>
          <w:rFonts w:ascii="Arial" w:hAnsi="Arial" w:cs="Arial"/>
          <w:highlight w:val="yellow"/>
        </w:rPr>
        <w:t xml:space="preserve"> below 600 BDT</w:t>
      </w:r>
      <w:r w:rsidR="00EE7C60" w:rsidRPr="008066D3">
        <w:rPr>
          <w:rFonts w:ascii="Arial" w:hAnsi="Arial" w:cs="Arial"/>
          <w:highlight w:val="yellow"/>
        </w:rPr>
        <w:t xml:space="preserve"> a day and 23.3% </w:t>
      </w:r>
      <w:r w:rsidR="00AC47C2" w:rsidRPr="008066D3">
        <w:rPr>
          <w:rFonts w:ascii="Arial" w:hAnsi="Arial" w:cs="Arial"/>
          <w:highlight w:val="yellow"/>
        </w:rPr>
        <w:t xml:space="preserve">of the population makes even </w:t>
      </w:r>
      <w:r w:rsidR="00363D51">
        <w:rPr>
          <w:rFonts w:ascii="Arial" w:hAnsi="Arial" w:cs="Arial"/>
          <w:highlight w:val="yellow"/>
        </w:rPr>
        <w:t>less. The best-paid, over 700 BDT</w:t>
      </w:r>
      <w:r w:rsidR="00AC47C2" w:rsidRPr="008066D3">
        <w:rPr>
          <w:rFonts w:ascii="Arial" w:hAnsi="Arial" w:cs="Arial"/>
          <w:highlight w:val="yellow"/>
        </w:rPr>
        <w:t>, is found in a dangerously close position to the poverty line, including the family size, and the instability of the employment.</w:t>
      </w:r>
      <w:r w:rsidR="00EE7C60" w:rsidRPr="008066D3">
        <w:rPr>
          <w:highlight w:val="yellow"/>
        </w:rPr>
        <w:t xml:space="preserve"> According to the latest national estimates, the adjusted poverty thresholds stand at BDT 3,115 per capita per month </w:t>
      </w:r>
      <w:r w:rsidR="006570ED" w:rsidRPr="008066D3">
        <w:rPr>
          <w:highlight w:val="yellow"/>
        </w:rPr>
        <w:t>for the Lower Poverty Line</w:t>
      </w:r>
      <w:r w:rsidR="00EE7C60" w:rsidRPr="008066D3">
        <w:rPr>
          <w:highlight w:val="yellow"/>
        </w:rPr>
        <w:t xml:space="preserve"> and BDT 4,333 f</w:t>
      </w:r>
      <w:r w:rsidR="006570ED" w:rsidRPr="008066D3">
        <w:rPr>
          <w:highlight w:val="yellow"/>
        </w:rPr>
        <w:t>or the Upper Poverty Line (The Business Standard, 2025). The latest national estimates reveal that there is a large percentage of fishermen households living below or close to the poverty.</w:t>
      </w:r>
      <w:r w:rsidR="008066D3">
        <w:rPr>
          <w:highlight w:val="yellow"/>
        </w:rPr>
        <w:t xml:space="preserve"> </w:t>
      </w:r>
      <w:r w:rsidR="008066D3" w:rsidRPr="008066D3">
        <w:rPr>
          <w:highlight w:val="yellow"/>
        </w:rPr>
        <w:t>This quantitative finding is substantiated by qualitative narratives of debt cycles and food insecurity.</w:t>
      </w:r>
      <w:r w:rsidR="006500C9">
        <w:rPr>
          <w:highlight w:val="yellow"/>
        </w:rPr>
        <w:t xml:space="preserve"> </w:t>
      </w:r>
      <w:r w:rsidR="006570ED" w:rsidRPr="008066D3">
        <w:rPr>
          <w:highlight w:val="yellow"/>
        </w:rPr>
        <w:t xml:space="preserve"> </w:t>
      </w:r>
      <w:r w:rsidR="00AC47C2" w:rsidRPr="008066D3">
        <w:rPr>
          <w:rFonts w:ascii="Arial" w:hAnsi="Arial" w:cs="Arial"/>
          <w:highlight w:val="yellow"/>
        </w:rPr>
        <w:t>In this context</w:t>
      </w:r>
      <w:r w:rsidR="00AC47C2" w:rsidRPr="008066D3">
        <w:rPr>
          <w:rFonts w:ascii="Arial" w:hAnsi="Arial" w:cs="Arial"/>
          <w:b/>
          <w:bCs/>
          <w:highlight w:val="yellow"/>
        </w:rPr>
        <w:t xml:space="preserve"> </w:t>
      </w:r>
      <w:proofErr w:type="spellStart"/>
      <w:r w:rsidR="00AC47C2" w:rsidRPr="008066D3">
        <w:rPr>
          <w:rFonts w:ascii="Arial" w:hAnsi="Arial" w:cs="Arial"/>
          <w:bCs/>
          <w:highlight w:val="yellow"/>
        </w:rPr>
        <w:t>Horendro</w:t>
      </w:r>
      <w:proofErr w:type="spellEnd"/>
      <w:r w:rsidR="00AC47C2" w:rsidRPr="008066D3">
        <w:rPr>
          <w:rFonts w:ascii="Arial" w:hAnsi="Arial" w:cs="Arial"/>
          <w:highlight w:val="yellow"/>
        </w:rPr>
        <w:t xml:space="preserve"> (64), started</w:t>
      </w:r>
      <w:r w:rsidR="006570ED" w:rsidRPr="008066D3">
        <w:rPr>
          <w:rFonts w:ascii="Arial" w:hAnsi="Arial" w:cs="Arial"/>
          <w:highlight w:val="yellow"/>
        </w:rPr>
        <w:t xml:space="preserve"> his story</w:t>
      </w:r>
      <w:r w:rsidR="00AC47C2" w:rsidRPr="008066D3">
        <w:rPr>
          <w:rFonts w:ascii="Arial" w:hAnsi="Arial" w:cs="Arial"/>
          <w:highlight w:val="yellow"/>
        </w:rPr>
        <w:t>,</w:t>
      </w:r>
      <w:r w:rsidR="00AC47C2" w:rsidRPr="00AC47C2">
        <w:rPr>
          <w:rFonts w:ascii="Arial" w:hAnsi="Arial" w:cs="Arial"/>
        </w:rPr>
        <w:t xml:space="preserve"> </w:t>
      </w:r>
    </w:p>
    <w:p w:rsidR="00AC47C2" w:rsidRPr="00AC47C2" w:rsidRDefault="00AC47C2" w:rsidP="00AC47C2">
      <w:pPr>
        <w:pStyle w:val="Body"/>
        <w:rPr>
          <w:rFonts w:ascii="Arial" w:hAnsi="Arial" w:cs="Arial"/>
          <w:b/>
          <w:bCs/>
        </w:rPr>
      </w:pPr>
      <w:r w:rsidRPr="00AC47C2">
        <w:rPr>
          <w:rFonts w:ascii="Arial" w:hAnsi="Arial" w:cs="Arial"/>
        </w:rPr>
        <w:lastRenderedPageBreak/>
        <w:t>“After two decades of fishing, declining catches forced him to sell his boat. With that capital, he now runs a tiny tea</w:t>
      </w:r>
      <w:r w:rsidR="00EE7C60">
        <w:rPr>
          <w:rFonts w:ascii="Arial" w:hAnsi="Arial" w:cs="Arial"/>
        </w:rPr>
        <w:t xml:space="preserve"> stall. This was not my dream, </w:t>
      </w:r>
      <w:r w:rsidRPr="00AC47C2">
        <w:rPr>
          <w:rFonts w:ascii="Arial" w:hAnsi="Arial" w:cs="Arial"/>
        </w:rPr>
        <w:t>he shares, but the river stopped feeding my family. Now I sell tea and count coins all day. The income is steadier, but it's a fraction of what a good fishing day used to be. I am trapped between a dying past and a meager future.”</w:t>
      </w:r>
    </w:p>
    <w:p w:rsidR="00AC47C2" w:rsidRPr="00AC47C2" w:rsidRDefault="00AC47C2" w:rsidP="00AC47C2">
      <w:pPr>
        <w:pStyle w:val="Body"/>
        <w:rPr>
          <w:rFonts w:ascii="Arial" w:hAnsi="Arial" w:cs="Arial"/>
        </w:rPr>
      </w:pPr>
      <w:r w:rsidRPr="00AC47C2">
        <w:rPr>
          <w:rFonts w:ascii="Arial" w:hAnsi="Arial" w:cs="Arial"/>
        </w:rPr>
        <w:t>Another case study Bimal (55): From River to Night Watchman,</w:t>
      </w:r>
    </w:p>
    <w:p w:rsidR="00AC47C2" w:rsidRPr="00AC47C2" w:rsidRDefault="00AC47C2" w:rsidP="00AC47C2">
      <w:pPr>
        <w:pStyle w:val="Body"/>
        <w:rPr>
          <w:rFonts w:ascii="Arial" w:hAnsi="Arial" w:cs="Arial"/>
        </w:rPr>
      </w:pPr>
      <w:r w:rsidRPr="00AC47C2">
        <w:rPr>
          <w:rFonts w:ascii="Arial" w:hAnsi="Arial" w:cs="Arial"/>
        </w:rPr>
        <w:t>Bimal, 55, now works as a night watchman, falling into the “Other” occupation category. After 30 years as a fisherman, his body can no longer handle daily labor, but he must keep working. I went from mastering the river to watching over empty buildings, he says. His sons have become auto-rickshaw drivers, continuing the family's shift away from their traditional livelihood. “Fishing was our identity. These new jobs just stop us from starving - they don't feed who we are.”</w:t>
      </w:r>
    </w:p>
    <w:p w:rsidR="004E2FC3" w:rsidRPr="00035F77" w:rsidRDefault="00AC47C2" w:rsidP="00AC47C2">
      <w:pPr>
        <w:pStyle w:val="Body"/>
        <w:rPr>
          <w:rFonts w:ascii="Arial" w:hAnsi="Arial" w:cs="Arial"/>
        </w:rPr>
      </w:pPr>
      <w:r w:rsidRPr="00AC47C2">
        <w:rPr>
          <w:rFonts w:ascii="Arial" w:hAnsi="Arial" w:cs="Arial"/>
        </w:rPr>
        <w:t>These observation</w:t>
      </w:r>
      <w:r w:rsidR="00EF4F7F">
        <w:rPr>
          <w:rFonts w:ascii="Arial" w:hAnsi="Arial" w:cs="Arial"/>
        </w:rPr>
        <w:t>s</w:t>
      </w:r>
      <w:r w:rsidRPr="00AC47C2">
        <w:rPr>
          <w:rFonts w:ascii="Arial" w:hAnsi="Arial" w:cs="Arial"/>
        </w:rPr>
        <w:t xml:space="preserve"> validate the point that the abandonment of the fishery sector is not necessarily an upwardly mobile sector, but rather a displacement phenomenon. The community is trapped in low-skilled, unstable jobs that can only be sustained by the low skills that provide just survival and the families are no longer secure as they do not have a clear indication on how to get a better paying job that can enable them have a better future</w:t>
      </w:r>
      <w:r w:rsidR="004E2FC3" w:rsidRPr="004E2FC3">
        <w:rPr>
          <w:rFonts w:ascii="Arial" w:hAnsi="Arial" w:cs="Arial"/>
        </w:rPr>
        <w:t>.</w:t>
      </w:r>
      <w:bookmarkStart w:id="2" w:name="_Toc203472590"/>
    </w:p>
    <w:p w:rsidR="004E2FC3" w:rsidRPr="004E2FC3" w:rsidRDefault="007567E5" w:rsidP="004E2FC3">
      <w:pPr>
        <w:pStyle w:val="Body"/>
        <w:rPr>
          <w:rFonts w:ascii="Arial" w:hAnsi="Arial" w:cs="Arial"/>
          <w:b/>
          <w:bCs/>
          <w:iCs/>
        </w:rPr>
      </w:pPr>
      <w:r>
        <w:rPr>
          <w:rFonts w:ascii="Arial" w:hAnsi="Arial" w:cs="Arial"/>
          <w:b/>
          <w:bCs/>
          <w:iCs/>
        </w:rPr>
        <w:t>4</w:t>
      </w:r>
      <w:r w:rsidR="00035F77">
        <w:rPr>
          <w:rFonts w:ascii="Arial" w:hAnsi="Arial" w:cs="Arial"/>
          <w:b/>
          <w:bCs/>
          <w:iCs/>
        </w:rPr>
        <w:t xml:space="preserve">.3 </w:t>
      </w:r>
      <w:bookmarkEnd w:id="2"/>
      <w:r w:rsidR="00AC47C2" w:rsidRPr="00AC47C2">
        <w:rPr>
          <w:rFonts w:ascii="Arial" w:hAnsi="Arial" w:cs="Arial"/>
          <w:b/>
          <w:bCs/>
          <w:iCs/>
        </w:rPr>
        <w:t>Housing Conditions and Financial Access</w:t>
      </w:r>
    </w:p>
    <w:p w:rsidR="00AC47C2" w:rsidRPr="00AC47C2" w:rsidRDefault="00AC47C2" w:rsidP="00AC47C2">
      <w:pPr>
        <w:pStyle w:val="Body"/>
        <w:rPr>
          <w:rFonts w:ascii="Arial" w:hAnsi="Arial" w:cs="Arial"/>
        </w:rPr>
      </w:pPr>
      <w:r w:rsidRPr="00AC47C2">
        <w:rPr>
          <w:rFonts w:ascii="Arial" w:hAnsi="Arial" w:cs="Arial"/>
        </w:rPr>
        <w:t xml:space="preserve">The physical conditions of living and </w:t>
      </w:r>
      <w:r w:rsidR="00EF4F7F">
        <w:rPr>
          <w:rFonts w:ascii="Arial" w:hAnsi="Arial" w:cs="Arial"/>
        </w:rPr>
        <w:t>the</w:t>
      </w:r>
      <w:r w:rsidRPr="00AC47C2">
        <w:rPr>
          <w:rFonts w:ascii="Arial" w:hAnsi="Arial" w:cs="Arial"/>
        </w:rPr>
        <w:t xml:space="preserve"> absence of capital also reflect on how the community is marginalized. The huge populat</w:t>
      </w:r>
      <w:r w:rsidR="00A34316">
        <w:rPr>
          <w:rFonts w:ascii="Arial" w:hAnsi="Arial" w:cs="Arial"/>
        </w:rPr>
        <w:t>ion (8</w:t>
      </w:r>
      <w:r w:rsidR="007567E5">
        <w:rPr>
          <w:rFonts w:ascii="Arial" w:hAnsi="Arial" w:cs="Arial"/>
        </w:rPr>
        <w:t>7%) as shown in figure 2</w:t>
      </w:r>
      <w:r w:rsidRPr="00AC47C2">
        <w:rPr>
          <w:rFonts w:ascii="Arial" w:hAnsi="Arial" w:cs="Arial"/>
        </w:rPr>
        <w:t xml:space="preserve"> resides in poor housing. The survey also discovered that there was a lack of access to formal credit that was severe. The astonishing fact was that 90 percent of the respondents used personal savings or informal means to purchase their fishing equipment and only a small percentage (1 out of 10) had used NGO credit. They had all been denied borrowing by formal banking institutions, which further strengthened their financial weaknesses. The housing conditions demonstrate low econom</w:t>
      </w:r>
      <w:r w:rsidR="00A34316">
        <w:rPr>
          <w:rFonts w:ascii="Arial" w:hAnsi="Arial" w:cs="Arial"/>
        </w:rPr>
        <w:t xml:space="preserve">ic conditions of the community. </w:t>
      </w:r>
      <w:r w:rsidRPr="00AC47C2">
        <w:rPr>
          <w:rFonts w:ascii="Arial" w:hAnsi="Arial" w:cs="Arial"/>
        </w:rPr>
        <w:t>Out of the 150 households, 60% of</w:t>
      </w:r>
      <w:r w:rsidR="00A34316">
        <w:rPr>
          <w:rFonts w:ascii="Arial" w:hAnsi="Arial" w:cs="Arial"/>
        </w:rPr>
        <w:t xml:space="preserve"> them live in semi-</w:t>
      </w:r>
      <w:r w:rsidR="00A34316" w:rsidRPr="00A34316">
        <w:t xml:space="preserve"> </w:t>
      </w:r>
      <w:r w:rsidR="00A34316" w:rsidRPr="00A34316">
        <w:rPr>
          <w:rFonts w:ascii="Arial" w:hAnsi="Arial" w:cs="Arial"/>
        </w:rPr>
        <w:t>permanent</w:t>
      </w:r>
      <w:r w:rsidR="00A34316">
        <w:rPr>
          <w:rFonts w:ascii="Arial" w:hAnsi="Arial" w:cs="Arial"/>
        </w:rPr>
        <w:t xml:space="preserve"> (</w:t>
      </w:r>
      <w:proofErr w:type="spellStart"/>
      <w:r w:rsidRPr="00AC47C2">
        <w:rPr>
          <w:rFonts w:ascii="Arial" w:hAnsi="Arial" w:cs="Arial"/>
        </w:rPr>
        <w:t>ka</w:t>
      </w:r>
      <w:r w:rsidR="00EF4F7F">
        <w:rPr>
          <w:rFonts w:ascii="Arial" w:hAnsi="Arial" w:cs="Arial"/>
        </w:rPr>
        <w:t>t</w:t>
      </w:r>
      <w:r w:rsidRPr="00AC47C2">
        <w:rPr>
          <w:rFonts w:ascii="Arial" w:hAnsi="Arial" w:cs="Arial"/>
        </w:rPr>
        <w:t>cha</w:t>
      </w:r>
      <w:proofErr w:type="spellEnd"/>
      <w:r w:rsidRPr="00AC47C2">
        <w:rPr>
          <w:rFonts w:ascii="Arial" w:hAnsi="Arial" w:cs="Arial"/>
        </w:rPr>
        <w:t xml:space="preserve"> houses</w:t>
      </w:r>
      <w:r w:rsidR="00A34316">
        <w:rPr>
          <w:rFonts w:ascii="Arial" w:hAnsi="Arial" w:cs="Arial"/>
        </w:rPr>
        <w:t>)</w:t>
      </w:r>
      <w:r w:rsidRPr="00AC47C2">
        <w:rPr>
          <w:rFonts w:ascii="Arial" w:hAnsi="Arial" w:cs="Arial"/>
        </w:rPr>
        <w:t xml:space="preserve"> constructed along the bamboo, tin or any kind of temp</w:t>
      </w:r>
      <w:r w:rsidR="007567E5">
        <w:rPr>
          <w:rFonts w:ascii="Arial" w:hAnsi="Arial" w:cs="Arial"/>
        </w:rPr>
        <w:t xml:space="preserve">orary housing. </w:t>
      </w:r>
      <w:r w:rsidR="00A34316" w:rsidRPr="00A34316">
        <w:rPr>
          <w:rFonts w:ascii="Arial" w:hAnsi="Arial" w:cs="Arial"/>
        </w:rPr>
        <w:t xml:space="preserve">In contrast, </w:t>
      </w:r>
      <w:r w:rsidR="00A34316" w:rsidRPr="00A34316">
        <w:rPr>
          <w:rFonts w:ascii="Arial" w:hAnsi="Arial" w:cs="Arial"/>
          <w:bCs/>
        </w:rPr>
        <w:t>only 13% of households reside in permanent (</w:t>
      </w:r>
      <w:r w:rsidR="00A34316" w:rsidRPr="00A34316">
        <w:rPr>
          <w:rFonts w:ascii="Arial" w:hAnsi="Arial" w:cs="Arial"/>
          <w:bCs/>
          <w:i/>
          <w:iCs/>
        </w:rPr>
        <w:t>pucca</w:t>
      </w:r>
      <w:r w:rsidR="00A34316" w:rsidRPr="00A34316">
        <w:rPr>
          <w:rFonts w:ascii="Arial" w:hAnsi="Arial" w:cs="Arial"/>
          <w:bCs/>
        </w:rPr>
        <w:t>) houses</w:t>
      </w:r>
      <w:r w:rsidR="00A34316" w:rsidRPr="00A34316">
        <w:rPr>
          <w:rFonts w:ascii="Arial" w:hAnsi="Arial" w:cs="Arial"/>
        </w:rPr>
        <w:t>, reflecting the overall poor housing conditions of the community.</w:t>
      </w:r>
      <w:r w:rsidR="00A34316">
        <w:rPr>
          <w:rFonts w:ascii="Arial" w:hAnsi="Arial" w:cs="Arial"/>
        </w:rPr>
        <w:t xml:space="preserve"> </w:t>
      </w:r>
      <w:r w:rsidRPr="00AC47C2">
        <w:rPr>
          <w:rFonts w:ascii="Arial" w:hAnsi="Arial" w:cs="Arial"/>
        </w:rPr>
        <w:t>Mobile phones are the most widespread in terms of assets, but very few people own any higher-technology household equipment such as refrigerators. The village level health service and sanitation facilities are not good, and many families are exposed to the dangers of diseases and inappropriate living conditions.</w:t>
      </w:r>
    </w:p>
    <w:p w:rsidR="00AC47C2" w:rsidRPr="00AC47C2" w:rsidRDefault="00AC47C2" w:rsidP="00AC47C2">
      <w:pPr>
        <w:pStyle w:val="Body"/>
        <w:rPr>
          <w:rFonts w:ascii="Arial" w:hAnsi="Arial" w:cs="Arial"/>
        </w:rPr>
      </w:pPr>
    </w:p>
    <w:p w:rsidR="00AC47C2" w:rsidRPr="00AC47C2" w:rsidRDefault="007567E5" w:rsidP="00AC47C2">
      <w:pPr>
        <w:pStyle w:val="Body"/>
        <w:jc w:val="center"/>
        <w:rPr>
          <w:rFonts w:ascii="Arial" w:hAnsi="Arial" w:cs="Arial"/>
        </w:rPr>
      </w:pPr>
      <w:r>
        <w:rPr>
          <w:noProof/>
        </w:rPr>
        <w:drawing>
          <wp:inline distT="0" distB="0" distL="0" distR="0" wp14:anchorId="61A9D501" wp14:editId="4B5D8205">
            <wp:extent cx="3771900" cy="2047875"/>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47C2" w:rsidRDefault="000A53A6" w:rsidP="00700FB4">
      <w:pPr>
        <w:pStyle w:val="Body"/>
        <w:spacing w:after="0"/>
        <w:jc w:val="center"/>
        <w:rPr>
          <w:rFonts w:ascii="Arial" w:hAnsi="Arial" w:cs="Arial"/>
          <w:bCs/>
        </w:rPr>
      </w:pPr>
      <w:r>
        <w:rPr>
          <w:rFonts w:ascii="Arial" w:hAnsi="Arial" w:cs="Arial"/>
          <w:b/>
          <w:bCs/>
          <w:szCs w:val="22"/>
        </w:rPr>
        <w:t>Fig. 2</w:t>
      </w:r>
      <w:r w:rsidR="00AC47C2" w:rsidRPr="00AC47C2">
        <w:rPr>
          <w:rFonts w:ascii="Arial" w:hAnsi="Arial" w:cs="Arial"/>
          <w:b/>
          <w:bCs/>
        </w:rPr>
        <w:t xml:space="preserve">. </w:t>
      </w:r>
      <w:r w:rsidR="00AC47C2" w:rsidRPr="000A53A6">
        <w:rPr>
          <w:rFonts w:ascii="Arial" w:hAnsi="Arial" w:cs="Arial"/>
          <w:b/>
          <w:bCs/>
        </w:rPr>
        <w:t>Housing Conditions of Fishermen</w:t>
      </w:r>
    </w:p>
    <w:p w:rsidR="00700FB4" w:rsidRPr="00700FB4" w:rsidRDefault="00700FB4" w:rsidP="00700FB4">
      <w:pPr>
        <w:pStyle w:val="Body"/>
        <w:spacing w:after="0"/>
        <w:jc w:val="center"/>
        <w:rPr>
          <w:rFonts w:ascii="Arial" w:hAnsi="Arial" w:cs="Arial"/>
        </w:rPr>
      </w:pPr>
      <w:r>
        <w:t>(Source: Field survey, 2024)</w:t>
      </w:r>
    </w:p>
    <w:p w:rsidR="00700FB4" w:rsidRPr="00AC47C2" w:rsidRDefault="00700FB4" w:rsidP="00AC47C2">
      <w:pPr>
        <w:pStyle w:val="Body"/>
        <w:jc w:val="center"/>
        <w:rPr>
          <w:rFonts w:ascii="Arial" w:hAnsi="Arial" w:cs="Arial"/>
        </w:rPr>
      </w:pPr>
    </w:p>
    <w:p w:rsidR="004E2FC3" w:rsidRPr="00035F77" w:rsidRDefault="004E2FC3" w:rsidP="004E2FC3">
      <w:pPr>
        <w:pStyle w:val="Body"/>
        <w:rPr>
          <w:rFonts w:ascii="Arial" w:hAnsi="Arial" w:cs="Arial"/>
        </w:rPr>
      </w:pPr>
      <w:bookmarkStart w:id="3" w:name="_Toc203472591"/>
    </w:p>
    <w:p w:rsidR="004E2FC3" w:rsidRPr="00AC47C2" w:rsidRDefault="00035F77" w:rsidP="004E2FC3">
      <w:pPr>
        <w:pStyle w:val="Body"/>
        <w:rPr>
          <w:rFonts w:ascii="Arial" w:hAnsi="Arial" w:cs="Arial"/>
          <w:bCs/>
          <w:iCs/>
        </w:rPr>
      </w:pPr>
      <w:r>
        <w:rPr>
          <w:rFonts w:ascii="Arial" w:hAnsi="Arial" w:cs="Arial"/>
          <w:b/>
          <w:bCs/>
          <w:iCs/>
        </w:rPr>
        <w:t xml:space="preserve">3.4 </w:t>
      </w:r>
      <w:bookmarkEnd w:id="3"/>
      <w:r w:rsidR="00AC47C2" w:rsidRPr="00AC47C2">
        <w:rPr>
          <w:rFonts w:ascii="Arial" w:hAnsi="Arial" w:cs="Arial"/>
          <w:b/>
          <w:iCs/>
        </w:rPr>
        <w:t>Family Size and Dependency</w:t>
      </w:r>
    </w:p>
    <w:p w:rsidR="00AC47C2" w:rsidRPr="00AC47C2" w:rsidRDefault="00AC47C2" w:rsidP="00AC47C2">
      <w:pPr>
        <w:pStyle w:val="Body"/>
        <w:rPr>
          <w:rFonts w:ascii="Arial" w:hAnsi="Arial" w:cs="Arial"/>
        </w:rPr>
      </w:pPr>
      <w:r w:rsidRPr="00AC47C2">
        <w:rPr>
          <w:rFonts w:ascii="Arial" w:hAnsi="Arial" w:cs="Arial"/>
        </w:rPr>
        <w:t xml:space="preserve">According to the data, the data show that there is a significant correlation between family size and economic status as shown in Table 3. Although bigger families are higher in terms of total daily income (850 BDT), they are at the lowest level of the per capita income (121 BDT). This is the reason why 60 percent of the surveyed population earns between 500-600 BDT per day since most of the large families rely on the income level even though they have a larger income. Small </w:t>
      </w:r>
      <w:r w:rsidRPr="00AC47C2">
        <w:rPr>
          <w:rFonts w:ascii="Arial" w:hAnsi="Arial" w:cs="Arial"/>
        </w:rPr>
        <w:lastRenderedPageBreak/>
        <w:t>families with only 16.7 percent of the total households have the highest per capita income (260 BDT) and usually are within the “Above 700 BDT” bracket. This indicates that they are predominantly better economically even when taking into consideration their household income that is less than the total household income. The majority (53.3) of families with average income of 720 BDT have the moderate position with 160 BDT per capita income which makes them middle income earners. The reason why this is an inverse relationship between family size and per capita income is that larger families are strained economically as more earners fail to offset the demands of more dependents, and they remain at the lowest level of income despite increasing overall income.</w:t>
      </w:r>
      <w:r w:rsidR="006500C9">
        <w:rPr>
          <w:rFonts w:ascii="Arial" w:hAnsi="Arial" w:cs="Arial"/>
        </w:rPr>
        <w:t xml:space="preserve"> </w:t>
      </w:r>
    </w:p>
    <w:p w:rsidR="00AC47C2" w:rsidRPr="000A53A6" w:rsidRDefault="000A53A6" w:rsidP="0055711E">
      <w:pPr>
        <w:pStyle w:val="Body"/>
        <w:jc w:val="center"/>
        <w:rPr>
          <w:rFonts w:ascii="Arial" w:hAnsi="Arial" w:cs="Arial"/>
          <w:b/>
        </w:rPr>
      </w:pPr>
      <w:r w:rsidRPr="000A53A6">
        <w:rPr>
          <w:rFonts w:ascii="Arial" w:hAnsi="Arial" w:cs="Arial"/>
          <w:b/>
          <w:bCs/>
        </w:rPr>
        <w:t>Table 3.</w:t>
      </w:r>
      <w:r w:rsidR="00AC47C2" w:rsidRPr="000A53A6">
        <w:rPr>
          <w:rFonts w:ascii="Arial" w:hAnsi="Arial" w:cs="Arial"/>
          <w:b/>
          <w:bCs/>
        </w:rPr>
        <w:t xml:space="preserve"> Relationship Between Family Size and Income (N=150)</w:t>
      </w:r>
    </w:p>
    <w:tbl>
      <w:tblPr>
        <w:tblW w:w="9360" w:type="dxa"/>
        <w:jc w:val="center"/>
        <w:tblCellMar>
          <w:top w:w="15" w:type="dxa"/>
          <w:left w:w="15" w:type="dxa"/>
          <w:bottom w:w="15" w:type="dxa"/>
          <w:right w:w="15" w:type="dxa"/>
        </w:tblCellMar>
        <w:tblLook w:val="04A0" w:firstRow="1" w:lastRow="0" w:firstColumn="1" w:lastColumn="0" w:noHBand="0" w:noVBand="1"/>
      </w:tblPr>
      <w:tblGrid>
        <w:gridCol w:w="1943"/>
        <w:gridCol w:w="2451"/>
        <w:gridCol w:w="2218"/>
        <w:gridCol w:w="2748"/>
      </w:tblGrid>
      <w:tr w:rsidR="00AC47C2" w:rsidRPr="00AC47C2" w:rsidTr="000B1094">
        <w:trPr>
          <w:tblHeader/>
          <w:jc w:val="cent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Family Size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Average Daily Income (BDT)</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Per Capita Income (BDT)</w:t>
            </w:r>
          </w:p>
        </w:tc>
        <w:tc>
          <w:tcPr>
            <w:tcW w:w="2748" w:type="dxa"/>
            <w:tcBorders>
              <w:top w:val="single" w:sz="4" w:space="0" w:color="auto"/>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i/>
              </w:rPr>
            </w:pPr>
            <w:r w:rsidRPr="00AC47C2">
              <w:rPr>
                <w:rFonts w:ascii="Arial" w:hAnsi="Arial" w:cs="Arial"/>
                <w:i/>
              </w:rPr>
              <w:t>Income Distribution Alignment</w:t>
            </w:r>
          </w:p>
        </w:tc>
      </w:tr>
      <w:tr w:rsidR="00AC47C2" w:rsidRPr="00AC47C2" w:rsidTr="000B1094">
        <w:trPr>
          <w:jc w:val="center"/>
        </w:trPr>
        <w:tc>
          <w:tcPr>
            <w:tcW w:w="0" w:type="auto"/>
            <w:tcBorders>
              <w:top w:val="single" w:sz="4" w:space="0" w:color="auto"/>
            </w:tcBorders>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Small (2-3 members)</w:t>
            </w:r>
          </w:p>
        </w:tc>
        <w:tc>
          <w:tcPr>
            <w:tcW w:w="0" w:type="auto"/>
            <w:tcBorders>
              <w:top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650</w:t>
            </w:r>
          </w:p>
        </w:tc>
        <w:tc>
          <w:tcPr>
            <w:tcW w:w="0" w:type="auto"/>
            <w:tcBorders>
              <w:top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260</w:t>
            </w:r>
          </w:p>
        </w:tc>
        <w:tc>
          <w:tcPr>
            <w:tcW w:w="2748" w:type="dxa"/>
            <w:tcBorders>
              <w:top w:val="single" w:sz="4" w:space="0" w:color="auto"/>
            </w:tcBorders>
            <w:tcMar>
              <w:top w:w="150" w:type="dxa"/>
              <w:left w:w="240" w:type="dxa"/>
              <w:bottom w:w="150" w:type="dxa"/>
              <w:right w:w="0" w:type="dxa"/>
            </w:tcMar>
            <w:vAlign w:val="center"/>
            <w:hideMark/>
          </w:tcPr>
          <w:p w:rsidR="00AC47C2" w:rsidRPr="00AC47C2" w:rsidRDefault="000B1094" w:rsidP="0055711E">
            <w:pPr>
              <w:pStyle w:val="Body"/>
              <w:jc w:val="center"/>
              <w:rPr>
                <w:rFonts w:ascii="Arial" w:hAnsi="Arial" w:cs="Arial"/>
              </w:rPr>
            </w:pPr>
            <w:r>
              <w:rPr>
                <w:rFonts w:ascii="Arial" w:hAnsi="Arial" w:cs="Arial"/>
              </w:rPr>
              <w:t>Aligns with Above 700 BDT</w:t>
            </w:r>
            <w:r w:rsidR="00AC47C2" w:rsidRPr="00AC47C2">
              <w:rPr>
                <w:rFonts w:ascii="Arial" w:hAnsi="Arial" w:cs="Arial"/>
              </w:rPr>
              <w:t xml:space="preserve"> (16.7%)</w:t>
            </w:r>
          </w:p>
        </w:tc>
      </w:tr>
      <w:tr w:rsidR="00AC47C2" w:rsidRPr="00AC47C2" w:rsidTr="000B1094">
        <w:trPr>
          <w:jc w:val="center"/>
        </w:trPr>
        <w:tc>
          <w:tcPr>
            <w:tcW w:w="0" w:type="auto"/>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Medium (4-5 members)</w:t>
            </w:r>
          </w:p>
        </w:tc>
        <w:tc>
          <w:tcPr>
            <w:tcW w:w="0" w:type="auto"/>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720</w:t>
            </w:r>
          </w:p>
        </w:tc>
        <w:tc>
          <w:tcPr>
            <w:tcW w:w="0" w:type="auto"/>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160</w:t>
            </w:r>
          </w:p>
        </w:tc>
        <w:tc>
          <w:tcPr>
            <w:tcW w:w="2748" w:type="dxa"/>
            <w:tcMar>
              <w:top w:w="150" w:type="dxa"/>
              <w:left w:w="240" w:type="dxa"/>
              <w:bottom w:w="150" w:type="dxa"/>
              <w:right w:w="0" w:type="dxa"/>
            </w:tcMar>
            <w:vAlign w:val="center"/>
            <w:hideMark/>
          </w:tcPr>
          <w:p w:rsidR="00AC47C2" w:rsidRPr="00AC47C2" w:rsidRDefault="000B1094" w:rsidP="0055711E">
            <w:pPr>
              <w:pStyle w:val="Body"/>
              <w:jc w:val="center"/>
              <w:rPr>
                <w:rFonts w:ascii="Arial" w:hAnsi="Arial" w:cs="Arial"/>
              </w:rPr>
            </w:pPr>
            <w:r>
              <w:rPr>
                <w:rFonts w:ascii="Arial" w:hAnsi="Arial" w:cs="Arial"/>
              </w:rPr>
              <w:t>Aligns with 601-700BDT</w:t>
            </w:r>
            <w:r w:rsidR="00AC47C2" w:rsidRPr="00AC47C2">
              <w:rPr>
                <w:rFonts w:ascii="Arial" w:hAnsi="Arial" w:cs="Arial"/>
              </w:rPr>
              <w:t xml:space="preserve"> (23.3%)</w:t>
            </w:r>
          </w:p>
        </w:tc>
      </w:tr>
      <w:tr w:rsidR="00AC47C2" w:rsidRPr="00AC47C2" w:rsidTr="000B1094">
        <w:trPr>
          <w:jc w:val="center"/>
        </w:trPr>
        <w:tc>
          <w:tcPr>
            <w:tcW w:w="0" w:type="auto"/>
            <w:tcBorders>
              <w:bottom w:val="single" w:sz="4" w:space="0" w:color="auto"/>
            </w:tcBorders>
            <w:tcMar>
              <w:top w:w="150" w:type="dxa"/>
              <w:left w:w="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Large (6 or more)</w:t>
            </w:r>
          </w:p>
        </w:tc>
        <w:tc>
          <w:tcPr>
            <w:tcW w:w="0" w:type="auto"/>
            <w:tcBorders>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850</w:t>
            </w:r>
          </w:p>
        </w:tc>
        <w:tc>
          <w:tcPr>
            <w:tcW w:w="0" w:type="auto"/>
            <w:tcBorders>
              <w:bottom w:val="single" w:sz="4" w:space="0" w:color="auto"/>
            </w:tcBorders>
            <w:tcMar>
              <w:top w:w="150" w:type="dxa"/>
              <w:left w:w="240" w:type="dxa"/>
              <w:bottom w:w="150" w:type="dxa"/>
              <w:right w:w="24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121</w:t>
            </w:r>
          </w:p>
        </w:tc>
        <w:tc>
          <w:tcPr>
            <w:tcW w:w="2748" w:type="dxa"/>
            <w:tcBorders>
              <w:bottom w:val="single" w:sz="4" w:space="0" w:color="auto"/>
            </w:tcBorders>
            <w:tcMar>
              <w:top w:w="150" w:type="dxa"/>
              <w:left w:w="240" w:type="dxa"/>
              <w:bottom w:w="150" w:type="dxa"/>
              <w:right w:w="0" w:type="dxa"/>
            </w:tcMar>
            <w:vAlign w:val="center"/>
            <w:hideMark/>
          </w:tcPr>
          <w:p w:rsidR="00AC47C2" w:rsidRPr="00AC47C2" w:rsidRDefault="00AC47C2" w:rsidP="0055711E">
            <w:pPr>
              <w:pStyle w:val="Body"/>
              <w:jc w:val="center"/>
              <w:rPr>
                <w:rFonts w:ascii="Arial" w:hAnsi="Arial" w:cs="Arial"/>
              </w:rPr>
            </w:pPr>
            <w:r w:rsidRPr="00AC47C2">
              <w:rPr>
                <w:rFonts w:ascii="Arial" w:hAnsi="Arial" w:cs="Arial"/>
              </w:rPr>
              <w:t xml:space="preserve">Aligns with </w:t>
            </w:r>
            <w:r w:rsidR="000B1094">
              <w:t>≤600 BDT</w:t>
            </w:r>
            <w:r w:rsidR="000B1094" w:rsidRPr="00AC47C2">
              <w:rPr>
                <w:rFonts w:ascii="Arial" w:hAnsi="Arial" w:cs="Arial"/>
              </w:rPr>
              <w:t xml:space="preserve"> </w:t>
            </w:r>
            <w:r w:rsidRPr="00AC47C2">
              <w:rPr>
                <w:rFonts w:ascii="Arial" w:hAnsi="Arial" w:cs="Arial"/>
              </w:rPr>
              <w:t>(60%)</w:t>
            </w:r>
          </w:p>
        </w:tc>
      </w:tr>
    </w:tbl>
    <w:p w:rsidR="00700FB4" w:rsidRPr="00700FB4" w:rsidRDefault="00700FB4" w:rsidP="00700FB4">
      <w:pPr>
        <w:pStyle w:val="Body"/>
        <w:jc w:val="center"/>
        <w:rPr>
          <w:rFonts w:ascii="Arial" w:hAnsi="Arial" w:cs="Arial"/>
        </w:rPr>
      </w:pPr>
      <w:r>
        <w:rPr>
          <w:rFonts w:ascii="Arial" w:hAnsi="Arial" w:cs="Arial"/>
        </w:rPr>
        <w:tab/>
      </w:r>
      <w:r>
        <w:t>(Source: Field survey, 2024)</w:t>
      </w:r>
    </w:p>
    <w:p w:rsidR="00AC47C2" w:rsidRDefault="00AC47C2" w:rsidP="00700FB4">
      <w:pPr>
        <w:pStyle w:val="Body"/>
        <w:tabs>
          <w:tab w:val="left" w:pos="12855"/>
        </w:tabs>
        <w:rPr>
          <w:rFonts w:ascii="Arial" w:hAnsi="Arial" w:cs="Arial"/>
        </w:rPr>
      </w:pPr>
    </w:p>
    <w:p w:rsidR="00AC47C2" w:rsidRPr="00AC47C2" w:rsidRDefault="006500C9" w:rsidP="00AC47C2">
      <w:pPr>
        <w:pStyle w:val="Body"/>
        <w:rPr>
          <w:rFonts w:ascii="Arial" w:hAnsi="Arial" w:cs="Arial"/>
        </w:rPr>
      </w:pPr>
      <w:r w:rsidRPr="006500C9">
        <w:rPr>
          <w:rFonts w:ascii="Arial" w:hAnsi="Arial" w:cs="Arial"/>
          <w:highlight w:val="yellow"/>
        </w:rPr>
        <w:t>The negative correlation that existed between family size and the amount of per capita income reflects the mechanism of the poverty trap because larger families although having more earners, they fall more into economic pressure due to dilution of resources. This statistical trend is why 85% of the parents disapprove of fishing with kids- they are responding to the poverty transmission between generations, but not to an occupation of choice.</w:t>
      </w:r>
      <w:r>
        <w:rPr>
          <w:rFonts w:ascii="Arial" w:hAnsi="Arial" w:cs="Arial"/>
        </w:rPr>
        <w:t xml:space="preserve"> </w:t>
      </w:r>
      <w:r w:rsidR="00AC47C2" w:rsidRPr="00AC47C2">
        <w:rPr>
          <w:rFonts w:ascii="Arial" w:hAnsi="Arial" w:cs="Arial"/>
        </w:rPr>
        <w:t>Table 3 clearly demonstrates that the apparent advantage of higher total income in larger families becomes insignificant when calculated per capita. For instance, small families maintain an average per capita income of 260 BDT, whereas large families have only 121 BDT per person - less than half the amount. In this context</w:t>
      </w:r>
      <w:r w:rsidR="00AC47C2" w:rsidRPr="00AC47C2">
        <w:rPr>
          <w:rFonts w:ascii="Arial" w:hAnsi="Arial" w:cs="Arial"/>
          <w:b/>
        </w:rPr>
        <w:t>, </w:t>
      </w:r>
      <w:proofErr w:type="spellStart"/>
      <w:r w:rsidR="00AC47C2" w:rsidRPr="00AC47C2">
        <w:rPr>
          <w:rFonts w:ascii="Arial" w:hAnsi="Arial" w:cs="Arial"/>
          <w:bCs/>
        </w:rPr>
        <w:t>Ashit</w:t>
      </w:r>
      <w:proofErr w:type="spellEnd"/>
      <w:r w:rsidR="00AC47C2" w:rsidRPr="00AC47C2">
        <w:rPr>
          <w:rFonts w:ascii="Arial" w:hAnsi="Arial" w:cs="Arial"/>
          <w:bCs/>
        </w:rPr>
        <w:t xml:space="preserve"> (42) shares</w:t>
      </w:r>
      <w:r w:rsidR="00AC47C2" w:rsidRPr="00AC47C2">
        <w:rPr>
          <w:rFonts w:ascii="Arial" w:hAnsi="Arial" w:cs="Arial"/>
        </w:rPr>
        <w:t xml:space="preserve"> his family's experience: </w:t>
      </w:r>
    </w:p>
    <w:p w:rsidR="00AC47C2" w:rsidRPr="00A378A1" w:rsidRDefault="00AC47C2" w:rsidP="00AC47C2">
      <w:pPr>
        <w:pStyle w:val="Body"/>
        <w:rPr>
          <w:rFonts w:ascii="Arial" w:hAnsi="Arial" w:cs="Arial"/>
          <w:i/>
        </w:rPr>
      </w:pPr>
      <w:r w:rsidRPr="00AC47C2">
        <w:rPr>
          <w:rFonts w:ascii="Arial" w:hAnsi="Arial" w:cs="Arial"/>
        </w:rPr>
        <w:t>“</w:t>
      </w:r>
      <w:r w:rsidR="00A378A1" w:rsidRPr="00AC47C2">
        <w:rPr>
          <w:rFonts w:ascii="Arial" w:hAnsi="Arial" w:cs="Arial"/>
        </w:rPr>
        <w:t>Similarly, </w:t>
      </w:r>
      <w:r w:rsidR="00A378A1" w:rsidRPr="00AC47C2">
        <w:rPr>
          <w:rFonts w:ascii="Arial" w:hAnsi="Arial" w:cs="Arial"/>
          <w:bCs/>
        </w:rPr>
        <w:t>Rupa (35) explains</w:t>
      </w:r>
      <w:r w:rsidR="00A378A1" w:rsidRPr="00AC47C2">
        <w:rPr>
          <w:rFonts w:ascii="Arial" w:hAnsi="Arial" w:cs="Arial"/>
        </w:rPr>
        <w:t> their situation</w:t>
      </w:r>
      <w:r w:rsidR="00A378A1">
        <w:rPr>
          <w:rFonts w:ascii="Arial" w:hAnsi="Arial" w:cs="Arial"/>
        </w:rPr>
        <w:t>:</w:t>
      </w:r>
      <w:r w:rsidR="00A378A1" w:rsidRPr="00A378A1">
        <w:rPr>
          <w:rFonts w:ascii="Arial" w:hAnsi="Arial" w:cs="Arial"/>
          <w:i/>
        </w:rPr>
        <w:t xml:space="preserve"> They are five siblings who earn collectively 20-22 thousand BDT every month. Nevertheless, we are unable to meet the educational costs that smaller families can conveniently cover in this difficult economic climate since we have to support five individuals with this salary</w:t>
      </w:r>
      <w:r w:rsidRPr="00A378A1">
        <w:rPr>
          <w:rFonts w:ascii="Arial" w:hAnsi="Arial" w:cs="Arial"/>
        </w:rPr>
        <w:t>.”</w:t>
      </w:r>
    </w:p>
    <w:p w:rsidR="00A378A1" w:rsidRPr="00A378A1" w:rsidRDefault="00AC47C2" w:rsidP="00091159">
      <w:pPr>
        <w:pStyle w:val="Body"/>
        <w:rPr>
          <w:rFonts w:ascii="Arial" w:hAnsi="Arial" w:cs="Arial"/>
        </w:rPr>
      </w:pPr>
      <w:r w:rsidRPr="00A378A1">
        <w:rPr>
          <w:rFonts w:ascii="Arial" w:hAnsi="Arial" w:cs="Arial"/>
        </w:rPr>
        <w:t>Furthermore, </w:t>
      </w:r>
      <w:proofErr w:type="spellStart"/>
      <w:r w:rsidRPr="00A378A1">
        <w:rPr>
          <w:rFonts w:ascii="Arial" w:hAnsi="Arial" w:cs="Arial"/>
          <w:bCs/>
        </w:rPr>
        <w:t>Nobo</w:t>
      </w:r>
      <w:proofErr w:type="spellEnd"/>
      <w:r w:rsidRPr="00A378A1">
        <w:rPr>
          <w:rFonts w:ascii="Arial" w:hAnsi="Arial" w:cs="Arial"/>
          <w:bCs/>
        </w:rPr>
        <w:t xml:space="preserve"> Kumar (50) describes</w:t>
      </w:r>
      <w:r w:rsidRPr="00A378A1">
        <w:rPr>
          <w:rFonts w:ascii="Arial" w:hAnsi="Arial" w:cs="Arial"/>
        </w:rPr>
        <w:t xml:space="preserve"> their intergenerational reality: </w:t>
      </w:r>
    </w:p>
    <w:p w:rsidR="00091159" w:rsidRPr="00A378A1" w:rsidRDefault="00A378A1" w:rsidP="00091159">
      <w:pPr>
        <w:pStyle w:val="Body"/>
        <w:rPr>
          <w:rFonts w:ascii="Arial" w:hAnsi="Arial" w:cs="Arial"/>
        </w:rPr>
      </w:pPr>
      <w:r w:rsidRPr="00A378A1">
        <w:rPr>
          <w:rFonts w:ascii="Arial" w:hAnsi="Arial" w:cs="Arial"/>
          <w:i/>
        </w:rPr>
        <w:t>“</w:t>
      </w:r>
      <w:r w:rsidR="00091159" w:rsidRPr="00A378A1">
        <w:rPr>
          <w:rFonts w:ascii="Arial" w:hAnsi="Arial" w:cs="Arial"/>
          <w:i/>
        </w:rPr>
        <w:t>Our family has three generations under one roof. Although the total income generated is greater by the multiple earners, per capita calculation would explain why we find it difficult to meet basic needs such as healthcare and education which small families can access more easily.</w:t>
      </w:r>
      <w:r w:rsidR="00A21B20">
        <w:rPr>
          <w:rFonts w:ascii="Arial" w:hAnsi="Arial" w:cs="Arial"/>
          <w:i/>
        </w:rPr>
        <w:t>”</w:t>
      </w:r>
    </w:p>
    <w:p w:rsidR="004E2FC3" w:rsidRPr="00035F77" w:rsidRDefault="00AC47C2" w:rsidP="00AC47C2">
      <w:pPr>
        <w:pStyle w:val="Body"/>
        <w:rPr>
          <w:rFonts w:ascii="Arial" w:hAnsi="Arial" w:cs="Arial"/>
        </w:rPr>
      </w:pPr>
      <w:r w:rsidRPr="00AC47C2">
        <w:rPr>
          <w:rFonts w:ascii="Arial" w:hAnsi="Arial" w:cs="Arial"/>
        </w:rPr>
        <w:t>In that matter, the facts speak volumes that the total income amounts are rather deceptive. The per capita measure of income demonstrates that bigger families, though with more earners, are still vulnerable economically because the resources are spread out among more dependents. This knowledge is imperative in determining the effective strategies of reducing poverty to tackle the actual economic pressure of such households</w:t>
      </w:r>
      <w:r w:rsidR="004E2FC3" w:rsidRPr="004E2FC3">
        <w:rPr>
          <w:rFonts w:ascii="Arial" w:hAnsi="Arial" w:cs="Arial"/>
        </w:rPr>
        <w:t>.</w:t>
      </w:r>
      <w:bookmarkStart w:id="4" w:name="_Toc203472592"/>
    </w:p>
    <w:p w:rsidR="0055711E" w:rsidRDefault="00035F77" w:rsidP="004E2FC3">
      <w:pPr>
        <w:pStyle w:val="Body"/>
        <w:rPr>
          <w:rFonts w:ascii="Arial" w:hAnsi="Arial" w:cs="Arial"/>
          <w:b/>
          <w:bCs/>
          <w:iCs/>
        </w:rPr>
      </w:pPr>
      <w:r>
        <w:rPr>
          <w:rFonts w:ascii="Arial" w:hAnsi="Arial" w:cs="Arial"/>
          <w:b/>
          <w:bCs/>
          <w:iCs/>
        </w:rPr>
        <w:t xml:space="preserve">3.5 </w:t>
      </w:r>
      <w:bookmarkEnd w:id="4"/>
      <w:r w:rsidR="0055711E" w:rsidRPr="0055711E">
        <w:rPr>
          <w:rFonts w:ascii="Arial" w:hAnsi="Arial" w:cs="Arial"/>
          <w:b/>
          <w:bCs/>
          <w:iCs/>
        </w:rPr>
        <w:t xml:space="preserve">Perceived Decline in Fish Stocks and Barriers to Fishing </w:t>
      </w:r>
    </w:p>
    <w:p w:rsidR="0055711E" w:rsidRPr="0055711E" w:rsidRDefault="0055711E" w:rsidP="0055711E">
      <w:pPr>
        <w:pStyle w:val="Body"/>
        <w:rPr>
          <w:rFonts w:ascii="Arial" w:hAnsi="Arial" w:cs="Arial"/>
        </w:rPr>
      </w:pPr>
      <w:r w:rsidRPr="0055711E">
        <w:rPr>
          <w:rFonts w:ascii="Arial" w:hAnsi="Arial" w:cs="Arial"/>
        </w:rPr>
        <w:t xml:space="preserve">One of the key issues of the fishers is the reduction of the fish stocks of the </w:t>
      </w:r>
      <w:proofErr w:type="spellStart"/>
      <w:r w:rsidRPr="0055711E">
        <w:rPr>
          <w:rFonts w:ascii="Arial" w:hAnsi="Arial" w:cs="Arial"/>
        </w:rPr>
        <w:t>Turag</w:t>
      </w:r>
      <w:proofErr w:type="spellEnd"/>
      <w:r w:rsidRPr="0055711E">
        <w:rPr>
          <w:rFonts w:ascii="Arial" w:hAnsi="Arial" w:cs="Arial"/>
        </w:rPr>
        <w:t xml:space="preserve"> River. Majority of the respondents stated that fish supply has been reducing drastically as compared to previous years. The community identified several barriers that make fishing increasingly difficult. These include industrial pollution and dumping of toxic effluents in the river, encroachment and siltation of the river, political extortion and harassment, the limitation of some fishing gears, and </w:t>
      </w:r>
      <w:r w:rsidRPr="0055711E">
        <w:rPr>
          <w:rFonts w:ascii="Arial" w:hAnsi="Arial" w:cs="Arial"/>
        </w:rPr>
        <w:lastRenderedPageBreak/>
        <w:t>also low flow of water in the dry season. As detailed in figure 3 see. The challenges faced by the community are multifaceted, encompassing environmental, economic and institutional barriers.</w:t>
      </w:r>
    </w:p>
    <w:p w:rsidR="0055711E" w:rsidRPr="0055711E" w:rsidRDefault="0055711E" w:rsidP="0055711E">
      <w:pPr>
        <w:pStyle w:val="Body"/>
        <w:rPr>
          <w:rFonts w:ascii="Arial" w:hAnsi="Arial" w:cs="Arial"/>
        </w:rPr>
      </w:pPr>
    </w:p>
    <w:p w:rsidR="0055711E" w:rsidRPr="0055711E" w:rsidRDefault="0055711E" w:rsidP="0055711E">
      <w:pPr>
        <w:pStyle w:val="Body"/>
        <w:jc w:val="center"/>
        <w:rPr>
          <w:rFonts w:ascii="Arial" w:hAnsi="Arial" w:cs="Arial"/>
          <w:b/>
          <w:bCs/>
        </w:rPr>
      </w:pPr>
      <w:r w:rsidRPr="0055711E">
        <w:rPr>
          <w:rFonts w:ascii="Arial" w:hAnsi="Arial" w:cs="Arial"/>
          <w:noProof/>
        </w:rPr>
        <w:drawing>
          <wp:inline distT="0" distB="0" distL="0" distR="0" wp14:anchorId="5D51E0EB" wp14:editId="292E6ED0">
            <wp:extent cx="5230761" cy="3185652"/>
            <wp:effectExtent l="0" t="0" r="2730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711E" w:rsidRPr="000A53A6" w:rsidRDefault="000A53A6" w:rsidP="00700FB4">
      <w:pPr>
        <w:pStyle w:val="Body"/>
        <w:spacing w:after="0"/>
        <w:jc w:val="center"/>
        <w:rPr>
          <w:rFonts w:ascii="Arial" w:hAnsi="Arial" w:cs="Arial"/>
          <w:b/>
          <w:bCs/>
        </w:rPr>
      </w:pPr>
      <w:r w:rsidRPr="000A53A6">
        <w:rPr>
          <w:rFonts w:ascii="Arial" w:hAnsi="Arial" w:cs="Arial"/>
          <w:b/>
          <w:bCs/>
          <w:szCs w:val="22"/>
        </w:rPr>
        <w:t xml:space="preserve">Fig. </w:t>
      </w:r>
      <w:r w:rsidR="000B1094" w:rsidRPr="000A53A6">
        <w:rPr>
          <w:rFonts w:ascii="Arial" w:hAnsi="Arial" w:cs="Arial"/>
          <w:b/>
          <w:bCs/>
        </w:rPr>
        <w:t>3</w:t>
      </w:r>
      <w:r w:rsidR="0055711E" w:rsidRPr="000A53A6">
        <w:rPr>
          <w:rFonts w:ascii="Arial" w:hAnsi="Arial" w:cs="Arial"/>
          <w:b/>
          <w:bCs/>
        </w:rPr>
        <w:t>. Perceived Barriers to Fishing</w:t>
      </w:r>
    </w:p>
    <w:p w:rsidR="00700FB4" w:rsidRDefault="00700FB4" w:rsidP="00700FB4">
      <w:pPr>
        <w:pStyle w:val="Body"/>
        <w:spacing w:after="0"/>
        <w:jc w:val="center"/>
        <w:rPr>
          <w:rFonts w:ascii="Arial" w:hAnsi="Arial" w:cs="Arial"/>
        </w:rPr>
      </w:pPr>
      <w:r>
        <w:t>(Source: Field survey, 2024)</w:t>
      </w:r>
    </w:p>
    <w:p w:rsidR="00700FB4" w:rsidRPr="0055711E" w:rsidRDefault="00700FB4" w:rsidP="00700FB4">
      <w:pPr>
        <w:pStyle w:val="Body"/>
        <w:spacing w:after="0"/>
        <w:jc w:val="center"/>
        <w:rPr>
          <w:rFonts w:ascii="Arial" w:hAnsi="Arial" w:cs="Arial"/>
        </w:rPr>
      </w:pPr>
    </w:p>
    <w:p w:rsidR="004E2FC3" w:rsidRPr="004E2FC3" w:rsidRDefault="0055711E" w:rsidP="0055711E">
      <w:pPr>
        <w:pStyle w:val="Body"/>
        <w:rPr>
          <w:rFonts w:ascii="Arial" w:hAnsi="Arial" w:cs="Arial"/>
        </w:rPr>
      </w:pPr>
      <w:r w:rsidRPr="0055711E">
        <w:rPr>
          <w:rFonts w:ascii="Arial" w:hAnsi="Arial" w:cs="Arial"/>
        </w:rPr>
        <w:t>These barriers are confirmed by qualitative data. A multi-layered web of problems that is endangering the livelihood of fishing community is presented. The most burning issue is environmental degradation, where water pollution (95%) and a decrease in water flow (85%) are the direct-causing factors of a radical decrease in fish species (80%). This environmental catastrophe is exacerbated by the extreme economic insecurities especially at the hands of middlemen (90) and unavailability of formal credit (85) which have plunged fishermen into a debt trap. The operational challenges also play a major role, with them finding it difficult to compete with the high cost of the equipment (80%), lack of modern equipment (78%), and unfair competition with commercial trawlers (75%). Lastly, there is a feeling of institutional rejecti</w:t>
      </w:r>
      <w:r w:rsidR="000B1094">
        <w:rPr>
          <w:rFonts w:ascii="Arial" w:hAnsi="Arial" w:cs="Arial"/>
        </w:rPr>
        <w:t>on, as most of them 65%</w:t>
      </w:r>
      <w:r w:rsidRPr="0055711E">
        <w:rPr>
          <w:rFonts w:ascii="Arial" w:hAnsi="Arial" w:cs="Arial"/>
        </w:rPr>
        <w:t xml:space="preserve"> report being unsupported by the government and more than that ar</w:t>
      </w:r>
      <w:r w:rsidR="000B1094">
        <w:rPr>
          <w:rFonts w:ascii="Arial" w:hAnsi="Arial" w:cs="Arial"/>
        </w:rPr>
        <w:t>e directly harassed (55%)</w:t>
      </w:r>
      <w:r w:rsidRPr="0055711E">
        <w:rPr>
          <w:rFonts w:ascii="Arial" w:hAnsi="Arial" w:cs="Arial"/>
        </w:rPr>
        <w:t xml:space="preserve">. All these come together to form a highly risky livelihood of those who are reliant on the river. To explain the environmental deterioration, Prakash, a fisherman of 52, remarked that in the past, the river used to be clean. The factories now dispose their waste, and fish die away or vanish. My net is frequently unfilled and that little that I do take is bought by the middleman at a pittance that the same man who controls this part of the river controls. This </w:t>
      </w:r>
      <w:r w:rsidR="00DA7296">
        <w:rPr>
          <w:rFonts w:ascii="Arial" w:hAnsi="Arial" w:cs="Arial"/>
        </w:rPr>
        <w:t>environmental degradation</w:t>
      </w:r>
      <w:r w:rsidRPr="0055711E">
        <w:rPr>
          <w:rFonts w:ascii="Arial" w:hAnsi="Arial" w:cs="Arial"/>
        </w:rPr>
        <w:t xml:space="preserve"> keeps the families in perpetual debt. </w:t>
      </w:r>
      <w:r w:rsidR="00460CBA" w:rsidRPr="0055711E">
        <w:rPr>
          <w:rFonts w:ascii="Arial" w:hAnsi="Arial" w:cs="Arial"/>
        </w:rPr>
        <w:t>Descri</w:t>
      </w:r>
      <w:r w:rsidR="00460CBA">
        <w:rPr>
          <w:rFonts w:ascii="Arial" w:hAnsi="Arial" w:cs="Arial"/>
        </w:rPr>
        <w:t>bing</w:t>
      </w:r>
      <w:r w:rsidR="00460CBA" w:rsidRPr="0055711E">
        <w:rPr>
          <w:rFonts w:ascii="Arial" w:hAnsi="Arial" w:cs="Arial"/>
        </w:rPr>
        <w:t xml:space="preserve"> </w:t>
      </w:r>
      <w:r w:rsidR="00460CBA">
        <w:rPr>
          <w:rFonts w:ascii="Arial" w:hAnsi="Arial" w:cs="Arial"/>
        </w:rPr>
        <w:t>economic</w:t>
      </w:r>
      <w:r w:rsidRPr="0055711E">
        <w:rPr>
          <w:rFonts w:ascii="Arial" w:hAnsi="Arial" w:cs="Arial"/>
        </w:rPr>
        <w:t xml:space="preserve"> susceptibility this causes, Anjali, wife of a fisherman, remarked that we are working just to pay interests. It is a bad day on the river, not just in the sense that they do not get anything to eat that day, but in the sense that the debt </w:t>
      </w:r>
      <w:r w:rsidR="00EF4F7F">
        <w:rPr>
          <w:rFonts w:ascii="Arial" w:hAnsi="Arial" w:cs="Arial"/>
        </w:rPr>
        <w:t xml:space="preserve">has </w:t>
      </w:r>
      <w:r w:rsidRPr="0055711E">
        <w:rPr>
          <w:rFonts w:ascii="Arial" w:hAnsi="Arial" w:cs="Arial"/>
        </w:rPr>
        <w:t>swelled out to a greater extent. We are not living; we are drowning. These qualitative descriptions give first</w:t>
      </w:r>
      <w:r w:rsidR="00EF4F7F">
        <w:rPr>
          <w:rFonts w:ascii="Arial" w:hAnsi="Arial" w:cs="Arial"/>
        </w:rPr>
        <w:t>-</w:t>
      </w:r>
      <w:r w:rsidRPr="0055711E">
        <w:rPr>
          <w:rFonts w:ascii="Arial" w:hAnsi="Arial" w:cs="Arial"/>
        </w:rPr>
        <w:t>hand accounts of the current crisis that the fishing community is in, showing that the solutions to livelihoods must be sustainable. The three-fold fugitive of environmental pollution, economic exploitation, and institutional harassment is keeping the fishers further into a vulnerable position, their way of living and food security at stake</w:t>
      </w:r>
      <w:r w:rsidR="004E2FC3" w:rsidRPr="004E2FC3">
        <w:rPr>
          <w:rFonts w:ascii="Arial" w:hAnsi="Arial" w:cs="Arial"/>
        </w:rPr>
        <w:t>.</w:t>
      </w:r>
    </w:p>
    <w:p w:rsidR="004E2FC3" w:rsidRPr="004E2FC3" w:rsidRDefault="004E2FC3" w:rsidP="004E2FC3">
      <w:pPr>
        <w:pStyle w:val="Body"/>
        <w:rPr>
          <w:rFonts w:ascii="Arial" w:hAnsi="Arial" w:cs="Arial"/>
          <w:b/>
          <w:bCs/>
          <w:iCs/>
        </w:rPr>
      </w:pPr>
      <w:bookmarkStart w:id="5" w:name="_Toc203472593"/>
    </w:p>
    <w:p w:rsidR="0055711E" w:rsidRPr="0055711E" w:rsidRDefault="00035F77" w:rsidP="0055711E">
      <w:pPr>
        <w:pStyle w:val="Body"/>
        <w:rPr>
          <w:rFonts w:ascii="Arial" w:hAnsi="Arial" w:cs="Arial"/>
          <w:iCs/>
        </w:rPr>
      </w:pPr>
      <w:r>
        <w:rPr>
          <w:rFonts w:ascii="Arial" w:hAnsi="Arial" w:cs="Arial"/>
          <w:b/>
          <w:bCs/>
          <w:iCs/>
        </w:rPr>
        <w:t xml:space="preserve">3.6 </w:t>
      </w:r>
      <w:bookmarkEnd w:id="5"/>
      <w:r w:rsidR="0055711E" w:rsidRPr="0055711E">
        <w:rPr>
          <w:rFonts w:ascii="Arial" w:hAnsi="Arial" w:cs="Arial"/>
          <w:b/>
          <w:iCs/>
        </w:rPr>
        <w:t>Intergenerational Perspective and Future Generation</w:t>
      </w:r>
    </w:p>
    <w:p w:rsidR="0055711E" w:rsidRPr="0055711E" w:rsidRDefault="0055711E" w:rsidP="0055711E">
      <w:pPr>
        <w:pStyle w:val="Body"/>
        <w:rPr>
          <w:rFonts w:ascii="Arial" w:hAnsi="Arial" w:cs="Arial"/>
        </w:rPr>
      </w:pPr>
      <w:r w:rsidRPr="0055711E">
        <w:rPr>
          <w:rFonts w:ascii="Arial" w:hAnsi="Arial" w:cs="Arial"/>
        </w:rPr>
        <w:t>The data reveal a powerful intergenerational shift in aspirations, indicating that the current generation of fishermen does not see a viable future in this traditional occupation for their children.</w:t>
      </w:r>
    </w:p>
    <w:p w:rsidR="00700FB4" w:rsidRDefault="0055711E" w:rsidP="00700FB4">
      <w:pPr>
        <w:pStyle w:val="Body"/>
        <w:jc w:val="center"/>
        <w:rPr>
          <w:rFonts w:ascii="Arial" w:hAnsi="Arial" w:cs="Arial"/>
        </w:rPr>
      </w:pPr>
      <w:r w:rsidRPr="008E2FE8">
        <w:rPr>
          <w:rFonts w:ascii="Arial" w:hAnsi="Arial" w:cs="Arial"/>
          <w:noProof/>
        </w:rPr>
        <w:lastRenderedPageBreak/>
        <w:drawing>
          <wp:inline distT="0" distB="0" distL="0" distR="0" wp14:anchorId="755DFA6D" wp14:editId="315D11C6">
            <wp:extent cx="4572000" cy="2467897"/>
            <wp:effectExtent l="0" t="0" r="19050" b="279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5711E" w:rsidRPr="000A53A6" w:rsidRDefault="000A53A6" w:rsidP="00700FB4">
      <w:pPr>
        <w:pStyle w:val="Body"/>
        <w:spacing w:after="0"/>
        <w:jc w:val="center"/>
        <w:rPr>
          <w:rFonts w:ascii="Arial" w:hAnsi="Arial" w:cs="Arial"/>
          <w:b/>
          <w:bCs/>
        </w:rPr>
      </w:pPr>
      <w:r w:rsidRPr="000A53A6">
        <w:rPr>
          <w:rFonts w:ascii="Arial" w:hAnsi="Arial" w:cs="Arial"/>
          <w:b/>
        </w:rPr>
        <w:t>Fig.</w:t>
      </w:r>
      <w:r w:rsidR="00460CBA" w:rsidRPr="000A53A6">
        <w:rPr>
          <w:rFonts w:ascii="Arial" w:hAnsi="Arial" w:cs="Arial"/>
          <w:b/>
        </w:rPr>
        <w:t xml:space="preserve"> 4</w:t>
      </w:r>
      <w:r w:rsidR="0055711E" w:rsidRPr="000A53A6">
        <w:rPr>
          <w:rFonts w:ascii="Arial" w:hAnsi="Arial" w:cs="Arial"/>
          <w:b/>
        </w:rPr>
        <w:t xml:space="preserve">. </w:t>
      </w:r>
      <w:r w:rsidR="0055711E" w:rsidRPr="000A53A6">
        <w:rPr>
          <w:rFonts w:ascii="Arial" w:hAnsi="Arial" w:cs="Arial"/>
          <w:b/>
          <w:bCs/>
        </w:rPr>
        <w:t>Parental Perspectives on Children's Future</w:t>
      </w:r>
    </w:p>
    <w:p w:rsidR="00700FB4" w:rsidRDefault="00700FB4" w:rsidP="00700FB4">
      <w:pPr>
        <w:pStyle w:val="Body"/>
        <w:spacing w:after="0"/>
        <w:jc w:val="center"/>
      </w:pPr>
      <w:r>
        <w:t>(Source: Field survey, 2024)</w:t>
      </w:r>
    </w:p>
    <w:p w:rsidR="00700FB4" w:rsidRPr="0055711E" w:rsidRDefault="00700FB4" w:rsidP="00700FB4">
      <w:pPr>
        <w:pStyle w:val="Body"/>
        <w:spacing w:after="0"/>
        <w:jc w:val="center"/>
        <w:rPr>
          <w:rFonts w:ascii="Arial" w:hAnsi="Arial" w:cs="Arial"/>
        </w:rPr>
      </w:pPr>
    </w:p>
    <w:p w:rsidR="0055711E" w:rsidRPr="0055711E" w:rsidRDefault="0055711E" w:rsidP="0055711E">
      <w:pPr>
        <w:pStyle w:val="Body"/>
        <w:rPr>
          <w:rFonts w:ascii="Arial" w:hAnsi="Arial" w:cs="Arial"/>
          <w:i/>
        </w:rPr>
      </w:pPr>
      <w:r w:rsidRPr="0055711E">
        <w:rPr>
          <w:rFonts w:ascii="Arial" w:hAnsi="Arial" w:cs="Arial"/>
        </w:rPr>
        <w:t xml:space="preserve">According to the respondents, in a remarkable </w:t>
      </w:r>
      <w:r w:rsidR="00460CBA">
        <w:rPr>
          <w:rFonts w:ascii="Arial" w:hAnsi="Arial" w:cs="Arial"/>
        </w:rPr>
        <w:t>majority of 85%, figure 4</w:t>
      </w:r>
      <w:r w:rsidRPr="0055711E">
        <w:rPr>
          <w:rFonts w:ascii="Arial" w:hAnsi="Arial" w:cs="Arial"/>
        </w:rPr>
        <w:t xml:space="preserve"> shows that most respondents were emphatic that they do not wish their children to remain in the fishing profession. This emotion is directly connected with the desire to obtain hi</w:t>
      </w:r>
      <w:r w:rsidR="00460CBA">
        <w:rPr>
          <w:rFonts w:ascii="Arial" w:hAnsi="Arial" w:cs="Arial"/>
        </w:rPr>
        <w:t>gher education and 70%</w:t>
      </w:r>
      <w:r w:rsidRPr="0055711E">
        <w:rPr>
          <w:rFonts w:ascii="Arial" w:hAnsi="Arial" w:cs="Arial"/>
        </w:rPr>
        <w:t xml:space="preserve"> of parents wish their children could gain it, as it is the main way to have a more stable and dignified life. These statistics are given critically against the qualitative data. Parents, in Focus Group Discussions (FGDs), often mentioned their personal, hard, uncertain, and poor experiences as the key factors in directing their children out of fishing. One of their fishermen </w:t>
      </w:r>
      <w:r w:rsidR="00460CBA" w:rsidRPr="0055711E">
        <w:rPr>
          <w:rFonts w:ascii="Arial" w:hAnsi="Arial" w:cs="Arial"/>
        </w:rPr>
        <w:t>said,</w:t>
      </w:r>
      <w:r w:rsidR="00460CBA" w:rsidRPr="0055711E">
        <w:rPr>
          <w:rFonts w:ascii="Arial" w:hAnsi="Arial" w:cs="Arial"/>
          <w:i/>
          <w:iCs/>
        </w:rPr>
        <w:t xml:space="preserve"> “I</w:t>
      </w:r>
      <w:r w:rsidRPr="0055711E">
        <w:rPr>
          <w:rFonts w:ascii="Arial" w:hAnsi="Arial" w:cs="Arial"/>
          <w:i/>
          <w:iCs/>
        </w:rPr>
        <w:t xml:space="preserve"> have spent my life in this struggle. The river is dying, and so is our profession. I do not want my sons to face this same hardship and disrespect. Even if I have to struggle more, I will educate them so they can get a job with a fixed income.”</w:t>
      </w:r>
    </w:p>
    <w:p w:rsidR="0055711E" w:rsidRPr="0055711E" w:rsidRDefault="0055711E" w:rsidP="0055711E">
      <w:pPr>
        <w:pStyle w:val="Body"/>
        <w:rPr>
          <w:rFonts w:ascii="Arial" w:hAnsi="Arial" w:cs="Arial"/>
          <w:i/>
          <w:iCs/>
        </w:rPr>
      </w:pPr>
      <w:r w:rsidRPr="0055711E">
        <w:rPr>
          <w:rFonts w:ascii="Arial" w:hAnsi="Arial" w:cs="Arial"/>
        </w:rPr>
        <w:t>The 15% who wanted their children to continue fishing were typically older fishers (above 50) from households that still owned some fishing assets, like a boat. They viewed fishing as a family tradition and a form of self-employment. However, even within this group, there was an acknowledg</w:t>
      </w:r>
      <w:r w:rsidR="00EF4F7F">
        <w:rPr>
          <w:rFonts w:ascii="Arial" w:hAnsi="Arial" w:cs="Arial"/>
        </w:rPr>
        <w:t>e</w:t>
      </w:r>
      <w:r w:rsidRPr="0055711E">
        <w:rPr>
          <w:rFonts w:ascii="Arial" w:hAnsi="Arial" w:cs="Arial"/>
        </w:rPr>
        <w:t>ment that modern education was necessary. A Key Informant Interview (KII) with a local community leader revealed, </w:t>
      </w:r>
    </w:p>
    <w:p w:rsidR="0055711E" w:rsidRPr="0055711E" w:rsidRDefault="00460CBA" w:rsidP="0055711E">
      <w:pPr>
        <w:pStyle w:val="Body"/>
        <w:rPr>
          <w:rFonts w:ascii="Arial" w:hAnsi="Arial" w:cs="Arial"/>
          <w:iCs/>
        </w:rPr>
      </w:pPr>
      <w:r>
        <w:rPr>
          <w:rFonts w:ascii="Arial" w:hAnsi="Arial" w:cs="Arial"/>
          <w:iCs/>
        </w:rPr>
        <w:t>“…t</w:t>
      </w:r>
      <w:r w:rsidR="0055711E" w:rsidRPr="0055711E">
        <w:rPr>
          <w:rFonts w:ascii="Arial" w:hAnsi="Arial" w:cs="Arial"/>
          <w:iCs/>
        </w:rPr>
        <w:t>he older generation holds onto the identity, but they are not blind. They know the future is grim. They hope their children can perhaps manage the business side of fishing rather than doing the hard labor themselves, but they lack the resources and knowledge to make that transition.”</w:t>
      </w:r>
    </w:p>
    <w:p w:rsidR="00E053D0" w:rsidRDefault="0055711E" w:rsidP="0055711E">
      <w:pPr>
        <w:pStyle w:val="Body"/>
        <w:rPr>
          <w:rFonts w:ascii="Arial" w:hAnsi="Arial" w:cs="Arial"/>
        </w:rPr>
      </w:pPr>
      <w:r w:rsidRPr="0055711E">
        <w:rPr>
          <w:rFonts w:ascii="Arial" w:hAnsi="Arial" w:cs="Arial"/>
        </w:rPr>
        <w:t>This intergenerational mobility desire is, however, burdened with setbacks. Often, poor education and poverty, which parents desire to escape, make them unable to support the education of their children. School drop-out rates are very high because children are usually required to help provide funding to the family or help in fishing during seasonal times. This poses a very painful contradiction that the hopes of the parents about their future are suffocated by the same social-economic conditions they want to escape</w:t>
      </w:r>
      <w:r w:rsidR="004E2FC3" w:rsidRPr="004E2FC3">
        <w:rPr>
          <w:rFonts w:ascii="Arial" w:hAnsi="Arial" w:cs="Arial"/>
        </w:rPr>
        <w:t>.</w:t>
      </w:r>
    </w:p>
    <w:p w:rsidR="00790ADA" w:rsidRPr="00FB3A86" w:rsidRDefault="00790ADA" w:rsidP="00441B6F">
      <w:pPr>
        <w:pStyle w:val="Body"/>
        <w:spacing w:after="0"/>
        <w:rPr>
          <w:rFonts w:ascii="Arial" w:hAnsi="Arial" w:cs="Arial"/>
        </w:rPr>
      </w:pPr>
    </w:p>
    <w:p w:rsidR="004E2FC3" w:rsidRDefault="004E2FC3" w:rsidP="004E2FC3">
      <w:pPr>
        <w:pStyle w:val="Head1"/>
        <w:spacing w:after="0"/>
        <w:jc w:val="both"/>
        <w:rPr>
          <w:rFonts w:ascii="Arial" w:hAnsi="Arial" w:cs="Arial"/>
        </w:rPr>
      </w:pPr>
      <w:r>
        <w:rPr>
          <w:rFonts w:ascii="Arial" w:hAnsi="Arial" w:cs="Arial"/>
        </w:rPr>
        <w:t>4. discussion</w:t>
      </w:r>
    </w:p>
    <w:p w:rsidR="00035F77" w:rsidRPr="00035F77" w:rsidRDefault="00035F77" w:rsidP="00035F77">
      <w:pPr>
        <w:pStyle w:val="Body"/>
        <w:spacing w:before="240" w:after="0"/>
        <w:rPr>
          <w:rFonts w:ascii="Arial" w:hAnsi="Arial" w:cs="Arial"/>
          <w:sz w:val="2"/>
        </w:rPr>
      </w:pPr>
    </w:p>
    <w:p w:rsidR="0004788E" w:rsidRPr="0004788E" w:rsidRDefault="00121137" w:rsidP="0004788E">
      <w:pPr>
        <w:pStyle w:val="ConcHead"/>
        <w:jc w:val="both"/>
        <w:rPr>
          <w:rFonts w:ascii="Arial" w:hAnsi="Arial" w:cs="Arial"/>
          <w:b w:val="0"/>
          <w:caps w:val="0"/>
          <w:color w:val="222222"/>
          <w:sz w:val="20"/>
          <w:shd w:val="clear" w:color="auto" w:fill="FFFFFF"/>
        </w:rPr>
      </w:pPr>
      <w:r w:rsidRPr="00121137">
        <w:rPr>
          <w:rFonts w:ascii="Arial" w:hAnsi="Arial" w:cs="Arial"/>
          <w:b w:val="0"/>
          <w:caps w:val="0"/>
          <w:sz w:val="20"/>
          <w:shd w:val="clear" w:color="auto" w:fill="FFFFFF"/>
        </w:rPr>
        <w:t>Our study</w:t>
      </w:r>
      <w:r w:rsidR="00091159" w:rsidRPr="00121137">
        <w:rPr>
          <w:rFonts w:ascii="Arial" w:hAnsi="Arial" w:cs="Arial"/>
          <w:b w:val="0"/>
          <w:caps w:val="0"/>
          <w:sz w:val="20"/>
          <w:shd w:val="clear" w:color="auto" w:fill="FFFFFF"/>
        </w:rPr>
        <w:t xml:space="preserve"> offers a multi-dimensional and systemic crisis of livelihood insecurity among the fishing communities of the </w:t>
      </w:r>
      <w:proofErr w:type="spellStart"/>
      <w:r w:rsidR="00091159" w:rsidRPr="00121137">
        <w:rPr>
          <w:rFonts w:ascii="Arial" w:hAnsi="Arial" w:cs="Arial"/>
          <w:b w:val="0"/>
          <w:caps w:val="0"/>
          <w:sz w:val="20"/>
          <w:shd w:val="clear" w:color="auto" w:fill="FFFFFF"/>
        </w:rPr>
        <w:t>Turag</w:t>
      </w:r>
      <w:proofErr w:type="spellEnd"/>
      <w:r w:rsidR="00091159" w:rsidRPr="00121137">
        <w:rPr>
          <w:rFonts w:ascii="Arial" w:hAnsi="Arial" w:cs="Arial"/>
          <w:b w:val="0"/>
          <w:caps w:val="0"/>
          <w:sz w:val="20"/>
          <w:shd w:val="clear" w:color="auto" w:fill="FFFFFF"/>
        </w:rPr>
        <w:t xml:space="preserve"> River in </w:t>
      </w:r>
      <w:proofErr w:type="spellStart"/>
      <w:r w:rsidR="00091159" w:rsidRPr="00121137">
        <w:rPr>
          <w:rFonts w:ascii="Arial" w:hAnsi="Arial" w:cs="Arial"/>
          <w:b w:val="0"/>
          <w:caps w:val="0"/>
          <w:sz w:val="20"/>
          <w:shd w:val="clear" w:color="auto" w:fill="FFFFFF"/>
        </w:rPr>
        <w:t>Ashulia</w:t>
      </w:r>
      <w:proofErr w:type="spellEnd"/>
      <w:r w:rsidR="00091159" w:rsidRPr="00121137">
        <w:rPr>
          <w:rFonts w:ascii="Arial" w:hAnsi="Arial" w:cs="Arial"/>
          <w:b w:val="0"/>
          <w:caps w:val="0"/>
          <w:sz w:val="20"/>
          <w:shd w:val="clear" w:color="auto" w:fill="FFFFFF"/>
        </w:rPr>
        <w:t xml:space="preserve"> which is due to the concomitant forces of environmental degradation, socio-economic vulnerability and institutional inefficiency. Through application of Sustainable Livelihoods Framework (SLF), we have learned that the problems of livelihoods in this community are not isolated and random but a resultant cumulated effect of the depreciation of natural capital, human and monetary resources and the lack of institutional support</w:t>
      </w:r>
      <w:r w:rsidR="0004788E" w:rsidRPr="00121137">
        <w:rPr>
          <w:rFonts w:ascii="Arial" w:hAnsi="Arial" w:cs="Arial"/>
          <w:b w:val="0"/>
          <w:caps w:val="0"/>
          <w:sz w:val="20"/>
          <w:highlight w:val="yellow"/>
          <w:shd w:val="clear" w:color="auto" w:fill="FFFFFF"/>
        </w:rPr>
        <w:t>.</w:t>
      </w:r>
      <w:r w:rsidR="0004788E" w:rsidRPr="00B3472D">
        <w:rPr>
          <w:rFonts w:ascii="Arial" w:hAnsi="Arial" w:cs="Arial"/>
          <w:b w:val="0"/>
          <w:caps w:val="0"/>
          <w:color w:val="222222"/>
          <w:sz w:val="20"/>
          <w:highlight w:val="yellow"/>
          <w:shd w:val="clear" w:color="auto" w:fill="FFFFFF"/>
        </w:rPr>
        <w:t xml:space="preserve"> Environmental degradation comes out as the main cause of this crisis with 95 percent of</w:t>
      </w:r>
      <w:r w:rsidR="00C56687" w:rsidRPr="00B3472D">
        <w:rPr>
          <w:rFonts w:ascii="Arial" w:hAnsi="Arial" w:cs="Arial"/>
          <w:b w:val="0"/>
          <w:caps w:val="0"/>
          <w:color w:val="222222"/>
          <w:sz w:val="20"/>
          <w:highlight w:val="yellow"/>
          <w:shd w:val="clear" w:color="auto" w:fill="FFFFFF"/>
        </w:rPr>
        <w:t xml:space="preserve"> respondents and the FGD participants</w:t>
      </w:r>
      <w:r w:rsidR="0004788E" w:rsidRPr="00B3472D">
        <w:rPr>
          <w:rFonts w:ascii="Arial" w:hAnsi="Arial" w:cs="Arial"/>
          <w:b w:val="0"/>
          <w:caps w:val="0"/>
          <w:color w:val="222222"/>
          <w:sz w:val="20"/>
          <w:highlight w:val="yellow"/>
          <w:shd w:val="clear" w:color="auto" w:fill="FFFFFF"/>
        </w:rPr>
        <w:t xml:space="preserve"> citing water pollution as the major threat. This can be attributed to a great extent to untreated effluents of textile and tannery industries thus leading to drastic reductions in fish stock which has traditionally constituted the major source of livelihood in the community. This environmental degradation directly impacts on the natural capital, which is paramount in supporting the fishery activities, and this fact substantiates the claim by the SLF that environmental shocks are devastating to the sustainability of livelihoods (</w:t>
      </w:r>
      <w:proofErr w:type="spellStart"/>
      <w:r w:rsidR="0004788E" w:rsidRPr="00B3472D">
        <w:rPr>
          <w:rFonts w:ascii="Arial" w:hAnsi="Arial" w:cs="Arial"/>
          <w:b w:val="0"/>
          <w:caps w:val="0"/>
          <w:color w:val="222222"/>
          <w:sz w:val="20"/>
          <w:highlight w:val="yellow"/>
          <w:shd w:val="clear" w:color="auto" w:fill="FFFFFF"/>
        </w:rPr>
        <w:t>Scoones</w:t>
      </w:r>
      <w:proofErr w:type="spellEnd"/>
      <w:r w:rsidR="0004788E" w:rsidRPr="00B3472D">
        <w:rPr>
          <w:rFonts w:ascii="Arial" w:hAnsi="Arial" w:cs="Arial"/>
          <w:b w:val="0"/>
          <w:caps w:val="0"/>
          <w:color w:val="222222"/>
          <w:sz w:val="20"/>
          <w:highlight w:val="yellow"/>
          <w:shd w:val="clear" w:color="auto" w:fill="FFFFFF"/>
        </w:rPr>
        <w:t>, 1998; Allison and Ellis, 2001).</w:t>
      </w:r>
      <w:r w:rsidR="0004788E">
        <w:rPr>
          <w:rFonts w:ascii="Arial" w:hAnsi="Arial" w:cs="Arial"/>
          <w:b w:val="0"/>
          <w:caps w:val="0"/>
          <w:color w:val="222222"/>
          <w:sz w:val="20"/>
          <w:shd w:val="clear" w:color="auto" w:fill="FFFFFF"/>
        </w:rPr>
        <w:t xml:space="preserve"> </w:t>
      </w:r>
      <w:r w:rsidR="0004788E" w:rsidRPr="0004788E">
        <w:rPr>
          <w:rFonts w:ascii="Arial" w:hAnsi="Arial" w:cs="Arial"/>
          <w:b w:val="0"/>
          <w:caps w:val="0"/>
          <w:color w:val="222222"/>
          <w:sz w:val="20"/>
          <w:shd w:val="clear" w:color="auto" w:fill="FFFFFF"/>
        </w:rPr>
        <w:t xml:space="preserve">The vulnerability is aggravated by the socio-economic profile of the community. There is inadequate education and illiteracy which hampers occupational mobility other than fishing and </w:t>
      </w:r>
      <w:r w:rsidR="0004788E" w:rsidRPr="0004788E">
        <w:rPr>
          <w:rFonts w:ascii="Arial" w:hAnsi="Arial" w:cs="Arial"/>
          <w:b w:val="0"/>
          <w:caps w:val="0"/>
          <w:color w:val="222222"/>
          <w:sz w:val="20"/>
          <w:shd w:val="clear" w:color="auto" w:fill="FFFFFF"/>
        </w:rPr>
        <w:lastRenderedPageBreak/>
        <w:t>trapping households to live in utter poverty all the time. The 60 percent of fishers with earnings of 500-600 BDT per day represent the poverty levels experienced by the fishers on a national level, as recorded in other fisheries research (Ahmed, 2009). The noted diversification, i.e. daily work, the rickshaw pulling, and small-scale vending, is not an indicator of a positive shift but an indicator of coping, as a result of distress, as per the views of SLF, which recognize opportunity-based and distress-based resilience approaches (Barrett et al., 2001).</w:t>
      </w:r>
    </w:p>
    <w:p w:rsidR="0004788E" w:rsidRPr="0004788E" w:rsidRDefault="0004788E" w:rsidP="0004788E">
      <w:pPr>
        <w:pStyle w:val="ConcHead"/>
        <w:jc w:val="both"/>
        <w:rPr>
          <w:rFonts w:ascii="Arial" w:hAnsi="Arial" w:cs="Arial"/>
          <w:b w:val="0"/>
          <w:caps w:val="0"/>
          <w:color w:val="222222"/>
          <w:sz w:val="20"/>
          <w:shd w:val="clear" w:color="auto" w:fill="FFFFFF"/>
        </w:rPr>
      </w:pPr>
      <w:r w:rsidRPr="0004788E">
        <w:rPr>
          <w:rFonts w:ascii="Arial" w:hAnsi="Arial" w:cs="Arial"/>
          <w:b w:val="0"/>
          <w:caps w:val="0"/>
          <w:color w:val="222222"/>
          <w:sz w:val="20"/>
          <w:shd w:val="clear" w:color="auto" w:fill="FFFFFF"/>
        </w:rPr>
        <w:t xml:space="preserve">This is a precarious state of affairs intensified by additional limitations of structure. Domination of middlemen as reported by 90 percent of the respondents creates a debt trap which reduces the profit margins of fishers, due to lack of access to formal credit, personal savings or micro finance is still used which further creates financial vulnerability. Such failures of the institutions and market inequality perpetuate chronic poverty and restrain ability of fishers to invest in adaptation techniques (Allison and </w:t>
      </w:r>
      <w:proofErr w:type="spellStart"/>
      <w:r w:rsidRPr="0004788E">
        <w:rPr>
          <w:rFonts w:ascii="Arial" w:hAnsi="Arial" w:cs="Arial"/>
          <w:b w:val="0"/>
          <w:caps w:val="0"/>
          <w:color w:val="222222"/>
          <w:sz w:val="20"/>
          <w:shd w:val="clear" w:color="auto" w:fill="FFFFFF"/>
        </w:rPr>
        <w:t>Horemans</w:t>
      </w:r>
      <w:proofErr w:type="spellEnd"/>
      <w:r w:rsidRPr="0004788E">
        <w:rPr>
          <w:rFonts w:ascii="Arial" w:hAnsi="Arial" w:cs="Arial"/>
          <w:b w:val="0"/>
          <w:caps w:val="0"/>
          <w:color w:val="222222"/>
          <w:sz w:val="20"/>
          <w:shd w:val="clear" w:color="auto" w:fill="FFFFFF"/>
        </w:rPr>
        <w:t>, 2006; Mia et al., 2015; Kabir et al., 2012).</w:t>
      </w:r>
      <w:r w:rsidR="00CF0CA0">
        <w:rPr>
          <w:rFonts w:ascii="Arial" w:hAnsi="Arial" w:cs="Arial"/>
          <w:b w:val="0"/>
          <w:caps w:val="0"/>
          <w:color w:val="222222"/>
          <w:sz w:val="20"/>
          <w:shd w:val="clear" w:color="auto" w:fill="FFFFFF"/>
        </w:rPr>
        <w:t xml:space="preserve"> </w:t>
      </w:r>
      <w:r w:rsidRPr="0004788E">
        <w:rPr>
          <w:rFonts w:ascii="Arial" w:hAnsi="Arial" w:cs="Arial"/>
          <w:b w:val="0"/>
          <w:caps w:val="0"/>
          <w:color w:val="222222"/>
          <w:sz w:val="20"/>
          <w:shd w:val="clear" w:color="auto" w:fill="FFFFFF"/>
        </w:rPr>
        <w:t>These are complicated by governance weaknesses. The laxity in enforcing environmental laws encourages continued pollution, and as noted by more than half the respondents, political extortion is an undermining factor to the rule of law and yet another destabilizing factor to the community. This institutional negligence demonstrates wider tendency of poor provision of resource dependent peri-urban populations in Bangladesh.</w:t>
      </w:r>
      <w:r w:rsidR="009C62FB">
        <w:rPr>
          <w:rFonts w:ascii="Arial" w:hAnsi="Arial" w:cs="Arial"/>
          <w:b w:val="0"/>
          <w:caps w:val="0"/>
          <w:color w:val="222222"/>
          <w:sz w:val="20"/>
          <w:shd w:val="clear" w:color="auto" w:fill="FFFFFF"/>
        </w:rPr>
        <w:t xml:space="preserve"> The most important finding</w:t>
      </w:r>
      <w:r w:rsidRPr="0004788E">
        <w:rPr>
          <w:rFonts w:ascii="Arial" w:hAnsi="Arial" w:cs="Arial"/>
          <w:b w:val="0"/>
          <w:caps w:val="0"/>
          <w:color w:val="222222"/>
          <w:sz w:val="20"/>
          <w:shd w:val="clear" w:color="auto" w:fill="FFFFFF"/>
        </w:rPr>
        <w:t xml:space="preserve"> is the intergenerational wish to </w:t>
      </w:r>
      <w:r w:rsidR="009C62FB" w:rsidRPr="009C62FB">
        <w:rPr>
          <w:rFonts w:ascii="Arial" w:hAnsi="Arial" w:cs="Arial"/>
          <w:b w:val="0"/>
          <w:caps w:val="0"/>
          <w:color w:val="222222"/>
          <w:sz w:val="20"/>
          <w:shd w:val="clear" w:color="auto" w:fill="FFFFFF"/>
        </w:rPr>
        <w:t>abandon fishing</w:t>
      </w:r>
      <w:r w:rsidR="009C62FB">
        <w:rPr>
          <w:rFonts w:ascii="Arial" w:hAnsi="Arial" w:cs="Arial"/>
          <w:b w:val="0"/>
          <w:caps w:val="0"/>
          <w:color w:val="222222"/>
          <w:sz w:val="20"/>
          <w:shd w:val="clear" w:color="auto" w:fill="FFFFFF"/>
        </w:rPr>
        <w:t xml:space="preserve"> with 85%</w:t>
      </w:r>
      <w:r w:rsidRPr="0004788E">
        <w:rPr>
          <w:rFonts w:ascii="Arial" w:hAnsi="Arial" w:cs="Arial"/>
          <w:b w:val="0"/>
          <w:caps w:val="0"/>
          <w:color w:val="222222"/>
          <w:sz w:val="20"/>
          <w:shd w:val="clear" w:color="auto" w:fill="FFFFFF"/>
        </w:rPr>
        <w:t xml:space="preserve"> of the respondents stating they hope that their children will seek alternative means of livelihood. This is indicative of an awareness of the declining economic sustainability and social sustainability of the fishery trade as a vocation. Nevertheless, the lack of educational opportunities and low education, in turn, causes a paradoxical cycle that limits the fulfillment of these dreams, and keeps one generation vulnerable to another.</w:t>
      </w:r>
    </w:p>
    <w:p w:rsidR="0004788E" w:rsidRPr="00121137" w:rsidRDefault="002417CD" w:rsidP="0004788E">
      <w:pPr>
        <w:pStyle w:val="ConcHead"/>
        <w:jc w:val="both"/>
        <w:rPr>
          <w:rFonts w:ascii="Arial" w:hAnsi="Arial" w:cs="Arial"/>
          <w:b w:val="0"/>
          <w:caps w:val="0"/>
          <w:sz w:val="20"/>
          <w:shd w:val="clear" w:color="auto" w:fill="FFFFFF"/>
        </w:rPr>
      </w:pPr>
      <w:r w:rsidRPr="00121137">
        <w:rPr>
          <w:rFonts w:ascii="Arial" w:hAnsi="Arial" w:cs="Arial"/>
          <w:b w:val="0"/>
          <w:caps w:val="0"/>
          <w:sz w:val="20"/>
          <w:shd w:val="clear" w:color="auto" w:fill="FFFFFF"/>
        </w:rPr>
        <w:t>Finally, our study</w:t>
      </w:r>
      <w:r w:rsidR="00091159" w:rsidRPr="00121137">
        <w:rPr>
          <w:rFonts w:ascii="Arial" w:hAnsi="Arial" w:cs="Arial"/>
          <w:b w:val="0"/>
          <w:caps w:val="0"/>
          <w:sz w:val="20"/>
          <w:shd w:val="clear" w:color="auto" w:fill="FFFFFF"/>
        </w:rPr>
        <w:t xml:space="preserve"> indicates that livelihood insecurity that is facing fishing community of </w:t>
      </w:r>
      <w:proofErr w:type="spellStart"/>
      <w:r w:rsidR="00091159" w:rsidRPr="00121137">
        <w:rPr>
          <w:rFonts w:ascii="Arial" w:hAnsi="Arial" w:cs="Arial"/>
          <w:b w:val="0"/>
          <w:caps w:val="0"/>
          <w:sz w:val="20"/>
          <w:shd w:val="clear" w:color="auto" w:fill="FFFFFF"/>
        </w:rPr>
        <w:t>Ashulia</w:t>
      </w:r>
      <w:proofErr w:type="spellEnd"/>
      <w:r w:rsidR="00091159" w:rsidRPr="00121137">
        <w:rPr>
          <w:rFonts w:ascii="Arial" w:hAnsi="Arial" w:cs="Arial"/>
          <w:b w:val="0"/>
          <w:caps w:val="0"/>
          <w:sz w:val="20"/>
          <w:shd w:val="clear" w:color="auto" w:fill="FFFFFF"/>
        </w:rPr>
        <w:t xml:space="preserve"> is multifaceted and that it is brought about by a combination of environmental degradation, loss of resources, poor human and financial resources, and poor institutional efficiency. The Sustainable Livelihoods Framework follows the empirical data that describe the interaction of these issues to constitute a vicious cycle of vulnerability. This crisis should be addressed by joint policy action that could augment ecological rehabilitation, enhancement of educational and work opportunity, and access to money and enhanced governance to support sustainable livelihood and social empowerment.</w:t>
      </w:r>
    </w:p>
    <w:p w:rsidR="00B01FCD" w:rsidRDefault="004E2FC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2417CD" w:rsidRDefault="002417CD" w:rsidP="008E7B3C">
      <w:pPr>
        <w:pStyle w:val="Body"/>
        <w:rPr>
          <w:rFonts w:ascii="Arial" w:hAnsi="Arial" w:cs="Arial"/>
        </w:rPr>
      </w:pPr>
    </w:p>
    <w:p w:rsidR="008E7B3C" w:rsidRPr="002417CD" w:rsidRDefault="008E7B3C" w:rsidP="008E7B3C">
      <w:pPr>
        <w:pStyle w:val="Body"/>
        <w:rPr>
          <w:rFonts w:ascii="Arial" w:hAnsi="Arial" w:cs="Arial"/>
        </w:rPr>
      </w:pPr>
      <w:r w:rsidRPr="002417CD">
        <w:rPr>
          <w:rFonts w:ascii="Arial" w:hAnsi="Arial" w:cs="Arial"/>
        </w:rPr>
        <w:t xml:space="preserve">This study sheds some light on the emergence of a weak socio-economic situation of fishermen in the </w:t>
      </w:r>
      <w:proofErr w:type="spellStart"/>
      <w:r w:rsidRPr="002417CD">
        <w:rPr>
          <w:rFonts w:ascii="Arial" w:hAnsi="Arial" w:cs="Arial"/>
        </w:rPr>
        <w:t>Ashulia</w:t>
      </w:r>
      <w:proofErr w:type="spellEnd"/>
      <w:r w:rsidRPr="002417CD">
        <w:rPr>
          <w:rFonts w:ascii="Arial" w:hAnsi="Arial" w:cs="Arial"/>
        </w:rPr>
        <w:t xml:space="preserve"> Union. The </w:t>
      </w:r>
      <w:proofErr w:type="spellStart"/>
      <w:r w:rsidRPr="002417CD">
        <w:rPr>
          <w:rFonts w:ascii="Arial" w:hAnsi="Arial" w:cs="Arial"/>
        </w:rPr>
        <w:t>Turag</w:t>
      </w:r>
      <w:proofErr w:type="spellEnd"/>
      <w:r w:rsidRPr="002417CD">
        <w:rPr>
          <w:rFonts w:ascii="Arial" w:hAnsi="Arial" w:cs="Arial"/>
        </w:rPr>
        <w:t xml:space="preserve"> River constitutes a significant source of livelihood and subsistence to the fishing families which become trapped in a trap of low replenishing natural resources, poverty and government irresponsibility. Some of the factors that can be combined to establish chronic vulnerability include poor housing, low education, lack of resources, and lack of credit facilities. These conclusions would be justified relying on the national tendency which demonstrates that the fishers are still marginalized and deprived although fisheries is still a highly important aspect that is considered in terms of food and economic security. </w:t>
      </w:r>
    </w:p>
    <w:p w:rsidR="0055711E" w:rsidRPr="002417CD" w:rsidRDefault="008E7B3C" w:rsidP="0055711E">
      <w:pPr>
        <w:pStyle w:val="Body"/>
        <w:rPr>
          <w:rFonts w:ascii="Arial" w:hAnsi="Arial" w:cs="Arial"/>
          <w:color w:val="FF0000"/>
        </w:rPr>
      </w:pPr>
      <w:r w:rsidRPr="002417CD">
        <w:rPr>
          <w:rFonts w:ascii="Arial" w:hAnsi="Arial" w:cs="Arial"/>
        </w:rPr>
        <w:t xml:space="preserve">The problems cannot be addressed by an isolated effort. The ecosystem restoration and, to be more exact, the rehabilitation of the </w:t>
      </w:r>
      <w:proofErr w:type="spellStart"/>
      <w:r w:rsidRPr="002417CD">
        <w:rPr>
          <w:rFonts w:ascii="Arial" w:hAnsi="Arial" w:cs="Arial"/>
        </w:rPr>
        <w:t>Turag</w:t>
      </w:r>
      <w:proofErr w:type="spellEnd"/>
      <w:r w:rsidRPr="002417CD">
        <w:rPr>
          <w:rFonts w:ascii="Arial" w:hAnsi="Arial" w:cs="Arial"/>
        </w:rPr>
        <w:t xml:space="preserve"> River, that is, the </w:t>
      </w:r>
      <w:r w:rsidR="002417CD" w:rsidRPr="002417CD">
        <w:rPr>
          <w:rFonts w:ascii="Arial" w:hAnsi="Arial" w:cs="Arial"/>
        </w:rPr>
        <w:t>close control of the pollutants. T</w:t>
      </w:r>
      <w:r w:rsidRPr="002417CD">
        <w:rPr>
          <w:rFonts w:ascii="Arial" w:hAnsi="Arial" w:cs="Arial"/>
        </w:rPr>
        <w:t xml:space="preserve">he socio-economic empowerment of the fishing communities </w:t>
      </w:r>
      <w:proofErr w:type="gramStart"/>
      <w:r w:rsidRPr="002417CD">
        <w:rPr>
          <w:rFonts w:ascii="Arial" w:hAnsi="Arial" w:cs="Arial"/>
        </w:rPr>
        <w:t>are</w:t>
      </w:r>
      <w:proofErr w:type="gramEnd"/>
      <w:r w:rsidRPr="002417CD">
        <w:rPr>
          <w:rFonts w:ascii="Arial" w:hAnsi="Arial" w:cs="Arial"/>
        </w:rPr>
        <w:t xml:space="preserve"> not something that should be independent of the restoration of the natural environment. They should be able to invest in education, vocational training and fair credit schemes that will diversify their livelihoods and make them less reliant on their over exploited river resources.</w:t>
      </w:r>
      <w:r w:rsidR="002417CD">
        <w:rPr>
          <w:rFonts w:ascii="Arial" w:hAnsi="Arial" w:cs="Arial"/>
        </w:rPr>
        <w:t xml:space="preserve"> </w:t>
      </w:r>
      <w:r w:rsidR="0055711E" w:rsidRPr="0055711E">
        <w:rPr>
          <w:rFonts w:ascii="Arial" w:hAnsi="Arial" w:cs="Arial"/>
        </w:rPr>
        <w:t xml:space="preserve">In addition to this, there may be an opportunity to seek joint organization with cooperatives and more influential regulatory bodies to enhance bargaining power, equitable market action, and to reduce exploitation by the middlemen.  Lastly, sustainable development in fisheries would not be pegged on the wellbeing of the fishing households. The ecological renewal is resilience that is not just founded on the ecological renewal, but also on the delivery of dignity, security and power in terms of livelihood. The case of fishermen of </w:t>
      </w:r>
      <w:proofErr w:type="spellStart"/>
      <w:r w:rsidR="0055711E" w:rsidRPr="0055711E">
        <w:rPr>
          <w:rFonts w:ascii="Arial" w:hAnsi="Arial" w:cs="Arial"/>
        </w:rPr>
        <w:t>Ashulia</w:t>
      </w:r>
      <w:proofErr w:type="spellEnd"/>
      <w:r w:rsidR="0055711E" w:rsidRPr="0055711E">
        <w:rPr>
          <w:rFonts w:ascii="Arial" w:hAnsi="Arial" w:cs="Arial"/>
        </w:rPr>
        <w:t xml:space="preserve">, in its turn, raises a larger problem of a national scale the question of how to reconcile economic growth and social justice and environmental sustainability. The study used three deliberately selected villages and 150 individuals; findings are practical at the local level but can be inapplicable to other similar </w:t>
      </w:r>
      <w:proofErr w:type="spellStart"/>
      <w:r w:rsidR="0055711E" w:rsidRPr="0055711E">
        <w:rPr>
          <w:rFonts w:ascii="Arial" w:hAnsi="Arial" w:cs="Arial"/>
        </w:rPr>
        <w:t>Turag</w:t>
      </w:r>
      <w:proofErr w:type="spellEnd"/>
      <w:r w:rsidR="00B352DA">
        <w:rPr>
          <w:rFonts w:ascii="Arial" w:hAnsi="Arial" w:cs="Arial"/>
        </w:rPr>
        <w:t xml:space="preserve"> River</w:t>
      </w:r>
      <w:r w:rsidR="0055711E" w:rsidRPr="0055711E">
        <w:rPr>
          <w:rFonts w:ascii="Arial" w:hAnsi="Arial" w:cs="Arial"/>
        </w:rPr>
        <w:t xml:space="preserve"> and Dhaka neighboring fishing villages. The discrimination of repeated seasonal sampling of the long-term observation was limited by time and resource constraints. Sampling at a repeated seasonal level was restricted </w:t>
      </w:r>
      <w:proofErr w:type="gramStart"/>
      <w:r w:rsidR="0055711E" w:rsidRPr="0055711E">
        <w:rPr>
          <w:rFonts w:ascii="Arial" w:hAnsi="Arial" w:cs="Arial"/>
        </w:rPr>
        <w:t xml:space="preserve">due </w:t>
      </w:r>
      <w:r w:rsidR="009C62FB">
        <w:rPr>
          <w:rFonts w:ascii="Arial" w:hAnsi="Arial" w:cs="Arial"/>
        </w:rPr>
        <w:t xml:space="preserve"> </w:t>
      </w:r>
      <w:r w:rsidR="0055711E" w:rsidRPr="0055711E">
        <w:rPr>
          <w:rFonts w:ascii="Arial" w:hAnsi="Arial" w:cs="Arial"/>
        </w:rPr>
        <w:t>to</w:t>
      </w:r>
      <w:proofErr w:type="gramEnd"/>
      <w:r w:rsidR="0055711E" w:rsidRPr="0055711E">
        <w:rPr>
          <w:rFonts w:ascii="Arial" w:hAnsi="Arial" w:cs="Arial"/>
        </w:rPr>
        <w:t xml:space="preserve"> time and resource limitations and excessive longitudinal sampling. Based on the findings of this study, several priority actions are suggested to improve the livelihoods of fishermen in </w:t>
      </w:r>
      <w:proofErr w:type="spellStart"/>
      <w:r w:rsidR="0055711E" w:rsidRPr="0055711E">
        <w:rPr>
          <w:rFonts w:ascii="Arial" w:hAnsi="Arial" w:cs="Arial"/>
        </w:rPr>
        <w:t>Ashulia</w:t>
      </w:r>
      <w:proofErr w:type="spellEnd"/>
      <w:r w:rsidR="0055711E" w:rsidRPr="0055711E">
        <w:rPr>
          <w:rFonts w:ascii="Arial" w:hAnsi="Arial" w:cs="Arial"/>
        </w:rPr>
        <w:t>:</w:t>
      </w:r>
    </w:p>
    <w:p w:rsidR="0055711E" w:rsidRPr="0055711E" w:rsidRDefault="0055711E" w:rsidP="0055711E">
      <w:pPr>
        <w:pStyle w:val="Body"/>
        <w:numPr>
          <w:ilvl w:val="0"/>
          <w:numId w:val="31"/>
        </w:numPr>
        <w:rPr>
          <w:rFonts w:ascii="Arial" w:hAnsi="Arial" w:cs="Arial"/>
        </w:rPr>
      </w:pPr>
      <w:r w:rsidRPr="0055711E">
        <w:rPr>
          <w:rFonts w:ascii="Arial" w:hAnsi="Arial" w:cs="Arial"/>
        </w:rPr>
        <w:t xml:space="preserve">Implement the industrial waste management, construct treatment facilities, and implement clean-up operations on the rivers in order to reestablish the ecological balance on the </w:t>
      </w:r>
      <w:proofErr w:type="spellStart"/>
      <w:r w:rsidRPr="0055711E">
        <w:rPr>
          <w:rFonts w:ascii="Arial" w:hAnsi="Arial" w:cs="Arial"/>
        </w:rPr>
        <w:t>Turag</w:t>
      </w:r>
      <w:proofErr w:type="spellEnd"/>
      <w:r w:rsidR="00C52C01">
        <w:rPr>
          <w:rFonts w:ascii="Arial" w:hAnsi="Arial" w:cs="Arial"/>
        </w:rPr>
        <w:t xml:space="preserve"> </w:t>
      </w:r>
      <w:r w:rsidR="006E0AED">
        <w:rPr>
          <w:rFonts w:ascii="Arial" w:hAnsi="Arial" w:cs="Arial"/>
        </w:rPr>
        <w:t>River</w:t>
      </w:r>
      <w:r w:rsidRPr="0055711E">
        <w:rPr>
          <w:rFonts w:ascii="Arial" w:hAnsi="Arial" w:cs="Arial"/>
        </w:rPr>
        <w:t>.</w:t>
      </w:r>
    </w:p>
    <w:p w:rsidR="0055711E" w:rsidRPr="0055711E" w:rsidRDefault="0055711E" w:rsidP="0055711E">
      <w:pPr>
        <w:pStyle w:val="Body"/>
        <w:numPr>
          <w:ilvl w:val="0"/>
          <w:numId w:val="31"/>
        </w:numPr>
        <w:rPr>
          <w:rFonts w:ascii="Arial" w:hAnsi="Arial" w:cs="Arial"/>
        </w:rPr>
      </w:pPr>
      <w:r w:rsidRPr="0055711E">
        <w:rPr>
          <w:rFonts w:ascii="Arial" w:hAnsi="Arial" w:cs="Arial"/>
        </w:rPr>
        <w:t>Empower fisher cooperatives, support seasonal fishing prohibition, and restocking to manage fish resources.</w:t>
      </w:r>
    </w:p>
    <w:p w:rsidR="0055711E" w:rsidRPr="0055711E" w:rsidRDefault="0055711E" w:rsidP="0055711E">
      <w:pPr>
        <w:pStyle w:val="Body"/>
        <w:numPr>
          <w:ilvl w:val="0"/>
          <w:numId w:val="31"/>
        </w:numPr>
        <w:rPr>
          <w:rFonts w:ascii="Arial" w:hAnsi="Arial" w:cs="Arial"/>
        </w:rPr>
      </w:pPr>
      <w:r w:rsidRPr="0055711E">
        <w:rPr>
          <w:rFonts w:ascii="Arial" w:hAnsi="Arial" w:cs="Arial"/>
        </w:rPr>
        <w:lastRenderedPageBreak/>
        <w:t>Provide vocational training and employment opportunities in other sectors other than fishing to diminish over-reliance on dwindling river resources</w:t>
      </w:r>
    </w:p>
    <w:p w:rsidR="0055711E" w:rsidRPr="0055711E" w:rsidRDefault="0055711E" w:rsidP="0055711E">
      <w:pPr>
        <w:pStyle w:val="Body"/>
        <w:numPr>
          <w:ilvl w:val="0"/>
          <w:numId w:val="31"/>
        </w:numPr>
        <w:rPr>
          <w:rFonts w:ascii="Arial" w:hAnsi="Arial" w:cs="Arial"/>
        </w:rPr>
      </w:pPr>
      <w:r w:rsidRPr="0055711E">
        <w:rPr>
          <w:rFonts w:ascii="Arial" w:hAnsi="Arial" w:cs="Arial"/>
        </w:rPr>
        <w:t>Expand low-interest credit schemes and reduce reliance on exploitative intermediaries by linking fishers to formal financial institutions.</w:t>
      </w:r>
    </w:p>
    <w:p w:rsidR="0055711E" w:rsidRPr="0055711E" w:rsidRDefault="0055711E" w:rsidP="0055711E">
      <w:pPr>
        <w:pStyle w:val="Body"/>
        <w:numPr>
          <w:ilvl w:val="0"/>
          <w:numId w:val="31"/>
        </w:numPr>
        <w:rPr>
          <w:rFonts w:ascii="Arial" w:hAnsi="Arial" w:cs="Arial"/>
        </w:rPr>
      </w:pPr>
      <w:r w:rsidRPr="0055711E">
        <w:rPr>
          <w:rFonts w:ascii="Arial" w:hAnsi="Arial" w:cs="Arial"/>
        </w:rPr>
        <w:t>Facilitate direct marketing and create small scale cold stores so as to avoid exploitation by middlemen and enhance income stability.</w:t>
      </w:r>
    </w:p>
    <w:p w:rsidR="0055711E" w:rsidRPr="0055711E" w:rsidRDefault="0055711E" w:rsidP="0055711E">
      <w:pPr>
        <w:pStyle w:val="Body"/>
        <w:numPr>
          <w:ilvl w:val="0"/>
          <w:numId w:val="31"/>
        </w:numPr>
        <w:rPr>
          <w:rFonts w:ascii="Arial" w:hAnsi="Arial" w:cs="Arial"/>
        </w:rPr>
      </w:pPr>
      <w:r w:rsidRPr="0055711E">
        <w:rPr>
          <w:rFonts w:ascii="Arial" w:hAnsi="Arial" w:cs="Arial"/>
        </w:rPr>
        <w:t>Implement special initiatives like subsidized health care, insurance and emergency support funds to cushion fishers during lean seasons.</w:t>
      </w:r>
    </w:p>
    <w:p w:rsidR="0055711E" w:rsidRPr="0055711E" w:rsidRDefault="0055711E" w:rsidP="0055711E">
      <w:pPr>
        <w:pStyle w:val="Body"/>
        <w:numPr>
          <w:ilvl w:val="0"/>
          <w:numId w:val="31"/>
        </w:numPr>
        <w:rPr>
          <w:rFonts w:ascii="Arial" w:hAnsi="Arial" w:cs="Arial"/>
        </w:rPr>
      </w:pPr>
      <w:r w:rsidRPr="0055711E">
        <w:rPr>
          <w:rFonts w:ascii="Arial" w:hAnsi="Arial" w:cs="Arial"/>
        </w:rPr>
        <w:t>Arrange education on sustainable fishing, financial literacy, and environmental preservation on both male and female members of fishing families</w:t>
      </w:r>
    </w:p>
    <w:p w:rsidR="0055711E" w:rsidRPr="0055711E" w:rsidRDefault="0055711E" w:rsidP="0055711E">
      <w:pPr>
        <w:pStyle w:val="Body"/>
        <w:numPr>
          <w:ilvl w:val="0"/>
          <w:numId w:val="31"/>
        </w:numPr>
        <w:rPr>
          <w:rFonts w:ascii="Arial" w:hAnsi="Arial" w:cs="Arial"/>
        </w:rPr>
      </w:pPr>
      <w:r w:rsidRPr="0055711E">
        <w:rPr>
          <w:rFonts w:ascii="Arial" w:hAnsi="Arial" w:cs="Arial"/>
        </w:rPr>
        <w:t>Improve coordination between government bodies, non-governmental organizations and local governments in order to have congruent river and livelihoods management policies</w:t>
      </w:r>
    </w:p>
    <w:p w:rsidR="004E2FC3" w:rsidRPr="004E2FC3" w:rsidRDefault="004E2FC3" w:rsidP="004E2FC3">
      <w:pPr>
        <w:pStyle w:val="Body"/>
        <w:rPr>
          <w:rFonts w:ascii="Arial" w:hAnsi="Arial" w:cs="Arial"/>
        </w:rPr>
      </w:pP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3E63CB" w:rsidRDefault="003E63CB" w:rsidP="003E63CB">
      <w:r>
        <w:t>All participants provided written informed consent prior to interviews and focus groups.</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96066C" w:rsidRDefault="0096066C" w:rsidP="00441B6F">
      <w:pPr>
        <w:pStyle w:val="ReferHead"/>
        <w:spacing w:after="0"/>
        <w:jc w:val="both"/>
        <w:rPr>
          <w:b w:val="0"/>
          <w:caps w:val="0"/>
          <w:sz w:val="20"/>
        </w:rPr>
      </w:pPr>
    </w:p>
    <w:p w:rsidR="005C784C" w:rsidRDefault="0096066C" w:rsidP="00441B6F">
      <w:pPr>
        <w:pStyle w:val="ReferHead"/>
        <w:spacing w:after="0"/>
        <w:jc w:val="both"/>
        <w:rPr>
          <w:b w:val="0"/>
          <w:caps w:val="0"/>
          <w:sz w:val="20"/>
        </w:rPr>
      </w:pPr>
      <w:r w:rsidRPr="0096066C">
        <w:rPr>
          <w:b w:val="0"/>
          <w:caps w:val="0"/>
          <w:sz w:val="20"/>
        </w:rPr>
        <w:t>This study did not require formal ethical approval as per the policies of the host institution. However, informed verbal consent was obtained from all participants prior to interviews and focus group discussions.</w:t>
      </w:r>
    </w:p>
    <w:p w:rsidR="0055711E" w:rsidRDefault="0055711E" w:rsidP="00441B6F">
      <w:pPr>
        <w:pStyle w:val="ReferHead"/>
        <w:spacing w:after="0"/>
        <w:jc w:val="both"/>
        <w:rPr>
          <w:b w:val="0"/>
          <w:caps w:val="0"/>
          <w:sz w:val="20"/>
        </w:rPr>
      </w:pPr>
    </w:p>
    <w:p w:rsidR="00DC1723" w:rsidRPr="00CA3906" w:rsidRDefault="00DC1723" w:rsidP="00DC1723">
      <w:pPr>
        <w:rPr>
          <w:b/>
          <w:highlight w:val="yellow"/>
        </w:rPr>
      </w:pPr>
      <w:r w:rsidRPr="00CA3906">
        <w:rPr>
          <w:b/>
          <w:highlight w:val="yellow"/>
        </w:rPr>
        <w:t>Disclaimer (Artificial intelligence)</w:t>
      </w:r>
    </w:p>
    <w:p w:rsidR="00DC1723" w:rsidRPr="00740879" w:rsidRDefault="00DC1723" w:rsidP="00DC172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55711E" w:rsidRPr="0083727D" w:rsidRDefault="0055711E" w:rsidP="0055711E">
      <w:pPr>
        <w:jc w:val="both"/>
        <w:rPr>
          <w:rFonts w:ascii="Times New Roman" w:hAnsi="Times New Roman"/>
          <w:bCs/>
        </w:rPr>
      </w:pPr>
    </w:p>
    <w:p w:rsidR="0055711E" w:rsidRPr="0096066C" w:rsidRDefault="0055711E" w:rsidP="00441B6F">
      <w:pPr>
        <w:pStyle w:val="ReferHead"/>
        <w:spacing w:after="0"/>
        <w:jc w:val="both"/>
        <w:rPr>
          <w:b w:val="0"/>
          <w:caps w:val="0"/>
          <w:sz w:val="20"/>
        </w:rPr>
      </w:pPr>
    </w:p>
    <w:p w:rsidR="0096066C" w:rsidRDefault="0096066C"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AA1A5B" w:rsidRDefault="00AA1A5B" w:rsidP="00AA1A5B">
      <w:pPr>
        <w:pStyle w:val="Body"/>
        <w:rPr>
          <w:rFonts w:ascii="Nirmala UI" w:hAnsi="Nirmala UI" w:cs="Nirmala UI"/>
          <w:bCs/>
        </w:rPr>
      </w:pP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Ahmed, K. U. (2009). A study on socio-economic aspect of coastal fishermen in Bangladesh. </w:t>
      </w:r>
      <w:r w:rsidRPr="002660EF">
        <w:rPr>
          <w:rFonts w:ascii="Arial" w:hAnsi="Arial" w:cs="Arial"/>
          <w:bCs/>
          <w:i/>
          <w:iCs/>
        </w:rPr>
        <w:t>Unpublished master’s thesis</w:t>
      </w:r>
      <w:r w:rsidRPr="002660EF">
        <w:rPr>
          <w:rFonts w:ascii="Arial" w:hAnsi="Arial" w:cs="Arial"/>
          <w:bCs/>
        </w:rPr>
        <w:t>, Department of Aquaculture, Bangladesh Agricultural University, Mymensingh, Bangladesh.</w:t>
      </w:r>
    </w:p>
    <w:p w:rsidR="009773C7" w:rsidRPr="002660EF" w:rsidRDefault="009773C7" w:rsidP="00247C2A">
      <w:pPr>
        <w:pStyle w:val="NormalWeb"/>
        <w:numPr>
          <w:ilvl w:val="0"/>
          <w:numId w:val="37"/>
        </w:numPr>
        <w:rPr>
          <w:rFonts w:ascii="Arial" w:hAnsi="Arial" w:cs="Arial"/>
          <w:bCs/>
        </w:rPr>
      </w:pPr>
      <w:proofErr w:type="spellStart"/>
      <w:r w:rsidRPr="002660EF">
        <w:rPr>
          <w:rFonts w:ascii="Arial" w:hAnsi="Arial" w:cs="Arial"/>
          <w:bCs/>
        </w:rPr>
        <w:t>Alam</w:t>
      </w:r>
      <w:proofErr w:type="spellEnd"/>
      <w:r w:rsidRPr="002660EF">
        <w:rPr>
          <w:rFonts w:ascii="Arial" w:hAnsi="Arial" w:cs="Arial"/>
          <w:bCs/>
        </w:rPr>
        <w:t xml:space="preserve">, M. F., &amp; Bashar, M. A. (1995). Structure of cost and profitability of small-scale riverine fishing in Bangladesh. </w:t>
      </w:r>
      <w:r w:rsidRPr="002660EF">
        <w:rPr>
          <w:rFonts w:ascii="Arial" w:hAnsi="Arial" w:cs="Arial"/>
          <w:bCs/>
          <w:i/>
          <w:iCs/>
        </w:rPr>
        <w:t>Bangladesh Journal of Training and Development, 8</w:t>
      </w:r>
      <w:r w:rsidRPr="002660EF">
        <w:rPr>
          <w:rFonts w:ascii="Arial" w:hAnsi="Arial" w:cs="Arial"/>
          <w:bCs/>
        </w:rPr>
        <w:t>(2), 75–81.</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Allison, E. H., &amp; Ellis, F. (2001). The livelihoods approach and management of small-scale fisheries. </w:t>
      </w:r>
      <w:r w:rsidRPr="002660EF">
        <w:rPr>
          <w:rFonts w:ascii="Arial" w:hAnsi="Arial" w:cs="Arial"/>
          <w:bCs/>
          <w:i/>
          <w:iCs/>
        </w:rPr>
        <w:t>Marine Policy, 25</w:t>
      </w:r>
      <w:r w:rsidRPr="002660EF">
        <w:rPr>
          <w:rFonts w:ascii="Arial" w:hAnsi="Arial" w:cs="Arial"/>
          <w:bCs/>
        </w:rPr>
        <w:t xml:space="preserve">(5), 377–388. </w:t>
      </w:r>
      <w:hyperlink r:id="rId17" w:tgtFrame="_new" w:history="1">
        <w:r w:rsidRPr="002660EF">
          <w:rPr>
            <w:rFonts w:ascii="Arial" w:hAnsi="Arial" w:cs="Arial"/>
            <w:bCs/>
          </w:rPr>
          <w:t>https://doi.org/10.1016/S0308-597X(01)00023-9</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Allison, E. H., &amp; </w:t>
      </w:r>
      <w:proofErr w:type="spellStart"/>
      <w:r w:rsidRPr="002660EF">
        <w:rPr>
          <w:rFonts w:ascii="Arial" w:hAnsi="Arial" w:cs="Arial"/>
          <w:bCs/>
        </w:rPr>
        <w:t>Horemans</w:t>
      </w:r>
      <w:proofErr w:type="spellEnd"/>
      <w:r w:rsidRPr="002660EF">
        <w:rPr>
          <w:rFonts w:ascii="Arial" w:hAnsi="Arial" w:cs="Arial"/>
          <w:bCs/>
        </w:rPr>
        <w:t xml:space="preserve">, B. (2006). Putting the principles of the sustainable livelihoods approach into fisheries development policy and practice. </w:t>
      </w:r>
      <w:r w:rsidRPr="002660EF">
        <w:rPr>
          <w:rFonts w:ascii="Arial" w:hAnsi="Arial" w:cs="Arial"/>
          <w:bCs/>
          <w:i/>
          <w:iCs/>
        </w:rPr>
        <w:t>Marine Policy, 30</w:t>
      </w:r>
      <w:r w:rsidRPr="002660EF">
        <w:rPr>
          <w:rFonts w:ascii="Arial" w:hAnsi="Arial" w:cs="Arial"/>
          <w:bCs/>
        </w:rPr>
        <w:t xml:space="preserve">(6), 757–766. </w:t>
      </w:r>
      <w:hyperlink r:id="rId18" w:tgtFrame="_new" w:history="1">
        <w:r w:rsidRPr="002660EF">
          <w:rPr>
            <w:rFonts w:ascii="Arial" w:hAnsi="Arial" w:cs="Arial"/>
            <w:bCs/>
          </w:rPr>
          <w:t>https://doi.org/10.1016/j.marpol.2006.02.001</w:t>
        </w:r>
      </w:hyperlink>
    </w:p>
    <w:p w:rsidR="009773C7" w:rsidRPr="002660EF" w:rsidRDefault="009773C7" w:rsidP="00247C2A">
      <w:pPr>
        <w:pStyle w:val="NormalWeb"/>
        <w:numPr>
          <w:ilvl w:val="0"/>
          <w:numId w:val="37"/>
        </w:numPr>
        <w:rPr>
          <w:rFonts w:ascii="Arial" w:hAnsi="Arial" w:cs="Arial"/>
          <w:bCs/>
        </w:rPr>
      </w:pPr>
      <w:proofErr w:type="spellStart"/>
      <w:r w:rsidRPr="002660EF">
        <w:rPr>
          <w:rFonts w:ascii="Arial" w:hAnsi="Arial" w:cs="Arial"/>
          <w:bCs/>
        </w:rPr>
        <w:t>Asaduzzaman</w:t>
      </w:r>
      <w:proofErr w:type="spellEnd"/>
      <w:r w:rsidRPr="002660EF">
        <w:rPr>
          <w:rFonts w:ascii="Arial" w:hAnsi="Arial" w:cs="Arial"/>
          <w:bCs/>
        </w:rPr>
        <w:t xml:space="preserve">, M., Hasan, I., </w:t>
      </w:r>
      <w:proofErr w:type="spellStart"/>
      <w:r w:rsidRPr="002660EF">
        <w:rPr>
          <w:rFonts w:ascii="Arial" w:hAnsi="Arial" w:cs="Arial"/>
          <w:bCs/>
        </w:rPr>
        <w:t>Rajia</w:t>
      </w:r>
      <w:proofErr w:type="spellEnd"/>
      <w:r w:rsidRPr="002660EF">
        <w:rPr>
          <w:rFonts w:ascii="Arial" w:hAnsi="Arial" w:cs="Arial"/>
          <w:bCs/>
        </w:rPr>
        <w:t xml:space="preserve">, S., Khan, N., &amp; Kabir, K. A. (2016). Impact of tannery effluents on the aquatic environment of the </w:t>
      </w:r>
      <w:proofErr w:type="spellStart"/>
      <w:r w:rsidRPr="002660EF">
        <w:rPr>
          <w:rFonts w:ascii="Arial" w:hAnsi="Arial" w:cs="Arial"/>
          <w:bCs/>
        </w:rPr>
        <w:t>Buriganga</w:t>
      </w:r>
      <w:proofErr w:type="spellEnd"/>
      <w:r w:rsidRPr="002660EF">
        <w:rPr>
          <w:rFonts w:ascii="Arial" w:hAnsi="Arial" w:cs="Arial"/>
          <w:bCs/>
        </w:rPr>
        <w:t xml:space="preserve"> River in Dhaka, Bangladesh. </w:t>
      </w:r>
      <w:r w:rsidRPr="002660EF">
        <w:rPr>
          <w:rFonts w:ascii="Arial" w:hAnsi="Arial" w:cs="Arial"/>
          <w:bCs/>
          <w:i/>
          <w:iCs/>
        </w:rPr>
        <w:t>Toxicology and Industrial Health, 32</w:t>
      </w:r>
      <w:r w:rsidRPr="002660EF">
        <w:rPr>
          <w:rFonts w:ascii="Arial" w:hAnsi="Arial" w:cs="Arial"/>
          <w:bCs/>
        </w:rPr>
        <w:t xml:space="preserve">(6), 1106–1113. </w:t>
      </w:r>
      <w:hyperlink r:id="rId19" w:tgtFrame="_new" w:history="1">
        <w:r w:rsidRPr="002660EF">
          <w:rPr>
            <w:rFonts w:ascii="Arial" w:hAnsi="Arial" w:cs="Arial"/>
            <w:bCs/>
          </w:rPr>
          <w:t>https://doi.org/10.1177/0748233714548206</w:t>
        </w:r>
      </w:hyperlink>
    </w:p>
    <w:p w:rsidR="009773C7" w:rsidRPr="002660EF" w:rsidRDefault="009773C7" w:rsidP="00247C2A">
      <w:pPr>
        <w:pStyle w:val="NormalWeb"/>
        <w:numPr>
          <w:ilvl w:val="0"/>
          <w:numId w:val="37"/>
        </w:numPr>
        <w:rPr>
          <w:rFonts w:ascii="Arial" w:hAnsi="Arial" w:cs="Arial"/>
          <w:bCs/>
        </w:rPr>
      </w:pPr>
      <w:proofErr w:type="spellStart"/>
      <w:r w:rsidRPr="002660EF">
        <w:rPr>
          <w:rFonts w:ascii="Arial" w:hAnsi="Arial" w:cs="Arial"/>
          <w:bCs/>
        </w:rPr>
        <w:t>Baki</w:t>
      </w:r>
      <w:proofErr w:type="spellEnd"/>
      <w:r w:rsidRPr="002660EF">
        <w:rPr>
          <w:rFonts w:ascii="Arial" w:hAnsi="Arial" w:cs="Arial"/>
          <w:bCs/>
        </w:rPr>
        <w:t xml:space="preserve">, M. A., Islam, M. R., Hossain, M. M., &amp; </w:t>
      </w:r>
      <w:proofErr w:type="spellStart"/>
      <w:r w:rsidRPr="002660EF">
        <w:rPr>
          <w:rFonts w:ascii="Arial" w:hAnsi="Arial" w:cs="Arial"/>
          <w:bCs/>
        </w:rPr>
        <w:t>Bhouiyan</w:t>
      </w:r>
      <w:proofErr w:type="spellEnd"/>
      <w:r w:rsidRPr="002660EF">
        <w:rPr>
          <w:rFonts w:ascii="Arial" w:hAnsi="Arial" w:cs="Arial"/>
          <w:bCs/>
        </w:rPr>
        <w:t xml:space="preserve">, N. A. (2015). Livelihood status and assessment of fishing community in adjacent area of </w:t>
      </w:r>
      <w:proofErr w:type="spellStart"/>
      <w:r w:rsidRPr="002660EF">
        <w:rPr>
          <w:rFonts w:ascii="Arial" w:hAnsi="Arial" w:cs="Arial"/>
          <w:bCs/>
        </w:rPr>
        <w:t>Turag</w:t>
      </w:r>
      <w:proofErr w:type="spellEnd"/>
      <w:r w:rsidRPr="002660EF">
        <w:rPr>
          <w:rFonts w:ascii="Arial" w:hAnsi="Arial" w:cs="Arial"/>
          <w:bCs/>
        </w:rPr>
        <w:t>–</w:t>
      </w:r>
      <w:proofErr w:type="spellStart"/>
      <w:r w:rsidRPr="002660EF">
        <w:rPr>
          <w:rFonts w:ascii="Arial" w:hAnsi="Arial" w:cs="Arial"/>
          <w:bCs/>
        </w:rPr>
        <w:t>Buriganga</w:t>
      </w:r>
      <w:proofErr w:type="spellEnd"/>
      <w:r w:rsidRPr="002660EF">
        <w:rPr>
          <w:rFonts w:ascii="Arial" w:hAnsi="Arial" w:cs="Arial"/>
          <w:bCs/>
        </w:rPr>
        <w:t xml:space="preserve"> River, Dhaka, Bangladesh. </w:t>
      </w:r>
      <w:r w:rsidRPr="002660EF">
        <w:rPr>
          <w:rFonts w:ascii="Arial" w:hAnsi="Arial" w:cs="Arial"/>
          <w:bCs/>
          <w:i/>
          <w:iCs/>
        </w:rPr>
        <w:t>International Journal of Pure and Applied Zoology, 3</w:t>
      </w:r>
      <w:r w:rsidRPr="002660EF">
        <w:rPr>
          <w:rFonts w:ascii="Arial" w:hAnsi="Arial" w:cs="Arial"/>
          <w:bCs/>
        </w:rPr>
        <w:t>(4), 347–353.</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lastRenderedPageBreak/>
        <w:t xml:space="preserve">Barrett, C. B., Reardon, T., &amp; Webb, P. (2001). Nonfarm income diversification and household livelihood strategies in rural Africa: Concepts, dynamics, and policy implications. </w:t>
      </w:r>
      <w:r w:rsidRPr="002660EF">
        <w:rPr>
          <w:rFonts w:ascii="Arial" w:hAnsi="Arial" w:cs="Arial"/>
          <w:bCs/>
          <w:i/>
          <w:iCs/>
        </w:rPr>
        <w:t>Food Policy, 26</w:t>
      </w:r>
      <w:r w:rsidRPr="002660EF">
        <w:rPr>
          <w:rFonts w:ascii="Arial" w:hAnsi="Arial" w:cs="Arial"/>
          <w:bCs/>
        </w:rPr>
        <w:t xml:space="preserve">(4), 315–331. </w:t>
      </w:r>
      <w:hyperlink r:id="rId20" w:tgtFrame="_new" w:history="1">
        <w:r w:rsidRPr="002660EF">
          <w:rPr>
            <w:rFonts w:ascii="Arial" w:hAnsi="Arial" w:cs="Arial"/>
            <w:bCs/>
          </w:rPr>
          <w:t>https://doi.org/10.1016/S0306-9192(01)00014-8</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Bebbington, A. (1999). Capitals and capabilities: A framework for analyzing peasant viability, rural livelihoods and poverty. </w:t>
      </w:r>
      <w:r w:rsidRPr="002660EF">
        <w:rPr>
          <w:rFonts w:ascii="Arial" w:hAnsi="Arial" w:cs="Arial"/>
          <w:bCs/>
          <w:i/>
          <w:iCs/>
        </w:rPr>
        <w:t>World Development, 27</w:t>
      </w:r>
      <w:r w:rsidRPr="002660EF">
        <w:rPr>
          <w:rFonts w:ascii="Arial" w:hAnsi="Arial" w:cs="Arial"/>
          <w:bCs/>
        </w:rPr>
        <w:t xml:space="preserve">(12), 2021–2044. </w:t>
      </w:r>
      <w:hyperlink r:id="rId21" w:tgtFrame="_new" w:history="1">
        <w:r w:rsidRPr="002660EF">
          <w:rPr>
            <w:rFonts w:ascii="Arial" w:hAnsi="Arial" w:cs="Arial"/>
            <w:bCs/>
          </w:rPr>
          <w:t>https://doi.org/10.1016/S0305-750X(99)00104-7</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Carney, D. (1998). Implementing the sustainable rural livelihoods approach. In D. Carney (Ed.), </w:t>
      </w:r>
      <w:r w:rsidRPr="002660EF">
        <w:rPr>
          <w:rFonts w:ascii="Arial" w:hAnsi="Arial" w:cs="Arial"/>
          <w:bCs/>
          <w:i/>
          <w:iCs/>
        </w:rPr>
        <w:t>Sustainable rural livelihoods: What contribution can we make?</w:t>
      </w:r>
      <w:r w:rsidRPr="002660EF">
        <w:rPr>
          <w:rFonts w:ascii="Arial" w:hAnsi="Arial" w:cs="Arial"/>
          <w:bCs/>
        </w:rPr>
        <w:t xml:space="preserve"> (pp. 27–28). London: Department for International Development.</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Chambers, R., &amp; Conway, G. R. (1992). </w:t>
      </w:r>
      <w:r w:rsidRPr="002660EF">
        <w:rPr>
          <w:rFonts w:ascii="Arial" w:hAnsi="Arial" w:cs="Arial"/>
          <w:bCs/>
          <w:i/>
          <w:iCs/>
        </w:rPr>
        <w:t>Sustainable rural livelihoods: Practical concepts for the 21st century</w:t>
      </w:r>
      <w:r w:rsidRPr="002660EF">
        <w:rPr>
          <w:rFonts w:ascii="Arial" w:hAnsi="Arial" w:cs="Arial"/>
          <w:bCs/>
        </w:rPr>
        <w:t xml:space="preserve"> (IDS Discussion Paper No. 296). Brighton: Institute of Development Studies.</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Das, M. R., Ray, S., Kumar, U., Begum, S., &amp; </w:t>
      </w:r>
      <w:proofErr w:type="spellStart"/>
      <w:r w:rsidRPr="002660EF">
        <w:rPr>
          <w:rFonts w:ascii="Arial" w:hAnsi="Arial" w:cs="Arial"/>
          <w:bCs/>
        </w:rPr>
        <w:t>Tarafdar</w:t>
      </w:r>
      <w:proofErr w:type="spellEnd"/>
      <w:r w:rsidRPr="002660EF">
        <w:rPr>
          <w:rFonts w:ascii="Arial" w:hAnsi="Arial" w:cs="Arial"/>
          <w:bCs/>
        </w:rPr>
        <w:t xml:space="preserve">, S. R. (2015). Livelihood assessment of the fishermen community in the southwest region of Bangladesh. </w:t>
      </w:r>
      <w:r w:rsidRPr="002660EF">
        <w:rPr>
          <w:rFonts w:ascii="Arial" w:hAnsi="Arial" w:cs="Arial"/>
          <w:bCs/>
          <w:i/>
          <w:iCs/>
        </w:rPr>
        <w:t>Journal of Experimental Biology and Agricultural Sciences, 3</w:t>
      </w:r>
      <w:r w:rsidRPr="002660EF">
        <w:rPr>
          <w:rFonts w:ascii="Arial" w:hAnsi="Arial" w:cs="Arial"/>
          <w:bCs/>
        </w:rPr>
        <w:t xml:space="preserve">(4), 353–361. </w:t>
      </w:r>
      <w:hyperlink r:id="rId22" w:tgtFrame="_new" w:history="1">
        <w:r w:rsidRPr="002660EF">
          <w:rPr>
            <w:rFonts w:ascii="Arial" w:hAnsi="Arial" w:cs="Arial"/>
            <w:bCs/>
          </w:rPr>
          <w:t>https://doi.org/10.18006/2015.3(4).353.361</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Department of Fisheries. (2010). </w:t>
      </w:r>
      <w:r w:rsidRPr="002660EF">
        <w:rPr>
          <w:rFonts w:ascii="Arial" w:hAnsi="Arial" w:cs="Arial"/>
          <w:bCs/>
          <w:i/>
          <w:iCs/>
        </w:rPr>
        <w:t>Fisheries production report</w:t>
      </w:r>
      <w:r w:rsidRPr="002660EF">
        <w:rPr>
          <w:rFonts w:ascii="Arial" w:hAnsi="Arial" w:cs="Arial"/>
          <w:bCs/>
        </w:rPr>
        <w:t>. Ministry of Fisheries and Livestock, Government of the People’s Republic of Bangladesh.</w:t>
      </w:r>
    </w:p>
    <w:p w:rsidR="002660EF" w:rsidRDefault="009773C7" w:rsidP="00247C2A">
      <w:pPr>
        <w:pStyle w:val="NormalWeb"/>
        <w:numPr>
          <w:ilvl w:val="0"/>
          <w:numId w:val="37"/>
        </w:numPr>
        <w:rPr>
          <w:rFonts w:ascii="Arial" w:hAnsi="Arial" w:cs="Arial"/>
          <w:bCs/>
        </w:rPr>
      </w:pPr>
      <w:r w:rsidRPr="002660EF">
        <w:rPr>
          <w:rFonts w:ascii="Arial" w:hAnsi="Arial" w:cs="Arial"/>
          <w:bCs/>
        </w:rPr>
        <w:t xml:space="preserve">Department of Fisheries. (2020). </w:t>
      </w:r>
      <w:r w:rsidRPr="002660EF">
        <w:rPr>
          <w:rFonts w:ascii="Arial" w:hAnsi="Arial" w:cs="Arial"/>
          <w:bCs/>
          <w:i/>
          <w:iCs/>
        </w:rPr>
        <w:t>Annual report</w:t>
      </w:r>
      <w:r w:rsidRPr="002660EF">
        <w:rPr>
          <w:rFonts w:ascii="Arial" w:hAnsi="Arial" w:cs="Arial"/>
          <w:bCs/>
        </w:rPr>
        <w:t xml:space="preserve">. Ministry of Fisheries and Livestock, Government of the People’s Republic of Bangladesh. </w:t>
      </w:r>
      <w:hyperlink r:id="rId23" w:history="1">
        <w:r w:rsidR="002660EF" w:rsidRPr="002660EF">
          <w:rPr>
            <w:rStyle w:val="Hyperlink"/>
            <w:rFonts w:ascii="Arial" w:hAnsi="Arial" w:cs="Arial"/>
            <w:bCs/>
            <w:color w:val="auto"/>
            <w:u w:val="none"/>
          </w:rPr>
          <w:t>https://mis.fisheries.gov.bd/district_map/NDc0OGRpc3RyaWN0X21hcA%3D%3D</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Ellis, F. (1998). Household strategies and rural livelihood diversification. </w:t>
      </w:r>
      <w:r w:rsidRPr="002660EF">
        <w:rPr>
          <w:rFonts w:ascii="Arial" w:hAnsi="Arial" w:cs="Arial"/>
          <w:bCs/>
          <w:i/>
          <w:iCs/>
        </w:rPr>
        <w:t>The Journal of Development Studies, 35</w:t>
      </w:r>
      <w:r w:rsidRPr="002660EF">
        <w:rPr>
          <w:rFonts w:ascii="Arial" w:hAnsi="Arial" w:cs="Arial"/>
          <w:bCs/>
        </w:rPr>
        <w:t xml:space="preserve">(1), 1–38. </w:t>
      </w:r>
      <w:hyperlink r:id="rId24" w:tgtFrame="_new" w:history="1">
        <w:r w:rsidRPr="002660EF">
          <w:rPr>
            <w:rFonts w:ascii="Arial" w:hAnsi="Arial" w:cs="Arial"/>
            <w:bCs/>
          </w:rPr>
          <w:t>https://doi.org/10.1080/00220389808422553</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Ellis, F. (2000). </w:t>
      </w:r>
      <w:r w:rsidRPr="002660EF">
        <w:rPr>
          <w:rFonts w:ascii="Arial" w:hAnsi="Arial" w:cs="Arial"/>
          <w:bCs/>
          <w:i/>
          <w:iCs/>
        </w:rPr>
        <w:t>Rural livelihoods and diversity in developing countries</w:t>
      </w:r>
      <w:r w:rsidRPr="002660EF">
        <w:rPr>
          <w:rFonts w:ascii="Arial" w:hAnsi="Arial" w:cs="Arial"/>
          <w:bCs/>
        </w:rPr>
        <w:t>. Oxford: Oxford University Press.</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Food and Agriculture Organization of the United Nations. (2020). </w:t>
      </w:r>
      <w:r w:rsidRPr="002660EF">
        <w:rPr>
          <w:rFonts w:ascii="Arial" w:hAnsi="Arial" w:cs="Arial"/>
          <w:bCs/>
          <w:i/>
          <w:iCs/>
        </w:rPr>
        <w:t>The state of world fisheries and aquaculture 2020: Sustainability in action</w:t>
      </w:r>
      <w:r w:rsidRPr="002660EF">
        <w:rPr>
          <w:rFonts w:ascii="Arial" w:hAnsi="Arial" w:cs="Arial"/>
          <w:bCs/>
        </w:rPr>
        <w:t>. Rome: FAO.</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Kabir, K. M. R., </w:t>
      </w:r>
      <w:proofErr w:type="spellStart"/>
      <w:r w:rsidRPr="002660EF">
        <w:rPr>
          <w:rFonts w:ascii="Arial" w:hAnsi="Arial" w:cs="Arial"/>
          <w:bCs/>
        </w:rPr>
        <w:t>Adhikary</w:t>
      </w:r>
      <w:proofErr w:type="spellEnd"/>
      <w:r w:rsidRPr="002660EF">
        <w:rPr>
          <w:rFonts w:ascii="Arial" w:hAnsi="Arial" w:cs="Arial"/>
          <w:bCs/>
        </w:rPr>
        <w:t xml:space="preserve">, R. K., Hossain, M. B., &amp; </w:t>
      </w:r>
      <w:proofErr w:type="spellStart"/>
      <w:r w:rsidRPr="002660EF">
        <w:rPr>
          <w:rFonts w:ascii="Arial" w:hAnsi="Arial" w:cs="Arial"/>
          <w:bCs/>
        </w:rPr>
        <w:t>Minar</w:t>
      </w:r>
      <w:proofErr w:type="spellEnd"/>
      <w:r w:rsidRPr="002660EF">
        <w:rPr>
          <w:rFonts w:ascii="Arial" w:hAnsi="Arial" w:cs="Arial"/>
          <w:bCs/>
        </w:rPr>
        <w:t xml:space="preserve">, M. H. (2012). Livelihood status of fishermen of the Old Brahmaputra River, Bangladesh. </w:t>
      </w:r>
      <w:r w:rsidRPr="002660EF">
        <w:rPr>
          <w:rFonts w:ascii="Arial" w:hAnsi="Arial" w:cs="Arial"/>
          <w:bCs/>
          <w:i/>
          <w:iCs/>
        </w:rPr>
        <w:t>World Applied Sciences Journal, 16</w:t>
      </w:r>
      <w:r w:rsidRPr="002660EF">
        <w:rPr>
          <w:rFonts w:ascii="Arial" w:hAnsi="Arial" w:cs="Arial"/>
          <w:bCs/>
        </w:rPr>
        <w:t>(6), 869–873.</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Mia, M. S., </w:t>
      </w:r>
      <w:proofErr w:type="spellStart"/>
      <w:r w:rsidRPr="002660EF">
        <w:rPr>
          <w:rFonts w:ascii="Arial" w:hAnsi="Arial" w:cs="Arial"/>
          <w:bCs/>
        </w:rPr>
        <w:t>Yeasmin</w:t>
      </w:r>
      <w:proofErr w:type="spellEnd"/>
      <w:r w:rsidRPr="002660EF">
        <w:rPr>
          <w:rFonts w:ascii="Arial" w:hAnsi="Arial" w:cs="Arial"/>
          <w:bCs/>
        </w:rPr>
        <w:t xml:space="preserve">, F., </w:t>
      </w:r>
      <w:proofErr w:type="spellStart"/>
      <w:r w:rsidRPr="002660EF">
        <w:rPr>
          <w:rFonts w:ascii="Arial" w:hAnsi="Arial" w:cs="Arial"/>
          <w:bCs/>
        </w:rPr>
        <w:t>Moniruzzaman</w:t>
      </w:r>
      <w:proofErr w:type="spellEnd"/>
      <w:r w:rsidRPr="002660EF">
        <w:rPr>
          <w:rFonts w:ascii="Arial" w:hAnsi="Arial" w:cs="Arial"/>
          <w:bCs/>
        </w:rPr>
        <w:t xml:space="preserve">, S. M., </w:t>
      </w:r>
      <w:proofErr w:type="spellStart"/>
      <w:r w:rsidRPr="002660EF">
        <w:rPr>
          <w:rFonts w:ascii="Arial" w:hAnsi="Arial" w:cs="Arial"/>
          <w:bCs/>
        </w:rPr>
        <w:t>Kafi</w:t>
      </w:r>
      <w:proofErr w:type="spellEnd"/>
      <w:r w:rsidRPr="002660EF">
        <w:rPr>
          <w:rFonts w:ascii="Arial" w:hAnsi="Arial" w:cs="Arial"/>
          <w:bCs/>
        </w:rPr>
        <w:t xml:space="preserve">, M. F. H., Miah, M. I., &amp; </w:t>
      </w:r>
      <w:proofErr w:type="spellStart"/>
      <w:r w:rsidRPr="002660EF">
        <w:rPr>
          <w:rFonts w:ascii="Arial" w:hAnsi="Arial" w:cs="Arial"/>
          <w:bCs/>
        </w:rPr>
        <w:t>Haq</w:t>
      </w:r>
      <w:proofErr w:type="spellEnd"/>
      <w:r w:rsidRPr="002660EF">
        <w:rPr>
          <w:rFonts w:ascii="Arial" w:hAnsi="Arial" w:cs="Arial"/>
          <w:bCs/>
        </w:rPr>
        <w:t xml:space="preserve">, M. S. (2015). Socio-economic condition of the fisher’s community of Meghna River of </w:t>
      </w:r>
      <w:proofErr w:type="spellStart"/>
      <w:r w:rsidRPr="002660EF">
        <w:rPr>
          <w:rFonts w:ascii="Arial" w:hAnsi="Arial" w:cs="Arial"/>
          <w:bCs/>
        </w:rPr>
        <w:t>Ashuganj</w:t>
      </w:r>
      <w:proofErr w:type="spellEnd"/>
      <w:r w:rsidRPr="002660EF">
        <w:rPr>
          <w:rFonts w:ascii="Arial" w:hAnsi="Arial" w:cs="Arial"/>
          <w:bCs/>
        </w:rPr>
        <w:t xml:space="preserve"> </w:t>
      </w:r>
      <w:proofErr w:type="spellStart"/>
      <w:r w:rsidRPr="002660EF">
        <w:rPr>
          <w:rFonts w:ascii="Arial" w:hAnsi="Arial" w:cs="Arial"/>
          <w:bCs/>
        </w:rPr>
        <w:t>Upazila</w:t>
      </w:r>
      <w:proofErr w:type="spellEnd"/>
      <w:r w:rsidRPr="002660EF">
        <w:rPr>
          <w:rFonts w:ascii="Arial" w:hAnsi="Arial" w:cs="Arial"/>
          <w:bCs/>
        </w:rPr>
        <w:t xml:space="preserve"> in </w:t>
      </w:r>
      <w:proofErr w:type="spellStart"/>
      <w:r w:rsidRPr="002660EF">
        <w:rPr>
          <w:rFonts w:ascii="Arial" w:hAnsi="Arial" w:cs="Arial"/>
          <w:bCs/>
        </w:rPr>
        <w:t>Brahmanbaria</w:t>
      </w:r>
      <w:proofErr w:type="spellEnd"/>
      <w:r w:rsidRPr="002660EF">
        <w:rPr>
          <w:rFonts w:ascii="Arial" w:hAnsi="Arial" w:cs="Arial"/>
          <w:bCs/>
        </w:rPr>
        <w:t xml:space="preserve"> District, Bangladesh. </w:t>
      </w:r>
      <w:r w:rsidRPr="002660EF">
        <w:rPr>
          <w:rFonts w:ascii="Arial" w:hAnsi="Arial" w:cs="Arial"/>
          <w:bCs/>
          <w:i/>
          <w:iCs/>
        </w:rPr>
        <w:t>International Journal of Natural and Social Sciences, 2</w:t>
      </w:r>
      <w:r w:rsidRPr="002660EF">
        <w:rPr>
          <w:rFonts w:ascii="Arial" w:hAnsi="Arial" w:cs="Arial"/>
          <w:bCs/>
        </w:rPr>
        <w:t>(1), 42–47.</w:t>
      </w:r>
    </w:p>
    <w:p w:rsidR="009773C7" w:rsidRPr="002660EF" w:rsidRDefault="009773C7" w:rsidP="00247C2A">
      <w:pPr>
        <w:pStyle w:val="NormalWeb"/>
        <w:numPr>
          <w:ilvl w:val="0"/>
          <w:numId w:val="37"/>
        </w:numPr>
        <w:rPr>
          <w:rFonts w:ascii="Arial" w:hAnsi="Arial" w:cs="Arial"/>
          <w:bCs/>
        </w:rPr>
      </w:pPr>
      <w:proofErr w:type="spellStart"/>
      <w:r w:rsidRPr="002660EF">
        <w:rPr>
          <w:rFonts w:ascii="Arial" w:hAnsi="Arial" w:cs="Arial"/>
          <w:bCs/>
        </w:rPr>
        <w:t>Scoones</w:t>
      </w:r>
      <w:proofErr w:type="spellEnd"/>
      <w:r w:rsidRPr="002660EF">
        <w:rPr>
          <w:rFonts w:ascii="Arial" w:hAnsi="Arial" w:cs="Arial"/>
          <w:bCs/>
        </w:rPr>
        <w:t xml:space="preserve">, I. (2009). Livelihoods perspectives and rural development. </w:t>
      </w:r>
      <w:r w:rsidRPr="002660EF">
        <w:rPr>
          <w:rFonts w:ascii="Arial" w:hAnsi="Arial" w:cs="Arial"/>
          <w:bCs/>
          <w:i/>
          <w:iCs/>
        </w:rPr>
        <w:t>The Journal of Peasant Studies, 36</w:t>
      </w:r>
      <w:r w:rsidRPr="002660EF">
        <w:rPr>
          <w:rFonts w:ascii="Arial" w:hAnsi="Arial" w:cs="Arial"/>
          <w:bCs/>
        </w:rPr>
        <w:t xml:space="preserve">(1), 171–196. </w:t>
      </w:r>
      <w:hyperlink r:id="rId25" w:tgtFrame="_new" w:history="1">
        <w:r w:rsidRPr="002660EF">
          <w:rPr>
            <w:rFonts w:ascii="Arial" w:hAnsi="Arial" w:cs="Arial"/>
            <w:bCs/>
          </w:rPr>
          <w:t>https://doi.org/10.1080/03066150902820503</w:t>
        </w:r>
      </w:hyperlink>
    </w:p>
    <w:p w:rsidR="009773C7" w:rsidRPr="002660EF" w:rsidRDefault="009773C7" w:rsidP="00247C2A">
      <w:pPr>
        <w:pStyle w:val="NormalWeb"/>
        <w:numPr>
          <w:ilvl w:val="0"/>
          <w:numId w:val="37"/>
        </w:numPr>
        <w:rPr>
          <w:rFonts w:ascii="Arial" w:hAnsi="Arial" w:cs="Arial"/>
          <w:bCs/>
        </w:rPr>
      </w:pPr>
      <w:proofErr w:type="spellStart"/>
      <w:r w:rsidRPr="002660EF">
        <w:rPr>
          <w:rFonts w:ascii="Arial" w:hAnsi="Arial" w:cs="Arial"/>
          <w:bCs/>
        </w:rPr>
        <w:t>Shamsuzzaman</w:t>
      </w:r>
      <w:proofErr w:type="spellEnd"/>
      <w:r w:rsidRPr="002660EF">
        <w:rPr>
          <w:rFonts w:ascii="Arial" w:hAnsi="Arial" w:cs="Arial"/>
          <w:bCs/>
        </w:rPr>
        <w:t xml:space="preserve">, M. M., Islam, M. M., Tania, N. J., Mamun, M. A. A., Barman, P. P., &amp; Xu, X. (2017). Fisheries resources of Bangladesh: Present status and future direction. </w:t>
      </w:r>
      <w:r w:rsidRPr="002660EF">
        <w:rPr>
          <w:rFonts w:ascii="Arial" w:hAnsi="Arial" w:cs="Arial"/>
          <w:bCs/>
          <w:i/>
          <w:iCs/>
        </w:rPr>
        <w:t>Aquaculture and Fisheries, 2</w:t>
      </w:r>
      <w:r w:rsidRPr="002660EF">
        <w:rPr>
          <w:rFonts w:ascii="Arial" w:hAnsi="Arial" w:cs="Arial"/>
          <w:bCs/>
        </w:rPr>
        <w:t xml:space="preserve">(4), 145–156. </w:t>
      </w:r>
      <w:hyperlink r:id="rId26" w:tgtFrame="_new" w:history="1">
        <w:r w:rsidRPr="002660EF">
          <w:rPr>
            <w:rFonts w:ascii="Arial" w:hAnsi="Arial" w:cs="Arial"/>
            <w:bCs/>
          </w:rPr>
          <w:t>https://doi.org/10.1016/j.aaf.2017.03.006</w:t>
        </w:r>
      </w:hyperlink>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Statista. (2023). Global fish production by fishing and aquaculture 2022. </w:t>
      </w:r>
      <w:r w:rsidR="002660EF" w:rsidRPr="000A53A6">
        <w:rPr>
          <w:rFonts w:ascii="Arial" w:hAnsi="Arial" w:cs="Arial"/>
          <w:bCs/>
        </w:rPr>
        <w:t>www.statista.com/statistics/272311/world-fish-production-by-fishing-and-aquaculture-since-2004</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Sultana, M. S., Al-Mamun, A., Hoque, M. A., Ahmed, K. S., &amp; Hossain, M. M. (2021). Reflectance-based water quality index and its application to examine degradation of river water quality in a rapidly urbanizing megacity. </w:t>
      </w:r>
      <w:r w:rsidRPr="002660EF">
        <w:rPr>
          <w:rFonts w:ascii="Arial" w:hAnsi="Arial" w:cs="Arial"/>
          <w:bCs/>
          <w:i/>
          <w:iCs/>
        </w:rPr>
        <w:t>Environmental Advances, 5</w:t>
      </w:r>
      <w:r w:rsidRPr="002660EF">
        <w:rPr>
          <w:rFonts w:ascii="Arial" w:hAnsi="Arial" w:cs="Arial"/>
          <w:bCs/>
        </w:rPr>
        <w:t xml:space="preserve">, 100092. </w:t>
      </w:r>
      <w:hyperlink r:id="rId27" w:tgtFrame="_new" w:history="1">
        <w:r w:rsidRPr="002660EF">
          <w:rPr>
            <w:rFonts w:ascii="Arial" w:hAnsi="Arial" w:cs="Arial"/>
            <w:bCs/>
          </w:rPr>
          <w:t>https://doi.org/10.1016/j.envadv.2021.100092</w:t>
        </w:r>
      </w:hyperlink>
    </w:p>
    <w:p w:rsidR="009773C7" w:rsidRPr="002660EF" w:rsidRDefault="009773C7" w:rsidP="00247C2A">
      <w:pPr>
        <w:pStyle w:val="NormalWeb"/>
        <w:numPr>
          <w:ilvl w:val="0"/>
          <w:numId w:val="37"/>
        </w:numPr>
        <w:rPr>
          <w:rFonts w:ascii="Arial" w:hAnsi="Arial" w:cs="Arial"/>
          <w:bCs/>
        </w:rPr>
      </w:pPr>
      <w:proofErr w:type="spellStart"/>
      <w:r w:rsidRPr="002660EF">
        <w:rPr>
          <w:rFonts w:ascii="Arial" w:hAnsi="Arial" w:cs="Arial"/>
          <w:bCs/>
        </w:rPr>
        <w:t>Tacon</w:t>
      </w:r>
      <w:proofErr w:type="spellEnd"/>
      <w:r w:rsidRPr="002660EF">
        <w:rPr>
          <w:rFonts w:ascii="Arial" w:hAnsi="Arial" w:cs="Arial"/>
          <w:bCs/>
        </w:rPr>
        <w:t xml:space="preserve">, A. G., &amp; Shumway, S. E. (2024). Critical need to increase aquatic food production and food supply from aquaculture and capture fisheries: Trends and outlook. </w:t>
      </w:r>
      <w:r w:rsidRPr="002660EF">
        <w:rPr>
          <w:rFonts w:ascii="Arial" w:hAnsi="Arial" w:cs="Arial"/>
          <w:bCs/>
          <w:i/>
          <w:iCs/>
        </w:rPr>
        <w:t>Reviews in Fisheries Science &amp; Aquaculture, 32</w:t>
      </w:r>
      <w:r w:rsidRPr="002660EF">
        <w:rPr>
          <w:rFonts w:ascii="Arial" w:hAnsi="Arial" w:cs="Arial"/>
          <w:bCs/>
        </w:rPr>
        <w:t>(3), 389–395.</w:t>
      </w:r>
    </w:p>
    <w:p w:rsidR="009773C7" w:rsidRPr="002660EF" w:rsidRDefault="009773C7" w:rsidP="00247C2A">
      <w:pPr>
        <w:pStyle w:val="NormalWeb"/>
        <w:numPr>
          <w:ilvl w:val="0"/>
          <w:numId w:val="37"/>
        </w:numPr>
        <w:rPr>
          <w:rFonts w:ascii="Arial" w:hAnsi="Arial" w:cs="Arial"/>
          <w:bCs/>
        </w:rPr>
      </w:pPr>
      <w:r w:rsidRPr="002660EF">
        <w:rPr>
          <w:rFonts w:ascii="Arial" w:hAnsi="Arial" w:cs="Arial"/>
          <w:bCs/>
        </w:rPr>
        <w:t xml:space="preserve">Tania, N. J., Dewan, A., Karim, M. R., &amp; Hassan, Q. K. (2021). Evaluation of water quantity–quality, floodplain, land use, and land surface temperature (LST) of </w:t>
      </w:r>
      <w:proofErr w:type="spellStart"/>
      <w:r w:rsidRPr="002660EF">
        <w:rPr>
          <w:rFonts w:ascii="Arial" w:hAnsi="Arial" w:cs="Arial"/>
          <w:bCs/>
        </w:rPr>
        <w:t>Turag</w:t>
      </w:r>
      <w:proofErr w:type="spellEnd"/>
      <w:r w:rsidRPr="002660EF">
        <w:rPr>
          <w:rFonts w:ascii="Arial" w:hAnsi="Arial" w:cs="Arial"/>
          <w:bCs/>
        </w:rPr>
        <w:t xml:space="preserve"> River in Bangladesh: </w:t>
      </w:r>
      <w:r w:rsidRPr="002660EF">
        <w:rPr>
          <w:rFonts w:ascii="Arial" w:hAnsi="Arial" w:cs="Arial"/>
          <w:bCs/>
        </w:rPr>
        <w:lastRenderedPageBreak/>
        <w:t xml:space="preserve">Integrated geospatial and field analysis. </w:t>
      </w:r>
      <w:r w:rsidRPr="002660EF">
        <w:rPr>
          <w:rFonts w:ascii="Arial" w:hAnsi="Arial" w:cs="Arial"/>
          <w:bCs/>
          <w:i/>
          <w:iCs/>
        </w:rPr>
        <w:t>Sustainability, 13</w:t>
      </w:r>
      <w:r w:rsidRPr="002660EF">
        <w:rPr>
          <w:rFonts w:ascii="Arial" w:hAnsi="Arial" w:cs="Arial"/>
          <w:bCs/>
        </w:rPr>
        <w:t xml:space="preserve">(16), 9273. </w:t>
      </w:r>
      <w:hyperlink r:id="rId28" w:tgtFrame="_new" w:history="1">
        <w:r w:rsidRPr="002660EF">
          <w:rPr>
            <w:rFonts w:ascii="Arial" w:hAnsi="Arial" w:cs="Arial"/>
            <w:bCs/>
          </w:rPr>
          <w:t>https://doi.org/10.3390/su13169273</w:t>
        </w:r>
      </w:hyperlink>
    </w:p>
    <w:p w:rsidR="00576270" w:rsidRPr="002660EF" w:rsidRDefault="009773C7" w:rsidP="00247C2A">
      <w:pPr>
        <w:pStyle w:val="NormalWeb"/>
        <w:numPr>
          <w:ilvl w:val="0"/>
          <w:numId w:val="37"/>
        </w:numPr>
        <w:rPr>
          <w:rFonts w:ascii="Arial" w:hAnsi="Arial" w:cs="Arial"/>
          <w:bCs/>
        </w:rPr>
      </w:pPr>
      <w:r w:rsidRPr="002660EF">
        <w:rPr>
          <w:rFonts w:ascii="Arial" w:hAnsi="Arial" w:cs="Arial"/>
          <w:bCs/>
        </w:rPr>
        <w:t xml:space="preserve">The Business Standard. (2025). One in four households now under poverty line, survey finds. </w:t>
      </w:r>
      <w:r w:rsidRPr="00AA1A5B">
        <w:rPr>
          <w:rFonts w:ascii="Arial" w:hAnsi="Arial" w:cs="Arial"/>
          <w:bCs/>
        </w:rPr>
        <w:t>https://www.tbsnews.net/economy/one-four-households-now-under-poverty-line-survey-finds-1219771</w:t>
      </w:r>
    </w:p>
    <w:sectPr w:rsidR="00576270" w:rsidRPr="002660EF" w:rsidSect="00F23BAF">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8B" w:rsidRDefault="00507C8B" w:rsidP="00C37E61">
      <w:r>
        <w:separator/>
      </w:r>
    </w:p>
  </w:endnote>
  <w:endnote w:type="continuationSeparator" w:id="0">
    <w:p w:rsidR="00507C8B" w:rsidRDefault="00507C8B" w:rsidP="00C37E61">
      <w:r>
        <w:continuationSeparator/>
      </w:r>
    </w:p>
  </w:endnote>
  <w:endnote w:type="continuationNotice" w:id="1">
    <w:p w:rsidR="00507C8B" w:rsidRDefault="00507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8B" w:rsidRDefault="00507C8B" w:rsidP="00C37E61">
      <w:r>
        <w:separator/>
      </w:r>
    </w:p>
  </w:footnote>
  <w:footnote w:type="continuationSeparator" w:id="0">
    <w:p w:rsidR="00507C8B" w:rsidRDefault="00507C8B" w:rsidP="00C37E61">
      <w:r>
        <w:continuationSeparator/>
      </w:r>
    </w:p>
  </w:footnote>
  <w:footnote w:type="continuationNotice" w:id="1">
    <w:p w:rsidR="00507C8B" w:rsidRDefault="00507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50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50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507C8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50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50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AF" w:rsidRDefault="00507C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4310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E2002D"/>
    <w:multiLevelType w:val="multilevel"/>
    <w:tmpl w:val="B848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9651C6"/>
    <w:multiLevelType w:val="multilevel"/>
    <w:tmpl w:val="BD28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9C4363"/>
    <w:multiLevelType w:val="hybridMultilevel"/>
    <w:tmpl w:val="FC7CA6F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A13AD"/>
    <w:multiLevelType w:val="hybridMultilevel"/>
    <w:tmpl w:val="24F882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2725C9"/>
    <w:multiLevelType w:val="multilevel"/>
    <w:tmpl w:val="AF54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362DF"/>
    <w:multiLevelType w:val="hybridMultilevel"/>
    <w:tmpl w:val="AEE04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230AAA"/>
    <w:multiLevelType w:val="multilevel"/>
    <w:tmpl w:val="B274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6"/>
  </w:num>
  <w:num w:numId="9">
    <w:abstractNumId w:val="32"/>
  </w:num>
  <w:num w:numId="10">
    <w:abstractNumId w:val="2"/>
  </w:num>
  <w:num w:numId="11">
    <w:abstractNumId w:val="25"/>
  </w:num>
  <w:num w:numId="12">
    <w:abstractNumId w:val="3"/>
  </w:num>
  <w:num w:numId="13">
    <w:abstractNumId w:val="24"/>
  </w:num>
  <w:num w:numId="14">
    <w:abstractNumId w:val="11"/>
  </w:num>
  <w:num w:numId="15">
    <w:abstractNumId w:val="28"/>
  </w:num>
  <w:num w:numId="16">
    <w:abstractNumId w:val="5"/>
  </w:num>
  <w:num w:numId="17">
    <w:abstractNumId w:val="29"/>
  </w:num>
  <w:num w:numId="18">
    <w:abstractNumId w:val="18"/>
  </w:num>
  <w:num w:numId="19">
    <w:abstractNumId w:val="35"/>
  </w:num>
  <w:num w:numId="20">
    <w:abstractNumId w:val="15"/>
  </w:num>
  <w:num w:numId="21">
    <w:abstractNumId w:val="12"/>
  </w:num>
  <w:num w:numId="22">
    <w:abstractNumId w:val="17"/>
  </w:num>
  <w:num w:numId="23">
    <w:abstractNumId w:val="26"/>
  </w:num>
  <w:num w:numId="24">
    <w:abstractNumId w:val="33"/>
  </w:num>
  <w:num w:numId="25">
    <w:abstractNumId w:val="4"/>
  </w:num>
  <w:num w:numId="26">
    <w:abstractNumId w:val="23"/>
  </w:num>
  <w:num w:numId="27">
    <w:abstractNumId w:val="27"/>
  </w:num>
  <w:num w:numId="28">
    <w:abstractNumId w:val="34"/>
  </w:num>
  <w:num w:numId="29">
    <w:abstractNumId w:val="31"/>
  </w:num>
  <w:num w:numId="30">
    <w:abstractNumId w:val="13"/>
  </w:num>
  <w:num w:numId="31">
    <w:abstractNumId w:val="6"/>
  </w:num>
  <w:num w:numId="32">
    <w:abstractNumId w:val="10"/>
  </w:num>
  <w:num w:numId="33">
    <w:abstractNumId w:val="14"/>
  </w:num>
  <w:num w:numId="34">
    <w:abstractNumId w:val="19"/>
  </w:num>
  <w:num w:numId="35">
    <w:abstractNumId w:val="22"/>
  </w:num>
  <w:num w:numId="36">
    <w:abstractNumId w:val="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07AC"/>
    <w:rsid w:val="0002191B"/>
    <w:rsid w:val="00030174"/>
    <w:rsid w:val="00035F77"/>
    <w:rsid w:val="0004579C"/>
    <w:rsid w:val="0004788E"/>
    <w:rsid w:val="000769F6"/>
    <w:rsid w:val="00091159"/>
    <w:rsid w:val="000A47FA"/>
    <w:rsid w:val="000A53A6"/>
    <w:rsid w:val="000A65D3"/>
    <w:rsid w:val="000B1094"/>
    <w:rsid w:val="000B1E33"/>
    <w:rsid w:val="000B2585"/>
    <w:rsid w:val="000B29D1"/>
    <w:rsid w:val="000B7048"/>
    <w:rsid w:val="000D689F"/>
    <w:rsid w:val="000E7B7B"/>
    <w:rsid w:val="000E7D62"/>
    <w:rsid w:val="00103357"/>
    <w:rsid w:val="00121137"/>
    <w:rsid w:val="00123C9F"/>
    <w:rsid w:val="00126190"/>
    <w:rsid w:val="00130F17"/>
    <w:rsid w:val="001320BF"/>
    <w:rsid w:val="00163BC4"/>
    <w:rsid w:val="00191062"/>
    <w:rsid w:val="00192B72"/>
    <w:rsid w:val="001969FE"/>
    <w:rsid w:val="001A29D8"/>
    <w:rsid w:val="001A5CAA"/>
    <w:rsid w:val="001B0427"/>
    <w:rsid w:val="001D3A51"/>
    <w:rsid w:val="001D640E"/>
    <w:rsid w:val="001E10D2"/>
    <w:rsid w:val="001E25B4"/>
    <w:rsid w:val="001E44FE"/>
    <w:rsid w:val="001F14B6"/>
    <w:rsid w:val="00200595"/>
    <w:rsid w:val="00204835"/>
    <w:rsid w:val="00231920"/>
    <w:rsid w:val="0023195C"/>
    <w:rsid w:val="002417CD"/>
    <w:rsid w:val="0024282C"/>
    <w:rsid w:val="002460DC"/>
    <w:rsid w:val="00247C2A"/>
    <w:rsid w:val="00250985"/>
    <w:rsid w:val="002556F6"/>
    <w:rsid w:val="002660EF"/>
    <w:rsid w:val="00283105"/>
    <w:rsid w:val="00284C4C"/>
    <w:rsid w:val="00287E68"/>
    <w:rsid w:val="00296529"/>
    <w:rsid w:val="00297BD5"/>
    <w:rsid w:val="002B27FB"/>
    <w:rsid w:val="002B685A"/>
    <w:rsid w:val="002C57D2"/>
    <w:rsid w:val="002C5D19"/>
    <w:rsid w:val="002D4FB3"/>
    <w:rsid w:val="002E0D56"/>
    <w:rsid w:val="00315186"/>
    <w:rsid w:val="0033343E"/>
    <w:rsid w:val="003512C2"/>
    <w:rsid w:val="00363D51"/>
    <w:rsid w:val="00371FB6"/>
    <w:rsid w:val="00375A4B"/>
    <w:rsid w:val="003763C1"/>
    <w:rsid w:val="00376BBE"/>
    <w:rsid w:val="0039224F"/>
    <w:rsid w:val="003A0444"/>
    <w:rsid w:val="003A43A4"/>
    <w:rsid w:val="003A7E18"/>
    <w:rsid w:val="003C4C86"/>
    <w:rsid w:val="003C6258"/>
    <w:rsid w:val="003D7A83"/>
    <w:rsid w:val="003E2904"/>
    <w:rsid w:val="003E63CB"/>
    <w:rsid w:val="00401927"/>
    <w:rsid w:val="0041027F"/>
    <w:rsid w:val="00412475"/>
    <w:rsid w:val="00423789"/>
    <w:rsid w:val="00423B97"/>
    <w:rsid w:val="0042706D"/>
    <w:rsid w:val="00440F43"/>
    <w:rsid w:val="00441B6F"/>
    <w:rsid w:val="00446221"/>
    <w:rsid w:val="00450E62"/>
    <w:rsid w:val="004539DB"/>
    <w:rsid w:val="00460CBA"/>
    <w:rsid w:val="00471A80"/>
    <w:rsid w:val="00485045"/>
    <w:rsid w:val="004B3FDC"/>
    <w:rsid w:val="004D305E"/>
    <w:rsid w:val="004D4277"/>
    <w:rsid w:val="004E2FC3"/>
    <w:rsid w:val="00502516"/>
    <w:rsid w:val="00505F06"/>
    <w:rsid w:val="00506828"/>
    <w:rsid w:val="00507C8B"/>
    <w:rsid w:val="0053056E"/>
    <w:rsid w:val="005339AB"/>
    <w:rsid w:val="00554FDA"/>
    <w:rsid w:val="0055711E"/>
    <w:rsid w:val="00576270"/>
    <w:rsid w:val="005C784C"/>
    <w:rsid w:val="005D17F6"/>
    <w:rsid w:val="005E5539"/>
    <w:rsid w:val="00602BF5"/>
    <w:rsid w:val="00617FDD"/>
    <w:rsid w:val="00624665"/>
    <w:rsid w:val="00633614"/>
    <w:rsid w:val="00633F68"/>
    <w:rsid w:val="00636EB2"/>
    <w:rsid w:val="006375B8"/>
    <w:rsid w:val="006500C9"/>
    <w:rsid w:val="006570ED"/>
    <w:rsid w:val="0066510A"/>
    <w:rsid w:val="00673F9F"/>
    <w:rsid w:val="00686953"/>
    <w:rsid w:val="00687DEA"/>
    <w:rsid w:val="00687E67"/>
    <w:rsid w:val="006967F7"/>
    <w:rsid w:val="006A250C"/>
    <w:rsid w:val="006A5B3D"/>
    <w:rsid w:val="006B21D3"/>
    <w:rsid w:val="006B57D0"/>
    <w:rsid w:val="006D30FF"/>
    <w:rsid w:val="006D6940"/>
    <w:rsid w:val="006E0AED"/>
    <w:rsid w:val="006F11EC"/>
    <w:rsid w:val="006F7C17"/>
    <w:rsid w:val="0070082C"/>
    <w:rsid w:val="00700FB4"/>
    <w:rsid w:val="007118AB"/>
    <w:rsid w:val="007328EF"/>
    <w:rsid w:val="007369E6"/>
    <w:rsid w:val="007467AE"/>
    <w:rsid w:val="00746E59"/>
    <w:rsid w:val="00754C9A"/>
    <w:rsid w:val="0075599A"/>
    <w:rsid w:val="007567E5"/>
    <w:rsid w:val="00761D52"/>
    <w:rsid w:val="0077749E"/>
    <w:rsid w:val="00790ADA"/>
    <w:rsid w:val="00790D26"/>
    <w:rsid w:val="007B0C62"/>
    <w:rsid w:val="007B2A01"/>
    <w:rsid w:val="007D2288"/>
    <w:rsid w:val="007E088F"/>
    <w:rsid w:val="007F7B32"/>
    <w:rsid w:val="00804BC2"/>
    <w:rsid w:val="008066D3"/>
    <w:rsid w:val="0081431A"/>
    <w:rsid w:val="00825A8A"/>
    <w:rsid w:val="0083216F"/>
    <w:rsid w:val="00860000"/>
    <w:rsid w:val="00863BD3"/>
    <w:rsid w:val="008641ED"/>
    <w:rsid w:val="00866D66"/>
    <w:rsid w:val="008671C6"/>
    <w:rsid w:val="00867527"/>
    <w:rsid w:val="00875803"/>
    <w:rsid w:val="008967ED"/>
    <w:rsid w:val="008B459E"/>
    <w:rsid w:val="008E13AE"/>
    <w:rsid w:val="008E1506"/>
    <w:rsid w:val="008E2FE8"/>
    <w:rsid w:val="008E710C"/>
    <w:rsid w:val="008E7B3C"/>
    <w:rsid w:val="008F07AD"/>
    <w:rsid w:val="008F69D6"/>
    <w:rsid w:val="00902823"/>
    <w:rsid w:val="00915CA6"/>
    <w:rsid w:val="00927834"/>
    <w:rsid w:val="0094088D"/>
    <w:rsid w:val="009500A6"/>
    <w:rsid w:val="00957C18"/>
    <w:rsid w:val="0096066C"/>
    <w:rsid w:val="009659BA"/>
    <w:rsid w:val="009773C7"/>
    <w:rsid w:val="00983040"/>
    <w:rsid w:val="009A2CAD"/>
    <w:rsid w:val="009B3FB9"/>
    <w:rsid w:val="009C2465"/>
    <w:rsid w:val="009C62FB"/>
    <w:rsid w:val="009D35A0"/>
    <w:rsid w:val="009D7391"/>
    <w:rsid w:val="009D7EB7"/>
    <w:rsid w:val="009E048A"/>
    <w:rsid w:val="009E08E9"/>
    <w:rsid w:val="009E3DB9"/>
    <w:rsid w:val="009E6E35"/>
    <w:rsid w:val="009F0EDA"/>
    <w:rsid w:val="00A03B96"/>
    <w:rsid w:val="00A05B19"/>
    <w:rsid w:val="00A1134E"/>
    <w:rsid w:val="00A1208D"/>
    <w:rsid w:val="00A21B20"/>
    <w:rsid w:val="00A24E7E"/>
    <w:rsid w:val="00A258C3"/>
    <w:rsid w:val="00A34316"/>
    <w:rsid w:val="00A347C0"/>
    <w:rsid w:val="00A378A1"/>
    <w:rsid w:val="00A41364"/>
    <w:rsid w:val="00A51431"/>
    <w:rsid w:val="00A539AD"/>
    <w:rsid w:val="00A94063"/>
    <w:rsid w:val="00AA1A5B"/>
    <w:rsid w:val="00AA6219"/>
    <w:rsid w:val="00AA74E0"/>
    <w:rsid w:val="00AB69AA"/>
    <w:rsid w:val="00AB703F"/>
    <w:rsid w:val="00AC47C2"/>
    <w:rsid w:val="00AC6BB8"/>
    <w:rsid w:val="00AD2D81"/>
    <w:rsid w:val="00AE008F"/>
    <w:rsid w:val="00B01FCD"/>
    <w:rsid w:val="00B1776C"/>
    <w:rsid w:val="00B3472D"/>
    <w:rsid w:val="00B352DA"/>
    <w:rsid w:val="00B457E0"/>
    <w:rsid w:val="00B52583"/>
    <w:rsid w:val="00B52896"/>
    <w:rsid w:val="00B83937"/>
    <w:rsid w:val="00B95236"/>
    <w:rsid w:val="00B96BD9"/>
    <w:rsid w:val="00BA1B01"/>
    <w:rsid w:val="00BA2641"/>
    <w:rsid w:val="00BA3B94"/>
    <w:rsid w:val="00BB37AA"/>
    <w:rsid w:val="00BC53A0"/>
    <w:rsid w:val="00BE62AD"/>
    <w:rsid w:val="00BF121F"/>
    <w:rsid w:val="00BF1F80"/>
    <w:rsid w:val="00C025C6"/>
    <w:rsid w:val="00C166EF"/>
    <w:rsid w:val="00C17EB0"/>
    <w:rsid w:val="00C27F5F"/>
    <w:rsid w:val="00C30A0F"/>
    <w:rsid w:val="00C37E61"/>
    <w:rsid w:val="00C52BBF"/>
    <w:rsid w:val="00C52C01"/>
    <w:rsid w:val="00C56687"/>
    <w:rsid w:val="00C70F1B"/>
    <w:rsid w:val="00C71A47"/>
    <w:rsid w:val="00C7464C"/>
    <w:rsid w:val="00C85588"/>
    <w:rsid w:val="00CD6755"/>
    <w:rsid w:val="00CD6856"/>
    <w:rsid w:val="00CE0089"/>
    <w:rsid w:val="00CE793C"/>
    <w:rsid w:val="00CF0CA0"/>
    <w:rsid w:val="00CF193C"/>
    <w:rsid w:val="00D019C2"/>
    <w:rsid w:val="00D12C04"/>
    <w:rsid w:val="00D162A9"/>
    <w:rsid w:val="00D173F1"/>
    <w:rsid w:val="00D2095A"/>
    <w:rsid w:val="00D74CB0"/>
    <w:rsid w:val="00D8295D"/>
    <w:rsid w:val="00DA7296"/>
    <w:rsid w:val="00DC1723"/>
    <w:rsid w:val="00DC2A65"/>
    <w:rsid w:val="00DE15F0"/>
    <w:rsid w:val="00DE5663"/>
    <w:rsid w:val="00DE78AA"/>
    <w:rsid w:val="00E053D0"/>
    <w:rsid w:val="00E0782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C60"/>
    <w:rsid w:val="00EF4F7F"/>
    <w:rsid w:val="00EF581D"/>
    <w:rsid w:val="00EF7FD8"/>
    <w:rsid w:val="00F054C5"/>
    <w:rsid w:val="00F06F59"/>
    <w:rsid w:val="00F17988"/>
    <w:rsid w:val="00F23BAF"/>
    <w:rsid w:val="00F269C4"/>
    <w:rsid w:val="00F469F0"/>
    <w:rsid w:val="00F53273"/>
    <w:rsid w:val="00F755E4"/>
    <w:rsid w:val="00F77D02"/>
    <w:rsid w:val="00FB3A86"/>
    <w:rsid w:val="00FD1933"/>
    <w:rsid w:val="00FD36C8"/>
    <w:rsid w:val="00FE54E3"/>
    <w:rsid w:val="00FE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399D14BF-79D1-4A64-9B01-A7E38939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E2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571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47C2"/>
    <w:pPr>
      <w:keepNext/>
      <w:keepLines/>
      <w:spacing w:before="200" w:line="259"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E2FC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47C2"/>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semiHidden/>
    <w:rsid w:val="0055711E"/>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B83937"/>
    <w:rPr>
      <w:rFonts w:ascii="Helvetica" w:hAnsi="Helvetica"/>
    </w:rPr>
  </w:style>
  <w:style w:type="character" w:customStyle="1" w:styleId="UnresolvedMention2">
    <w:name w:val="Unresolved Mention2"/>
    <w:basedOn w:val="DefaultParagraphFont"/>
    <w:uiPriority w:val="99"/>
    <w:semiHidden/>
    <w:unhideWhenUsed/>
    <w:rsid w:val="00B83937"/>
    <w:rPr>
      <w:color w:val="605E5C"/>
      <w:shd w:val="clear" w:color="auto" w:fill="E1DFDD"/>
    </w:rPr>
  </w:style>
  <w:style w:type="paragraph" w:styleId="Revision">
    <w:name w:val="Revision"/>
    <w:hidden/>
    <w:uiPriority w:val="99"/>
    <w:semiHidden/>
    <w:rsid w:val="00C52BBF"/>
    <w:rPr>
      <w:rFonts w:ascii="Helvetica" w:hAnsi="Helvetica"/>
    </w:rPr>
  </w:style>
  <w:style w:type="paragraph" w:styleId="NormalWeb">
    <w:name w:val="Normal (Web)"/>
    <w:basedOn w:val="Normal"/>
    <w:uiPriority w:val="99"/>
    <w:unhideWhenUsed/>
    <w:rsid w:val="0042706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A5B3D"/>
    <w:pPr>
      <w:ind w:left="720"/>
      <w:contextualSpacing/>
    </w:pPr>
  </w:style>
  <w:style w:type="paragraph" w:styleId="HTMLPreformatted">
    <w:name w:val="HTML Preformatted"/>
    <w:basedOn w:val="Normal"/>
    <w:link w:val="HTMLPreformattedChar"/>
    <w:semiHidden/>
    <w:unhideWhenUsed/>
    <w:rsid w:val="008066D3"/>
    <w:rPr>
      <w:rFonts w:ascii="Consolas" w:hAnsi="Consolas"/>
    </w:rPr>
  </w:style>
  <w:style w:type="character" w:customStyle="1" w:styleId="HTMLPreformattedChar">
    <w:name w:val="HTML Preformatted Char"/>
    <w:basedOn w:val="DefaultParagraphFont"/>
    <w:link w:val="HTMLPreformatted"/>
    <w:semiHidden/>
    <w:rsid w:val="008066D3"/>
    <w:rPr>
      <w:rFonts w:ascii="Consolas" w:hAnsi="Consolas"/>
    </w:rPr>
  </w:style>
  <w:style w:type="character" w:styleId="Strong">
    <w:name w:val="Strong"/>
    <w:basedOn w:val="DefaultParagraphFont"/>
    <w:uiPriority w:val="22"/>
    <w:qFormat/>
    <w:rsid w:val="00363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2172318">
      <w:bodyDiv w:val="1"/>
      <w:marLeft w:val="0"/>
      <w:marRight w:val="0"/>
      <w:marTop w:val="0"/>
      <w:marBottom w:val="0"/>
      <w:divBdr>
        <w:top w:val="none" w:sz="0" w:space="0" w:color="auto"/>
        <w:left w:val="none" w:sz="0" w:space="0" w:color="auto"/>
        <w:bottom w:val="none" w:sz="0" w:space="0" w:color="auto"/>
        <w:right w:val="none" w:sz="0" w:space="0" w:color="auto"/>
      </w:divBdr>
    </w:div>
    <w:div w:id="14019549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11619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3097192">
      <w:bodyDiv w:val="1"/>
      <w:marLeft w:val="0"/>
      <w:marRight w:val="0"/>
      <w:marTop w:val="0"/>
      <w:marBottom w:val="0"/>
      <w:divBdr>
        <w:top w:val="none" w:sz="0" w:space="0" w:color="auto"/>
        <w:left w:val="none" w:sz="0" w:space="0" w:color="auto"/>
        <w:bottom w:val="none" w:sz="0" w:space="0" w:color="auto"/>
        <w:right w:val="none" w:sz="0" w:space="0" w:color="auto"/>
      </w:divBdr>
    </w:div>
    <w:div w:id="372192482">
      <w:bodyDiv w:val="1"/>
      <w:marLeft w:val="0"/>
      <w:marRight w:val="0"/>
      <w:marTop w:val="0"/>
      <w:marBottom w:val="0"/>
      <w:divBdr>
        <w:top w:val="none" w:sz="0" w:space="0" w:color="auto"/>
        <w:left w:val="none" w:sz="0" w:space="0" w:color="auto"/>
        <w:bottom w:val="none" w:sz="0" w:space="0" w:color="auto"/>
        <w:right w:val="none" w:sz="0" w:space="0" w:color="auto"/>
      </w:divBdr>
    </w:div>
    <w:div w:id="379407282">
      <w:bodyDiv w:val="1"/>
      <w:marLeft w:val="0"/>
      <w:marRight w:val="0"/>
      <w:marTop w:val="0"/>
      <w:marBottom w:val="0"/>
      <w:divBdr>
        <w:top w:val="none" w:sz="0" w:space="0" w:color="auto"/>
        <w:left w:val="none" w:sz="0" w:space="0" w:color="auto"/>
        <w:bottom w:val="none" w:sz="0" w:space="0" w:color="auto"/>
        <w:right w:val="none" w:sz="0" w:space="0" w:color="auto"/>
      </w:divBdr>
    </w:div>
    <w:div w:id="4258055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495408">
      <w:bodyDiv w:val="1"/>
      <w:marLeft w:val="0"/>
      <w:marRight w:val="0"/>
      <w:marTop w:val="0"/>
      <w:marBottom w:val="0"/>
      <w:divBdr>
        <w:top w:val="none" w:sz="0" w:space="0" w:color="auto"/>
        <w:left w:val="none" w:sz="0" w:space="0" w:color="auto"/>
        <w:bottom w:val="none" w:sz="0" w:space="0" w:color="auto"/>
        <w:right w:val="none" w:sz="0" w:space="0" w:color="auto"/>
      </w:divBdr>
    </w:div>
    <w:div w:id="767239414">
      <w:bodyDiv w:val="1"/>
      <w:marLeft w:val="0"/>
      <w:marRight w:val="0"/>
      <w:marTop w:val="0"/>
      <w:marBottom w:val="0"/>
      <w:divBdr>
        <w:top w:val="none" w:sz="0" w:space="0" w:color="auto"/>
        <w:left w:val="none" w:sz="0" w:space="0" w:color="auto"/>
        <w:bottom w:val="none" w:sz="0" w:space="0" w:color="auto"/>
        <w:right w:val="none" w:sz="0" w:space="0" w:color="auto"/>
      </w:divBdr>
    </w:div>
    <w:div w:id="836313462">
      <w:bodyDiv w:val="1"/>
      <w:marLeft w:val="0"/>
      <w:marRight w:val="0"/>
      <w:marTop w:val="0"/>
      <w:marBottom w:val="0"/>
      <w:divBdr>
        <w:top w:val="none" w:sz="0" w:space="0" w:color="auto"/>
        <w:left w:val="none" w:sz="0" w:space="0" w:color="auto"/>
        <w:bottom w:val="none" w:sz="0" w:space="0" w:color="auto"/>
        <w:right w:val="none" w:sz="0" w:space="0" w:color="auto"/>
      </w:divBdr>
    </w:div>
    <w:div w:id="849566101">
      <w:bodyDiv w:val="1"/>
      <w:marLeft w:val="0"/>
      <w:marRight w:val="0"/>
      <w:marTop w:val="0"/>
      <w:marBottom w:val="0"/>
      <w:divBdr>
        <w:top w:val="none" w:sz="0" w:space="0" w:color="auto"/>
        <w:left w:val="none" w:sz="0" w:space="0" w:color="auto"/>
        <w:bottom w:val="none" w:sz="0" w:space="0" w:color="auto"/>
        <w:right w:val="none" w:sz="0" w:space="0" w:color="auto"/>
      </w:divBdr>
    </w:div>
    <w:div w:id="876351615">
      <w:bodyDiv w:val="1"/>
      <w:marLeft w:val="0"/>
      <w:marRight w:val="0"/>
      <w:marTop w:val="0"/>
      <w:marBottom w:val="0"/>
      <w:divBdr>
        <w:top w:val="none" w:sz="0" w:space="0" w:color="auto"/>
        <w:left w:val="none" w:sz="0" w:space="0" w:color="auto"/>
        <w:bottom w:val="none" w:sz="0" w:space="0" w:color="auto"/>
        <w:right w:val="none" w:sz="0" w:space="0" w:color="auto"/>
      </w:divBdr>
    </w:div>
    <w:div w:id="8775474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033381">
      <w:bodyDiv w:val="1"/>
      <w:marLeft w:val="0"/>
      <w:marRight w:val="0"/>
      <w:marTop w:val="0"/>
      <w:marBottom w:val="0"/>
      <w:divBdr>
        <w:top w:val="none" w:sz="0" w:space="0" w:color="auto"/>
        <w:left w:val="none" w:sz="0" w:space="0" w:color="auto"/>
        <w:bottom w:val="none" w:sz="0" w:space="0" w:color="auto"/>
        <w:right w:val="none" w:sz="0" w:space="0" w:color="auto"/>
      </w:divBdr>
    </w:div>
    <w:div w:id="1389649125">
      <w:bodyDiv w:val="1"/>
      <w:marLeft w:val="0"/>
      <w:marRight w:val="0"/>
      <w:marTop w:val="0"/>
      <w:marBottom w:val="0"/>
      <w:divBdr>
        <w:top w:val="none" w:sz="0" w:space="0" w:color="auto"/>
        <w:left w:val="none" w:sz="0" w:space="0" w:color="auto"/>
        <w:bottom w:val="none" w:sz="0" w:space="0" w:color="auto"/>
        <w:right w:val="none" w:sz="0" w:space="0" w:color="auto"/>
      </w:divBdr>
    </w:div>
    <w:div w:id="1565604778">
      <w:bodyDiv w:val="1"/>
      <w:marLeft w:val="0"/>
      <w:marRight w:val="0"/>
      <w:marTop w:val="0"/>
      <w:marBottom w:val="0"/>
      <w:divBdr>
        <w:top w:val="none" w:sz="0" w:space="0" w:color="auto"/>
        <w:left w:val="none" w:sz="0" w:space="0" w:color="auto"/>
        <w:bottom w:val="none" w:sz="0" w:space="0" w:color="auto"/>
        <w:right w:val="none" w:sz="0" w:space="0" w:color="auto"/>
      </w:divBdr>
    </w:div>
    <w:div w:id="1594624296">
      <w:bodyDiv w:val="1"/>
      <w:marLeft w:val="0"/>
      <w:marRight w:val="0"/>
      <w:marTop w:val="0"/>
      <w:marBottom w:val="0"/>
      <w:divBdr>
        <w:top w:val="none" w:sz="0" w:space="0" w:color="auto"/>
        <w:left w:val="none" w:sz="0" w:space="0" w:color="auto"/>
        <w:bottom w:val="none" w:sz="0" w:space="0" w:color="auto"/>
        <w:right w:val="none" w:sz="0" w:space="0" w:color="auto"/>
      </w:divBdr>
    </w:div>
    <w:div w:id="1612085670">
      <w:bodyDiv w:val="1"/>
      <w:marLeft w:val="0"/>
      <w:marRight w:val="0"/>
      <w:marTop w:val="0"/>
      <w:marBottom w:val="0"/>
      <w:divBdr>
        <w:top w:val="none" w:sz="0" w:space="0" w:color="auto"/>
        <w:left w:val="none" w:sz="0" w:space="0" w:color="auto"/>
        <w:bottom w:val="none" w:sz="0" w:space="0" w:color="auto"/>
        <w:right w:val="none" w:sz="0" w:space="0" w:color="auto"/>
      </w:divBdr>
    </w:div>
    <w:div w:id="16703248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481210">
      <w:bodyDiv w:val="1"/>
      <w:marLeft w:val="0"/>
      <w:marRight w:val="0"/>
      <w:marTop w:val="0"/>
      <w:marBottom w:val="0"/>
      <w:divBdr>
        <w:top w:val="none" w:sz="0" w:space="0" w:color="auto"/>
        <w:left w:val="none" w:sz="0" w:space="0" w:color="auto"/>
        <w:bottom w:val="none" w:sz="0" w:space="0" w:color="auto"/>
        <w:right w:val="none" w:sz="0" w:space="0" w:color="auto"/>
      </w:divBdr>
    </w:div>
    <w:div w:id="1781414746">
      <w:bodyDiv w:val="1"/>
      <w:marLeft w:val="0"/>
      <w:marRight w:val="0"/>
      <w:marTop w:val="0"/>
      <w:marBottom w:val="0"/>
      <w:divBdr>
        <w:top w:val="none" w:sz="0" w:space="0" w:color="auto"/>
        <w:left w:val="none" w:sz="0" w:space="0" w:color="auto"/>
        <w:bottom w:val="none" w:sz="0" w:space="0" w:color="auto"/>
        <w:right w:val="none" w:sz="0" w:space="0" w:color="auto"/>
      </w:divBdr>
    </w:div>
    <w:div w:id="185591781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43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marpol.2006.02.001" TargetMode="External"/><Relationship Id="rId26" Type="http://schemas.openxmlformats.org/officeDocument/2006/relationships/hyperlink" Target="https://doi.org/10.1016/j.aaf.2017.03.006" TargetMode="External"/><Relationship Id="rId3" Type="http://schemas.openxmlformats.org/officeDocument/2006/relationships/numbering" Target="numbering.xml"/><Relationship Id="rId21" Type="http://schemas.openxmlformats.org/officeDocument/2006/relationships/hyperlink" Target="https://doi.org/10.1016/S0305-750X(99)00104-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16/S0308-597X(01)00023-9" TargetMode="External"/><Relationship Id="rId25" Type="http://schemas.openxmlformats.org/officeDocument/2006/relationships/hyperlink" Target="https://doi.org/10.1080/0306615090282050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doi.org/10.1016/S0306-9192(01)00014-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s://doi.org/10.1080/00220389808422553"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mis.fisheries.gov.bd/district_map/NDc0OGRpc3RyaWN0X21hcA%3D%3D" TargetMode="External"/><Relationship Id="rId28" Type="http://schemas.openxmlformats.org/officeDocument/2006/relationships/hyperlink" Target="https://doi.org/10.3390/su13169273" TargetMode="External"/><Relationship Id="rId10" Type="http://schemas.openxmlformats.org/officeDocument/2006/relationships/header" Target="header2.xml"/><Relationship Id="rId19" Type="http://schemas.openxmlformats.org/officeDocument/2006/relationships/hyperlink" Target="https://doi.org/10.1177/0748233714548206"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s://doi.org/10.18006/2015.3(4).353.361" TargetMode="External"/><Relationship Id="rId27" Type="http://schemas.openxmlformats.org/officeDocument/2006/relationships/hyperlink" Target="https://doi.org/10.1016/j.envadv.2021.100092" TargetMode="External"/><Relationship Id="rId30" Type="http://schemas.openxmlformats.org/officeDocument/2006/relationships/header" Target="header5.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arental%20Perspectives%20on%20Children's%20Fu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Frequency</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Kacha</c:v>
                </c:pt>
                <c:pt idx="1">
                  <c:v>Semi-Building</c:v>
                </c:pt>
                <c:pt idx="2">
                  <c:v>Building </c:v>
                </c:pt>
              </c:strCache>
            </c:strRef>
          </c:cat>
          <c:val>
            <c:numRef>
              <c:f>Sheet1!$B$2:$B$4</c:f>
              <c:numCache>
                <c:formatCode>General</c:formatCode>
                <c:ptCount val="3"/>
                <c:pt idx="0">
                  <c:v>90</c:v>
                </c:pt>
                <c:pt idx="1">
                  <c:v>40</c:v>
                </c:pt>
                <c:pt idx="2">
                  <c:v>20</c:v>
                </c:pt>
              </c:numCache>
            </c:numRef>
          </c:val>
          <c:extLst>
            <c:ext xmlns:c16="http://schemas.microsoft.com/office/drawing/2014/chart" uri="{C3380CC4-5D6E-409C-BE32-E72D297353CC}">
              <c16:uniqueId val="{00000000-0C4E-4A7A-BBDC-CE97BE0A2EAE}"/>
            </c:ext>
          </c:extLst>
        </c:ser>
        <c:dLbls>
          <c:dLblPos val="bestFit"/>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Sheet1!$B$1</c:f>
              <c:strCache>
                <c:ptCount val="1"/>
                <c:pt idx="0">
                  <c:v>Percentage</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Sheet1!$A$2:$A$12</c:f>
              <c:strCache>
                <c:ptCount val="11"/>
                <c:pt idx="0">
                  <c:v>Water Pollution</c:v>
                </c:pt>
                <c:pt idx="1">
                  <c:v>Exploitation by Middlemen</c:v>
                </c:pt>
                <c:pt idx="2">
                  <c:v>Reduced Water Flow &amp; Siltation</c:v>
                </c:pt>
                <c:pt idx="3">
                  <c:v>Lack of Formal Credit</c:v>
                </c:pt>
                <c:pt idx="4">
                  <c:v>High Cost of Equipment &amp; Fuel</c:v>
                </c:pt>
                <c:pt idx="5">
                  <c:v>Lack of Modern Gear &amp; Storage</c:v>
                </c:pt>
                <c:pt idx="6">
                  <c:v>Decline in Fish Species</c:v>
                </c:pt>
                <c:pt idx="7">
                  <c:v>Competition from Commercial Trawlers</c:v>
                </c:pt>
                <c:pt idx="8">
                  <c:v>Lack of Designated Landing Sites</c:v>
                </c:pt>
                <c:pt idx="9">
                  <c:v>Lack of Government Support</c:v>
                </c:pt>
                <c:pt idx="10">
                  <c:v>Harassment</c:v>
                </c:pt>
              </c:strCache>
            </c:strRef>
          </c:cat>
          <c:val>
            <c:numRef>
              <c:f>Sheet1!$B$2:$B$12</c:f>
              <c:numCache>
                <c:formatCode>0%</c:formatCode>
                <c:ptCount val="11"/>
                <c:pt idx="0">
                  <c:v>0.95</c:v>
                </c:pt>
                <c:pt idx="1">
                  <c:v>0.9</c:v>
                </c:pt>
                <c:pt idx="2">
                  <c:v>0.85</c:v>
                </c:pt>
                <c:pt idx="3">
                  <c:v>0.85</c:v>
                </c:pt>
                <c:pt idx="4">
                  <c:v>0.8</c:v>
                </c:pt>
                <c:pt idx="5">
                  <c:v>0.78</c:v>
                </c:pt>
                <c:pt idx="6">
                  <c:v>0.8</c:v>
                </c:pt>
                <c:pt idx="7">
                  <c:v>0.75</c:v>
                </c:pt>
                <c:pt idx="8">
                  <c:v>0.7</c:v>
                </c:pt>
                <c:pt idx="9">
                  <c:v>0.65</c:v>
                </c:pt>
                <c:pt idx="10">
                  <c:v>0.55000000000000004</c:v>
                </c:pt>
              </c:numCache>
            </c:numRef>
          </c:val>
          <c:extLst>
            <c:ext xmlns:c16="http://schemas.microsoft.com/office/drawing/2014/chart" uri="{C3380CC4-5D6E-409C-BE32-E72D297353CC}">
              <c16:uniqueId val="{00000000-DABC-4043-9042-A0A84B5B5253}"/>
            </c:ext>
          </c:extLst>
        </c:ser>
        <c:dLbls>
          <c:showLegendKey val="0"/>
          <c:showVal val="0"/>
          <c:showCatName val="0"/>
          <c:showSerName val="0"/>
          <c:showPercent val="0"/>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Percentage</c:v>
                </c:pt>
              </c:strCache>
            </c:strRef>
          </c:tx>
          <c:invertIfNegative val="0"/>
          <c:cat>
            <c:strRef>
              <c:f>Sheet1!$A$2:$A$6</c:f>
              <c:strCache>
                <c:ptCount val="5"/>
                <c:pt idx="0">
                  <c:v>Desire for children to attain higher education</c:v>
                </c:pt>
                <c:pt idx="1">
                  <c:v>Do NOT want their children to pursue fishing as a livelihood</c:v>
                </c:pt>
                <c:pt idx="2">
                  <c:v>Want their children to continue in the fishing profession</c:v>
                </c:pt>
                <c:pt idx="3">
                  <c:v>Believe other professions are more profitable than fishing</c:v>
                </c:pt>
                <c:pt idx="4">
                  <c:v>Believe that education leads to a secure and respectable job</c:v>
                </c:pt>
              </c:strCache>
            </c:strRef>
          </c:cat>
          <c:val>
            <c:numRef>
              <c:f>Sheet1!$B$2:$B$6</c:f>
              <c:numCache>
                <c:formatCode>0%</c:formatCode>
                <c:ptCount val="5"/>
                <c:pt idx="0">
                  <c:v>0.7</c:v>
                </c:pt>
                <c:pt idx="1">
                  <c:v>0.85</c:v>
                </c:pt>
                <c:pt idx="2">
                  <c:v>0.15</c:v>
                </c:pt>
                <c:pt idx="3">
                  <c:v>0.92</c:v>
                </c:pt>
                <c:pt idx="4">
                  <c:v>0.88</c:v>
                </c:pt>
              </c:numCache>
            </c:numRef>
          </c:val>
          <c:extLst>
            <c:ext xmlns:c16="http://schemas.microsoft.com/office/drawing/2014/chart" uri="{C3380CC4-5D6E-409C-BE32-E72D297353CC}">
              <c16:uniqueId val="{00000000-DBDE-4D33-B20D-02D7BBD1DDA1}"/>
            </c:ext>
          </c:extLst>
        </c:ser>
        <c:dLbls>
          <c:showLegendKey val="0"/>
          <c:showVal val="0"/>
          <c:showCatName val="0"/>
          <c:showSerName val="0"/>
          <c:showPercent val="0"/>
          <c:showBubbleSize val="0"/>
        </c:dLbls>
        <c:gapWidth val="150"/>
        <c:axId val="228323328"/>
        <c:axId val="144937728"/>
      </c:barChart>
      <c:catAx>
        <c:axId val="228323328"/>
        <c:scaling>
          <c:orientation val="minMax"/>
        </c:scaling>
        <c:delete val="0"/>
        <c:axPos val="l"/>
        <c:numFmt formatCode="General" sourceLinked="0"/>
        <c:majorTickMark val="out"/>
        <c:minorTickMark val="none"/>
        <c:tickLblPos val="nextTo"/>
        <c:crossAx val="144937728"/>
        <c:crosses val="autoZero"/>
        <c:auto val="1"/>
        <c:lblAlgn val="ctr"/>
        <c:lblOffset val="100"/>
        <c:noMultiLvlLbl val="0"/>
      </c:catAx>
      <c:valAx>
        <c:axId val="144937728"/>
        <c:scaling>
          <c:orientation val="minMax"/>
        </c:scaling>
        <c:delete val="0"/>
        <c:axPos val="b"/>
        <c:majorGridlines/>
        <c:numFmt formatCode="0%" sourceLinked="1"/>
        <c:majorTickMark val="out"/>
        <c:minorTickMark val="none"/>
        <c:tickLblPos val="nextTo"/>
        <c:crossAx val="2283233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77652-E18F-4B8F-AE9B-300B7FD40A96}">
  <ds:schemaRefs>
    <ds:schemaRef ds:uri="http://schemas.openxmlformats.org/officeDocument/2006/bibliography"/>
  </ds:schemaRefs>
</ds:datastoreItem>
</file>

<file path=customXml/itemProps2.xml><?xml version="1.0" encoding="utf-8"?>
<ds:datastoreItem xmlns:ds="http://schemas.openxmlformats.org/officeDocument/2006/customXml" ds:itemID="{C88F476F-0382-44F0-BE3C-4248BC14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388</TotalTime>
  <Pages>15</Pages>
  <Words>6565</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33</cp:revision>
  <cp:lastPrinted>1999-07-06T11:00:00Z</cp:lastPrinted>
  <dcterms:created xsi:type="dcterms:W3CDTF">2026-02-02T15:03:00Z</dcterms:created>
  <dcterms:modified xsi:type="dcterms:W3CDTF">2026-02-07T07:57:00Z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30b9fdd9-8729-4b39-a25c-aebb7b97ae42</vt:lpwstr>
  </property>
</Properties>
</file>