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26682" w14:textId="77777777" w:rsidR="009270BB" w:rsidRDefault="009270BB" w:rsidP="00A72B18">
      <w:pPr>
        <w:spacing w:line="360" w:lineRule="auto"/>
        <w:jc w:val="both"/>
        <w:rPr>
          <w:rFonts w:ascii="Arial" w:hAnsi="Arial" w:cs="Arial"/>
          <w:sz w:val="20"/>
          <w:szCs w:val="20"/>
        </w:rPr>
      </w:pPr>
      <w:r w:rsidRPr="009270BB">
        <w:rPr>
          <w:rFonts w:ascii="Arial" w:hAnsi="Arial" w:cs="Arial"/>
          <w:sz w:val="20"/>
          <w:szCs w:val="20"/>
        </w:rPr>
        <w:t>Original Research Article</w:t>
      </w:r>
    </w:p>
    <w:p w14:paraId="00D58165" w14:textId="77777777" w:rsidR="009270BB" w:rsidRDefault="009270BB" w:rsidP="00A72B18">
      <w:pPr>
        <w:spacing w:line="360" w:lineRule="auto"/>
        <w:jc w:val="both"/>
        <w:rPr>
          <w:rFonts w:ascii="Arial" w:hAnsi="Arial" w:cs="Arial"/>
          <w:sz w:val="20"/>
          <w:szCs w:val="20"/>
        </w:rPr>
      </w:pPr>
    </w:p>
    <w:p w14:paraId="42FF3EAB" w14:textId="3C55F8AC" w:rsidR="00924949" w:rsidRPr="00924949" w:rsidRDefault="00924949" w:rsidP="00A72B18">
      <w:pPr>
        <w:spacing w:line="360" w:lineRule="auto"/>
        <w:jc w:val="both"/>
        <w:rPr>
          <w:rFonts w:ascii="Arial" w:hAnsi="Arial" w:cs="Arial"/>
          <w:b/>
          <w:bCs/>
          <w:sz w:val="28"/>
          <w:szCs w:val="28"/>
        </w:rPr>
      </w:pPr>
      <w:r w:rsidRPr="00924949">
        <w:rPr>
          <w:rFonts w:ascii="Arial" w:hAnsi="Arial" w:cs="Arial"/>
          <w:sz w:val="20"/>
          <w:szCs w:val="20"/>
        </w:rPr>
        <w:t xml:space="preserve"> </w:t>
      </w:r>
      <w:r w:rsidR="00353259" w:rsidRPr="00353259">
        <w:rPr>
          <w:rFonts w:ascii="Arial" w:hAnsi="Arial" w:cs="Arial"/>
          <w:b/>
          <w:bCs/>
          <w:sz w:val="28"/>
          <w:szCs w:val="28"/>
        </w:rPr>
        <w:t>Beyond Affordability: The Role of Educational Attainment as a Primary Determinant of Private Healthcare Utilisation in Rural Uttar Pradesh</w:t>
      </w:r>
      <w:r w:rsidR="009270BB">
        <w:rPr>
          <w:rFonts w:ascii="Arial" w:hAnsi="Arial" w:cs="Arial"/>
          <w:b/>
          <w:bCs/>
          <w:sz w:val="28"/>
          <w:szCs w:val="28"/>
        </w:rPr>
        <w:t>-</w:t>
      </w:r>
      <w:r w:rsidR="00353259" w:rsidRPr="00353259">
        <w:rPr>
          <w:rFonts w:ascii="Arial" w:hAnsi="Arial" w:cs="Arial"/>
          <w:b/>
          <w:bCs/>
          <w:sz w:val="28"/>
          <w:szCs w:val="28"/>
        </w:rPr>
        <w:t>A Principal Component Analysis</w:t>
      </w:r>
    </w:p>
    <w:p w14:paraId="096DD236" w14:textId="77777777" w:rsidR="007B1A1F" w:rsidRPr="007B1A1F" w:rsidRDefault="007B1A1F" w:rsidP="007B1A1F">
      <w:pPr>
        <w:spacing w:line="360" w:lineRule="auto"/>
        <w:jc w:val="both"/>
        <w:rPr>
          <w:rFonts w:ascii="Arial" w:hAnsi="Arial" w:cs="Arial"/>
          <w:b/>
          <w:bCs/>
        </w:rPr>
      </w:pPr>
    </w:p>
    <w:p w14:paraId="51D6DB3F" w14:textId="77777777" w:rsidR="00B01366" w:rsidRDefault="00B01366" w:rsidP="00A72B18">
      <w:pPr>
        <w:spacing w:line="360" w:lineRule="auto"/>
        <w:jc w:val="both"/>
        <w:rPr>
          <w:rFonts w:ascii="Arial" w:hAnsi="Arial" w:cs="Arial"/>
          <w:b/>
          <w:bCs/>
        </w:rPr>
      </w:pPr>
      <w:bookmarkStart w:id="0" w:name="_GoBack"/>
      <w:bookmarkEnd w:id="0"/>
    </w:p>
    <w:p w14:paraId="7B5511C7" w14:textId="330E9780" w:rsidR="00924949" w:rsidRPr="00924949" w:rsidRDefault="00924949" w:rsidP="00A72B18">
      <w:pPr>
        <w:spacing w:line="360" w:lineRule="auto"/>
        <w:jc w:val="both"/>
        <w:rPr>
          <w:rFonts w:ascii="Arial" w:hAnsi="Arial" w:cs="Arial"/>
          <w:b/>
          <w:bCs/>
        </w:rPr>
      </w:pPr>
      <w:r w:rsidRPr="00924949">
        <w:rPr>
          <w:rFonts w:ascii="Arial" w:hAnsi="Arial" w:cs="Arial"/>
          <w:b/>
          <w:bCs/>
        </w:rPr>
        <w:t>ABSTRACT</w:t>
      </w:r>
    </w:p>
    <w:p w14:paraId="0997F6CF"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Aims:</w:t>
      </w:r>
      <w:r w:rsidRPr="00924949">
        <w:rPr>
          <w:rFonts w:ascii="Arial" w:hAnsi="Arial" w:cs="Arial"/>
          <w:sz w:val="20"/>
          <w:szCs w:val="20"/>
        </w:rPr>
        <w:t xml:space="preserve"> This study examines the determinants of healthcare utilisation in rural Uttar Pradesh with a particular focus on the role of educational attainment in influencing the choice between private and government healthcare facilities.</w:t>
      </w:r>
    </w:p>
    <w:p w14:paraId="25E40BE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Study Design</w:t>
      </w:r>
      <w:r w:rsidRPr="00924949">
        <w:rPr>
          <w:rFonts w:ascii="Arial" w:hAnsi="Arial" w:cs="Arial"/>
          <w:sz w:val="20"/>
          <w:szCs w:val="20"/>
        </w:rPr>
        <w:t>: Cross-sectional empirical study.</w:t>
      </w:r>
    </w:p>
    <w:p w14:paraId="38A8CF25"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sz w:val="20"/>
          <w:szCs w:val="20"/>
        </w:rPr>
        <w:t xml:space="preserve">Place and Duration of Study: </w:t>
      </w:r>
      <w:proofErr w:type="spellStart"/>
      <w:r w:rsidRPr="00924949">
        <w:rPr>
          <w:rFonts w:ascii="Arial" w:hAnsi="Arial" w:cs="Arial"/>
          <w:sz w:val="20"/>
          <w:szCs w:val="20"/>
        </w:rPr>
        <w:t>Jarauli</w:t>
      </w:r>
      <w:proofErr w:type="spellEnd"/>
      <w:r w:rsidRPr="00924949">
        <w:rPr>
          <w:rFonts w:ascii="Arial" w:hAnsi="Arial" w:cs="Arial"/>
          <w:sz w:val="20"/>
          <w:szCs w:val="20"/>
        </w:rPr>
        <w:t xml:space="preserve"> village, Fatehpur district, Uttar Pradesh; primary survey conducted during the reference period.</w:t>
      </w:r>
    </w:p>
    <w:p w14:paraId="3F1F837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Methodology:</w:t>
      </w:r>
      <w:r w:rsidRPr="00924949">
        <w:rPr>
          <w:rFonts w:ascii="Arial" w:hAnsi="Arial" w:cs="Arial"/>
          <w:sz w:val="20"/>
          <w:szCs w:val="20"/>
        </w:rPr>
        <w:t xml:space="preserve"> Primary household-level data were collected from 100 households using a structured questionnaire. Binary Logistic Regression models were employed to analyse the determinants of private healthcare utilisation, while Principal Component Analysis (PCA) was used to examine the multidimensional nature of financial accessibility and out-of-pocket expenditure (OOPE).</w:t>
      </w:r>
    </w:p>
    <w:p w14:paraId="3702B7C8"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Results:</w:t>
      </w:r>
      <w:r w:rsidRPr="00924949">
        <w:rPr>
          <w:rFonts w:ascii="Arial" w:hAnsi="Arial" w:cs="Arial"/>
          <w:sz w:val="20"/>
          <w:szCs w:val="20"/>
        </w:rPr>
        <w:t xml:space="preserve"> The findings reveal that educational attainment and household expenditure significantly increase the likelihood of utilising private healthcare services, whereas occupation is not statistically significant. The affordability-based model indicates that higher hospital expenses and reliance on out-of-pocket payments strongly influence private hospital choice. PCA results identify hospital cost burden, financial protection through schemes, awareness–utilisation gaps, and household coping mechanisms as key dimensions of financial accessibility.</w:t>
      </w:r>
    </w:p>
    <w:p w14:paraId="7E5147CC"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Conclusion:</w:t>
      </w:r>
      <w:r w:rsidRPr="00924949">
        <w:rPr>
          <w:rFonts w:ascii="Arial" w:hAnsi="Arial" w:cs="Arial"/>
          <w:sz w:val="20"/>
          <w:szCs w:val="20"/>
        </w:rPr>
        <w:t xml:space="preserve"> Education emerges as a critical driver of private healthcare utilisation beyond affordability constraints. Strengthening public healthcare quality and improving awareness and utilisation of government health schemes are essential to reduce financial burden and ensure equitable healthcare access in rural India.</w:t>
      </w:r>
    </w:p>
    <w:p w14:paraId="0F3C5CA4" w14:textId="301FA7C2" w:rsidR="00924949" w:rsidRPr="00E01025" w:rsidRDefault="00924949" w:rsidP="00A72B18">
      <w:pPr>
        <w:spacing w:line="360" w:lineRule="auto"/>
        <w:jc w:val="both"/>
        <w:rPr>
          <w:rFonts w:ascii="Arial" w:hAnsi="Arial" w:cs="Arial"/>
          <w:sz w:val="20"/>
          <w:szCs w:val="20"/>
        </w:rPr>
      </w:pPr>
      <w:r w:rsidRPr="00924949">
        <w:rPr>
          <w:rFonts w:ascii="Arial" w:hAnsi="Arial" w:cs="Arial"/>
          <w:b/>
          <w:bCs/>
          <w:sz w:val="20"/>
          <w:szCs w:val="20"/>
        </w:rPr>
        <w:t>Keywords:</w:t>
      </w:r>
      <w:r w:rsidRPr="00924949">
        <w:rPr>
          <w:rFonts w:ascii="Arial" w:hAnsi="Arial" w:cs="Arial"/>
          <w:sz w:val="20"/>
          <w:szCs w:val="20"/>
        </w:rPr>
        <w:t xml:space="preserve"> Healthcare utilisation; Financial accessibility; Out-of-pocket expenditure; Education; Logistic regression; Principal Component Analysis</w:t>
      </w:r>
    </w:p>
    <w:p w14:paraId="715BE7A4" w14:textId="3AA5E03F" w:rsidR="00924949" w:rsidRDefault="00924949" w:rsidP="00A72B18">
      <w:pPr>
        <w:spacing w:line="360" w:lineRule="auto"/>
        <w:jc w:val="both"/>
        <w:rPr>
          <w:rFonts w:ascii="Arial" w:hAnsi="Arial" w:cs="Arial"/>
          <w:sz w:val="20"/>
          <w:szCs w:val="20"/>
        </w:rPr>
      </w:pPr>
    </w:p>
    <w:p w14:paraId="08989AFF" w14:textId="617ECE66" w:rsidR="00B01366" w:rsidRDefault="00B01366" w:rsidP="00A72B18">
      <w:pPr>
        <w:spacing w:line="360" w:lineRule="auto"/>
        <w:jc w:val="both"/>
        <w:rPr>
          <w:rFonts w:ascii="Arial" w:hAnsi="Arial" w:cs="Arial"/>
          <w:sz w:val="20"/>
          <w:szCs w:val="20"/>
        </w:rPr>
      </w:pPr>
    </w:p>
    <w:p w14:paraId="58C10DDF" w14:textId="77777777" w:rsidR="00B01366" w:rsidRDefault="00B01366" w:rsidP="00A72B18">
      <w:pPr>
        <w:spacing w:line="360" w:lineRule="auto"/>
        <w:jc w:val="both"/>
        <w:rPr>
          <w:rFonts w:ascii="Arial" w:hAnsi="Arial" w:cs="Arial"/>
          <w:sz w:val="20"/>
          <w:szCs w:val="20"/>
        </w:rPr>
      </w:pPr>
    </w:p>
    <w:p w14:paraId="19BAB90D" w14:textId="77777777" w:rsidR="00924949" w:rsidRPr="00924949" w:rsidRDefault="00924949" w:rsidP="00A72B18">
      <w:pPr>
        <w:numPr>
          <w:ilvl w:val="0"/>
          <w:numId w:val="1"/>
        </w:numPr>
        <w:spacing w:line="360" w:lineRule="auto"/>
        <w:jc w:val="both"/>
        <w:rPr>
          <w:rFonts w:ascii="Arial" w:hAnsi="Arial" w:cs="Arial"/>
          <w:b/>
          <w:bCs/>
        </w:rPr>
      </w:pPr>
      <w:r w:rsidRPr="00924949">
        <w:rPr>
          <w:rFonts w:ascii="Arial" w:hAnsi="Arial" w:cs="Arial"/>
          <w:b/>
          <w:bCs/>
        </w:rPr>
        <w:t>INTRODUCTION</w:t>
      </w:r>
    </w:p>
    <w:p w14:paraId="677241D0" w14:textId="7491BDF6" w:rsidR="00924949" w:rsidRPr="00E01025" w:rsidRDefault="00924949" w:rsidP="00A72B18">
      <w:pPr>
        <w:spacing w:line="360" w:lineRule="auto"/>
        <w:jc w:val="both"/>
        <w:rPr>
          <w:rFonts w:ascii="Arial" w:hAnsi="Arial" w:cs="Arial"/>
          <w:b/>
          <w:bCs/>
          <w:sz w:val="20"/>
          <w:szCs w:val="20"/>
        </w:rPr>
      </w:pPr>
      <w:r w:rsidRPr="00E01025">
        <w:rPr>
          <w:rFonts w:ascii="Arial" w:hAnsi="Arial" w:cs="Arial"/>
          <w:sz w:val="20"/>
          <w:szCs w:val="20"/>
        </w:rPr>
        <w:t xml:space="preserve">Access to healthcare is essential for good health and social well-being, and is defined as the timely use of personal health services to achieve optimal health outcomes </w:t>
      </w:r>
      <w:r w:rsidRPr="00E01025">
        <w:rPr>
          <w:rFonts w:ascii="Arial" w:hAnsi="Arial" w:cs="Arial"/>
          <w:b/>
          <w:bCs/>
          <w:sz w:val="20"/>
          <w:szCs w:val="20"/>
        </w:rPr>
        <w:t>(Institute of Medicine, 1993).</w:t>
      </w:r>
      <w:r w:rsidRPr="00E01025">
        <w:rPr>
          <w:rFonts w:ascii="Arial" w:hAnsi="Arial" w:cs="Arial"/>
          <w:sz w:val="20"/>
          <w:szCs w:val="20"/>
        </w:rPr>
        <w:t xml:space="preserve"> Effective healthcare access encompasses not only the availability of medical services but also their affordability, acceptability, and appropriate utilisation when individuals perceive a need for care. Sufficient access is critical for disease prevention, early diagnosis, effective treatment, reduction of avoidable disability, and prevention of premature mortality, thereby promoting health equity and enhancing quality of life </w:t>
      </w:r>
      <w:r w:rsidRPr="00E01025">
        <w:rPr>
          <w:rFonts w:ascii="Arial" w:hAnsi="Arial" w:cs="Arial"/>
          <w:b/>
          <w:bCs/>
          <w:sz w:val="20"/>
          <w:szCs w:val="20"/>
        </w:rPr>
        <w:t xml:space="preserve">(World Health Organisation, 2010). </w:t>
      </w:r>
      <w:r w:rsidRPr="00E01025">
        <w:rPr>
          <w:rFonts w:ascii="Arial" w:hAnsi="Arial" w:cs="Arial"/>
          <w:sz w:val="20"/>
          <w:szCs w:val="20"/>
        </w:rPr>
        <w:t xml:space="preserve">A complex interplay of socio-economic and demographic factors shapes healthcare utilisation in rural India. Despite significant public sector investment, Indian households continue to rely heavily on private healthcare providers, resulting in high out-of-pocket health expenditures. Numerous studies on healthcare utilisation patterns indicate that the private sector plays a dominant role in influencing healthcare choices among Indian households. This dominance highlights persistent issues related to accessibility, perceived quality, and trust within the healthcare system. According to the </w:t>
      </w:r>
      <w:r w:rsidRPr="00E01025">
        <w:rPr>
          <w:rFonts w:ascii="Arial" w:hAnsi="Arial" w:cs="Arial"/>
          <w:b/>
          <w:bCs/>
          <w:sz w:val="20"/>
          <w:szCs w:val="20"/>
        </w:rPr>
        <w:t xml:space="preserve">National Health Accounts (2021), government health expenditure as a percentage of GDP is 1.84%, and 48% of total health expenditure is still OOPE, with 39.4 % of total health expenditure &amp; 1.51 % GDP, making it one of the highest globally.  </w:t>
      </w:r>
      <w:r w:rsidRPr="00E01025">
        <w:rPr>
          <w:rFonts w:ascii="Arial" w:hAnsi="Arial" w:cs="Arial"/>
          <w:sz w:val="20"/>
          <w:szCs w:val="20"/>
        </w:rPr>
        <w:t>Such higher levels of OOPE significantly lead to severe financial stress on households, resulting in an indebtedness trap that sometimes pushes households into poverty. In India, people living in rural areas often face challenges in accessing the healthcare they need. Even when sufficient healthcare services are available, various factors such as income, distance from hospitals, and trust in the healthcare system can influence whether people utilise these services. Nearly 86% of the rural population remains uninsured, forcing households to rely on savings and borrowings to cover healthcare expenses (National Sample Survey, 2017-18). Effectively utilising healthcare resources is crucial for rural communities' well-being and economic development. Improved access to healthcare can enhance productivity, improve health outcomes, and help bridge the gap between rural and urban health.</w:t>
      </w:r>
      <w:r w:rsidRPr="00E01025">
        <w:rPr>
          <w:rFonts w:ascii="Arial" w:hAnsi="Arial" w:cs="Arial"/>
          <w:b/>
          <w:bCs/>
          <w:sz w:val="20"/>
          <w:szCs w:val="20"/>
        </w:rPr>
        <w:t xml:space="preserve"> </w:t>
      </w:r>
      <w:r w:rsidRPr="00E01025">
        <w:rPr>
          <w:rFonts w:ascii="Arial" w:hAnsi="Arial" w:cs="Arial"/>
          <w:sz w:val="20"/>
          <w:szCs w:val="20"/>
        </w:rPr>
        <w:t xml:space="preserve">Uneven accessibility of healthcare, it becomes necessary to ensure the adequate provision of free or low-cost healthcare services within government hospitals by enhancing access to affordable healthcare, significantly removing the financial burden for all. Hence, financial accessibility—the ability of patients to afford healthcare without undue economic burden—becomes a central concern. The present study aims to evaluate and compare the financial accessibility of healthcare services in government and private hospitals in </w:t>
      </w:r>
      <w:r w:rsidRPr="00E01025">
        <w:rPr>
          <w:rFonts w:ascii="Arial" w:hAnsi="Arial" w:cs="Arial"/>
          <w:b/>
          <w:bCs/>
          <w:sz w:val="20"/>
          <w:szCs w:val="20"/>
        </w:rPr>
        <w:t>Fatehpur District, Uttar Pradesh</w:t>
      </w:r>
      <w:r w:rsidRPr="00E01025">
        <w:rPr>
          <w:rFonts w:ascii="Arial" w:hAnsi="Arial" w:cs="Arial"/>
          <w:sz w:val="20"/>
          <w:szCs w:val="20"/>
        </w:rPr>
        <w:t>. By assessing treatment costs, affordability, and patient satisfaction, the study seeks to understand how financial factors influence healthcare-seeking behaviour in a semi-urban and rural setting. Despite multiple policy initiatives, financial accessibility remains uneven, particularly in rural settings, which necessitates micro-level empirical investigation.</w:t>
      </w:r>
    </w:p>
    <w:p w14:paraId="2553AAA5" w14:textId="77777777" w:rsidR="00924949" w:rsidRPr="00E01025" w:rsidRDefault="00924949" w:rsidP="00A72B18">
      <w:pPr>
        <w:spacing w:line="360" w:lineRule="auto"/>
        <w:jc w:val="both"/>
        <w:rPr>
          <w:rFonts w:ascii="Arial" w:hAnsi="Arial" w:cs="Arial"/>
          <w:sz w:val="20"/>
          <w:szCs w:val="20"/>
        </w:rPr>
      </w:pPr>
      <w:r w:rsidRPr="00E01025">
        <w:rPr>
          <w:rFonts w:ascii="Arial" w:hAnsi="Arial" w:cs="Arial"/>
          <w:sz w:val="20"/>
          <w:szCs w:val="20"/>
        </w:rPr>
        <w:t>The rest of the paper is organised as follows: Section 2 Literature reviews, Section 3  Research methodology, Section 4 Empirical results and Discussions, and Section 5 Conclusions &amp; Policy implications</w:t>
      </w:r>
    </w:p>
    <w:p w14:paraId="45584FCC" w14:textId="77777777" w:rsidR="00180B37" w:rsidRPr="00305ADF" w:rsidRDefault="00180B37" w:rsidP="00A72B18">
      <w:pPr>
        <w:spacing w:line="360" w:lineRule="auto"/>
        <w:jc w:val="both"/>
        <w:rPr>
          <w:rFonts w:ascii="Arial" w:hAnsi="Arial" w:cs="Arial"/>
        </w:rPr>
      </w:pPr>
    </w:p>
    <w:p w14:paraId="7F7CB939" w14:textId="5629DFA4" w:rsidR="00180B37" w:rsidRPr="00305ADF" w:rsidRDefault="00180B37" w:rsidP="00A72B18">
      <w:pPr>
        <w:pStyle w:val="ListParagraph"/>
        <w:numPr>
          <w:ilvl w:val="0"/>
          <w:numId w:val="2"/>
        </w:numPr>
        <w:spacing w:line="360" w:lineRule="auto"/>
        <w:jc w:val="both"/>
        <w:rPr>
          <w:rFonts w:ascii="Arial" w:hAnsi="Arial" w:cs="Arial"/>
          <w:b/>
          <w:bCs/>
        </w:rPr>
      </w:pPr>
      <w:r w:rsidRPr="00305ADF">
        <w:rPr>
          <w:rFonts w:ascii="Arial" w:hAnsi="Arial" w:cs="Arial"/>
          <w:b/>
          <w:bCs/>
        </w:rPr>
        <w:t xml:space="preserve">LITERATURE REVIEWS </w:t>
      </w:r>
    </w:p>
    <w:p w14:paraId="5DCFD8C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Conceptual framework:</w:t>
      </w:r>
      <w:r w:rsidRPr="00E01025">
        <w:rPr>
          <w:rFonts w:ascii="Arial" w:hAnsi="Arial" w:cs="Arial"/>
          <w:sz w:val="20"/>
          <w:szCs w:val="20"/>
        </w:rPr>
        <w:t xml:space="preserve"> Financial accessibility in healthcare is underpinned by several foundational health economic theories, including Grossman’s Human Capital Model, the Demand for Healthcare Model, and Wagstaff’s Catastrophic Health Expenditure Model</w:t>
      </w:r>
      <w:r w:rsidRPr="00E01025">
        <w:rPr>
          <w:rFonts w:ascii="Arial" w:hAnsi="Arial" w:cs="Arial"/>
          <w:sz w:val="20"/>
          <w:szCs w:val="20"/>
          <w:vertAlign w:val="superscript"/>
        </w:rPr>
        <w:t>1</w:t>
      </w:r>
      <w:r w:rsidRPr="00E01025">
        <w:rPr>
          <w:rFonts w:ascii="Arial" w:hAnsi="Arial" w:cs="Arial"/>
          <w:sz w:val="20"/>
          <w:szCs w:val="20"/>
        </w:rPr>
        <w:t xml:space="preserve">. These models emphasise the importance of viewing healthcare as an investment in human capital; that is, investing in health leads to increased productivity. Additionally, the Demand for Healthcare Model explains that the decision to seek healthcare services is influenced by various factors such as prices, income, and perceived utility </w:t>
      </w:r>
      <w:r w:rsidRPr="00E01025">
        <w:rPr>
          <w:rFonts w:ascii="Arial" w:hAnsi="Arial" w:cs="Arial"/>
          <w:b/>
          <w:bCs/>
          <w:sz w:val="20"/>
          <w:szCs w:val="20"/>
        </w:rPr>
        <w:t xml:space="preserve">(Phelps, C. E. 2018). </w:t>
      </w:r>
      <w:r w:rsidRPr="00E01025">
        <w:rPr>
          <w:rFonts w:ascii="Arial" w:hAnsi="Arial" w:cs="Arial"/>
          <w:sz w:val="20"/>
          <w:szCs w:val="20"/>
        </w:rPr>
        <w:t xml:space="preserve">The World Health Organisation </w:t>
      </w:r>
      <w:r w:rsidRPr="00E01025">
        <w:rPr>
          <w:rFonts w:ascii="Arial" w:hAnsi="Arial" w:cs="Arial"/>
          <w:b/>
          <w:bCs/>
          <w:sz w:val="20"/>
          <w:szCs w:val="20"/>
        </w:rPr>
        <w:t xml:space="preserve">(WHO, 2010) </w:t>
      </w:r>
      <w:r w:rsidRPr="00E01025">
        <w:rPr>
          <w:rFonts w:ascii="Arial" w:hAnsi="Arial" w:cs="Arial"/>
          <w:sz w:val="20"/>
          <w:szCs w:val="20"/>
        </w:rPr>
        <w:t>defines catastrophic health expenditure as medical costs that exceed 10–25% of a household's annual income. In India, the lack of universal healthcare coverage forces households to incur out-of-pocket expenses (OOPE)</w:t>
      </w:r>
      <w:r w:rsidRPr="00E01025">
        <w:rPr>
          <w:rFonts w:ascii="Arial" w:hAnsi="Arial" w:cs="Arial"/>
          <w:sz w:val="20"/>
          <w:szCs w:val="20"/>
          <w:vertAlign w:val="superscript"/>
        </w:rPr>
        <w:t>2</w:t>
      </w:r>
      <w:r w:rsidRPr="00E01025">
        <w:rPr>
          <w:rFonts w:ascii="Arial" w:hAnsi="Arial" w:cs="Arial"/>
          <w:sz w:val="20"/>
          <w:szCs w:val="20"/>
        </w:rPr>
        <w:t xml:space="preserve"> for medications, diagnostic services, and hospitalisation, particularly within private healthcare facilities. While government hospitals may offer reduced costs, they often face challenges such as inadequate resources, overcrowding, and barriers to accessibility. </w:t>
      </w:r>
    </w:p>
    <w:p w14:paraId="00887D35" w14:textId="5914700E"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t xml:space="preserve">Empirical studies indicate that India’s healthcare system relies heavily on private healthcare providers, with a substantial portion of health expenditures coming from out-of-pocket payments. In fact, half of the total health expenditure is financed through these direct payments, which exposes households to significant financial risk, particularly among rural and low-income households </w:t>
      </w:r>
      <w:r w:rsidRPr="00E01025">
        <w:rPr>
          <w:rFonts w:ascii="Arial" w:hAnsi="Arial" w:cs="Arial"/>
          <w:b/>
          <w:bCs/>
          <w:sz w:val="20"/>
          <w:szCs w:val="20"/>
        </w:rPr>
        <w:t>(NHA, 2021; Berman et al., 2010).</w:t>
      </w:r>
      <w:r w:rsidR="00A745D9">
        <w:rPr>
          <w:rFonts w:ascii="Arial" w:hAnsi="Arial" w:cs="Arial"/>
          <w:b/>
          <w:bCs/>
          <w:sz w:val="20"/>
          <w:szCs w:val="20"/>
        </w:rPr>
        <w:t xml:space="preserve"> </w:t>
      </w:r>
      <w:r w:rsidR="00A745D9" w:rsidRPr="00E01025">
        <w:rPr>
          <w:rFonts w:ascii="Arial" w:hAnsi="Arial" w:cs="Arial"/>
          <w:sz w:val="20"/>
          <w:szCs w:val="20"/>
        </w:rPr>
        <w:t xml:space="preserve">Non-financial factors, including the distance to healthcare facilities, the perceived quality of care, the availability of medications, and the level of trust in healthcare providers, significantly influence rural healthcare utilisation. Numerous studies have shown that, despite lower costs at public hospitals, patients often prefer private healthcare. This preference is primarily due to shorter waiting times, better responsiveness, and a perceived effectiveness of treatment </w:t>
      </w:r>
      <w:r w:rsidR="00A745D9" w:rsidRPr="00E01025">
        <w:rPr>
          <w:rFonts w:ascii="Arial" w:hAnsi="Arial" w:cs="Arial"/>
          <w:b/>
          <w:bCs/>
          <w:sz w:val="20"/>
          <w:szCs w:val="20"/>
        </w:rPr>
        <w:t>(Ghosh, 2011,  NSSO, 2017–18)</w:t>
      </w:r>
      <w:r w:rsidR="00A745D9" w:rsidRPr="00E01025">
        <w:rPr>
          <w:rFonts w:ascii="Arial" w:hAnsi="Arial" w:cs="Arial"/>
          <w:sz w:val="20"/>
          <w:szCs w:val="20"/>
        </w:rPr>
        <w:t xml:space="preserve">. </w:t>
      </w:r>
      <w:r w:rsidR="00A745D9" w:rsidRPr="00E01025">
        <w:rPr>
          <w:rFonts w:ascii="Arial" w:hAnsi="Arial" w:cs="Arial"/>
          <w:b/>
          <w:bCs/>
          <w:sz w:val="20"/>
          <w:szCs w:val="20"/>
        </w:rPr>
        <w:t xml:space="preserve">Wagstaff and van Doorslaer (2003) </w:t>
      </w:r>
      <w:r w:rsidR="00A745D9" w:rsidRPr="00E01025">
        <w:rPr>
          <w:rFonts w:ascii="Arial" w:hAnsi="Arial" w:cs="Arial"/>
          <w:sz w:val="20"/>
          <w:szCs w:val="20"/>
        </w:rPr>
        <w:t>highlighted</w:t>
      </w:r>
      <w:r w:rsidR="00A745D9" w:rsidRPr="00E01025">
        <w:rPr>
          <w:rFonts w:ascii="Arial" w:hAnsi="Arial" w:cs="Arial"/>
          <w:b/>
          <w:bCs/>
          <w:sz w:val="20"/>
          <w:szCs w:val="20"/>
        </w:rPr>
        <w:t xml:space="preserve"> </w:t>
      </w:r>
      <w:r w:rsidR="00A745D9" w:rsidRPr="00E01025">
        <w:rPr>
          <w:rFonts w:ascii="Arial" w:hAnsi="Arial" w:cs="Arial"/>
          <w:sz w:val="20"/>
          <w:szCs w:val="20"/>
        </w:rPr>
        <w:t xml:space="preserve">catastrophic health expenditure and out-of-pocket payments as major barriers to healthcare access in developing economies. Using cross-country household survey data, they demonstrate that uninsured households are highly vulnerable to catastrophic health spending, often resulting in impoverishment. Their study shows that private healthcare facilities impose substantially higher costs, particularly for surgeries, diagnostics, and medicines, while public hospitals help reduce direct expenses through subsidies. However, constraints such as long waiting times and limited medicine availability in public hospitals increase indirect costs, limiting effective access. </w:t>
      </w:r>
    </w:p>
    <w:p w14:paraId="0F3813A7" w14:textId="77777777" w:rsidR="00180B37" w:rsidRPr="00E01025" w:rsidRDefault="00180B37" w:rsidP="00A72B18">
      <w:pPr>
        <w:spacing w:line="360" w:lineRule="auto"/>
        <w:jc w:val="both"/>
        <w:rPr>
          <w:rFonts w:ascii="Arial" w:hAnsi="Arial" w:cs="Arial"/>
          <w:color w:val="EE0000"/>
          <w:sz w:val="20"/>
          <w:szCs w:val="20"/>
        </w:rPr>
      </w:pPr>
    </w:p>
    <w:p w14:paraId="625A25AB" w14:textId="782A701D" w:rsidR="00180B37" w:rsidRPr="003B5871" w:rsidRDefault="003B5871" w:rsidP="00A72B18">
      <w:pPr>
        <w:spacing w:line="360" w:lineRule="auto"/>
        <w:jc w:val="both"/>
        <w:rPr>
          <w:rFonts w:ascii="Arial" w:hAnsi="Arial" w:cs="Arial"/>
          <w:color w:val="0D0D0D" w:themeColor="text1" w:themeTint="F2"/>
          <w:sz w:val="20"/>
          <w:szCs w:val="20"/>
        </w:rPr>
      </w:pPr>
      <w:r w:rsidRPr="003B5871">
        <w:rPr>
          <w:rFonts w:ascii="Arial" w:hAnsi="Arial" w:cs="Arial"/>
          <w:color w:val="0D0D0D" w:themeColor="text1" w:themeTint="F2"/>
          <w:sz w:val="20"/>
          <w:szCs w:val="20"/>
        </w:rPr>
        <w:t>______________________________________________________________________________</w:t>
      </w:r>
    </w:p>
    <w:p w14:paraId="3763F0CE" w14:textId="77777777" w:rsidR="00180B37" w:rsidRPr="00E01025" w:rsidRDefault="00180B37" w:rsidP="00A72B18">
      <w:pPr>
        <w:pStyle w:val="ListParagraph"/>
        <w:numPr>
          <w:ilvl w:val="0"/>
          <w:numId w:val="5"/>
        </w:numPr>
        <w:spacing w:line="360" w:lineRule="auto"/>
        <w:jc w:val="both"/>
        <w:rPr>
          <w:rFonts w:ascii="Arial" w:hAnsi="Arial" w:cs="Arial"/>
          <w:sz w:val="20"/>
          <w:szCs w:val="20"/>
        </w:rPr>
      </w:pPr>
      <w:r w:rsidRPr="00607D89">
        <w:rPr>
          <w:rFonts w:ascii="Arial" w:hAnsi="Arial" w:cs="Arial"/>
          <w:sz w:val="20"/>
          <w:szCs w:val="20"/>
          <w:lang w:val="nl-BE"/>
        </w:rPr>
        <w:t xml:space="preserve">Wagstaff, A., &amp; van Doorslaer, E. (2003). </w:t>
      </w:r>
      <w:r w:rsidRPr="00E01025">
        <w:rPr>
          <w:rFonts w:ascii="Arial" w:hAnsi="Arial" w:cs="Arial"/>
          <w:sz w:val="20"/>
          <w:szCs w:val="20"/>
        </w:rPr>
        <w:t xml:space="preserve">Catastrophe and impoverishment in paying for health care: Applications to Vietnam 1993–1998. Health Economics, 12(11), 921–934. </w:t>
      </w:r>
      <w:hyperlink r:id="rId7" w:history="1">
        <w:r w:rsidRPr="00E01025">
          <w:rPr>
            <w:rStyle w:val="Hyperlink"/>
            <w:rFonts w:ascii="Arial" w:hAnsi="Arial" w:cs="Arial"/>
            <w:sz w:val="20"/>
            <w:szCs w:val="20"/>
          </w:rPr>
          <w:t>https://doi.org/10.1002</w:t>
        </w:r>
      </w:hyperlink>
      <w:r w:rsidRPr="00E01025">
        <w:rPr>
          <w:rFonts w:ascii="Arial" w:hAnsi="Arial" w:cs="Arial"/>
          <w:sz w:val="20"/>
          <w:szCs w:val="20"/>
        </w:rPr>
        <w:t xml:space="preserve"> </w:t>
      </w:r>
    </w:p>
    <w:p w14:paraId="339269A4" w14:textId="77777777" w:rsidR="00A745D9" w:rsidRDefault="00180B37" w:rsidP="00A72B18">
      <w:pPr>
        <w:pStyle w:val="ListParagraph"/>
        <w:numPr>
          <w:ilvl w:val="0"/>
          <w:numId w:val="5"/>
        </w:numPr>
        <w:spacing w:line="360" w:lineRule="auto"/>
        <w:jc w:val="both"/>
        <w:rPr>
          <w:rFonts w:ascii="Arial" w:hAnsi="Arial" w:cs="Arial"/>
          <w:sz w:val="20"/>
          <w:szCs w:val="20"/>
        </w:rPr>
      </w:pPr>
      <w:r w:rsidRPr="00E01025">
        <w:rPr>
          <w:rFonts w:ascii="Arial" w:hAnsi="Arial" w:cs="Arial"/>
          <w:sz w:val="20"/>
          <w:szCs w:val="20"/>
        </w:rPr>
        <w:t>Ministry of Health and Family Welfare. (2021). National Health Accounts Estimates for India (2017–18). Government of India.</w:t>
      </w:r>
    </w:p>
    <w:p w14:paraId="4CBDE97E" w14:textId="248F96A1" w:rsidR="00180B37" w:rsidRPr="00A745D9" w:rsidRDefault="00180B37" w:rsidP="00A745D9">
      <w:pPr>
        <w:spacing w:line="360" w:lineRule="auto"/>
        <w:jc w:val="both"/>
        <w:rPr>
          <w:rFonts w:ascii="Arial" w:hAnsi="Arial" w:cs="Arial"/>
          <w:sz w:val="20"/>
          <w:szCs w:val="20"/>
        </w:rPr>
      </w:pPr>
      <w:r w:rsidRPr="00A745D9">
        <w:rPr>
          <w:rFonts w:ascii="Arial" w:hAnsi="Arial" w:cs="Arial"/>
          <w:sz w:val="20"/>
          <w:szCs w:val="20"/>
        </w:rPr>
        <w:lastRenderedPageBreak/>
        <w:t xml:space="preserve">Similarly, </w:t>
      </w:r>
      <w:r w:rsidRPr="00A745D9">
        <w:rPr>
          <w:rFonts w:ascii="Arial" w:hAnsi="Arial" w:cs="Arial"/>
          <w:b/>
          <w:bCs/>
          <w:sz w:val="20"/>
          <w:szCs w:val="20"/>
        </w:rPr>
        <w:t>Xu et al. (2007),</w:t>
      </w:r>
      <w:r w:rsidRPr="00A745D9">
        <w:rPr>
          <w:rFonts w:ascii="Arial" w:hAnsi="Arial" w:cs="Arial"/>
          <w:sz w:val="20"/>
          <w:szCs w:val="20"/>
        </w:rPr>
        <w:t xml:space="preserve"> based on WHO data from 89 countries, find that direct payments significantly restrict healthcare utilisation, with private sector treatment being a major contributor to catastrophic expenditure, especially among urban households. Although public hospitals provide some financial protection, inadequate resources reduce their effectiveness.</w:t>
      </w:r>
    </w:p>
    <w:p w14:paraId="2CB37239"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India-specific studies further reinforce these findings. </w:t>
      </w:r>
      <w:r w:rsidRPr="00E01025">
        <w:rPr>
          <w:rFonts w:ascii="Arial" w:hAnsi="Arial" w:cs="Arial"/>
          <w:b/>
          <w:bCs/>
          <w:sz w:val="20"/>
          <w:szCs w:val="20"/>
        </w:rPr>
        <w:t>Das and Roy (2021)</w:t>
      </w:r>
      <w:r w:rsidRPr="00E01025">
        <w:rPr>
          <w:rFonts w:ascii="Arial" w:hAnsi="Arial" w:cs="Arial"/>
          <w:sz w:val="20"/>
          <w:szCs w:val="20"/>
        </w:rPr>
        <w:t xml:space="preserve"> observe that government hospitals in Uttar Pradesh significantly lower direct medical costs for lower-middle-income households but lack specialised services, often forcing patients to seek expensive private care. Shortages of medicines further increase out-of-pocket spending, leading households to rely on savings and informal borrowing. </w:t>
      </w:r>
      <w:r w:rsidRPr="00E01025">
        <w:rPr>
          <w:rFonts w:ascii="Arial" w:hAnsi="Arial" w:cs="Arial"/>
          <w:b/>
          <w:bCs/>
          <w:sz w:val="20"/>
          <w:szCs w:val="20"/>
        </w:rPr>
        <w:t>Joshi (2022)</w:t>
      </w:r>
      <w:r w:rsidRPr="00E01025">
        <w:rPr>
          <w:rFonts w:ascii="Arial" w:hAnsi="Arial" w:cs="Arial"/>
          <w:sz w:val="20"/>
          <w:szCs w:val="20"/>
        </w:rPr>
        <w:t xml:space="preserve"> highlights low awareness and utilisation of government health schemes such as PMJAY and RSBY, even among eligible households, which sustains high out-of-pocket expenditure and reinforces preference for private hospitals due to simpler access. </w:t>
      </w:r>
      <w:r w:rsidRPr="00E01025">
        <w:rPr>
          <w:rFonts w:ascii="Arial" w:hAnsi="Arial" w:cs="Arial"/>
          <w:b/>
          <w:bCs/>
          <w:sz w:val="20"/>
          <w:szCs w:val="20"/>
        </w:rPr>
        <w:t>Sen and Prakash (2023)</w:t>
      </w:r>
      <w:r w:rsidRPr="00E01025">
        <w:rPr>
          <w:rFonts w:ascii="Arial" w:hAnsi="Arial" w:cs="Arial"/>
          <w:sz w:val="20"/>
          <w:szCs w:val="20"/>
        </w:rPr>
        <w:t xml:space="preserve"> find that while Ayushman Bharat improves financial protection in government hospitals, its effectiveness in private facilities is limited by weak compliance with cashless treatment provisions. </w:t>
      </w:r>
      <w:r w:rsidRPr="00E01025">
        <w:rPr>
          <w:rFonts w:ascii="Arial" w:hAnsi="Arial" w:cs="Arial"/>
          <w:b/>
          <w:bCs/>
          <w:sz w:val="20"/>
          <w:szCs w:val="20"/>
        </w:rPr>
        <w:t>Mishra and Rao (2023)</w:t>
      </w:r>
      <w:r w:rsidRPr="00E01025">
        <w:rPr>
          <w:rFonts w:ascii="Arial" w:hAnsi="Arial" w:cs="Arial"/>
          <w:sz w:val="20"/>
          <w:szCs w:val="20"/>
        </w:rPr>
        <w:t xml:space="preserve"> show that chronic illnesses intensify financial burden due to repeated consultations and long-term medication costs, often pushing patients from public to private providers. Trivedi and Jain (2024) conclude that the coexistence of public and private healthcare systems in smaller North Indian cities creates financial inequality, as advanced treatments remain largely unaffordable in the private sector.</w:t>
      </w:r>
    </w:p>
    <w:p w14:paraId="7B31BA5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Overall, the literature emphasises that financial accessibility in healthcare is shaped by a combination of treatment costs, insurance coverage, institutional capacity, and household socio-economic characteristics. While most studies focus on national or urban-level patterns, limited empirical evidence exists at the village or district level comparing government and private healthcare facilities. The present study addresses this gap by using primary household data to examine financial accessibility in rural and semi-urban areas of Fatehpur district, Uttar Pradesh.</w:t>
      </w:r>
    </w:p>
    <w:p w14:paraId="15C64CDE" w14:textId="77777777" w:rsidR="00924949" w:rsidRPr="00E01025" w:rsidRDefault="00924949" w:rsidP="00A72B18">
      <w:pPr>
        <w:spacing w:line="360" w:lineRule="auto"/>
        <w:jc w:val="both"/>
        <w:rPr>
          <w:rFonts w:ascii="Arial" w:hAnsi="Arial" w:cs="Arial"/>
          <w:b/>
          <w:bCs/>
          <w:sz w:val="20"/>
          <w:szCs w:val="20"/>
        </w:rPr>
      </w:pPr>
    </w:p>
    <w:p w14:paraId="7718BB18" w14:textId="68106BD1" w:rsidR="00924949" w:rsidRPr="00924949" w:rsidRDefault="00A72B18" w:rsidP="00A72B18">
      <w:pPr>
        <w:numPr>
          <w:ilvl w:val="0"/>
          <w:numId w:val="2"/>
        </w:numPr>
        <w:spacing w:line="360" w:lineRule="auto"/>
        <w:jc w:val="both"/>
        <w:rPr>
          <w:rFonts w:ascii="Arial" w:hAnsi="Arial" w:cs="Arial"/>
          <w:b/>
          <w:bCs/>
        </w:rPr>
      </w:pPr>
      <w:r>
        <w:rPr>
          <w:rFonts w:ascii="Arial" w:hAnsi="Arial" w:cs="Arial"/>
          <w:b/>
          <w:bCs/>
        </w:rPr>
        <w:t xml:space="preserve">RESEARCH </w:t>
      </w:r>
      <w:r w:rsidR="003B5871">
        <w:rPr>
          <w:rFonts w:ascii="Arial" w:hAnsi="Arial" w:cs="Arial"/>
          <w:b/>
          <w:bCs/>
        </w:rPr>
        <w:t>METHODOLOGY</w:t>
      </w:r>
      <w:r>
        <w:rPr>
          <w:rFonts w:ascii="Arial" w:hAnsi="Arial" w:cs="Arial"/>
          <w:b/>
          <w:bCs/>
        </w:rPr>
        <w:t xml:space="preserve"> &amp; DATA ANALYSIS </w:t>
      </w:r>
    </w:p>
    <w:p w14:paraId="0ACE6CA7" w14:textId="29F86544" w:rsidR="00924949" w:rsidRPr="00924949"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.1 Study Area and Data Collection</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 xml:space="preserve">The study is based on primary data collected from </w:t>
      </w:r>
      <w:proofErr w:type="spellStart"/>
      <w:r w:rsidR="00924949" w:rsidRPr="00924949">
        <w:rPr>
          <w:rFonts w:ascii="Arial" w:hAnsi="Arial" w:cs="Arial"/>
          <w:sz w:val="20"/>
          <w:szCs w:val="20"/>
        </w:rPr>
        <w:t>Jarauli</w:t>
      </w:r>
      <w:proofErr w:type="spellEnd"/>
      <w:r w:rsidR="00924949" w:rsidRPr="00924949">
        <w:rPr>
          <w:rFonts w:ascii="Arial" w:hAnsi="Arial" w:cs="Arial"/>
          <w:sz w:val="20"/>
          <w:szCs w:val="20"/>
        </w:rPr>
        <w:t xml:space="preserve"> village in Fatehpur district, Uttar Pradesh. A stratified random sampling technique was used to select 100 households reporting healthcare utilisation. Data were collected using a pre-tested structured questionnaire covering socio-economic characteristics, healthcare expenditure, payment mechanisms, and awareness of government health schemes.</w:t>
      </w:r>
    </w:p>
    <w:p w14:paraId="2C2AE98F" w14:textId="0F91B54D" w:rsidR="00924949" w:rsidRPr="00E01025"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.2 Analytical Framework</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Binary Logistic Regression was employed to analyse hospital choice (private = 1, government = 0). Principal Component Analysis was used to capture the multidimensional nature of financial accessibility and OOPE.</w:t>
      </w:r>
    </w:p>
    <w:p w14:paraId="6CCE0110" w14:textId="77777777" w:rsidR="00180B37" w:rsidRPr="00E01025" w:rsidRDefault="00180B37" w:rsidP="00A72B18">
      <w:pPr>
        <w:spacing w:line="360" w:lineRule="auto"/>
        <w:jc w:val="both"/>
        <w:rPr>
          <w:rFonts w:ascii="Arial" w:hAnsi="Arial" w:cs="Arial"/>
          <w:b/>
          <w:bCs/>
          <w:color w:val="000000" w:themeColor="text1"/>
          <w:sz w:val="20"/>
          <w:szCs w:val="20"/>
        </w:rPr>
      </w:pPr>
    </w:p>
    <w:p w14:paraId="360BB05C" w14:textId="6056C78F"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b/>
          <w:bCs/>
          <w:color w:val="000000" w:themeColor="text1"/>
          <w:sz w:val="20"/>
          <w:szCs w:val="20"/>
        </w:rPr>
        <w:t>TABLE  1: SUMMARY OF RESEARCH METHODOLOGY</w:t>
      </w:r>
    </w:p>
    <w:tbl>
      <w:tblPr>
        <w:tblStyle w:val="PlainTable5"/>
        <w:tblpPr w:leftFromText="180" w:rightFromText="180" w:vertAnchor="text" w:horzAnchor="margin" w:tblpXSpec="center" w:tblpY="145"/>
        <w:tblW w:w="10632" w:type="dxa"/>
        <w:tblLook w:val="04A0" w:firstRow="1" w:lastRow="0" w:firstColumn="1" w:lastColumn="0" w:noHBand="0" w:noVBand="1"/>
      </w:tblPr>
      <w:tblGrid>
        <w:gridCol w:w="3261"/>
        <w:gridCol w:w="7371"/>
      </w:tblGrid>
      <w:tr w:rsidR="00180B37" w:rsidRPr="00E01025" w14:paraId="2861FC1F"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Pr>
          <w:p w14:paraId="7979827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lastRenderedPageBreak/>
              <w:t xml:space="preserve">Study Area </w:t>
            </w:r>
          </w:p>
        </w:tc>
        <w:tc>
          <w:tcPr>
            <w:tcW w:w="7371" w:type="dxa"/>
          </w:tcPr>
          <w:p w14:paraId="458F5FFB"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0"/>
                <w:szCs w:val="20"/>
              </w:rPr>
            </w:pPr>
            <w:proofErr w:type="spellStart"/>
            <w:r w:rsidRPr="00E01025">
              <w:rPr>
                <w:rFonts w:ascii="Arial" w:hAnsi="Arial" w:cs="Arial"/>
                <w:b/>
                <w:bCs/>
                <w:i w:val="0"/>
                <w:iCs w:val="0"/>
                <w:color w:val="000000" w:themeColor="text1"/>
                <w:sz w:val="20"/>
                <w:szCs w:val="20"/>
              </w:rPr>
              <w:t>Jarauli</w:t>
            </w:r>
            <w:proofErr w:type="spellEnd"/>
            <w:r w:rsidRPr="00E01025">
              <w:rPr>
                <w:rFonts w:ascii="Arial" w:hAnsi="Arial" w:cs="Arial"/>
                <w:b/>
                <w:bCs/>
                <w:i w:val="0"/>
                <w:iCs w:val="0"/>
                <w:color w:val="000000" w:themeColor="text1"/>
                <w:sz w:val="20"/>
                <w:szCs w:val="20"/>
              </w:rPr>
              <w:t xml:space="preserve"> Village, District Fatehpur (Utter-Pradesh</w:t>
            </w:r>
          </w:p>
        </w:tc>
      </w:tr>
      <w:tr w:rsidR="00180B37" w:rsidRPr="00E01025" w14:paraId="62B69365"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212063B"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Household Population (N) </w:t>
            </w:r>
          </w:p>
        </w:tc>
        <w:tc>
          <w:tcPr>
            <w:tcW w:w="7371" w:type="dxa"/>
          </w:tcPr>
          <w:p w14:paraId="1885DE8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251</w:t>
            </w:r>
          </w:p>
        </w:tc>
      </w:tr>
      <w:tr w:rsidR="00180B37" w:rsidRPr="00E01025" w14:paraId="5BEC572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114165EE"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Sample size (n)</w:t>
            </w:r>
          </w:p>
        </w:tc>
        <w:tc>
          <w:tcPr>
            <w:tcW w:w="7371" w:type="dxa"/>
          </w:tcPr>
          <w:p w14:paraId="14F025F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100</w:t>
            </w:r>
          </w:p>
        </w:tc>
      </w:tr>
      <w:tr w:rsidR="00180B37" w:rsidRPr="007D6FE4" w14:paraId="173556EB"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4D873BF"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Formula for sample size determination </w:t>
            </w:r>
          </w:p>
        </w:tc>
        <w:tc>
          <w:tcPr>
            <w:tcW w:w="7371" w:type="dxa"/>
          </w:tcPr>
          <w:p w14:paraId="4EDD3489" w14:textId="77777777" w:rsidR="00180B37" w:rsidRPr="00E01025" w:rsidRDefault="00180B37" w:rsidP="00A72B1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it-IT"/>
              </w:rPr>
            </w:pPr>
            <w:r w:rsidRPr="00E01025">
              <w:rPr>
                <w:rFonts w:ascii="Arial" w:hAnsi="Arial" w:cs="Arial"/>
                <w:b/>
                <w:bCs/>
                <w:color w:val="000000" w:themeColor="text1"/>
                <w:sz w:val="20"/>
                <w:szCs w:val="20"/>
                <w:lang w:val="it-IT"/>
              </w:rPr>
              <w:t>Slovin’s Formula:</w:t>
            </w:r>
            <m:oMath>
              <m:r>
                <m:rPr>
                  <m:sty m:val="b"/>
                </m:rPr>
                <w:rPr>
                  <w:rFonts w:ascii="Cambria Math" w:eastAsiaTheme="minorEastAsia" w:hAnsi="Cambria Math" w:cs="Arial"/>
                  <w:color w:val="000000" w:themeColor="text1"/>
                  <w:sz w:val="20"/>
                  <w:szCs w:val="20"/>
                  <w:lang w:val="it-IT"/>
                </w:rPr>
                <m:t xml:space="preserve"> (</m:t>
              </m:r>
              <m:r>
                <m:rPr>
                  <m:sty m:val="b"/>
                </m:rPr>
                <w:rPr>
                  <w:rFonts w:ascii="Cambria Math" w:hAnsi="Cambria Math" w:cs="Arial"/>
                  <w:color w:val="000000" w:themeColor="text1"/>
                  <w:sz w:val="20"/>
                  <w:szCs w:val="20"/>
                </w:rPr>
                <m:t>n</m:t>
              </m:r>
              <m:r>
                <m:rPr>
                  <m:sty m:val="b"/>
                </m:rPr>
                <w:rPr>
                  <w:rFonts w:ascii="Cambria Math" w:hAnsi="Cambria Math" w:cs="Arial"/>
                  <w:color w:val="000000" w:themeColor="text1"/>
                  <w:sz w:val="20"/>
                  <w:szCs w:val="20"/>
                  <w:lang w:val="it-IT"/>
                </w:rPr>
                <m:t>=</m:t>
              </m:r>
              <m:f>
                <m:fPr>
                  <m:ctrlPr>
                    <w:rPr>
                      <w:rFonts w:ascii="Cambria Math" w:hAnsi="Cambria Math" w:cs="Arial"/>
                      <w:b/>
                      <w:bCs/>
                      <w:color w:val="000000" w:themeColor="text1"/>
                      <w:sz w:val="20"/>
                      <w:szCs w:val="20"/>
                    </w:rPr>
                  </m:ctrlPr>
                </m:fPr>
                <m:num>
                  <m:r>
                    <m:rPr>
                      <m:sty m:val="b"/>
                    </m:rPr>
                    <w:rPr>
                      <w:rFonts w:ascii="Cambria Math" w:hAnsi="Cambria Math" w:cs="Arial"/>
                      <w:color w:val="000000" w:themeColor="text1"/>
                      <w:sz w:val="20"/>
                      <w:szCs w:val="20"/>
                    </w:rPr>
                    <m:t>N</m:t>
                  </m:r>
                </m:num>
                <m:den>
                  <m:r>
                    <m:rPr>
                      <m:sty m:val="b"/>
                    </m:rPr>
                    <w:rPr>
                      <w:rFonts w:ascii="Cambria Math" w:hAnsi="Cambria Math" w:cs="Arial"/>
                      <w:color w:val="000000" w:themeColor="text1"/>
                      <w:sz w:val="20"/>
                      <w:szCs w:val="20"/>
                    </w:rPr>
                    <m:t>1</m:t>
                  </m:r>
                  <m:r>
                    <m:rPr>
                      <m:sty m:val="b"/>
                    </m:rPr>
                    <w:rPr>
                      <w:rFonts w:ascii="Cambria Math" w:hAnsi="Cambria Math" w:cs="Arial"/>
                      <w:color w:val="000000" w:themeColor="text1"/>
                      <w:sz w:val="20"/>
                      <w:szCs w:val="20"/>
                      <w:lang w:val="it-IT"/>
                    </w:rPr>
                    <m:t>+</m:t>
                  </m:r>
                  <m:r>
                    <m:rPr>
                      <m:sty m:val="b"/>
                    </m:rPr>
                    <w:rPr>
                      <w:rFonts w:ascii="Cambria Math" w:hAnsi="Cambria Math" w:cs="Arial"/>
                      <w:color w:val="000000" w:themeColor="text1"/>
                      <w:sz w:val="20"/>
                      <w:szCs w:val="20"/>
                    </w:rPr>
                    <m:t>N</m:t>
                  </m:r>
                  <m:sSup>
                    <m:sSupPr>
                      <m:ctrlPr>
                        <w:rPr>
                          <w:rFonts w:ascii="Cambria Math" w:hAnsi="Cambria Math" w:cs="Arial"/>
                          <w:b/>
                          <w:bCs/>
                          <w:color w:val="000000" w:themeColor="text1"/>
                          <w:sz w:val="20"/>
                          <w:szCs w:val="20"/>
                        </w:rPr>
                      </m:ctrlPr>
                    </m:sSupPr>
                    <m:e>
                      <m:r>
                        <m:rPr>
                          <m:sty m:val="b"/>
                        </m:rPr>
                        <w:rPr>
                          <w:rFonts w:ascii="Cambria Math" w:hAnsi="Cambria Math" w:cs="Arial"/>
                          <w:color w:val="000000" w:themeColor="text1"/>
                          <w:sz w:val="20"/>
                          <w:szCs w:val="20"/>
                        </w:rPr>
                        <m:t>e</m:t>
                      </m:r>
                    </m:e>
                    <m:sup>
                      <m:r>
                        <m:rPr>
                          <m:sty m:val="b"/>
                        </m:rPr>
                        <w:rPr>
                          <w:rFonts w:ascii="Cambria Math" w:hAnsi="Cambria Math" w:cs="Arial"/>
                          <w:color w:val="000000" w:themeColor="text1"/>
                          <w:sz w:val="20"/>
                          <w:szCs w:val="20"/>
                        </w:rPr>
                        <m:t>2</m:t>
                      </m:r>
                    </m:sup>
                  </m:sSup>
                </m:den>
              </m:f>
              <m:r>
                <m:rPr>
                  <m:sty m:val="b"/>
                </m:rPr>
                <w:rPr>
                  <w:rFonts w:ascii="Cambria Math" w:hAnsi="Cambria Math" w:cs="Arial"/>
                  <w:color w:val="000000" w:themeColor="text1"/>
                  <w:sz w:val="20"/>
                  <w:szCs w:val="20"/>
                  <w:lang w:val="it-IT"/>
                </w:rPr>
                <m:t>)</m:t>
              </m:r>
            </m:oMath>
          </w:p>
        </w:tc>
      </w:tr>
      <w:tr w:rsidR="00180B37" w:rsidRPr="00E01025" w14:paraId="0C5686D6"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74544577"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lang w:val="it-IT"/>
              </w:rPr>
              <w:t xml:space="preserve">Sampling technique </w:t>
            </w:r>
          </w:p>
        </w:tc>
        <w:tc>
          <w:tcPr>
            <w:tcW w:w="7371" w:type="dxa"/>
          </w:tcPr>
          <w:p w14:paraId="5FF9ED1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 xml:space="preserve">Probability Sampling: </w:t>
            </w:r>
            <w:r w:rsidRPr="00E01025">
              <w:rPr>
                <w:rFonts w:ascii="Arial" w:hAnsi="Arial" w:cs="Arial"/>
                <w:color w:val="000000" w:themeColor="text1"/>
                <w:sz w:val="20"/>
                <w:szCs w:val="20"/>
              </w:rPr>
              <w:t>Stratified Random Sampling</w:t>
            </w:r>
          </w:p>
          <w:p w14:paraId="1209D67D"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Purpose:</w:t>
            </w:r>
            <w:r w:rsidRPr="00E01025">
              <w:rPr>
                <w:rFonts w:ascii="Arial" w:hAnsi="Arial" w:cs="Arial"/>
                <w:color w:val="000000" w:themeColor="text1"/>
                <w:sz w:val="20"/>
                <w:szCs w:val="20"/>
              </w:rPr>
              <w:t xml:space="preserve"> Ensures representativeness and reduces selection bias</w:t>
            </w:r>
          </w:p>
          <w:p w14:paraId="1E763D4C"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Strata:</w:t>
            </w:r>
          </w:p>
          <w:p w14:paraId="391A55D1"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Government hospital users</w:t>
            </w:r>
          </w:p>
          <w:p w14:paraId="425AF829"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Private hospital users</w:t>
            </w:r>
          </w:p>
          <w:p w14:paraId="36EF107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it-IT"/>
              </w:rPr>
            </w:pPr>
          </w:p>
        </w:tc>
      </w:tr>
      <w:tr w:rsidR="00180B37" w:rsidRPr="00E01025" w14:paraId="5464D730"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7F73AA"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rPr>
              <w:t>Data Collection Methods</w:t>
            </w:r>
          </w:p>
        </w:tc>
        <w:tc>
          <w:tcPr>
            <w:tcW w:w="7371" w:type="dxa"/>
          </w:tcPr>
          <w:p w14:paraId="2A853C3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Primary Data: </w:t>
            </w:r>
            <w:r w:rsidRPr="00E01025">
              <w:rPr>
                <w:rFonts w:ascii="Arial" w:hAnsi="Arial" w:cs="Arial"/>
                <w:color w:val="000000" w:themeColor="text1"/>
                <w:sz w:val="20"/>
                <w:szCs w:val="20"/>
              </w:rPr>
              <w:t>Structured questionnaire covering demographics, hospital type, expenditure, payment method, and financial constraints</w:t>
            </w:r>
          </w:p>
        </w:tc>
      </w:tr>
      <w:tr w:rsidR="00180B37" w:rsidRPr="00E01025" w14:paraId="7C6C5149"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3BA01CE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Data Analysis</w:t>
            </w:r>
          </w:p>
        </w:tc>
        <w:tc>
          <w:tcPr>
            <w:tcW w:w="7371" w:type="dxa"/>
          </w:tcPr>
          <w:p w14:paraId="0881F3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Coding and analysis using SPSS/Excel. Binary Logistic regression model and principle component analysis test. </w:t>
            </w:r>
          </w:p>
        </w:tc>
      </w:tr>
      <w:tr w:rsidR="00180B37" w:rsidRPr="00E01025" w14:paraId="5E11BD4D"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27749A4"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Ethical Considerations</w:t>
            </w:r>
          </w:p>
        </w:tc>
        <w:tc>
          <w:tcPr>
            <w:tcW w:w="7371" w:type="dxa"/>
          </w:tcPr>
          <w:p w14:paraId="1550F69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color w:val="000000" w:themeColor="text1"/>
                <w:sz w:val="20"/>
                <w:szCs w:val="20"/>
              </w:rPr>
              <w:t xml:space="preserve">Informed consent obtained, confidentiality maintained, voluntary participation. </w:t>
            </w:r>
          </w:p>
        </w:tc>
      </w:tr>
      <w:tr w:rsidR="00180B37" w:rsidRPr="00E01025" w14:paraId="170261B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69980BC3"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Limitations</w:t>
            </w:r>
          </w:p>
        </w:tc>
        <w:tc>
          <w:tcPr>
            <w:tcW w:w="7371" w:type="dxa"/>
          </w:tcPr>
          <w:p w14:paraId="09081B0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The sample of 100 participants results in a 10% margin of error. Self-reported data may exhibit recall bias, and findings are limited to </w:t>
            </w:r>
            <w:proofErr w:type="spellStart"/>
            <w:r w:rsidRPr="00E01025">
              <w:rPr>
                <w:rFonts w:ascii="Arial" w:hAnsi="Arial" w:cs="Arial"/>
                <w:color w:val="000000" w:themeColor="text1"/>
                <w:sz w:val="20"/>
                <w:szCs w:val="20"/>
              </w:rPr>
              <w:t>Jarauli</w:t>
            </w:r>
            <w:proofErr w:type="spellEnd"/>
            <w:r w:rsidRPr="00E01025">
              <w:rPr>
                <w:rFonts w:ascii="Arial" w:hAnsi="Arial" w:cs="Arial"/>
                <w:color w:val="000000" w:themeColor="text1"/>
                <w:sz w:val="20"/>
                <w:szCs w:val="20"/>
              </w:rPr>
              <w:t xml:space="preserve"> Village, restricting their generalizability.</w:t>
            </w:r>
          </w:p>
        </w:tc>
      </w:tr>
    </w:tbl>
    <w:p w14:paraId="6E058931" w14:textId="77777777"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To analyse the healthcare utilisation choices, the study estimates the </w:t>
      </w:r>
      <w:r w:rsidRPr="00E01025">
        <w:rPr>
          <w:rFonts w:ascii="Arial" w:hAnsi="Arial" w:cs="Arial"/>
          <w:b/>
          <w:bCs/>
          <w:color w:val="0D0D0D" w:themeColor="text1" w:themeTint="F2"/>
          <w:sz w:val="20"/>
          <w:szCs w:val="20"/>
        </w:rPr>
        <w:t>Binary logistic regression model</w:t>
      </w:r>
      <w:r w:rsidRPr="00E01025">
        <w:rPr>
          <w:rFonts w:ascii="Arial" w:hAnsi="Arial" w:cs="Arial"/>
          <w:color w:val="0D0D0D" w:themeColor="text1" w:themeTint="F2"/>
          <w:sz w:val="20"/>
          <w:szCs w:val="20"/>
        </w:rPr>
        <w:t xml:space="preserve"> and financial accessibility is conceptualised as a multidimensional construct encompassing affordability. </w:t>
      </w:r>
    </w:p>
    <w:p w14:paraId="24BC8F99" w14:textId="566E52FB"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 The dependent variable is defined as:</w:t>
      </w:r>
    </w:p>
    <w:p w14:paraId="70DD9BC6" w14:textId="77777777" w:rsidR="00180B37" w:rsidRPr="00E01025" w:rsidRDefault="008975B2" w:rsidP="00A72B18">
      <w:pPr>
        <w:spacing w:line="360" w:lineRule="auto"/>
        <w:jc w:val="both"/>
        <w:rPr>
          <w:rFonts w:ascii="Arial" w:hAnsi="Arial" w:cs="Arial"/>
          <w:color w:val="0D0D0D" w:themeColor="text1" w:themeTint="F2"/>
          <w:sz w:val="20"/>
          <w:szCs w:val="20"/>
        </w:rPr>
      </w:pPr>
      <m:oMathPara>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Y</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d>
            <m:dPr>
              <m:begChr m:val="{"/>
              <m:endChr m:val=""/>
              <m:ctrlPr>
                <w:rPr>
                  <w:rFonts w:ascii="Cambria Math" w:hAnsi="Cambria Math" w:cs="Arial"/>
                  <w:color w:val="0D0D0D" w:themeColor="text1" w:themeTint="F2"/>
                  <w:sz w:val="20"/>
                  <w:szCs w:val="20"/>
                </w:rPr>
              </m:ctrlPr>
            </m:dPr>
            <m:e>
              <m:m>
                <m:mPr>
                  <m:plcHide m:val="1"/>
                  <m:mcs>
                    <m:mc>
                      <m:mcPr>
                        <m:count m:val="2"/>
                        <m:mcJc m:val="center"/>
                      </m:mcPr>
                    </m:mc>
                  </m:mcs>
                  <m:ctrlPr>
                    <w:rPr>
                      <w:rFonts w:ascii="Cambria Math" w:hAnsi="Cambria Math" w:cs="Arial"/>
                      <w:color w:val="0D0D0D" w:themeColor="text1" w:themeTint="F2"/>
                      <w:sz w:val="20"/>
                      <w:szCs w:val="20"/>
                    </w:rPr>
                  </m:ctrlPr>
                </m:mPr>
                <m:mr>
                  <m:e>
                    <m:r>
                      <m:rPr>
                        <m:sty m:val="p"/>
                      </m:rPr>
                      <w:rPr>
                        <w:rFonts w:ascii="Cambria Math" w:hAnsi="Cambria Math" w:cs="Arial"/>
                        <w:color w:val="0D0D0D" w:themeColor="text1" w:themeTint="F2"/>
                        <w:sz w:val="20"/>
                        <w:szCs w:val="20"/>
                      </w:rPr>
                      <m:t>1,</m:t>
                    </m:r>
                  </m:e>
                  <m:e>
                    <m:r>
                      <m:rPr>
                        <m:nor/>
                      </m:rPr>
                      <w:rPr>
                        <w:rFonts w:ascii="Arial" w:hAnsi="Arial" w:cs="Arial"/>
                        <w:color w:val="0D0D0D" w:themeColor="text1" w:themeTint="F2"/>
                        <w:sz w:val="20"/>
                        <w:szCs w:val="20"/>
                      </w:rPr>
                      <m:t>if the household chooses a private hospital</m:t>
                    </m:r>
                  </m:e>
                </m:mr>
                <m:mr>
                  <m:e>
                    <m:r>
                      <m:rPr>
                        <m:sty m:val="p"/>
                      </m:rPr>
                      <w:rPr>
                        <w:rFonts w:ascii="Cambria Math" w:hAnsi="Cambria Math" w:cs="Arial"/>
                        <w:color w:val="0D0D0D" w:themeColor="text1" w:themeTint="F2"/>
                        <w:sz w:val="20"/>
                        <w:szCs w:val="20"/>
                      </w:rPr>
                      <m:t>0,</m:t>
                    </m:r>
                  </m:e>
                  <m:e>
                    <m:r>
                      <m:rPr>
                        <m:nor/>
                      </m:rPr>
                      <w:rPr>
                        <w:rFonts w:ascii="Arial" w:hAnsi="Arial" w:cs="Arial"/>
                        <w:color w:val="0D0D0D" w:themeColor="text1" w:themeTint="F2"/>
                        <w:sz w:val="20"/>
                        <w:szCs w:val="20"/>
                      </w:rPr>
                      <m:t>if the household chooses a government hospital</m:t>
                    </m:r>
                  </m:e>
                </m:mr>
              </m:m>
            </m:e>
          </m:d>
          <m:r>
            <m:rPr>
              <m:sty m:val="p"/>
            </m:rPr>
            <w:rPr>
              <w:rFonts w:ascii="Cambria Math" w:hAnsi="Cambria Math" w:cs="Arial"/>
              <w:color w:val="0D0D0D" w:themeColor="text1" w:themeTint="F2"/>
              <w:sz w:val="20"/>
              <w:szCs w:val="20"/>
            </w:rPr>
            <w:br/>
          </m:r>
        </m:oMath>
      </m:oMathPara>
    </w:p>
    <w:p w14:paraId="00ADE7CE" w14:textId="77777777"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Let </w:t>
      </w:r>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oMath>
      <w:r w:rsidRPr="00E01025">
        <w:rPr>
          <w:rFonts w:ascii="Arial" w:hAnsi="Arial" w:cs="Arial"/>
          <w:color w:val="0D0D0D" w:themeColor="text1" w:themeTint="F2"/>
          <w:sz w:val="20"/>
          <w:szCs w:val="20"/>
        </w:rPr>
        <w:t xml:space="preserve">denote the probability that the </w:t>
      </w:r>
      <m:oMath>
        <m:r>
          <m:rPr>
            <m:sty m:val="p"/>
          </m:rPr>
          <w:rPr>
            <w:rFonts w:ascii="Cambria Math" w:hAnsi="Cambria Math" w:cs="Arial"/>
            <w:color w:val="0D0D0D" w:themeColor="text1" w:themeTint="F2"/>
            <w:sz w:val="20"/>
            <w:szCs w:val="20"/>
          </w:rPr>
          <m:t>i</m:t>
        </m:r>
      </m:oMath>
      <w:r w:rsidRPr="00E01025">
        <w:rPr>
          <w:rFonts w:ascii="Arial" w:hAnsi="Arial" w:cs="Arial"/>
          <w:color w:val="0D0D0D" w:themeColor="text1" w:themeTint="F2"/>
          <w:sz w:val="20"/>
          <w:szCs w:val="20"/>
        </w:rPr>
        <w:t>-th household chooses a private hospital. The logistic regression model is expressed as:</w:t>
      </w:r>
    </w:p>
    <w:p w14:paraId="2AA27A77" w14:textId="77777777" w:rsidR="00180B37" w:rsidRPr="00E01025" w:rsidRDefault="00180B37" w:rsidP="00A72B18">
      <w:pPr>
        <w:spacing w:line="360" w:lineRule="auto"/>
        <w:jc w:val="both"/>
        <w:rPr>
          <w:rFonts w:ascii="Arial" w:hAnsi="Arial" w:cs="Arial"/>
          <w:sz w:val="20"/>
          <w:szCs w:val="20"/>
        </w:rPr>
      </w:pPr>
      <m:oMath>
        <m:r>
          <m:rPr>
            <m:sty m:val="p"/>
          </m:rPr>
          <w:rPr>
            <w:rFonts w:ascii="Cambria Math" w:hAnsi="Cambria Math" w:cs="Arial"/>
            <w:color w:val="0D0D0D" w:themeColor="text1" w:themeTint="F2"/>
            <w:sz w:val="20"/>
            <w:szCs w:val="20"/>
          </w:rPr>
          <m:t>ln⁡</m:t>
        </m:r>
        <m:d>
          <m:dPr>
            <m:ctrlPr>
              <w:rPr>
                <w:rFonts w:ascii="Cambria Math" w:hAnsi="Cambria Math" w:cs="Arial"/>
                <w:color w:val="0D0D0D" w:themeColor="text1" w:themeTint="F2"/>
                <w:sz w:val="20"/>
                <w:szCs w:val="20"/>
              </w:rPr>
            </m:ctrlPr>
          </m:dPr>
          <m:e>
            <m:f>
              <m:fPr>
                <m:ctrlPr>
                  <w:rPr>
                    <w:rFonts w:ascii="Cambria Math" w:hAnsi="Cambria Math" w:cs="Arial"/>
                    <w:color w:val="0D0D0D" w:themeColor="text1" w:themeTint="F2"/>
                    <w:sz w:val="20"/>
                    <w:szCs w:val="20"/>
                  </w:rPr>
                </m:ctrlPr>
              </m:fPr>
              <m:num>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num>
              <m:den>
                <m:r>
                  <m:rPr>
                    <m:sty m:val="p"/>
                  </m:rPr>
                  <w:rPr>
                    <w:rFonts w:ascii="Cambria Math" w:hAnsi="Cambria Math" w:cs="Arial"/>
                    <w:color w:val="0D0D0D" w:themeColor="text1" w:themeTint="F2"/>
                    <w:sz w:val="20"/>
                    <w:szCs w:val="20"/>
                  </w:rPr>
                  <m:t>1-</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den>
            </m:f>
          </m:e>
        </m:d>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0</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1</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Education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2</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Occupation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3</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Expenditure</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ε</m:t>
            </m:r>
          </m:e>
          <m:sub>
            <m:r>
              <m:rPr>
                <m:sty m:val="p"/>
              </m:rPr>
              <w:rPr>
                <w:rFonts w:ascii="Cambria Math" w:hAnsi="Cambria Math" w:cs="Arial"/>
                <w:color w:val="0D0D0D" w:themeColor="text1" w:themeTint="F2"/>
                <w:sz w:val="20"/>
                <w:szCs w:val="20"/>
              </w:rPr>
              <m:t>i</m:t>
            </m:r>
          </m:sub>
        </m:sSub>
      </m:oMath>
      <w:r w:rsidRPr="00E01025">
        <w:rPr>
          <w:rFonts w:ascii="Arial" w:eastAsiaTheme="minorEastAsia" w:hAnsi="Arial" w:cs="Arial"/>
          <w:color w:val="0D0D0D" w:themeColor="text1" w:themeTint="F2"/>
          <w:sz w:val="20"/>
          <w:szCs w:val="20"/>
        </w:rPr>
        <w:t>……….(1)</w:t>
      </w:r>
      <w:r w:rsidRPr="00E01025">
        <w:rPr>
          <w:rFonts w:ascii="Arial" w:hAnsi="Arial" w:cs="Arial"/>
          <w:color w:val="0D0D0D" w:themeColor="text1" w:themeTint="F2"/>
          <w:sz w:val="20"/>
          <w:szCs w:val="20"/>
        </w:rPr>
        <w:br/>
      </w:r>
    </w:p>
    <w:p w14:paraId="3640FCA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above equation estimates </w:t>
      </w:r>
      <w:r w:rsidRPr="00E01025">
        <w:rPr>
          <w:rFonts w:ascii="Arial" w:hAnsi="Arial" w:cs="Arial"/>
          <w:b/>
          <w:bCs/>
          <w:sz w:val="20"/>
          <w:szCs w:val="20"/>
        </w:rPr>
        <w:t>odds ratios</w:t>
      </w:r>
      <w:r w:rsidRPr="00E01025">
        <w:rPr>
          <w:rFonts w:ascii="Arial" w:hAnsi="Arial" w:cs="Arial"/>
          <w:sz w:val="20"/>
          <w:szCs w:val="20"/>
        </w:rPr>
        <w:t xml:space="preserve">, which are particularly useful for assessing the impact of socio-economic factors on </w:t>
      </w:r>
      <w:r w:rsidRPr="00E01025">
        <w:rPr>
          <w:rFonts w:ascii="Arial" w:hAnsi="Arial" w:cs="Arial"/>
          <w:b/>
          <w:bCs/>
          <w:sz w:val="20"/>
          <w:szCs w:val="20"/>
        </w:rPr>
        <w:t>out-of-pocket expenditure (OOPE)</w:t>
      </w:r>
      <w:r w:rsidRPr="00E01025">
        <w:rPr>
          <w:rFonts w:ascii="Arial" w:hAnsi="Arial" w:cs="Arial"/>
          <w:sz w:val="20"/>
          <w:szCs w:val="20"/>
        </w:rPr>
        <w:t xml:space="preserve"> and understanding patterns of </w:t>
      </w:r>
      <w:r w:rsidRPr="00E01025">
        <w:rPr>
          <w:rFonts w:ascii="Arial" w:hAnsi="Arial" w:cs="Arial"/>
          <w:b/>
          <w:bCs/>
          <w:sz w:val="20"/>
          <w:szCs w:val="20"/>
        </w:rPr>
        <w:t>financial accessibility to healthcare services</w:t>
      </w:r>
      <w:r w:rsidRPr="00E01025">
        <w:rPr>
          <w:rFonts w:ascii="Arial" w:hAnsi="Arial" w:cs="Arial"/>
          <w:sz w:val="20"/>
          <w:szCs w:val="20"/>
        </w:rPr>
        <w:t xml:space="preserve"> in rural areas.</w:t>
      </w:r>
    </w:p>
    <w:p w14:paraId="76295457" w14:textId="73F56E75"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TABLE  2:  Result Summary</w:t>
      </w:r>
    </w:p>
    <w:tbl>
      <w:tblPr>
        <w:tblStyle w:val="PlainTable2"/>
        <w:tblW w:w="9639" w:type="dxa"/>
        <w:tblLook w:val="04A0" w:firstRow="1" w:lastRow="0" w:firstColumn="1" w:lastColumn="0" w:noHBand="0" w:noVBand="1"/>
      </w:tblPr>
      <w:tblGrid>
        <w:gridCol w:w="1418"/>
        <w:gridCol w:w="982"/>
        <w:gridCol w:w="757"/>
        <w:gridCol w:w="874"/>
        <w:gridCol w:w="757"/>
        <w:gridCol w:w="1308"/>
        <w:gridCol w:w="3543"/>
      </w:tblGrid>
      <w:tr w:rsidR="00180B37" w:rsidRPr="00E01025" w14:paraId="53818B4D"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A9582A5"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982" w:type="dxa"/>
            <w:hideMark/>
          </w:tcPr>
          <w:p w14:paraId="44C1C34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0" w:type="auto"/>
            <w:hideMark/>
          </w:tcPr>
          <w:p w14:paraId="586DD56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S.E.</w:t>
            </w:r>
          </w:p>
        </w:tc>
        <w:tc>
          <w:tcPr>
            <w:tcW w:w="0" w:type="auto"/>
            <w:hideMark/>
          </w:tcPr>
          <w:p w14:paraId="08A1DE37"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Wald</w:t>
            </w:r>
          </w:p>
        </w:tc>
        <w:tc>
          <w:tcPr>
            <w:tcW w:w="0" w:type="auto"/>
            <w:hideMark/>
          </w:tcPr>
          <w:p w14:paraId="44D6A41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1308" w:type="dxa"/>
            <w:hideMark/>
          </w:tcPr>
          <w:p w14:paraId="7962FF51"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3543" w:type="dxa"/>
            <w:hideMark/>
          </w:tcPr>
          <w:p w14:paraId="65E9C04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65EA20C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BC9F552"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lastRenderedPageBreak/>
              <w:t>Education</w:t>
            </w:r>
          </w:p>
        </w:tc>
        <w:tc>
          <w:tcPr>
            <w:tcW w:w="982" w:type="dxa"/>
            <w:hideMark/>
          </w:tcPr>
          <w:p w14:paraId="7DD5174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2.389</w:t>
            </w:r>
          </w:p>
        </w:tc>
        <w:tc>
          <w:tcPr>
            <w:tcW w:w="0" w:type="auto"/>
            <w:hideMark/>
          </w:tcPr>
          <w:p w14:paraId="72EB5D2D"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0.822</w:t>
            </w:r>
          </w:p>
        </w:tc>
        <w:tc>
          <w:tcPr>
            <w:tcW w:w="0" w:type="auto"/>
            <w:hideMark/>
          </w:tcPr>
          <w:p w14:paraId="4A628BBF"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8.441</w:t>
            </w:r>
          </w:p>
        </w:tc>
        <w:tc>
          <w:tcPr>
            <w:tcW w:w="0" w:type="auto"/>
            <w:hideMark/>
          </w:tcPr>
          <w:p w14:paraId="4197F6B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0.004</w:t>
            </w:r>
          </w:p>
        </w:tc>
        <w:tc>
          <w:tcPr>
            <w:tcW w:w="1308" w:type="dxa"/>
            <w:hideMark/>
          </w:tcPr>
          <w:p w14:paraId="7DE11D5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10.902</w:t>
            </w:r>
          </w:p>
        </w:tc>
        <w:tc>
          <w:tcPr>
            <w:tcW w:w="3543" w:type="dxa"/>
            <w:hideMark/>
          </w:tcPr>
          <w:p w14:paraId="402EFE9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Highly significant; higher education increases the odds of visiting private hospitals ~11 times.</w:t>
            </w:r>
          </w:p>
        </w:tc>
      </w:tr>
      <w:tr w:rsidR="00180B37" w:rsidRPr="00E01025" w14:paraId="4DBBED2F"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61F7588A"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Occupation</w:t>
            </w:r>
          </w:p>
        </w:tc>
        <w:tc>
          <w:tcPr>
            <w:tcW w:w="982" w:type="dxa"/>
            <w:hideMark/>
          </w:tcPr>
          <w:p w14:paraId="690C8A7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-0.396</w:t>
            </w:r>
          </w:p>
        </w:tc>
        <w:tc>
          <w:tcPr>
            <w:tcW w:w="0" w:type="auto"/>
            <w:hideMark/>
          </w:tcPr>
          <w:p w14:paraId="2128B30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0.314</w:t>
            </w:r>
          </w:p>
        </w:tc>
        <w:tc>
          <w:tcPr>
            <w:tcW w:w="0" w:type="auto"/>
            <w:hideMark/>
          </w:tcPr>
          <w:p w14:paraId="3168C51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1.590</w:t>
            </w:r>
          </w:p>
        </w:tc>
        <w:tc>
          <w:tcPr>
            <w:tcW w:w="0" w:type="auto"/>
            <w:hideMark/>
          </w:tcPr>
          <w:p w14:paraId="1B5D1FD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0.207</w:t>
            </w:r>
          </w:p>
        </w:tc>
        <w:tc>
          <w:tcPr>
            <w:tcW w:w="1308" w:type="dxa"/>
            <w:hideMark/>
          </w:tcPr>
          <w:p w14:paraId="5E9BBFA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0.673</w:t>
            </w:r>
          </w:p>
        </w:tc>
        <w:tc>
          <w:tcPr>
            <w:tcW w:w="3543" w:type="dxa"/>
            <w:hideMark/>
          </w:tcPr>
          <w:p w14:paraId="1813E16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Not significant; occupation alone does not influence hospital choice.</w:t>
            </w:r>
          </w:p>
        </w:tc>
      </w:tr>
      <w:tr w:rsidR="00180B37" w:rsidRPr="00E01025" w14:paraId="0BCE1F1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3D871511"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Household Expenditure</w:t>
            </w:r>
          </w:p>
        </w:tc>
        <w:tc>
          <w:tcPr>
            <w:tcW w:w="982" w:type="dxa"/>
            <w:hideMark/>
          </w:tcPr>
          <w:p w14:paraId="024003B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1.437</w:t>
            </w:r>
          </w:p>
        </w:tc>
        <w:tc>
          <w:tcPr>
            <w:tcW w:w="0" w:type="auto"/>
            <w:hideMark/>
          </w:tcPr>
          <w:p w14:paraId="6CDB7B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0.437</w:t>
            </w:r>
          </w:p>
        </w:tc>
        <w:tc>
          <w:tcPr>
            <w:tcW w:w="0" w:type="auto"/>
            <w:hideMark/>
          </w:tcPr>
          <w:p w14:paraId="3B29CFD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10.803</w:t>
            </w:r>
          </w:p>
        </w:tc>
        <w:tc>
          <w:tcPr>
            <w:tcW w:w="0" w:type="auto"/>
            <w:hideMark/>
          </w:tcPr>
          <w:p w14:paraId="4E16CCC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5BBA190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4.206</w:t>
            </w:r>
          </w:p>
        </w:tc>
        <w:tc>
          <w:tcPr>
            <w:tcW w:w="3543" w:type="dxa"/>
            <w:hideMark/>
          </w:tcPr>
          <w:p w14:paraId="0D5EE04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 higher expenditure increases the odds of private hospital use ~4 times.</w:t>
            </w:r>
          </w:p>
        </w:tc>
      </w:tr>
      <w:tr w:rsidR="00180B37" w:rsidRPr="00E01025" w14:paraId="26157C9D"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D8B8A65"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Constant</w:t>
            </w:r>
          </w:p>
        </w:tc>
        <w:tc>
          <w:tcPr>
            <w:tcW w:w="982" w:type="dxa"/>
            <w:hideMark/>
          </w:tcPr>
          <w:p w14:paraId="6D494B1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-4.007</w:t>
            </w:r>
          </w:p>
        </w:tc>
        <w:tc>
          <w:tcPr>
            <w:tcW w:w="0" w:type="auto"/>
            <w:hideMark/>
          </w:tcPr>
          <w:p w14:paraId="2FD36C48"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1.186</w:t>
            </w:r>
          </w:p>
        </w:tc>
        <w:tc>
          <w:tcPr>
            <w:tcW w:w="0" w:type="auto"/>
            <w:hideMark/>
          </w:tcPr>
          <w:p w14:paraId="5CEDCA6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11.422</w:t>
            </w:r>
          </w:p>
        </w:tc>
        <w:tc>
          <w:tcPr>
            <w:tcW w:w="0" w:type="auto"/>
            <w:hideMark/>
          </w:tcPr>
          <w:p w14:paraId="297B308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76028E9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0.018</w:t>
            </w:r>
          </w:p>
        </w:tc>
        <w:tc>
          <w:tcPr>
            <w:tcW w:w="3543" w:type="dxa"/>
            <w:hideMark/>
          </w:tcPr>
          <w:p w14:paraId="5B24992F"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log-odds of visiting a private hospital when all predictors = 0.</w:t>
            </w:r>
          </w:p>
        </w:tc>
      </w:tr>
    </w:tbl>
    <w:p w14:paraId="215A530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212FEBAB" w14:textId="77777777" w:rsidR="00180B37" w:rsidRPr="00E01025" w:rsidRDefault="00180B37" w:rsidP="00A72B18">
      <w:pPr>
        <w:spacing w:line="360" w:lineRule="auto"/>
        <w:jc w:val="both"/>
        <w:rPr>
          <w:rFonts w:ascii="Arial" w:hAnsi="Arial" w:cs="Arial"/>
          <w:b/>
          <w:bCs/>
          <w:sz w:val="20"/>
          <w:szCs w:val="20"/>
        </w:rPr>
      </w:pPr>
    </w:p>
    <w:p w14:paraId="4670B47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Residuals and influence:</w:t>
      </w:r>
      <w:r w:rsidRPr="00E01025">
        <w:rPr>
          <w:rFonts w:ascii="Arial" w:hAnsi="Arial" w:cs="Arial"/>
          <w:sz w:val="20"/>
          <w:szCs w:val="20"/>
        </w:rPr>
        <w:t xml:space="preserve"> Deviance and Pearson residuals, along with leverage and Cook’s distance, were examined. All residuals were within ±2 and Cook’s D &lt; 1, indicating </w:t>
      </w:r>
      <w:r w:rsidRPr="00E01025">
        <w:rPr>
          <w:rFonts w:ascii="Arial" w:hAnsi="Arial" w:cs="Arial"/>
          <w:b/>
          <w:bCs/>
          <w:sz w:val="20"/>
          <w:szCs w:val="20"/>
        </w:rPr>
        <w:t>no serious outliers or influential cases</w:t>
      </w:r>
      <w:r w:rsidRPr="00E01025">
        <w:rPr>
          <w:rFonts w:ascii="Arial" w:hAnsi="Arial" w:cs="Arial"/>
          <w:sz w:val="20"/>
          <w:szCs w:val="20"/>
        </w:rPr>
        <w:t>, and confirming that the model estimates are robust.</w:t>
      </w:r>
    </w:p>
    <w:p w14:paraId="6CC84605" w14:textId="77777777" w:rsidR="00180B37" w:rsidRPr="00E01025" w:rsidRDefault="00180B37" w:rsidP="00A72B18">
      <w:pPr>
        <w:spacing w:line="360" w:lineRule="auto"/>
        <w:jc w:val="both"/>
        <w:rPr>
          <w:rFonts w:ascii="Arial" w:hAnsi="Arial" w:cs="Arial"/>
          <w:sz w:val="20"/>
          <w:szCs w:val="20"/>
        </w:rPr>
      </w:pPr>
    </w:p>
    <w:p w14:paraId="5A331345" w14:textId="7C5DE3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sz w:val="20"/>
          <w:szCs w:val="20"/>
        </w:rPr>
        <w:t xml:space="preserve">                                             </w:t>
      </w:r>
      <w:r w:rsidRPr="00E01025">
        <w:rPr>
          <w:rFonts w:ascii="Arial" w:hAnsi="Arial" w:cs="Arial"/>
          <w:b/>
          <w:bCs/>
          <w:sz w:val="20"/>
          <w:szCs w:val="20"/>
        </w:rPr>
        <w:t xml:space="preserve">FIGURE  </w:t>
      </w:r>
      <w:r w:rsidR="00EB6C23">
        <w:rPr>
          <w:rFonts w:ascii="Arial" w:hAnsi="Arial" w:cs="Arial"/>
          <w:b/>
          <w:bCs/>
          <w:sz w:val="20"/>
          <w:szCs w:val="20"/>
        </w:rPr>
        <w:t>1</w:t>
      </w:r>
      <w:r w:rsidRPr="00E01025">
        <w:rPr>
          <w:rFonts w:ascii="Arial" w:hAnsi="Arial" w:cs="Arial"/>
          <w:b/>
          <w:bCs/>
          <w:sz w:val="20"/>
          <w:szCs w:val="20"/>
        </w:rPr>
        <w:t xml:space="preserve"> </w:t>
      </w:r>
      <w:r w:rsidR="00D95ED8">
        <w:rPr>
          <w:rFonts w:ascii="Arial" w:hAnsi="Arial" w:cs="Arial"/>
          <w:b/>
          <w:bCs/>
          <w:sz w:val="20"/>
          <w:szCs w:val="20"/>
        </w:rPr>
        <w:t>-</w:t>
      </w:r>
    </w:p>
    <w:p w14:paraId="747715C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                 Residual Plot of Logistic Regression Model </w:t>
      </w:r>
    </w:p>
    <w:p w14:paraId="178C7494" w14:textId="77777777" w:rsidR="00180B37" w:rsidRPr="00E01025" w:rsidRDefault="00180B37" w:rsidP="00A72B18">
      <w:pPr>
        <w:autoSpaceDE w:val="0"/>
        <w:autoSpaceDN w:val="0"/>
        <w:adjustRightInd w:val="0"/>
        <w:spacing w:after="0" w:line="360" w:lineRule="auto"/>
        <w:jc w:val="both"/>
        <w:rPr>
          <w:rFonts w:ascii="Arial" w:hAnsi="Arial" w:cs="Arial"/>
          <w:color w:val="000000"/>
          <w:kern w:val="0"/>
          <w:sz w:val="20"/>
          <w:szCs w:val="20"/>
        </w:rPr>
      </w:pPr>
    </w:p>
    <w:p w14:paraId="0261053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drawing>
          <wp:inline distT="0" distB="0" distL="0" distR="0" wp14:anchorId="775A4F4F" wp14:editId="5EA17059">
            <wp:extent cx="6172200" cy="2590800"/>
            <wp:effectExtent l="0" t="0" r="0" b="0"/>
            <wp:docPr id="1760598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590800"/>
                    </a:xfrm>
                    <a:prstGeom prst="rect">
                      <a:avLst/>
                    </a:prstGeom>
                    <a:noFill/>
                    <a:ln>
                      <a:noFill/>
                    </a:ln>
                  </pic:spPr>
                </pic:pic>
              </a:graphicData>
            </a:graphic>
          </wp:inline>
        </w:drawing>
      </w:r>
    </w:p>
    <w:p w14:paraId="5F12ED32" w14:textId="77777777" w:rsidR="00180B37" w:rsidRPr="00E01025" w:rsidRDefault="00180B37" w:rsidP="00A72B18">
      <w:pPr>
        <w:spacing w:line="360" w:lineRule="auto"/>
        <w:jc w:val="both"/>
        <w:rPr>
          <w:rFonts w:ascii="Arial" w:hAnsi="Arial" w:cs="Arial"/>
          <w:color w:val="000000" w:themeColor="text1"/>
          <w:sz w:val="20"/>
          <w:szCs w:val="20"/>
        </w:rPr>
      </w:pPr>
      <w:r w:rsidRPr="00E01025">
        <w:rPr>
          <w:rFonts w:ascii="Arial" w:hAnsi="Arial" w:cs="Arial"/>
          <w:color w:val="000000" w:themeColor="text1"/>
          <w:sz w:val="20"/>
          <w:szCs w:val="20"/>
        </w:rPr>
        <w:t>Above graph shows the relationship between predicted probability and standard residuals in a logistic regression model. Predicted probability is on the horizontal axis, and standard residuals are on the vertical axis. Most points cluster near the zero line, indicating accurate model predictions. The residuals are randomly distributed with no clear pattern, suggesting a well-specified model without significant issues. At low and high predicted probabilities, residuals spread wider, which is normal. A few observations have higher residual values but are not extreme outliers. Overall, the graph shows that the model fits the data well, with small, acceptable prediction errors.</w:t>
      </w:r>
    </w:p>
    <w:p w14:paraId="7422708E"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lastRenderedPageBreak/>
        <w:t>To assess healthcare affordability, a binary logistic regression model is employed, where hospital choice serves as the dependent variable. The dependent variable is defined as:</w:t>
      </w:r>
    </w:p>
    <w:p w14:paraId="6844DCD0" w14:textId="77777777" w:rsidR="00180B37" w:rsidRPr="00E01025" w:rsidRDefault="008975B2" w:rsidP="00A72B18">
      <w:pPr>
        <w:spacing w:line="360" w:lineRule="auto"/>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Y</m:t>
              </m:r>
            </m:e>
            <m:sub>
              <m:r>
                <m:rPr>
                  <m:sty m:val="p"/>
                </m:rPr>
                <w:rPr>
                  <w:rFonts w:ascii="Cambria Math" w:hAnsi="Cambria Math" w:cs="Arial"/>
                  <w:sz w:val="20"/>
                  <w:szCs w:val="20"/>
                </w:rPr>
                <m:t>i</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m:rPr>
                        <m:sty m:val="p"/>
                      </m:rPr>
                      <w:rPr>
                        <w:rFonts w:ascii="Cambria Math" w:hAnsi="Cambria Math" w:cs="Arial"/>
                        <w:sz w:val="20"/>
                        <w:szCs w:val="20"/>
                      </w:rPr>
                      <m:t>1,</m:t>
                    </m:r>
                  </m:e>
                  <m:e>
                    <m:r>
                      <m:rPr>
                        <m:nor/>
                      </m:rPr>
                      <w:rPr>
                        <w:rFonts w:ascii="Arial" w:hAnsi="Arial" w:cs="Arial"/>
                        <w:sz w:val="20"/>
                        <w:szCs w:val="20"/>
                      </w:rPr>
                      <m:t>if the household chooses a private hospital</m:t>
                    </m:r>
                  </m:e>
                </m:mr>
                <m:mr>
                  <m:e>
                    <m:r>
                      <m:rPr>
                        <m:sty m:val="p"/>
                      </m:rPr>
                      <w:rPr>
                        <w:rFonts w:ascii="Cambria Math" w:hAnsi="Cambria Math" w:cs="Arial"/>
                        <w:sz w:val="20"/>
                        <w:szCs w:val="20"/>
                      </w:rPr>
                      <m:t>0,</m:t>
                    </m:r>
                  </m:e>
                  <m:e>
                    <m:r>
                      <m:rPr>
                        <m:nor/>
                      </m:rPr>
                      <w:rPr>
                        <w:rFonts w:ascii="Arial" w:hAnsi="Arial" w:cs="Arial"/>
                        <w:sz w:val="20"/>
                        <w:szCs w:val="20"/>
                      </w:rPr>
                      <m:t>if the household chooses a government hospital</m:t>
                    </m:r>
                  </m:e>
                </m:mr>
              </m:m>
            </m:e>
          </m:d>
          <m:r>
            <m:rPr>
              <m:sty m:val="p"/>
            </m:rPr>
            <w:rPr>
              <w:rFonts w:ascii="Cambria Math" w:hAnsi="Cambria Math" w:cs="Arial"/>
              <w:sz w:val="20"/>
              <w:szCs w:val="20"/>
            </w:rPr>
            <w:br/>
          </m:r>
        </m:oMath>
      </m:oMathPara>
    </w:p>
    <w:p w14:paraId="34D800B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Let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oMath>
      <w:r w:rsidRPr="00E01025">
        <w:rPr>
          <w:rFonts w:ascii="Arial" w:hAnsi="Arial" w:cs="Arial"/>
          <w:sz w:val="20"/>
          <w:szCs w:val="20"/>
        </w:rPr>
        <w:t xml:space="preserve">denote the probability that the </w:t>
      </w:r>
      <m:oMath>
        <m:r>
          <m:rPr>
            <m:sty m:val="p"/>
          </m:rPr>
          <w:rPr>
            <w:rFonts w:ascii="Cambria Math" w:hAnsi="Cambria Math" w:cs="Arial"/>
            <w:sz w:val="20"/>
            <w:szCs w:val="20"/>
          </w:rPr>
          <m:t>i</m:t>
        </m:r>
      </m:oMath>
      <w:r w:rsidRPr="00E01025">
        <w:rPr>
          <w:rFonts w:ascii="Arial" w:hAnsi="Arial" w:cs="Arial"/>
          <w:sz w:val="20"/>
          <w:szCs w:val="20"/>
        </w:rPr>
        <w:t>-th household chooses a private hospital. The logistic regression model is specified as:</w:t>
      </w:r>
    </w:p>
    <w:p w14:paraId="5D9F33B5" w14:textId="77777777" w:rsidR="00180B37" w:rsidRPr="00E01025" w:rsidRDefault="00180B37" w:rsidP="00A72B18">
      <w:pPr>
        <w:spacing w:line="360" w:lineRule="auto"/>
        <w:jc w:val="both"/>
        <w:rPr>
          <w:rFonts w:ascii="Arial" w:hAnsi="Arial" w:cs="Arial"/>
          <w:sz w:val="20"/>
          <w:szCs w:val="20"/>
        </w:rPr>
      </w:pPr>
      <m:oMath>
        <m:r>
          <m:rPr>
            <m:sty m:val="b"/>
          </m:rPr>
          <w:rPr>
            <w:rFonts w:ascii="Cambria Math" w:hAnsi="Cambria Math" w:cs="Arial"/>
            <w:sz w:val="20"/>
            <w:szCs w:val="20"/>
          </w:rPr>
          <m:t>ln⁡</m:t>
        </m:r>
        <m:d>
          <m:dPr>
            <m:ctrlPr>
              <w:rPr>
                <w:rFonts w:ascii="Cambria Math" w:hAnsi="Cambria Math" w:cs="Arial"/>
                <w:b/>
                <w:bCs/>
                <w:sz w:val="20"/>
                <w:szCs w:val="20"/>
              </w:rPr>
            </m:ctrlPr>
          </m:dPr>
          <m:e>
            <m:f>
              <m:fPr>
                <m:ctrlPr>
                  <w:rPr>
                    <w:rFonts w:ascii="Cambria Math" w:hAnsi="Cambria Math" w:cs="Arial"/>
                    <w:b/>
                    <w:bCs/>
                    <w:sz w:val="20"/>
                    <w:szCs w:val="20"/>
                  </w:rPr>
                </m:ctrlPr>
              </m:fPr>
              <m:num>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num>
              <m:den>
                <m:r>
                  <m:rPr>
                    <m:sty m:val="b"/>
                  </m:rPr>
                  <w:rPr>
                    <w:rFonts w:ascii="Cambria Math" w:hAnsi="Cambria Math" w:cs="Arial"/>
                    <w:sz w:val="20"/>
                    <w:szCs w:val="20"/>
                  </w:rPr>
                  <m:t>1-</m:t>
                </m:r>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den>
            </m:f>
          </m:e>
        </m:d>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0</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1</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Overall Hospital Expenses</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2</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Household Expenditure</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3</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Main Source of Payment</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ε</m:t>
            </m:r>
          </m:e>
          <m:sub>
            <m:r>
              <m:rPr>
                <m:sty m:val="b"/>
              </m:rPr>
              <w:rPr>
                <w:rFonts w:ascii="Cambria Math" w:hAnsi="Cambria Math" w:cs="Arial"/>
                <w:sz w:val="20"/>
                <w:szCs w:val="20"/>
              </w:rPr>
              <m:t>i</m:t>
            </m:r>
          </m:sub>
        </m:sSub>
      </m:oMath>
      <w:r w:rsidRPr="00E01025">
        <w:rPr>
          <w:rFonts w:ascii="Arial" w:eastAsiaTheme="minorEastAsia" w:hAnsi="Arial" w:cs="Arial"/>
          <w:b/>
          <w:bCs/>
          <w:sz w:val="20"/>
          <w:szCs w:val="20"/>
        </w:rPr>
        <w:t>………………………………….(2)</w:t>
      </w:r>
      <w:r w:rsidRPr="00E01025">
        <w:rPr>
          <w:rFonts w:ascii="Arial" w:hAnsi="Arial" w:cs="Arial"/>
          <w:b/>
          <w:bCs/>
          <w:sz w:val="20"/>
          <w:szCs w:val="20"/>
        </w:rPr>
        <w:br/>
      </w:r>
    </w:p>
    <w:p w14:paraId="3F8F8371" w14:textId="47F038A8" w:rsidR="00180B37" w:rsidRPr="00E01025" w:rsidRDefault="003B5871" w:rsidP="00A72B18">
      <w:pPr>
        <w:spacing w:line="360" w:lineRule="auto"/>
        <w:jc w:val="both"/>
        <w:rPr>
          <w:rFonts w:ascii="Arial" w:hAnsi="Arial" w:cs="Arial"/>
          <w:b/>
          <w:bCs/>
          <w:sz w:val="20"/>
          <w:szCs w:val="20"/>
        </w:rPr>
      </w:pPr>
      <w:r>
        <w:rPr>
          <w:rFonts w:ascii="Arial" w:hAnsi="Arial" w:cs="Arial"/>
          <w:sz w:val="20"/>
          <w:szCs w:val="20"/>
        </w:rPr>
        <w:t xml:space="preserve">The </w:t>
      </w:r>
      <w:r w:rsidR="00180B37" w:rsidRPr="00E01025">
        <w:rPr>
          <w:rFonts w:ascii="Arial" w:hAnsi="Arial" w:cs="Arial"/>
          <w:sz w:val="20"/>
          <w:szCs w:val="20"/>
        </w:rPr>
        <w:t>above equation shows</w:t>
      </w:r>
      <w:r w:rsidR="00180B37" w:rsidRPr="00E01025">
        <w:rPr>
          <w:rFonts w:ascii="Arial" w:hAnsi="Arial" w:cs="Arial"/>
          <w:b/>
          <w:bCs/>
          <w:sz w:val="20"/>
          <w:szCs w:val="20"/>
        </w:rPr>
        <w:t xml:space="preserve"> </w:t>
      </w:r>
      <w:r w:rsidR="00180B37" w:rsidRPr="00E01025">
        <w:rPr>
          <w:rFonts w:ascii="Arial" w:hAnsi="Arial" w:cs="Arial"/>
          <w:sz w:val="20"/>
          <w:szCs w:val="20"/>
        </w:rPr>
        <w:t>that financial accessibility and out-of-pocket expenditures significantly influence hospital choice among rural households. Higher hospital expenses (B = 2.564, p &lt; 0.001, OR = 12.992) and household expenditure (B = 1.541, p = 0.001, OR = 4.671) increase the likelihood of choosing private hospitals. The main source of payment (B = 1.969, p = 0.046, OR = 7.161) further indicates that payment mechanisms and out-of-pocket costs impact healthcare decisions</w:t>
      </w:r>
    </w:p>
    <w:p w14:paraId="7FB253F9" w14:textId="290DE9C3"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br/>
        <w:t>TABLE 3:  Result  Summary</w:t>
      </w:r>
      <w:r w:rsidR="007B1A1F">
        <w:rPr>
          <w:rFonts w:ascii="Arial" w:hAnsi="Arial" w:cs="Arial"/>
          <w:b/>
          <w:bCs/>
          <w:sz w:val="20"/>
          <w:szCs w:val="20"/>
        </w:rPr>
        <w:t xml:space="preserve"> of </w:t>
      </w:r>
      <w:r w:rsidR="007B1A1F" w:rsidRPr="007B1A1F">
        <w:rPr>
          <w:rFonts w:ascii="Arial" w:hAnsi="Arial" w:cs="Arial"/>
          <w:b/>
          <w:bCs/>
          <w:sz w:val="20"/>
          <w:szCs w:val="20"/>
        </w:rPr>
        <w:t>financial accessibility and out-of-pocket expenditures</w:t>
      </w:r>
    </w:p>
    <w:tbl>
      <w:tblPr>
        <w:tblStyle w:val="PlainTable2"/>
        <w:tblpPr w:leftFromText="180" w:rightFromText="180" w:vertAnchor="text" w:horzAnchor="margin" w:tblpXSpec="center" w:tblpY="58"/>
        <w:tblW w:w="9498" w:type="dxa"/>
        <w:tblLook w:val="04A0" w:firstRow="1" w:lastRow="0" w:firstColumn="1" w:lastColumn="0" w:noHBand="0" w:noVBand="1"/>
      </w:tblPr>
      <w:tblGrid>
        <w:gridCol w:w="2015"/>
        <w:gridCol w:w="1104"/>
        <w:gridCol w:w="850"/>
        <w:gridCol w:w="993"/>
        <w:gridCol w:w="4536"/>
      </w:tblGrid>
      <w:tr w:rsidR="00180B37" w:rsidRPr="00E01025" w14:paraId="2BA57487"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C740F"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1104" w:type="dxa"/>
            <w:hideMark/>
          </w:tcPr>
          <w:p w14:paraId="4B0D6659"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850" w:type="dxa"/>
            <w:hideMark/>
          </w:tcPr>
          <w:p w14:paraId="5C1C4AC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993" w:type="dxa"/>
            <w:hideMark/>
          </w:tcPr>
          <w:p w14:paraId="446CD9E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4536" w:type="dxa"/>
            <w:hideMark/>
          </w:tcPr>
          <w:p w14:paraId="1EF1570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0DF5000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41A9D"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Overall Hospital Expenses</w:t>
            </w:r>
          </w:p>
        </w:tc>
        <w:tc>
          <w:tcPr>
            <w:tcW w:w="1104" w:type="dxa"/>
            <w:hideMark/>
          </w:tcPr>
          <w:p w14:paraId="522DBC05"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2.564</w:t>
            </w:r>
          </w:p>
        </w:tc>
        <w:tc>
          <w:tcPr>
            <w:tcW w:w="850" w:type="dxa"/>
            <w:hideMark/>
          </w:tcPr>
          <w:p w14:paraId="3F92F47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03BA561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12.992</w:t>
            </w:r>
          </w:p>
        </w:tc>
        <w:tc>
          <w:tcPr>
            <w:tcW w:w="4536" w:type="dxa"/>
            <w:hideMark/>
          </w:tcPr>
          <w:p w14:paraId="1E85CC2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affordability strongly increases private hospital visits</w:t>
            </w:r>
          </w:p>
        </w:tc>
      </w:tr>
      <w:tr w:rsidR="00180B37" w:rsidRPr="00E01025" w14:paraId="316C5DD7"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0B0EF7EB"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Household Expenditure</w:t>
            </w:r>
          </w:p>
        </w:tc>
        <w:tc>
          <w:tcPr>
            <w:tcW w:w="1104" w:type="dxa"/>
            <w:hideMark/>
          </w:tcPr>
          <w:p w14:paraId="5849B10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1.541</w:t>
            </w:r>
          </w:p>
        </w:tc>
        <w:tc>
          <w:tcPr>
            <w:tcW w:w="850" w:type="dxa"/>
            <w:hideMark/>
          </w:tcPr>
          <w:p w14:paraId="1E18943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993" w:type="dxa"/>
            <w:hideMark/>
          </w:tcPr>
          <w:p w14:paraId="2FFB9AF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4.671</w:t>
            </w:r>
          </w:p>
        </w:tc>
        <w:tc>
          <w:tcPr>
            <w:tcW w:w="4536" w:type="dxa"/>
            <w:hideMark/>
          </w:tcPr>
          <w:p w14:paraId="6274AF0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wealthier households are more likely to visit private hospitals</w:t>
            </w:r>
          </w:p>
        </w:tc>
      </w:tr>
      <w:tr w:rsidR="00180B37" w:rsidRPr="00E01025" w14:paraId="640019C1"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8CBF6"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Main Source of Payment</w:t>
            </w:r>
          </w:p>
        </w:tc>
        <w:tc>
          <w:tcPr>
            <w:tcW w:w="1104" w:type="dxa"/>
            <w:hideMark/>
          </w:tcPr>
          <w:p w14:paraId="5A95617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1.969</w:t>
            </w:r>
          </w:p>
        </w:tc>
        <w:tc>
          <w:tcPr>
            <w:tcW w:w="850" w:type="dxa"/>
            <w:hideMark/>
          </w:tcPr>
          <w:p w14:paraId="2FC864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0.046</w:t>
            </w:r>
          </w:p>
        </w:tc>
        <w:tc>
          <w:tcPr>
            <w:tcW w:w="993" w:type="dxa"/>
            <w:hideMark/>
          </w:tcPr>
          <w:p w14:paraId="35CDE9C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7.161</w:t>
            </w:r>
          </w:p>
        </w:tc>
        <w:tc>
          <w:tcPr>
            <w:tcW w:w="4536" w:type="dxa"/>
            <w:hideMark/>
          </w:tcPr>
          <w:p w14:paraId="378E2A78" w14:textId="3F9058FC"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 method of payment (OOPE) influences hospital choice</w:t>
            </w:r>
          </w:p>
        </w:tc>
      </w:tr>
      <w:tr w:rsidR="00180B37" w:rsidRPr="00E01025" w14:paraId="795430C3"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72E8EAFC"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Constant</w:t>
            </w:r>
          </w:p>
        </w:tc>
        <w:tc>
          <w:tcPr>
            <w:tcW w:w="1104" w:type="dxa"/>
            <w:hideMark/>
          </w:tcPr>
          <w:p w14:paraId="6C8BB8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-7.606</w:t>
            </w:r>
          </w:p>
        </w:tc>
        <w:tc>
          <w:tcPr>
            <w:tcW w:w="850" w:type="dxa"/>
            <w:hideMark/>
          </w:tcPr>
          <w:p w14:paraId="47371F0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28AF2DD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4536" w:type="dxa"/>
            <w:hideMark/>
          </w:tcPr>
          <w:p w14:paraId="637E24B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odds of visiting a private hospital are very low</w:t>
            </w:r>
          </w:p>
        </w:tc>
      </w:tr>
    </w:tbl>
    <w:p w14:paraId="2DDF9B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7656D4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tbl>
      <w:tblPr>
        <w:tblStyle w:val="PlainTable5"/>
        <w:tblW w:w="0" w:type="auto"/>
        <w:tblLook w:val="04A0" w:firstRow="1" w:lastRow="0" w:firstColumn="1" w:lastColumn="0" w:noHBand="0" w:noVBand="1"/>
      </w:tblPr>
      <w:tblGrid>
        <w:gridCol w:w="650"/>
        <w:gridCol w:w="1541"/>
        <w:gridCol w:w="1151"/>
        <w:gridCol w:w="1416"/>
        <w:gridCol w:w="4268"/>
      </w:tblGrid>
      <w:tr w:rsidR="00180B37" w:rsidRPr="00E01025" w14:paraId="41935337"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C1CB384" w14:textId="77777777" w:rsidR="00180B37" w:rsidRPr="00E01025" w:rsidRDefault="00180B37" w:rsidP="00A72B18">
            <w:pPr>
              <w:spacing w:line="360" w:lineRule="auto"/>
              <w:jc w:val="both"/>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Step</w:t>
            </w:r>
          </w:p>
        </w:tc>
        <w:tc>
          <w:tcPr>
            <w:tcW w:w="0" w:type="auto"/>
            <w:hideMark/>
          </w:tcPr>
          <w:p w14:paraId="741FCBDB"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-2 Log Likelihood</w:t>
            </w:r>
          </w:p>
        </w:tc>
        <w:tc>
          <w:tcPr>
            <w:tcW w:w="0" w:type="auto"/>
            <w:hideMark/>
          </w:tcPr>
          <w:p w14:paraId="02DC88F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Cox &amp; Snell R²</w:t>
            </w:r>
          </w:p>
        </w:tc>
        <w:tc>
          <w:tcPr>
            <w:tcW w:w="0" w:type="auto"/>
            <w:hideMark/>
          </w:tcPr>
          <w:p w14:paraId="617F680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Nagelkerke R²</w:t>
            </w:r>
          </w:p>
        </w:tc>
        <w:tc>
          <w:tcPr>
            <w:tcW w:w="0" w:type="auto"/>
            <w:hideMark/>
          </w:tcPr>
          <w:p w14:paraId="6FC7083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Notes</w:t>
            </w:r>
          </w:p>
        </w:tc>
      </w:tr>
      <w:tr w:rsidR="00180B37" w:rsidRPr="00E01025" w14:paraId="605A0FAA"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EC3D05" w14:textId="77777777" w:rsidR="00180B37" w:rsidRPr="00E01025" w:rsidRDefault="00180B37" w:rsidP="00A72B18">
            <w:pPr>
              <w:spacing w:line="360" w:lineRule="auto"/>
              <w:jc w:val="both"/>
              <w:rPr>
                <w:rFonts w:ascii="Arial" w:eastAsia="Times New Roman" w:hAnsi="Arial" w:cs="Arial"/>
                <w:i w:val="0"/>
                <w:iCs w:val="0"/>
                <w:kern w:val="0"/>
                <w:sz w:val="20"/>
                <w:szCs w:val="20"/>
                <w:lang w:eastAsia="en-IN"/>
                <w14:ligatures w14:val="none"/>
              </w:rPr>
            </w:pPr>
            <w:r w:rsidRPr="00E01025">
              <w:rPr>
                <w:rFonts w:ascii="Arial" w:eastAsia="Times New Roman" w:hAnsi="Arial" w:cs="Arial"/>
                <w:i w:val="0"/>
                <w:iCs w:val="0"/>
                <w:kern w:val="0"/>
                <w:sz w:val="20"/>
                <w:szCs w:val="20"/>
                <w:lang w:eastAsia="en-IN"/>
                <w14:ligatures w14:val="none"/>
              </w:rPr>
              <w:t>1</w:t>
            </w:r>
          </w:p>
        </w:tc>
        <w:tc>
          <w:tcPr>
            <w:tcW w:w="0" w:type="auto"/>
            <w:hideMark/>
          </w:tcPr>
          <w:p w14:paraId="40EDD31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84.874</w:t>
            </w:r>
          </w:p>
        </w:tc>
        <w:tc>
          <w:tcPr>
            <w:tcW w:w="0" w:type="auto"/>
            <w:hideMark/>
          </w:tcPr>
          <w:p w14:paraId="7EC6FC6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0.396</w:t>
            </w:r>
          </w:p>
        </w:tc>
        <w:tc>
          <w:tcPr>
            <w:tcW w:w="0" w:type="auto"/>
            <w:hideMark/>
          </w:tcPr>
          <w:p w14:paraId="32CD00D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0.535</w:t>
            </w:r>
          </w:p>
        </w:tc>
        <w:tc>
          <w:tcPr>
            <w:tcW w:w="0" w:type="auto"/>
            <w:hideMark/>
          </w:tcPr>
          <w:p w14:paraId="7DA5E54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Model converged after 6 iterations; shows moderate to strong explanatory power</w:t>
            </w:r>
          </w:p>
        </w:tc>
      </w:tr>
    </w:tbl>
    <w:p w14:paraId="7A17C731"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w:t>
      </w:r>
    </w:p>
    <w:p w14:paraId="7D41AC3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Regression coefficients (B)</w:t>
      </w:r>
      <w:r w:rsidRPr="00E01025">
        <w:rPr>
          <w:rFonts w:ascii="Arial" w:hAnsi="Arial" w:cs="Arial"/>
          <w:sz w:val="20"/>
          <w:szCs w:val="20"/>
        </w:rPr>
        <w:t xml:space="preserve"> – effect size on log-odds scale</w:t>
      </w:r>
    </w:p>
    <w:p w14:paraId="5B78BF4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lastRenderedPageBreak/>
        <w:t>Significance (Sig.)</w:t>
      </w:r>
      <w:r w:rsidRPr="00E01025">
        <w:rPr>
          <w:rFonts w:ascii="Arial" w:hAnsi="Arial" w:cs="Arial"/>
          <w:sz w:val="20"/>
          <w:szCs w:val="20"/>
        </w:rPr>
        <w:t xml:space="preserve"> – which predictors are statistically important</w:t>
      </w:r>
    </w:p>
    <w:p w14:paraId="424EE60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Exp(B)</w:t>
      </w:r>
      <w:r w:rsidRPr="00E01025">
        <w:rPr>
          <w:rFonts w:ascii="Arial" w:hAnsi="Arial" w:cs="Arial"/>
          <w:sz w:val="20"/>
          <w:szCs w:val="20"/>
        </w:rPr>
        <w:t xml:space="preserve"> – odds ratios for interpretation</w:t>
      </w:r>
    </w:p>
    <w:p w14:paraId="67DB6F36"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The logistic regression model analysing hospital selection demonstrates a solid fit and offers moderate to strong explanatory capabilities. The -2 Log Likelihood value of 84.874 indicates an enhancement over the null model, while Cox &amp; Snell R² (0.396) and Nagelkerke R² (0.535) imply that 39–54% of the differences in hospital selection are accounted for by the variables. The model successfully reached convergence after six iterations. In short, financial elements—such as total hospital costs, household spending, and payment methods—play a significant role in determining whether rural households opt for private or public hospitals.</w:t>
      </w:r>
    </w:p>
    <w:p w14:paraId="68464E3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p w14:paraId="6C32BD5C" w14:textId="59EA0AC4"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t xml:space="preserve">                                                      </w:t>
      </w:r>
      <w:r w:rsidRPr="00E01025">
        <w:rPr>
          <w:rFonts w:ascii="Arial" w:hAnsi="Arial" w:cs="Arial"/>
          <w:b/>
          <w:bCs/>
          <w:sz w:val="20"/>
          <w:szCs w:val="20"/>
        </w:rPr>
        <w:t>FIGURE</w:t>
      </w:r>
      <w:r w:rsidR="003B5871">
        <w:rPr>
          <w:rFonts w:ascii="Arial" w:hAnsi="Arial" w:cs="Arial"/>
          <w:b/>
          <w:bCs/>
          <w:sz w:val="20"/>
          <w:szCs w:val="20"/>
        </w:rPr>
        <w:t xml:space="preserve"> </w:t>
      </w:r>
      <w:r w:rsidRPr="00E01025">
        <w:rPr>
          <w:rFonts w:ascii="Arial" w:hAnsi="Arial" w:cs="Arial"/>
          <w:b/>
          <w:bCs/>
          <w:sz w:val="20"/>
          <w:szCs w:val="20"/>
        </w:rPr>
        <w:t xml:space="preserve"> </w:t>
      </w:r>
      <w:r w:rsidR="00EB6C23">
        <w:rPr>
          <w:rFonts w:ascii="Arial" w:hAnsi="Arial" w:cs="Arial"/>
          <w:b/>
          <w:bCs/>
          <w:sz w:val="20"/>
          <w:szCs w:val="20"/>
        </w:rPr>
        <w:t>2</w:t>
      </w:r>
      <w:r w:rsidR="00D95ED8">
        <w:rPr>
          <w:rFonts w:ascii="Arial" w:hAnsi="Arial" w:cs="Arial"/>
          <w:b/>
          <w:bCs/>
          <w:sz w:val="20"/>
          <w:szCs w:val="20"/>
        </w:rPr>
        <w:t>-</w:t>
      </w:r>
    </w:p>
    <w:p w14:paraId="71977385"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Predicted Probability vs Standard Residuals of Logistic Regression Model </w:t>
      </w:r>
    </w:p>
    <w:p w14:paraId="5A37B45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w:t>
      </w:r>
    </w:p>
    <w:p w14:paraId="260D832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kern w:val="0"/>
          <w:sz w:val="20"/>
          <w:szCs w:val="20"/>
        </w:rPr>
        <w:drawing>
          <wp:inline distT="0" distB="0" distL="0" distR="0" wp14:anchorId="726000D6" wp14:editId="680D1145">
            <wp:extent cx="6042660" cy="2331720"/>
            <wp:effectExtent l="0" t="0" r="0" b="0"/>
            <wp:docPr id="543989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2331720"/>
                    </a:xfrm>
                    <a:prstGeom prst="rect">
                      <a:avLst/>
                    </a:prstGeom>
                    <a:noFill/>
                    <a:ln>
                      <a:noFill/>
                    </a:ln>
                  </pic:spPr>
                </pic:pic>
              </a:graphicData>
            </a:graphic>
          </wp:inline>
        </w:drawing>
      </w:r>
    </w:p>
    <w:p w14:paraId="6F6C84EB"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The Above graph shows the relationship between predicted probability (X-axis) and standard residuals (Y-axis) from the logistic regression model in the village healthcare affordability study. The predicted probability indicates the likelihood of choosing a government or private hospital, while standard residuals reflect the difference between observed and predicted values. The model reveals that errors are random and within the acceptable range of –3 to +3, with residuals mostly clustering around zero. This indicates that the model effectively analyses affordability factors, confirming a good fit for the village data in examining hospital choice.</w:t>
      </w:r>
    </w:p>
    <w:p w14:paraId="313415D8"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The Principal Component Analysis</w:t>
      </w:r>
      <w:r w:rsidRPr="00E01025">
        <w:rPr>
          <w:rFonts w:ascii="Arial" w:hAnsi="Arial" w:cs="Arial"/>
          <w:sz w:val="20"/>
          <w:szCs w:val="20"/>
        </w:rPr>
        <w:t xml:space="preserve"> shows that financial accessibility to healthcare in rural areas is shaped by multiple interconnected factors rather than a single issue. High hospital costs and heavy reliance on out-of-pocket expenditure remain the biggest financial challenge for rural households, strongly influencing their choice of healthcare facilities. Although government health schemes are available and many households are aware of them, limited access, low utilisation, and implementation </w:t>
      </w:r>
      <w:r w:rsidRPr="00E01025">
        <w:rPr>
          <w:rFonts w:ascii="Arial" w:hAnsi="Arial" w:cs="Arial"/>
          <w:sz w:val="20"/>
          <w:szCs w:val="20"/>
        </w:rPr>
        <w:lastRenderedPageBreak/>
        <w:t>gaps reduce their effectiveness in providing financial protection. As a result, families often depend on personal savings or borrowing to meet medical expenses. Overall, the findings indicate that improving affordability, strengthening the delivery and utilisation of government health schemes, and reducing dependence on OOPE are crucial for enhancing the financial accessibility of healthcare in rural areas</w:t>
      </w:r>
      <w:r w:rsidRPr="00E01025">
        <w:rPr>
          <w:rFonts w:ascii="Arial" w:hAnsi="Arial" w:cs="Arial"/>
          <w:b/>
          <w:bCs/>
          <w:sz w:val="20"/>
          <w:szCs w:val="20"/>
        </w:rPr>
        <w:t>.</w:t>
      </w:r>
    </w:p>
    <w:p w14:paraId="3636DDA8" w14:textId="1AE6BEF6"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TABLE  </w:t>
      </w:r>
      <w:r w:rsidR="00D95ED8">
        <w:rPr>
          <w:rFonts w:ascii="Arial" w:hAnsi="Arial" w:cs="Arial"/>
          <w:b/>
          <w:bCs/>
          <w:sz w:val="20"/>
          <w:szCs w:val="20"/>
        </w:rPr>
        <w:t>4</w:t>
      </w:r>
      <w:r w:rsidRPr="00E01025">
        <w:rPr>
          <w:rFonts w:ascii="Arial" w:hAnsi="Arial" w:cs="Arial"/>
          <w:b/>
          <w:bCs/>
          <w:sz w:val="20"/>
          <w:szCs w:val="20"/>
        </w:rPr>
        <w:t>: Result Summary of Principal Component Analysis (Financial Accessibility &amp; OOPE)</w:t>
      </w:r>
    </w:p>
    <w:p w14:paraId="71E235D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tbl>
      <w:tblPr>
        <w:tblStyle w:val="PlainTable2"/>
        <w:tblpPr w:leftFromText="180" w:rightFromText="180" w:vertAnchor="text" w:horzAnchor="margin" w:tblpXSpec="center" w:tblpY="145"/>
        <w:tblW w:w="9639" w:type="dxa"/>
        <w:tblLayout w:type="fixed"/>
        <w:tblLook w:val="04A0" w:firstRow="1" w:lastRow="0" w:firstColumn="1" w:lastColumn="0" w:noHBand="0" w:noVBand="1"/>
      </w:tblPr>
      <w:tblGrid>
        <w:gridCol w:w="1418"/>
        <w:gridCol w:w="1417"/>
        <w:gridCol w:w="1124"/>
        <w:gridCol w:w="1363"/>
        <w:gridCol w:w="2191"/>
        <w:gridCol w:w="1985"/>
        <w:gridCol w:w="141"/>
      </w:tblGrid>
      <w:tr w:rsidR="00180B37" w:rsidRPr="00E01025" w14:paraId="38CD6A4A"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0E397C90" w14:textId="77777777" w:rsidR="00180B37" w:rsidRPr="00E01025" w:rsidRDefault="00180B37" w:rsidP="00A72B18">
            <w:pPr>
              <w:spacing w:line="360" w:lineRule="auto"/>
              <w:jc w:val="both"/>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w:t>
            </w:r>
          </w:p>
        </w:tc>
        <w:tc>
          <w:tcPr>
            <w:tcW w:w="1417" w:type="dxa"/>
            <w:hideMark/>
          </w:tcPr>
          <w:p w14:paraId="4E6C5DF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Eigenvalue</w:t>
            </w:r>
          </w:p>
        </w:tc>
        <w:tc>
          <w:tcPr>
            <w:tcW w:w="1124" w:type="dxa"/>
            <w:hideMark/>
          </w:tcPr>
          <w:p w14:paraId="2E5E2C78"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Variance Explained %</w:t>
            </w:r>
          </w:p>
        </w:tc>
        <w:tc>
          <w:tcPr>
            <w:tcW w:w="1363" w:type="dxa"/>
            <w:hideMark/>
          </w:tcPr>
          <w:p w14:paraId="6DDCB99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Cumulative %</w:t>
            </w:r>
          </w:p>
        </w:tc>
        <w:tc>
          <w:tcPr>
            <w:tcW w:w="2191" w:type="dxa"/>
            <w:hideMark/>
          </w:tcPr>
          <w:p w14:paraId="47C94A1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Key Variables Represented</w:t>
            </w:r>
          </w:p>
        </w:tc>
        <w:tc>
          <w:tcPr>
            <w:tcW w:w="2126" w:type="dxa"/>
            <w:gridSpan w:val="2"/>
            <w:hideMark/>
          </w:tcPr>
          <w:p w14:paraId="102D66CC"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Interpretation</w:t>
            </w:r>
          </w:p>
        </w:tc>
      </w:tr>
      <w:tr w:rsidR="00180B37" w:rsidRPr="00E01025" w14:paraId="0820FE6A" w14:textId="77777777" w:rsidTr="00532D98">
        <w:trPr>
          <w:gridAfter w:val="1"/>
          <w:cnfStyle w:val="000000100000" w:firstRow="0" w:lastRow="0" w:firstColumn="0" w:lastColumn="0" w:oddVBand="0" w:evenVBand="0" w:oddHBand="1" w:evenHBand="0" w:firstRowFirstColumn="0" w:firstRowLastColumn="0" w:lastRowFirstColumn="0" w:lastRowLastColumn="0"/>
          <w:wAfter w:w="141" w:type="dxa"/>
        </w:trPr>
        <w:tc>
          <w:tcPr>
            <w:cnfStyle w:val="001000000000" w:firstRow="0" w:lastRow="0" w:firstColumn="1" w:lastColumn="0" w:oddVBand="0" w:evenVBand="0" w:oddHBand="0" w:evenHBand="0" w:firstRowFirstColumn="0" w:firstRowLastColumn="0" w:lastRowFirstColumn="0" w:lastRowLastColumn="0"/>
            <w:tcW w:w="1418" w:type="dxa"/>
            <w:hideMark/>
          </w:tcPr>
          <w:p w14:paraId="3B736BF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1</w:t>
            </w:r>
          </w:p>
        </w:tc>
        <w:tc>
          <w:tcPr>
            <w:tcW w:w="1417" w:type="dxa"/>
            <w:hideMark/>
          </w:tcPr>
          <w:p w14:paraId="5602408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2.518</w:t>
            </w:r>
          </w:p>
        </w:tc>
        <w:tc>
          <w:tcPr>
            <w:tcW w:w="1124" w:type="dxa"/>
            <w:hideMark/>
          </w:tcPr>
          <w:p w14:paraId="2F71FAF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1363" w:type="dxa"/>
            <w:hideMark/>
          </w:tcPr>
          <w:p w14:paraId="42B5CEF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2191" w:type="dxa"/>
            <w:hideMark/>
          </w:tcPr>
          <w:p w14:paraId="53D1AF8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Affordability of hospital expenses, annual healthcare expenditure, type of hospital, and financial challenges</w:t>
            </w:r>
          </w:p>
        </w:tc>
        <w:tc>
          <w:tcPr>
            <w:tcW w:w="1985" w:type="dxa"/>
            <w:hideMark/>
          </w:tcPr>
          <w:p w14:paraId="2E4780B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Represents the hospital cost burden and out-of-pocket expenditure (OOPE) faced by rural households</w:t>
            </w:r>
          </w:p>
        </w:tc>
      </w:tr>
      <w:tr w:rsidR="00180B37" w:rsidRPr="00E01025" w14:paraId="7E77B8DC"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4CCE28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2</w:t>
            </w:r>
          </w:p>
        </w:tc>
        <w:tc>
          <w:tcPr>
            <w:tcW w:w="1417" w:type="dxa"/>
            <w:hideMark/>
          </w:tcPr>
          <w:p w14:paraId="731A38F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1.751</w:t>
            </w:r>
          </w:p>
        </w:tc>
        <w:tc>
          <w:tcPr>
            <w:tcW w:w="1124" w:type="dxa"/>
            <w:hideMark/>
          </w:tcPr>
          <w:p w14:paraId="50084E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15.922</w:t>
            </w:r>
          </w:p>
        </w:tc>
        <w:tc>
          <w:tcPr>
            <w:tcW w:w="1363" w:type="dxa"/>
            <w:hideMark/>
          </w:tcPr>
          <w:p w14:paraId="69B0891B"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38.816</w:t>
            </w:r>
          </w:p>
        </w:tc>
        <w:tc>
          <w:tcPr>
            <w:tcW w:w="2191" w:type="dxa"/>
            <w:hideMark/>
          </w:tcPr>
          <w:p w14:paraId="3488C6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Access to government schemes, satisfaction with financial aspects, cost–quality match</w:t>
            </w:r>
          </w:p>
        </w:tc>
        <w:tc>
          <w:tcPr>
            <w:tcW w:w="2126" w:type="dxa"/>
            <w:gridSpan w:val="2"/>
            <w:hideMark/>
          </w:tcPr>
          <w:p w14:paraId="7E2C2440"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Indicates financial protection, scheme access, and patient satisfaction</w:t>
            </w:r>
          </w:p>
        </w:tc>
      </w:tr>
      <w:tr w:rsidR="00180B37" w:rsidRPr="00E01025" w14:paraId="302FB66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51FBDBD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3</w:t>
            </w:r>
          </w:p>
        </w:tc>
        <w:tc>
          <w:tcPr>
            <w:tcW w:w="1417" w:type="dxa"/>
            <w:hideMark/>
          </w:tcPr>
          <w:p w14:paraId="462C993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1.557</w:t>
            </w:r>
          </w:p>
        </w:tc>
        <w:tc>
          <w:tcPr>
            <w:tcW w:w="1124" w:type="dxa"/>
            <w:hideMark/>
          </w:tcPr>
          <w:p w14:paraId="37FDFC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14.156</w:t>
            </w:r>
          </w:p>
        </w:tc>
        <w:tc>
          <w:tcPr>
            <w:tcW w:w="1363" w:type="dxa"/>
            <w:hideMark/>
          </w:tcPr>
          <w:p w14:paraId="25D895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52.972</w:t>
            </w:r>
          </w:p>
        </w:tc>
        <w:tc>
          <w:tcPr>
            <w:tcW w:w="2191" w:type="dxa"/>
            <w:hideMark/>
          </w:tcPr>
          <w:p w14:paraId="00F5A69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Awareness of government health insurance, utilisation of schemes</w:t>
            </w:r>
          </w:p>
        </w:tc>
        <w:tc>
          <w:tcPr>
            <w:tcW w:w="2126" w:type="dxa"/>
            <w:gridSpan w:val="2"/>
            <w:hideMark/>
          </w:tcPr>
          <w:p w14:paraId="6B04BF6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Shows the gap between awareness and utilisation of government health schemes</w:t>
            </w:r>
          </w:p>
        </w:tc>
      </w:tr>
      <w:tr w:rsidR="00180B37" w:rsidRPr="00E01025" w14:paraId="56C4552B"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31744BB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4</w:t>
            </w:r>
          </w:p>
        </w:tc>
        <w:tc>
          <w:tcPr>
            <w:tcW w:w="1417" w:type="dxa"/>
            <w:hideMark/>
          </w:tcPr>
          <w:p w14:paraId="558A0A0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1.149</w:t>
            </w:r>
          </w:p>
        </w:tc>
        <w:tc>
          <w:tcPr>
            <w:tcW w:w="1124" w:type="dxa"/>
            <w:hideMark/>
          </w:tcPr>
          <w:p w14:paraId="2BAF276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10.446</w:t>
            </w:r>
          </w:p>
        </w:tc>
        <w:tc>
          <w:tcPr>
            <w:tcW w:w="1363" w:type="dxa"/>
            <w:hideMark/>
          </w:tcPr>
          <w:p w14:paraId="7988509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63.418</w:t>
            </w:r>
          </w:p>
        </w:tc>
        <w:tc>
          <w:tcPr>
            <w:tcW w:w="2191" w:type="dxa"/>
            <w:hideMark/>
          </w:tcPr>
          <w:p w14:paraId="7D89BD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Main source of payment, financial challenges, and awareness of assistance</w:t>
            </w:r>
          </w:p>
        </w:tc>
        <w:tc>
          <w:tcPr>
            <w:tcW w:w="2126" w:type="dxa"/>
            <w:gridSpan w:val="2"/>
            <w:hideMark/>
          </w:tcPr>
          <w:p w14:paraId="28300F3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Reflects payment sources and coping mechanisms, such as savings or borrowing</w:t>
            </w:r>
          </w:p>
        </w:tc>
      </w:tr>
    </w:tbl>
    <w:p w14:paraId="4504488F"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50606C0B"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1E1DB086"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7409C5F0" w14:textId="77777777" w:rsidR="00180B37" w:rsidRPr="00E01025" w:rsidRDefault="00180B37" w:rsidP="00A72B18">
      <w:pPr>
        <w:spacing w:line="360" w:lineRule="auto"/>
        <w:rPr>
          <w:rFonts w:ascii="Arial" w:hAnsi="Arial" w:cs="Arial"/>
          <w:b/>
          <w:bCs/>
          <w:sz w:val="20"/>
          <w:szCs w:val="20"/>
        </w:rPr>
      </w:pPr>
      <w:r w:rsidRPr="00E01025">
        <w:rPr>
          <w:rFonts w:ascii="Arial" w:hAnsi="Arial" w:cs="Arial"/>
          <w:b/>
          <w:bCs/>
          <w:sz w:val="20"/>
          <w:szCs w:val="20"/>
        </w:rPr>
        <w:t>Extraction Method:</w:t>
      </w:r>
      <w:r w:rsidRPr="00E01025">
        <w:rPr>
          <w:rFonts w:ascii="Arial" w:hAnsi="Arial" w:cs="Arial"/>
          <w:sz w:val="20"/>
          <w:szCs w:val="20"/>
        </w:rPr>
        <w:t xml:space="preserve"> Principal Component Analysis</w:t>
      </w:r>
      <w:r w:rsidRPr="00E01025">
        <w:rPr>
          <w:rFonts w:ascii="Arial" w:hAnsi="Arial" w:cs="Arial"/>
          <w:sz w:val="20"/>
          <w:szCs w:val="20"/>
        </w:rPr>
        <w:br/>
      </w:r>
      <w:r w:rsidRPr="00E01025">
        <w:rPr>
          <w:rFonts w:ascii="Arial" w:hAnsi="Arial" w:cs="Arial"/>
          <w:b/>
          <w:bCs/>
          <w:sz w:val="20"/>
          <w:szCs w:val="20"/>
        </w:rPr>
        <w:t>Total Variance Explained by 4 Components:</w:t>
      </w:r>
      <w:r w:rsidRPr="00E01025">
        <w:rPr>
          <w:rFonts w:ascii="Arial" w:hAnsi="Arial" w:cs="Arial"/>
          <w:sz w:val="20"/>
          <w:szCs w:val="20"/>
        </w:rPr>
        <w:t xml:space="preserve"> </w:t>
      </w:r>
      <w:r w:rsidRPr="00E01025">
        <w:rPr>
          <w:rFonts w:ascii="Arial" w:hAnsi="Arial" w:cs="Arial"/>
          <w:b/>
          <w:bCs/>
          <w:sz w:val="20"/>
          <w:szCs w:val="20"/>
        </w:rPr>
        <w:t>63.42%</w:t>
      </w:r>
    </w:p>
    <w:p w14:paraId="35FB9068" w14:textId="174997CC"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FIGURE </w:t>
      </w:r>
      <w:r w:rsidR="00EB6C23">
        <w:rPr>
          <w:rFonts w:ascii="Arial" w:hAnsi="Arial" w:cs="Arial"/>
          <w:b/>
          <w:bCs/>
          <w:sz w:val="20"/>
          <w:szCs w:val="20"/>
        </w:rPr>
        <w:t>3</w:t>
      </w:r>
      <w:r w:rsidR="00D95ED8">
        <w:rPr>
          <w:rFonts w:ascii="Arial" w:hAnsi="Arial" w:cs="Arial"/>
          <w:b/>
          <w:bCs/>
          <w:sz w:val="20"/>
          <w:szCs w:val="20"/>
        </w:rPr>
        <w:t>-</w:t>
      </w:r>
    </w:p>
    <w:p w14:paraId="0EDFC851"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Scree Plot of Principal Component Analysis </w:t>
      </w:r>
    </w:p>
    <w:p w14:paraId="3A14796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lastRenderedPageBreak/>
        <w:drawing>
          <wp:inline distT="0" distB="0" distL="0" distR="0" wp14:anchorId="585C63E6" wp14:editId="43F979A1">
            <wp:extent cx="5547360" cy="2910840"/>
            <wp:effectExtent l="0" t="0" r="0" b="3810"/>
            <wp:docPr id="14805503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360" cy="2910840"/>
                    </a:xfrm>
                    <a:prstGeom prst="rect">
                      <a:avLst/>
                    </a:prstGeom>
                    <a:noFill/>
                    <a:ln>
                      <a:noFill/>
                    </a:ln>
                  </pic:spPr>
                </pic:pic>
              </a:graphicData>
            </a:graphic>
          </wp:inline>
        </w:drawing>
      </w:r>
    </w:p>
    <w:p w14:paraId="3E835F0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This scree plot shows how much information each component explains. The first three components have high eigenvalues and explain most of the data variation. After the third component, the line becomes almost flat, which means the remaining components add very little information. Therefore, only the first three components are important and should be kept for further analysis.</w:t>
      </w:r>
    </w:p>
    <w:p w14:paraId="50E1893A" w14:textId="77777777" w:rsidR="00180B37" w:rsidRPr="00E01025" w:rsidRDefault="00180B37" w:rsidP="00A72B18">
      <w:pPr>
        <w:spacing w:line="360" w:lineRule="auto"/>
        <w:jc w:val="both"/>
        <w:rPr>
          <w:rFonts w:ascii="Arial" w:hAnsi="Arial" w:cs="Arial"/>
          <w:sz w:val="20"/>
          <w:szCs w:val="20"/>
        </w:rPr>
      </w:pPr>
    </w:p>
    <w:p w14:paraId="74EB9A68" w14:textId="77777777" w:rsidR="00180B37" w:rsidRPr="00924949" w:rsidRDefault="00180B37" w:rsidP="00A72B18">
      <w:pPr>
        <w:spacing w:line="360" w:lineRule="auto"/>
        <w:jc w:val="both"/>
        <w:rPr>
          <w:rFonts w:ascii="Arial" w:hAnsi="Arial" w:cs="Arial"/>
          <w:sz w:val="20"/>
          <w:szCs w:val="20"/>
        </w:rPr>
      </w:pPr>
    </w:p>
    <w:p w14:paraId="054ED0D8" w14:textId="573EEFF7" w:rsidR="00924949" w:rsidRPr="00924949" w:rsidRDefault="00607D89" w:rsidP="00A72B18">
      <w:pPr>
        <w:numPr>
          <w:ilvl w:val="0"/>
          <w:numId w:val="3"/>
        </w:numPr>
        <w:spacing w:line="360" w:lineRule="auto"/>
        <w:jc w:val="both"/>
        <w:rPr>
          <w:rFonts w:ascii="Arial" w:hAnsi="Arial" w:cs="Arial"/>
          <w:b/>
          <w:bCs/>
        </w:rPr>
      </w:pPr>
      <w:r>
        <w:rPr>
          <w:rFonts w:ascii="Arial" w:hAnsi="Arial" w:cs="Arial"/>
          <w:b/>
          <w:bCs/>
        </w:rPr>
        <w:t>RESULT</w:t>
      </w:r>
      <w:r w:rsidR="00532D98">
        <w:rPr>
          <w:rFonts w:ascii="Arial" w:hAnsi="Arial" w:cs="Arial"/>
          <w:b/>
          <w:bCs/>
        </w:rPr>
        <w:t xml:space="preserve"> &amp; </w:t>
      </w:r>
      <w:r w:rsidR="00614068">
        <w:rPr>
          <w:rFonts w:ascii="Arial" w:hAnsi="Arial" w:cs="Arial"/>
          <w:b/>
          <w:bCs/>
        </w:rPr>
        <w:t xml:space="preserve">DISCUSSION </w:t>
      </w:r>
    </w:p>
    <w:p w14:paraId="67B81F14" w14:textId="456D17DA"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Micro-level evidence from rural Uttar Pradesh indicates that healthcare utilisation is primarily driven by education, household expenditure, and affordability-related factors rather than occupation alone. The first equation of the binary logistic regression demonstrates that education significantly increases the likelihood of private healthcare utilisation. Educated households may prefer private healthcare due to timely services, superior infrastructure, and perceived quality, which in turn increases the costs associated with private hospitals and results in higher out-of-pocket health expenditure. These findings support human capital theory by highlighting the role of education in healthcare decision-making. Overall, the results confirm that financial accessibility in rural areas is mainly determined by economic capacity and educational attainment, rather than employment status. This trend contributes to increased financial burden through out-of-pocket expenditure (OOPE), while occupation appears to play a minor role. These results are consistent with earlier studies in India </w:t>
      </w:r>
      <w:r w:rsidRPr="00E01025">
        <w:rPr>
          <w:rFonts w:ascii="Arial" w:hAnsi="Arial" w:cs="Arial"/>
          <w:b/>
          <w:bCs/>
          <w:sz w:val="20"/>
          <w:szCs w:val="20"/>
        </w:rPr>
        <w:t xml:space="preserve">(Pranjal et al., 2012; </w:t>
      </w:r>
      <w:proofErr w:type="spellStart"/>
      <w:r w:rsidRPr="00E01025">
        <w:rPr>
          <w:rFonts w:ascii="Arial" w:hAnsi="Arial" w:cs="Arial"/>
          <w:b/>
          <w:bCs/>
          <w:sz w:val="20"/>
          <w:szCs w:val="20"/>
        </w:rPr>
        <w:t>Balarajan</w:t>
      </w:r>
      <w:proofErr w:type="spellEnd"/>
      <w:r w:rsidRPr="00E01025">
        <w:rPr>
          <w:rFonts w:ascii="Arial" w:hAnsi="Arial" w:cs="Arial"/>
          <w:b/>
          <w:bCs/>
          <w:sz w:val="20"/>
          <w:szCs w:val="20"/>
        </w:rPr>
        <w:t xml:space="preserve"> et al., 2011),</w:t>
      </w:r>
      <w:r w:rsidRPr="00E01025">
        <w:rPr>
          <w:rFonts w:ascii="Arial" w:hAnsi="Arial" w:cs="Arial"/>
          <w:sz w:val="20"/>
          <w:szCs w:val="20"/>
        </w:rPr>
        <w:t xml:space="preserve"> which demonstrate that education and economic capacity significantly influence healthcare-seeking behaviours and financial access in rural areas. The affordability-based logistic regression model further reinforces these conclusions. Overall hospital expenses, household expenditure, and the main source of payment significantly increase the likelihood of private hospital utilisation. The strong positive effect of hospital expenses indicates that households choosing private healthcare incur substantially higher costs, underscoring the financial burden associated with private sector dominance. </w:t>
      </w:r>
      <w:r w:rsidRPr="00E01025">
        <w:rPr>
          <w:rFonts w:ascii="Arial" w:hAnsi="Arial" w:cs="Arial"/>
          <w:sz w:val="20"/>
          <w:szCs w:val="20"/>
        </w:rPr>
        <w:lastRenderedPageBreak/>
        <w:t>The significance of the main source of payment confirms that reliance on out-of-pocket payments remains central to healthcare financing in rural areas, reflecting weak financial protection and limited utilisation of insurance or government schemes</w:t>
      </w:r>
      <w:r w:rsidR="004B69F3">
        <w:rPr>
          <w:rFonts w:ascii="Arial" w:hAnsi="Arial" w:cs="Arial"/>
          <w:sz w:val="20"/>
          <w:szCs w:val="20"/>
        </w:rPr>
        <w:t>. These results emphasize that out-of-pocket expenses pose a significant barrier to achieving equitable access to healthcare.</w:t>
      </w:r>
    </w:p>
    <w:p w14:paraId="1D8D3FB3" w14:textId="77777777" w:rsidR="00180B37" w:rsidRPr="00E01025" w:rsidRDefault="00180B37" w:rsidP="00A72B18">
      <w:pPr>
        <w:spacing w:line="360" w:lineRule="auto"/>
        <w:jc w:val="both"/>
        <w:rPr>
          <w:rFonts w:ascii="Arial" w:hAnsi="Arial" w:cs="Arial"/>
          <w:vanish/>
          <w:sz w:val="20"/>
          <w:szCs w:val="20"/>
        </w:rPr>
      </w:pPr>
    </w:p>
    <w:p w14:paraId="4ED16C0D"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Overall, the utilization of private healthcare is concentrated among educated individuals, and higher household expenditures exacerbate inequalities in access and financial burdens. The ongoing reliance on out-of-pocket expenses widens the gap due to limited insurance coverage and insufficient use of government health schemes.</w:t>
      </w:r>
    </w:p>
    <w:p w14:paraId="532B0723" w14:textId="77777777" w:rsidR="00180B37" w:rsidRPr="00E01025" w:rsidRDefault="00180B37" w:rsidP="00A72B18">
      <w:pPr>
        <w:spacing w:line="360" w:lineRule="auto"/>
        <w:jc w:val="both"/>
        <w:rPr>
          <w:rFonts w:ascii="Arial" w:hAnsi="Arial" w:cs="Arial"/>
          <w:vanish/>
          <w:sz w:val="20"/>
          <w:szCs w:val="20"/>
        </w:rPr>
      </w:pPr>
    </w:p>
    <w:p w14:paraId="34BDB071"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Policy interventions should prioritize strengthening public healthcare infrastructure, ensuring the consistent availability of medicines and diagnostic services, and reducing indirect costs. Improving awareness and the effective implementation of government health insurance schemes is crucial to decreasing dependence on out-of-pocket expenses. Additionally, enhancing the quality of services in government hospitals can help bridge the perceived gap between public and private healthcare providers, thereby promoting equitable and financially protected access to healthcare in rural areas.</w:t>
      </w:r>
    </w:p>
    <w:p w14:paraId="6C26BA03" w14:textId="77777777" w:rsidR="00180B37" w:rsidRPr="00E01025" w:rsidRDefault="00180B37" w:rsidP="00A72B18">
      <w:pPr>
        <w:spacing w:line="360" w:lineRule="auto"/>
        <w:jc w:val="both"/>
        <w:rPr>
          <w:rFonts w:ascii="Arial" w:hAnsi="Arial" w:cs="Arial"/>
          <w:vanish/>
          <w:sz w:val="20"/>
          <w:szCs w:val="20"/>
        </w:rPr>
      </w:pPr>
    </w:p>
    <w:p w14:paraId="24BAF290"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 xml:space="preserve">Government hospitals continue to serve as a vital financial safety net for low-income households. However, indirect costs, shortages of medicines, and limited diagnostic facilities diminish their effectiveness in ensuring equitable access. The persistence of high out-of-pocket expenses and reliance on private healthcare highlights that existing financial protection mechanisms, including government health insurance schemes, are either underutilized or inadequately implemented at the grassroots level. </w:t>
      </w:r>
    </w:p>
    <w:p w14:paraId="32F84053" w14:textId="77777777" w:rsidR="00180B37" w:rsidRPr="00E01025" w:rsidRDefault="00180B37" w:rsidP="00A72B18">
      <w:pPr>
        <w:spacing w:line="360" w:lineRule="auto"/>
        <w:jc w:val="both"/>
        <w:rPr>
          <w:rFonts w:ascii="Arial" w:hAnsi="Arial" w:cs="Arial"/>
          <w:vanish/>
          <w:sz w:val="20"/>
          <w:szCs w:val="20"/>
        </w:rPr>
      </w:pPr>
    </w:p>
    <w:p w14:paraId="21A55E0D" w14:textId="77777777" w:rsidR="00614068" w:rsidRDefault="00806BD1" w:rsidP="00806BD1">
      <w:pPr>
        <w:spacing w:line="360" w:lineRule="auto"/>
        <w:jc w:val="both"/>
        <w:rPr>
          <w:rFonts w:ascii="Arial" w:hAnsi="Arial" w:cs="Arial"/>
          <w:sz w:val="20"/>
          <w:szCs w:val="20"/>
        </w:rPr>
      </w:pPr>
      <w:r w:rsidRPr="00806BD1">
        <w:rPr>
          <w:rFonts w:ascii="Arial" w:hAnsi="Arial" w:cs="Arial"/>
          <w:sz w:val="20"/>
          <w:szCs w:val="20"/>
        </w:rPr>
        <w:t>The Principal Component Analysis (PCA) reveals that financial accessibility in rural areas is a complex issue influenced by hospital costs, out-of-pocket expenses (OOPE), scheme-related protections, awareness gaps, and household coping strategies. Utilisation of private healthcare is primarily among educated individuals, while high household expenditures increase access inequalities. The reliance on OOPE highlights insufficient insurance coverage and underutilised government health schemes.</w:t>
      </w:r>
      <w:r>
        <w:rPr>
          <w:rFonts w:ascii="Arial" w:hAnsi="Arial" w:cs="Arial"/>
          <w:sz w:val="20"/>
          <w:szCs w:val="20"/>
        </w:rPr>
        <w:t xml:space="preserve"> </w:t>
      </w:r>
    </w:p>
    <w:p w14:paraId="31FDB9BB" w14:textId="7BED577C" w:rsidR="00614068" w:rsidRPr="007E1A6F" w:rsidRDefault="00614068" w:rsidP="007E1A6F">
      <w:pPr>
        <w:pStyle w:val="ListParagraph"/>
        <w:numPr>
          <w:ilvl w:val="0"/>
          <w:numId w:val="3"/>
        </w:numPr>
        <w:spacing w:line="360" w:lineRule="auto"/>
        <w:jc w:val="both"/>
        <w:rPr>
          <w:rFonts w:ascii="Arial" w:hAnsi="Arial" w:cs="Arial"/>
          <w:b/>
          <w:bCs/>
        </w:rPr>
      </w:pPr>
      <w:r w:rsidRPr="007E1A6F">
        <w:rPr>
          <w:rFonts w:ascii="Arial" w:hAnsi="Arial" w:cs="Arial"/>
          <w:b/>
          <w:bCs/>
        </w:rPr>
        <w:t xml:space="preserve"> CONCLUSION &amp; POLICY IMPLICATIONS</w:t>
      </w:r>
    </w:p>
    <w:p w14:paraId="3D3ECBF5" w14:textId="07004EB8" w:rsidR="00180B37" w:rsidRPr="00614068" w:rsidRDefault="00614068" w:rsidP="00806BD1">
      <w:pPr>
        <w:spacing w:line="360" w:lineRule="auto"/>
        <w:jc w:val="both"/>
        <w:rPr>
          <w:rFonts w:ascii="Arial" w:hAnsi="Arial" w:cs="Arial"/>
          <w:sz w:val="20"/>
          <w:szCs w:val="20"/>
        </w:rPr>
      </w:pPr>
      <w:r w:rsidRPr="00614068">
        <w:rPr>
          <w:rFonts w:ascii="Arial" w:hAnsi="Arial" w:cs="Arial"/>
          <w:sz w:val="20"/>
          <w:szCs w:val="20"/>
        </w:rPr>
        <w:t>Th</w:t>
      </w:r>
      <w:r>
        <w:rPr>
          <w:rFonts w:ascii="Arial" w:hAnsi="Arial" w:cs="Arial"/>
          <w:sz w:val="20"/>
          <w:szCs w:val="20"/>
        </w:rPr>
        <w:t>is</w:t>
      </w:r>
      <w:r w:rsidRPr="00614068">
        <w:rPr>
          <w:rFonts w:ascii="Arial" w:hAnsi="Arial" w:cs="Arial"/>
          <w:sz w:val="20"/>
          <w:szCs w:val="20"/>
        </w:rPr>
        <w:t xml:space="preserve"> study concludes that healthcare utilisation in rural Uttar Pradesh is strongly influenced by education, household expenditure, and affordability-related factors. Higher educational attainment and economic capacity increase the likelihood of private healthcare utilisation, which in turn intensifies the financial burden through out-of-pocket expenditure. Despite the presence of government health schemes, weak implementation, low awareness, and limited utilisation reduce their effectiveness in providing financial protection.</w:t>
      </w:r>
      <w:r w:rsidR="007E1A6F">
        <w:rPr>
          <w:rFonts w:ascii="Arial" w:hAnsi="Arial" w:cs="Arial"/>
          <w:sz w:val="20"/>
          <w:szCs w:val="20"/>
        </w:rPr>
        <w:t xml:space="preserve"> </w:t>
      </w:r>
      <w:r w:rsidR="00806BD1" w:rsidRPr="00806BD1">
        <w:rPr>
          <w:rFonts w:ascii="Arial" w:hAnsi="Arial" w:cs="Arial"/>
          <w:sz w:val="20"/>
          <w:szCs w:val="20"/>
        </w:rPr>
        <w:t>To improve financial accessibility, policy interventions should focus on strengthening public healthcare infrastructure, ensuring consistent availability of medicines and services, and reducing indirect costs. Raising awareness and enhancing government health insurance implementation is crucial to lessen dependence on OOPE. Furthermore, improving government hospital services can bridge the gap between public and private care, promoting equitable access. Despite serving as a financial safety net for low-income households, government hospitals face challenges like indirect costs and medicine shortages. The persistence of high OOPE indicates flaws in current financial protection mechanisms. This study highlights the need for integrated policy approaches to achieve equitable healthcare access in rural India.</w:t>
      </w:r>
    </w:p>
    <w:p w14:paraId="19747895" w14:textId="77777777" w:rsidR="00A72B18" w:rsidRDefault="00A72B18" w:rsidP="00A72B18">
      <w:pPr>
        <w:spacing w:line="360" w:lineRule="auto"/>
        <w:jc w:val="both"/>
        <w:rPr>
          <w:rFonts w:ascii="Arial" w:hAnsi="Arial" w:cs="Arial"/>
          <w:sz w:val="20"/>
          <w:szCs w:val="20"/>
        </w:rPr>
      </w:pPr>
    </w:p>
    <w:p w14:paraId="2DE8ACD7" w14:textId="77777777" w:rsidR="00A72B18" w:rsidRDefault="00A72B18" w:rsidP="00A72B18">
      <w:pPr>
        <w:spacing w:line="360" w:lineRule="auto"/>
        <w:jc w:val="both"/>
        <w:rPr>
          <w:rFonts w:ascii="Arial" w:hAnsi="Arial" w:cs="Arial"/>
          <w:sz w:val="20"/>
          <w:szCs w:val="20"/>
        </w:rPr>
      </w:pPr>
    </w:p>
    <w:p w14:paraId="4F9F2728" w14:textId="77777777" w:rsidR="00A72B18" w:rsidRDefault="00A72B18" w:rsidP="00A72B18">
      <w:pPr>
        <w:spacing w:line="360" w:lineRule="auto"/>
        <w:jc w:val="both"/>
        <w:rPr>
          <w:rFonts w:ascii="Arial" w:hAnsi="Arial" w:cs="Arial"/>
          <w:sz w:val="20"/>
          <w:szCs w:val="20"/>
        </w:rPr>
      </w:pPr>
    </w:p>
    <w:p w14:paraId="5C0E8ACD" w14:textId="77777777" w:rsidR="00A72B18" w:rsidRDefault="00A72B18" w:rsidP="00A72B18">
      <w:pPr>
        <w:spacing w:line="360" w:lineRule="auto"/>
        <w:jc w:val="both"/>
        <w:rPr>
          <w:rFonts w:ascii="Arial" w:hAnsi="Arial" w:cs="Arial"/>
          <w:sz w:val="20"/>
          <w:szCs w:val="20"/>
        </w:rPr>
      </w:pPr>
    </w:p>
    <w:p w14:paraId="26865A16" w14:textId="77777777"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COMPETING INTERESTS</w:t>
      </w:r>
      <w:r w:rsidRPr="00E01025">
        <w:rPr>
          <w:rFonts w:ascii="Arial" w:hAnsi="Arial" w:cs="Arial"/>
          <w:sz w:val="20"/>
          <w:szCs w:val="20"/>
        </w:rPr>
        <w:t xml:space="preserve">: </w:t>
      </w:r>
      <w:r w:rsidRPr="00924949">
        <w:rPr>
          <w:rFonts w:ascii="Arial" w:hAnsi="Arial" w:cs="Arial"/>
          <w:sz w:val="20"/>
          <w:szCs w:val="20"/>
        </w:rPr>
        <w:t>The author declares no competing interests.</w:t>
      </w:r>
    </w:p>
    <w:p w14:paraId="2A711278" w14:textId="64FFBED5" w:rsidR="00547E2F" w:rsidRDefault="00E01025" w:rsidP="00A72B18">
      <w:pPr>
        <w:spacing w:line="360" w:lineRule="auto"/>
        <w:jc w:val="both"/>
        <w:rPr>
          <w:rFonts w:ascii="Arial" w:hAnsi="Arial" w:cs="Arial"/>
          <w:sz w:val="20"/>
          <w:szCs w:val="20"/>
        </w:rPr>
      </w:pPr>
      <w:r w:rsidRPr="00924949">
        <w:rPr>
          <w:rFonts w:ascii="Arial" w:hAnsi="Arial" w:cs="Arial"/>
          <w:sz w:val="20"/>
          <w:szCs w:val="20"/>
        </w:rPr>
        <w:t>ETHICAL APPROVAL</w:t>
      </w:r>
      <w:r w:rsidR="00547E2F">
        <w:rPr>
          <w:rFonts w:ascii="Arial" w:hAnsi="Arial" w:cs="Arial"/>
          <w:sz w:val="20"/>
          <w:szCs w:val="20"/>
        </w:rPr>
        <w:t xml:space="preserve"> AND C</w:t>
      </w:r>
      <w:r w:rsidR="00547E2F" w:rsidRPr="00547E2F">
        <w:rPr>
          <w:rFonts w:ascii="Arial" w:hAnsi="Arial" w:cs="Arial"/>
          <w:sz w:val="20"/>
          <w:szCs w:val="20"/>
        </w:rPr>
        <w:t>onsent</w:t>
      </w:r>
      <w:r w:rsidRPr="00E01025">
        <w:rPr>
          <w:rFonts w:ascii="Arial" w:hAnsi="Arial" w:cs="Arial"/>
          <w:sz w:val="20"/>
          <w:szCs w:val="20"/>
        </w:rPr>
        <w:t xml:space="preserve">: </w:t>
      </w:r>
    </w:p>
    <w:p w14:paraId="41FA8E46" w14:textId="1E3CF96F" w:rsidR="00547E2F" w:rsidRDefault="00547E2F" w:rsidP="00A72B18">
      <w:pPr>
        <w:spacing w:line="360" w:lineRule="auto"/>
        <w:jc w:val="both"/>
        <w:rPr>
          <w:rFonts w:ascii="Arial" w:hAnsi="Arial" w:cs="Arial"/>
          <w:sz w:val="20"/>
          <w:szCs w:val="20"/>
        </w:rPr>
      </w:pPr>
      <w:r w:rsidRPr="00547E2F">
        <w:rPr>
          <w:rFonts w:ascii="Arial" w:hAnsi="Arial" w:cs="Arial"/>
          <w:sz w:val="20"/>
          <w:szCs w:val="20"/>
        </w:rPr>
        <w:t>As per international standards or university standards written ethical approval has been collected and preserved by the author(s).</w:t>
      </w:r>
    </w:p>
    <w:p w14:paraId="0B3AD2AB" w14:textId="4EDE51F2"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Informed consent was obtained from all participants, and confidentiality was maintained throughout the study.</w:t>
      </w:r>
    </w:p>
    <w:p w14:paraId="3EC382C1" w14:textId="77777777" w:rsidR="00180B37" w:rsidRPr="00E01025" w:rsidRDefault="00180B37" w:rsidP="00A72B18">
      <w:pPr>
        <w:spacing w:line="360" w:lineRule="auto"/>
        <w:jc w:val="both"/>
        <w:rPr>
          <w:rFonts w:ascii="Arial" w:hAnsi="Arial" w:cs="Arial"/>
          <w:sz w:val="20"/>
          <w:szCs w:val="20"/>
        </w:rPr>
      </w:pPr>
    </w:p>
    <w:p w14:paraId="5B8286EE" w14:textId="77777777" w:rsidR="009869ED" w:rsidRPr="00CA3906" w:rsidRDefault="009869ED" w:rsidP="009869ED">
      <w:pPr>
        <w:rPr>
          <w:b/>
          <w:highlight w:val="yellow"/>
        </w:rPr>
      </w:pPr>
      <w:r w:rsidRPr="00CA3906">
        <w:rPr>
          <w:b/>
          <w:highlight w:val="yellow"/>
        </w:rPr>
        <w:lastRenderedPageBreak/>
        <w:t>Disclaimer (Artificial intelligence)</w:t>
      </w:r>
    </w:p>
    <w:p w14:paraId="397F4EB3" w14:textId="77777777" w:rsidR="009869ED" w:rsidRPr="00740879" w:rsidRDefault="009869ED" w:rsidP="009869E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D7BF323" w14:textId="77777777" w:rsidR="00180B37" w:rsidRPr="00E01025" w:rsidRDefault="00180B37" w:rsidP="00A72B18">
      <w:pPr>
        <w:spacing w:line="360" w:lineRule="auto"/>
        <w:jc w:val="both"/>
        <w:rPr>
          <w:rFonts w:ascii="Arial" w:hAnsi="Arial" w:cs="Arial"/>
          <w:sz w:val="20"/>
          <w:szCs w:val="20"/>
        </w:rPr>
      </w:pPr>
    </w:p>
    <w:p w14:paraId="58361573"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4B7D2B26"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6A2AEC39" w14:textId="1960C76C"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REFERENCES</w:t>
      </w:r>
    </w:p>
    <w:p w14:paraId="4E3F4315"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color w:val="000000" w:themeColor="text1"/>
          <w:sz w:val="20"/>
          <w:szCs w:val="20"/>
        </w:rPr>
        <w:t>Balarajan</w:t>
      </w:r>
      <w:proofErr w:type="spellEnd"/>
      <w:r w:rsidRPr="00E01025">
        <w:rPr>
          <w:rFonts w:ascii="Arial" w:hAnsi="Arial" w:cs="Arial"/>
          <w:color w:val="000000" w:themeColor="text1"/>
          <w:sz w:val="20"/>
          <w:szCs w:val="20"/>
        </w:rPr>
        <w:t xml:space="preserve">, Y., Selvaraj, S., &amp; Subramanian, S. V. (2011). Health care and equity in India. </w:t>
      </w:r>
      <w:r w:rsidRPr="00E01025">
        <w:rPr>
          <w:rFonts w:ascii="Arial" w:hAnsi="Arial" w:cs="Arial"/>
          <w:i/>
          <w:iCs/>
          <w:color w:val="000000" w:themeColor="text1"/>
          <w:sz w:val="20"/>
          <w:szCs w:val="20"/>
        </w:rPr>
        <w:t>The Lancet, 377</w:t>
      </w:r>
      <w:r w:rsidRPr="00E01025">
        <w:rPr>
          <w:rFonts w:ascii="Arial" w:hAnsi="Arial" w:cs="Arial"/>
          <w:color w:val="000000" w:themeColor="text1"/>
          <w:sz w:val="20"/>
          <w:szCs w:val="20"/>
        </w:rPr>
        <w:t>(9764), 505–515. https://doi.org/10.1016/S0140-6736(10)61894-6</w:t>
      </w:r>
    </w:p>
    <w:p w14:paraId="6BFD539E"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 33</w:t>
      </w:r>
      <w:r w:rsidRPr="00E01025">
        <w:rPr>
          <w:rFonts w:ascii="Arial" w:hAnsi="Arial" w:cs="Arial"/>
          <w:color w:val="000000" w:themeColor="text1"/>
          <w:sz w:val="20"/>
          <w:szCs w:val="20"/>
        </w:rPr>
        <w:t xml:space="preserve">(7), 914–924. </w:t>
      </w:r>
      <w:hyperlink r:id="rId11" w:tgtFrame="_new" w:history="1">
        <w:r w:rsidRPr="00E01025">
          <w:rPr>
            <w:rStyle w:val="Hyperlink"/>
            <w:rFonts w:ascii="Arial" w:hAnsi="Arial" w:cs="Arial"/>
            <w:sz w:val="20"/>
            <w:szCs w:val="20"/>
          </w:rPr>
          <w:t>https://doi.org/10.1093/heapol/czy055</w:t>
        </w:r>
      </w:hyperlink>
    </w:p>
    <w:p w14:paraId="707DD02D"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w:t>
      </w:r>
      <w:r w:rsidRPr="00E01025">
        <w:rPr>
          <w:rFonts w:ascii="Arial" w:hAnsi="Arial" w:cs="Arial"/>
          <w:color w:val="000000" w:themeColor="text1"/>
          <w:sz w:val="20"/>
          <w:szCs w:val="20"/>
        </w:rPr>
        <w:t>, 33(7), 914–924.</w:t>
      </w:r>
      <w:r w:rsidRPr="00E01025">
        <w:rPr>
          <w:rFonts w:ascii="Arial" w:hAnsi="Arial" w:cs="Arial"/>
          <w:color w:val="000000" w:themeColor="text1"/>
          <w:sz w:val="20"/>
          <w:szCs w:val="20"/>
        </w:rPr>
        <w:br/>
      </w:r>
      <w:hyperlink r:id="rId12" w:tgtFrame="_new" w:history="1">
        <w:r w:rsidRPr="00E01025">
          <w:rPr>
            <w:rStyle w:val="Hyperlink"/>
            <w:rFonts w:ascii="Arial" w:hAnsi="Arial" w:cs="Arial"/>
            <w:sz w:val="20"/>
            <w:szCs w:val="20"/>
          </w:rPr>
          <w:t>https://doi.org/10.1093/heapol/czy055</w:t>
        </w:r>
      </w:hyperlink>
    </w:p>
    <w:p w14:paraId="25A85140"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lang w:val="it-IT"/>
        </w:rPr>
        <w:t xml:space="preserve">Garg, C. C., &amp; Karan, A. K. (2009). </w:t>
      </w:r>
      <w:r w:rsidRPr="00E01025">
        <w:rPr>
          <w:rFonts w:ascii="Arial" w:hAnsi="Arial" w:cs="Arial"/>
          <w:color w:val="000000" w:themeColor="text1"/>
          <w:sz w:val="20"/>
          <w:szCs w:val="20"/>
        </w:rPr>
        <w:t xml:space="preserve">Reducing out-of-pocket expenditures to reduce poverty: A disaggregated analysis at rural–urban and state level in India. </w:t>
      </w:r>
      <w:r w:rsidRPr="00E01025">
        <w:rPr>
          <w:rFonts w:ascii="Arial" w:hAnsi="Arial" w:cs="Arial"/>
          <w:i/>
          <w:iCs/>
          <w:color w:val="000000" w:themeColor="text1"/>
          <w:sz w:val="20"/>
          <w:szCs w:val="20"/>
        </w:rPr>
        <w:t>Health Policy and Planning, 24</w:t>
      </w:r>
      <w:r w:rsidRPr="00E01025">
        <w:rPr>
          <w:rFonts w:ascii="Arial" w:hAnsi="Arial" w:cs="Arial"/>
          <w:color w:val="000000" w:themeColor="text1"/>
          <w:sz w:val="20"/>
          <w:szCs w:val="20"/>
        </w:rPr>
        <w:t xml:space="preserve">(2), 116–128. </w:t>
      </w:r>
      <w:hyperlink r:id="rId13" w:tgtFrame="_new" w:history="1">
        <w:r w:rsidRPr="00E01025">
          <w:rPr>
            <w:rStyle w:val="Hyperlink"/>
            <w:rFonts w:ascii="Arial" w:hAnsi="Arial" w:cs="Arial"/>
            <w:sz w:val="20"/>
            <w:szCs w:val="20"/>
          </w:rPr>
          <w:t>https://doi.org/10.1093/heapol/czn046</w:t>
        </w:r>
      </w:hyperlink>
    </w:p>
    <w:p w14:paraId="4541C450"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b/>
          <w:bCs/>
          <w:color w:val="000000" w:themeColor="text1"/>
          <w:sz w:val="20"/>
          <w:szCs w:val="20"/>
        </w:rPr>
        <w:t>Gazeis</w:t>
      </w:r>
      <w:proofErr w:type="spellEnd"/>
      <w:r w:rsidRPr="00E01025">
        <w:rPr>
          <w:rFonts w:ascii="Arial" w:hAnsi="Arial" w:cs="Arial"/>
          <w:b/>
          <w:bCs/>
          <w:color w:val="000000" w:themeColor="text1"/>
          <w:sz w:val="20"/>
          <w:szCs w:val="20"/>
        </w:rPr>
        <w:t>. (2025).</w:t>
      </w:r>
      <w:r w:rsidRPr="00E01025">
        <w:rPr>
          <w:rFonts w:ascii="Arial" w:hAnsi="Arial" w:cs="Arial"/>
          <w:color w:val="000000" w:themeColor="text1"/>
          <w:sz w:val="20"/>
          <w:szCs w:val="20"/>
        </w:rPr>
        <w:t xml:space="preserve">Villages in Uttar Pradesh: Fatehpur District. </w:t>
      </w:r>
      <w:hyperlink r:id="rId14" w:history="1">
        <w:r w:rsidRPr="00E01025">
          <w:rPr>
            <w:rStyle w:val="Hyperlink"/>
            <w:rFonts w:ascii="Arial" w:hAnsi="Arial" w:cs="Arial"/>
            <w:sz w:val="20"/>
            <w:szCs w:val="20"/>
          </w:rPr>
          <w:t>http://gazeis.in/villages-in-uttar-pradesh-fatehpur</w:t>
        </w:r>
      </w:hyperlink>
    </w:p>
    <w:p w14:paraId="07151685"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Kamath, S., et al. (2024). Private hospitals generally offer better treatment and facilities: Out-of-pocket expenditure on healthcare and preference for private healthcare providers in South India. </w:t>
      </w:r>
      <w:r w:rsidRPr="00E01025">
        <w:rPr>
          <w:rFonts w:ascii="Arial" w:hAnsi="Arial" w:cs="Arial"/>
          <w:i/>
          <w:iCs/>
          <w:color w:val="000000" w:themeColor="text1"/>
          <w:sz w:val="20"/>
          <w:szCs w:val="20"/>
        </w:rPr>
        <w:t>International Journal of Environmental Research and Public Health, 21</w:t>
      </w:r>
      <w:r w:rsidRPr="00E01025">
        <w:rPr>
          <w:rFonts w:ascii="Arial" w:hAnsi="Arial" w:cs="Arial"/>
          <w:color w:val="000000" w:themeColor="text1"/>
          <w:sz w:val="20"/>
          <w:szCs w:val="20"/>
        </w:rPr>
        <w:t xml:space="preserve">(10), 1287. </w:t>
      </w:r>
      <w:hyperlink r:id="rId15" w:tgtFrame="_new" w:history="1">
        <w:r w:rsidRPr="00E01025">
          <w:rPr>
            <w:rStyle w:val="Hyperlink"/>
            <w:rFonts w:ascii="Arial" w:hAnsi="Arial" w:cs="Arial"/>
            <w:sz w:val="20"/>
            <w:szCs w:val="20"/>
          </w:rPr>
          <w:t>https://doi.org/10.3390/ijerph21101287</w:t>
        </w:r>
      </w:hyperlink>
    </w:p>
    <w:p w14:paraId="4F0D9D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Karan, A., Selvaraj, S., &amp; Mahal, A. (2021). Moving to universal health coverage in India: Examining the role of health insurance. </w:t>
      </w:r>
      <w:r w:rsidRPr="00E01025">
        <w:rPr>
          <w:rFonts w:ascii="Arial" w:hAnsi="Arial" w:cs="Arial"/>
          <w:i/>
          <w:iCs/>
          <w:color w:val="000000" w:themeColor="text1"/>
          <w:sz w:val="20"/>
          <w:szCs w:val="20"/>
        </w:rPr>
        <w:t>Economic and Political Weekly, 56</w:t>
      </w:r>
      <w:r w:rsidRPr="00E01025">
        <w:rPr>
          <w:rFonts w:ascii="Arial" w:hAnsi="Arial" w:cs="Arial"/>
          <w:color w:val="000000" w:themeColor="text1"/>
          <w:sz w:val="20"/>
          <w:szCs w:val="20"/>
        </w:rPr>
        <w:t>(6), 45–52.</w:t>
      </w:r>
    </w:p>
    <w:p w14:paraId="5861C44C" w14:textId="77777777" w:rsidR="007D6FE4" w:rsidRPr="00E01025" w:rsidRDefault="007D6FE4" w:rsidP="007D6FE4">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Karan, A., Yip, W., &amp; Mahal, A. (2021). Extending health insurance to the poor in India: An impact evaluation of PM-JAY. </w:t>
      </w:r>
      <w:r w:rsidRPr="00E01025">
        <w:rPr>
          <w:rFonts w:ascii="Arial" w:eastAsia="Times New Roman" w:hAnsi="Arial" w:cs="Arial"/>
          <w:i/>
          <w:iCs/>
          <w:kern w:val="0"/>
          <w:sz w:val="20"/>
          <w:szCs w:val="20"/>
          <w:lang w:eastAsia="en-IN"/>
          <w14:ligatures w14:val="none"/>
        </w:rPr>
        <w:t>Health Economics</w:t>
      </w:r>
      <w:r w:rsidRPr="00E01025">
        <w:rPr>
          <w:rFonts w:ascii="Arial" w:eastAsia="Times New Roman" w:hAnsi="Arial" w:cs="Arial"/>
          <w:kern w:val="0"/>
          <w:sz w:val="20"/>
          <w:szCs w:val="20"/>
          <w:lang w:eastAsia="en-IN"/>
          <w14:ligatures w14:val="none"/>
        </w:rPr>
        <w:t>, 30(5), 1015–1030.</w:t>
      </w:r>
      <w:r w:rsidRPr="00E01025">
        <w:rPr>
          <w:rFonts w:ascii="Arial" w:eastAsia="Times New Roman" w:hAnsi="Arial" w:cs="Arial"/>
          <w:kern w:val="0"/>
          <w:sz w:val="20"/>
          <w:szCs w:val="20"/>
          <w:lang w:eastAsia="en-IN"/>
          <w14:ligatures w14:val="none"/>
        </w:rPr>
        <w:br/>
      </w:r>
      <w:hyperlink r:id="rId16" w:history="1">
        <w:r w:rsidRPr="00E01025">
          <w:rPr>
            <w:rStyle w:val="Hyperlink"/>
            <w:rFonts w:ascii="Arial" w:eastAsia="Times New Roman" w:hAnsi="Arial" w:cs="Arial"/>
            <w:kern w:val="0"/>
            <w:sz w:val="20"/>
            <w:szCs w:val="20"/>
            <w:lang w:eastAsia="en-IN"/>
            <w14:ligatures w14:val="none"/>
          </w:rPr>
          <w:t>https://doi.org/10.1002/</w:t>
        </w:r>
      </w:hyperlink>
      <w:r w:rsidRPr="00E01025">
        <w:rPr>
          <w:rFonts w:ascii="Arial" w:eastAsia="Times New Roman" w:hAnsi="Arial" w:cs="Arial"/>
          <w:kern w:val="0"/>
          <w:sz w:val="20"/>
          <w:szCs w:val="20"/>
          <w:lang w:eastAsia="en-IN"/>
          <w14:ligatures w14:val="none"/>
        </w:rPr>
        <w:t xml:space="preserve"> </w:t>
      </w:r>
    </w:p>
    <w:p w14:paraId="39B479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Ministry of Health and Family Welfare. (2021). </w:t>
      </w:r>
      <w:r w:rsidRPr="00E01025">
        <w:rPr>
          <w:rFonts w:ascii="Arial" w:hAnsi="Arial" w:cs="Arial"/>
          <w:i/>
          <w:iCs/>
          <w:color w:val="000000" w:themeColor="text1"/>
          <w:sz w:val="20"/>
          <w:szCs w:val="20"/>
        </w:rPr>
        <w:t>National health accounts: India 2018–19</w:t>
      </w:r>
      <w:r w:rsidRPr="00E01025">
        <w:rPr>
          <w:rFonts w:ascii="Arial" w:hAnsi="Arial" w:cs="Arial"/>
          <w:color w:val="000000" w:themeColor="text1"/>
          <w:sz w:val="20"/>
          <w:szCs w:val="20"/>
        </w:rPr>
        <w:t>. Government of India.</w:t>
      </w:r>
    </w:p>
    <w:p w14:paraId="5BA78C7B" w14:textId="77777777" w:rsidR="007D6FE4" w:rsidRPr="00E01025" w:rsidRDefault="007D6FE4" w:rsidP="007D6FE4">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Mohanty, S. K., Kim, R., &amp; Khan, P. K. (2022). Effectiveness of publicly funded health insurance schemes in reducing out-of-pocket expenditure in India. </w:t>
      </w:r>
      <w:r w:rsidRPr="00E01025">
        <w:rPr>
          <w:rFonts w:ascii="Arial" w:eastAsia="Times New Roman" w:hAnsi="Arial" w:cs="Arial"/>
          <w:i/>
          <w:iCs/>
          <w:kern w:val="0"/>
          <w:sz w:val="20"/>
          <w:szCs w:val="20"/>
          <w:lang w:eastAsia="en-IN"/>
          <w14:ligatures w14:val="none"/>
        </w:rPr>
        <w:t>Social Science &amp; Medicine</w:t>
      </w:r>
      <w:r w:rsidRPr="00E01025">
        <w:rPr>
          <w:rFonts w:ascii="Arial" w:eastAsia="Times New Roman" w:hAnsi="Arial" w:cs="Arial"/>
          <w:kern w:val="0"/>
          <w:sz w:val="20"/>
          <w:szCs w:val="20"/>
          <w:lang w:eastAsia="en-IN"/>
          <w14:ligatures w14:val="none"/>
        </w:rPr>
        <w:t xml:space="preserve">, 292, 114583. </w:t>
      </w:r>
      <w:hyperlink r:id="rId17" w:history="1">
        <w:r w:rsidRPr="00E01025">
          <w:rPr>
            <w:rStyle w:val="Hyperlink"/>
            <w:rFonts w:ascii="Arial" w:eastAsia="Times New Roman" w:hAnsi="Arial" w:cs="Arial"/>
            <w:kern w:val="0"/>
            <w:sz w:val="20"/>
            <w:szCs w:val="20"/>
            <w:lang w:eastAsia="en-IN"/>
            <w14:ligatures w14:val="none"/>
          </w:rPr>
          <w:t>https://doi.org/10.1016/j</w:t>
        </w:r>
      </w:hyperlink>
      <w:r w:rsidRPr="00E01025">
        <w:rPr>
          <w:rFonts w:ascii="Arial" w:eastAsia="Times New Roman" w:hAnsi="Arial" w:cs="Arial"/>
          <w:kern w:val="0"/>
          <w:sz w:val="20"/>
          <w:szCs w:val="20"/>
          <w:lang w:eastAsia="en-IN"/>
          <w14:ligatures w14:val="none"/>
        </w:rPr>
        <w:t xml:space="preserve">. </w:t>
      </w:r>
    </w:p>
    <w:p w14:paraId="45C5335C"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 xml:space="preserve">Mohanty, S. K., Kim, R., &amp; Khan, P. K. (2022). Effectiveness of public health insurance in reducing out-of-pocket expenditure in India. </w:t>
      </w:r>
      <w:r w:rsidRPr="00E01025">
        <w:rPr>
          <w:rFonts w:ascii="Arial" w:hAnsi="Arial" w:cs="Arial"/>
          <w:i/>
          <w:iCs/>
          <w:color w:val="000000" w:themeColor="text1"/>
          <w:sz w:val="20"/>
          <w:szCs w:val="20"/>
        </w:rPr>
        <w:t>BMC Health Services Research, 22</w:t>
      </w:r>
      <w:r w:rsidRPr="00E01025">
        <w:rPr>
          <w:rFonts w:ascii="Arial" w:hAnsi="Arial" w:cs="Arial"/>
          <w:color w:val="000000" w:themeColor="text1"/>
          <w:sz w:val="20"/>
          <w:szCs w:val="20"/>
        </w:rPr>
        <w:t xml:space="preserve">, 1–12. </w:t>
      </w:r>
      <w:hyperlink r:id="rId18" w:tgtFrame="_new" w:history="1">
        <w:r w:rsidRPr="00E01025">
          <w:rPr>
            <w:rStyle w:val="Hyperlink"/>
            <w:rFonts w:ascii="Arial" w:hAnsi="Arial" w:cs="Arial"/>
            <w:sz w:val="20"/>
            <w:szCs w:val="20"/>
          </w:rPr>
          <w:t>https://doi.org/10.1186/s12913-022-07508-5</w:t>
        </w:r>
      </w:hyperlink>
    </w:p>
    <w:p w14:paraId="395020BF" w14:textId="77777777" w:rsidR="007D6FE4" w:rsidRPr="006C74E0" w:rsidRDefault="007D6FE4" w:rsidP="007D6FE4">
      <w:pPr>
        <w:pStyle w:val="ListParagraph"/>
        <w:numPr>
          <w:ilvl w:val="0"/>
          <w:numId w:val="8"/>
        </w:numPr>
        <w:spacing w:line="360" w:lineRule="auto"/>
        <w:outlineLvl w:val="0"/>
        <w:rPr>
          <w:rFonts w:ascii="Arial" w:hAnsi="Arial" w:cs="Arial"/>
          <w:color w:val="000000" w:themeColor="text1"/>
          <w:sz w:val="20"/>
          <w:szCs w:val="20"/>
        </w:rPr>
      </w:pPr>
      <w:r w:rsidRPr="00E01025">
        <w:rPr>
          <w:rFonts w:ascii="Arial" w:hAnsi="Arial" w:cs="Arial"/>
          <w:color w:val="000000" w:themeColor="text1"/>
          <w:sz w:val="20"/>
          <w:szCs w:val="20"/>
        </w:rPr>
        <w:t>Ministry of Health and Family Welfare (</w:t>
      </w:r>
      <w:proofErr w:type="spellStart"/>
      <w:r w:rsidRPr="00E01025">
        <w:rPr>
          <w:rFonts w:ascii="Arial" w:hAnsi="Arial" w:cs="Arial"/>
          <w:color w:val="000000" w:themeColor="text1"/>
          <w:sz w:val="20"/>
          <w:szCs w:val="20"/>
        </w:rPr>
        <w:t>MoHFW</w:t>
      </w:r>
      <w:proofErr w:type="spellEnd"/>
      <w:r w:rsidRPr="00E01025">
        <w:rPr>
          <w:rFonts w:ascii="Arial" w:hAnsi="Arial" w:cs="Arial"/>
          <w:color w:val="000000" w:themeColor="text1"/>
          <w:sz w:val="20"/>
          <w:szCs w:val="20"/>
        </w:rPr>
        <w:t>). (2021).National Health Accounts Estimates for India (2018–19). Government of India.</w:t>
      </w:r>
      <w:r w:rsidRPr="00E01025">
        <w:rPr>
          <w:rFonts w:ascii="Arial" w:hAnsi="Arial" w:cs="Arial"/>
          <w:color w:val="000000" w:themeColor="text1"/>
          <w:sz w:val="20"/>
          <w:szCs w:val="20"/>
        </w:rPr>
        <w:br/>
        <w:t>https://nhsrcindia.org/national-health-accounts</w:t>
      </w:r>
    </w:p>
    <w:p w14:paraId="52050E6F"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National Sample Survey Office. (2018). </w:t>
      </w:r>
      <w:r w:rsidRPr="00E01025">
        <w:rPr>
          <w:rFonts w:ascii="Arial" w:hAnsi="Arial" w:cs="Arial"/>
          <w:i/>
          <w:iCs/>
          <w:color w:val="000000" w:themeColor="text1"/>
          <w:sz w:val="20"/>
          <w:szCs w:val="20"/>
        </w:rPr>
        <w:t>Health in India: NSS 75th round</w:t>
      </w:r>
      <w:r w:rsidRPr="00E01025">
        <w:rPr>
          <w:rFonts w:ascii="Arial" w:hAnsi="Arial" w:cs="Arial"/>
          <w:color w:val="000000" w:themeColor="text1"/>
          <w:sz w:val="20"/>
          <w:szCs w:val="20"/>
        </w:rPr>
        <w:t>. Ministry of Statistics and Programme Implementation, Government of India.</w:t>
      </w:r>
    </w:p>
    <w:p w14:paraId="2707AA5E"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NITI Aayog. (2021). </w:t>
      </w:r>
      <w:r w:rsidRPr="00E01025">
        <w:rPr>
          <w:rFonts w:ascii="Arial" w:hAnsi="Arial" w:cs="Arial"/>
          <w:i/>
          <w:iCs/>
          <w:color w:val="000000" w:themeColor="text1"/>
          <w:sz w:val="20"/>
          <w:szCs w:val="20"/>
        </w:rPr>
        <w:t>Health insurance for India’s missing middle</w:t>
      </w:r>
      <w:r w:rsidRPr="00E01025">
        <w:rPr>
          <w:rFonts w:ascii="Arial" w:hAnsi="Arial" w:cs="Arial"/>
          <w:color w:val="000000" w:themeColor="text1"/>
          <w:sz w:val="20"/>
          <w:szCs w:val="20"/>
        </w:rPr>
        <w:t>. Government of India.</w:t>
      </w:r>
    </w:p>
    <w:p w14:paraId="6C1F9D28" w14:textId="77777777" w:rsidR="007D6FE4" w:rsidRPr="00E01025" w:rsidRDefault="007D6FE4" w:rsidP="007D6FE4">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NITI Aayog. (2021).</w:t>
      </w:r>
      <w:r w:rsidRPr="00E01025">
        <w:rPr>
          <w:rFonts w:ascii="Arial" w:hAnsi="Arial" w:cs="Arial"/>
          <w:sz w:val="20"/>
          <w:szCs w:val="20"/>
        </w:rPr>
        <w:t xml:space="preserve">Best practices in the performance of district hospitals in India. Government of </w:t>
      </w:r>
      <w:proofErr w:type="spellStart"/>
      <w:r w:rsidRPr="00E01025">
        <w:rPr>
          <w:rFonts w:ascii="Arial" w:hAnsi="Arial" w:cs="Arial"/>
          <w:sz w:val="20"/>
          <w:szCs w:val="20"/>
        </w:rPr>
        <w:t>India.</w:t>
      </w:r>
      <w:hyperlink r:id="rId19" w:history="1">
        <w:r w:rsidRPr="00E01025">
          <w:rPr>
            <w:rStyle w:val="Hyperlink"/>
            <w:rFonts w:ascii="Arial" w:hAnsi="Arial" w:cs="Arial"/>
            <w:sz w:val="20"/>
            <w:szCs w:val="20"/>
          </w:rPr>
          <w:t>https</w:t>
        </w:r>
        <w:proofErr w:type="spellEnd"/>
        <w:r w:rsidRPr="00E01025">
          <w:rPr>
            <w:rStyle w:val="Hyperlink"/>
            <w:rFonts w:ascii="Arial" w:hAnsi="Arial" w:cs="Arial"/>
            <w:sz w:val="20"/>
            <w:szCs w:val="20"/>
          </w:rPr>
          <w:t>://www.niti.gov.in</w:t>
        </w:r>
      </w:hyperlink>
    </w:p>
    <w:p w14:paraId="13DCEC8A" w14:textId="77777777" w:rsidR="007D6FE4" w:rsidRPr="00E01025" w:rsidRDefault="007D6FE4" w:rsidP="007D6FE4">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National Sample Survey Office (NSSO). (2019).</w:t>
      </w:r>
      <w:r w:rsidRPr="00E01025">
        <w:rPr>
          <w:rFonts w:ascii="Arial" w:hAnsi="Arial" w:cs="Arial"/>
          <w:sz w:val="20"/>
          <w:szCs w:val="20"/>
        </w:rPr>
        <w:t xml:space="preserve">Health in India: NSS 75th Round (2017–18). Ministry of Statistics and Programme Implementation, Government of India. </w:t>
      </w:r>
      <w:hyperlink r:id="rId20" w:history="1">
        <w:r w:rsidRPr="00E01025">
          <w:rPr>
            <w:rStyle w:val="Hyperlink"/>
            <w:rFonts w:ascii="Arial" w:hAnsi="Arial" w:cs="Arial"/>
            <w:sz w:val="20"/>
            <w:szCs w:val="20"/>
          </w:rPr>
          <w:t>https://mospi.gov.in</w:t>
        </w:r>
      </w:hyperlink>
    </w:p>
    <w:p w14:paraId="1D6B17E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Peters, D. H., Garg, A., Bloom, G., Walker, D. G., Brieger, W. R., &amp; Rahman, M. H. (2008). Poverty and access to health care in developing countries. </w:t>
      </w:r>
      <w:r w:rsidRPr="00E01025">
        <w:rPr>
          <w:rFonts w:ascii="Arial" w:hAnsi="Arial" w:cs="Arial"/>
          <w:i/>
          <w:iCs/>
          <w:color w:val="000000" w:themeColor="text1"/>
          <w:sz w:val="20"/>
          <w:szCs w:val="20"/>
        </w:rPr>
        <w:t>Annals of the New York Academy of Sciences, 1136</w:t>
      </w:r>
      <w:r w:rsidRPr="00E01025">
        <w:rPr>
          <w:rFonts w:ascii="Arial" w:hAnsi="Arial" w:cs="Arial"/>
          <w:color w:val="000000" w:themeColor="text1"/>
          <w:sz w:val="20"/>
          <w:szCs w:val="20"/>
        </w:rPr>
        <w:t xml:space="preserve">(1), 161–171. </w:t>
      </w:r>
      <w:hyperlink r:id="rId21" w:tgtFrame="_new" w:history="1">
        <w:r w:rsidRPr="00E01025">
          <w:rPr>
            <w:rStyle w:val="Hyperlink"/>
            <w:rFonts w:ascii="Arial" w:hAnsi="Arial" w:cs="Arial"/>
            <w:sz w:val="20"/>
            <w:szCs w:val="20"/>
          </w:rPr>
          <w:t>https://doi.org/10.1196/annals.1425.011</w:t>
        </w:r>
      </w:hyperlink>
    </w:p>
    <w:p w14:paraId="3081452C"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607D89">
        <w:rPr>
          <w:rFonts w:ascii="Arial" w:hAnsi="Arial" w:cs="Arial"/>
          <w:color w:val="000000" w:themeColor="text1"/>
          <w:sz w:val="20"/>
          <w:szCs w:val="20"/>
          <w:lang w:val="nl-BE"/>
        </w:rPr>
        <w:t xml:space="preserve">Pranjal, S., Chauhan, A. S., Karan, A., Kaur, G., &amp; Kumar, R. (2017). </w:t>
      </w:r>
      <w:r w:rsidRPr="00E01025">
        <w:rPr>
          <w:rFonts w:ascii="Arial" w:hAnsi="Arial" w:cs="Arial"/>
          <w:color w:val="000000" w:themeColor="text1"/>
          <w:sz w:val="20"/>
          <w:szCs w:val="20"/>
        </w:rPr>
        <w:t xml:space="preserve">Impact of out-of-pocket expenditure on poverty in India. </w:t>
      </w:r>
      <w:r w:rsidRPr="00E01025">
        <w:rPr>
          <w:rFonts w:ascii="Arial" w:hAnsi="Arial" w:cs="Arial"/>
          <w:i/>
          <w:iCs/>
          <w:color w:val="000000" w:themeColor="text1"/>
          <w:sz w:val="20"/>
          <w:szCs w:val="20"/>
        </w:rPr>
        <w:t>International Journal for Equity in Health, 16</w:t>
      </w:r>
      <w:r w:rsidRPr="00E01025">
        <w:rPr>
          <w:rFonts w:ascii="Arial" w:hAnsi="Arial" w:cs="Arial"/>
          <w:color w:val="000000" w:themeColor="text1"/>
          <w:sz w:val="20"/>
          <w:szCs w:val="20"/>
        </w:rPr>
        <w:t xml:space="preserve">(1), 1–9. </w:t>
      </w:r>
      <w:hyperlink r:id="rId22" w:tgtFrame="_new" w:history="1">
        <w:r w:rsidRPr="00E01025">
          <w:rPr>
            <w:rStyle w:val="Hyperlink"/>
            <w:rFonts w:ascii="Arial" w:hAnsi="Arial" w:cs="Arial"/>
            <w:sz w:val="20"/>
            <w:szCs w:val="20"/>
          </w:rPr>
          <w:t>https://doi.org/10.1186/s12939-017-0582-8</w:t>
        </w:r>
      </w:hyperlink>
    </w:p>
    <w:p w14:paraId="6A4788AA"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Pranjal, S., et al. (2012). Role of user charges in healthcare utilization in India. </w:t>
      </w:r>
      <w:r w:rsidRPr="00E01025">
        <w:rPr>
          <w:rFonts w:ascii="Arial" w:hAnsi="Arial" w:cs="Arial"/>
          <w:i/>
          <w:iCs/>
          <w:color w:val="000000" w:themeColor="text1"/>
          <w:sz w:val="20"/>
          <w:szCs w:val="20"/>
        </w:rPr>
        <w:t>Indian Journal of Medical Research, 136</w:t>
      </w:r>
      <w:r w:rsidRPr="00E01025">
        <w:rPr>
          <w:rFonts w:ascii="Arial" w:hAnsi="Arial" w:cs="Arial"/>
          <w:color w:val="000000" w:themeColor="text1"/>
          <w:sz w:val="20"/>
          <w:szCs w:val="20"/>
        </w:rPr>
        <w:t>(3), 368–378.</w:t>
      </w:r>
    </w:p>
    <w:p w14:paraId="5552E03C" w14:textId="77777777" w:rsidR="007D6FE4" w:rsidRPr="00E01025" w:rsidRDefault="007D6FE4" w:rsidP="007D6FE4">
      <w:pPr>
        <w:pStyle w:val="ListParagraph"/>
        <w:numPr>
          <w:ilvl w:val="0"/>
          <w:numId w:val="8"/>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Pranjal, S., Bahuguna, P., Gupta, I., Chowdhury, S., &amp; Trivedi, M. (2017).Role of insurance in determining out-of-pocket expenditure for healthcare in India </w:t>
      </w:r>
      <w:r w:rsidRPr="00E01025">
        <w:rPr>
          <w:rFonts w:ascii="Arial" w:eastAsia="Times New Roman" w:hAnsi="Arial" w:cs="Arial"/>
          <w:i/>
          <w:iCs/>
          <w:kern w:val="0"/>
          <w:sz w:val="20"/>
          <w:szCs w:val="20"/>
          <w:lang w:eastAsia="en-IN"/>
          <w14:ligatures w14:val="none"/>
        </w:rPr>
        <w:t>International Journal of Health Economics and Management</w:t>
      </w:r>
      <w:r w:rsidRPr="00E01025">
        <w:rPr>
          <w:rFonts w:ascii="Arial" w:eastAsia="Times New Roman" w:hAnsi="Arial" w:cs="Arial"/>
          <w:kern w:val="0"/>
          <w:sz w:val="20"/>
          <w:szCs w:val="20"/>
          <w:lang w:eastAsia="en-IN"/>
          <w14:ligatures w14:val="none"/>
        </w:rPr>
        <w:t>, 17(2), 203–218.</w:t>
      </w:r>
      <w:r w:rsidRPr="00E01025">
        <w:rPr>
          <w:rFonts w:ascii="Arial" w:eastAsia="Times New Roman" w:hAnsi="Arial" w:cs="Arial"/>
          <w:kern w:val="0"/>
          <w:sz w:val="20"/>
          <w:szCs w:val="20"/>
          <w:lang w:eastAsia="en-IN"/>
          <w14:ligatures w14:val="none"/>
        </w:rPr>
        <w:br/>
        <w:t>https://doi.org/10.1007/s10754-016-9204-3</w:t>
      </w:r>
    </w:p>
    <w:p w14:paraId="67714F03"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Selvaraj, S., &amp; Karan, A. K. (2012). Why publicly-financed health insurance schemes are ineffective in providing financial risk protection in India. </w:t>
      </w:r>
      <w:r w:rsidRPr="00E01025">
        <w:rPr>
          <w:rFonts w:ascii="Arial" w:hAnsi="Arial" w:cs="Arial"/>
          <w:i/>
          <w:iCs/>
          <w:color w:val="000000" w:themeColor="text1"/>
          <w:sz w:val="20"/>
          <w:szCs w:val="20"/>
        </w:rPr>
        <w:t>Social Science &amp; Medicine</w:t>
      </w:r>
      <w:r w:rsidRPr="00E01025">
        <w:rPr>
          <w:rFonts w:ascii="Arial" w:hAnsi="Arial" w:cs="Arial"/>
          <w:color w:val="000000" w:themeColor="text1"/>
          <w:sz w:val="20"/>
          <w:szCs w:val="20"/>
        </w:rPr>
        <w:t>, 75(5), 884–891.</w:t>
      </w:r>
    </w:p>
    <w:p w14:paraId="00F111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607D89">
        <w:rPr>
          <w:rFonts w:ascii="Arial" w:hAnsi="Arial" w:cs="Arial"/>
          <w:color w:val="000000" w:themeColor="text1"/>
          <w:sz w:val="20"/>
          <w:szCs w:val="20"/>
          <w:lang w:val="nl-BE"/>
        </w:rPr>
        <w:t xml:space="preserve">Wagstaff, A., &amp; van Doorslaer, E. (2003). </w:t>
      </w:r>
      <w:r w:rsidRPr="00E01025">
        <w:rPr>
          <w:rFonts w:ascii="Arial" w:hAnsi="Arial" w:cs="Arial"/>
          <w:color w:val="000000" w:themeColor="text1"/>
          <w:sz w:val="20"/>
          <w:szCs w:val="20"/>
        </w:rPr>
        <w:t xml:space="preserve">Catastrophe and impoverishment in paying for health care. </w:t>
      </w:r>
      <w:r w:rsidRPr="00E01025">
        <w:rPr>
          <w:rFonts w:ascii="Arial" w:hAnsi="Arial" w:cs="Arial"/>
          <w:i/>
          <w:iCs/>
          <w:color w:val="000000" w:themeColor="text1"/>
          <w:sz w:val="20"/>
          <w:szCs w:val="20"/>
        </w:rPr>
        <w:t>Health Economics, 12</w:t>
      </w:r>
      <w:r w:rsidRPr="00E01025">
        <w:rPr>
          <w:rFonts w:ascii="Arial" w:hAnsi="Arial" w:cs="Arial"/>
          <w:color w:val="000000" w:themeColor="text1"/>
          <w:sz w:val="20"/>
          <w:szCs w:val="20"/>
        </w:rPr>
        <w:t xml:space="preserve">(11), 921–934. </w:t>
      </w:r>
      <w:hyperlink r:id="rId23" w:tgtFrame="_new" w:history="1">
        <w:r w:rsidRPr="00E01025">
          <w:rPr>
            <w:rStyle w:val="Hyperlink"/>
            <w:rFonts w:ascii="Arial" w:hAnsi="Arial" w:cs="Arial"/>
            <w:sz w:val="20"/>
            <w:szCs w:val="20"/>
          </w:rPr>
          <w:t>https://doi.org/10.1002/hec.776</w:t>
        </w:r>
      </w:hyperlink>
    </w:p>
    <w:p w14:paraId="3B3AA0BE"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335690C"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30BD65D"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82B81EE"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824609F"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69BB9CF"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341264"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BB25826"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3EC9122"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C15E43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EE0C0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F4633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33AA9F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C96D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2EF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E3D86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9F126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365C8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DAD470" w14:textId="77777777" w:rsidR="00180B37"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3981363" w14:textId="77777777" w:rsidR="00E01025" w:rsidRPr="00E01025" w:rsidRDefault="00E01025"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54E184C" w14:textId="77777777" w:rsidR="00180B37" w:rsidRPr="00E01025" w:rsidRDefault="00180B37" w:rsidP="00607D89">
      <w:pPr>
        <w:pStyle w:val="ListParagraph"/>
        <w:spacing w:before="100" w:beforeAutospacing="1" w:after="100" w:afterAutospacing="1" w:line="360" w:lineRule="auto"/>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Annexture 1</w:t>
      </w:r>
    </w:p>
    <w:p w14:paraId="3006FAEB" w14:textId="77777777" w:rsidR="00180B37" w:rsidRPr="00E01025" w:rsidRDefault="00180B37" w:rsidP="00A72B18">
      <w:pPr>
        <w:pStyle w:val="ListParagraph"/>
        <w:spacing w:before="100" w:beforeAutospacing="1" w:after="100" w:afterAutospacing="1" w:line="360" w:lineRule="auto"/>
        <w:jc w:val="right"/>
        <w:outlineLvl w:val="0"/>
        <w:rPr>
          <w:rFonts w:ascii="Arial" w:hAnsi="Arial" w:cs="Arial"/>
          <w:b/>
          <w:bCs/>
          <w:color w:val="000000" w:themeColor="text1"/>
          <w:sz w:val="20"/>
          <w:szCs w:val="20"/>
        </w:rPr>
      </w:pPr>
    </w:p>
    <w:p w14:paraId="16D4E503" w14:textId="77777777"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FACTOR </w:t>
      </w:r>
      <w:proofErr w:type="gramStart"/>
      <w:r w:rsidRPr="00E01025">
        <w:rPr>
          <w:rFonts w:ascii="Arial" w:hAnsi="Arial" w:cs="Arial"/>
          <w:b/>
          <w:bCs/>
          <w:color w:val="000000" w:themeColor="text1"/>
          <w:sz w:val="20"/>
          <w:szCs w:val="20"/>
        </w:rPr>
        <w:t>ANAYLSIS :</w:t>
      </w:r>
      <w:proofErr w:type="gramEnd"/>
      <w:r w:rsidRPr="00E01025">
        <w:rPr>
          <w:rFonts w:ascii="Arial" w:hAnsi="Arial" w:cs="Arial"/>
          <w:b/>
          <w:bCs/>
          <w:color w:val="000000" w:themeColor="text1"/>
          <w:sz w:val="20"/>
          <w:szCs w:val="20"/>
        </w:rPr>
        <w:t xml:space="preserve"> SPSS OUTPUT                                                   </w:t>
      </w:r>
    </w:p>
    <w:tbl>
      <w:tblPr>
        <w:tblW w:w="8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70"/>
        <w:gridCol w:w="3278"/>
        <w:gridCol w:w="1429"/>
      </w:tblGrid>
      <w:tr w:rsidR="00180B37" w:rsidRPr="00E01025" w14:paraId="589DBDA6" w14:textId="77777777" w:rsidTr="001770B4">
        <w:trPr>
          <w:cantSplit/>
          <w:trHeight w:val="145"/>
        </w:trPr>
        <w:tc>
          <w:tcPr>
            <w:tcW w:w="8177" w:type="dxa"/>
            <w:gridSpan w:val="3"/>
            <w:tcBorders>
              <w:top w:val="nil"/>
              <w:left w:val="nil"/>
              <w:bottom w:val="nil"/>
              <w:right w:val="nil"/>
            </w:tcBorders>
            <w:shd w:val="clear" w:color="auto" w:fill="FFFFFF"/>
          </w:tcPr>
          <w:p w14:paraId="00625D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KMO and Bartlett's Test</w:t>
            </w:r>
          </w:p>
        </w:tc>
      </w:tr>
      <w:tr w:rsidR="00180B37" w:rsidRPr="00E01025" w14:paraId="47C022EC" w14:textId="77777777" w:rsidTr="001770B4">
        <w:trPr>
          <w:cantSplit/>
          <w:trHeight w:val="291"/>
        </w:trPr>
        <w:tc>
          <w:tcPr>
            <w:tcW w:w="6748" w:type="dxa"/>
            <w:gridSpan w:val="2"/>
            <w:tcBorders>
              <w:top w:val="single" w:sz="16" w:space="0" w:color="000000"/>
              <w:left w:val="single" w:sz="16" w:space="0" w:color="000000"/>
              <w:bottom w:val="nil"/>
              <w:right w:val="nil"/>
            </w:tcBorders>
            <w:shd w:val="clear" w:color="auto" w:fill="FFFFFF"/>
            <w:vAlign w:val="center"/>
          </w:tcPr>
          <w:p w14:paraId="3681608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Kaiser-Meyer-Olkin Measure of Sampling Adequacy.</w:t>
            </w:r>
          </w:p>
        </w:tc>
        <w:tc>
          <w:tcPr>
            <w:tcW w:w="1429" w:type="dxa"/>
            <w:tcBorders>
              <w:top w:val="single" w:sz="16" w:space="0" w:color="000000"/>
              <w:left w:val="single" w:sz="16" w:space="0" w:color="000000"/>
              <w:bottom w:val="nil"/>
              <w:right w:val="single" w:sz="16" w:space="0" w:color="000000"/>
            </w:tcBorders>
            <w:shd w:val="clear" w:color="auto" w:fill="FFFFFF"/>
            <w:vAlign w:val="center"/>
          </w:tcPr>
          <w:p w14:paraId="1C60C70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.521</w:t>
            </w:r>
          </w:p>
        </w:tc>
      </w:tr>
      <w:tr w:rsidR="00180B37" w:rsidRPr="00E01025" w14:paraId="1618AF7E" w14:textId="77777777" w:rsidTr="001770B4">
        <w:trPr>
          <w:cantSplit/>
          <w:trHeight w:val="430"/>
        </w:trPr>
        <w:tc>
          <w:tcPr>
            <w:tcW w:w="3470" w:type="dxa"/>
            <w:vMerge w:val="restart"/>
            <w:tcBorders>
              <w:top w:val="nil"/>
              <w:left w:val="single" w:sz="16" w:space="0" w:color="000000"/>
              <w:bottom w:val="single" w:sz="16" w:space="0" w:color="000000"/>
              <w:right w:val="nil"/>
            </w:tcBorders>
            <w:shd w:val="clear" w:color="auto" w:fill="FFFFFF"/>
            <w:vAlign w:val="center"/>
          </w:tcPr>
          <w:p w14:paraId="3108873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Bartlett's Test of Sphericity</w:t>
            </w:r>
          </w:p>
        </w:tc>
        <w:tc>
          <w:tcPr>
            <w:tcW w:w="3277" w:type="dxa"/>
            <w:tcBorders>
              <w:top w:val="nil"/>
              <w:left w:val="nil"/>
              <w:bottom w:val="nil"/>
              <w:right w:val="single" w:sz="16" w:space="0" w:color="000000"/>
            </w:tcBorders>
            <w:shd w:val="clear" w:color="auto" w:fill="FFFFFF"/>
            <w:vAlign w:val="center"/>
          </w:tcPr>
          <w:p w14:paraId="2F38D7E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 Chi-Square</w:t>
            </w:r>
          </w:p>
        </w:tc>
        <w:tc>
          <w:tcPr>
            <w:tcW w:w="1429" w:type="dxa"/>
            <w:tcBorders>
              <w:top w:val="nil"/>
              <w:left w:val="single" w:sz="16" w:space="0" w:color="000000"/>
              <w:bottom w:val="nil"/>
              <w:right w:val="single" w:sz="16" w:space="0" w:color="000000"/>
            </w:tcBorders>
            <w:shd w:val="clear" w:color="auto" w:fill="FFFFFF"/>
            <w:vAlign w:val="center"/>
          </w:tcPr>
          <w:p w14:paraId="32C04B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226.929</w:t>
            </w:r>
          </w:p>
        </w:tc>
      </w:tr>
      <w:tr w:rsidR="00180B37" w:rsidRPr="00E01025" w14:paraId="629D4413"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C1133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nil"/>
              <w:right w:val="single" w:sz="16" w:space="0" w:color="000000"/>
            </w:tcBorders>
            <w:shd w:val="clear" w:color="auto" w:fill="FFFFFF"/>
            <w:vAlign w:val="center"/>
          </w:tcPr>
          <w:p w14:paraId="4AFC9D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df</w:t>
            </w:r>
          </w:p>
        </w:tc>
        <w:tc>
          <w:tcPr>
            <w:tcW w:w="1429" w:type="dxa"/>
            <w:tcBorders>
              <w:top w:val="nil"/>
              <w:left w:val="single" w:sz="16" w:space="0" w:color="000000"/>
              <w:bottom w:val="nil"/>
              <w:right w:val="single" w:sz="16" w:space="0" w:color="000000"/>
            </w:tcBorders>
            <w:shd w:val="clear" w:color="auto" w:fill="FFFFFF"/>
            <w:vAlign w:val="center"/>
          </w:tcPr>
          <w:p w14:paraId="58201A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55</w:t>
            </w:r>
          </w:p>
        </w:tc>
      </w:tr>
      <w:tr w:rsidR="00180B37" w:rsidRPr="00E01025" w14:paraId="6A3240D0"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64979C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single" w:sz="16" w:space="0" w:color="000000"/>
              <w:right w:val="single" w:sz="16" w:space="0" w:color="000000"/>
            </w:tcBorders>
            <w:shd w:val="clear" w:color="auto" w:fill="FFFFFF"/>
            <w:vAlign w:val="center"/>
          </w:tcPr>
          <w:p w14:paraId="0BD177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Sig.</w:t>
            </w:r>
          </w:p>
        </w:tc>
        <w:tc>
          <w:tcPr>
            <w:tcW w:w="1429" w:type="dxa"/>
            <w:tcBorders>
              <w:top w:val="nil"/>
              <w:left w:val="single" w:sz="16" w:space="0" w:color="000000"/>
              <w:bottom w:val="single" w:sz="16" w:space="0" w:color="000000"/>
              <w:right w:val="single" w:sz="16" w:space="0" w:color="000000"/>
            </w:tcBorders>
            <w:shd w:val="clear" w:color="auto" w:fill="FFFFFF"/>
            <w:vAlign w:val="center"/>
          </w:tcPr>
          <w:p w14:paraId="7DEF8E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.000</w:t>
            </w:r>
          </w:p>
        </w:tc>
      </w:tr>
    </w:tbl>
    <w:p w14:paraId="24ED51B1"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tbl>
      <w:tblPr>
        <w:tblW w:w="8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0"/>
        <w:gridCol w:w="1891"/>
        <w:gridCol w:w="2037"/>
      </w:tblGrid>
      <w:tr w:rsidR="00180B37" w:rsidRPr="00E01025" w14:paraId="7051EBD0" w14:textId="77777777" w:rsidTr="001770B4">
        <w:trPr>
          <w:cantSplit/>
          <w:trHeight w:val="176"/>
        </w:trPr>
        <w:tc>
          <w:tcPr>
            <w:tcW w:w="8518" w:type="dxa"/>
            <w:gridSpan w:val="3"/>
            <w:tcBorders>
              <w:top w:val="nil"/>
              <w:left w:val="nil"/>
              <w:bottom w:val="nil"/>
              <w:right w:val="nil"/>
            </w:tcBorders>
            <w:shd w:val="clear" w:color="auto" w:fill="FFFFFF"/>
          </w:tcPr>
          <w:p w14:paraId="3F63BCE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Communalities</w:t>
            </w:r>
          </w:p>
        </w:tc>
      </w:tr>
      <w:tr w:rsidR="00180B37" w:rsidRPr="00E01025" w14:paraId="0B3098A3" w14:textId="77777777" w:rsidTr="001770B4">
        <w:trPr>
          <w:cantSplit/>
          <w:trHeight w:val="549"/>
        </w:trPr>
        <w:tc>
          <w:tcPr>
            <w:tcW w:w="4590" w:type="dxa"/>
            <w:tcBorders>
              <w:top w:val="single" w:sz="16" w:space="0" w:color="000000"/>
              <w:left w:val="single" w:sz="16" w:space="0" w:color="000000"/>
              <w:bottom w:val="single" w:sz="16" w:space="0" w:color="000000"/>
              <w:right w:val="single" w:sz="16" w:space="0" w:color="000000"/>
            </w:tcBorders>
            <w:shd w:val="clear" w:color="auto" w:fill="FFFFFF"/>
          </w:tcPr>
          <w:p w14:paraId="11D06F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891" w:type="dxa"/>
            <w:tcBorders>
              <w:top w:val="single" w:sz="16" w:space="0" w:color="000000"/>
              <w:left w:val="single" w:sz="16" w:space="0" w:color="000000"/>
              <w:bottom w:val="single" w:sz="16" w:space="0" w:color="000000"/>
            </w:tcBorders>
            <w:shd w:val="clear" w:color="auto" w:fill="FFFFFF"/>
          </w:tcPr>
          <w:p w14:paraId="046061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w:t>
            </w:r>
          </w:p>
        </w:tc>
        <w:tc>
          <w:tcPr>
            <w:tcW w:w="2036" w:type="dxa"/>
            <w:tcBorders>
              <w:top w:val="single" w:sz="16" w:space="0" w:color="000000"/>
              <w:bottom w:val="single" w:sz="16" w:space="0" w:color="000000"/>
              <w:right w:val="single" w:sz="16" w:space="0" w:color="000000"/>
            </w:tcBorders>
            <w:shd w:val="clear" w:color="auto" w:fill="FFFFFF"/>
          </w:tcPr>
          <w:p w14:paraId="0081B6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w:t>
            </w:r>
          </w:p>
        </w:tc>
      </w:tr>
      <w:tr w:rsidR="00180B37" w:rsidRPr="00E01025" w14:paraId="4D1C7A3E" w14:textId="77777777" w:rsidTr="001770B4">
        <w:trPr>
          <w:cantSplit/>
          <w:trHeight w:val="539"/>
        </w:trPr>
        <w:tc>
          <w:tcPr>
            <w:tcW w:w="4590" w:type="dxa"/>
            <w:tcBorders>
              <w:top w:val="single" w:sz="16" w:space="0" w:color="000000"/>
              <w:left w:val="single" w:sz="16" w:space="0" w:color="000000"/>
              <w:bottom w:val="nil"/>
              <w:right w:val="single" w:sz="16" w:space="0" w:color="000000"/>
            </w:tcBorders>
            <w:shd w:val="clear" w:color="auto" w:fill="FFFFFF"/>
            <w:vAlign w:val="center"/>
          </w:tcPr>
          <w:p w14:paraId="625C6F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How affordable do you find the overall hospital expenses</w:t>
            </w:r>
          </w:p>
        </w:tc>
        <w:tc>
          <w:tcPr>
            <w:tcW w:w="1891" w:type="dxa"/>
            <w:tcBorders>
              <w:top w:val="single" w:sz="16" w:space="0" w:color="000000"/>
              <w:left w:val="single" w:sz="16" w:space="0" w:color="000000"/>
              <w:bottom w:val="nil"/>
            </w:tcBorders>
            <w:shd w:val="clear" w:color="auto" w:fill="FFFFFF"/>
            <w:vAlign w:val="center"/>
          </w:tcPr>
          <w:p w14:paraId="0F2494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single" w:sz="16" w:space="0" w:color="000000"/>
              <w:bottom w:val="nil"/>
              <w:right w:val="single" w:sz="16" w:space="0" w:color="000000"/>
            </w:tcBorders>
            <w:shd w:val="clear" w:color="auto" w:fill="FFFFFF"/>
            <w:vAlign w:val="center"/>
          </w:tcPr>
          <w:p w14:paraId="09639A2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.573</w:t>
            </w:r>
          </w:p>
        </w:tc>
      </w:tr>
      <w:tr w:rsidR="00180B37" w:rsidRPr="00E01025" w14:paraId="4EF4BDF1"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588A74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approximately the expenses in health care annually</w:t>
            </w:r>
          </w:p>
        </w:tc>
        <w:tc>
          <w:tcPr>
            <w:tcW w:w="1891" w:type="dxa"/>
            <w:tcBorders>
              <w:top w:val="nil"/>
              <w:left w:val="single" w:sz="16" w:space="0" w:color="000000"/>
              <w:bottom w:val="nil"/>
            </w:tcBorders>
            <w:shd w:val="clear" w:color="auto" w:fill="FFFFFF"/>
            <w:vAlign w:val="center"/>
          </w:tcPr>
          <w:p w14:paraId="529E02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12E3F9D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.356</w:t>
            </w:r>
          </w:p>
        </w:tc>
      </w:tr>
      <w:tr w:rsidR="00180B37" w:rsidRPr="00E01025" w14:paraId="00AB5944"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1E27A4A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main source of payment</w:t>
            </w:r>
          </w:p>
        </w:tc>
        <w:tc>
          <w:tcPr>
            <w:tcW w:w="1891" w:type="dxa"/>
            <w:tcBorders>
              <w:top w:val="nil"/>
              <w:left w:val="single" w:sz="16" w:space="0" w:color="000000"/>
              <w:bottom w:val="nil"/>
            </w:tcBorders>
            <w:shd w:val="clear" w:color="auto" w:fill="FFFFFF"/>
            <w:vAlign w:val="center"/>
          </w:tcPr>
          <w:p w14:paraId="71E4C6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0A4E32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.575</w:t>
            </w:r>
          </w:p>
        </w:tc>
      </w:tr>
      <w:tr w:rsidR="00180B37" w:rsidRPr="00E01025" w14:paraId="0C727D62"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488C30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Which type of hospital do you find more affordable</w:t>
            </w:r>
          </w:p>
        </w:tc>
        <w:tc>
          <w:tcPr>
            <w:tcW w:w="1891" w:type="dxa"/>
            <w:tcBorders>
              <w:top w:val="nil"/>
              <w:left w:val="single" w:sz="16" w:space="0" w:color="000000"/>
              <w:bottom w:val="nil"/>
            </w:tcBorders>
            <w:shd w:val="clear" w:color="auto" w:fill="FFFFFF"/>
            <w:vAlign w:val="center"/>
          </w:tcPr>
          <w:p w14:paraId="45217A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074D0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.644</w:t>
            </w:r>
          </w:p>
        </w:tc>
      </w:tr>
      <w:tr w:rsidR="00180B37" w:rsidRPr="00E01025" w14:paraId="1DDAFE18"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1F40D43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Are you aware of any government health insurance or financial assistance provided</w:t>
            </w:r>
          </w:p>
        </w:tc>
        <w:tc>
          <w:tcPr>
            <w:tcW w:w="1891" w:type="dxa"/>
            <w:tcBorders>
              <w:top w:val="nil"/>
              <w:left w:val="single" w:sz="16" w:space="0" w:color="000000"/>
              <w:bottom w:val="nil"/>
            </w:tcBorders>
            <w:shd w:val="clear" w:color="auto" w:fill="FFFFFF"/>
            <w:vAlign w:val="center"/>
          </w:tcPr>
          <w:p w14:paraId="151B3E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146A2A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.826</w:t>
            </w:r>
          </w:p>
        </w:tc>
      </w:tr>
      <w:tr w:rsidR="00180B37" w:rsidRPr="00E01025" w14:paraId="1CEA979D"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7552AA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Have you ever availed of any such scheme</w:t>
            </w:r>
          </w:p>
        </w:tc>
        <w:tc>
          <w:tcPr>
            <w:tcW w:w="1891" w:type="dxa"/>
            <w:tcBorders>
              <w:top w:val="nil"/>
              <w:left w:val="single" w:sz="16" w:space="0" w:color="000000"/>
              <w:bottom w:val="nil"/>
            </w:tcBorders>
            <w:shd w:val="clear" w:color="auto" w:fill="FFFFFF"/>
            <w:vAlign w:val="center"/>
          </w:tcPr>
          <w:p w14:paraId="7F5A10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D31071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.809</w:t>
            </w:r>
          </w:p>
        </w:tc>
      </w:tr>
      <w:tr w:rsidR="00180B37" w:rsidRPr="00E01025" w14:paraId="7D8567F7"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6EC71E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What major financial challenges did you face during your hospital visit</w:t>
            </w:r>
          </w:p>
        </w:tc>
        <w:tc>
          <w:tcPr>
            <w:tcW w:w="1891" w:type="dxa"/>
            <w:tcBorders>
              <w:top w:val="nil"/>
              <w:left w:val="single" w:sz="16" w:space="0" w:color="000000"/>
              <w:bottom w:val="nil"/>
            </w:tcBorders>
            <w:shd w:val="clear" w:color="auto" w:fill="FFFFFF"/>
            <w:vAlign w:val="center"/>
          </w:tcPr>
          <w:p w14:paraId="67F2A4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629808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.686</w:t>
            </w:r>
          </w:p>
        </w:tc>
      </w:tr>
      <w:tr w:rsidR="00180B37" w:rsidRPr="00E01025" w14:paraId="639D377E"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01F277E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Suggestions to  improve financial accessibility in hospitals</w:t>
            </w:r>
          </w:p>
        </w:tc>
        <w:tc>
          <w:tcPr>
            <w:tcW w:w="1891" w:type="dxa"/>
            <w:tcBorders>
              <w:top w:val="nil"/>
              <w:left w:val="single" w:sz="16" w:space="0" w:color="000000"/>
              <w:bottom w:val="nil"/>
            </w:tcBorders>
            <w:shd w:val="clear" w:color="auto" w:fill="FFFFFF"/>
            <w:vAlign w:val="center"/>
          </w:tcPr>
          <w:p w14:paraId="4DEF89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9699C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.538</w:t>
            </w:r>
          </w:p>
        </w:tc>
      </w:tr>
      <w:tr w:rsidR="00180B37" w:rsidRPr="00E01025" w14:paraId="2EDF1D4C"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2166C59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Rate your overall satisfaction with the financial aspects of your hospital experience</w:t>
            </w:r>
          </w:p>
        </w:tc>
        <w:tc>
          <w:tcPr>
            <w:tcW w:w="1891" w:type="dxa"/>
            <w:tcBorders>
              <w:top w:val="nil"/>
              <w:left w:val="single" w:sz="16" w:space="0" w:color="000000"/>
              <w:bottom w:val="nil"/>
            </w:tcBorders>
            <w:shd w:val="clear" w:color="auto" w:fill="FFFFFF"/>
            <w:vAlign w:val="center"/>
          </w:tcPr>
          <w:p w14:paraId="7EB75C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B7191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.606</w:t>
            </w:r>
          </w:p>
        </w:tc>
      </w:tr>
      <w:tr w:rsidR="00180B37" w:rsidRPr="00E01025" w14:paraId="68178B46"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4073B18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have access to any scheme</w:t>
            </w:r>
          </w:p>
        </w:tc>
        <w:tc>
          <w:tcPr>
            <w:tcW w:w="1891" w:type="dxa"/>
            <w:tcBorders>
              <w:top w:val="nil"/>
              <w:left w:val="single" w:sz="16" w:space="0" w:color="000000"/>
              <w:bottom w:val="nil"/>
            </w:tcBorders>
            <w:shd w:val="clear" w:color="auto" w:fill="FFFFFF"/>
            <w:vAlign w:val="center"/>
          </w:tcPr>
          <w:p w14:paraId="316EFF8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0A4DDC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.702</w:t>
            </w:r>
          </w:p>
        </w:tc>
      </w:tr>
      <w:tr w:rsidR="00180B37" w:rsidRPr="00E01025" w14:paraId="34177C4B" w14:textId="77777777" w:rsidTr="001770B4">
        <w:trPr>
          <w:cantSplit/>
          <w:trHeight w:val="725"/>
        </w:trPr>
        <w:tc>
          <w:tcPr>
            <w:tcW w:w="4590" w:type="dxa"/>
            <w:tcBorders>
              <w:top w:val="nil"/>
              <w:left w:val="single" w:sz="16" w:space="0" w:color="000000"/>
              <w:bottom w:val="single" w:sz="16" w:space="0" w:color="000000"/>
              <w:right w:val="single" w:sz="16" w:space="0" w:color="000000"/>
            </w:tcBorders>
            <w:shd w:val="clear" w:color="auto" w:fill="FFFFFF"/>
            <w:vAlign w:val="center"/>
          </w:tcPr>
          <w:p w14:paraId="6A46DF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think the cost of treatment matches the quality of services provided</w:t>
            </w:r>
          </w:p>
        </w:tc>
        <w:tc>
          <w:tcPr>
            <w:tcW w:w="1891" w:type="dxa"/>
            <w:tcBorders>
              <w:top w:val="nil"/>
              <w:left w:val="single" w:sz="16" w:space="0" w:color="000000"/>
              <w:bottom w:val="single" w:sz="16" w:space="0" w:color="000000"/>
            </w:tcBorders>
            <w:shd w:val="clear" w:color="auto" w:fill="FFFFFF"/>
            <w:vAlign w:val="center"/>
          </w:tcPr>
          <w:p w14:paraId="3BFE369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single" w:sz="16" w:space="0" w:color="000000"/>
              <w:right w:val="single" w:sz="16" w:space="0" w:color="000000"/>
            </w:tcBorders>
            <w:shd w:val="clear" w:color="auto" w:fill="FFFFFF"/>
            <w:vAlign w:val="center"/>
          </w:tcPr>
          <w:p w14:paraId="22806E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.662</w:t>
            </w:r>
          </w:p>
        </w:tc>
      </w:tr>
      <w:tr w:rsidR="00180B37" w:rsidRPr="00E01025" w14:paraId="481FAA30" w14:textId="77777777" w:rsidTr="001770B4">
        <w:trPr>
          <w:cantSplit/>
          <w:trHeight w:val="176"/>
        </w:trPr>
        <w:tc>
          <w:tcPr>
            <w:tcW w:w="8518" w:type="dxa"/>
            <w:gridSpan w:val="3"/>
            <w:tcBorders>
              <w:top w:val="nil"/>
              <w:left w:val="nil"/>
              <w:bottom w:val="nil"/>
              <w:right w:val="nil"/>
            </w:tcBorders>
            <w:shd w:val="clear" w:color="auto" w:fill="FFFFFF"/>
            <w:vAlign w:val="center"/>
          </w:tcPr>
          <w:p w14:paraId="040829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1D0D84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4067B7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7BAF2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6783C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806F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712EF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A239A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F50D4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bl>
      <w:tblPr>
        <w:tblW w:w="9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1008"/>
        <w:gridCol w:w="1423"/>
        <w:gridCol w:w="1438"/>
        <w:gridCol w:w="1148"/>
        <w:gridCol w:w="1423"/>
        <w:gridCol w:w="1438"/>
      </w:tblGrid>
      <w:tr w:rsidR="00180B37" w:rsidRPr="00E01025" w14:paraId="7A1D40EB" w14:textId="77777777" w:rsidTr="001770B4">
        <w:trPr>
          <w:cantSplit/>
        </w:trPr>
        <w:tc>
          <w:tcPr>
            <w:tcW w:w="9143" w:type="dxa"/>
            <w:gridSpan w:val="7"/>
            <w:tcBorders>
              <w:top w:val="nil"/>
              <w:left w:val="nil"/>
              <w:bottom w:val="nil"/>
              <w:right w:val="nil"/>
            </w:tcBorders>
            <w:shd w:val="clear" w:color="auto" w:fill="FFFFFF"/>
          </w:tcPr>
          <w:p w14:paraId="0E0BEA0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Total Variance Explained</w:t>
            </w:r>
          </w:p>
        </w:tc>
      </w:tr>
      <w:tr w:rsidR="00180B37" w:rsidRPr="00E01025" w14:paraId="3B573108" w14:textId="77777777" w:rsidTr="001770B4">
        <w:trPr>
          <w:cantSplit/>
        </w:trPr>
        <w:tc>
          <w:tcPr>
            <w:tcW w:w="1269" w:type="dxa"/>
            <w:vMerge w:val="restart"/>
            <w:tcBorders>
              <w:top w:val="single" w:sz="16" w:space="0" w:color="000000"/>
              <w:left w:val="single" w:sz="16" w:space="0" w:color="000000"/>
              <w:bottom w:val="nil"/>
              <w:right w:val="single" w:sz="16" w:space="0" w:color="000000"/>
            </w:tcBorders>
            <w:shd w:val="clear" w:color="auto" w:fill="FFFFFF"/>
          </w:tcPr>
          <w:p w14:paraId="4F5061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Component</w:t>
            </w:r>
          </w:p>
        </w:tc>
        <w:tc>
          <w:tcPr>
            <w:tcW w:w="3868" w:type="dxa"/>
            <w:gridSpan w:val="3"/>
            <w:tcBorders>
              <w:top w:val="single" w:sz="16" w:space="0" w:color="000000"/>
              <w:left w:val="single" w:sz="16" w:space="0" w:color="000000"/>
            </w:tcBorders>
            <w:shd w:val="clear" w:color="auto" w:fill="FFFFFF"/>
          </w:tcPr>
          <w:p w14:paraId="59B25A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 Eigenvalues</w:t>
            </w:r>
          </w:p>
        </w:tc>
        <w:tc>
          <w:tcPr>
            <w:tcW w:w="4006" w:type="dxa"/>
            <w:gridSpan w:val="3"/>
            <w:tcBorders>
              <w:top w:val="single" w:sz="16" w:space="0" w:color="000000"/>
            </w:tcBorders>
            <w:shd w:val="clear" w:color="auto" w:fill="FFFFFF"/>
          </w:tcPr>
          <w:p w14:paraId="2A4BDC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Sums of Squared Loadings</w:t>
            </w:r>
          </w:p>
        </w:tc>
      </w:tr>
      <w:tr w:rsidR="00180B37" w:rsidRPr="00E01025" w14:paraId="2F11EF62" w14:textId="77777777" w:rsidTr="001770B4">
        <w:trPr>
          <w:cantSplit/>
        </w:trPr>
        <w:tc>
          <w:tcPr>
            <w:tcW w:w="1269" w:type="dxa"/>
            <w:vMerge/>
            <w:tcBorders>
              <w:top w:val="single" w:sz="16" w:space="0" w:color="000000"/>
              <w:left w:val="single" w:sz="16" w:space="0" w:color="000000"/>
              <w:bottom w:val="nil"/>
              <w:right w:val="single" w:sz="16" w:space="0" w:color="000000"/>
            </w:tcBorders>
            <w:shd w:val="clear" w:color="auto" w:fill="FFFFFF"/>
          </w:tcPr>
          <w:p w14:paraId="1B00D68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009" w:type="dxa"/>
            <w:tcBorders>
              <w:left w:val="single" w:sz="16" w:space="0" w:color="000000"/>
              <w:bottom w:val="single" w:sz="16" w:space="0" w:color="000000"/>
            </w:tcBorders>
            <w:shd w:val="clear" w:color="auto" w:fill="FFFFFF"/>
          </w:tcPr>
          <w:p w14:paraId="0A32AB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4EEBD8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tcBorders>
            <w:shd w:val="clear" w:color="auto" w:fill="FFFFFF"/>
          </w:tcPr>
          <w:p w14:paraId="65EA3B9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c>
          <w:tcPr>
            <w:tcW w:w="1147" w:type="dxa"/>
            <w:tcBorders>
              <w:bottom w:val="single" w:sz="16" w:space="0" w:color="000000"/>
            </w:tcBorders>
            <w:shd w:val="clear" w:color="auto" w:fill="FFFFFF"/>
          </w:tcPr>
          <w:p w14:paraId="65FDBF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2B291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right w:val="single" w:sz="16" w:space="0" w:color="000000"/>
            </w:tcBorders>
            <w:shd w:val="clear" w:color="auto" w:fill="FFFFFF"/>
          </w:tcPr>
          <w:p w14:paraId="2792354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r>
      <w:tr w:rsidR="00180B37" w:rsidRPr="00E01025" w14:paraId="0590C3B8" w14:textId="77777777" w:rsidTr="001770B4">
        <w:trPr>
          <w:cantSplit/>
        </w:trPr>
        <w:tc>
          <w:tcPr>
            <w:tcW w:w="1269" w:type="dxa"/>
            <w:tcBorders>
              <w:top w:val="single" w:sz="16" w:space="0" w:color="000000"/>
              <w:left w:val="single" w:sz="16" w:space="0" w:color="000000"/>
              <w:bottom w:val="nil"/>
              <w:right w:val="single" w:sz="16" w:space="0" w:color="000000"/>
            </w:tcBorders>
            <w:shd w:val="clear" w:color="auto" w:fill="FFFFFF"/>
            <w:vAlign w:val="center"/>
          </w:tcPr>
          <w:p w14:paraId="5E19443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w:t>
            </w:r>
          </w:p>
        </w:tc>
        <w:tc>
          <w:tcPr>
            <w:tcW w:w="1009" w:type="dxa"/>
            <w:tcBorders>
              <w:top w:val="single" w:sz="16" w:space="0" w:color="000000"/>
              <w:left w:val="single" w:sz="16" w:space="0" w:color="000000"/>
              <w:bottom w:val="nil"/>
            </w:tcBorders>
            <w:shd w:val="clear" w:color="auto" w:fill="FFFFFF"/>
            <w:vAlign w:val="center"/>
          </w:tcPr>
          <w:p w14:paraId="0A5BB68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7B74F3E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tcBorders>
            <w:shd w:val="clear" w:color="auto" w:fill="FFFFFF"/>
            <w:vAlign w:val="center"/>
          </w:tcPr>
          <w:p w14:paraId="50BE205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147" w:type="dxa"/>
            <w:tcBorders>
              <w:top w:val="single" w:sz="16" w:space="0" w:color="000000"/>
              <w:bottom w:val="nil"/>
            </w:tcBorders>
            <w:shd w:val="clear" w:color="auto" w:fill="FFFFFF"/>
            <w:vAlign w:val="center"/>
          </w:tcPr>
          <w:p w14:paraId="28EA81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4783FA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right w:val="single" w:sz="16" w:space="0" w:color="000000"/>
            </w:tcBorders>
            <w:shd w:val="clear" w:color="auto" w:fill="FFFFFF"/>
            <w:vAlign w:val="center"/>
          </w:tcPr>
          <w:p w14:paraId="2D35D7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r>
      <w:tr w:rsidR="00180B37" w:rsidRPr="00E01025" w14:paraId="55BD980F"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DB126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w:t>
            </w:r>
          </w:p>
        </w:tc>
        <w:tc>
          <w:tcPr>
            <w:tcW w:w="1009" w:type="dxa"/>
            <w:tcBorders>
              <w:top w:val="nil"/>
              <w:left w:val="single" w:sz="16" w:space="0" w:color="000000"/>
              <w:bottom w:val="nil"/>
            </w:tcBorders>
            <w:shd w:val="clear" w:color="auto" w:fill="FFFFFF"/>
            <w:vAlign w:val="center"/>
          </w:tcPr>
          <w:p w14:paraId="3011D53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372CEB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tcBorders>
            <w:shd w:val="clear" w:color="auto" w:fill="FFFFFF"/>
            <w:vAlign w:val="center"/>
          </w:tcPr>
          <w:p w14:paraId="514DD62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c>
          <w:tcPr>
            <w:tcW w:w="1147" w:type="dxa"/>
            <w:tcBorders>
              <w:top w:val="nil"/>
              <w:bottom w:val="nil"/>
            </w:tcBorders>
            <w:shd w:val="clear" w:color="auto" w:fill="FFFFFF"/>
            <w:vAlign w:val="center"/>
          </w:tcPr>
          <w:p w14:paraId="321C82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0ABB28E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right w:val="single" w:sz="16" w:space="0" w:color="000000"/>
            </w:tcBorders>
            <w:shd w:val="clear" w:color="auto" w:fill="FFFFFF"/>
            <w:vAlign w:val="center"/>
          </w:tcPr>
          <w:p w14:paraId="491C177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r>
      <w:tr w:rsidR="00180B37" w:rsidRPr="00E01025" w14:paraId="605854A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657F51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w:t>
            </w:r>
          </w:p>
        </w:tc>
        <w:tc>
          <w:tcPr>
            <w:tcW w:w="1009" w:type="dxa"/>
            <w:tcBorders>
              <w:top w:val="nil"/>
              <w:left w:val="single" w:sz="16" w:space="0" w:color="000000"/>
              <w:bottom w:val="nil"/>
            </w:tcBorders>
            <w:shd w:val="clear" w:color="auto" w:fill="FFFFFF"/>
            <w:vAlign w:val="center"/>
          </w:tcPr>
          <w:p w14:paraId="605895D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1782E3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tcBorders>
            <w:shd w:val="clear" w:color="auto" w:fill="FFFFFF"/>
            <w:vAlign w:val="center"/>
          </w:tcPr>
          <w:p w14:paraId="3A9101A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c>
          <w:tcPr>
            <w:tcW w:w="1147" w:type="dxa"/>
            <w:tcBorders>
              <w:top w:val="nil"/>
              <w:bottom w:val="nil"/>
            </w:tcBorders>
            <w:shd w:val="clear" w:color="auto" w:fill="FFFFFF"/>
            <w:vAlign w:val="center"/>
          </w:tcPr>
          <w:p w14:paraId="67F8C35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D6C08B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right w:val="single" w:sz="16" w:space="0" w:color="000000"/>
            </w:tcBorders>
            <w:shd w:val="clear" w:color="auto" w:fill="FFFFFF"/>
            <w:vAlign w:val="center"/>
          </w:tcPr>
          <w:p w14:paraId="449698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r>
      <w:tr w:rsidR="00180B37" w:rsidRPr="00E01025" w14:paraId="1B07A525"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7B388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w:t>
            </w:r>
          </w:p>
        </w:tc>
        <w:tc>
          <w:tcPr>
            <w:tcW w:w="1009" w:type="dxa"/>
            <w:tcBorders>
              <w:top w:val="nil"/>
              <w:left w:val="single" w:sz="16" w:space="0" w:color="000000"/>
              <w:bottom w:val="nil"/>
            </w:tcBorders>
            <w:shd w:val="clear" w:color="auto" w:fill="FFFFFF"/>
            <w:vAlign w:val="center"/>
          </w:tcPr>
          <w:p w14:paraId="7D835CD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338E2E2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tcBorders>
            <w:shd w:val="clear" w:color="auto" w:fill="FFFFFF"/>
            <w:vAlign w:val="center"/>
          </w:tcPr>
          <w:p w14:paraId="708E4E7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c>
          <w:tcPr>
            <w:tcW w:w="1147" w:type="dxa"/>
            <w:tcBorders>
              <w:top w:val="nil"/>
              <w:bottom w:val="nil"/>
            </w:tcBorders>
            <w:shd w:val="clear" w:color="auto" w:fill="FFFFFF"/>
            <w:vAlign w:val="center"/>
          </w:tcPr>
          <w:p w14:paraId="1E65D89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443308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right w:val="single" w:sz="16" w:space="0" w:color="000000"/>
            </w:tcBorders>
            <w:shd w:val="clear" w:color="auto" w:fill="FFFFFF"/>
            <w:vAlign w:val="center"/>
          </w:tcPr>
          <w:p w14:paraId="74D1431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r>
      <w:tr w:rsidR="00180B37" w:rsidRPr="00E01025" w14:paraId="7509FAC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0F5743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w:t>
            </w:r>
          </w:p>
        </w:tc>
        <w:tc>
          <w:tcPr>
            <w:tcW w:w="1009" w:type="dxa"/>
            <w:tcBorders>
              <w:top w:val="nil"/>
              <w:left w:val="single" w:sz="16" w:space="0" w:color="000000"/>
              <w:bottom w:val="nil"/>
            </w:tcBorders>
            <w:shd w:val="clear" w:color="auto" w:fill="FFFFFF"/>
            <w:vAlign w:val="center"/>
          </w:tcPr>
          <w:p w14:paraId="21C73A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.883</w:t>
            </w:r>
          </w:p>
        </w:tc>
        <w:tc>
          <w:tcPr>
            <w:tcW w:w="1422" w:type="dxa"/>
            <w:tcBorders>
              <w:top w:val="nil"/>
              <w:bottom w:val="nil"/>
            </w:tcBorders>
            <w:shd w:val="clear" w:color="auto" w:fill="FFFFFF"/>
            <w:vAlign w:val="center"/>
          </w:tcPr>
          <w:p w14:paraId="730F0A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8.027</w:t>
            </w:r>
          </w:p>
        </w:tc>
        <w:tc>
          <w:tcPr>
            <w:tcW w:w="1437" w:type="dxa"/>
            <w:tcBorders>
              <w:top w:val="nil"/>
              <w:bottom w:val="nil"/>
            </w:tcBorders>
            <w:shd w:val="clear" w:color="auto" w:fill="FFFFFF"/>
            <w:vAlign w:val="center"/>
          </w:tcPr>
          <w:p w14:paraId="231BD85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71.445</w:t>
            </w:r>
          </w:p>
        </w:tc>
        <w:tc>
          <w:tcPr>
            <w:tcW w:w="1147" w:type="dxa"/>
            <w:tcBorders>
              <w:top w:val="nil"/>
              <w:bottom w:val="nil"/>
            </w:tcBorders>
            <w:shd w:val="clear" w:color="auto" w:fill="FFFFFF"/>
          </w:tcPr>
          <w:p w14:paraId="7E4665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6DAC1E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7F26229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39C25B0"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AE5C0B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6</w:t>
            </w:r>
          </w:p>
        </w:tc>
        <w:tc>
          <w:tcPr>
            <w:tcW w:w="1009" w:type="dxa"/>
            <w:tcBorders>
              <w:top w:val="nil"/>
              <w:left w:val="single" w:sz="16" w:space="0" w:color="000000"/>
              <w:bottom w:val="nil"/>
            </w:tcBorders>
            <w:shd w:val="clear" w:color="auto" w:fill="FFFFFF"/>
            <w:vAlign w:val="center"/>
          </w:tcPr>
          <w:p w14:paraId="7B1EF7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.736</w:t>
            </w:r>
          </w:p>
        </w:tc>
        <w:tc>
          <w:tcPr>
            <w:tcW w:w="1422" w:type="dxa"/>
            <w:tcBorders>
              <w:top w:val="nil"/>
              <w:bottom w:val="nil"/>
            </w:tcBorders>
            <w:shd w:val="clear" w:color="auto" w:fill="FFFFFF"/>
            <w:vAlign w:val="center"/>
          </w:tcPr>
          <w:p w14:paraId="6DF7E3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6.694</w:t>
            </w:r>
          </w:p>
        </w:tc>
        <w:tc>
          <w:tcPr>
            <w:tcW w:w="1437" w:type="dxa"/>
            <w:tcBorders>
              <w:top w:val="nil"/>
              <w:bottom w:val="nil"/>
            </w:tcBorders>
            <w:shd w:val="clear" w:color="auto" w:fill="FFFFFF"/>
            <w:vAlign w:val="center"/>
          </w:tcPr>
          <w:p w14:paraId="59ECABB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78.138</w:t>
            </w:r>
          </w:p>
        </w:tc>
        <w:tc>
          <w:tcPr>
            <w:tcW w:w="1147" w:type="dxa"/>
            <w:tcBorders>
              <w:top w:val="nil"/>
              <w:bottom w:val="nil"/>
            </w:tcBorders>
            <w:shd w:val="clear" w:color="auto" w:fill="FFFFFF"/>
          </w:tcPr>
          <w:p w14:paraId="678441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57D78A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02D6C0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76A16E33"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85E910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w:t>
            </w:r>
          </w:p>
        </w:tc>
        <w:tc>
          <w:tcPr>
            <w:tcW w:w="1009" w:type="dxa"/>
            <w:tcBorders>
              <w:top w:val="nil"/>
              <w:left w:val="single" w:sz="16" w:space="0" w:color="000000"/>
              <w:bottom w:val="nil"/>
            </w:tcBorders>
            <w:shd w:val="clear" w:color="auto" w:fill="FFFFFF"/>
            <w:vAlign w:val="center"/>
          </w:tcPr>
          <w:p w14:paraId="7EEDA9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.693</w:t>
            </w:r>
          </w:p>
        </w:tc>
        <w:tc>
          <w:tcPr>
            <w:tcW w:w="1422" w:type="dxa"/>
            <w:tcBorders>
              <w:top w:val="nil"/>
              <w:bottom w:val="nil"/>
            </w:tcBorders>
            <w:shd w:val="clear" w:color="auto" w:fill="FFFFFF"/>
            <w:vAlign w:val="center"/>
          </w:tcPr>
          <w:p w14:paraId="7E8A60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6.301</w:t>
            </w:r>
          </w:p>
        </w:tc>
        <w:tc>
          <w:tcPr>
            <w:tcW w:w="1437" w:type="dxa"/>
            <w:tcBorders>
              <w:top w:val="nil"/>
              <w:bottom w:val="nil"/>
            </w:tcBorders>
            <w:shd w:val="clear" w:color="auto" w:fill="FFFFFF"/>
            <w:vAlign w:val="center"/>
          </w:tcPr>
          <w:p w14:paraId="1D93CF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84.440</w:t>
            </w:r>
          </w:p>
        </w:tc>
        <w:tc>
          <w:tcPr>
            <w:tcW w:w="1147" w:type="dxa"/>
            <w:tcBorders>
              <w:top w:val="nil"/>
              <w:bottom w:val="nil"/>
            </w:tcBorders>
            <w:shd w:val="clear" w:color="auto" w:fill="FFFFFF"/>
          </w:tcPr>
          <w:p w14:paraId="4A7A26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67F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1EF6A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6F94C8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2A0D86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w:t>
            </w:r>
          </w:p>
        </w:tc>
        <w:tc>
          <w:tcPr>
            <w:tcW w:w="1009" w:type="dxa"/>
            <w:tcBorders>
              <w:top w:val="nil"/>
              <w:left w:val="single" w:sz="16" w:space="0" w:color="000000"/>
              <w:bottom w:val="nil"/>
            </w:tcBorders>
            <w:shd w:val="clear" w:color="auto" w:fill="FFFFFF"/>
            <w:vAlign w:val="center"/>
          </w:tcPr>
          <w:p w14:paraId="63F36C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.649</w:t>
            </w:r>
          </w:p>
        </w:tc>
        <w:tc>
          <w:tcPr>
            <w:tcW w:w="1422" w:type="dxa"/>
            <w:tcBorders>
              <w:top w:val="nil"/>
              <w:bottom w:val="nil"/>
            </w:tcBorders>
            <w:shd w:val="clear" w:color="auto" w:fill="FFFFFF"/>
            <w:vAlign w:val="center"/>
          </w:tcPr>
          <w:p w14:paraId="0C901DE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5.896</w:t>
            </w:r>
          </w:p>
        </w:tc>
        <w:tc>
          <w:tcPr>
            <w:tcW w:w="1437" w:type="dxa"/>
            <w:tcBorders>
              <w:top w:val="nil"/>
              <w:bottom w:val="nil"/>
            </w:tcBorders>
            <w:shd w:val="clear" w:color="auto" w:fill="FFFFFF"/>
            <w:vAlign w:val="center"/>
          </w:tcPr>
          <w:p w14:paraId="0FD6CC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90.336</w:t>
            </w:r>
          </w:p>
        </w:tc>
        <w:tc>
          <w:tcPr>
            <w:tcW w:w="1147" w:type="dxa"/>
            <w:tcBorders>
              <w:top w:val="nil"/>
              <w:bottom w:val="nil"/>
            </w:tcBorders>
            <w:shd w:val="clear" w:color="auto" w:fill="FFFFFF"/>
          </w:tcPr>
          <w:p w14:paraId="3E7BB7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4254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2AB32E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6635E99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4F8F7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w:t>
            </w:r>
          </w:p>
        </w:tc>
        <w:tc>
          <w:tcPr>
            <w:tcW w:w="1009" w:type="dxa"/>
            <w:tcBorders>
              <w:top w:val="nil"/>
              <w:left w:val="single" w:sz="16" w:space="0" w:color="000000"/>
              <w:bottom w:val="nil"/>
            </w:tcBorders>
            <w:shd w:val="clear" w:color="auto" w:fill="FFFFFF"/>
            <w:vAlign w:val="center"/>
          </w:tcPr>
          <w:p w14:paraId="2E2DC0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.482</w:t>
            </w:r>
          </w:p>
        </w:tc>
        <w:tc>
          <w:tcPr>
            <w:tcW w:w="1422" w:type="dxa"/>
            <w:tcBorders>
              <w:top w:val="nil"/>
              <w:bottom w:val="nil"/>
            </w:tcBorders>
            <w:shd w:val="clear" w:color="auto" w:fill="FFFFFF"/>
            <w:vAlign w:val="center"/>
          </w:tcPr>
          <w:p w14:paraId="2C39E1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4.379</w:t>
            </w:r>
          </w:p>
        </w:tc>
        <w:tc>
          <w:tcPr>
            <w:tcW w:w="1437" w:type="dxa"/>
            <w:tcBorders>
              <w:top w:val="nil"/>
              <w:bottom w:val="nil"/>
            </w:tcBorders>
            <w:shd w:val="clear" w:color="auto" w:fill="FFFFFF"/>
            <w:vAlign w:val="center"/>
          </w:tcPr>
          <w:p w14:paraId="438799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94.715</w:t>
            </w:r>
          </w:p>
        </w:tc>
        <w:tc>
          <w:tcPr>
            <w:tcW w:w="1147" w:type="dxa"/>
            <w:tcBorders>
              <w:top w:val="nil"/>
              <w:bottom w:val="nil"/>
            </w:tcBorders>
            <w:shd w:val="clear" w:color="auto" w:fill="FFFFFF"/>
          </w:tcPr>
          <w:p w14:paraId="4413197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C4C9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37662F6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4C14C0D7"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D4E6DB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w:t>
            </w:r>
          </w:p>
        </w:tc>
        <w:tc>
          <w:tcPr>
            <w:tcW w:w="1009" w:type="dxa"/>
            <w:tcBorders>
              <w:top w:val="nil"/>
              <w:left w:val="single" w:sz="16" w:space="0" w:color="000000"/>
              <w:bottom w:val="nil"/>
            </w:tcBorders>
            <w:shd w:val="clear" w:color="auto" w:fill="FFFFFF"/>
            <w:vAlign w:val="center"/>
          </w:tcPr>
          <w:p w14:paraId="04D4D4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.345</w:t>
            </w:r>
          </w:p>
        </w:tc>
        <w:tc>
          <w:tcPr>
            <w:tcW w:w="1422" w:type="dxa"/>
            <w:tcBorders>
              <w:top w:val="nil"/>
              <w:bottom w:val="nil"/>
            </w:tcBorders>
            <w:shd w:val="clear" w:color="auto" w:fill="FFFFFF"/>
            <w:vAlign w:val="center"/>
          </w:tcPr>
          <w:p w14:paraId="73E877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3.136</w:t>
            </w:r>
          </w:p>
        </w:tc>
        <w:tc>
          <w:tcPr>
            <w:tcW w:w="1437" w:type="dxa"/>
            <w:tcBorders>
              <w:top w:val="nil"/>
              <w:bottom w:val="nil"/>
            </w:tcBorders>
            <w:shd w:val="clear" w:color="auto" w:fill="FFFFFF"/>
            <w:vAlign w:val="center"/>
          </w:tcPr>
          <w:p w14:paraId="3835D8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97.851</w:t>
            </w:r>
          </w:p>
        </w:tc>
        <w:tc>
          <w:tcPr>
            <w:tcW w:w="1147" w:type="dxa"/>
            <w:tcBorders>
              <w:top w:val="nil"/>
              <w:bottom w:val="nil"/>
            </w:tcBorders>
            <w:shd w:val="clear" w:color="auto" w:fill="FFFFFF"/>
          </w:tcPr>
          <w:p w14:paraId="04BFBFB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B2D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528B7BA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09130CC" w14:textId="77777777" w:rsidTr="001770B4">
        <w:trPr>
          <w:cantSplit/>
        </w:trPr>
        <w:tc>
          <w:tcPr>
            <w:tcW w:w="1269" w:type="dxa"/>
            <w:tcBorders>
              <w:top w:val="nil"/>
              <w:left w:val="single" w:sz="16" w:space="0" w:color="000000"/>
              <w:bottom w:val="single" w:sz="16" w:space="0" w:color="000000"/>
              <w:right w:val="single" w:sz="16" w:space="0" w:color="000000"/>
            </w:tcBorders>
            <w:shd w:val="clear" w:color="auto" w:fill="FFFFFF"/>
            <w:vAlign w:val="center"/>
          </w:tcPr>
          <w:p w14:paraId="5336D0E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w:t>
            </w:r>
          </w:p>
        </w:tc>
        <w:tc>
          <w:tcPr>
            <w:tcW w:w="1009" w:type="dxa"/>
            <w:tcBorders>
              <w:top w:val="nil"/>
              <w:left w:val="single" w:sz="16" w:space="0" w:color="000000"/>
              <w:bottom w:val="single" w:sz="16" w:space="0" w:color="000000"/>
            </w:tcBorders>
            <w:shd w:val="clear" w:color="auto" w:fill="FFFFFF"/>
            <w:vAlign w:val="center"/>
          </w:tcPr>
          <w:p w14:paraId="78F8C46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.236</w:t>
            </w:r>
          </w:p>
        </w:tc>
        <w:tc>
          <w:tcPr>
            <w:tcW w:w="1422" w:type="dxa"/>
            <w:tcBorders>
              <w:top w:val="nil"/>
              <w:bottom w:val="single" w:sz="16" w:space="0" w:color="000000"/>
            </w:tcBorders>
            <w:shd w:val="clear" w:color="auto" w:fill="FFFFFF"/>
            <w:vAlign w:val="center"/>
          </w:tcPr>
          <w:p w14:paraId="7A93436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2.149</w:t>
            </w:r>
          </w:p>
        </w:tc>
        <w:tc>
          <w:tcPr>
            <w:tcW w:w="1437" w:type="dxa"/>
            <w:tcBorders>
              <w:top w:val="nil"/>
              <w:bottom w:val="single" w:sz="16" w:space="0" w:color="000000"/>
            </w:tcBorders>
            <w:shd w:val="clear" w:color="auto" w:fill="FFFFFF"/>
            <w:vAlign w:val="center"/>
          </w:tcPr>
          <w:p w14:paraId="7E8E028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100.000</w:t>
            </w:r>
          </w:p>
        </w:tc>
        <w:tc>
          <w:tcPr>
            <w:tcW w:w="1147" w:type="dxa"/>
            <w:tcBorders>
              <w:top w:val="nil"/>
              <w:bottom w:val="single" w:sz="16" w:space="0" w:color="000000"/>
            </w:tcBorders>
            <w:shd w:val="clear" w:color="auto" w:fill="FFFFFF"/>
          </w:tcPr>
          <w:p w14:paraId="29052C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single" w:sz="16" w:space="0" w:color="000000"/>
            </w:tcBorders>
            <w:shd w:val="clear" w:color="auto" w:fill="FFFFFF"/>
          </w:tcPr>
          <w:p w14:paraId="4677AB3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single" w:sz="16" w:space="0" w:color="000000"/>
              <w:right w:val="single" w:sz="16" w:space="0" w:color="000000"/>
            </w:tcBorders>
            <w:shd w:val="clear" w:color="auto" w:fill="FFFFFF"/>
          </w:tcPr>
          <w:p w14:paraId="77EF40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D8A137D" w14:textId="77777777" w:rsidTr="001770B4">
        <w:trPr>
          <w:cantSplit/>
        </w:trPr>
        <w:tc>
          <w:tcPr>
            <w:tcW w:w="9143" w:type="dxa"/>
            <w:gridSpan w:val="7"/>
            <w:tcBorders>
              <w:top w:val="nil"/>
              <w:left w:val="nil"/>
              <w:bottom w:val="nil"/>
              <w:right w:val="nil"/>
            </w:tcBorders>
            <w:shd w:val="clear" w:color="auto" w:fill="FFFFFF"/>
            <w:vAlign w:val="center"/>
          </w:tcPr>
          <w:p w14:paraId="4D09D7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51A58E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D0B1F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7481EB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4CFC92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6468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114A0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F5DC17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D3B4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6CD88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F2D6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02B291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2D45B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7B414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289E61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F4E12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1069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0D5CDD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46201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3F3D6E"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p w14:paraId="3B248026" w14:textId="1EFF6F63" w:rsidR="00180B37" w:rsidRPr="00E01025" w:rsidRDefault="00180B37" w:rsidP="00695372">
      <w:pPr>
        <w:pStyle w:val="ListParagraph"/>
        <w:spacing w:before="100" w:beforeAutospacing="1" w:after="100" w:afterAutospacing="1" w:line="360" w:lineRule="auto"/>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Appendix </w:t>
      </w:r>
      <w:r w:rsidR="00695372">
        <w:rPr>
          <w:rFonts w:ascii="Arial" w:hAnsi="Arial" w:cs="Arial"/>
          <w:b/>
          <w:bCs/>
          <w:color w:val="000000" w:themeColor="text1"/>
          <w:sz w:val="20"/>
          <w:szCs w:val="20"/>
        </w:rPr>
        <w:t>1</w:t>
      </w:r>
    </w:p>
    <w:p w14:paraId="02550DD2"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 xml:space="preserve">Section A: General information  </w:t>
      </w:r>
    </w:p>
    <w:p w14:paraId="13FFE6DE"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Age </w:t>
      </w:r>
    </w:p>
    <w:p w14:paraId="5B488141"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Below 18 (     )   18-30 (    )        31-45 (    )         41-60 (     )       Above 60(   )</w:t>
      </w:r>
    </w:p>
    <w:p w14:paraId="07938AB6"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lastRenderedPageBreak/>
        <w:t xml:space="preserve">Gender </w:t>
      </w:r>
    </w:p>
    <w:p w14:paraId="423D1167"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Male (    )     female(      )      other </w:t>
      </w:r>
    </w:p>
    <w:p w14:paraId="3BD1797B"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Literacy status </w:t>
      </w:r>
    </w:p>
    <w:p w14:paraId="6E2E2E16"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Literate (    )       illiterate (     )</w:t>
      </w:r>
    </w:p>
    <w:p w14:paraId="7CAAE9FD"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Education qualification</w:t>
      </w:r>
    </w:p>
    <w:p w14:paraId="43DF939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5</w:t>
      </w:r>
      <w:r w:rsidRPr="00E01025">
        <w:rPr>
          <w:rFonts w:ascii="Arial" w:hAnsi="Arial" w:cs="Arial"/>
          <w:sz w:val="20"/>
          <w:szCs w:val="20"/>
          <w:vertAlign w:val="superscript"/>
        </w:rPr>
        <w:t>th</w:t>
      </w:r>
      <w:r w:rsidRPr="00E01025">
        <w:rPr>
          <w:rFonts w:ascii="Arial" w:hAnsi="Arial" w:cs="Arial"/>
          <w:sz w:val="20"/>
          <w:szCs w:val="20"/>
        </w:rPr>
        <w:t xml:space="preserve"> (     )   10</w:t>
      </w:r>
      <w:r w:rsidRPr="00E01025">
        <w:rPr>
          <w:rFonts w:ascii="Arial" w:hAnsi="Arial" w:cs="Arial"/>
          <w:sz w:val="20"/>
          <w:szCs w:val="20"/>
          <w:vertAlign w:val="superscript"/>
        </w:rPr>
        <w:t>th</w:t>
      </w:r>
      <w:r w:rsidRPr="00E01025">
        <w:rPr>
          <w:rFonts w:ascii="Arial" w:hAnsi="Arial" w:cs="Arial"/>
          <w:sz w:val="20"/>
          <w:szCs w:val="20"/>
        </w:rPr>
        <w:t xml:space="preserve"> (    )    12</w:t>
      </w:r>
      <w:r w:rsidRPr="00E01025">
        <w:rPr>
          <w:rFonts w:ascii="Arial" w:hAnsi="Arial" w:cs="Arial"/>
          <w:sz w:val="20"/>
          <w:szCs w:val="20"/>
          <w:vertAlign w:val="superscript"/>
        </w:rPr>
        <w:t>th</w:t>
      </w:r>
      <w:r w:rsidRPr="00E01025">
        <w:rPr>
          <w:rFonts w:ascii="Arial" w:hAnsi="Arial" w:cs="Arial"/>
          <w:sz w:val="20"/>
          <w:szCs w:val="20"/>
        </w:rPr>
        <w:t xml:space="preserve"> (        )     graduate(      )      higher (      )</w:t>
      </w:r>
    </w:p>
    <w:p w14:paraId="732E9585"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 occupation </w:t>
      </w:r>
    </w:p>
    <w:p w14:paraId="5D2B04F4" w14:textId="77777777" w:rsidR="00180B37" w:rsidRPr="00E01025" w:rsidRDefault="00180B37" w:rsidP="00A72B18">
      <w:pPr>
        <w:pStyle w:val="ListParagraph"/>
        <w:spacing w:line="360" w:lineRule="auto"/>
        <w:jc w:val="both"/>
        <w:rPr>
          <w:rFonts w:ascii="Arial" w:hAnsi="Arial" w:cs="Arial"/>
          <w:sz w:val="20"/>
          <w:szCs w:val="20"/>
        </w:rPr>
      </w:pPr>
      <w:r w:rsidRPr="00E01025">
        <w:rPr>
          <w:rFonts w:ascii="Arial" w:hAnsi="Arial" w:cs="Arial"/>
          <w:sz w:val="20"/>
          <w:szCs w:val="20"/>
        </w:rPr>
        <w:t xml:space="preserve"> employed (        )   self-employed (          )  unemployed (      )  Retired </w:t>
      </w:r>
    </w:p>
    <w:p w14:paraId="5669E55F"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Household expenditure </w:t>
      </w:r>
    </w:p>
    <w:p w14:paraId="37915A7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Below 10,000 (       )  10,000-25,000 (         )  25,0000-50,000 (       )    Above </w:t>
      </w:r>
    </w:p>
    <w:p w14:paraId="5E481863"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Types of hospitals often visited </w:t>
      </w:r>
    </w:p>
    <w:p w14:paraId="0EDC7EA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Government (       )     private(     )       </w:t>
      </w:r>
    </w:p>
    <w:p w14:paraId="3BF3D410"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Where do you usually seek medical care </w:t>
      </w:r>
    </w:p>
    <w:p w14:paraId="141B4C4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Outpatient (      )  inpatient (     )   emergency(     ) diagnostic check(    )   maternity care (        )     other </w:t>
      </w:r>
    </w:p>
    <w:p w14:paraId="7649C077"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B: Cost and Affordability</w:t>
      </w:r>
    </w:p>
    <w:p w14:paraId="0669876D"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How affordable do you find the overall hospital expenses?</w:t>
      </w:r>
    </w:p>
    <w:p w14:paraId="197D0D2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Affordable (         )     expensive(         )          neutral (          )</w:t>
      </w:r>
    </w:p>
    <w:p w14:paraId="6D6F7A78"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 xml:space="preserve">What is the main source of payment </w:t>
      </w:r>
    </w:p>
    <w:p w14:paraId="68BA48D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OOPE(         )  Government scheme (            )       private insurance (        )    employer coverage </w:t>
      </w:r>
    </w:p>
    <w:p w14:paraId="4D89A564"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 cost of your last hospital visit (₹): ___________</w:t>
      </w:r>
    </w:p>
    <w:p w14:paraId="349AD122"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Approximately expenses in health care (annually)</w:t>
      </w:r>
    </w:p>
    <w:p w14:paraId="3255DD18" w14:textId="77777777" w:rsidR="00180B37" w:rsidRPr="00E01025" w:rsidRDefault="00180B37" w:rsidP="00A72B18">
      <w:pPr>
        <w:pStyle w:val="ListParagraph"/>
        <w:spacing w:line="360" w:lineRule="auto"/>
        <w:rPr>
          <w:rFonts w:ascii="Arial" w:hAnsi="Arial" w:cs="Arial"/>
          <w:sz w:val="20"/>
          <w:szCs w:val="20"/>
        </w:rPr>
      </w:pPr>
    </w:p>
    <w:p w14:paraId="230FB019"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Do you think the cost of treatment matches the quality of services provided?</w:t>
      </w:r>
    </w:p>
    <w:p w14:paraId="2BE3626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Yes (       )          no(        )                       not sure</w:t>
      </w:r>
    </w:p>
    <w:p w14:paraId="4D4319E1"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Which type of hospital do you find more affordable?</w:t>
      </w:r>
    </w:p>
    <w:p w14:paraId="2244AE5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Government (       )   Private (         ) </w:t>
      </w:r>
    </w:p>
    <w:p w14:paraId="3FE23FFD"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C: Financial Support and Schemes</w:t>
      </w:r>
    </w:p>
    <w:p w14:paraId="65BD9FB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 xml:space="preserve">Are you aware of any government health insurance or financial assistance schemes (e.g., Ayushman Bharat)?                            Yes (           )           no (          )        </w:t>
      </w:r>
    </w:p>
    <w:p w14:paraId="36A4B19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Have you ever availed of any such scheme?     Yes (         )   No (           )</w:t>
      </w:r>
    </w:p>
    <w:p w14:paraId="673D57E6"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Do you have access to any scheme?       Easy (     )  Neutral (  ) Difficult </w:t>
      </w:r>
    </w:p>
    <w:p w14:paraId="37620A4A"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D: Transparency and Satisfaction</w:t>
      </w:r>
    </w:p>
    <w:p w14:paraId="47319CC3"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Rate your overall satisfaction with the financial aspects of your hospital experience:</w:t>
      </w:r>
    </w:p>
    <w:p w14:paraId="5557C38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Satisfied (         )  dissatisfied (       )            neutral (       )</w:t>
      </w:r>
    </w:p>
    <w:p w14:paraId="22F5C27B"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What major financial challenges did you face during your hospital visit?</w:t>
      </w:r>
    </w:p>
    <w:p w14:paraId="49329C62"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 High treatment cost (     ) Hidden charges (      ) Lack of insurance (        )  </w:t>
      </w:r>
    </w:p>
    <w:p w14:paraId="35A6422E"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lastRenderedPageBreak/>
        <w:t xml:space="preserve"> Delays in scheme approval            Others: ___________</w:t>
      </w:r>
    </w:p>
    <w:p w14:paraId="4645ABBD"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Suggestions to improve financial accessibility in hospitals:</w:t>
      </w:r>
    </w:p>
    <w:p w14:paraId="0014B5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58160F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72481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E455A3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5A326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148E7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2AA5F1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D0E08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629A1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7BD5B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664DD7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68FCF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6129C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3049DF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32D810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3BA96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81FE0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9E77E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E72D6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C5485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752A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F95B5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C32CF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28253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FB8F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61639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4AB9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B4B83E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A84E8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1F9A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45A13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AB229B5" w14:textId="77777777" w:rsidR="001C3037" w:rsidRPr="00E01025" w:rsidRDefault="001C3037" w:rsidP="00A72B18">
      <w:pPr>
        <w:spacing w:line="360" w:lineRule="auto"/>
        <w:jc w:val="both"/>
        <w:rPr>
          <w:rFonts w:ascii="Arial" w:hAnsi="Arial" w:cs="Arial"/>
          <w:sz w:val="20"/>
          <w:szCs w:val="20"/>
        </w:rPr>
      </w:pPr>
    </w:p>
    <w:sectPr w:rsidR="001C3037" w:rsidRPr="00E0102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4C1B" w14:textId="77777777" w:rsidR="008975B2" w:rsidRDefault="008975B2" w:rsidP="00B01366">
      <w:pPr>
        <w:spacing w:after="0" w:line="240" w:lineRule="auto"/>
      </w:pPr>
      <w:r>
        <w:separator/>
      </w:r>
    </w:p>
  </w:endnote>
  <w:endnote w:type="continuationSeparator" w:id="0">
    <w:p w14:paraId="57A0A6D4" w14:textId="77777777" w:rsidR="008975B2" w:rsidRDefault="008975B2" w:rsidP="00B0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570B" w14:textId="77777777" w:rsidR="00B01366" w:rsidRDefault="00B0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E996" w14:textId="77777777" w:rsidR="00B01366" w:rsidRDefault="00B0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999B" w14:textId="77777777" w:rsidR="00B01366" w:rsidRDefault="00B0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D187" w14:textId="77777777" w:rsidR="008975B2" w:rsidRDefault="008975B2" w:rsidP="00B01366">
      <w:pPr>
        <w:spacing w:after="0" w:line="240" w:lineRule="auto"/>
      </w:pPr>
      <w:r>
        <w:separator/>
      </w:r>
    </w:p>
  </w:footnote>
  <w:footnote w:type="continuationSeparator" w:id="0">
    <w:p w14:paraId="6E255BB4" w14:textId="77777777" w:rsidR="008975B2" w:rsidRDefault="008975B2" w:rsidP="00B0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20F1" w14:textId="7F7FAFDD" w:rsidR="00B01366" w:rsidRDefault="008975B2">
    <w:pPr>
      <w:pStyle w:val="Header"/>
    </w:pPr>
    <w:r>
      <w:rPr>
        <w:noProof/>
      </w:rPr>
      <w:pict w14:anchorId="772C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A4DC" w14:textId="00041EBE" w:rsidR="00B01366" w:rsidRDefault="008975B2">
    <w:pPr>
      <w:pStyle w:val="Header"/>
    </w:pPr>
    <w:r>
      <w:rPr>
        <w:noProof/>
      </w:rPr>
      <w:pict w14:anchorId="15A54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1239" w14:textId="0BFB0BD8" w:rsidR="00B01366" w:rsidRDefault="008975B2">
    <w:pPr>
      <w:pStyle w:val="Header"/>
    </w:pPr>
    <w:r>
      <w:rPr>
        <w:noProof/>
      </w:rPr>
      <w:pict w14:anchorId="4FFBD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5C5"/>
    <w:multiLevelType w:val="hybridMultilevel"/>
    <w:tmpl w:val="D552557A"/>
    <w:lvl w:ilvl="0" w:tplc="2A8A5A34">
      <w:start w:val="1"/>
      <w:numFmt w:val="decimal"/>
      <w:lvlText w:val="%1."/>
      <w:lvlJc w:val="left"/>
      <w:pPr>
        <w:ind w:left="540" w:hanging="360"/>
      </w:pPr>
      <w:rPr>
        <w:rFonts w:hint="default"/>
        <w:b/>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74501E7"/>
    <w:multiLevelType w:val="hybridMultilevel"/>
    <w:tmpl w:val="3F1097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D5420"/>
    <w:multiLevelType w:val="multilevel"/>
    <w:tmpl w:val="1220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E25"/>
    <w:multiLevelType w:val="hybridMultilevel"/>
    <w:tmpl w:val="79A42C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3A6040"/>
    <w:multiLevelType w:val="multilevel"/>
    <w:tmpl w:val="A5F08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77464"/>
    <w:multiLevelType w:val="hybridMultilevel"/>
    <w:tmpl w:val="D87A5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5518EF"/>
    <w:multiLevelType w:val="hybridMultilevel"/>
    <w:tmpl w:val="6FE89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6945E8"/>
    <w:multiLevelType w:val="multilevel"/>
    <w:tmpl w:val="1FF2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9415C"/>
    <w:multiLevelType w:val="multilevel"/>
    <w:tmpl w:val="6B64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97A78"/>
    <w:multiLevelType w:val="hybridMultilevel"/>
    <w:tmpl w:val="D0C22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525B42"/>
    <w:multiLevelType w:val="hybridMultilevel"/>
    <w:tmpl w:val="E0641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732AD6"/>
    <w:multiLevelType w:val="multilevel"/>
    <w:tmpl w:val="25882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11"/>
  </w:num>
  <w:num w:numId="5">
    <w:abstractNumId w:val="1"/>
  </w:num>
  <w:num w:numId="6">
    <w:abstractNumId w:val="2"/>
  </w:num>
  <w:num w:numId="7">
    <w:abstractNumId w:val="0"/>
  </w:num>
  <w:num w:numId="8">
    <w:abstractNumId w:val="5"/>
  </w:num>
  <w:num w:numId="9">
    <w:abstractNumId w:val="3"/>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9"/>
    <w:rsid w:val="00180B37"/>
    <w:rsid w:val="001C3037"/>
    <w:rsid w:val="00282A42"/>
    <w:rsid w:val="00305ADF"/>
    <w:rsid w:val="00353259"/>
    <w:rsid w:val="003B5871"/>
    <w:rsid w:val="004B69F3"/>
    <w:rsid w:val="004D4C33"/>
    <w:rsid w:val="00532D98"/>
    <w:rsid w:val="00547E2F"/>
    <w:rsid w:val="00607D89"/>
    <w:rsid w:val="00614068"/>
    <w:rsid w:val="00677FC4"/>
    <w:rsid w:val="00695372"/>
    <w:rsid w:val="007B1A1F"/>
    <w:rsid w:val="007D6FE4"/>
    <w:rsid w:val="007E1A6F"/>
    <w:rsid w:val="0080037E"/>
    <w:rsid w:val="00806BD1"/>
    <w:rsid w:val="008975B2"/>
    <w:rsid w:val="00924949"/>
    <w:rsid w:val="009270BB"/>
    <w:rsid w:val="009869ED"/>
    <w:rsid w:val="00A72B18"/>
    <w:rsid w:val="00A745D9"/>
    <w:rsid w:val="00AF258E"/>
    <w:rsid w:val="00B01366"/>
    <w:rsid w:val="00C5329A"/>
    <w:rsid w:val="00C84D29"/>
    <w:rsid w:val="00C857D6"/>
    <w:rsid w:val="00CB5B9F"/>
    <w:rsid w:val="00D52274"/>
    <w:rsid w:val="00D95ED8"/>
    <w:rsid w:val="00E01025"/>
    <w:rsid w:val="00E411EF"/>
    <w:rsid w:val="00E73850"/>
    <w:rsid w:val="00E91B09"/>
    <w:rsid w:val="00EB6C23"/>
    <w:rsid w:val="00F15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E81D7"/>
  <w15:chartTrackingRefBased/>
  <w15:docId w15:val="{4A4985D4-C594-45A2-B461-27FFEBD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49"/>
    <w:rPr>
      <w:rFonts w:eastAsiaTheme="majorEastAsia" w:cstheme="majorBidi"/>
      <w:color w:val="272727" w:themeColor="text1" w:themeTint="D8"/>
    </w:rPr>
  </w:style>
  <w:style w:type="paragraph" w:styleId="Title">
    <w:name w:val="Title"/>
    <w:basedOn w:val="Normal"/>
    <w:next w:val="Normal"/>
    <w:link w:val="TitleChar"/>
    <w:uiPriority w:val="10"/>
    <w:qFormat/>
    <w:rsid w:val="00924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49"/>
    <w:pPr>
      <w:spacing w:before="160"/>
      <w:jc w:val="center"/>
    </w:pPr>
    <w:rPr>
      <w:i/>
      <w:iCs/>
      <w:color w:val="404040" w:themeColor="text1" w:themeTint="BF"/>
    </w:rPr>
  </w:style>
  <w:style w:type="character" w:customStyle="1" w:styleId="QuoteChar">
    <w:name w:val="Quote Char"/>
    <w:basedOn w:val="DefaultParagraphFont"/>
    <w:link w:val="Quote"/>
    <w:uiPriority w:val="29"/>
    <w:rsid w:val="00924949"/>
    <w:rPr>
      <w:i/>
      <w:iCs/>
      <w:color w:val="404040" w:themeColor="text1" w:themeTint="BF"/>
    </w:rPr>
  </w:style>
  <w:style w:type="paragraph" w:styleId="ListParagraph">
    <w:name w:val="List Paragraph"/>
    <w:basedOn w:val="Normal"/>
    <w:uiPriority w:val="34"/>
    <w:qFormat/>
    <w:rsid w:val="00924949"/>
    <w:pPr>
      <w:ind w:left="720"/>
      <w:contextualSpacing/>
    </w:pPr>
  </w:style>
  <w:style w:type="character" w:styleId="IntenseEmphasis">
    <w:name w:val="Intense Emphasis"/>
    <w:basedOn w:val="DefaultParagraphFont"/>
    <w:uiPriority w:val="21"/>
    <w:qFormat/>
    <w:rsid w:val="00924949"/>
    <w:rPr>
      <w:i/>
      <w:iCs/>
      <w:color w:val="2F5496" w:themeColor="accent1" w:themeShade="BF"/>
    </w:rPr>
  </w:style>
  <w:style w:type="paragraph" w:styleId="IntenseQuote">
    <w:name w:val="Intense Quote"/>
    <w:basedOn w:val="Normal"/>
    <w:next w:val="Normal"/>
    <w:link w:val="IntenseQuoteChar"/>
    <w:uiPriority w:val="30"/>
    <w:qFormat/>
    <w:rsid w:val="0092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949"/>
    <w:rPr>
      <w:i/>
      <w:iCs/>
      <w:color w:val="2F5496" w:themeColor="accent1" w:themeShade="BF"/>
    </w:rPr>
  </w:style>
  <w:style w:type="character" w:styleId="IntenseReference">
    <w:name w:val="Intense Reference"/>
    <w:basedOn w:val="DefaultParagraphFont"/>
    <w:uiPriority w:val="32"/>
    <w:qFormat/>
    <w:rsid w:val="00924949"/>
    <w:rPr>
      <w:b/>
      <w:bCs/>
      <w:smallCaps/>
      <w:color w:val="2F5496" w:themeColor="accent1" w:themeShade="BF"/>
      <w:spacing w:val="5"/>
    </w:rPr>
  </w:style>
  <w:style w:type="character" w:styleId="Hyperlink">
    <w:name w:val="Hyperlink"/>
    <w:basedOn w:val="DefaultParagraphFont"/>
    <w:uiPriority w:val="99"/>
    <w:unhideWhenUsed/>
    <w:rsid w:val="00180B37"/>
    <w:rPr>
      <w:color w:val="0563C1" w:themeColor="hyperlink"/>
      <w:u w:val="single"/>
    </w:rPr>
  </w:style>
  <w:style w:type="paragraph" w:styleId="NormalWeb">
    <w:name w:val="Normal (Web)"/>
    <w:basedOn w:val="Normal"/>
    <w:uiPriority w:val="99"/>
    <w:unhideWhenUsed/>
    <w:rsid w:val="00180B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PlainTable5">
    <w:name w:val="Plain Table 5"/>
    <w:basedOn w:val="TableNormal"/>
    <w:uiPriority w:val="45"/>
    <w:rsid w:val="00180B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180B37"/>
    <w:rPr>
      <w:b/>
      <w:bCs/>
    </w:rPr>
  </w:style>
  <w:style w:type="table" w:styleId="PlainTable2">
    <w:name w:val="Plain Table 2"/>
    <w:basedOn w:val="TableNormal"/>
    <w:uiPriority w:val="42"/>
    <w:rsid w:val="00532D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5329A"/>
    <w:rPr>
      <w:color w:val="605E5C"/>
      <w:shd w:val="clear" w:color="auto" w:fill="E1DFDD"/>
    </w:rPr>
  </w:style>
  <w:style w:type="paragraph" w:styleId="Header">
    <w:name w:val="header"/>
    <w:basedOn w:val="Normal"/>
    <w:link w:val="HeaderChar"/>
    <w:uiPriority w:val="99"/>
    <w:unhideWhenUsed/>
    <w:rsid w:val="00B01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66"/>
  </w:style>
  <w:style w:type="paragraph" w:styleId="Footer">
    <w:name w:val="footer"/>
    <w:basedOn w:val="Normal"/>
    <w:link w:val="FooterChar"/>
    <w:uiPriority w:val="99"/>
    <w:unhideWhenUsed/>
    <w:rsid w:val="00B01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heapol/czn046" TargetMode="External"/><Relationship Id="rId18" Type="http://schemas.openxmlformats.org/officeDocument/2006/relationships/hyperlink" Target="https://doi.org/10.1186/s12913-022-07508-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96/annals.1425.011" TargetMode="External"/><Relationship Id="rId7" Type="http://schemas.openxmlformats.org/officeDocument/2006/relationships/hyperlink" Target="https://doi.org/10.1002" TargetMode="External"/><Relationship Id="rId12" Type="http://schemas.openxmlformats.org/officeDocument/2006/relationships/hyperlink" Target="https://doi.org/10.1093/heapol/czy055" TargetMode="External"/><Relationship Id="rId17" Type="http://schemas.openxmlformats.org/officeDocument/2006/relationships/hyperlink" Target="https://doi.org/10.1016/j"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 TargetMode="External"/><Relationship Id="rId20" Type="http://schemas.openxmlformats.org/officeDocument/2006/relationships/hyperlink" Target="https://mospi.gov.in"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eapol/czy05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ijerph21101287" TargetMode="External"/><Relationship Id="rId23" Type="http://schemas.openxmlformats.org/officeDocument/2006/relationships/hyperlink" Target="https://doi.org/10.1002/hec.776"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niti.gov.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gazeis.in/villages-in-uttar-pradesh-fatehpur" TargetMode="External"/><Relationship Id="rId22" Type="http://schemas.openxmlformats.org/officeDocument/2006/relationships/hyperlink" Target="https://doi.org/10.1186/s12939-017-0582-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5440</Words>
  <Characters>31009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mishra</dc:creator>
  <cp:keywords/>
  <dc:description/>
  <cp:lastModifiedBy>SDI 1089</cp:lastModifiedBy>
  <cp:revision>8</cp:revision>
  <dcterms:created xsi:type="dcterms:W3CDTF">2026-01-22T14:04:00Z</dcterms:created>
  <dcterms:modified xsi:type="dcterms:W3CDTF">2026-01-31T07:30:00Z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6cc303f9-7195-4f5e-a57c-a7355b04f590</vt:lpwstr>
  </property>
</Properties>
</file>