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0F97C" w14:textId="77777777" w:rsidR="003473D1" w:rsidRDefault="003473D1" w:rsidP="00441B6F">
      <w:pPr>
        <w:pStyle w:val="Author"/>
        <w:spacing w:line="240" w:lineRule="auto"/>
        <w:jc w:val="both"/>
        <w:rPr>
          <w:rFonts w:ascii="Arial" w:hAnsi="Arial" w:cs="Arial"/>
          <w:bCs/>
          <w:iCs/>
          <w:kern w:val="28"/>
          <w:sz w:val="36"/>
        </w:rPr>
      </w:pPr>
    </w:p>
    <w:p w14:paraId="16A9240F" w14:textId="336B7E28" w:rsidR="00C94C4B" w:rsidRPr="00BC6A2A" w:rsidRDefault="00713E35" w:rsidP="00441B6F">
      <w:pPr>
        <w:pStyle w:val="Author"/>
        <w:spacing w:line="240" w:lineRule="auto"/>
        <w:jc w:val="both"/>
        <w:rPr>
          <w:rFonts w:ascii="Arial" w:hAnsi="Arial" w:cs="Arial"/>
          <w:sz w:val="36"/>
        </w:rPr>
      </w:pPr>
      <w:r w:rsidRPr="00BC6A2A">
        <w:rPr>
          <w:rFonts w:ascii="Arial" w:hAnsi="Arial" w:cs="Arial"/>
          <w:bCs/>
          <w:iCs/>
          <w:kern w:val="28"/>
          <w:sz w:val="36"/>
        </w:rPr>
        <w:t xml:space="preserve">Synergistic </w:t>
      </w:r>
      <w:proofErr w:type="spellStart"/>
      <w:r w:rsidRPr="00BC6A2A">
        <w:rPr>
          <w:rFonts w:ascii="Arial" w:hAnsi="Arial" w:cs="Arial"/>
          <w:bCs/>
          <w:iCs/>
          <w:kern w:val="28"/>
          <w:sz w:val="36"/>
        </w:rPr>
        <w:t>Immunostimulation</w:t>
      </w:r>
      <w:proofErr w:type="spellEnd"/>
      <w:r w:rsidRPr="00BC6A2A">
        <w:rPr>
          <w:rFonts w:ascii="Arial" w:hAnsi="Arial" w:cs="Arial"/>
          <w:bCs/>
          <w:iCs/>
          <w:kern w:val="28"/>
          <w:sz w:val="36"/>
        </w:rPr>
        <w:t xml:space="preserve"> of </w:t>
      </w:r>
      <w:r w:rsidRPr="00BC6A2A">
        <w:rPr>
          <w:rFonts w:ascii="Arial" w:hAnsi="Arial" w:cs="Arial"/>
          <w:bCs/>
          <w:i/>
          <w:iCs/>
          <w:kern w:val="28"/>
          <w:sz w:val="36"/>
        </w:rPr>
        <w:t>Carissa edulis</w:t>
      </w:r>
      <w:r w:rsidRPr="00BC6A2A">
        <w:rPr>
          <w:rFonts w:ascii="Arial" w:hAnsi="Arial" w:cs="Arial"/>
          <w:bCs/>
          <w:iCs/>
          <w:kern w:val="28"/>
          <w:sz w:val="36"/>
        </w:rPr>
        <w:t xml:space="preserve"> Extract with </w:t>
      </w:r>
      <w:r w:rsidRPr="00BC6A2A">
        <w:rPr>
          <w:rFonts w:ascii="Arial" w:hAnsi="Arial" w:cs="Arial"/>
          <w:bCs/>
          <w:i/>
          <w:iCs/>
          <w:kern w:val="28"/>
          <w:sz w:val="36"/>
        </w:rPr>
        <w:t xml:space="preserve">Leishmania </w:t>
      </w:r>
      <w:proofErr w:type="spellStart"/>
      <w:r w:rsidRPr="00BC6A2A">
        <w:rPr>
          <w:rFonts w:ascii="Arial" w:hAnsi="Arial" w:cs="Arial"/>
          <w:bCs/>
          <w:i/>
          <w:iCs/>
          <w:kern w:val="28"/>
          <w:sz w:val="36"/>
        </w:rPr>
        <w:t>donovani</w:t>
      </w:r>
      <w:proofErr w:type="spellEnd"/>
      <w:r w:rsidRPr="00BC6A2A">
        <w:rPr>
          <w:rFonts w:ascii="Arial" w:hAnsi="Arial" w:cs="Arial"/>
          <w:bCs/>
          <w:iCs/>
          <w:kern w:val="28"/>
          <w:sz w:val="36"/>
        </w:rPr>
        <w:t xml:space="preserve"> Antigen in BALB/c Mice</w:t>
      </w:r>
    </w:p>
    <w:p w14:paraId="5A16493E" w14:textId="77777777" w:rsidR="002C57D2" w:rsidRPr="00BC6A2A" w:rsidRDefault="002C57D2" w:rsidP="00441B6F">
      <w:pPr>
        <w:pStyle w:val="Affiliation"/>
        <w:spacing w:after="0" w:line="240" w:lineRule="auto"/>
        <w:jc w:val="both"/>
        <w:rPr>
          <w:rFonts w:ascii="Arial" w:hAnsi="Arial" w:cs="Arial"/>
        </w:rPr>
      </w:pPr>
    </w:p>
    <w:p w14:paraId="2404AAF0" w14:textId="2040283B" w:rsidR="00B01FCD" w:rsidRPr="00BC6A2A" w:rsidRDefault="005B41B3" w:rsidP="00441B6F">
      <w:pPr>
        <w:pStyle w:val="Copyright"/>
        <w:spacing w:after="0" w:line="240" w:lineRule="auto"/>
        <w:jc w:val="both"/>
        <w:rPr>
          <w:rFonts w:ascii="Arial" w:hAnsi="Arial" w:cs="Arial"/>
        </w:rPr>
        <w:sectPr w:rsidR="00B01FCD" w:rsidRPr="00BC6A2A" w:rsidSect="002A6B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C6A2A">
        <w:rPr>
          <w:rFonts w:ascii="Arial" w:hAnsi="Arial" w:cs="Arial"/>
          <w:noProof/>
        </w:rPr>
        <mc:AlternateContent>
          <mc:Choice Requires="wps">
            <w:drawing>
              <wp:inline distT="0" distB="0" distL="0" distR="0" wp14:anchorId="7861EF95" wp14:editId="49A6D4D7">
                <wp:extent cx="5303520" cy="635"/>
                <wp:effectExtent l="9525" t="15875" r="11430" b="12700"/>
                <wp:docPr id="18000897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8186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BC6A2A">
        <w:rPr>
          <w:rFonts w:ascii="Arial" w:hAnsi="Arial" w:cs="Arial"/>
        </w:rPr>
        <w:t>.</w:t>
      </w:r>
    </w:p>
    <w:p w14:paraId="621E83BD" w14:textId="6EF723BF" w:rsidR="00B01FCD" w:rsidRPr="00BC6A2A" w:rsidRDefault="00B01FCD" w:rsidP="00441B6F">
      <w:pPr>
        <w:pStyle w:val="AbstHead"/>
        <w:spacing w:after="0"/>
        <w:jc w:val="both"/>
        <w:rPr>
          <w:rFonts w:ascii="Arial" w:hAnsi="Arial" w:cs="Arial"/>
        </w:rPr>
      </w:pPr>
      <w:r w:rsidRPr="00BC6A2A">
        <w:rPr>
          <w:rFonts w:ascii="Arial" w:hAnsi="Arial" w:cs="Arial"/>
        </w:rPr>
        <w:t>ABSTRACT</w:t>
      </w:r>
      <w:r w:rsidR="0066510A" w:rsidRPr="00BC6A2A">
        <w:rPr>
          <w:rFonts w:ascii="Arial" w:hAnsi="Arial" w:cs="Arial"/>
        </w:rPr>
        <w:t xml:space="preserve"> </w:t>
      </w:r>
    </w:p>
    <w:p w14:paraId="47B0DF99" w14:textId="77777777" w:rsidR="00790ADA" w:rsidRPr="00BC6A2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C6A2A" w14:paraId="219BF89F" w14:textId="77777777" w:rsidTr="001E44FE">
        <w:tc>
          <w:tcPr>
            <w:tcW w:w="9576" w:type="dxa"/>
            <w:shd w:val="clear" w:color="auto" w:fill="F2F2F2"/>
          </w:tcPr>
          <w:p w14:paraId="5892CE57" w14:textId="3E72866A" w:rsidR="0039653B" w:rsidRPr="00BC6A2A" w:rsidRDefault="0039653B" w:rsidP="00663F51">
            <w:pPr>
              <w:pStyle w:val="Body"/>
              <w:spacing w:after="0"/>
              <w:ind w:right="16"/>
              <w:rPr>
                <w:rFonts w:ascii="Arial" w:eastAsia="Calibri" w:hAnsi="Arial" w:cs="Arial"/>
                <w:b/>
                <w:szCs w:val="22"/>
              </w:rPr>
            </w:pPr>
            <w:r w:rsidRPr="00BC6A2A">
              <w:rPr>
                <w:rFonts w:ascii="Arial" w:eastAsia="Calibri" w:hAnsi="Arial" w:cs="Arial"/>
                <w:b/>
                <w:szCs w:val="22"/>
              </w:rPr>
              <w:t xml:space="preserve">Background:  </w:t>
            </w:r>
            <w:r w:rsidR="00E97ED6" w:rsidRPr="00BC6A2A">
              <w:rPr>
                <w:rFonts w:ascii="Arial" w:eastAsia="Calibri" w:hAnsi="Arial" w:cs="Arial"/>
                <w:szCs w:val="22"/>
              </w:rPr>
              <w:t>Visceral leishmaniasis (VL) is a severe disease with high morbidity and mortality in tropical regions. Current treatments are limited, highlighting the need for alternatives like vaccine development and adjunct therapy, where plant-derived adjuvants like Carissa edulis show promise.</w:t>
            </w:r>
          </w:p>
          <w:p w14:paraId="7BBB0511" w14:textId="27D485E2" w:rsidR="00BA1B01" w:rsidRPr="00BC6A2A" w:rsidRDefault="00BA1B01" w:rsidP="00663F51">
            <w:pPr>
              <w:pStyle w:val="Body"/>
              <w:spacing w:after="0"/>
              <w:ind w:right="16"/>
              <w:rPr>
                <w:rFonts w:ascii="Arial" w:eastAsia="Calibri" w:hAnsi="Arial" w:cs="Arial"/>
                <w:szCs w:val="22"/>
              </w:rPr>
            </w:pPr>
            <w:r w:rsidRPr="00BC6A2A">
              <w:rPr>
                <w:rFonts w:ascii="Arial" w:eastAsia="Calibri" w:hAnsi="Arial" w:cs="Arial"/>
                <w:b/>
                <w:szCs w:val="22"/>
              </w:rPr>
              <w:t xml:space="preserve">Aims: </w:t>
            </w:r>
            <w:r w:rsidR="00CB301D" w:rsidRPr="00BC6A2A">
              <w:t>The study aims to</w:t>
            </w:r>
            <w:r w:rsidR="002F197D" w:rsidRPr="00BC6A2A">
              <w:t xml:space="preserve"> compare</w:t>
            </w:r>
            <w:r w:rsidR="002F197D" w:rsidRPr="00BC6A2A">
              <w:rPr>
                <w:spacing w:val="-5"/>
              </w:rPr>
              <w:t xml:space="preserve"> </w:t>
            </w:r>
            <w:r w:rsidR="002F197D" w:rsidRPr="00BC6A2A">
              <w:t>the</w:t>
            </w:r>
            <w:r w:rsidR="002F197D" w:rsidRPr="00BC6A2A">
              <w:rPr>
                <w:spacing w:val="-8"/>
              </w:rPr>
              <w:t xml:space="preserve"> </w:t>
            </w:r>
            <w:r w:rsidR="002F197D" w:rsidRPr="00BC6A2A">
              <w:t>adjuvant</w:t>
            </w:r>
            <w:r w:rsidR="002F197D" w:rsidRPr="00BC6A2A">
              <w:rPr>
                <w:spacing w:val="-9"/>
              </w:rPr>
              <w:t xml:space="preserve"> </w:t>
            </w:r>
            <w:r w:rsidR="002F197D" w:rsidRPr="00BC6A2A">
              <w:t>(vaccination)</w:t>
            </w:r>
            <w:r w:rsidR="002F197D" w:rsidRPr="00BC6A2A">
              <w:rPr>
                <w:spacing w:val="-10"/>
              </w:rPr>
              <w:t xml:space="preserve"> </w:t>
            </w:r>
            <w:r w:rsidR="002F197D" w:rsidRPr="00BC6A2A">
              <w:t>capacity</w:t>
            </w:r>
            <w:r w:rsidR="002F197D" w:rsidRPr="00BC6A2A">
              <w:rPr>
                <w:spacing w:val="-6"/>
              </w:rPr>
              <w:t xml:space="preserve"> </w:t>
            </w:r>
            <w:r w:rsidR="002F197D" w:rsidRPr="00BC6A2A">
              <w:t>of</w:t>
            </w:r>
            <w:r w:rsidR="002F197D" w:rsidRPr="00BC6A2A">
              <w:rPr>
                <w:spacing w:val="-1"/>
              </w:rPr>
              <w:t xml:space="preserve"> </w:t>
            </w:r>
            <w:r w:rsidR="002F197D" w:rsidRPr="00BC6A2A">
              <w:rPr>
                <w:i/>
              </w:rPr>
              <w:t>Carissa</w:t>
            </w:r>
            <w:r w:rsidR="002F197D" w:rsidRPr="00BC6A2A">
              <w:rPr>
                <w:i/>
                <w:spacing w:val="-5"/>
              </w:rPr>
              <w:t xml:space="preserve"> </w:t>
            </w:r>
            <w:r w:rsidR="002F197D" w:rsidRPr="00BC6A2A">
              <w:rPr>
                <w:i/>
              </w:rPr>
              <w:t>edulis</w:t>
            </w:r>
            <w:r w:rsidR="002F197D" w:rsidRPr="00BC6A2A">
              <w:rPr>
                <w:i/>
                <w:spacing w:val="-7"/>
              </w:rPr>
              <w:t xml:space="preserve"> </w:t>
            </w:r>
            <w:r w:rsidR="002F197D" w:rsidRPr="00BC6A2A">
              <w:t>extract</w:t>
            </w:r>
            <w:r w:rsidR="002F197D" w:rsidRPr="00BC6A2A">
              <w:rPr>
                <w:spacing w:val="-6"/>
              </w:rPr>
              <w:t xml:space="preserve"> </w:t>
            </w:r>
            <w:r w:rsidR="002F197D" w:rsidRPr="00BC6A2A">
              <w:t>combined</w:t>
            </w:r>
            <w:r w:rsidR="002F197D" w:rsidRPr="00BC6A2A">
              <w:rPr>
                <w:spacing w:val="-4"/>
              </w:rPr>
              <w:t xml:space="preserve"> </w:t>
            </w:r>
            <w:r w:rsidR="002F197D" w:rsidRPr="00BC6A2A">
              <w:t>with</w:t>
            </w:r>
            <w:r w:rsidR="002F197D" w:rsidRPr="00BC6A2A">
              <w:rPr>
                <w:spacing w:val="-8"/>
              </w:rPr>
              <w:t xml:space="preserve"> </w:t>
            </w:r>
            <w:r w:rsidR="002F197D" w:rsidRPr="00BC6A2A">
              <w:t xml:space="preserve">soluble </w:t>
            </w:r>
            <w:r w:rsidR="002F197D" w:rsidRPr="00BC6A2A">
              <w:rPr>
                <w:i/>
              </w:rPr>
              <w:t>Leishmania</w:t>
            </w:r>
            <w:r w:rsidR="002F197D" w:rsidRPr="00BC6A2A">
              <w:rPr>
                <w:i/>
                <w:spacing w:val="-9"/>
              </w:rPr>
              <w:t xml:space="preserve"> </w:t>
            </w:r>
            <w:proofErr w:type="spellStart"/>
            <w:r w:rsidR="002F197D" w:rsidRPr="00BC6A2A">
              <w:rPr>
                <w:i/>
              </w:rPr>
              <w:t>donovani</w:t>
            </w:r>
            <w:proofErr w:type="spellEnd"/>
            <w:r w:rsidR="002F197D" w:rsidRPr="00BC6A2A">
              <w:rPr>
                <w:i/>
                <w:spacing w:val="-8"/>
              </w:rPr>
              <w:t xml:space="preserve"> </w:t>
            </w:r>
            <w:r w:rsidR="002F197D" w:rsidRPr="00BC6A2A">
              <w:t>antigen</w:t>
            </w:r>
            <w:r w:rsidR="002F197D" w:rsidRPr="00BC6A2A">
              <w:rPr>
                <w:spacing w:val="-12"/>
              </w:rPr>
              <w:t xml:space="preserve"> </w:t>
            </w:r>
            <w:r w:rsidR="002F197D" w:rsidRPr="00BC6A2A">
              <w:t>(SLA)</w:t>
            </w:r>
            <w:r w:rsidR="002F197D" w:rsidRPr="00BC6A2A">
              <w:rPr>
                <w:spacing w:val="-9"/>
              </w:rPr>
              <w:t xml:space="preserve"> </w:t>
            </w:r>
            <w:r w:rsidR="002F197D" w:rsidRPr="00BC6A2A">
              <w:t>in</w:t>
            </w:r>
            <w:r w:rsidR="002F197D" w:rsidRPr="00BC6A2A">
              <w:rPr>
                <w:spacing w:val="-10"/>
              </w:rPr>
              <w:t xml:space="preserve"> </w:t>
            </w:r>
            <w:r w:rsidR="002F197D" w:rsidRPr="00BC6A2A">
              <w:t>BALB/c</w:t>
            </w:r>
            <w:r w:rsidR="002F197D" w:rsidRPr="00BC6A2A">
              <w:rPr>
                <w:spacing w:val="-10"/>
              </w:rPr>
              <w:t xml:space="preserve"> </w:t>
            </w:r>
            <w:r w:rsidR="002F197D" w:rsidRPr="00BC6A2A">
              <w:t>mice.</w:t>
            </w:r>
            <w:r w:rsidR="002F197D" w:rsidRPr="00BC6A2A">
              <w:rPr>
                <w:spacing w:val="-7"/>
              </w:rPr>
              <w:t xml:space="preserve"> </w:t>
            </w:r>
          </w:p>
          <w:p w14:paraId="0E235C53" w14:textId="17E09080" w:rsidR="00663F51" w:rsidRPr="00BC6A2A" w:rsidRDefault="00BA1B01" w:rsidP="00663F51">
            <w:pPr>
              <w:pStyle w:val="Body"/>
              <w:spacing w:after="0"/>
              <w:ind w:right="16"/>
            </w:pPr>
            <w:r w:rsidRPr="00BC6A2A">
              <w:rPr>
                <w:rFonts w:ascii="Arial" w:eastAsia="Calibri" w:hAnsi="Arial" w:cs="Arial"/>
                <w:b/>
                <w:bCs/>
                <w:szCs w:val="22"/>
              </w:rPr>
              <w:t>Methodology:</w:t>
            </w:r>
            <w:r w:rsidRPr="00BC6A2A">
              <w:rPr>
                <w:rFonts w:ascii="Arial" w:eastAsia="Calibri" w:hAnsi="Arial" w:cs="Arial"/>
                <w:szCs w:val="22"/>
              </w:rPr>
              <w:t xml:space="preserve"> </w:t>
            </w:r>
            <w:r w:rsidR="00A94FF2" w:rsidRPr="00BC6A2A">
              <w:rPr>
                <w:rFonts w:ascii="Arial" w:eastAsia="Calibri" w:hAnsi="Arial" w:cs="Arial"/>
                <w:szCs w:val="22"/>
              </w:rPr>
              <w:t xml:space="preserve">This </w:t>
            </w:r>
            <w:r w:rsidR="00A94FF2" w:rsidRPr="00BC6A2A">
              <w:rPr>
                <w:rFonts w:ascii="Arial" w:eastAsia="Calibri" w:hAnsi="Arial" w:cs="Arial"/>
                <w:i/>
                <w:szCs w:val="22"/>
              </w:rPr>
              <w:t>in vivo</w:t>
            </w:r>
            <w:r w:rsidR="00A94FF2" w:rsidRPr="00BC6A2A">
              <w:rPr>
                <w:rFonts w:ascii="Arial" w:eastAsia="Calibri" w:hAnsi="Arial" w:cs="Arial"/>
                <w:szCs w:val="22"/>
              </w:rPr>
              <w:t xml:space="preserve"> experimental study was conducted in BALB/c mice.</w:t>
            </w:r>
            <w:r w:rsidR="002E2801" w:rsidRPr="00BC6A2A">
              <w:rPr>
                <w:rFonts w:ascii="Arial" w:eastAsia="Calibri" w:hAnsi="Arial" w:cs="Arial"/>
                <w:szCs w:val="22"/>
              </w:rPr>
              <w:t xml:space="preserve"> </w:t>
            </w:r>
            <w:r w:rsidR="00211BB8" w:rsidRPr="00BC6A2A">
              <w:rPr>
                <w:rFonts w:ascii="Arial" w:eastAsia="Calibri" w:hAnsi="Arial" w:cs="Arial"/>
                <w:szCs w:val="22"/>
              </w:rPr>
              <w:t xml:space="preserve">Eighty BALB/c inbred mice of both sexes of aged between 8-10 weeks were purchased from the animal house, Department of Zoological Sciences, Kenyatta University. The mice were allocated into different groups of 12 mice each. Three mice in each group were sacrificed, spleen and blood taken to measure parasite load and immune parameters. </w:t>
            </w:r>
            <w:r w:rsidR="00663F51" w:rsidRPr="00BC6A2A">
              <w:t>Eighty</w:t>
            </w:r>
            <w:r w:rsidR="00663F51" w:rsidRPr="00BC6A2A">
              <w:rPr>
                <w:spacing w:val="-9"/>
              </w:rPr>
              <w:t xml:space="preserve"> </w:t>
            </w:r>
            <w:r w:rsidR="00663F51" w:rsidRPr="00BC6A2A">
              <w:t>BALB/c</w:t>
            </w:r>
            <w:r w:rsidR="00663F51" w:rsidRPr="00BC6A2A">
              <w:rPr>
                <w:spacing w:val="-10"/>
              </w:rPr>
              <w:t xml:space="preserve"> </w:t>
            </w:r>
            <w:r w:rsidR="00663F51" w:rsidRPr="00BC6A2A">
              <w:t xml:space="preserve">mice received </w:t>
            </w:r>
            <w:proofErr w:type="spellStart"/>
            <w:r w:rsidR="008D6DC1" w:rsidRPr="00BC6A2A">
              <w:t>immunisations</w:t>
            </w:r>
            <w:proofErr w:type="spellEnd"/>
            <w:r w:rsidR="008D6DC1" w:rsidRPr="00BC6A2A">
              <w:t xml:space="preserve"> </w:t>
            </w:r>
            <w:r w:rsidR="00663F51" w:rsidRPr="00BC6A2A">
              <w:t xml:space="preserve">with SLA alone, </w:t>
            </w:r>
            <w:r w:rsidR="00663F51" w:rsidRPr="00BC6A2A">
              <w:rPr>
                <w:i/>
              </w:rPr>
              <w:t xml:space="preserve">C. edulis </w:t>
            </w:r>
            <w:r w:rsidR="00663F51" w:rsidRPr="00BC6A2A">
              <w:t xml:space="preserve">extract alone, SLA + </w:t>
            </w:r>
            <w:r w:rsidR="00663F51" w:rsidRPr="00BC6A2A">
              <w:rPr>
                <w:i/>
                <w:iCs/>
              </w:rPr>
              <w:t xml:space="preserve">C. edulis </w:t>
            </w:r>
            <w:r w:rsidR="00663F51" w:rsidRPr="00BC6A2A">
              <w:t>or phosphate-buffered saline (PBS) and then challenged with 1 × 10</w:t>
            </w:r>
            <w:r w:rsidR="00663F51" w:rsidRPr="00BC6A2A">
              <w:rPr>
                <w:vertAlign w:val="superscript"/>
              </w:rPr>
              <w:t xml:space="preserve">6 </w:t>
            </w:r>
            <w:r w:rsidR="00663F51" w:rsidRPr="00BC6A2A">
              <w:rPr>
                <w:i/>
                <w:iCs/>
              </w:rPr>
              <w:t xml:space="preserve">L. </w:t>
            </w:r>
            <w:proofErr w:type="spellStart"/>
            <w:r w:rsidR="00663F51" w:rsidRPr="00BC6A2A">
              <w:rPr>
                <w:i/>
                <w:iCs/>
              </w:rPr>
              <w:t>donovani</w:t>
            </w:r>
            <w:proofErr w:type="spellEnd"/>
            <w:r w:rsidR="00663F51" w:rsidRPr="00BC6A2A">
              <w:rPr>
                <w:i/>
                <w:iCs/>
              </w:rPr>
              <w:t xml:space="preserve"> </w:t>
            </w:r>
            <w:r w:rsidR="00663F51" w:rsidRPr="00BC6A2A">
              <w:t xml:space="preserve">promastigotes. parasite burden, IFN-γ and IL-10, total IgG, IgG1, and IgG2a were being observed for eight weeks. </w:t>
            </w:r>
          </w:p>
          <w:p w14:paraId="27EFF9FD" w14:textId="1D144E14" w:rsidR="00663F51" w:rsidRPr="00BC6A2A" w:rsidRDefault="00BA1B01" w:rsidP="00663F51">
            <w:pPr>
              <w:pStyle w:val="Body"/>
              <w:spacing w:after="0"/>
              <w:ind w:right="16"/>
            </w:pPr>
            <w:r w:rsidRPr="00BC6A2A">
              <w:rPr>
                <w:rFonts w:ascii="Arial" w:eastAsia="Calibri" w:hAnsi="Arial" w:cs="Arial"/>
                <w:b/>
                <w:bCs/>
                <w:szCs w:val="22"/>
              </w:rPr>
              <w:t>Results:</w:t>
            </w:r>
            <w:r w:rsidRPr="00BC6A2A">
              <w:rPr>
                <w:rFonts w:ascii="Arial" w:eastAsia="Calibri" w:hAnsi="Arial" w:cs="Arial"/>
                <w:szCs w:val="22"/>
              </w:rPr>
              <w:t xml:space="preserve"> </w:t>
            </w:r>
            <w:r w:rsidR="00663F51" w:rsidRPr="00BC6A2A">
              <w:t xml:space="preserve">The most extensive decline in the splenic parasite burden was observed in the SLA + </w:t>
            </w:r>
            <w:r w:rsidR="00663F51" w:rsidRPr="00BC6A2A">
              <w:rPr>
                <w:i/>
              </w:rPr>
              <w:t xml:space="preserve">C. edulis </w:t>
            </w:r>
            <w:r w:rsidR="00663F51" w:rsidRPr="00BC6A2A">
              <w:t xml:space="preserve">group and maintained the parasites at the levels of about 6 to 8 per cent at week 8, which was significantly lower when compared to PBS (15-30%; p = 0.0031), SLA alone (10-12%; p = 0.01) and </w:t>
            </w:r>
            <w:r w:rsidR="00663F51" w:rsidRPr="00BC6A2A">
              <w:rPr>
                <w:i/>
                <w:iCs/>
              </w:rPr>
              <w:t xml:space="preserve">C. edulis </w:t>
            </w:r>
            <w:r w:rsidR="00663F51" w:rsidRPr="00BC6A2A">
              <w:t xml:space="preserve">alone (10-12%; p = 0.0011). The analysis of area-under-the-curve revealed that the cumulative parasite burden of the combination group (−61.39 ± 18.27) was much less than that of the SLA only (150.15 ± 16.01) and PBS only (519.28 ± 22.93; p &lt; 0.0001). The highest IFN-γ level (mean 217.4 </w:t>
            </w:r>
            <w:proofErr w:type="spellStart"/>
            <w:r w:rsidR="00663F51" w:rsidRPr="00BC6A2A">
              <w:t>pg</w:t>
            </w:r>
            <w:proofErr w:type="spellEnd"/>
            <w:r w:rsidR="00663F51" w:rsidRPr="00BC6A2A">
              <w:t xml:space="preserve">/mL; peak of approximately 300 </w:t>
            </w:r>
            <w:proofErr w:type="spellStart"/>
            <w:r w:rsidR="00663F51" w:rsidRPr="00BC6A2A">
              <w:t>pg</w:t>
            </w:r>
            <w:proofErr w:type="spellEnd"/>
            <w:r w:rsidR="00663F51" w:rsidRPr="00BC6A2A">
              <w:t xml:space="preserve">/mL at week 8) was induced by combination </w:t>
            </w:r>
            <w:proofErr w:type="spellStart"/>
            <w:r w:rsidR="008D6DC1" w:rsidRPr="00BC6A2A">
              <w:t>immunisation</w:t>
            </w:r>
            <w:proofErr w:type="spellEnd"/>
            <w:r w:rsidR="00663F51" w:rsidRPr="00BC6A2A">
              <w:t xml:space="preserve">, which was far higher than SLA alone (113.2 </w:t>
            </w:r>
            <w:proofErr w:type="spellStart"/>
            <w:r w:rsidR="00663F51" w:rsidRPr="00BC6A2A">
              <w:t>pg</w:t>
            </w:r>
            <w:proofErr w:type="spellEnd"/>
            <w:r w:rsidR="00663F51" w:rsidRPr="00BC6A2A">
              <w:t xml:space="preserve">/mL), </w:t>
            </w:r>
            <w:r w:rsidR="00663F51" w:rsidRPr="00BC6A2A">
              <w:rPr>
                <w:i/>
                <w:iCs/>
              </w:rPr>
              <w:t xml:space="preserve">C. edulis </w:t>
            </w:r>
            <w:r w:rsidR="00663F51" w:rsidRPr="00BC6A2A">
              <w:t xml:space="preserve">alone (67.4 </w:t>
            </w:r>
            <w:proofErr w:type="spellStart"/>
            <w:r w:rsidR="00663F51" w:rsidRPr="00BC6A2A">
              <w:t>pg</w:t>
            </w:r>
            <w:proofErr w:type="spellEnd"/>
            <w:r w:rsidR="00663F51" w:rsidRPr="00BC6A2A">
              <w:t xml:space="preserve">/mL), and PBS (p = 0.0013). The level of IL-10 was relatively lower in the combination group (3540 </w:t>
            </w:r>
            <w:proofErr w:type="spellStart"/>
            <w:r w:rsidR="00663F51" w:rsidRPr="00BC6A2A">
              <w:t>pg</w:t>
            </w:r>
            <w:proofErr w:type="spellEnd"/>
            <w:r w:rsidR="00663F51" w:rsidRPr="00BC6A2A">
              <w:t xml:space="preserve">/mL) when compared to SLA alone (approximately 50 </w:t>
            </w:r>
            <w:proofErr w:type="spellStart"/>
            <w:r w:rsidR="00663F51" w:rsidRPr="00BC6A2A">
              <w:t>pg</w:t>
            </w:r>
            <w:proofErr w:type="spellEnd"/>
            <w:r w:rsidR="00663F51" w:rsidRPr="00BC6A2A">
              <w:t xml:space="preserve">/mL) or </w:t>
            </w:r>
            <w:r w:rsidR="00663F51" w:rsidRPr="00BC6A2A">
              <w:rPr>
                <w:i/>
                <w:iCs/>
              </w:rPr>
              <w:t xml:space="preserve">C. edulis </w:t>
            </w:r>
            <w:r w:rsidR="00663F51" w:rsidRPr="00BC6A2A">
              <w:t xml:space="preserve">alone (approximately 60 </w:t>
            </w:r>
            <w:proofErr w:type="spellStart"/>
            <w:r w:rsidR="00663F51" w:rsidRPr="00BC6A2A">
              <w:t>pg</w:t>
            </w:r>
            <w:proofErr w:type="spellEnd"/>
            <w:r w:rsidR="00663F51" w:rsidRPr="00BC6A2A">
              <w:t>/mL; p = 0.0209).</w:t>
            </w:r>
          </w:p>
          <w:p w14:paraId="77B25F7A" w14:textId="44D3F722" w:rsidR="00663F51" w:rsidRPr="00BC6A2A" w:rsidRDefault="00BA1B01" w:rsidP="00663F51">
            <w:pPr>
              <w:ind w:right="16"/>
              <w:jc w:val="both"/>
            </w:pPr>
            <w:r w:rsidRPr="00BC6A2A">
              <w:rPr>
                <w:rFonts w:ascii="Arial" w:eastAsia="Calibri" w:hAnsi="Arial" w:cs="Arial"/>
                <w:b/>
                <w:bCs/>
                <w:szCs w:val="22"/>
              </w:rPr>
              <w:t>Conclusion:</w:t>
            </w:r>
            <w:r w:rsidRPr="00BC6A2A">
              <w:rPr>
                <w:rFonts w:ascii="Arial" w:eastAsia="Calibri" w:hAnsi="Arial" w:cs="Arial"/>
                <w:szCs w:val="22"/>
              </w:rPr>
              <w:t xml:space="preserve"> </w:t>
            </w:r>
            <w:r w:rsidR="00663F51" w:rsidRPr="00BC6A2A">
              <w:t>The</w:t>
            </w:r>
            <w:r w:rsidR="00663F51" w:rsidRPr="00BC6A2A">
              <w:rPr>
                <w:spacing w:val="-11"/>
              </w:rPr>
              <w:t xml:space="preserve"> </w:t>
            </w:r>
            <w:r w:rsidR="00663F51" w:rsidRPr="00BC6A2A">
              <w:t>results</w:t>
            </w:r>
            <w:r w:rsidR="00663F51" w:rsidRPr="00BC6A2A">
              <w:rPr>
                <w:spacing w:val="-13"/>
              </w:rPr>
              <w:t xml:space="preserve"> </w:t>
            </w:r>
            <w:r w:rsidR="00663F51" w:rsidRPr="00BC6A2A">
              <w:t>have</w:t>
            </w:r>
            <w:r w:rsidR="00663F51" w:rsidRPr="00BC6A2A">
              <w:rPr>
                <w:spacing w:val="-10"/>
              </w:rPr>
              <w:t xml:space="preserve"> </w:t>
            </w:r>
            <w:r w:rsidR="00663F51" w:rsidRPr="00BC6A2A">
              <w:t>shown</w:t>
            </w:r>
            <w:r w:rsidR="00663F51" w:rsidRPr="00BC6A2A">
              <w:rPr>
                <w:spacing w:val="-10"/>
              </w:rPr>
              <w:t xml:space="preserve"> </w:t>
            </w:r>
            <w:r w:rsidR="00663F51" w:rsidRPr="00BC6A2A">
              <w:t>that</w:t>
            </w:r>
            <w:r w:rsidR="00663F51" w:rsidRPr="00BC6A2A">
              <w:rPr>
                <w:spacing w:val="-11"/>
              </w:rPr>
              <w:t xml:space="preserve"> </w:t>
            </w:r>
            <w:r w:rsidR="00663F51" w:rsidRPr="00BC6A2A">
              <w:t>the</w:t>
            </w:r>
            <w:r w:rsidR="00663F51" w:rsidRPr="00BC6A2A">
              <w:rPr>
                <w:spacing w:val="-11"/>
              </w:rPr>
              <w:t xml:space="preserve"> </w:t>
            </w:r>
            <w:r w:rsidR="00663F51" w:rsidRPr="00BC6A2A">
              <w:t>extract</w:t>
            </w:r>
            <w:r w:rsidR="00663F51" w:rsidRPr="00BC6A2A">
              <w:rPr>
                <w:spacing w:val="-12"/>
              </w:rPr>
              <w:t xml:space="preserve"> </w:t>
            </w:r>
            <w:r w:rsidR="00663F51" w:rsidRPr="00BC6A2A">
              <w:t>of</w:t>
            </w:r>
            <w:r w:rsidR="00663F51" w:rsidRPr="00BC6A2A">
              <w:rPr>
                <w:spacing w:val="-7"/>
              </w:rPr>
              <w:t xml:space="preserve"> </w:t>
            </w:r>
            <w:r w:rsidR="00663F51" w:rsidRPr="00BC6A2A">
              <w:rPr>
                <w:i/>
              </w:rPr>
              <w:t xml:space="preserve">C. edulis </w:t>
            </w:r>
            <w:r w:rsidR="00663F51" w:rsidRPr="00BC6A2A">
              <w:t>is</w:t>
            </w:r>
            <w:r w:rsidR="00663F51" w:rsidRPr="00BC6A2A">
              <w:rPr>
                <w:spacing w:val="-12"/>
              </w:rPr>
              <w:t xml:space="preserve"> </w:t>
            </w:r>
            <w:r w:rsidR="00663F51" w:rsidRPr="00BC6A2A">
              <w:t>synergistically</w:t>
            </w:r>
            <w:r w:rsidR="00663F51" w:rsidRPr="00BC6A2A">
              <w:rPr>
                <w:spacing w:val="-10"/>
              </w:rPr>
              <w:t xml:space="preserve"> </w:t>
            </w:r>
            <w:r w:rsidR="00663F51" w:rsidRPr="00BC6A2A">
              <w:t>antigenic</w:t>
            </w:r>
            <w:r w:rsidR="008D6DC1" w:rsidRPr="00BC6A2A">
              <w:t>,</w:t>
            </w:r>
            <w:r w:rsidR="00663F51" w:rsidRPr="00BC6A2A">
              <w:rPr>
                <w:spacing w:val="-11"/>
              </w:rPr>
              <w:t xml:space="preserve"> </w:t>
            </w:r>
            <w:r w:rsidR="00663F51" w:rsidRPr="00BC6A2A">
              <w:t>stimulating</w:t>
            </w:r>
            <w:r w:rsidR="00663F51" w:rsidRPr="00BC6A2A">
              <w:rPr>
                <w:spacing w:val="-11"/>
              </w:rPr>
              <w:t xml:space="preserve"> </w:t>
            </w:r>
            <w:r w:rsidR="00663F51" w:rsidRPr="00BC6A2A">
              <w:t>the</w:t>
            </w:r>
            <w:r w:rsidR="00663F51" w:rsidRPr="00BC6A2A">
              <w:rPr>
                <w:spacing w:val="-13"/>
              </w:rPr>
              <w:t xml:space="preserve"> </w:t>
            </w:r>
            <w:r w:rsidR="00663F51" w:rsidRPr="00BC6A2A">
              <w:t xml:space="preserve">Th1- biased response with increased IFN-γ and IgG2a, and decreased IL-10, as well as </w:t>
            </w:r>
            <w:r w:rsidR="00BB465E" w:rsidRPr="00BC6A2A">
              <w:t>enhanced parasite clearance</w:t>
            </w:r>
            <w:r w:rsidR="00663F51" w:rsidRPr="00BC6A2A">
              <w:rPr>
                <w:spacing w:val="-2"/>
              </w:rPr>
              <w:t>.</w:t>
            </w:r>
          </w:p>
          <w:p w14:paraId="1B979781" w14:textId="1105CFF2" w:rsidR="00505F06" w:rsidRPr="00BC6A2A" w:rsidRDefault="00505F06" w:rsidP="00441B6F">
            <w:pPr>
              <w:pStyle w:val="Body"/>
              <w:spacing w:after="0"/>
              <w:rPr>
                <w:rFonts w:ascii="Arial" w:eastAsia="Calibri" w:hAnsi="Arial" w:cs="Arial"/>
                <w:szCs w:val="22"/>
              </w:rPr>
            </w:pPr>
          </w:p>
        </w:tc>
      </w:tr>
    </w:tbl>
    <w:p w14:paraId="01486D80" w14:textId="77777777" w:rsidR="000832A8" w:rsidRPr="00BC6A2A" w:rsidRDefault="000832A8" w:rsidP="00441B6F">
      <w:pPr>
        <w:pStyle w:val="Body"/>
        <w:spacing w:after="0"/>
        <w:rPr>
          <w:rFonts w:ascii="Arial" w:hAnsi="Arial" w:cs="Arial"/>
          <w:i/>
        </w:rPr>
      </w:pPr>
    </w:p>
    <w:p w14:paraId="7717C021" w14:textId="10FAD19F" w:rsidR="00A24E7E" w:rsidRPr="00BC6A2A" w:rsidRDefault="00A24E7E" w:rsidP="00441B6F">
      <w:pPr>
        <w:pStyle w:val="Body"/>
        <w:spacing w:after="0"/>
        <w:rPr>
          <w:rFonts w:ascii="Arial" w:hAnsi="Arial" w:cs="Arial"/>
          <w:i/>
        </w:rPr>
      </w:pPr>
      <w:bookmarkStart w:id="0" w:name="_GoBack"/>
      <w:r w:rsidRPr="00750D61">
        <w:rPr>
          <w:rFonts w:ascii="Arial" w:hAnsi="Arial" w:cs="Arial"/>
          <w:b/>
          <w:i/>
        </w:rPr>
        <w:t>Keywords:</w:t>
      </w:r>
      <w:r w:rsidRPr="00BC6A2A">
        <w:rPr>
          <w:rFonts w:ascii="Arial" w:hAnsi="Arial" w:cs="Arial"/>
          <w:i/>
        </w:rPr>
        <w:t xml:space="preserve"> </w:t>
      </w:r>
      <w:bookmarkEnd w:id="0"/>
      <w:r w:rsidR="00DC7D01" w:rsidRPr="00BC6A2A">
        <w:rPr>
          <w:rFonts w:ascii="Arial" w:hAnsi="Arial" w:cs="Arial"/>
          <w:i/>
        </w:rPr>
        <w:t>Immunomodulation, visceral leishmaniasis, Carissa edulis, IgG, cytokines</w:t>
      </w:r>
    </w:p>
    <w:p w14:paraId="65329DF5" w14:textId="77777777" w:rsidR="00790ADA" w:rsidRPr="00BC6A2A" w:rsidRDefault="00790ADA" w:rsidP="00441B6F">
      <w:pPr>
        <w:pStyle w:val="Body"/>
        <w:spacing w:after="0"/>
        <w:rPr>
          <w:rFonts w:ascii="Arial" w:hAnsi="Arial" w:cs="Arial"/>
          <w:i/>
        </w:rPr>
      </w:pPr>
    </w:p>
    <w:p w14:paraId="20B2AA47" w14:textId="77777777" w:rsidR="0024282C" w:rsidRPr="00BC6A2A" w:rsidRDefault="0024282C" w:rsidP="00441B6F">
      <w:pPr>
        <w:pStyle w:val="Body"/>
        <w:spacing w:after="0"/>
        <w:rPr>
          <w:rFonts w:ascii="Arial" w:hAnsi="Arial" w:cs="Arial"/>
          <w:i/>
          <w:sz w:val="18"/>
        </w:rPr>
      </w:pPr>
    </w:p>
    <w:p w14:paraId="013B2F01" w14:textId="77777777" w:rsidR="00505F06" w:rsidRPr="00BC6A2A" w:rsidRDefault="00505F06" w:rsidP="00441B6F">
      <w:pPr>
        <w:pStyle w:val="Body"/>
        <w:spacing w:after="0"/>
        <w:rPr>
          <w:rFonts w:ascii="Arial" w:hAnsi="Arial" w:cs="Arial"/>
          <w:i/>
        </w:rPr>
      </w:pPr>
    </w:p>
    <w:p w14:paraId="5686D83C" w14:textId="66979BD6" w:rsidR="007F7B32" w:rsidRPr="00BC6A2A" w:rsidRDefault="00902823" w:rsidP="00441B6F">
      <w:pPr>
        <w:pStyle w:val="AbstHead"/>
        <w:spacing w:after="0"/>
        <w:jc w:val="both"/>
        <w:rPr>
          <w:rFonts w:ascii="Arial" w:hAnsi="Arial" w:cs="Arial"/>
        </w:rPr>
      </w:pPr>
      <w:r w:rsidRPr="00BC6A2A">
        <w:rPr>
          <w:rFonts w:ascii="Arial" w:hAnsi="Arial" w:cs="Arial"/>
        </w:rPr>
        <w:t xml:space="preserve">1. </w:t>
      </w:r>
      <w:r w:rsidR="00B01FCD" w:rsidRPr="00BC6A2A">
        <w:rPr>
          <w:rFonts w:ascii="Arial" w:hAnsi="Arial" w:cs="Arial"/>
        </w:rPr>
        <w:t>INTRODUCTION</w:t>
      </w:r>
    </w:p>
    <w:p w14:paraId="0E224959" w14:textId="77777777" w:rsidR="00790ADA" w:rsidRPr="00BC6A2A" w:rsidRDefault="00790ADA" w:rsidP="00441B6F">
      <w:pPr>
        <w:pStyle w:val="AbstHead"/>
        <w:spacing w:after="0"/>
        <w:jc w:val="both"/>
        <w:rPr>
          <w:rFonts w:ascii="Arial" w:hAnsi="Arial" w:cs="Arial"/>
        </w:rPr>
      </w:pPr>
    </w:p>
    <w:p w14:paraId="226D4EBF" w14:textId="121F48CC" w:rsidR="00DC7D01" w:rsidRPr="00BC6A2A" w:rsidRDefault="00DC7D01" w:rsidP="00DC7D01">
      <w:pPr>
        <w:pStyle w:val="Body"/>
        <w:rPr>
          <w:rFonts w:ascii="Arial" w:hAnsi="Arial" w:cs="Arial"/>
        </w:rPr>
      </w:pPr>
      <w:r w:rsidRPr="00BC6A2A">
        <w:rPr>
          <w:rFonts w:ascii="Arial" w:hAnsi="Arial" w:cs="Arial"/>
        </w:rPr>
        <w:t>Visceral leishmaniasis (VL) or kala-azar is the most severe form of leishmaniasis and incurs significant morbidity and mortality in the tropical and subtropical belts (</w:t>
      </w:r>
      <w:proofErr w:type="spellStart"/>
      <w:r w:rsidRPr="00BC6A2A">
        <w:rPr>
          <w:rFonts w:ascii="Arial" w:hAnsi="Arial" w:cs="Arial"/>
        </w:rPr>
        <w:t>Wamai</w:t>
      </w:r>
      <w:proofErr w:type="spellEnd"/>
      <w:r w:rsidRPr="00BC6A2A">
        <w:rPr>
          <w:rFonts w:ascii="Arial" w:hAnsi="Arial" w:cs="Arial"/>
        </w:rPr>
        <w:t xml:space="preserve"> et al., 2020).</w:t>
      </w:r>
      <w:r w:rsidR="002924E9" w:rsidRPr="00BC6A2A">
        <w:rPr>
          <w:rFonts w:ascii="Arial" w:hAnsi="Arial" w:cs="Arial"/>
        </w:rPr>
        <w:t xml:space="preserve"> </w:t>
      </w:r>
      <w:r w:rsidRPr="00BC6A2A">
        <w:rPr>
          <w:rFonts w:ascii="Arial" w:hAnsi="Arial" w:cs="Arial"/>
        </w:rPr>
        <w:t xml:space="preserve"> It is induced mainly by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in East Africa and the Indian subcontinent and by </w:t>
      </w:r>
      <w:r w:rsidRPr="00BC6A2A">
        <w:rPr>
          <w:rFonts w:ascii="Arial" w:hAnsi="Arial" w:cs="Arial"/>
          <w:i/>
          <w:iCs/>
        </w:rPr>
        <w:lastRenderedPageBreak/>
        <w:t>Leishmania infantum</w:t>
      </w:r>
      <w:r w:rsidRPr="00BC6A2A">
        <w:rPr>
          <w:rFonts w:ascii="Arial" w:hAnsi="Arial" w:cs="Arial"/>
        </w:rPr>
        <w:t xml:space="preserve"> in the Mediterranean and Latin America (Alvar et al., 2012).</w:t>
      </w:r>
      <w:r w:rsidR="002924E9" w:rsidRPr="00BC6A2A">
        <w:t xml:space="preserve"> </w:t>
      </w:r>
      <w:r w:rsidR="002924E9" w:rsidRPr="00BC6A2A">
        <w:rPr>
          <w:rFonts w:ascii="Arial" w:hAnsi="Arial" w:cs="Arial"/>
        </w:rPr>
        <w:t>Leishmania infections can be transmitted by other means</w:t>
      </w:r>
      <w:r w:rsidR="008D6DC1" w:rsidRPr="00BC6A2A">
        <w:rPr>
          <w:rFonts w:ascii="Arial" w:hAnsi="Arial" w:cs="Arial"/>
        </w:rPr>
        <w:t>,</w:t>
      </w:r>
      <w:r w:rsidR="002924E9" w:rsidRPr="00BC6A2A">
        <w:rPr>
          <w:rFonts w:ascii="Arial" w:hAnsi="Arial" w:cs="Arial"/>
        </w:rPr>
        <w:t xml:space="preserve"> such as blood </w:t>
      </w:r>
      <w:proofErr w:type="gramStart"/>
      <w:r w:rsidR="002924E9" w:rsidRPr="00BC6A2A">
        <w:rPr>
          <w:rFonts w:ascii="Arial" w:hAnsi="Arial" w:cs="Arial"/>
        </w:rPr>
        <w:t xml:space="preserve">transfusions,   </w:t>
      </w:r>
      <w:proofErr w:type="gramEnd"/>
      <w:r w:rsidR="002924E9" w:rsidRPr="00BC6A2A">
        <w:rPr>
          <w:rFonts w:ascii="Arial" w:hAnsi="Arial" w:cs="Arial"/>
        </w:rPr>
        <w:t>sharing of used needles or placental transfer,  but these cases are too rare (Verma et al., 2022).</w:t>
      </w:r>
      <w:r w:rsidRPr="00BC6A2A">
        <w:rPr>
          <w:rFonts w:ascii="Arial" w:hAnsi="Arial" w:cs="Arial"/>
        </w:rPr>
        <w:t xml:space="preserve"> Acquired through bites of an infected female phlebotomine </w:t>
      </w:r>
      <w:proofErr w:type="spellStart"/>
      <w:r w:rsidRPr="00BC6A2A">
        <w:rPr>
          <w:rFonts w:ascii="Arial" w:hAnsi="Arial" w:cs="Arial"/>
        </w:rPr>
        <w:t>sandfly</w:t>
      </w:r>
      <w:proofErr w:type="spellEnd"/>
      <w:r w:rsidRPr="00BC6A2A">
        <w:rPr>
          <w:rFonts w:ascii="Arial" w:hAnsi="Arial" w:cs="Arial"/>
        </w:rPr>
        <w:t>, VL as an epidemic, impacts internal organs, including the liver, spleen and bone marrow</w:t>
      </w:r>
      <w:r w:rsidR="00D76160" w:rsidRPr="00BC6A2A">
        <w:rPr>
          <w:rFonts w:ascii="Arial" w:hAnsi="Arial" w:cs="Arial"/>
        </w:rPr>
        <w:t xml:space="preserve"> (</w:t>
      </w:r>
      <w:proofErr w:type="spellStart"/>
      <w:r w:rsidR="00D76160" w:rsidRPr="00BC6A2A">
        <w:rPr>
          <w:rFonts w:ascii="Arial" w:hAnsi="Arial" w:cs="Arial"/>
        </w:rPr>
        <w:t>Israël</w:t>
      </w:r>
      <w:proofErr w:type="spellEnd"/>
      <w:r w:rsidR="00D76160" w:rsidRPr="00BC6A2A">
        <w:rPr>
          <w:rFonts w:ascii="Arial" w:hAnsi="Arial" w:cs="Arial"/>
        </w:rPr>
        <w:t xml:space="preserve"> et al., 2021)</w:t>
      </w:r>
      <w:r w:rsidRPr="00BC6A2A">
        <w:rPr>
          <w:rFonts w:ascii="Arial" w:hAnsi="Arial" w:cs="Arial"/>
        </w:rPr>
        <w:t>.</w:t>
      </w:r>
      <w:r w:rsidR="000B20AD" w:rsidRPr="00BC6A2A">
        <w:rPr>
          <w:rFonts w:ascii="Arial" w:hAnsi="Arial" w:cs="Arial"/>
        </w:rPr>
        <w:t xml:space="preserve"> </w:t>
      </w:r>
      <w:r w:rsidRPr="00BC6A2A">
        <w:rPr>
          <w:rFonts w:ascii="Arial" w:hAnsi="Arial" w:cs="Arial"/>
        </w:rPr>
        <w:t xml:space="preserve"> Untreated, the disease is highly lethal, and case fatality estimates are up to 100 per</w:t>
      </w:r>
      <w:r w:rsidR="008D6DC1" w:rsidRPr="00BC6A2A">
        <w:rPr>
          <w:rFonts w:ascii="Arial" w:hAnsi="Arial" w:cs="Arial"/>
        </w:rPr>
        <w:t xml:space="preserve"> </w:t>
      </w:r>
      <w:r w:rsidRPr="00BC6A2A">
        <w:rPr>
          <w:rFonts w:ascii="Arial" w:hAnsi="Arial" w:cs="Arial"/>
        </w:rPr>
        <w:t>cent within two years of infection (</w:t>
      </w:r>
      <w:proofErr w:type="spellStart"/>
      <w:r w:rsidRPr="00BC6A2A">
        <w:rPr>
          <w:rFonts w:ascii="Arial" w:hAnsi="Arial" w:cs="Arial"/>
        </w:rPr>
        <w:t>Steverding</w:t>
      </w:r>
      <w:proofErr w:type="spellEnd"/>
      <w:r w:rsidRPr="00BC6A2A">
        <w:rPr>
          <w:rFonts w:ascii="Arial" w:hAnsi="Arial" w:cs="Arial"/>
        </w:rPr>
        <w:t>, 2017). Worldwide, countries such as India, Bangladesh, Sudan, Ethiopia, Brazil, and Kenya are known to report more than 90 per</w:t>
      </w:r>
      <w:r w:rsidR="008D6DC1" w:rsidRPr="00BC6A2A">
        <w:rPr>
          <w:rFonts w:ascii="Arial" w:hAnsi="Arial" w:cs="Arial"/>
        </w:rPr>
        <w:t xml:space="preserve"> </w:t>
      </w:r>
      <w:r w:rsidRPr="00BC6A2A">
        <w:rPr>
          <w:rFonts w:ascii="Arial" w:hAnsi="Arial" w:cs="Arial"/>
        </w:rPr>
        <w:t>cent of all new VL cases (Sundar, 2015).</w:t>
      </w:r>
      <w:r w:rsidR="00F14BF6" w:rsidRPr="00BC6A2A">
        <w:rPr>
          <w:rFonts w:ascii="Arial" w:hAnsi="Arial" w:cs="Arial"/>
        </w:rPr>
        <w:t xml:space="preserve"> </w:t>
      </w:r>
    </w:p>
    <w:p w14:paraId="5672B72C" w14:textId="77777777" w:rsidR="00DC7D01" w:rsidRPr="00BC6A2A" w:rsidRDefault="00DC7D01" w:rsidP="00DC7D01">
      <w:pPr>
        <w:pStyle w:val="Body"/>
        <w:rPr>
          <w:rFonts w:ascii="Arial" w:hAnsi="Arial" w:cs="Arial"/>
        </w:rPr>
      </w:pPr>
      <w:r w:rsidRPr="00BC6A2A">
        <w:rPr>
          <w:rFonts w:ascii="Arial" w:hAnsi="Arial" w:cs="Arial"/>
        </w:rPr>
        <w:t xml:space="preserve">The available treatment regimens of VL currently consist of pentavalent </w:t>
      </w:r>
      <w:proofErr w:type="spellStart"/>
      <w:r w:rsidRPr="00BC6A2A">
        <w:rPr>
          <w:rFonts w:ascii="Arial" w:hAnsi="Arial" w:cs="Arial"/>
        </w:rPr>
        <w:t>antimonials</w:t>
      </w:r>
      <w:proofErr w:type="spellEnd"/>
      <w:r w:rsidRPr="00BC6A2A">
        <w:rPr>
          <w:rFonts w:ascii="Arial" w:hAnsi="Arial" w:cs="Arial"/>
        </w:rPr>
        <w:t xml:space="preserve">, amphotericin B, paromomycin, and </w:t>
      </w:r>
      <w:proofErr w:type="spellStart"/>
      <w:r w:rsidRPr="00BC6A2A">
        <w:rPr>
          <w:rFonts w:ascii="Arial" w:hAnsi="Arial" w:cs="Arial"/>
        </w:rPr>
        <w:t>miltefosine</w:t>
      </w:r>
      <w:proofErr w:type="spellEnd"/>
      <w:r w:rsidRPr="00BC6A2A">
        <w:rPr>
          <w:rFonts w:ascii="Arial" w:hAnsi="Arial" w:cs="Arial"/>
        </w:rPr>
        <w:t xml:space="preserve"> (Ponte-Sucre et al., 2017; Singh et al., 2016). Although these drugs may be useful, their use is limited by several negatives: the drug becomes toxic, prolongs treatment, costs a lot, and new resistance to the drug is being encountered. This is the case with amphotericin B, which is the most effective but also nephrotoxic and thus cannot be administered. This resistance to </w:t>
      </w:r>
      <w:proofErr w:type="spellStart"/>
      <w:r w:rsidRPr="00BC6A2A">
        <w:rPr>
          <w:rFonts w:ascii="Arial" w:hAnsi="Arial" w:cs="Arial"/>
        </w:rPr>
        <w:t>antimonials</w:t>
      </w:r>
      <w:proofErr w:type="spellEnd"/>
      <w:r w:rsidRPr="00BC6A2A">
        <w:rPr>
          <w:rFonts w:ascii="Arial" w:hAnsi="Arial" w:cs="Arial"/>
        </w:rPr>
        <w:t xml:space="preserve"> has already made it obsolete in parts of the world, most of them in Bihar, India (</w:t>
      </w:r>
      <w:proofErr w:type="spellStart"/>
      <w:r w:rsidRPr="00BC6A2A">
        <w:rPr>
          <w:rFonts w:ascii="Arial" w:hAnsi="Arial" w:cs="Arial"/>
        </w:rPr>
        <w:t>Barragán</w:t>
      </w:r>
      <w:proofErr w:type="spellEnd"/>
      <w:r w:rsidRPr="00BC6A2A">
        <w:rPr>
          <w:rFonts w:ascii="Arial" w:hAnsi="Arial" w:cs="Arial"/>
        </w:rPr>
        <w:t xml:space="preserve"> et al., 2010). In addition to this, the unavailability of drugs in the endemic areas, lack of patient compliance, and lack of pediatric formulations also contribute to the poor disease management (Pacheco-Fernandez et al., 2023a, 2023b). These restrictions highlight why preventive methods such as effective vaccines and adjunct therapy are increasingly needed.</w:t>
      </w:r>
    </w:p>
    <w:p w14:paraId="09E9FF42" w14:textId="7F3BA5D6" w:rsidR="00DC7D01" w:rsidRPr="00BC6A2A" w:rsidRDefault="00DC7D01" w:rsidP="00DC7D01">
      <w:pPr>
        <w:pStyle w:val="Body"/>
        <w:rPr>
          <w:rFonts w:ascii="Arial" w:hAnsi="Arial" w:cs="Arial"/>
        </w:rPr>
      </w:pPr>
      <w:r w:rsidRPr="00BC6A2A">
        <w:rPr>
          <w:rFonts w:ascii="Arial" w:hAnsi="Arial" w:cs="Arial"/>
          <w:i/>
          <w:iCs/>
        </w:rPr>
        <w:t>Carissa edulis</w:t>
      </w:r>
      <w:r w:rsidRPr="00BC6A2A">
        <w:rPr>
          <w:rFonts w:ascii="Arial" w:hAnsi="Arial" w:cs="Arial"/>
        </w:rPr>
        <w:t xml:space="preserve"> (family </w:t>
      </w:r>
      <w:proofErr w:type="spellStart"/>
      <w:r w:rsidRPr="00BC6A2A">
        <w:rPr>
          <w:rFonts w:ascii="Arial" w:hAnsi="Arial" w:cs="Arial"/>
        </w:rPr>
        <w:t>Apocynaceae</w:t>
      </w:r>
      <w:proofErr w:type="spellEnd"/>
      <w:r w:rsidRPr="00BC6A2A">
        <w:rPr>
          <w:rFonts w:ascii="Arial" w:hAnsi="Arial" w:cs="Arial"/>
        </w:rPr>
        <w:t>) is a medicinal shrub widely used across East and West Africa for treating inflammatory, infectious, and febrile illnesses. Phytochemical analyses have identified flavonoids, triterpenoids, saponins, and phenolic compounds, many of which possess antioxidant, antimicrobial, and immunomodulatory activities. These bioactive constituents have been shown to modulate cytokine production, enhance phagocytic activity, and influence adaptive immune responses in various experimental models. Because plant-derived metabolites</w:t>
      </w:r>
      <w:r w:rsidR="008E4AA9" w:rsidRPr="00BC6A2A">
        <w:rPr>
          <w:rFonts w:ascii="Arial" w:hAnsi="Arial" w:cs="Arial"/>
        </w:rPr>
        <w:t>,</w:t>
      </w:r>
      <w:r w:rsidRPr="00BC6A2A">
        <w:rPr>
          <w:rFonts w:ascii="Arial" w:hAnsi="Arial" w:cs="Arial"/>
        </w:rPr>
        <w:t xml:space="preserve"> particularly flavonoids and triterpenoids</w:t>
      </w:r>
      <w:r w:rsidR="008E4AA9" w:rsidRPr="00BC6A2A">
        <w:rPr>
          <w:rFonts w:ascii="Arial" w:hAnsi="Arial" w:cs="Arial"/>
        </w:rPr>
        <w:t>,</w:t>
      </w:r>
      <w:r w:rsidRPr="00BC6A2A">
        <w:rPr>
          <w:rFonts w:ascii="Arial" w:hAnsi="Arial" w:cs="Arial"/>
        </w:rPr>
        <w:t xml:space="preserve"> are known to improve antigen presentation and stimulate Th1-skewed immunity, extracts of </w:t>
      </w:r>
      <w:r w:rsidRPr="00BC6A2A">
        <w:rPr>
          <w:rFonts w:ascii="Arial" w:hAnsi="Arial" w:cs="Arial"/>
          <w:i/>
          <w:iCs/>
        </w:rPr>
        <w:t>C. edulis</w:t>
      </w:r>
      <w:r w:rsidRPr="00BC6A2A">
        <w:rPr>
          <w:rFonts w:ascii="Arial" w:hAnsi="Arial" w:cs="Arial"/>
        </w:rPr>
        <w:t xml:space="preserve"> offer potential as low-cost, accessible vaccine adjuvants in resource-limited settings.</w:t>
      </w:r>
      <w:r w:rsidR="00B9135B" w:rsidRPr="00BC6A2A">
        <w:t xml:space="preserve"> </w:t>
      </w:r>
      <w:r w:rsidR="00B9135B" w:rsidRPr="00BC6A2A">
        <w:rPr>
          <w:rFonts w:ascii="Arial" w:hAnsi="Arial" w:cs="Arial"/>
        </w:rPr>
        <w:t>Adjuvants are defined as various components that enhance the immunogenicity of vaccines when administered in conjunction with vaccine antigens</w:t>
      </w:r>
      <w:r w:rsidR="00DA5226" w:rsidRPr="00BC6A2A">
        <w:rPr>
          <w:rFonts w:ascii="Arial" w:hAnsi="Arial" w:cs="Arial"/>
        </w:rPr>
        <w:t xml:space="preserve">. </w:t>
      </w:r>
      <w:r w:rsidR="00B9135B" w:rsidRPr="00BC6A2A">
        <w:rPr>
          <w:rFonts w:ascii="Arial" w:hAnsi="Arial" w:cs="Arial"/>
        </w:rPr>
        <w:t>Adjuvants can range from synthetic small molecule compounds to complex natural extracts and particulate materials</w:t>
      </w:r>
      <w:r w:rsidR="00074AB2" w:rsidRPr="00BC6A2A">
        <w:rPr>
          <w:rFonts w:ascii="Arial" w:hAnsi="Arial" w:cs="Arial"/>
        </w:rPr>
        <w:t xml:space="preserve"> (Zhao et al., 2023</w:t>
      </w:r>
      <w:r w:rsidR="00F77F82" w:rsidRPr="00BC6A2A">
        <w:rPr>
          <w:rFonts w:ascii="Arial" w:hAnsi="Arial" w:cs="Arial"/>
        </w:rPr>
        <w:t>; Reed et al., 2013</w:t>
      </w:r>
      <w:r w:rsidR="00074AB2" w:rsidRPr="00BC6A2A">
        <w:rPr>
          <w:rFonts w:ascii="Arial" w:hAnsi="Arial" w:cs="Arial"/>
        </w:rPr>
        <w:t>)</w:t>
      </w:r>
      <w:r w:rsidR="00B9135B" w:rsidRPr="00BC6A2A">
        <w:rPr>
          <w:rFonts w:ascii="Arial" w:hAnsi="Arial" w:cs="Arial"/>
        </w:rPr>
        <w:t>.</w:t>
      </w:r>
    </w:p>
    <w:p w14:paraId="70F24C82" w14:textId="77777777" w:rsidR="00DC7D01" w:rsidRPr="00BC6A2A" w:rsidRDefault="00DC7D01" w:rsidP="00DC7D01">
      <w:pPr>
        <w:pStyle w:val="Body"/>
        <w:rPr>
          <w:rFonts w:ascii="Arial" w:hAnsi="Arial" w:cs="Arial"/>
        </w:rPr>
      </w:pPr>
      <w:r w:rsidRPr="00BC6A2A">
        <w:rPr>
          <w:rFonts w:ascii="Arial" w:hAnsi="Arial" w:cs="Arial"/>
        </w:rPr>
        <w:t xml:space="preserve">The results of clinical development of </w:t>
      </w:r>
      <w:r w:rsidRPr="00BC6A2A">
        <w:rPr>
          <w:rFonts w:ascii="Arial" w:hAnsi="Arial" w:cs="Arial"/>
          <w:i/>
          <w:iCs/>
        </w:rPr>
        <w:t xml:space="preserve">Leishmania </w:t>
      </w:r>
      <w:r w:rsidRPr="00BC6A2A">
        <w:rPr>
          <w:rFonts w:ascii="Arial" w:hAnsi="Arial" w:cs="Arial"/>
        </w:rPr>
        <w:t>infection are the compound effect between the host and the parasite (</w:t>
      </w:r>
      <w:proofErr w:type="spellStart"/>
      <w:r w:rsidRPr="00BC6A2A">
        <w:rPr>
          <w:rFonts w:ascii="Arial" w:hAnsi="Arial" w:cs="Arial"/>
        </w:rPr>
        <w:t>Volpedo</w:t>
      </w:r>
      <w:proofErr w:type="spellEnd"/>
      <w:r w:rsidRPr="00BC6A2A">
        <w:rPr>
          <w:rFonts w:ascii="Arial" w:hAnsi="Arial" w:cs="Arial"/>
        </w:rPr>
        <w:t xml:space="preserve"> et al., 2021). The progression or control of VL hinges on the balance between protective Th1-type immune responses and disease-promoting Th2 or regulatory pathways. Macrophage-mediated Th1-cell-mediated interferon- gamma (IFN-γ)-mediated activation of macrophages is the main mediator of protective immunity against </w:t>
      </w:r>
      <w:r w:rsidRPr="00BC6A2A">
        <w:rPr>
          <w:rFonts w:ascii="Arial" w:hAnsi="Arial" w:cs="Arial"/>
          <w:i/>
          <w:iCs/>
        </w:rPr>
        <w:t xml:space="preserve">L. </w:t>
      </w:r>
      <w:proofErr w:type="spellStart"/>
      <w:r w:rsidRPr="00BC6A2A">
        <w:rPr>
          <w:rFonts w:ascii="Arial" w:hAnsi="Arial" w:cs="Arial"/>
          <w:i/>
          <w:iCs/>
        </w:rPr>
        <w:t>donovani</w:t>
      </w:r>
      <w:proofErr w:type="spellEnd"/>
      <w:r w:rsidRPr="00BC6A2A">
        <w:rPr>
          <w:rFonts w:ascii="Arial" w:hAnsi="Arial" w:cs="Arial"/>
        </w:rPr>
        <w:t xml:space="preserve"> (</w:t>
      </w:r>
      <w:proofErr w:type="spellStart"/>
      <w:r w:rsidRPr="00BC6A2A">
        <w:rPr>
          <w:rFonts w:ascii="Arial" w:hAnsi="Arial" w:cs="Arial"/>
        </w:rPr>
        <w:t>Samant</w:t>
      </w:r>
      <w:proofErr w:type="spellEnd"/>
      <w:r w:rsidRPr="00BC6A2A">
        <w:rPr>
          <w:rFonts w:ascii="Arial" w:hAnsi="Arial" w:cs="Arial"/>
        </w:rPr>
        <w:t xml:space="preserve"> et al., 2021). This cytokine stimulates the generation of nitric oxide, which is an important </w:t>
      </w:r>
      <w:proofErr w:type="spellStart"/>
      <w:r w:rsidRPr="00BC6A2A">
        <w:rPr>
          <w:rFonts w:ascii="Arial" w:hAnsi="Arial" w:cs="Arial"/>
        </w:rPr>
        <w:t>leishmanicidal</w:t>
      </w:r>
      <w:proofErr w:type="spellEnd"/>
      <w:r w:rsidRPr="00BC6A2A">
        <w:rPr>
          <w:rFonts w:ascii="Arial" w:hAnsi="Arial" w:cs="Arial"/>
        </w:rPr>
        <w:t xml:space="preserve"> agent. Interleukin-10 (IL-10), on the other hand, is the key to the maintenance of the parasites, since it inhibits the activation of the macrophages and the ability of the parasites to evade the immune system.</w:t>
      </w:r>
    </w:p>
    <w:p w14:paraId="52172BCD" w14:textId="55387BAC" w:rsidR="00790ADA" w:rsidRPr="00BC6A2A" w:rsidRDefault="00DC7D01" w:rsidP="00DC7D01">
      <w:pPr>
        <w:pStyle w:val="Body"/>
        <w:spacing w:after="0"/>
        <w:rPr>
          <w:rFonts w:ascii="Arial" w:hAnsi="Arial" w:cs="Arial"/>
        </w:rPr>
      </w:pPr>
      <w:r w:rsidRPr="00BC6A2A">
        <w:rPr>
          <w:rFonts w:ascii="Arial" w:hAnsi="Arial" w:cs="Arial"/>
        </w:rPr>
        <w:t xml:space="preserve">This </w:t>
      </w:r>
      <w:proofErr w:type="spellStart"/>
      <w:r w:rsidR="008E4AA9" w:rsidRPr="00BC6A2A">
        <w:rPr>
          <w:rFonts w:ascii="Arial" w:hAnsi="Arial" w:cs="Arial"/>
        </w:rPr>
        <w:t>polarisation</w:t>
      </w:r>
      <w:proofErr w:type="spellEnd"/>
      <w:r w:rsidR="008E4AA9" w:rsidRPr="00BC6A2A">
        <w:rPr>
          <w:rFonts w:ascii="Arial" w:hAnsi="Arial" w:cs="Arial"/>
        </w:rPr>
        <w:t xml:space="preserve"> </w:t>
      </w:r>
      <w:r w:rsidRPr="00BC6A2A">
        <w:rPr>
          <w:rFonts w:ascii="Arial" w:hAnsi="Arial" w:cs="Arial"/>
        </w:rPr>
        <w:t>toward Th1 (cell-mediated) or Th2 (humoral) skewing of immune responses has shown important implications in controlling or worsening disease. High levels of IL-10 are linked with progression of the disease, whereas high levels of IFN-γ and IgG2a are linked to parasite clearance (Bogdan et al., 2024; Costa-Da-</w:t>
      </w:r>
      <w:proofErr w:type="spellStart"/>
      <w:r w:rsidRPr="00BC6A2A">
        <w:rPr>
          <w:rFonts w:ascii="Arial" w:hAnsi="Arial" w:cs="Arial"/>
        </w:rPr>
        <w:t>silva</w:t>
      </w:r>
      <w:proofErr w:type="spellEnd"/>
      <w:r w:rsidRPr="00BC6A2A">
        <w:rPr>
          <w:rFonts w:ascii="Arial" w:hAnsi="Arial" w:cs="Arial"/>
        </w:rPr>
        <w:t xml:space="preserve"> et al., 2022). Therefore, the cytokine-antibody interplay can be modified by the knowledge of this interaction, which is an important approach to VL vaccine design and immunotherapy. This study aimed to assess the adjuvant </w:t>
      </w:r>
      <w:r w:rsidRPr="00BC6A2A">
        <w:rPr>
          <w:rFonts w:ascii="Arial" w:hAnsi="Arial" w:cs="Arial"/>
        </w:rPr>
        <w:lastRenderedPageBreak/>
        <w:t xml:space="preserve">capacity of </w:t>
      </w:r>
      <w:r w:rsidRPr="00BC6A2A">
        <w:rPr>
          <w:rFonts w:ascii="Arial" w:hAnsi="Arial" w:cs="Arial"/>
          <w:i/>
          <w:iCs/>
        </w:rPr>
        <w:t>C. edulis</w:t>
      </w:r>
      <w:r w:rsidRPr="00BC6A2A">
        <w:rPr>
          <w:rFonts w:ascii="Arial" w:hAnsi="Arial" w:cs="Arial"/>
        </w:rPr>
        <w:t xml:space="preserve"> root extracts administered with soluble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antigen (SLA) in the BALB/c mice predisposed to visceral leishmaniasis.</w:t>
      </w:r>
    </w:p>
    <w:p w14:paraId="5398086C" w14:textId="77777777" w:rsidR="00DC7D01" w:rsidRPr="00BC6A2A" w:rsidRDefault="00DC7D01" w:rsidP="00441B6F">
      <w:pPr>
        <w:pStyle w:val="AbstHead"/>
        <w:spacing w:after="0"/>
        <w:jc w:val="both"/>
        <w:rPr>
          <w:rFonts w:ascii="Arial" w:hAnsi="Arial" w:cs="Arial"/>
        </w:rPr>
      </w:pPr>
    </w:p>
    <w:p w14:paraId="5DF82639" w14:textId="2AD2A551" w:rsidR="007F7B32" w:rsidRPr="00BC6A2A" w:rsidRDefault="00902823" w:rsidP="00441B6F">
      <w:pPr>
        <w:pStyle w:val="AbstHead"/>
        <w:spacing w:after="0"/>
        <w:jc w:val="both"/>
        <w:rPr>
          <w:rFonts w:ascii="Arial" w:hAnsi="Arial" w:cs="Arial"/>
        </w:rPr>
      </w:pPr>
      <w:r w:rsidRPr="00BC6A2A">
        <w:rPr>
          <w:rFonts w:ascii="Arial" w:hAnsi="Arial" w:cs="Arial"/>
        </w:rPr>
        <w:t>2. material and method</w:t>
      </w:r>
      <w:r w:rsidR="00000F8F" w:rsidRPr="00BC6A2A">
        <w:rPr>
          <w:rFonts w:ascii="Arial" w:hAnsi="Arial" w:cs="Arial"/>
        </w:rPr>
        <w:t xml:space="preserve">s </w:t>
      </w:r>
    </w:p>
    <w:p w14:paraId="13DF2EE1" w14:textId="77777777" w:rsidR="00790ADA" w:rsidRPr="00BC6A2A" w:rsidRDefault="00790ADA" w:rsidP="00441B6F">
      <w:pPr>
        <w:pStyle w:val="AbstHead"/>
        <w:spacing w:after="0"/>
        <w:jc w:val="both"/>
        <w:rPr>
          <w:rFonts w:ascii="Arial" w:hAnsi="Arial" w:cs="Arial"/>
        </w:rPr>
      </w:pPr>
    </w:p>
    <w:p w14:paraId="51A7D351" w14:textId="77777777" w:rsidR="00790ADA" w:rsidRPr="00BC6A2A" w:rsidRDefault="00790ADA" w:rsidP="00441B6F">
      <w:pPr>
        <w:pStyle w:val="Body"/>
        <w:spacing w:after="0"/>
        <w:rPr>
          <w:rFonts w:ascii="Arial" w:hAnsi="Arial" w:cs="Arial"/>
        </w:rPr>
      </w:pPr>
    </w:p>
    <w:p w14:paraId="18F41A00" w14:textId="661B3A03" w:rsidR="00505F06" w:rsidRPr="00BC6A2A" w:rsidRDefault="00AA74E0" w:rsidP="00441B6F">
      <w:pPr>
        <w:pStyle w:val="Body"/>
        <w:spacing w:after="0"/>
        <w:rPr>
          <w:rFonts w:ascii="Arial" w:hAnsi="Arial" w:cs="Arial"/>
          <w:b/>
          <w:sz w:val="22"/>
        </w:rPr>
      </w:pPr>
      <w:r w:rsidRPr="00BC6A2A">
        <w:rPr>
          <w:rFonts w:ascii="Arial" w:hAnsi="Arial" w:cs="Arial"/>
          <w:b/>
          <w:caps/>
          <w:sz w:val="22"/>
        </w:rPr>
        <w:t xml:space="preserve">2.1 </w:t>
      </w:r>
      <w:r w:rsidR="00EB468B" w:rsidRPr="00BC6A2A">
        <w:rPr>
          <w:rFonts w:ascii="Arial" w:hAnsi="Arial" w:cs="Arial"/>
          <w:b/>
          <w:sz w:val="22"/>
        </w:rPr>
        <w:t>Plant collection and identification</w:t>
      </w:r>
    </w:p>
    <w:p w14:paraId="1DA2F0C0" w14:textId="77777777" w:rsidR="00416DE3" w:rsidRPr="00BC6A2A" w:rsidRDefault="00416DE3" w:rsidP="00441B6F">
      <w:pPr>
        <w:pStyle w:val="Body"/>
        <w:spacing w:after="0"/>
        <w:rPr>
          <w:rFonts w:ascii="Arial" w:hAnsi="Arial" w:cs="Arial"/>
          <w:b/>
          <w:sz w:val="22"/>
        </w:rPr>
      </w:pPr>
    </w:p>
    <w:p w14:paraId="701559E7" w14:textId="1311BAA5" w:rsidR="00416DE3" w:rsidRPr="00BC6A2A" w:rsidRDefault="00416DE3" w:rsidP="00441B6F">
      <w:pPr>
        <w:pStyle w:val="Body"/>
        <w:spacing w:after="0"/>
        <w:rPr>
          <w:rFonts w:ascii="Arial" w:hAnsi="Arial" w:cs="Arial"/>
        </w:rPr>
      </w:pPr>
      <w:r w:rsidRPr="00BC6A2A">
        <w:rPr>
          <w:rFonts w:ascii="Arial" w:hAnsi="Arial" w:cs="Arial"/>
          <w:i/>
          <w:iCs/>
        </w:rPr>
        <w:t>Carissa edulis</w:t>
      </w:r>
      <w:r w:rsidRPr="00BC6A2A">
        <w:rPr>
          <w:rFonts w:ascii="Arial" w:hAnsi="Arial" w:cs="Arial"/>
        </w:rPr>
        <w:t xml:space="preserve"> was gathered with the assistance of traditional medical practitioners in the </w:t>
      </w:r>
      <w:proofErr w:type="spellStart"/>
      <w:r w:rsidRPr="00BC6A2A">
        <w:rPr>
          <w:rFonts w:ascii="Arial" w:hAnsi="Arial" w:cs="Arial"/>
        </w:rPr>
        <w:t>Loitoktok</w:t>
      </w:r>
      <w:proofErr w:type="spellEnd"/>
      <w:r w:rsidRPr="00BC6A2A">
        <w:rPr>
          <w:rFonts w:ascii="Arial" w:hAnsi="Arial" w:cs="Arial"/>
        </w:rPr>
        <w:t xml:space="preserve"> region, </w:t>
      </w:r>
      <w:proofErr w:type="spellStart"/>
      <w:r w:rsidRPr="00BC6A2A">
        <w:rPr>
          <w:rFonts w:ascii="Arial" w:hAnsi="Arial" w:cs="Arial"/>
        </w:rPr>
        <w:t>Kajiado</w:t>
      </w:r>
      <w:proofErr w:type="spellEnd"/>
      <w:r w:rsidRPr="00BC6A2A">
        <w:rPr>
          <w:rFonts w:ascii="Arial" w:hAnsi="Arial" w:cs="Arial"/>
        </w:rPr>
        <w:t xml:space="preserve"> County, Kenya. A specimen was sufficiently prepared so it could be recognized at the National Museums of Kenya (NMK) and a voucher specimen was placed at the museum so that it could be referred to in the future.</w:t>
      </w:r>
    </w:p>
    <w:p w14:paraId="369DB378" w14:textId="77777777" w:rsidR="00416DE3" w:rsidRPr="00BC6A2A" w:rsidRDefault="00416DE3" w:rsidP="00441B6F">
      <w:pPr>
        <w:pStyle w:val="Body"/>
        <w:spacing w:after="0"/>
        <w:rPr>
          <w:rFonts w:ascii="Arial" w:hAnsi="Arial" w:cs="Arial"/>
        </w:rPr>
      </w:pPr>
    </w:p>
    <w:p w14:paraId="728A7AB9" w14:textId="0E7DD145" w:rsidR="004109A2" w:rsidRPr="00BC6A2A" w:rsidRDefault="004109A2" w:rsidP="004109A2">
      <w:pPr>
        <w:pStyle w:val="Body"/>
        <w:spacing w:after="0"/>
        <w:rPr>
          <w:rFonts w:ascii="Arial" w:hAnsi="Arial" w:cs="Arial"/>
          <w:b/>
          <w:sz w:val="22"/>
        </w:rPr>
      </w:pPr>
      <w:r w:rsidRPr="00BC6A2A">
        <w:rPr>
          <w:rFonts w:ascii="Arial" w:hAnsi="Arial" w:cs="Arial"/>
          <w:b/>
          <w:caps/>
          <w:sz w:val="22"/>
        </w:rPr>
        <w:t xml:space="preserve">2.2 </w:t>
      </w:r>
      <w:r w:rsidRPr="00BC6A2A">
        <w:rPr>
          <w:rFonts w:ascii="Arial" w:hAnsi="Arial" w:cs="Arial"/>
          <w:b/>
          <w:sz w:val="22"/>
        </w:rPr>
        <w:t xml:space="preserve">Preparation of </w:t>
      </w:r>
      <w:r w:rsidRPr="00BC6A2A">
        <w:rPr>
          <w:rFonts w:ascii="Arial" w:hAnsi="Arial" w:cs="Arial"/>
          <w:b/>
          <w:i/>
          <w:iCs/>
          <w:sz w:val="22"/>
        </w:rPr>
        <w:t>C. edulis</w:t>
      </w:r>
      <w:r w:rsidRPr="00BC6A2A">
        <w:rPr>
          <w:rFonts w:ascii="Arial" w:hAnsi="Arial" w:cs="Arial"/>
          <w:b/>
          <w:sz w:val="22"/>
        </w:rPr>
        <w:t xml:space="preserve"> extract</w:t>
      </w:r>
    </w:p>
    <w:p w14:paraId="45930F02" w14:textId="77777777" w:rsidR="004109A2" w:rsidRPr="00BC6A2A" w:rsidRDefault="004109A2" w:rsidP="004109A2">
      <w:pPr>
        <w:pStyle w:val="Body"/>
        <w:spacing w:after="0"/>
        <w:rPr>
          <w:rFonts w:ascii="Arial" w:hAnsi="Arial" w:cs="Arial"/>
          <w:b/>
          <w:sz w:val="22"/>
        </w:rPr>
      </w:pPr>
    </w:p>
    <w:p w14:paraId="5B08A7C0" w14:textId="14AA1918" w:rsidR="004109A2" w:rsidRPr="00BC6A2A" w:rsidRDefault="004109A2" w:rsidP="004109A2">
      <w:pPr>
        <w:pStyle w:val="Body"/>
        <w:spacing w:after="0"/>
        <w:rPr>
          <w:rFonts w:ascii="Arial" w:hAnsi="Arial" w:cs="Arial"/>
        </w:rPr>
      </w:pPr>
      <w:r w:rsidRPr="00BC6A2A">
        <w:rPr>
          <w:rFonts w:ascii="Arial" w:hAnsi="Arial" w:cs="Arial"/>
        </w:rPr>
        <w:t xml:space="preserve">For </w:t>
      </w:r>
      <w:r w:rsidRPr="00BC6A2A">
        <w:rPr>
          <w:rFonts w:ascii="Arial" w:hAnsi="Arial" w:cs="Arial"/>
          <w:i/>
          <w:iCs/>
        </w:rPr>
        <w:t>C. edulis</w:t>
      </w:r>
      <w:r w:rsidRPr="00BC6A2A">
        <w:rPr>
          <w:rFonts w:ascii="Arial" w:hAnsi="Arial" w:cs="Arial"/>
        </w:rPr>
        <w:t xml:space="preserve">, the bark of the roots was cut into small pieces and dried in the shade for 72 hours. These were reduced to a fine powder in an electrical mill and weighed. It was prepared by placing the ground material in 1g/5ml of methanol and then soaking for 48 </w:t>
      </w:r>
      <w:proofErr w:type="spellStart"/>
      <w:r w:rsidRPr="00BC6A2A">
        <w:rPr>
          <w:rFonts w:ascii="Arial" w:hAnsi="Arial" w:cs="Arial"/>
        </w:rPr>
        <w:t>hrs</w:t>
      </w:r>
      <w:proofErr w:type="spellEnd"/>
      <w:r w:rsidRPr="00BC6A2A">
        <w:rPr>
          <w:rFonts w:ascii="Arial" w:hAnsi="Arial" w:cs="Arial"/>
        </w:rPr>
        <w:t xml:space="preserve"> followed by filtering using the Whatman No.1 filter paper in a conical flask. The filtration was again passed through Whatman filter paper No.1 twice every 24</w:t>
      </w:r>
      <w:r w:rsidR="004E12FF" w:rsidRPr="00BC6A2A">
        <w:rPr>
          <w:rFonts w:ascii="Arial" w:hAnsi="Arial" w:cs="Arial"/>
        </w:rPr>
        <w:t xml:space="preserve"> </w:t>
      </w:r>
      <w:r w:rsidRPr="00BC6A2A">
        <w:rPr>
          <w:rFonts w:ascii="Arial" w:hAnsi="Arial" w:cs="Arial"/>
        </w:rPr>
        <w:t>hours</w:t>
      </w:r>
      <w:r w:rsidR="008E4AA9" w:rsidRPr="00BC6A2A">
        <w:rPr>
          <w:rFonts w:ascii="Arial" w:hAnsi="Arial" w:cs="Arial"/>
        </w:rPr>
        <w:t>,</w:t>
      </w:r>
      <w:r w:rsidRPr="00BC6A2A">
        <w:rPr>
          <w:rFonts w:ascii="Arial" w:hAnsi="Arial" w:cs="Arial"/>
        </w:rPr>
        <w:t xml:space="preserve"> and the final crude extract filtrate was concentrated through a rotary evaporator</w:t>
      </w:r>
      <w:r w:rsidR="008E4AA9" w:rsidRPr="00BC6A2A">
        <w:rPr>
          <w:rFonts w:ascii="Arial" w:hAnsi="Arial" w:cs="Arial"/>
        </w:rPr>
        <w:t>,</w:t>
      </w:r>
      <w:r w:rsidRPr="00BC6A2A">
        <w:rPr>
          <w:rFonts w:ascii="Arial" w:hAnsi="Arial" w:cs="Arial"/>
        </w:rPr>
        <w:t xml:space="preserve"> and the weight was taken. This powder was kept under -20</w:t>
      </w:r>
      <w:r w:rsidR="008E4AA9" w:rsidRPr="00BC6A2A">
        <w:rPr>
          <w:rFonts w:ascii="Arial" w:hAnsi="Arial" w:cs="Arial"/>
          <w:vertAlign w:val="superscript"/>
        </w:rPr>
        <w:t xml:space="preserve"> °</w:t>
      </w:r>
      <w:r w:rsidRPr="00BC6A2A">
        <w:rPr>
          <w:rFonts w:ascii="Arial" w:hAnsi="Arial" w:cs="Arial"/>
        </w:rPr>
        <w:t>C in an airtight container until it was used.</w:t>
      </w:r>
    </w:p>
    <w:p w14:paraId="2FF1CD39" w14:textId="77777777" w:rsidR="004109A2" w:rsidRPr="00BC6A2A" w:rsidRDefault="004109A2" w:rsidP="004109A2">
      <w:pPr>
        <w:pStyle w:val="Body"/>
        <w:spacing w:after="0"/>
        <w:rPr>
          <w:rFonts w:ascii="Arial" w:hAnsi="Arial" w:cs="Arial"/>
        </w:rPr>
      </w:pPr>
    </w:p>
    <w:p w14:paraId="3BB7F847" w14:textId="2AA140FE" w:rsidR="004109A2" w:rsidRPr="00BC6A2A" w:rsidRDefault="004109A2" w:rsidP="004109A2">
      <w:pPr>
        <w:pStyle w:val="Body"/>
        <w:spacing w:after="0"/>
        <w:rPr>
          <w:rFonts w:ascii="Arial" w:hAnsi="Arial" w:cs="Arial"/>
          <w:b/>
          <w:sz w:val="22"/>
        </w:rPr>
      </w:pPr>
      <w:r w:rsidRPr="00BC6A2A">
        <w:rPr>
          <w:rFonts w:ascii="Arial" w:hAnsi="Arial" w:cs="Arial"/>
          <w:b/>
          <w:caps/>
          <w:sz w:val="22"/>
        </w:rPr>
        <w:t xml:space="preserve">2.3 </w:t>
      </w:r>
      <w:r w:rsidRPr="00BC6A2A">
        <w:rPr>
          <w:rFonts w:ascii="Arial" w:hAnsi="Arial" w:cs="Arial"/>
          <w:b/>
          <w:sz w:val="22"/>
        </w:rPr>
        <w:t xml:space="preserve">Culture of </w:t>
      </w:r>
      <w:r w:rsidRPr="00BC6A2A">
        <w:rPr>
          <w:rFonts w:ascii="Arial" w:hAnsi="Arial" w:cs="Arial"/>
          <w:b/>
          <w:i/>
          <w:iCs/>
          <w:sz w:val="22"/>
        </w:rPr>
        <w:t xml:space="preserve">Leishmania </w:t>
      </w:r>
      <w:proofErr w:type="spellStart"/>
      <w:r w:rsidRPr="00BC6A2A">
        <w:rPr>
          <w:rFonts w:ascii="Arial" w:hAnsi="Arial" w:cs="Arial"/>
          <w:b/>
          <w:i/>
          <w:iCs/>
          <w:sz w:val="22"/>
        </w:rPr>
        <w:t>donovani</w:t>
      </w:r>
      <w:proofErr w:type="spellEnd"/>
      <w:r w:rsidRPr="00BC6A2A">
        <w:rPr>
          <w:rFonts w:ascii="Arial" w:hAnsi="Arial" w:cs="Arial"/>
          <w:b/>
          <w:sz w:val="22"/>
        </w:rPr>
        <w:t xml:space="preserve"> promastigotes</w:t>
      </w:r>
    </w:p>
    <w:p w14:paraId="1BBC963C" w14:textId="77777777" w:rsidR="004109A2" w:rsidRPr="00BC6A2A" w:rsidRDefault="004109A2" w:rsidP="004109A2">
      <w:pPr>
        <w:pStyle w:val="Body"/>
        <w:spacing w:after="0"/>
        <w:rPr>
          <w:rFonts w:ascii="Arial" w:hAnsi="Arial" w:cs="Arial"/>
          <w:b/>
          <w:sz w:val="22"/>
        </w:rPr>
      </w:pPr>
    </w:p>
    <w:p w14:paraId="4BCFBF60" w14:textId="027B0113" w:rsidR="004109A2" w:rsidRPr="00BC6A2A" w:rsidRDefault="004109A2" w:rsidP="004109A2">
      <w:pPr>
        <w:pStyle w:val="Body"/>
        <w:spacing w:after="0"/>
        <w:rPr>
          <w:rFonts w:ascii="Arial" w:hAnsi="Arial" w:cs="Arial"/>
        </w:rPr>
      </w:pPr>
      <w:r w:rsidRPr="00BC6A2A">
        <w:rPr>
          <w:rFonts w:ascii="Arial" w:hAnsi="Arial" w:cs="Arial"/>
        </w:rPr>
        <w:t xml:space="preserve">The strain of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NLB-065, which was isolated in the spleen of an infected individual in Baringo County, Kenya, and propagated by intracardiac passage between hamsters at the Kenya Institute of Primate Research (KIPRE), was used in this study. The infected Hamster spleen was used to obtain cellular material that was then cultured in Schneider’s Drosophila Complete media (Sigma USA) and monitored to grow. The promastigotes were centrifuged at 2500 rpm to harvest stationary phase promastigotes in 15 minutes at room temperature. The subsequent product (pellets) underwent three centrifuge-based washes of sterile Phosphate Buffered Saline (PBS)</w:t>
      </w:r>
      <w:r w:rsidR="008E4AA9" w:rsidRPr="00BC6A2A">
        <w:rPr>
          <w:rFonts w:ascii="Arial" w:hAnsi="Arial" w:cs="Arial"/>
        </w:rPr>
        <w:t>,</w:t>
      </w:r>
      <w:r w:rsidRPr="00BC6A2A">
        <w:rPr>
          <w:rFonts w:ascii="Arial" w:hAnsi="Arial" w:cs="Arial"/>
        </w:rPr>
        <w:t xml:space="preserve"> followed by counting of promastigotes using a hemocytometer.</w:t>
      </w:r>
    </w:p>
    <w:p w14:paraId="53273992" w14:textId="77777777" w:rsidR="004109A2" w:rsidRPr="00BC6A2A" w:rsidRDefault="004109A2" w:rsidP="004109A2">
      <w:pPr>
        <w:pStyle w:val="Body"/>
        <w:spacing w:after="0"/>
        <w:rPr>
          <w:rFonts w:ascii="Arial" w:hAnsi="Arial" w:cs="Arial"/>
        </w:rPr>
      </w:pPr>
    </w:p>
    <w:p w14:paraId="7BC5F1D3" w14:textId="5F692BFA" w:rsidR="004109A2" w:rsidRPr="00BC6A2A" w:rsidRDefault="004109A2" w:rsidP="004109A2">
      <w:pPr>
        <w:pStyle w:val="Body"/>
        <w:spacing w:after="0"/>
        <w:rPr>
          <w:rFonts w:ascii="Arial" w:hAnsi="Arial" w:cs="Arial"/>
          <w:b/>
          <w:sz w:val="22"/>
        </w:rPr>
      </w:pPr>
      <w:r w:rsidRPr="00BC6A2A">
        <w:rPr>
          <w:rFonts w:ascii="Arial" w:hAnsi="Arial" w:cs="Arial"/>
          <w:b/>
          <w:caps/>
          <w:sz w:val="22"/>
        </w:rPr>
        <w:t>2.</w:t>
      </w:r>
      <w:r w:rsidR="008B521B" w:rsidRPr="00BC6A2A">
        <w:rPr>
          <w:rFonts w:ascii="Arial" w:hAnsi="Arial" w:cs="Arial"/>
          <w:b/>
          <w:caps/>
          <w:sz w:val="22"/>
        </w:rPr>
        <w:t>4</w:t>
      </w:r>
      <w:r w:rsidRPr="00BC6A2A">
        <w:rPr>
          <w:rFonts w:ascii="Arial" w:hAnsi="Arial" w:cs="Arial"/>
          <w:b/>
          <w:caps/>
          <w:sz w:val="22"/>
        </w:rPr>
        <w:t xml:space="preserve"> </w:t>
      </w:r>
      <w:r w:rsidRPr="00BC6A2A">
        <w:rPr>
          <w:rFonts w:ascii="Arial" w:hAnsi="Arial" w:cs="Arial"/>
          <w:b/>
          <w:sz w:val="22"/>
        </w:rPr>
        <w:t xml:space="preserve">Preparation of Soluble </w:t>
      </w:r>
      <w:r w:rsidRPr="00BC6A2A">
        <w:rPr>
          <w:rFonts w:ascii="Arial" w:hAnsi="Arial" w:cs="Arial"/>
          <w:b/>
          <w:i/>
          <w:iCs/>
          <w:sz w:val="22"/>
        </w:rPr>
        <w:t>Leishmania</w:t>
      </w:r>
      <w:r w:rsidRPr="00BC6A2A">
        <w:rPr>
          <w:rFonts w:ascii="Arial" w:hAnsi="Arial" w:cs="Arial"/>
          <w:b/>
          <w:sz w:val="22"/>
        </w:rPr>
        <w:t xml:space="preserve"> Antigen (SLA)</w:t>
      </w:r>
    </w:p>
    <w:p w14:paraId="73DB281B" w14:textId="77777777" w:rsidR="004109A2" w:rsidRPr="00BC6A2A" w:rsidRDefault="004109A2" w:rsidP="004109A2">
      <w:pPr>
        <w:pStyle w:val="Body"/>
        <w:spacing w:after="0"/>
        <w:rPr>
          <w:rFonts w:ascii="Arial" w:hAnsi="Arial" w:cs="Arial"/>
          <w:b/>
          <w:sz w:val="22"/>
        </w:rPr>
      </w:pPr>
    </w:p>
    <w:p w14:paraId="793E90E2" w14:textId="458EAD96" w:rsidR="004109A2" w:rsidRPr="00BC6A2A" w:rsidRDefault="004109A2" w:rsidP="004109A2">
      <w:pPr>
        <w:pStyle w:val="Body"/>
        <w:spacing w:after="0"/>
        <w:rPr>
          <w:rFonts w:ascii="Arial" w:hAnsi="Arial" w:cs="Arial"/>
        </w:rPr>
      </w:pPr>
      <w:r w:rsidRPr="00BC6A2A">
        <w:rPr>
          <w:rFonts w:ascii="Arial" w:hAnsi="Arial" w:cs="Arial"/>
        </w:rPr>
        <w:t>The promastigotes obtained were three times washed in sterile phosphate-buffered saline (PBS). The parasites were sonicated at 20 kHz at four intervals of 40 seconds on ice, spaced with periods of one minute. Whole soluble protein was extracted by the rapid freezing and thawing of the sonicated material three times in the presence of liquid nitrogen. The suspension of the parasites was centrifuged at 10,000 rpm, 30 min, 4</w:t>
      </w:r>
      <w:r w:rsidRPr="00BC6A2A">
        <w:rPr>
          <w:rFonts w:ascii="Arial" w:hAnsi="Arial" w:cs="Arial"/>
          <w:vertAlign w:val="superscript"/>
        </w:rPr>
        <w:t>0</w:t>
      </w:r>
      <w:r w:rsidRPr="00BC6A2A">
        <w:rPr>
          <w:rFonts w:ascii="Arial" w:hAnsi="Arial" w:cs="Arial"/>
        </w:rPr>
        <w:t>C. Supernatants were concentrated to the level of protein with the Bio Rad protein Assay kit (Bio Rad) according to the manufacturer-provided method and stored at -70</w:t>
      </w:r>
      <w:r w:rsidRPr="00BC6A2A">
        <w:rPr>
          <w:rFonts w:ascii="Arial" w:hAnsi="Arial" w:cs="Arial"/>
          <w:vertAlign w:val="superscript"/>
        </w:rPr>
        <w:t>0</w:t>
      </w:r>
      <w:r w:rsidRPr="00BC6A2A">
        <w:rPr>
          <w:rFonts w:ascii="Arial" w:hAnsi="Arial" w:cs="Arial"/>
        </w:rPr>
        <w:t>C.</w:t>
      </w:r>
    </w:p>
    <w:p w14:paraId="7EB56560" w14:textId="77777777" w:rsidR="004109A2" w:rsidRPr="00BC6A2A" w:rsidRDefault="004109A2" w:rsidP="004109A2">
      <w:pPr>
        <w:pStyle w:val="Body"/>
        <w:spacing w:after="0"/>
        <w:rPr>
          <w:rFonts w:ascii="Arial" w:hAnsi="Arial" w:cs="Arial"/>
        </w:rPr>
      </w:pPr>
    </w:p>
    <w:p w14:paraId="21567588" w14:textId="065C4E60" w:rsidR="004109A2" w:rsidRPr="00BC6A2A" w:rsidRDefault="004109A2" w:rsidP="004109A2">
      <w:pPr>
        <w:pStyle w:val="Body"/>
        <w:spacing w:after="0"/>
        <w:rPr>
          <w:rFonts w:ascii="Arial" w:hAnsi="Arial" w:cs="Arial"/>
          <w:b/>
          <w:sz w:val="22"/>
        </w:rPr>
      </w:pPr>
      <w:r w:rsidRPr="00BC6A2A">
        <w:rPr>
          <w:rFonts w:ascii="Arial" w:hAnsi="Arial" w:cs="Arial"/>
          <w:b/>
          <w:caps/>
          <w:sz w:val="22"/>
        </w:rPr>
        <w:t>2.</w:t>
      </w:r>
      <w:r w:rsidR="008B521B" w:rsidRPr="00BC6A2A">
        <w:rPr>
          <w:rFonts w:ascii="Arial" w:hAnsi="Arial" w:cs="Arial"/>
          <w:b/>
          <w:caps/>
          <w:sz w:val="22"/>
        </w:rPr>
        <w:t>5</w:t>
      </w:r>
      <w:r w:rsidRPr="00BC6A2A">
        <w:rPr>
          <w:rFonts w:ascii="Arial" w:hAnsi="Arial" w:cs="Arial"/>
          <w:b/>
          <w:caps/>
          <w:sz w:val="22"/>
        </w:rPr>
        <w:t xml:space="preserve"> </w:t>
      </w:r>
      <w:r w:rsidR="00F36054" w:rsidRPr="00BC6A2A">
        <w:rPr>
          <w:rFonts w:ascii="Arial" w:hAnsi="Arial" w:cs="Arial"/>
          <w:b/>
          <w:sz w:val="22"/>
        </w:rPr>
        <w:t>Vaccine preparation</w:t>
      </w:r>
    </w:p>
    <w:p w14:paraId="381E308A" w14:textId="77777777" w:rsidR="00F36054" w:rsidRPr="00BC6A2A" w:rsidRDefault="00F36054" w:rsidP="004109A2">
      <w:pPr>
        <w:pStyle w:val="Body"/>
        <w:spacing w:after="0"/>
        <w:rPr>
          <w:rFonts w:ascii="Arial" w:hAnsi="Arial" w:cs="Arial"/>
        </w:rPr>
      </w:pPr>
      <w:r w:rsidRPr="00BC6A2A">
        <w:rPr>
          <w:rFonts w:ascii="Arial" w:hAnsi="Arial" w:cs="Arial"/>
        </w:rPr>
        <w:t xml:space="preserve">Vaccine doses were prepared fresh in sterile PBS. Each mouse received 10 µg SLA in 100 µL (final concentration 100 µg/mL) administered subcutaneously at the tail base. For the combination group, SLA (10 µg/dose) was mixed 1:1 by volume with </w:t>
      </w:r>
      <w:r w:rsidRPr="00BC6A2A">
        <w:rPr>
          <w:rFonts w:ascii="Arial" w:hAnsi="Arial" w:cs="Arial"/>
          <w:i/>
          <w:iCs/>
        </w:rPr>
        <w:t>C. edulis</w:t>
      </w:r>
      <w:r w:rsidRPr="00BC6A2A">
        <w:rPr>
          <w:rFonts w:ascii="Arial" w:hAnsi="Arial" w:cs="Arial"/>
        </w:rPr>
        <w:t xml:space="preserve"> extract containing 10 µg extract per dose, giving a total injection volume of 100 µL.</w:t>
      </w:r>
    </w:p>
    <w:p w14:paraId="32956EB9" w14:textId="77777777" w:rsidR="00F36054" w:rsidRPr="00BC6A2A" w:rsidRDefault="00F36054" w:rsidP="004109A2">
      <w:pPr>
        <w:pStyle w:val="Body"/>
        <w:spacing w:after="0"/>
        <w:rPr>
          <w:rFonts w:ascii="Arial" w:hAnsi="Arial" w:cs="Arial"/>
        </w:rPr>
      </w:pPr>
    </w:p>
    <w:p w14:paraId="3071F741" w14:textId="434C045E" w:rsidR="004109A2" w:rsidRPr="00BC6A2A" w:rsidRDefault="004109A2" w:rsidP="004109A2">
      <w:pPr>
        <w:pStyle w:val="Body"/>
        <w:spacing w:after="0"/>
        <w:rPr>
          <w:rFonts w:ascii="Arial" w:hAnsi="Arial" w:cs="Arial"/>
          <w:b/>
          <w:sz w:val="22"/>
        </w:rPr>
      </w:pPr>
      <w:r w:rsidRPr="00BC6A2A">
        <w:rPr>
          <w:rFonts w:ascii="Arial" w:hAnsi="Arial" w:cs="Arial"/>
          <w:b/>
          <w:caps/>
          <w:sz w:val="22"/>
        </w:rPr>
        <w:t>2.</w:t>
      </w:r>
      <w:r w:rsidR="008B521B" w:rsidRPr="00BC6A2A">
        <w:rPr>
          <w:rFonts w:ascii="Arial" w:hAnsi="Arial" w:cs="Arial"/>
          <w:b/>
          <w:caps/>
          <w:sz w:val="22"/>
        </w:rPr>
        <w:t>6</w:t>
      </w:r>
      <w:r w:rsidRPr="00BC6A2A">
        <w:rPr>
          <w:rFonts w:ascii="Arial" w:hAnsi="Arial" w:cs="Arial"/>
          <w:b/>
          <w:caps/>
          <w:sz w:val="22"/>
        </w:rPr>
        <w:t xml:space="preserve"> </w:t>
      </w:r>
      <w:r w:rsidR="00F36054" w:rsidRPr="00BC6A2A">
        <w:rPr>
          <w:rFonts w:ascii="Arial" w:hAnsi="Arial" w:cs="Arial"/>
          <w:b/>
          <w:sz w:val="22"/>
        </w:rPr>
        <w:t>Experimental design</w:t>
      </w:r>
    </w:p>
    <w:p w14:paraId="1F2755AD" w14:textId="77777777" w:rsidR="004109A2" w:rsidRPr="00BC6A2A" w:rsidRDefault="004109A2" w:rsidP="004109A2">
      <w:pPr>
        <w:pStyle w:val="Body"/>
        <w:spacing w:after="0"/>
        <w:rPr>
          <w:rFonts w:ascii="Arial" w:hAnsi="Arial" w:cs="Arial"/>
          <w:b/>
          <w:sz w:val="22"/>
        </w:rPr>
      </w:pPr>
    </w:p>
    <w:p w14:paraId="0DF441C0" w14:textId="535E2966" w:rsidR="00F36054" w:rsidRPr="00BC6A2A" w:rsidRDefault="00F36054" w:rsidP="004109A2">
      <w:pPr>
        <w:pStyle w:val="Body"/>
        <w:spacing w:after="0"/>
        <w:rPr>
          <w:rFonts w:ascii="Arial" w:hAnsi="Arial" w:cs="Arial"/>
        </w:rPr>
      </w:pPr>
      <w:r w:rsidRPr="00BC6A2A">
        <w:rPr>
          <w:rFonts w:ascii="Arial" w:hAnsi="Arial" w:cs="Arial"/>
        </w:rPr>
        <w:t xml:space="preserve">Eighty BALB/c inbred mice of both sexes of aged between 8-10 weeks were purchased from the animal house, Department of Zoological Sciences, Kenyatta University. The mice were housed in the animal house at Kenyatta University and were fed with commercially prepared feed (Kenya </w:t>
      </w:r>
      <w:proofErr w:type="spellStart"/>
      <w:r w:rsidRPr="00BC6A2A">
        <w:rPr>
          <w:rFonts w:ascii="Arial" w:hAnsi="Arial" w:cs="Arial"/>
        </w:rPr>
        <w:t>Unga</w:t>
      </w:r>
      <w:proofErr w:type="spellEnd"/>
      <w:r w:rsidRPr="00BC6A2A">
        <w:rPr>
          <w:rFonts w:ascii="Arial" w:hAnsi="Arial" w:cs="Arial"/>
        </w:rPr>
        <w:t xml:space="preserve"> Ltd)</w:t>
      </w:r>
      <w:r w:rsidR="008E4AA9" w:rsidRPr="00BC6A2A">
        <w:rPr>
          <w:rFonts w:ascii="Arial" w:hAnsi="Arial" w:cs="Arial"/>
        </w:rPr>
        <w:t>,</w:t>
      </w:r>
      <w:r w:rsidRPr="00BC6A2A">
        <w:rPr>
          <w:rFonts w:ascii="Arial" w:hAnsi="Arial" w:cs="Arial"/>
        </w:rPr>
        <w:t xml:space="preserve"> and water was given </w:t>
      </w:r>
      <w:r w:rsidRPr="00BC6A2A">
        <w:rPr>
          <w:rFonts w:ascii="Arial" w:hAnsi="Arial" w:cs="Arial"/>
          <w:i/>
          <w:iCs/>
        </w:rPr>
        <w:t>ad libitum</w:t>
      </w:r>
      <w:r w:rsidRPr="00BC6A2A">
        <w:rPr>
          <w:rFonts w:ascii="Arial" w:hAnsi="Arial" w:cs="Arial"/>
        </w:rPr>
        <w:t xml:space="preserve">. The mice were allocated into different groups of 12 mice each. Three mice in each group were sacrificed, spleen and blood taken to measure parasite load and immune parameters. Three groups were vaccinated as follows: Group 1 was injected with the soluble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antigen only, Group 2 was injected with the </w:t>
      </w:r>
      <w:r w:rsidRPr="00BC6A2A">
        <w:rPr>
          <w:rFonts w:ascii="Arial" w:hAnsi="Arial" w:cs="Arial"/>
          <w:i/>
          <w:iCs/>
        </w:rPr>
        <w:t>C. edulis</w:t>
      </w:r>
      <w:r w:rsidRPr="00BC6A2A">
        <w:rPr>
          <w:rFonts w:ascii="Arial" w:hAnsi="Arial" w:cs="Arial"/>
        </w:rPr>
        <w:t xml:space="preserve"> extract only, and Group 3 was injected with a 1: 1 mixture of the C. edulis extract and the soluble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antigen. The fourth group was exposed to sterile phosphate-buffered saline (PBS) and served as a negative control group. The vaccinations were made into the tail base with a needle and a syringe subcutaneously. Each of the respective groups received two booster injections of the same vaccine component and dose as at the time of the initial vaccination at week 0 and week 2. Two weeks following the second vaccination, the rest of the mice were challenged with 1 × 10</w:t>
      </w:r>
      <w:r w:rsidRPr="00BC6A2A">
        <w:rPr>
          <w:rFonts w:ascii="Arial" w:hAnsi="Arial" w:cs="Arial"/>
          <w:vertAlign w:val="superscript"/>
        </w:rPr>
        <w:t>6</w:t>
      </w:r>
      <w:r w:rsidRPr="00BC6A2A">
        <w:rPr>
          <w:rFonts w:ascii="Arial" w:hAnsi="Arial" w:cs="Arial"/>
        </w:rPr>
        <w:t xml:space="preserve"> stationary-phase </w:t>
      </w:r>
      <w:r w:rsidRPr="00BC6A2A">
        <w:rPr>
          <w:rFonts w:ascii="Arial" w:hAnsi="Arial" w:cs="Arial"/>
          <w:i/>
          <w:iCs/>
        </w:rPr>
        <w:t xml:space="preserve">L. </w:t>
      </w:r>
      <w:proofErr w:type="spellStart"/>
      <w:r w:rsidRPr="00BC6A2A">
        <w:rPr>
          <w:rFonts w:ascii="Arial" w:hAnsi="Arial" w:cs="Arial"/>
          <w:i/>
          <w:iCs/>
        </w:rPr>
        <w:t>donovani</w:t>
      </w:r>
      <w:proofErr w:type="spellEnd"/>
      <w:r w:rsidRPr="00BC6A2A">
        <w:rPr>
          <w:rFonts w:ascii="Arial" w:hAnsi="Arial" w:cs="Arial"/>
        </w:rPr>
        <w:t xml:space="preserve"> promastigotes administered intravenously via the tail vein. Each group of the 4 mice was sacrificed at weeks 0, 2, 4, 6 and 8, blood was collected to measure cytokine</w:t>
      </w:r>
      <w:r w:rsidR="008E4AA9" w:rsidRPr="00BC6A2A">
        <w:rPr>
          <w:rFonts w:ascii="Arial" w:hAnsi="Arial" w:cs="Arial"/>
        </w:rPr>
        <w:t xml:space="preserve"> and </w:t>
      </w:r>
      <w:r w:rsidRPr="00BC6A2A">
        <w:rPr>
          <w:rFonts w:ascii="Arial" w:hAnsi="Arial" w:cs="Arial"/>
        </w:rPr>
        <w:t>antibody levels</w:t>
      </w:r>
      <w:r w:rsidR="008E4AA9" w:rsidRPr="00BC6A2A">
        <w:rPr>
          <w:rFonts w:ascii="Arial" w:hAnsi="Arial" w:cs="Arial"/>
        </w:rPr>
        <w:t>,</w:t>
      </w:r>
      <w:r w:rsidRPr="00BC6A2A">
        <w:rPr>
          <w:rFonts w:ascii="Arial" w:hAnsi="Arial" w:cs="Arial"/>
        </w:rPr>
        <w:t xml:space="preserve"> while spleen was harvested to enumerate parasite burden.</w:t>
      </w:r>
    </w:p>
    <w:p w14:paraId="4D400BD0" w14:textId="77777777" w:rsidR="00F36054" w:rsidRPr="00BC6A2A" w:rsidRDefault="00F36054" w:rsidP="004109A2">
      <w:pPr>
        <w:pStyle w:val="Body"/>
        <w:spacing w:after="0"/>
        <w:rPr>
          <w:rFonts w:ascii="Arial" w:hAnsi="Arial" w:cs="Arial"/>
        </w:rPr>
      </w:pPr>
    </w:p>
    <w:p w14:paraId="53A19358" w14:textId="4091F819" w:rsidR="004109A2" w:rsidRPr="00BC6A2A" w:rsidRDefault="004109A2" w:rsidP="004109A2">
      <w:pPr>
        <w:pStyle w:val="Body"/>
        <w:spacing w:after="0"/>
        <w:rPr>
          <w:rFonts w:ascii="Arial" w:hAnsi="Arial" w:cs="Arial"/>
          <w:b/>
          <w:sz w:val="22"/>
        </w:rPr>
      </w:pPr>
      <w:r w:rsidRPr="00BC6A2A">
        <w:rPr>
          <w:rFonts w:ascii="Arial" w:hAnsi="Arial" w:cs="Arial"/>
          <w:b/>
          <w:caps/>
          <w:sz w:val="22"/>
        </w:rPr>
        <w:t>2.</w:t>
      </w:r>
      <w:r w:rsidR="008B521B" w:rsidRPr="00BC6A2A">
        <w:rPr>
          <w:rFonts w:ascii="Arial" w:hAnsi="Arial" w:cs="Arial"/>
          <w:b/>
          <w:caps/>
          <w:sz w:val="22"/>
        </w:rPr>
        <w:t>7</w:t>
      </w:r>
      <w:r w:rsidRPr="00BC6A2A">
        <w:rPr>
          <w:rFonts w:ascii="Arial" w:hAnsi="Arial" w:cs="Arial"/>
          <w:b/>
          <w:caps/>
          <w:sz w:val="22"/>
        </w:rPr>
        <w:t xml:space="preserve"> </w:t>
      </w:r>
      <w:r w:rsidR="000E3CFB" w:rsidRPr="00BC6A2A">
        <w:rPr>
          <w:rFonts w:ascii="Arial" w:hAnsi="Arial" w:cs="Arial"/>
          <w:b/>
          <w:sz w:val="22"/>
        </w:rPr>
        <w:t>Quantification of IgG antibodies</w:t>
      </w:r>
    </w:p>
    <w:p w14:paraId="789E6BC9" w14:textId="77777777" w:rsidR="004109A2" w:rsidRPr="00BC6A2A" w:rsidRDefault="004109A2" w:rsidP="004109A2">
      <w:pPr>
        <w:pStyle w:val="Body"/>
        <w:spacing w:after="0"/>
        <w:rPr>
          <w:rFonts w:ascii="Arial" w:hAnsi="Arial" w:cs="Arial"/>
          <w:b/>
          <w:sz w:val="22"/>
        </w:rPr>
      </w:pPr>
    </w:p>
    <w:p w14:paraId="1349C965" w14:textId="682DD073" w:rsidR="000E3CFB" w:rsidRPr="00BC6A2A" w:rsidRDefault="000E3CFB" w:rsidP="004109A2">
      <w:pPr>
        <w:pStyle w:val="Body"/>
        <w:spacing w:after="0"/>
        <w:rPr>
          <w:rFonts w:ascii="Arial" w:hAnsi="Arial" w:cs="Arial"/>
        </w:rPr>
      </w:pPr>
      <w:r w:rsidRPr="00BC6A2A">
        <w:rPr>
          <w:rFonts w:ascii="Arial" w:hAnsi="Arial" w:cs="Arial"/>
        </w:rPr>
        <w:t>Total IgG, IgG1 and IgG2a antibodies of parasite-specific response were quantified by enzyme-linked immunosorbent assay (ELISA) (</w:t>
      </w:r>
      <w:proofErr w:type="spellStart"/>
      <w:r w:rsidRPr="00BC6A2A">
        <w:rPr>
          <w:rFonts w:ascii="Arial" w:hAnsi="Arial" w:cs="Arial"/>
        </w:rPr>
        <w:t>Mutiso</w:t>
      </w:r>
      <w:proofErr w:type="spellEnd"/>
      <w:r w:rsidRPr="00BC6A2A">
        <w:rPr>
          <w:rFonts w:ascii="Arial" w:hAnsi="Arial" w:cs="Arial"/>
        </w:rPr>
        <w:t xml:space="preserve"> et al., 2012). Overnight, the polystyrene micro-ELISA plates were coated by adding 100ml of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soluble antigen at a concentration of 10µg/mL, which was in bicarbonate buffer (pH 9.6). The rest of the coating buffer was rinsed off</w:t>
      </w:r>
      <w:r w:rsidR="008E4AA9" w:rsidRPr="00BC6A2A">
        <w:rPr>
          <w:rFonts w:ascii="Arial" w:hAnsi="Arial" w:cs="Arial"/>
        </w:rPr>
        <w:t>,</w:t>
      </w:r>
      <w:r w:rsidRPr="00BC6A2A">
        <w:rPr>
          <w:rFonts w:ascii="Arial" w:hAnsi="Arial" w:cs="Arial"/>
        </w:rPr>
        <w:t xml:space="preserve"> and non-specific binding sites were blocked using 3% bovine serum (BSA) for one hour at 37</w:t>
      </w:r>
      <w:r w:rsidR="008E4AA9" w:rsidRPr="00BC6A2A">
        <w:rPr>
          <w:rFonts w:ascii="Arial" w:hAnsi="Arial" w:cs="Arial"/>
          <w:vertAlign w:val="superscript"/>
        </w:rPr>
        <w:t xml:space="preserve"> °</w:t>
      </w:r>
      <w:r w:rsidRPr="00BC6A2A">
        <w:rPr>
          <w:rFonts w:ascii="Arial" w:hAnsi="Arial" w:cs="Arial"/>
        </w:rPr>
        <w:t>C. The Unbound BSA was then rinsed 6 times with 0.005% Tween 20 in PBS</w:t>
      </w:r>
      <w:r w:rsidR="008E4AA9" w:rsidRPr="00BC6A2A">
        <w:rPr>
          <w:rFonts w:ascii="Arial" w:hAnsi="Arial" w:cs="Arial"/>
        </w:rPr>
        <w:t>,</w:t>
      </w:r>
      <w:r w:rsidRPr="00BC6A2A">
        <w:rPr>
          <w:rFonts w:ascii="Arial" w:hAnsi="Arial" w:cs="Arial"/>
        </w:rPr>
        <w:t xml:space="preserve"> followed by the addition of 100 ml of the diluted serum samples (1:10) of both the experimental and control groups and incubation for 2 hours at 37</w:t>
      </w:r>
      <w:r w:rsidR="008E4AA9" w:rsidRPr="00BC6A2A">
        <w:rPr>
          <w:rFonts w:ascii="Arial" w:hAnsi="Arial" w:cs="Arial"/>
          <w:vertAlign w:val="superscript"/>
        </w:rPr>
        <w:t xml:space="preserve"> °</w:t>
      </w:r>
      <w:r w:rsidRPr="00BC6A2A">
        <w:rPr>
          <w:rFonts w:ascii="Arial" w:hAnsi="Arial" w:cs="Arial"/>
        </w:rPr>
        <w:t xml:space="preserve">C. Free serum was washed as above. One hundred microliters of 1:4000 horse radish-conjugated sheep anti-mouse IgG, IgG1 or IgG2a (Rockland </w:t>
      </w:r>
      <w:proofErr w:type="spellStart"/>
      <w:r w:rsidRPr="00BC6A2A">
        <w:rPr>
          <w:rFonts w:ascii="Arial" w:hAnsi="Arial" w:cs="Arial"/>
        </w:rPr>
        <w:t>Immunochemicals</w:t>
      </w:r>
      <w:proofErr w:type="spellEnd"/>
      <w:r w:rsidRPr="00BC6A2A">
        <w:rPr>
          <w:rFonts w:ascii="Arial" w:hAnsi="Arial" w:cs="Arial"/>
        </w:rPr>
        <w:t>) were incubated in the wells at 37</w:t>
      </w:r>
      <w:r w:rsidR="008E4AA9" w:rsidRPr="00BC6A2A">
        <w:rPr>
          <w:rFonts w:ascii="Arial" w:hAnsi="Arial" w:cs="Arial"/>
          <w:vertAlign w:val="superscript"/>
        </w:rPr>
        <w:t xml:space="preserve"> °</w:t>
      </w:r>
      <w:r w:rsidRPr="00BC6A2A">
        <w:rPr>
          <w:rFonts w:ascii="Arial" w:hAnsi="Arial" w:cs="Arial"/>
        </w:rPr>
        <w:t>C for one hour. Unbound conjugate solution was washed as above</w:t>
      </w:r>
      <w:r w:rsidR="008E4AA9" w:rsidRPr="00BC6A2A">
        <w:rPr>
          <w:rFonts w:ascii="Arial" w:hAnsi="Arial" w:cs="Arial"/>
        </w:rPr>
        <w:t>,</w:t>
      </w:r>
      <w:r w:rsidRPr="00BC6A2A">
        <w:rPr>
          <w:rFonts w:ascii="Arial" w:hAnsi="Arial" w:cs="Arial"/>
        </w:rPr>
        <w:t xml:space="preserve"> and Tetramethylbenzidine horseradish peroxidase substrate was added to the wells. The plates were incubated at 37</w:t>
      </w:r>
      <w:r w:rsidR="008E4AA9" w:rsidRPr="00BC6A2A">
        <w:rPr>
          <w:rFonts w:ascii="Arial" w:hAnsi="Arial" w:cs="Arial"/>
          <w:vertAlign w:val="superscript"/>
        </w:rPr>
        <w:t xml:space="preserve"> °</w:t>
      </w:r>
      <w:r w:rsidRPr="00BC6A2A">
        <w:rPr>
          <w:rFonts w:ascii="Arial" w:hAnsi="Arial" w:cs="Arial"/>
        </w:rPr>
        <w:t xml:space="preserve">C in darkness for 30 minutes to enable the </w:t>
      </w:r>
      <w:proofErr w:type="spellStart"/>
      <w:r w:rsidRPr="00BC6A2A">
        <w:rPr>
          <w:rFonts w:ascii="Arial" w:hAnsi="Arial" w:cs="Arial"/>
        </w:rPr>
        <w:t>colour</w:t>
      </w:r>
      <w:proofErr w:type="spellEnd"/>
      <w:r w:rsidRPr="00BC6A2A">
        <w:rPr>
          <w:rFonts w:ascii="Arial" w:hAnsi="Arial" w:cs="Arial"/>
        </w:rPr>
        <w:t xml:space="preserve"> to develop before the optical densities of the plates at 630nm </w:t>
      </w:r>
      <w:r w:rsidR="008E4AA9" w:rsidRPr="00BC6A2A">
        <w:rPr>
          <w:rFonts w:ascii="Arial" w:hAnsi="Arial" w:cs="Arial"/>
        </w:rPr>
        <w:t xml:space="preserve">were </w:t>
      </w:r>
      <w:r w:rsidRPr="00BC6A2A">
        <w:rPr>
          <w:rFonts w:ascii="Arial" w:hAnsi="Arial" w:cs="Arial"/>
        </w:rPr>
        <w:t>read in a microplate reader. Results were presented as mean OD values ± SEM and converted to µg/mL using a standard curve prepared with purified mouse IgG.</w:t>
      </w:r>
    </w:p>
    <w:p w14:paraId="0C4BC278" w14:textId="77777777" w:rsidR="000E3CFB" w:rsidRPr="00BC6A2A" w:rsidRDefault="000E3CFB" w:rsidP="004109A2">
      <w:pPr>
        <w:pStyle w:val="Body"/>
        <w:spacing w:after="0"/>
        <w:rPr>
          <w:rFonts w:ascii="Arial" w:hAnsi="Arial" w:cs="Arial"/>
        </w:rPr>
      </w:pPr>
    </w:p>
    <w:p w14:paraId="298AF932" w14:textId="1EF17060" w:rsidR="004109A2" w:rsidRPr="00BC6A2A" w:rsidRDefault="004109A2" w:rsidP="004109A2">
      <w:pPr>
        <w:pStyle w:val="Body"/>
        <w:spacing w:after="0"/>
        <w:rPr>
          <w:rFonts w:ascii="Arial" w:hAnsi="Arial" w:cs="Arial"/>
          <w:b/>
          <w:sz w:val="22"/>
        </w:rPr>
      </w:pPr>
      <w:r w:rsidRPr="00BC6A2A">
        <w:rPr>
          <w:rFonts w:ascii="Arial" w:hAnsi="Arial" w:cs="Arial"/>
          <w:b/>
          <w:caps/>
          <w:sz w:val="22"/>
        </w:rPr>
        <w:t>2.</w:t>
      </w:r>
      <w:r w:rsidR="008B521B" w:rsidRPr="00BC6A2A">
        <w:rPr>
          <w:rFonts w:ascii="Arial" w:hAnsi="Arial" w:cs="Arial"/>
          <w:b/>
          <w:caps/>
          <w:sz w:val="22"/>
        </w:rPr>
        <w:t>8</w:t>
      </w:r>
      <w:r w:rsidRPr="00BC6A2A">
        <w:rPr>
          <w:rFonts w:ascii="Arial" w:hAnsi="Arial" w:cs="Arial"/>
          <w:b/>
          <w:caps/>
          <w:sz w:val="22"/>
        </w:rPr>
        <w:t xml:space="preserve"> </w:t>
      </w:r>
      <w:r w:rsidR="000E3CFB" w:rsidRPr="00BC6A2A">
        <w:rPr>
          <w:rFonts w:ascii="Arial" w:hAnsi="Arial" w:cs="Arial"/>
          <w:b/>
          <w:sz w:val="22"/>
        </w:rPr>
        <w:t>Quantification of cytokine levels</w:t>
      </w:r>
    </w:p>
    <w:p w14:paraId="5386C06A" w14:textId="77777777" w:rsidR="004109A2" w:rsidRPr="00BC6A2A" w:rsidRDefault="004109A2" w:rsidP="004109A2">
      <w:pPr>
        <w:pStyle w:val="Body"/>
        <w:spacing w:after="0"/>
        <w:rPr>
          <w:rFonts w:ascii="Arial" w:hAnsi="Arial" w:cs="Arial"/>
          <w:b/>
          <w:sz w:val="22"/>
        </w:rPr>
      </w:pPr>
    </w:p>
    <w:p w14:paraId="2F659DE8" w14:textId="40A2A970" w:rsidR="000E3CFB" w:rsidRPr="00BC6A2A" w:rsidRDefault="000E3CFB" w:rsidP="004109A2">
      <w:pPr>
        <w:pStyle w:val="Body"/>
        <w:spacing w:after="0"/>
        <w:rPr>
          <w:rFonts w:ascii="Arial" w:hAnsi="Arial" w:cs="Arial"/>
        </w:rPr>
      </w:pPr>
      <w:r w:rsidRPr="00BC6A2A">
        <w:rPr>
          <w:rFonts w:ascii="Arial" w:hAnsi="Arial" w:cs="Arial"/>
        </w:rPr>
        <w:t>Cytokine concentrations (IFN-γ and IL-10) were measured using standard sandwich ELISA procedures based on the R</w:t>
      </w:r>
      <w:r w:rsidR="0033647C" w:rsidRPr="00BC6A2A">
        <w:rPr>
          <w:rFonts w:ascii="Arial" w:hAnsi="Arial" w:cs="Arial"/>
        </w:rPr>
        <w:t xml:space="preserve"> </w:t>
      </w:r>
      <w:r w:rsidRPr="00BC6A2A">
        <w:rPr>
          <w:rFonts w:ascii="Arial" w:hAnsi="Arial" w:cs="Arial"/>
        </w:rPr>
        <w:t>and</w:t>
      </w:r>
      <w:r w:rsidR="0033647C" w:rsidRPr="00BC6A2A">
        <w:rPr>
          <w:rFonts w:ascii="Arial" w:hAnsi="Arial" w:cs="Arial"/>
        </w:rPr>
        <w:t xml:space="preserve"> </w:t>
      </w:r>
      <w:r w:rsidRPr="00BC6A2A">
        <w:rPr>
          <w:rFonts w:ascii="Arial" w:hAnsi="Arial" w:cs="Arial"/>
        </w:rPr>
        <w:t xml:space="preserve">D Systems </w:t>
      </w:r>
      <w:proofErr w:type="spellStart"/>
      <w:r w:rsidRPr="00BC6A2A">
        <w:rPr>
          <w:rFonts w:ascii="Arial" w:hAnsi="Arial" w:cs="Arial"/>
        </w:rPr>
        <w:t>DuoSet</w:t>
      </w:r>
      <w:proofErr w:type="spellEnd"/>
      <w:r w:rsidRPr="00BC6A2A">
        <w:rPr>
          <w:rFonts w:ascii="Arial" w:hAnsi="Arial" w:cs="Arial"/>
        </w:rPr>
        <w:t>® mouse cytokine kits. High-binding 96-well plates were coated overnight at 40C with capture monoclonal antibodies supplied in each kit, diluted in carbonate–bicarbonate coating buffer (pH 9.6). The following day, plates were washed with PBS containing 0.05% Tween-20 (PBS-T) and blocked for 1 hour at 37</w:t>
      </w:r>
      <w:r w:rsidR="008E4AA9" w:rsidRPr="00BC6A2A">
        <w:rPr>
          <w:rFonts w:ascii="Arial" w:hAnsi="Arial" w:cs="Arial"/>
          <w:vertAlign w:val="superscript"/>
        </w:rPr>
        <w:t xml:space="preserve"> °</w:t>
      </w:r>
      <w:r w:rsidRPr="00BC6A2A">
        <w:rPr>
          <w:rFonts w:ascii="Arial" w:hAnsi="Arial" w:cs="Arial"/>
        </w:rPr>
        <w:t>C using 3% bovine serum albumin (BSA; Sigma-Aldrich, Fraction V, Cat. No. A7906, USA) prepared in PBS. After blocking, plates were washed</w:t>
      </w:r>
      <w:r w:rsidR="008E4AA9" w:rsidRPr="00BC6A2A">
        <w:rPr>
          <w:rFonts w:ascii="Arial" w:hAnsi="Arial" w:cs="Arial"/>
        </w:rPr>
        <w:t>,</w:t>
      </w:r>
      <w:r w:rsidRPr="00BC6A2A">
        <w:rPr>
          <w:rFonts w:ascii="Arial" w:hAnsi="Arial" w:cs="Arial"/>
        </w:rPr>
        <w:t xml:space="preserve"> and 100 µL of standards and serum samples were added in duplicate and incubated for 2 hours at room temperature. Standards consisted of serial two-fold dilutions of recombinant mouse IFN-γ and IL-10 supplied with the kits. Following sample incubation, plates were washed and incubated for 1 hour at room temperature with biotin-conjugated detection antibodies. For IFN-γ, the </w:t>
      </w:r>
      <w:proofErr w:type="spellStart"/>
      <w:r w:rsidRPr="00BC6A2A">
        <w:rPr>
          <w:rFonts w:ascii="Arial" w:hAnsi="Arial" w:cs="Arial"/>
        </w:rPr>
        <w:t>DuoSet</w:t>
      </w:r>
      <w:proofErr w:type="spellEnd"/>
      <w:r w:rsidRPr="00BC6A2A">
        <w:rPr>
          <w:rFonts w:ascii="Arial" w:hAnsi="Arial" w:cs="Arial"/>
        </w:rPr>
        <w:t xml:space="preserve"> Mouse IFN-γ kit (</w:t>
      </w:r>
      <w:proofErr w:type="spellStart"/>
      <w:r w:rsidRPr="00BC6A2A">
        <w:rPr>
          <w:rFonts w:ascii="Arial" w:hAnsi="Arial" w:cs="Arial"/>
        </w:rPr>
        <w:t>RandD</w:t>
      </w:r>
      <w:proofErr w:type="spellEnd"/>
      <w:r w:rsidRPr="00BC6A2A">
        <w:rPr>
          <w:rFonts w:ascii="Arial" w:hAnsi="Arial" w:cs="Arial"/>
        </w:rPr>
        <w:t xml:space="preserve"> Systems, Cat. No. DY485-05) was used, including the corresponding biotinylated detection antibody. IL-10 measurements were performed using the </w:t>
      </w:r>
      <w:proofErr w:type="spellStart"/>
      <w:r w:rsidRPr="00BC6A2A">
        <w:rPr>
          <w:rFonts w:ascii="Arial" w:hAnsi="Arial" w:cs="Arial"/>
        </w:rPr>
        <w:t>DuoSet</w:t>
      </w:r>
      <w:proofErr w:type="spellEnd"/>
      <w:r w:rsidRPr="00BC6A2A">
        <w:rPr>
          <w:rFonts w:ascii="Arial" w:hAnsi="Arial" w:cs="Arial"/>
        </w:rPr>
        <w:t xml:space="preserve"> Mouse IL-10 kit (</w:t>
      </w:r>
      <w:proofErr w:type="spellStart"/>
      <w:r w:rsidRPr="00BC6A2A">
        <w:rPr>
          <w:rFonts w:ascii="Arial" w:hAnsi="Arial" w:cs="Arial"/>
        </w:rPr>
        <w:t>RandD</w:t>
      </w:r>
      <w:proofErr w:type="spellEnd"/>
      <w:r w:rsidRPr="00BC6A2A">
        <w:rPr>
          <w:rFonts w:ascii="Arial" w:hAnsi="Arial" w:cs="Arial"/>
        </w:rPr>
        <w:t xml:space="preserve"> Systems, Cat. No. DY417-05) and its matched biotinylated detection antibody. After washing, </w:t>
      </w:r>
      <w:r w:rsidRPr="00BC6A2A">
        <w:rPr>
          <w:rFonts w:ascii="Arial" w:hAnsi="Arial" w:cs="Arial"/>
        </w:rPr>
        <w:lastRenderedPageBreak/>
        <w:t>100 µL of streptavidin–HRP (</w:t>
      </w:r>
      <w:proofErr w:type="spellStart"/>
      <w:r w:rsidRPr="00BC6A2A">
        <w:rPr>
          <w:rFonts w:ascii="Arial" w:hAnsi="Arial" w:cs="Arial"/>
        </w:rPr>
        <w:t>RandD</w:t>
      </w:r>
      <w:proofErr w:type="spellEnd"/>
      <w:r w:rsidRPr="00BC6A2A">
        <w:rPr>
          <w:rFonts w:ascii="Arial" w:hAnsi="Arial" w:cs="Arial"/>
        </w:rPr>
        <w:t xml:space="preserve"> Systems, Cat. No. DY998) was added</w:t>
      </w:r>
      <w:r w:rsidR="008E4AA9" w:rsidRPr="00BC6A2A">
        <w:rPr>
          <w:rFonts w:ascii="Arial" w:hAnsi="Arial" w:cs="Arial"/>
        </w:rPr>
        <w:t>,</w:t>
      </w:r>
      <w:r w:rsidRPr="00BC6A2A">
        <w:rPr>
          <w:rFonts w:ascii="Arial" w:hAnsi="Arial" w:cs="Arial"/>
        </w:rPr>
        <w:t xml:space="preserve"> and plates were incubated for 30 minutes at room temperature. </w:t>
      </w:r>
      <w:proofErr w:type="spellStart"/>
      <w:r w:rsidRPr="00BC6A2A">
        <w:rPr>
          <w:rFonts w:ascii="Arial" w:hAnsi="Arial" w:cs="Arial"/>
        </w:rPr>
        <w:t>Colour</w:t>
      </w:r>
      <w:proofErr w:type="spellEnd"/>
      <w:r w:rsidRPr="00BC6A2A">
        <w:rPr>
          <w:rFonts w:ascii="Arial" w:hAnsi="Arial" w:cs="Arial"/>
        </w:rPr>
        <w:t xml:space="preserve"> development was achieved with TMB substrate (</w:t>
      </w:r>
      <w:proofErr w:type="spellStart"/>
      <w:r w:rsidRPr="00BC6A2A">
        <w:rPr>
          <w:rFonts w:ascii="Arial" w:hAnsi="Arial" w:cs="Arial"/>
        </w:rPr>
        <w:t>ThermoFisher</w:t>
      </w:r>
      <w:proofErr w:type="spellEnd"/>
      <w:r w:rsidRPr="00BC6A2A">
        <w:rPr>
          <w:rFonts w:ascii="Arial" w:hAnsi="Arial" w:cs="Arial"/>
        </w:rPr>
        <w:t xml:space="preserve"> Scientific, Cat. No. 34021) for 10–20 minutes in the dark, after which the reaction was stopped using a stop solution. Absorbance was read immediately using a microplate reader at 630 nm for IFN-γ and 405 nm for IL-10, following kit-specific guidelines. The lower limit of detection (LOD) for each cytokine was calculated as the mean OD of blank wells plus three standard deviations and converted to concentration using the standard curve. The measured LODs were 8.0 </w:t>
      </w:r>
      <w:proofErr w:type="spellStart"/>
      <w:r w:rsidRPr="00BC6A2A">
        <w:rPr>
          <w:rFonts w:ascii="Arial" w:hAnsi="Arial" w:cs="Arial"/>
        </w:rPr>
        <w:t>pg</w:t>
      </w:r>
      <w:proofErr w:type="spellEnd"/>
      <w:r w:rsidRPr="00BC6A2A">
        <w:rPr>
          <w:rFonts w:ascii="Arial" w:hAnsi="Arial" w:cs="Arial"/>
        </w:rPr>
        <w:t xml:space="preserve">/mL for IFN-γ and 4.0 </w:t>
      </w:r>
      <w:proofErr w:type="spellStart"/>
      <w:r w:rsidRPr="00BC6A2A">
        <w:rPr>
          <w:rFonts w:ascii="Arial" w:hAnsi="Arial" w:cs="Arial"/>
        </w:rPr>
        <w:t>pg</w:t>
      </w:r>
      <w:proofErr w:type="spellEnd"/>
      <w:r w:rsidRPr="00BC6A2A">
        <w:rPr>
          <w:rFonts w:ascii="Arial" w:hAnsi="Arial" w:cs="Arial"/>
        </w:rPr>
        <w:t xml:space="preserve">/mL for IL-10, consistent with manufacturer-reported sensitivities. Standard curves were fitted using a four-parameter logistic (4-PL) model in GraphPad Prism. Cytokine concentrations are presented as mean ± SEM in </w:t>
      </w:r>
      <w:proofErr w:type="spellStart"/>
      <w:r w:rsidRPr="00BC6A2A">
        <w:rPr>
          <w:rFonts w:ascii="Arial" w:hAnsi="Arial" w:cs="Arial"/>
        </w:rPr>
        <w:t>pg</w:t>
      </w:r>
      <w:proofErr w:type="spellEnd"/>
      <w:r w:rsidRPr="00BC6A2A">
        <w:rPr>
          <w:rFonts w:ascii="Arial" w:hAnsi="Arial" w:cs="Arial"/>
        </w:rPr>
        <w:t>/</w:t>
      </w:r>
      <w:proofErr w:type="spellStart"/>
      <w:r w:rsidRPr="00BC6A2A">
        <w:rPr>
          <w:rFonts w:ascii="Arial" w:hAnsi="Arial" w:cs="Arial"/>
        </w:rPr>
        <w:t>mL.</w:t>
      </w:r>
      <w:proofErr w:type="spellEnd"/>
    </w:p>
    <w:p w14:paraId="739086C2" w14:textId="4A300611" w:rsidR="004109A2" w:rsidRPr="00BC6A2A" w:rsidRDefault="004109A2" w:rsidP="004109A2">
      <w:pPr>
        <w:pStyle w:val="Body"/>
        <w:spacing w:after="0"/>
        <w:rPr>
          <w:rFonts w:ascii="Arial" w:hAnsi="Arial" w:cs="Arial"/>
        </w:rPr>
      </w:pPr>
      <w:r w:rsidRPr="00BC6A2A">
        <w:rPr>
          <w:rFonts w:ascii="Arial" w:hAnsi="Arial" w:cs="Arial"/>
        </w:rPr>
        <w:t>.</w:t>
      </w:r>
    </w:p>
    <w:p w14:paraId="1DD038DA" w14:textId="4402C9D0" w:rsidR="004109A2" w:rsidRPr="00BC6A2A" w:rsidRDefault="004109A2" w:rsidP="004109A2">
      <w:pPr>
        <w:pStyle w:val="Body"/>
        <w:spacing w:after="0"/>
        <w:rPr>
          <w:rFonts w:ascii="Arial" w:hAnsi="Arial" w:cs="Arial"/>
          <w:b/>
          <w:sz w:val="22"/>
        </w:rPr>
      </w:pPr>
      <w:r w:rsidRPr="00BC6A2A">
        <w:rPr>
          <w:rFonts w:ascii="Arial" w:hAnsi="Arial" w:cs="Arial"/>
          <w:b/>
          <w:caps/>
          <w:sz w:val="22"/>
        </w:rPr>
        <w:t>2.</w:t>
      </w:r>
      <w:r w:rsidR="008B521B" w:rsidRPr="00BC6A2A">
        <w:rPr>
          <w:rFonts w:ascii="Arial" w:hAnsi="Arial" w:cs="Arial"/>
          <w:b/>
          <w:caps/>
          <w:sz w:val="22"/>
        </w:rPr>
        <w:t>9</w:t>
      </w:r>
      <w:r w:rsidRPr="00BC6A2A">
        <w:rPr>
          <w:rFonts w:ascii="Arial" w:hAnsi="Arial" w:cs="Arial"/>
          <w:b/>
          <w:caps/>
          <w:sz w:val="22"/>
        </w:rPr>
        <w:t xml:space="preserve"> </w:t>
      </w:r>
      <w:r w:rsidR="000E3CFB" w:rsidRPr="00BC6A2A">
        <w:rPr>
          <w:rFonts w:ascii="Arial" w:hAnsi="Arial" w:cs="Arial"/>
          <w:b/>
          <w:sz w:val="22"/>
        </w:rPr>
        <w:t>Determination of parasite burden</w:t>
      </w:r>
    </w:p>
    <w:p w14:paraId="5821C1C2" w14:textId="77777777" w:rsidR="004109A2" w:rsidRPr="00BC6A2A" w:rsidRDefault="004109A2" w:rsidP="004109A2">
      <w:pPr>
        <w:pStyle w:val="Body"/>
        <w:spacing w:after="0"/>
        <w:rPr>
          <w:rFonts w:ascii="Arial" w:hAnsi="Arial" w:cs="Arial"/>
          <w:b/>
          <w:sz w:val="22"/>
        </w:rPr>
      </w:pPr>
    </w:p>
    <w:p w14:paraId="1453C88D" w14:textId="77777777" w:rsidR="000E3CFB" w:rsidRPr="00BC6A2A" w:rsidRDefault="000E3CFB" w:rsidP="004109A2">
      <w:pPr>
        <w:pStyle w:val="Body"/>
        <w:spacing w:after="0"/>
        <w:rPr>
          <w:rFonts w:ascii="Arial" w:hAnsi="Arial" w:cs="Arial"/>
        </w:rPr>
      </w:pPr>
      <w:r w:rsidRPr="00BC6A2A">
        <w:rPr>
          <w:rFonts w:ascii="Arial" w:hAnsi="Arial" w:cs="Arial"/>
        </w:rPr>
        <w:t xml:space="preserve">Splenic impression smears from terminated mice were made for the parasite </w:t>
      </w:r>
      <w:r w:rsidRPr="00BC6A2A">
        <w:rPr>
          <w:rFonts w:ascii="Arial" w:hAnsi="Arial" w:cs="Arial"/>
          <w:i/>
          <w:iCs/>
        </w:rPr>
        <w:t xml:space="preserve">L. </w:t>
      </w:r>
      <w:proofErr w:type="spellStart"/>
      <w:r w:rsidRPr="00BC6A2A">
        <w:rPr>
          <w:rFonts w:ascii="Arial" w:hAnsi="Arial" w:cs="Arial"/>
          <w:i/>
          <w:iCs/>
        </w:rPr>
        <w:t>donovani</w:t>
      </w:r>
      <w:proofErr w:type="spellEnd"/>
      <w:r w:rsidRPr="00BC6A2A">
        <w:rPr>
          <w:rFonts w:ascii="Arial" w:hAnsi="Arial" w:cs="Arial"/>
        </w:rPr>
        <w:t>. Spleen impression smears were air-dried, fixed in methanol, and stained with 10% Giemsa for 20 min. Amastigotes were counted under oil immersion (×1000) as parasites per 500 splenic nuclei.</w:t>
      </w:r>
    </w:p>
    <w:p w14:paraId="58F886AB" w14:textId="77777777" w:rsidR="000E3CFB" w:rsidRPr="00BC6A2A" w:rsidRDefault="000E3CFB" w:rsidP="004109A2">
      <w:pPr>
        <w:pStyle w:val="Body"/>
        <w:spacing w:after="0"/>
        <w:rPr>
          <w:rFonts w:ascii="Arial" w:hAnsi="Arial" w:cs="Arial"/>
        </w:rPr>
      </w:pPr>
    </w:p>
    <w:p w14:paraId="657E77EF" w14:textId="5DD44F40" w:rsidR="004109A2" w:rsidRPr="00BC6A2A" w:rsidRDefault="004109A2" w:rsidP="004109A2">
      <w:pPr>
        <w:pStyle w:val="Body"/>
        <w:spacing w:after="0"/>
        <w:rPr>
          <w:rFonts w:ascii="Arial" w:hAnsi="Arial" w:cs="Arial"/>
          <w:b/>
          <w:sz w:val="22"/>
        </w:rPr>
      </w:pPr>
      <w:r w:rsidRPr="00BC6A2A">
        <w:rPr>
          <w:rFonts w:ascii="Arial" w:hAnsi="Arial" w:cs="Arial"/>
          <w:b/>
          <w:caps/>
          <w:sz w:val="22"/>
        </w:rPr>
        <w:t>2.1</w:t>
      </w:r>
      <w:r w:rsidR="008B521B" w:rsidRPr="00BC6A2A">
        <w:rPr>
          <w:rFonts w:ascii="Arial" w:hAnsi="Arial" w:cs="Arial"/>
          <w:b/>
          <w:caps/>
          <w:sz w:val="22"/>
        </w:rPr>
        <w:t>0</w:t>
      </w:r>
      <w:r w:rsidRPr="00BC6A2A">
        <w:rPr>
          <w:rFonts w:ascii="Arial" w:hAnsi="Arial" w:cs="Arial"/>
          <w:b/>
          <w:caps/>
          <w:sz w:val="22"/>
        </w:rPr>
        <w:t xml:space="preserve"> </w:t>
      </w:r>
      <w:r w:rsidR="000E3CFB" w:rsidRPr="00BC6A2A">
        <w:rPr>
          <w:rFonts w:ascii="Arial" w:hAnsi="Arial" w:cs="Arial"/>
          <w:b/>
          <w:sz w:val="22"/>
        </w:rPr>
        <w:t>Statistical analysis</w:t>
      </w:r>
    </w:p>
    <w:p w14:paraId="3FCBFACB" w14:textId="77777777" w:rsidR="004109A2" w:rsidRPr="00BC6A2A" w:rsidRDefault="004109A2" w:rsidP="004109A2">
      <w:pPr>
        <w:pStyle w:val="Body"/>
        <w:spacing w:after="0"/>
        <w:rPr>
          <w:rFonts w:ascii="Arial" w:hAnsi="Arial" w:cs="Arial"/>
          <w:b/>
          <w:sz w:val="22"/>
        </w:rPr>
      </w:pPr>
    </w:p>
    <w:p w14:paraId="514A7D01" w14:textId="3B4B097A" w:rsidR="004109A2" w:rsidRPr="00BC6A2A" w:rsidRDefault="000E3CFB" w:rsidP="00441B6F">
      <w:pPr>
        <w:pStyle w:val="Body"/>
        <w:spacing w:after="0"/>
        <w:rPr>
          <w:rFonts w:ascii="Arial" w:hAnsi="Arial" w:cs="Arial"/>
        </w:rPr>
      </w:pPr>
      <w:r w:rsidRPr="00BC6A2A">
        <w:rPr>
          <w:rFonts w:ascii="Arial" w:hAnsi="Arial" w:cs="Arial"/>
        </w:rPr>
        <w:t xml:space="preserve">The normality of all of the continuous variables was assessed using Kolmogorov-Smirnov. Frequency and descriptive statistics were used to </w:t>
      </w:r>
      <w:proofErr w:type="spellStart"/>
      <w:r w:rsidRPr="00BC6A2A">
        <w:rPr>
          <w:rFonts w:ascii="Arial" w:hAnsi="Arial" w:cs="Arial"/>
        </w:rPr>
        <w:t>analyse</w:t>
      </w:r>
      <w:proofErr w:type="spellEnd"/>
      <w:r w:rsidRPr="00BC6A2A">
        <w:rPr>
          <w:rFonts w:ascii="Arial" w:hAnsi="Arial" w:cs="Arial"/>
        </w:rPr>
        <w:t xml:space="preserve"> the categorical variables. Means and standard deviations were used to describe variables that were in the Gaussian distribution. Two-way ANOVA (treatment × time) with Tukey post-hoc test was used for longitudinal data. Area under the curve (AUC) from week 0</w:t>
      </w:r>
      <w:r w:rsidR="008E4AA9" w:rsidRPr="00BC6A2A">
        <w:rPr>
          <w:rFonts w:ascii="Arial" w:hAnsi="Arial" w:cs="Arial"/>
        </w:rPr>
        <w:t xml:space="preserve"> to </w:t>
      </w:r>
      <w:r w:rsidRPr="00BC6A2A">
        <w:rPr>
          <w:rFonts w:ascii="Arial" w:hAnsi="Arial" w:cs="Arial"/>
        </w:rPr>
        <w:t>8 was calculated and compared by one-way ANOVA. Correlations between immune parameters and parasite burden were assessed using Pearson correlation. GraphPad Prism 10.2® (GraphPad Software, La Jolla, CA, USA) was used in statistical analysis. Any p- value below 0.05 was regarded as significant.</w:t>
      </w:r>
    </w:p>
    <w:p w14:paraId="4548CC5D" w14:textId="77777777" w:rsidR="000E3CFB" w:rsidRPr="00BC6A2A" w:rsidRDefault="000E3CFB" w:rsidP="00441B6F">
      <w:pPr>
        <w:pStyle w:val="Body"/>
        <w:spacing w:after="0"/>
        <w:rPr>
          <w:rFonts w:ascii="Arial" w:hAnsi="Arial" w:cs="Arial"/>
        </w:rPr>
      </w:pPr>
    </w:p>
    <w:p w14:paraId="3E58A694" w14:textId="77777777" w:rsidR="00790ADA" w:rsidRPr="00BC6A2A" w:rsidRDefault="00790ADA" w:rsidP="00441B6F">
      <w:pPr>
        <w:pStyle w:val="Body"/>
        <w:spacing w:after="0"/>
        <w:rPr>
          <w:rFonts w:ascii="Arial" w:hAnsi="Arial" w:cs="Arial"/>
        </w:rPr>
      </w:pPr>
    </w:p>
    <w:p w14:paraId="69FB4EB6" w14:textId="70161560" w:rsidR="00902823" w:rsidRPr="00BC6A2A" w:rsidRDefault="00000F8F" w:rsidP="00441B6F">
      <w:pPr>
        <w:pStyle w:val="Head1"/>
        <w:spacing w:after="0"/>
        <w:jc w:val="both"/>
        <w:rPr>
          <w:rFonts w:ascii="Arial" w:hAnsi="Arial" w:cs="Arial"/>
        </w:rPr>
      </w:pPr>
      <w:bookmarkStart w:id="1" w:name="_Hlk219457468"/>
      <w:r w:rsidRPr="00BC6A2A">
        <w:rPr>
          <w:rFonts w:ascii="Arial" w:hAnsi="Arial" w:cs="Arial"/>
        </w:rPr>
        <w:t>3</w:t>
      </w:r>
      <w:r w:rsidR="00902823" w:rsidRPr="00BC6A2A">
        <w:rPr>
          <w:rFonts w:ascii="Arial" w:hAnsi="Arial" w:cs="Arial"/>
        </w:rPr>
        <w:t xml:space="preserve">. </w:t>
      </w:r>
      <w:r w:rsidRPr="00BC6A2A">
        <w:rPr>
          <w:rFonts w:ascii="Arial" w:hAnsi="Arial" w:cs="Arial"/>
        </w:rPr>
        <w:t xml:space="preserve">results </w:t>
      </w:r>
    </w:p>
    <w:bookmarkEnd w:id="1"/>
    <w:p w14:paraId="690778E0" w14:textId="77777777" w:rsidR="00790ADA" w:rsidRPr="00BC6A2A" w:rsidRDefault="00790ADA" w:rsidP="00441B6F">
      <w:pPr>
        <w:pStyle w:val="Head1"/>
        <w:spacing w:after="0"/>
        <w:jc w:val="both"/>
        <w:rPr>
          <w:rFonts w:ascii="Arial" w:hAnsi="Arial" w:cs="Arial"/>
        </w:rPr>
      </w:pPr>
    </w:p>
    <w:p w14:paraId="648397BC" w14:textId="48B7545A" w:rsidR="008B521B" w:rsidRPr="00BC6A2A" w:rsidRDefault="008B521B" w:rsidP="008B521B">
      <w:pPr>
        <w:pStyle w:val="Body"/>
        <w:rPr>
          <w:rFonts w:ascii="Arial" w:hAnsi="Arial" w:cs="Arial"/>
        </w:rPr>
      </w:pPr>
      <w:r w:rsidRPr="00BC6A2A">
        <w:rPr>
          <w:rFonts w:ascii="Arial" w:hAnsi="Arial" w:cs="Arial"/>
        </w:rPr>
        <w:t xml:space="preserve">After </w:t>
      </w:r>
      <w:r w:rsidR="008E4AA9" w:rsidRPr="00BC6A2A">
        <w:rPr>
          <w:rFonts w:ascii="Arial" w:hAnsi="Arial" w:cs="Arial"/>
        </w:rPr>
        <w:t xml:space="preserve">the </w:t>
      </w:r>
      <w:r w:rsidRPr="00BC6A2A">
        <w:rPr>
          <w:rFonts w:ascii="Arial" w:hAnsi="Arial" w:cs="Arial"/>
        </w:rPr>
        <w:t xml:space="preserve">challenge, parasite burdens rose in all mice but differed markedly by treatment. The SLA + </w:t>
      </w:r>
      <w:r w:rsidRPr="00BC6A2A">
        <w:rPr>
          <w:rFonts w:ascii="Arial" w:hAnsi="Arial" w:cs="Arial"/>
          <w:i/>
          <w:iCs/>
        </w:rPr>
        <w:t>Carissa edulis</w:t>
      </w:r>
      <w:r w:rsidRPr="00BC6A2A">
        <w:rPr>
          <w:rFonts w:ascii="Arial" w:hAnsi="Arial" w:cs="Arial"/>
        </w:rPr>
        <w:t xml:space="preserve"> group showed the earliest and most sustained reduction, with significantly lower parasite counts than all other groups from week 4 onward (p &lt; 0.05). The PBS controls exhibited the highest and fastest-rising parasite burdens, especially between weeks 4 and 6. The </w:t>
      </w:r>
      <w:r w:rsidRPr="00BC6A2A">
        <w:rPr>
          <w:rFonts w:ascii="Arial" w:hAnsi="Arial" w:cs="Arial"/>
          <w:i/>
          <w:iCs/>
        </w:rPr>
        <w:t>C. edulis</w:t>
      </w:r>
      <w:r w:rsidRPr="00BC6A2A">
        <w:rPr>
          <w:rFonts w:ascii="Arial" w:hAnsi="Arial" w:cs="Arial"/>
        </w:rPr>
        <w:t xml:space="preserve"> alone group showed moderate control comparable to SLA alone by week 8, with burdens </w:t>
      </w:r>
      <w:proofErr w:type="spellStart"/>
      <w:r w:rsidR="008E4AA9" w:rsidRPr="00BC6A2A">
        <w:rPr>
          <w:rFonts w:ascii="Arial" w:hAnsi="Arial" w:cs="Arial"/>
        </w:rPr>
        <w:t>stabilising</w:t>
      </w:r>
      <w:proofErr w:type="spellEnd"/>
      <w:r w:rsidR="008E4AA9" w:rsidRPr="00BC6A2A">
        <w:rPr>
          <w:rFonts w:ascii="Arial" w:hAnsi="Arial" w:cs="Arial"/>
        </w:rPr>
        <w:t xml:space="preserve"> </w:t>
      </w:r>
      <w:r w:rsidRPr="00BC6A2A">
        <w:rPr>
          <w:rFonts w:ascii="Arial" w:hAnsi="Arial" w:cs="Arial"/>
        </w:rPr>
        <w:t xml:space="preserve">at ~10–12% and significantly lower than PBS (p = 0.0024). The SLA + </w:t>
      </w:r>
      <w:r w:rsidRPr="00BC6A2A">
        <w:rPr>
          <w:rFonts w:ascii="Arial" w:hAnsi="Arial" w:cs="Arial"/>
          <w:i/>
          <w:iCs/>
        </w:rPr>
        <w:t>C. edulis</w:t>
      </w:r>
      <w:r w:rsidRPr="00BC6A2A">
        <w:rPr>
          <w:rFonts w:ascii="Arial" w:hAnsi="Arial" w:cs="Arial"/>
        </w:rPr>
        <w:t xml:space="preserve"> combination achieved the greatest suppression, maintaining parasite levels at ~6–8% by week 8, significantly lower than PBS (p = 0.0031), SLA (p &lt; 0.01), and </w:t>
      </w:r>
      <w:r w:rsidRPr="00BC6A2A">
        <w:rPr>
          <w:rFonts w:ascii="Arial" w:hAnsi="Arial" w:cs="Arial"/>
          <w:i/>
          <w:iCs/>
        </w:rPr>
        <w:t>C. edulis</w:t>
      </w:r>
      <w:r w:rsidRPr="00BC6A2A">
        <w:rPr>
          <w:rFonts w:ascii="Arial" w:hAnsi="Arial" w:cs="Arial"/>
        </w:rPr>
        <w:t xml:space="preserve"> alone (p = 0.0011). Two-way ANOVA revealed significant effects of treatment, time, and their interaction (p =0.0024). Post-hoc comparisons indicated significant differences between the SLA + </w:t>
      </w:r>
      <w:r w:rsidRPr="00BC6A2A">
        <w:rPr>
          <w:rFonts w:ascii="Arial" w:hAnsi="Arial" w:cs="Arial"/>
          <w:i/>
          <w:iCs/>
        </w:rPr>
        <w:t>C. edulis</w:t>
      </w:r>
      <w:r w:rsidRPr="00BC6A2A">
        <w:rPr>
          <w:rFonts w:ascii="Arial" w:hAnsi="Arial" w:cs="Arial"/>
        </w:rPr>
        <w:t xml:space="preserve"> group and all other groups from week 4 onwards. A</w:t>
      </w:r>
    </w:p>
    <w:p w14:paraId="2760F12C" w14:textId="77777777" w:rsidR="008B521B" w:rsidRPr="00BC6A2A" w:rsidRDefault="008B521B" w:rsidP="008B521B">
      <w:pPr>
        <w:pStyle w:val="Body"/>
        <w:rPr>
          <w:rFonts w:ascii="Arial" w:hAnsi="Arial" w:cs="Arial"/>
        </w:rPr>
      </w:pPr>
    </w:p>
    <w:p w14:paraId="4D10F1B6" w14:textId="7FF343BA" w:rsidR="008B521B" w:rsidRPr="00BC6A2A" w:rsidRDefault="0022321C" w:rsidP="0022321C">
      <w:pPr>
        <w:pStyle w:val="Body"/>
        <w:jc w:val="center"/>
        <w:rPr>
          <w:rFonts w:ascii="Arial" w:hAnsi="Arial" w:cs="Arial"/>
        </w:rPr>
      </w:pPr>
      <w:r w:rsidRPr="00BC6A2A">
        <w:object w:dxaOrig="8757" w:dyaOrig="4680" w14:anchorId="64F75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pt;height:233.6pt" o:ole="">
            <v:imagedata r:id="rId14" o:title=""/>
          </v:shape>
          <o:OLEObject Type="Embed" ProgID="Prism10.Document" ShapeID="_x0000_i1025" DrawAspect="Content" ObjectID="_1832155419" r:id="rId15"/>
        </w:object>
      </w:r>
    </w:p>
    <w:p w14:paraId="65F6FFD2" w14:textId="3C2BE207" w:rsidR="008B521B" w:rsidRPr="00BC6A2A" w:rsidRDefault="008B521B" w:rsidP="008B521B">
      <w:pPr>
        <w:pStyle w:val="Body"/>
        <w:rPr>
          <w:rFonts w:ascii="Arial" w:hAnsi="Arial" w:cs="Arial"/>
        </w:rPr>
      </w:pPr>
      <w:r w:rsidRPr="00BC6A2A">
        <w:rPr>
          <w:rFonts w:ascii="Arial" w:hAnsi="Arial" w:cs="Arial"/>
          <w:b/>
          <w:bCs/>
        </w:rPr>
        <w:t>Figure 1. Parasite load following different treatment interventions</w:t>
      </w:r>
      <w:r w:rsidRPr="00BC6A2A">
        <w:rPr>
          <w:rFonts w:ascii="Arial" w:hAnsi="Arial" w:cs="Arial"/>
        </w:rPr>
        <w:t xml:space="preserve">. Parasite load in the spleen of BALB/c mice (n = 4 per timepoint) following inoculation with 1 × 10⁷ </w:t>
      </w:r>
      <w:r w:rsidRPr="00BC6A2A">
        <w:rPr>
          <w:rFonts w:ascii="Arial" w:hAnsi="Arial" w:cs="Arial"/>
          <w:i/>
          <w:iCs/>
        </w:rPr>
        <w:t xml:space="preserve">L. </w:t>
      </w:r>
      <w:proofErr w:type="spellStart"/>
      <w:r w:rsidRPr="00BC6A2A">
        <w:rPr>
          <w:rFonts w:ascii="Arial" w:hAnsi="Arial" w:cs="Arial"/>
          <w:i/>
          <w:iCs/>
        </w:rPr>
        <w:t>donovani</w:t>
      </w:r>
      <w:proofErr w:type="spellEnd"/>
      <w:r w:rsidRPr="00BC6A2A">
        <w:rPr>
          <w:rFonts w:ascii="Arial" w:hAnsi="Arial" w:cs="Arial"/>
        </w:rPr>
        <w:t xml:space="preserve"> promastigotes via tail-vein injection. Mice were </w:t>
      </w:r>
      <w:proofErr w:type="spellStart"/>
      <w:r w:rsidR="008E4AA9" w:rsidRPr="00BC6A2A">
        <w:rPr>
          <w:rFonts w:ascii="Arial" w:hAnsi="Arial" w:cs="Arial"/>
        </w:rPr>
        <w:t>immunised</w:t>
      </w:r>
      <w:proofErr w:type="spellEnd"/>
      <w:r w:rsidR="008E4AA9" w:rsidRPr="00BC6A2A">
        <w:rPr>
          <w:rFonts w:ascii="Arial" w:hAnsi="Arial" w:cs="Arial"/>
        </w:rPr>
        <w:t xml:space="preserve"> </w:t>
      </w:r>
      <w:r w:rsidRPr="00BC6A2A">
        <w:rPr>
          <w:rFonts w:ascii="Arial" w:hAnsi="Arial" w:cs="Arial"/>
        </w:rPr>
        <w:t xml:space="preserve">with PBS (control, black circles), SLA alone (blue circles), </w:t>
      </w:r>
      <w:r w:rsidRPr="00BC6A2A">
        <w:rPr>
          <w:rFonts w:ascii="Arial" w:hAnsi="Arial" w:cs="Arial"/>
          <w:i/>
          <w:iCs/>
        </w:rPr>
        <w:t>Carissa edulis</w:t>
      </w:r>
      <w:r w:rsidRPr="00BC6A2A">
        <w:rPr>
          <w:rFonts w:ascii="Arial" w:hAnsi="Arial" w:cs="Arial"/>
        </w:rPr>
        <w:t xml:space="preserve"> extract alone (red circles), or the SLA + </w:t>
      </w:r>
      <w:r w:rsidRPr="00BC6A2A">
        <w:rPr>
          <w:rFonts w:ascii="Arial" w:hAnsi="Arial" w:cs="Arial"/>
          <w:i/>
          <w:iCs/>
        </w:rPr>
        <w:t>C. edulis</w:t>
      </w:r>
      <w:r w:rsidRPr="00BC6A2A">
        <w:rPr>
          <w:rFonts w:ascii="Arial" w:hAnsi="Arial" w:cs="Arial"/>
        </w:rPr>
        <w:t xml:space="preserve"> combination (green circles). Data are presented as mean ± SEM, *p &lt; 0.05.</w:t>
      </w:r>
    </w:p>
    <w:p w14:paraId="4FC0FC52" w14:textId="77777777" w:rsidR="008B521B" w:rsidRPr="00BC6A2A" w:rsidRDefault="008B521B" w:rsidP="008B521B">
      <w:pPr>
        <w:pStyle w:val="Body"/>
        <w:rPr>
          <w:rFonts w:ascii="Arial" w:hAnsi="Arial" w:cs="Arial"/>
        </w:rPr>
      </w:pPr>
    </w:p>
    <w:p w14:paraId="399CB83F" w14:textId="77777777" w:rsidR="008B521B" w:rsidRPr="00BC6A2A" w:rsidRDefault="008B521B" w:rsidP="008B521B">
      <w:pPr>
        <w:pStyle w:val="Body"/>
        <w:rPr>
          <w:rFonts w:ascii="Arial" w:hAnsi="Arial" w:cs="Arial"/>
        </w:rPr>
      </w:pPr>
    </w:p>
    <w:p w14:paraId="286D7911" w14:textId="0C07551B" w:rsidR="008B521B" w:rsidRPr="00BC6A2A" w:rsidRDefault="008B521B" w:rsidP="008B521B">
      <w:pPr>
        <w:pStyle w:val="Body"/>
        <w:rPr>
          <w:rFonts w:ascii="Arial" w:hAnsi="Arial" w:cs="Arial"/>
        </w:rPr>
      </w:pPr>
      <w:r w:rsidRPr="00BC6A2A">
        <w:rPr>
          <w:rFonts w:ascii="Arial" w:hAnsi="Arial" w:cs="Arial"/>
        </w:rPr>
        <w:t>The IFN-γ levels show significantly divergent patterns of cytokine responses relative to the IL-10</w:t>
      </w:r>
      <w:r w:rsidR="008E4AA9" w:rsidRPr="00BC6A2A">
        <w:rPr>
          <w:rFonts w:ascii="Arial" w:hAnsi="Arial" w:cs="Arial"/>
        </w:rPr>
        <w:t>,</w:t>
      </w:r>
      <w:r w:rsidRPr="00BC6A2A">
        <w:rPr>
          <w:rFonts w:ascii="Arial" w:hAnsi="Arial" w:cs="Arial"/>
        </w:rPr>
        <w:t xml:space="preserve"> and the combination treatment exhibits robust immunostimulatory responses. The group of </w:t>
      </w:r>
      <w:proofErr w:type="gramStart"/>
      <w:r w:rsidRPr="00BC6A2A">
        <w:rPr>
          <w:rFonts w:ascii="Arial" w:hAnsi="Arial" w:cs="Arial"/>
        </w:rPr>
        <w:t>SLA</w:t>
      </w:r>
      <w:proofErr w:type="gramEnd"/>
      <w:r w:rsidRPr="00BC6A2A">
        <w:rPr>
          <w:rFonts w:ascii="Arial" w:hAnsi="Arial" w:cs="Arial"/>
        </w:rPr>
        <w:t xml:space="preserve"> + </w:t>
      </w:r>
      <w:r w:rsidRPr="00BC6A2A">
        <w:rPr>
          <w:rFonts w:ascii="Arial" w:hAnsi="Arial" w:cs="Arial"/>
          <w:i/>
          <w:iCs/>
        </w:rPr>
        <w:t>C. edulis</w:t>
      </w:r>
      <w:r w:rsidRPr="00BC6A2A">
        <w:rPr>
          <w:rFonts w:ascii="Arial" w:hAnsi="Arial" w:cs="Arial"/>
        </w:rPr>
        <w:t xml:space="preserve"> treatment showed the strongest IFN-γ response with an acute, progressive rise in response between baseline and about 300 </w:t>
      </w:r>
      <w:proofErr w:type="spellStart"/>
      <w:r w:rsidRPr="00BC6A2A">
        <w:rPr>
          <w:rFonts w:ascii="Arial" w:hAnsi="Arial" w:cs="Arial"/>
        </w:rPr>
        <w:t>pg</w:t>
      </w:r>
      <w:proofErr w:type="spellEnd"/>
      <w:r w:rsidRPr="00BC6A2A">
        <w:rPr>
          <w:rFonts w:ascii="Arial" w:hAnsi="Arial" w:cs="Arial"/>
        </w:rPr>
        <w:t xml:space="preserve">/mL at week 8 (Figure 2). The findings demonstrated that all the treatment groups, i.e., SLA (p = 0.0059), </w:t>
      </w:r>
      <w:r w:rsidRPr="00BC6A2A">
        <w:rPr>
          <w:rFonts w:ascii="Arial" w:hAnsi="Arial" w:cs="Arial"/>
          <w:i/>
          <w:iCs/>
        </w:rPr>
        <w:t>C. edulis</w:t>
      </w:r>
      <w:r w:rsidRPr="00BC6A2A">
        <w:rPr>
          <w:rFonts w:ascii="Arial" w:hAnsi="Arial" w:cs="Arial"/>
        </w:rPr>
        <w:t xml:space="preserve"> (p = 0.0009), SLA + </w:t>
      </w:r>
      <w:r w:rsidRPr="00BC6A2A">
        <w:rPr>
          <w:rFonts w:ascii="Arial" w:hAnsi="Arial" w:cs="Arial"/>
          <w:i/>
          <w:iCs/>
        </w:rPr>
        <w:t>C. edulis</w:t>
      </w:r>
      <w:r w:rsidRPr="00BC6A2A">
        <w:rPr>
          <w:rFonts w:ascii="Arial" w:hAnsi="Arial" w:cs="Arial"/>
        </w:rPr>
        <w:t xml:space="preserve"> (p = 0.0110), and PBS (p &lt; 0.0001), were statistically significant. The outcome of the ANOVA (F = 8.486, p = 0.0013) shows that the inter-group variability is highly significant, where the combination therapy registered the highest mean concentration (217.4 </w:t>
      </w:r>
      <w:proofErr w:type="spellStart"/>
      <w:r w:rsidRPr="00BC6A2A">
        <w:rPr>
          <w:rFonts w:ascii="Arial" w:hAnsi="Arial" w:cs="Arial"/>
        </w:rPr>
        <w:t>pg</w:t>
      </w:r>
      <w:proofErr w:type="spellEnd"/>
      <w:r w:rsidRPr="00BC6A2A">
        <w:rPr>
          <w:rFonts w:ascii="Arial" w:hAnsi="Arial" w:cs="Arial"/>
        </w:rPr>
        <w:t xml:space="preserve">/mL), SLA alone (113.2 </w:t>
      </w:r>
      <w:proofErr w:type="spellStart"/>
      <w:r w:rsidRPr="00BC6A2A">
        <w:rPr>
          <w:rFonts w:ascii="Arial" w:hAnsi="Arial" w:cs="Arial"/>
        </w:rPr>
        <w:t>pg</w:t>
      </w:r>
      <w:proofErr w:type="spellEnd"/>
      <w:r w:rsidRPr="00BC6A2A">
        <w:rPr>
          <w:rFonts w:ascii="Arial" w:hAnsi="Arial" w:cs="Arial"/>
        </w:rPr>
        <w:t xml:space="preserve">/mL), and </w:t>
      </w:r>
      <w:r w:rsidRPr="00BC6A2A">
        <w:rPr>
          <w:rFonts w:ascii="Arial" w:hAnsi="Arial" w:cs="Arial"/>
          <w:i/>
          <w:iCs/>
        </w:rPr>
        <w:t>C. edulis</w:t>
      </w:r>
      <w:r w:rsidRPr="00BC6A2A">
        <w:rPr>
          <w:rFonts w:ascii="Arial" w:hAnsi="Arial" w:cs="Arial"/>
        </w:rPr>
        <w:t xml:space="preserve"> alone (67.40 </w:t>
      </w:r>
      <w:proofErr w:type="spellStart"/>
      <w:r w:rsidRPr="00BC6A2A">
        <w:rPr>
          <w:rFonts w:ascii="Arial" w:hAnsi="Arial" w:cs="Arial"/>
        </w:rPr>
        <w:t>pg</w:t>
      </w:r>
      <w:proofErr w:type="spellEnd"/>
      <w:r w:rsidRPr="00BC6A2A">
        <w:rPr>
          <w:rFonts w:ascii="Arial" w:hAnsi="Arial" w:cs="Arial"/>
        </w:rPr>
        <w:t xml:space="preserve">/mL). Following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challenge, PBS-treated mice produced minimal IFN-γ throughout the 8-week observation period, with cytokine levels remaining at or near the assay detection limits and comparable to basal values measured at week 0. This indicates that, for the parasite inoculum used, infection alone was not sufficient to elicit a measurable systemic cytokine response.</w:t>
      </w:r>
    </w:p>
    <w:p w14:paraId="0ACA37A7" w14:textId="77777777" w:rsidR="008B521B" w:rsidRPr="00BC6A2A" w:rsidRDefault="008B521B" w:rsidP="008B521B">
      <w:pPr>
        <w:pStyle w:val="Body"/>
        <w:rPr>
          <w:rFonts w:ascii="Arial" w:hAnsi="Arial" w:cs="Arial"/>
        </w:rPr>
      </w:pPr>
    </w:p>
    <w:p w14:paraId="0AC5B72C" w14:textId="357F4BB7" w:rsidR="008B521B" w:rsidRPr="00BC6A2A" w:rsidRDefault="0022321C" w:rsidP="008B521B">
      <w:pPr>
        <w:pStyle w:val="Body"/>
        <w:rPr>
          <w:rFonts w:ascii="Arial" w:hAnsi="Arial" w:cs="Arial"/>
        </w:rPr>
      </w:pPr>
      <w:r w:rsidRPr="00BC6A2A">
        <w:object w:dxaOrig="8875" w:dyaOrig="4620" w14:anchorId="28C1FFCE">
          <v:shape id="_x0000_i1026" type="#_x0000_t75" style="width:443.7pt;height:231.05pt" o:ole="">
            <v:imagedata r:id="rId16" o:title=""/>
          </v:shape>
          <o:OLEObject Type="Embed" ProgID="Prism10.Document" ShapeID="_x0000_i1026" DrawAspect="Content" ObjectID="_1832155420" r:id="rId17"/>
        </w:object>
      </w:r>
    </w:p>
    <w:p w14:paraId="2935B15E" w14:textId="77777777" w:rsidR="008B521B" w:rsidRPr="00BC6A2A" w:rsidRDefault="008B521B" w:rsidP="008B521B">
      <w:pPr>
        <w:pStyle w:val="Body"/>
        <w:rPr>
          <w:rFonts w:ascii="Arial" w:hAnsi="Arial" w:cs="Arial"/>
        </w:rPr>
      </w:pPr>
      <w:r w:rsidRPr="00BC6A2A">
        <w:rPr>
          <w:rFonts w:ascii="Arial" w:hAnsi="Arial" w:cs="Arial"/>
          <w:b/>
          <w:bCs/>
        </w:rPr>
        <w:t xml:space="preserve">Figure 2. IFN-γ cytokine production following different treatment interventions over </w:t>
      </w:r>
      <w:proofErr w:type="gramStart"/>
      <w:r w:rsidRPr="00BC6A2A">
        <w:rPr>
          <w:rFonts w:ascii="Arial" w:hAnsi="Arial" w:cs="Arial"/>
          <w:b/>
          <w:bCs/>
        </w:rPr>
        <w:t>a</w:t>
      </w:r>
      <w:proofErr w:type="gramEnd"/>
      <w:r w:rsidRPr="00BC6A2A">
        <w:rPr>
          <w:rFonts w:ascii="Arial" w:hAnsi="Arial" w:cs="Arial"/>
          <w:b/>
          <w:bCs/>
        </w:rPr>
        <w:t xml:space="preserve"> 8-week post-inoculation period.</w:t>
      </w:r>
      <w:r w:rsidRPr="00BC6A2A">
        <w:rPr>
          <w:rFonts w:ascii="Arial" w:hAnsi="Arial" w:cs="Arial"/>
        </w:rPr>
        <w:t xml:space="preserve"> Plasma IFN-γ concentrations (</w:t>
      </w:r>
      <w:proofErr w:type="spellStart"/>
      <w:r w:rsidRPr="00BC6A2A">
        <w:rPr>
          <w:rFonts w:ascii="Arial" w:hAnsi="Arial" w:cs="Arial"/>
        </w:rPr>
        <w:t>pg</w:t>
      </w:r>
      <w:proofErr w:type="spellEnd"/>
      <w:r w:rsidRPr="00BC6A2A">
        <w:rPr>
          <w:rFonts w:ascii="Arial" w:hAnsi="Arial" w:cs="Arial"/>
        </w:rPr>
        <w:t xml:space="preserve">/mL) were measured at 0, 2, 4, 6, and 8 following inoculations in four treatment groups: SLA alone (blue circles), </w:t>
      </w:r>
      <w:r w:rsidRPr="00BC6A2A">
        <w:rPr>
          <w:rFonts w:ascii="Arial" w:hAnsi="Arial" w:cs="Arial"/>
          <w:i/>
          <w:iCs/>
        </w:rPr>
        <w:t>C. edulis</w:t>
      </w:r>
      <w:r w:rsidRPr="00BC6A2A">
        <w:rPr>
          <w:rFonts w:ascii="Arial" w:hAnsi="Arial" w:cs="Arial"/>
        </w:rPr>
        <w:t xml:space="preserve"> extract alone (red squares), combined SLA + </w:t>
      </w:r>
      <w:r w:rsidRPr="00BC6A2A">
        <w:rPr>
          <w:rFonts w:ascii="Arial" w:hAnsi="Arial" w:cs="Arial"/>
          <w:i/>
          <w:iCs/>
        </w:rPr>
        <w:t>C. edulis</w:t>
      </w:r>
      <w:r w:rsidRPr="00BC6A2A">
        <w:rPr>
          <w:rFonts w:ascii="Arial" w:hAnsi="Arial" w:cs="Arial"/>
        </w:rPr>
        <w:t xml:space="preserve"> treatment (green triangles), and PBS control (black triangles). Data points represent the mean values ± standard deviation of the mean (SD) for n = 5 per group.</w:t>
      </w:r>
    </w:p>
    <w:p w14:paraId="0BE22550" w14:textId="77777777" w:rsidR="008B521B" w:rsidRPr="00BC6A2A" w:rsidRDefault="008B521B" w:rsidP="008B521B">
      <w:pPr>
        <w:pStyle w:val="Body"/>
        <w:rPr>
          <w:rFonts w:ascii="Arial" w:hAnsi="Arial" w:cs="Arial"/>
        </w:rPr>
      </w:pPr>
    </w:p>
    <w:p w14:paraId="5F92148A" w14:textId="7A8AFE81" w:rsidR="008B521B" w:rsidRPr="00BC6A2A" w:rsidRDefault="008B521B" w:rsidP="008B521B">
      <w:pPr>
        <w:pStyle w:val="Body"/>
        <w:rPr>
          <w:rFonts w:ascii="Arial" w:hAnsi="Arial" w:cs="Arial"/>
        </w:rPr>
      </w:pPr>
      <w:r w:rsidRPr="00BC6A2A">
        <w:rPr>
          <w:rFonts w:ascii="Arial" w:hAnsi="Arial" w:cs="Arial"/>
        </w:rPr>
        <w:t xml:space="preserve">The findings indicate that there is a specific IL-10 production pattern among various treatment groups in an 8-week post-inoculation time. </w:t>
      </w:r>
      <w:r w:rsidRPr="00BC6A2A">
        <w:rPr>
          <w:rFonts w:ascii="Arial" w:hAnsi="Arial" w:cs="Arial"/>
          <w:i/>
          <w:iCs/>
        </w:rPr>
        <w:t>C</w:t>
      </w:r>
      <w:r w:rsidR="0033647C" w:rsidRPr="00BC6A2A">
        <w:rPr>
          <w:rFonts w:ascii="Arial" w:hAnsi="Arial" w:cs="Arial"/>
          <w:i/>
          <w:iCs/>
        </w:rPr>
        <w:t>arissa</w:t>
      </w:r>
      <w:r w:rsidRPr="00BC6A2A">
        <w:rPr>
          <w:rFonts w:ascii="Arial" w:hAnsi="Arial" w:cs="Arial"/>
          <w:i/>
          <w:iCs/>
        </w:rPr>
        <w:t xml:space="preserve"> edulis</w:t>
      </w:r>
      <w:r w:rsidRPr="00BC6A2A">
        <w:rPr>
          <w:rFonts w:ascii="Arial" w:hAnsi="Arial" w:cs="Arial"/>
        </w:rPr>
        <w:t xml:space="preserve"> extract alone gave the highest levels of IL-10 of about 60 </w:t>
      </w:r>
      <w:proofErr w:type="spellStart"/>
      <w:r w:rsidRPr="00BC6A2A">
        <w:rPr>
          <w:rFonts w:ascii="Arial" w:hAnsi="Arial" w:cs="Arial"/>
        </w:rPr>
        <w:t>pg</w:t>
      </w:r>
      <w:proofErr w:type="spellEnd"/>
      <w:r w:rsidRPr="00BC6A2A">
        <w:rPr>
          <w:rFonts w:ascii="Arial" w:hAnsi="Arial" w:cs="Arial"/>
        </w:rPr>
        <w:t xml:space="preserve">/mL at week 8, which can be seen to show a steady rise over the entire time of the study (Figure 3). The SLA treatment group followed this same pattern except that the highest concentrations were lower, with the maximum concentration reaching approximately 50 </w:t>
      </w:r>
      <w:proofErr w:type="spellStart"/>
      <w:r w:rsidRPr="00BC6A2A">
        <w:rPr>
          <w:rFonts w:ascii="Arial" w:hAnsi="Arial" w:cs="Arial"/>
        </w:rPr>
        <w:t>pg</w:t>
      </w:r>
      <w:proofErr w:type="spellEnd"/>
      <w:r w:rsidRPr="00BC6A2A">
        <w:rPr>
          <w:rFonts w:ascii="Arial" w:hAnsi="Arial" w:cs="Arial"/>
        </w:rPr>
        <w:t>/mL as of the final timepoint (p = 0.0006)</w:t>
      </w:r>
      <w:r w:rsidR="008E4AA9" w:rsidRPr="00BC6A2A">
        <w:rPr>
          <w:rFonts w:ascii="Arial" w:hAnsi="Arial" w:cs="Arial"/>
        </w:rPr>
        <w:t>,</w:t>
      </w:r>
      <w:r w:rsidRPr="00BC6A2A">
        <w:rPr>
          <w:rFonts w:ascii="Arial" w:hAnsi="Arial" w:cs="Arial"/>
        </w:rPr>
        <w:t xml:space="preserve"> and </w:t>
      </w:r>
      <w:r w:rsidRPr="00BC6A2A">
        <w:rPr>
          <w:rFonts w:ascii="Arial" w:hAnsi="Arial" w:cs="Arial"/>
          <w:i/>
          <w:iCs/>
        </w:rPr>
        <w:t>C. edulis</w:t>
      </w:r>
      <w:r w:rsidRPr="00BC6A2A">
        <w:rPr>
          <w:rFonts w:ascii="Arial" w:hAnsi="Arial" w:cs="Arial"/>
        </w:rPr>
        <w:t xml:space="preserve"> alone had a mean of 46.80, which was also significantly different compared to the baseline values (p = 0.0010). </w:t>
      </w:r>
      <w:r w:rsidR="008E4AA9" w:rsidRPr="00BC6A2A">
        <w:rPr>
          <w:rFonts w:ascii="Arial" w:hAnsi="Arial" w:cs="Arial"/>
        </w:rPr>
        <w:t>In contrast</w:t>
      </w:r>
      <w:r w:rsidRPr="00BC6A2A">
        <w:rPr>
          <w:rFonts w:ascii="Arial" w:hAnsi="Arial" w:cs="Arial"/>
        </w:rPr>
        <w:t xml:space="preserve">, IL-10 values in the combined SLA + </w:t>
      </w:r>
      <w:r w:rsidRPr="00BC6A2A">
        <w:rPr>
          <w:rFonts w:ascii="Arial" w:hAnsi="Arial" w:cs="Arial"/>
          <w:i/>
          <w:iCs/>
        </w:rPr>
        <w:t>C. edulis</w:t>
      </w:r>
      <w:r w:rsidRPr="00BC6A2A">
        <w:rPr>
          <w:rFonts w:ascii="Arial" w:hAnsi="Arial" w:cs="Arial"/>
        </w:rPr>
        <w:t xml:space="preserve"> treatment were comparatively stable at 35-40 </w:t>
      </w:r>
      <w:proofErr w:type="spellStart"/>
      <w:r w:rsidRPr="00BC6A2A">
        <w:rPr>
          <w:rFonts w:ascii="Arial" w:hAnsi="Arial" w:cs="Arial"/>
        </w:rPr>
        <w:t>pg</w:t>
      </w:r>
      <w:proofErr w:type="spellEnd"/>
      <w:r w:rsidRPr="00BC6A2A">
        <w:rPr>
          <w:rFonts w:ascii="Arial" w:hAnsi="Arial" w:cs="Arial"/>
        </w:rPr>
        <w:t xml:space="preserve">/mL (p &lt; 0.0001), whereas those in the PBS control group were the lowest and least variable at about 30 </w:t>
      </w:r>
      <w:proofErr w:type="spellStart"/>
      <w:r w:rsidRPr="00BC6A2A">
        <w:rPr>
          <w:rFonts w:ascii="Arial" w:hAnsi="Arial" w:cs="Arial"/>
        </w:rPr>
        <w:t>pg</w:t>
      </w:r>
      <w:proofErr w:type="spellEnd"/>
      <w:r w:rsidRPr="00BC6A2A">
        <w:rPr>
          <w:rFonts w:ascii="Arial" w:hAnsi="Arial" w:cs="Arial"/>
        </w:rPr>
        <w:t>/mL (p &lt; 0.0001). ANOVA analysis revealed that there were significant differences between treatment groups (F = 4.306, p = 0.0209).</w:t>
      </w:r>
    </w:p>
    <w:p w14:paraId="022AEB85" w14:textId="77777777" w:rsidR="008B521B" w:rsidRPr="00BC6A2A" w:rsidRDefault="008B521B" w:rsidP="008B521B">
      <w:pPr>
        <w:pStyle w:val="Body"/>
        <w:rPr>
          <w:rFonts w:ascii="Arial" w:hAnsi="Arial" w:cs="Arial"/>
        </w:rPr>
      </w:pPr>
    </w:p>
    <w:p w14:paraId="439A0AAF" w14:textId="77777777" w:rsidR="008B521B" w:rsidRPr="00BC6A2A" w:rsidRDefault="008B521B" w:rsidP="008B521B">
      <w:pPr>
        <w:pStyle w:val="Body"/>
        <w:rPr>
          <w:rFonts w:ascii="Arial" w:hAnsi="Arial" w:cs="Arial"/>
        </w:rPr>
      </w:pPr>
      <w:r w:rsidRPr="00BC6A2A">
        <w:rPr>
          <w:rFonts w:ascii="Arial" w:hAnsi="Arial" w:cs="Arial"/>
        </w:rPr>
        <w:t xml:space="preserve"> </w:t>
      </w:r>
    </w:p>
    <w:p w14:paraId="76344978" w14:textId="77777777" w:rsidR="0022321C" w:rsidRPr="00BC6A2A" w:rsidRDefault="0022321C" w:rsidP="008B521B">
      <w:pPr>
        <w:pStyle w:val="Body"/>
        <w:rPr>
          <w:rFonts w:ascii="Arial" w:hAnsi="Arial" w:cs="Arial"/>
        </w:rPr>
      </w:pPr>
    </w:p>
    <w:p w14:paraId="6F13DEAE" w14:textId="77777777" w:rsidR="0022321C" w:rsidRPr="00BC6A2A" w:rsidRDefault="0022321C" w:rsidP="008B521B">
      <w:pPr>
        <w:pStyle w:val="Body"/>
        <w:rPr>
          <w:rFonts w:ascii="Arial" w:hAnsi="Arial" w:cs="Arial"/>
        </w:rPr>
      </w:pPr>
    </w:p>
    <w:p w14:paraId="47E511BC" w14:textId="77777777" w:rsidR="0022321C" w:rsidRPr="00BC6A2A" w:rsidRDefault="0022321C" w:rsidP="008B521B">
      <w:pPr>
        <w:pStyle w:val="Body"/>
        <w:rPr>
          <w:rFonts w:ascii="Arial" w:hAnsi="Arial" w:cs="Arial"/>
        </w:rPr>
      </w:pPr>
    </w:p>
    <w:p w14:paraId="51302145" w14:textId="3A79AC95" w:rsidR="0022321C" w:rsidRPr="00BC6A2A" w:rsidRDefault="0022321C" w:rsidP="008B521B">
      <w:pPr>
        <w:pStyle w:val="Body"/>
        <w:rPr>
          <w:rFonts w:ascii="Arial" w:hAnsi="Arial" w:cs="Arial"/>
        </w:rPr>
      </w:pPr>
      <w:r w:rsidRPr="00BC6A2A">
        <w:object w:dxaOrig="8760" w:dyaOrig="4680" w14:anchorId="45892C6A">
          <v:shape id="_x0000_i1027" type="#_x0000_t75" style="width:437.85pt;height:233.6pt" o:ole="">
            <v:imagedata r:id="rId18" o:title=""/>
          </v:shape>
          <o:OLEObject Type="Embed" ProgID="Prism10.Document" ShapeID="_x0000_i1027" DrawAspect="Content" ObjectID="_1832155421" r:id="rId19"/>
        </w:object>
      </w:r>
    </w:p>
    <w:p w14:paraId="4D7225F5" w14:textId="77777777" w:rsidR="0022321C" w:rsidRPr="00BC6A2A" w:rsidRDefault="0022321C" w:rsidP="008B521B">
      <w:pPr>
        <w:pStyle w:val="Body"/>
        <w:rPr>
          <w:rFonts w:ascii="Arial" w:hAnsi="Arial" w:cs="Arial"/>
        </w:rPr>
      </w:pPr>
    </w:p>
    <w:p w14:paraId="0718BBD6" w14:textId="3263D0DC" w:rsidR="008B521B" w:rsidRPr="00BC6A2A" w:rsidRDefault="008B521B" w:rsidP="008B521B">
      <w:pPr>
        <w:pStyle w:val="Body"/>
        <w:rPr>
          <w:rFonts w:ascii="Arial" w:hAnsi="Arial" w:cs="Arial"/>
        </w:rPr>
      </w:pPr>
      <w:r w:rsidRPr="00BC6A2A">
        <w:rPr>
          <w:rFonts w:ascii="Arial" w:hAnsi="Arial" w:cs="Arial"/>
          <w:b/>
          <w:bCs/>
        </w:rPr>
        <w:t>Figure 3. IL-10 cytokine production following different treatment interventions over a</w:t>
      </w:r>
      <w:r w:rsidR="008E4AA9" w:rsidRPr="00BC6A2A">
        <w:rPr>
          <w:rFonts w:ascii="Arial" w:hAnsi="Arial" w:cs="Arial"/>
          <w:b/>
          <w:bCs/>
        </w:rPr>
        <w:t>n</w:t>
      </w:r>
      <w:r w:rsidRPr="00BC6A2A">
        <w:rPr>
          <w:rFonts w:ascii="Arial" w:hAnsi="Arial" w:cs="Arial"/>
          <w:b/>
          <w:bCs/>
        </w:rPr>
        <w:t xml:space="preserve"> 8-week post-inoculation period.</w:t>
      </w:r>
      <w:r w:rsidRPr="00BC6A2A">
        <w:rPr>
          <w:rFonts w:ascii="Arial" w:hAnsi="Arial" w:cs="Arial"/>
        </w:rPr>
        <w:t xml:space="preserve"> Serum IL-10 concentrations (</w:t>
      </w:r>
      <w:proofErr w:type="spellStart"/>
      <w:r w:rsidRPr="00BC6A2A">
        <w:rPr>
          <w:rFonts w:ascii="Arial" w:hAnsi="Arial" w:cs="Arial"/>
        </w:rPr>
        <w:t>pg</w:t>
      </w:r>
      <w:proofErr w:type="spellEnd"/>
      <w:r w:rsidRPr="00BC6A2A">
        <w:rPr>
          <w:rFonts w:ascii="Arial" w:hAnsi="Arial" w:cs="Arial"/>
        </w:rPr>
        <w:t xml:space="preserve">/mL) were measured at 0, 2, 4, 6, and 8 following inoculations in four treatment groups: SLA alone (blue circles), </w:t>
      </w:r>
      <w:r w:rsidRPr="00BC6A2A">
        <w:rPr>
          <w:rFonts w:ascii="Arial" w:hAnsi="Arial" w:cs="Arial"/>
          <w:i/>
          <w:iCs/>
        </w:rPr>
        <w:t>C. edulis</w:t>
      </w:r>
      <w:r w:rsidRPr="00BC6A2A">
        <w:rPr>
          <w:rFonts w:ascii="Arial" w:hAnsi="Arial" w:cs="Arial"/>
        </w:rPr>
        <w:t xml:space="preserve"> extract alone (red circles), combined SLA + </w:t>
      </w:r>
      <w:r w:rsidRPr="00BC6A2A">
        <w:rPr>
          <w:rFonts w:ascii="Arial" w:hAnsi="Arial" w:cs="Arial"/>
          <w:i/>
          <w:iCs/>
        </w:rPr>
        <w:t>C. edulis</w:t>
      </w:r>
      <w:r w:rsidRPr="00BC6A2A">
        <w:rPr>
          <w:rFonts w:ascii="Arial" w:hAnsi="Arial" w:cs="Arial"/>
        </w:rPr>
        <w:t xml:space="preserve"> treatment (green circles), and PBS control (black circles). Data points represent the mean values ± standard deviation of the mean (SD) for n = 5 per group.</w:t>
      </w:r>
    </w:p>
    <w:p w14:paraId="5AEAAAA0" w14:textId="77777777" w:rsidR="008B521B" w:rsidRPr="00BC6A2A" w:rsidRDefault="008B521B" w:rsidP="008B521B">
      <w:pPr>
        <w:pStyle w:val="Body"/>
        <w:rPr>
          <w:rFonts w:ascii="Arial" w:hAnsi="Arial" w:cs="Arial"/>
        </w:rPr>
      </w:pPr>
    </w:p>
    <w:p w14:paraId="77A0AA91" w14:textId="77777777" w:rsidR="008B521B" w:rsidRPr="00BC6A2A" w:rsidRDefault="008B521B" w:rsidP="008B521B">
      <w:pPr>
        <w:pStyle w:val="Body"/>
        <w:rPr>
          <w:rFonts w:ascii="Arial" w:hAnsi="Arial" w:cs="Arial"/>
        </w:rPr>
      </w:pPr>
    </w:p>
    <w:p w14:paraId="69BC72D6" w14:textId="4152A482" w:rsidR="008B521B" w:rsidRPr="00BC6A2A" w:rsidRDefault="008B521B" w:rsidP="008B521B">
      <w:pPr>
        <w:pStyle w:val="Body"/>
        <w:rPr>
          <w:rFonts w:ascii="Arial" w:hAnsi="Arial" w:cs="Arial"/>
        </w:rPr>
      </w:pPr>
      <w:r w:rsidRPr="00BC6A2A">
        <w:rPr>
          <w:rFonts w:ascii="Arial" w:hAnsi="Arial" w:cs="Arial"/>
        </w:rPr>
        <w:t xml:space="preserve">Total IgG levels increased over time in all </w:t>
      </w:r>
      <w:proofErr w:type="spellStart"/>
      <w:r w:rsidR="008E4AA9" w:rsidRPr="00BC6A2A">
        <w:rPr>
          <w:rFonts w:ascii="Arial" w:hAnsi="Arial" w:cs="Arial"/>
        </w:rPr>
        <w:t>immunised</w:t>
      </w:r>
      <w:proofErr w:type="spellEnd"/>
      <w:r w:rsidR="008E4AA9" w:rsidRPr="00BC6A2A">
        <w:rPr>
          <w:rFonts w:ascii="Arial" w:hAnsi="Arial" w:cs="Arial"/>
        </w:rPr>
        <w:t xml:space="preserve"> </w:t>
      </w:r>
      <w:r w:rsidRPr="00BC6A2A">
        <w:rPr>
          <w:rFonts w:ascii="Arial" w:hAnsi="Arial" w:cs="Arial"/>
        </w:rPr>
        <w:t xml:space="preserve">groups following </w:t>
      </w:r>
      <w:r w:rsidRPr="00BC6A2A">
        <w:rPr>
          <w:rFonts w:ascii="Arial" w:hAnsi="Arial" w:cs="Arial"/>
          <w:i/>
          <w:iCs/>
        </w:rPr>
        <w:t xml:space="preserve">L. </w:t>
      </w:r>
      <w:proofErr w:type="spellStart"/>
      <w:r w:rsidRPr="00BC6A2A">
        <w:rPr>
          <w:rFonts w:ascii="Arial" w:hAnsi="Arial" w:cs="Arial"/>
          <w:i/>
          <w:iCs/>
        </w:rPr>
        <w:t>donovani</w:t>
      </w:r>
      <w:proofErr w:type="spellEnd"/>
      <w:r w:rsidRPr="00BC6A2A">
        <w:rPr>
          <w:rFonts w:ascii="Arial" w:hAnsi="Arial" w:cs="Arial"/>
        </w:rPr>
        <w:t xml:space="preserve"> challenge, although variability within groups resulted in relatively high SEM values, where the combination therapy gave the strongest antibody production (Figure 4). The SLA + </w:t>
      </w:r>
      <w:r w:rsidRPr="00BC6A2A">
        <w:rPr>
          <w:rFonts w:ascii="Arial" w:hAnsi="Arial" w:cs="Arial"/>
          <w:i/>
          <w:iCs/>
        </w:rPr>
        <w:t>C. edulis</w:t>
      </w:r>
      <w:r w:rsidRPr="00BC6A2A">
        <w:rPr>
          <w:rFonts w:ascii="Arial" w:hAnsi="Arial" w:cs="Arial"/>
        </w:rPr>
        <w:t xml:space="preserve"> treatment group showed a gradual increase in IgG levels over the course of the study and reached a maximum of about 4 </w:t>
      </w:r>
      <w:proofErr w:type="spellStart"/>
      <w:r w:rsidRPr="00BC6A2A">
        <w:rPr>
          <w:rFonts w:ascii="Arial" w:hAnsi="Arial" w:cs="Arial"/>
        </w:rPr>
        <w:t>μg</w:t>
      </w:r>
      <w:proofErr w:type="spellEnd"/>
      <w:r w:rsidRPr="00BC6A2A">
        <w:rPr>
          <w:rFonts w:ascii="Arial" w:hAnsi="Arial" w:cs="Arial"/>
        </w:rPr>
        <w:t xml:space="preserve">/mL near the conclusion of the 8th week, with their highest average antibody of 2.576 </w:t>
      </w:r>
      <w:proofErr w:type="spellStart"/>
      <w:r w:rsidRPr="00BC6A2A">
        <w:rPr>
          <w:rFonts w:ascii="Arial" w:hAnsi="Arial" w:cs="Arial"/>
        </w:rPr>
        <w:t>μg</w:t>
      </w:r>
      <w:proofErr w:type="spellEnd"/>
      <w:r w:rsidRPr="00BC6A2A">
        <w:rPr>
          <w:rFonts w:ascii="Arial" w:hAnsi="Arial" w:cs="Arial"/>
        </w:rPr>
        <w:t xml:space="preserve">/mL, which was the highest across all groups. This response profile indicates early B-cell stimulation and antibody production when the two immunomodulatory agents are used concomitantly. SLA monotherapy yielded a continuous moderate enhancement of IgG production peaking at about 2 </w:t>
      </w:r>
      <w:proofErr w:type="spellStart"/>
      <w:r w:rsidRPr="00BC6A2A">
        <w:rPr>
          <w:rFonts w:ascii="Arial" w:hAnsi="Arial" w:cs="Arial"/>
        </w:rPr>
        <w:t>μg</w:t>
      </w:r>
      <w:proofErr w:type="spellEnd"/>
      <w:r w:rsidRPr="00BC6A2A">
        <w:rPr>
          <w:rFonts w:ascii="Arial" w:hAnsi="Arial" w:cs="Arial"/>
        </w:rPr>
        <w:t xml:space="preserve">/ mL at the endpoint and a mean concentration of 1.362 </w:t>
      </w:r>
      <w:proofErr w:type="spellStart"/>
      <w:r w:rsidRPr="00BC6A2A">
        <w:rPr>
          <w:rFonts w:ascii="Arial" w:hAnsi="Arial" w:cs="Arial"/>
        </w:rPr>
        <w:t>μg</w:t>
      </w:r>
      <w:proofErr w:type="spellEnd"/>
      <w:r w:rsidRPr="00BC6A2A">
        <w:rPr>
          <w:rFonts w:ascii="Arial" w:hAnsi="Arial" w:cs="Arial"/>
        </w:rPr>
        <w:t xml:space="preserve">/mL, which was not as significant but was sufficiently humoral immune stimulation. </w:t>
      </w:r>
      <w:r w:rsidRPr="00BC6A2A">
        <w:rPr>
          <w:rFonts w:ascii="Arial" w:hAnsi="Arial" w:cs="Arial"/>
          <w:i/>
          <w:iCs/>
        </w:rPr>
        <w:t>C</w:t>
      </w:r>
      <w:r w:rsidR="009D0DC4" w:rsidRPr="00BC6A2A">
        <w:rPr>
          <w:rFonts w:ascii="Arial" w:hAnsi="Arial" w:cs="Arial"/>
          <w:i/>
          <w:iCs/>
        </w:rPr>
        <w:t>arissa</w:t>
      </w:r>
      <w:r w:rsidRPr="00BC6A2A">
        <w:rPr>
          <w:rFonts w:ascii="Arial" w:hAnsi="Arial" w:cs="Arial"/>
          <w:i/>
          <w:iCs/>
        </w:rPr>
        <w:t xml:space="preserve"> edulis</w:t>
      </w:r>
      <w:r w:rsidRPr="00BC6A2A">
        <w:rPr>
          <w:rFonts w:ascii="Arial" w:hAnsi="Arial" w:cs="Arial"/>
        </w:rPr>
        <w:t xml:space="preserve"> alone extract did not produce significant antibody responses, but instead showed comparably stable levels of about 0.7340 </w:t>
      </w:r>
      <w:proofErr w:type="spellStart"/>
      <w:r w:rsidRPr="00BC6A2A">
        <w:rPr>
          <w:rFonts w:ascii="Arial" w:hAnsi="Arial" w:cs="Arial"/>
        </w:rPr>
        <w:t>μg</w:t>
      </w:r>
      <w:proofErr w:type="spellEnd"/>
      <w:r w:rsidRPr="00BC6A2A">
        <w:rPr>
          <w:rFonts w:ascii="Arial" w:hAnsi="Arial" w:cs="Arial"/>
        </w:rPr>
        <w:t xml:space="preserve">/ mL at all points throughout the observation period (mean: 0.7340 </w:t>
      </w:r>
      <w:proofErr w:type="spellStart"/>
      <w:r w:rsidRPr="00BC6A2A">
        <w:rPr>
          <w:rFonts w:ascii="Arial" w:hAnsi="Arial" w:cs="Arial"/>
        </w:rPr>
        <w:t>μg</w:t>
      </w:r>
      <w:proofErr w:type="spellEnd"/>
      <w:r w:rsidRPr="00BC6A2A">
        <w:rPr>
          <w:rFonts w:ascii="Arial" w:hAnsi="Arial" w:cs="Arial"/>
        </w:rPr>
        <w:t xml:space="preserve">/ mL, p = 0.0119), indicating that it does not have a great impact on humoral immunity when used singly. Another statistically significant increase in immune response (p = 0.0185) was indicated by the combination group, SLA + </w:t>
      </w:r>
      <w:r w:rsidRPr="00BC6A2A">
        <w:rPr>
          <w:rFonts w:ascii="Arial" w:hAnsi="Arial" w:cs="Arial"/>
          <w:i/>
          <w:iCs/>
        </w:rPr>
        <w:t>C. edulis</w:t>
      </w:r>
      <w:r w:rsidRPr="00BC6A2A">
        <w:rPr>
          <w:rFonts w:ascii="Arial" w:hAnsi="Arial" w:cs="Arial"/>
        </w:rPr>
        <w:t xml:space="preserve">. </w:t>
      </w:r>
      <w:r w:rsidR="009D0DC4" w:rsidRPr="00BC6A2A">
        <w:rPr>
          <w:rFonts w:ascii="Arial" w:hAnsi="Arial" w:cs="Arial"/>
        </w:rPr>
        <w:t xml:space="preserve">The </w:t>
      </w:r>
      <w:r w:rsidRPr="00BC6A2A">
        <w:rPr>
          <w:rFonts w:ascii="Arial" w:hAnsi="Arial" w:cs="Arial"/>
        </w:rPr>
        <w:t xml:space="preserve">PBS group showed no IgG production and the levels were always close to baseline with minimal changes (mean: 0.5320 </w:t>
      </w:r>
      <w:proofErr w:type="spellStart"/>
      <w:r w:rsidRPr="00BC6A2A">
        <w:rPr>
          <w:rFonts w:ascii="Arial" w:hAnsi="Arial" w:cs="Arial"/>
        </w:rPr>
        <w:t>μg</w:t>
      </w:r>
      <w:proofErr w:type="spellEnd"/>
      <w:r w:rsidRPr="00BC6A2A">
        <w:rPr>
          <w:rFonts w:ascii="Arial" w:hAnsi="Arial" w:cs="Arial"/>
        </w:rPr>
        <w:t xml:space="preserve">/mL, p = 0.0006). Highly significant differences among treatment groups as indicated by the ANOVA (p = 0.0033) support the hierarchy of immune </w:t>
      </w:r>
      <w:r w:rsidRPr="00BC6A2A">
        <w:rPr>
          <w:rFonts w:ascii="Arial" w:hAnsi="Arial" w:cs="Arial"/>
        </w:rPr>
        <w:lastRenderedPageBreak/>
        <w:t>activation observed and also indicate that the different interventions tested have different methods of humoral immune modulation.</w:t>
      </w:r>
    </w:p>
    <w:p w14:paraId="7D8E66D0" w14:textId="77777777" w:rsidR="008B521B" w:rsidRPr="00BC6A2A" w:rsidRDefault="008B521B" w:rsidP="008B521B">
      <w:pPr>
        <w:pStyle w:val="Body"/>
        <w:rPr>
          <w:rFonts w:ascii="Arial" w:hAnsi="Arial" w:cs="Arial"/>
        </w:rPr>
      </w:pPr>
    </w:p>
    <w:p w14:paraId="5B0B290E" w14:textId="77777777" w:rsidR="008B521B" w:rsidRPr="00BC6A2A" w:rsidRDefault="008B521B" w:rsidP="008B521B">
      <w:pPr>
        <w:pStyle w:val="Body"/>
        <w:rPr>
          <w:rFonts w:ascii="Arial" w:hAnsi="Arial" w:cs="Arial"/>
        </w:rPr>
      </w:pPr>
    </w:p>
    <w:p w14:paraId="5632E2B7" w14:textId="77777777" w:rsidR="008B521B" w:rsidRPr="00BC6A2A" w:rsidRDefault="008B521B" w:rsidP="008B521B">
      <w:pPr>
        <w:pStyle w:val="Body"/>
        <w:rPr>
          <w:rFonts w:ascii="Arial" w:hAnsi="Arial" w:cs="Arial"/>
        </w:rPr>
      </w:pPr>
    </w:p>
    <w:p w14:paraId="79305E25" w14:textId="7D991685" w:rsidR="008B521B" w:rsidRPr="00BC6A2A" w:rsidRDefault="00AE156C" w:rsidP="008B521B">
      <w:pPr>
        <w:pStyle w:val="Body"/>
        <w:rPr>
          <w:rFonts w:ascii="Arial" w:hAnsi="Arial" w:cs="Arial"/>
        </w:rPr>
      </w:pPr>
      <w:r w:rsidRPr="00BC6A2A">
        <w:object w:dxaOrig="8724" w:dyaOrig="4680" w14:anchorId="533A45EA">
          <v:shape id="_x0000_i1028" type="#_x0000_t75" style="width:437pt;height:233.6pt" o:ole="">
            <v:imagedata r:id="rId20" o:title=""/>
          </v:shape>
          <o:OLEObject Type="Embed" ProgID="Prism10.Document" ShapeID="_x0000_i1028" DrawAspect="Content" ObjectID="_1832155422" r:id="rId21"/>
        </w:object>
      </w:r>
    </w:p>
    <w:p w14:paraId="18E1F3D6" w14:textId="3A505E9D" w:rsidR="008B521B" w:rsidRPr="00BC6A2A" w:rsidRDefault="008B521B" w:rsidP="008B521B">
      <w:pPr>
        <w:pStyle w:val="Body"/>
        <w:rPr>
          <w:rFonts w:ascii="Arial" w:hAnsi="Arial" w:cs="Arial"/>
        </w:rPr>
      </w:pPr>
      <w:r w:rsidRPr="00BC6A2A">
        <w:rPr>
          <w:rFonts w:ascii="Arial" w:hAnsi="Arial" w:cs="Arial"/>
          <w:b/>
          <w:bCs/>
        </w:rPr>
        <w:t>Figure 4. IgG antibody production following different treatment interventions over a</w:t>
      </w:r>
      <w:r w:rsidR="008E4AA9" w:rsidRPr="00BC6A2A">
        <w:rPr>
          <w:rFonts w:ascii="Arial" w:hAnsi="Arial" w:cs="Arial"/>
          <w:b/>
          <w:bCs/>
        </w:rPr>
        <w:t>n</w:t>
      </w:r>
      <w:r w:rsidRPr="00BC6A2A">
        <w:rPr>
          <w:rFonts w:ascii="Arial" w:hAnsi="Arial" w:cs="Arial"/>
          <w:b/>
          <w:bCs/>
        </w:rPr>
        <w:t xml:space="preserve"> 8-week post-inoculation period.</w:t>
      </w:r>
      <w:r w:rsidRPr="00BC6A2A">
        <w:rPr>
          <w:rFonts w:ascii="Arial" w:hAnsi="Arial" w:cs="Arial"/>
        </w:rPr>
        <w:t xml:space="preserve"> Serum IgG concentrations (</w:t>
      </w:r>
      <w:proofErr w:type="spellStart"/>
      <w:r w:rsidRPr="00BC6A2A">
        <w:rPr>
          <w:rFonts w:ascii="Arial" w:hAnsi="Arial" w:cs="Arial"/>
        </w:rPr>
        <w:t>μg</w:t>
      </w:r>
      <w:proofErr w:type="spellEnd"/>
      <w:r w:rsidRPr="00BC6A2A">
        <w:rPr>
          <w:rFonts w:ascii="Arial" w:hAnsi="Arial" w:cs="Arial"/>
        </w:rPr>
        <w:t xml:space="preserve">/mL) were measured at weeks 0, 2, 4, 6, and 8 following inoculations in four treatment groups: SLA alone (blue circles), </w:t>
      </w:r>
      <w:r w:rsidRPr="00BC6A2A">
        <w:rPr>
          <w:rFonts w:ascii="Arial" w:hAnsi="Arial" w:cs="Arial"/>
          <w:i/>
          <w:iCs/>
        </w:rPr>
        <w:t>C. edulis</w:t>
      </w:r>
      <w:r w:rsidRPr="00BC6A2A">
        <w:rPr>
          <w:rFonts w:ascii="Arial" w:hAnsi="Arial" w:cs="Arial"/>
        </w:rPr>
        <w:t xml:space="preserve"> extract alone (red squares), combined SLA + </w:t>
      </w:r>
      <w:r w:rsidRPr="00BC6A2A">
        <w:rPr>
          <w:rFonts w:ascii="Arial" w:hAnsi="Arial" w:cs="Arial"/>
          <w:i/>
          <w:iCs/>
        </w:rPr>
        <w:t>C. edulis</w:t>
      </w:r>
      <w:r w:rsidRPr="00BC6A2A">
        <w:rPr>
          <w:rFonts w:ascii="Arial" w:hAnsi="Arial" w:cs="Arial"/>
        </w:rPr>
        <w:t xml:space="preserve"> treatment (green triangles), and PBS control (black triangles). Data points represent mean values ± standard deviation of the mean (SEM) for n=5 per group.</w:t>
      </w:r>
    </w:p>
    <w:p w14:paraId="2F5414D6" w14:textId="77777777" w:rsidR="008B521B" w:rsidRPr="00BC6A2A" w:rsidRDefault="008B521B" w:rsidP="008B521B">
      <w:pPr>
        <w:pStyle w:val="Body"/>
        <w:rPr>
          <w:rFonts w:ascii="Arial" w:hAnsi="Arial" w:cs="Arial"/>
        </w:rPr>
      </w:pPr>
    </w:p>
    <w:p w14:paraId="721D8FD9" w14:textId="1A7DDCA1" w:rsidR="008B521B" w:rsidRPr="00BC6A2A" w:rsidRDefault="008B521B" w:rsidP="008B521B">
      <w:pPr>
        <w:pStyle w:val="Body"/>
        <w:rPr>
          <w:rFonts w:ascii="Arial" w:hAnsi="Arial" w:cs="Arial"/>
        </w:rPr>
      </w:pPr>
      <w:r w:rsidRPr="00BC6A2A">
        <w:rPr>
          <w:rFonts w:ascii="Arial" w:hAnsi="Arial" w:cs="Arial"/>
        </w:rPr>
        <w:t xml:space="preserve">Total IgG and IgG1 antibody responses increased over time in all </w:t>
      </w:r>
      <w:proofErr w:type="spellStart"/>
      <w:r w:rsidR="008E4AA9" w:rsidRPr="00BC6A2A">
        <w:rPr>
          <w:rFonts w:ascii="Arial" w:hAnsi="Arial" w:cs="Arial"/>
        </w:rPr>
        <w:t>immunised</w:t>
      </w:r>
      <w:proofErr w:type="spellEnd"/>
      <w:r w:rsidR="008E4AA9" w:rsidRPr="00BC6A2A">
        <w:rPr>
          <w:rFonts w:ascii="Arial" w:hAnsi="Arial" w:cs="Arial"/>
        </w:rPr>
        <w:t xml:space="preserve"> </w:t>
      </w:r>
      <w:r w:rsidRPr="00BC6A2A">
        <w:rPr>
          <w:rFonts w:ascii="Arial" w:hAnsi="Arial" w:cs="Arial"/>
        </w:rPr>
        <w:t xml:space="preserve">groups following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challenge, with minimal responses observed in PBS-treated controls, which remained close to baseline throughout the study (mean IgG1: 0.1340 </w:t>
      </w:r>
      <w:proofErr w:type="spellStart"/>
      <w:r w:rsidRPr="00BC6A2A">
        <w:rPr>
          <w:rFonts w:ascii="Arial" w:hAnsi="Arial" w:cs="Arial"/>
        </w:rPr>
        <w:t>μg</w:t>
      </w:r>
      <w:proofErr w:type="spellEnd"/>
      <w:r w:rsidRPr="00BC6A2A">
        <w:rPr>
          <w:rFonts w:ascii="Arial" w:hAnsi="Arial" w:cs="Arial"/>
        </w:rPr>
        <w:t xml:space="preserve">/mL, p = 0.0004). </w:t>
      </w:r>
      <w:r w:rsidR="009D0DC4" w:rsidRPr="00BC6A2A">
        <w:rPr>
          <w:rFonts w:ascii="Arial" w:hAnsi="Arial" w:cs="Arial"/>
        </w:rPr>
        <w:t xml:space="preserve">The </w:t>
      </w:r>
      <w:r w:rsidRPr="00BC6A2A">
        <w:rPr>
          <w:rFonts w:ascii="Arial" w:hAnsi="Arial" w:cs="Arial"/>
        </w:rPr>
        <w:t xml:space="preserve">IgG1 subclass responses showed a pattern distinct from overall IgG production, with SLA-containing formulations demonstrating comparable efficacy regardless of combination with </w:t>
      </w:r>
      <w:r w:rsidRPr="00BC6A2A">
        <w:rPr>
          <w:rFonts w:ascii="Arial" w:hAnsi="Arial" w:cs="Arial"/>
          <w:i/>
          <w:iCs/>
        </w:rPr>
        <w:t>C</w:t>
      </w:r>
      <w:r w:rsidR="009D0DC4" w:rsidRPr="00BC6A2A">
        <w:rPr>
          <w:rFonts w:ascii="Arial" w:hAnsi="Arial" w:cs="Arial"/>
          <w:i/>
          <w:iCs/>
        </w:rPr>
        <w:t>.</w:t>
      </w:r>
      <w:r w:rsidRPr="00BC6A2A">
        <w:rPr>
          <w:rFonts w:ascii="Arial" w:hAnsi="Arial" w:cs="Arial"/>
          <w:i/>
          <w:iCs/>
        </w:rPr>
        <w:t xml:space="preserve"> edulis</w:t>
      </w:r>
      <w:r w:rsidRPr="00BC6A2A">
        <w:rPr>
          <w:rFonts w:ascii="Arial" w:hAnsi="Arial" w:cs="Arial"/>
        </w:rPr>
        <w:t xml:space="preserve">. The temporal response trajectories of SLA alone and SLA + </w:t>
      </w:r>
      <w:r w:rsidRPr="00BC6A2A">
        <w:rPr>
          <w:rFonts w:ascii="Arial" w:hAnsi="Arial" w:cs="Arial"/>
          <w:i/>
          <w:iCs/>
        </w:rPr>
        <w:t>C. edulis</w:t>
      </w:r>
      <w:r w:rsidRPr="00BC6A2A">
        <w:rPr>
          <w:rFonts w:ascii="Arial" w:hAnsi="Arial" w:cs="Arial"/>
        </w:rPr>
        <w:t xml:space="preserve"> were virtually superimposable, and both groups reached similar peak IgG1 concentrations at week 8 (≈1.7 </w:t>
      </w:r>
      <w:proofErr w:type="spellStart"/>
      <w:r w:rsidRPr="00BC6A2A">
        <w:rPr>
          <w:rFonts w:ascii="Arial" w:hAnsi="Arial" w:cs="Arial"/>
        </w:rPr>
        <w:t>μg</w:t>
      </w:r>
      <w:proofErr w:type="spellEnd"/>
      <w:r w:rsidRPr="00BC6A2A">
        <w:rPr>
          <w:rFonts w:ascii="Arial" w:hAnsi="Arial" w:cs="Arial"/>
        </w:rPr>
        <w:t xml:space="preserve">/mL), with mean concentrations of 1.062 </w:t>
      </w:r>
      <w:proofErr w:type="spellStart"/>
      <w:r w:rsidRPr="00BC6A2A">
        <w:rPr>
          <w:rFonts w:ascii="Arial" w:hAnsi="Arial" w:cs="Arial"/>
        </w:rPr>
        <w:t>μg</w:t>
      </w:r>
      <w:proofErr w:type="spellEnd"/>
      <w:r w:rsidRPr="00BC6A2A">
        <w:rPr>
          <w:rFonts w:ascii="Arial" w:hAnsi="Arial" w:cs="Arial"/>
        </w:rPr>
        <w:t xml:space="preserve">/mL (SLA) and 1.202 </w:t>
      </w:r>
      <w:proofErr w:type="spellStart"/>
      <w:r w:rsidRPr="00BC6A2A">
        <w:rPr>
          <w:rFonts w:ascii="Arial" w:hAnsi="Arial" w:cs="Arial"/>
        </w:rPr>
        <w:t>μg</w:t>
      </w:r>
      <w:proofErr w:type="spellEnd"/>
      <w:r w:rsidRPr="00BC6A2A">
        <w:rPr>
          <w:rFonts w:ascii="Arial" w:hAnsi="Arial" w:cs="Arial"/>
        </w:rPr>
        <w:t xml:space="preserve">/mL (SLA + </w:t>
      </w:r>
      <w:r w:rsidRPr="00BC6A2A">
        <w:rPr>
          <w:rFonts w:ascii="Arial" w:hAnsi="Arial" w:cs="Arial"/>
          <w:i/>
          <w:iCs/>
        </w:rPr>
        <w:t>C. edulis</w:t>
      </w:r>
      <w:r w:rsidRPr="00BC6A2A">
        <w:rPr>
          <w:rFonts w:ascii="Arial" w:hAnsi="Arial" w:cs="Arial"/>
        </w:rPr>
        <w:t xml:space="preserve">), respectively (Figure 5). These responses were significantly elevated relative to baseline (SLA: p = 0.0169; SLA + </w:t>
      </w:r>
      <w:r w:rsidRPr="00BC6A2A">
        <w:rPr>
          <w:rFonts w:ascii="Arial" w:hAnsi="Arial" w:cs="Arial"/>
          <w:i/>
          <w:iCs/>
        </w:rPr>
        <w:t>C. edulis</w:t>
      </w:r>
      <w:r w:rsidRPr="00BC6A2A">
        <w:rPr>
          <w:rFonts w:ascii="Arial" w:hAnsi="Arial" w:cs="Arial"/>
        </w:rPr>
        <w:t>: p = 0.0139).</w:t>
      </w:r>
    </w:p>
    <w:p w14:paraId="73247316" w14:textId="6985D850" w:rsidR="008B521B" w:rsidRPr="00BC6A2A" w:rsidRDefault="008B521B" w:rsidP="008B521B">
      <w:pPr>
        <w:pStyle w:val="Body"/>
        <w:rPr>
          <w:rFonts w:ascii="Arial" w:hAnsi="Arial" w:cs="Arial"/>
        </w:rPr>
      </w:pPr>
      <w:r w:rsidRPr="00BC6A2A">
        <w:rPr>
          <w:rFonts w:ascii="Arial" w:hAnsi="Arial" w:cs="Arial"/>
        </w:rPr>
        <w:t xml:space="preserve">In contrast, mice receiving </w:t>
      </w:r>
      <w:r w:rsidRPr="00BC6A2A">
        <w:rPr>
          <w:rFonts w:ascii="Arial" w:hAnsi="Arial" w:cs="Arial"/>
          <w:i/>
          <w:iCs/>
        </w:rPr>
        <w:t>C. edulis</w:t>
      </w:r>
      <w:r w:rsidRPr="00BC6A2A">
        <w:rPr>
          <w:rFonts w:ascii="Arial" w:hAnsi="Arial" w:cs="Arial"/>
        </w:rPr>
        <w:t xml:space="preserve"> extract alone developed only modest IgG1 responses, which remained relatively constant throughout the experimental period (range: 0.63–0.80 </w:t>
      </w:r>
      <w:proofErr w:type="spellStart"/>
      <w:r w:rsidRPr="00BC6A2A">
        <w:rPr>
          <w:rFonts w:ascii="Arial" w:hAnsi="Arial" w:cs="Arial"/>
        </w:rPr>
        <w:t>μg</w:t>
      </w:r>
      <w:proofErr w:type="spellEnd"/>
      <w:r w:rsidRPr="00BC6A2A">
        <w:rPr>
          <w:rFonts w:ascii="Arial" w:hAnsi="Arial" w:cs="Arial"/>
        </w:rPr>
        <w:t xml:space="preserve">/mL; mean: 0.5080 </w:t>
      </w:r>
      <w:proofErr w:type="spellStart"/>
      <w:r w:rsidRPr="00BC6A2A">
        <w:rPr>
          <w:rFonts w:ascii="Arial" w:hAnsi="Arial" w:cs="Arial"/>
        </w:rPr>
        <w:t>μg</w:t>
      </w:r>
      <w:proofErr w:type="spellEnd"/>
      <w:r w:rsidRPr="00BC6A2A">
        <w:rPr>
          <w:rFonts w:ascii="Arial" w:hAnsi="Arial" w:cs="Arial"/>
        </w:rPr>
        <w:t xml:space="preserve">/mL; p = 0.0082), indicating that the extract is a weak inducer of IgG1 </w:t>
      </w:r>
      <w:r w:rsidRPr="00BC6A2A">
        <w:rPr>
          <w:rFonts w:ascii="Arial" w:hAnsi="Arial" w:cs="Arial"/>
        </w:rPr>
        <w:lastRenderedPageBreak/>
        <w:t xml:space="preserve">when administered independently. One-way ANOVA confirmed significant differences among treatment groups (p = 0.0065). When the longitudinal nature of the data was considered using two-way ANOVA, significant effects of time and treatment were observed (p &lt; 0.05), with divergence between </w:t>
      </w:r>
      <w:proofErr w:type="spellStart"/>
      <w:r w:rsidR="008E4AA9" w:rsidRPr="00BC6A2A">
        <w:rPr>
          <w:rFonts w:ascii="Arial" w:hAnsi="Arial" w:cs="Arial"/>
        </w:rPr>
        <w:t>immunised</w:t>
      </w:r>
      <w:proofErr w:type="spellEnd"/>
      <w:r w:rsidR="008E4AA9" w:rsidRPr="00BC6A2A">
        <w:rPr>
          <w:rFonts w:ascii="Arial" w:hAnsi="Arial" w:cs="Arial"/>
        </w:rPr>
        <w:t xml:space="preserve"> </w:t>
      </w:r>
      <w:r w:rsidRPr="00BC6A2A">
        <w:rPr>
          <w:rFonts w:ascii="Arial" w:hAnsi="Arial" w:cs="Arial"/>
        </w:rPr>
        <w:t xml:space="preserve">and control groups becoming apparent from weeks 4–6 onward. AUC analysis further supported these findings, showing that SLA-containing regimens generated higher cumulative IgG1 responses than PBS or </w:t>
      </w:r>
      <w:r w:rsidRPr="00BC6A2A">
        <w:rPr>
          <w:rFonts w:ascii="Arial" w:hAnsi="Arial" w:cs="Arial"/>
          <w:i/>
          <w:iCs/>
        </w:rPr>
        <w:t>C. edulis</w:t>
      </w:r>
      <w:r w:rsidRPr="00BC6A2A">
        <w:rPr>
          <w:rFonts w:ascii="Arial" w:hAnsi="Arial" w:cs="Arial"/>
        </w:rPr>
        <w:t xml:space="preserve"> alone, but did not differ significantly from each other.</w:t>
      </w:r>
    </w:p>
    <w:p w14:paraId="58600B8D" w14:textId="4CA1B31B" w:rsidR="008B521B" w:rsidRPr="00BC6A2A" w:rsidRDefault="008B521B" w:rsidP="008B521B">
      <w:pPr>
        <w:pStyle w:val="Body"/>
        <w:rPr>
          <w:rFonts w:ascii="Arial" w:hAnsi="Arial" w:cs="Arial"/>
        </w:rPr>
      </w:pPr>
      <w:r w:rsidRPr="00BC6A2A">
        <w:rPr>
          <w:rFonts w:ascii="Arial" w:hAnsi="Arial" w:cs="Arial"/>
        </w:rPr>
        <w:t xml:space="preserve">Comparison of SLA alone and SLA + </w:t>
      </w:r>
      <w:r w:rsidRPr="00BC6A2A">
        <w:rPr>
          <w:rFonts w:ascii="Arial" w:hAnsi="Arial" w:cs="Arial"/>
          <w:i/>
          <w:iCs/>
        </w:rPr>
        <w:t>C</w:t>
      </w:r>
      <w:r w:rsidR="009D0DC4" w:rsidRPr="00BC6A2A">
        <w:rPr>
          <w:rFonts w:ascii="Arial" w:hAnsi="Arial" w:cs="Arial"/>
          <w:i/>
          <w:iCs/>
        </w:rPr>
        <w:t>.</w:t>
      </w:r>
      <w:r w:rsidRPr="00BC6A2A">
        <w:rPr>
          <w:rFonts w:ascii="Arial" w:hAnsi="Arial" w:cs="Arial"/>
          <w:i/>
          <w:iCs/>
        </w:rPr>
        <w:t xml:space="preserve"> edulis</w:t>
      </w:r>
      <w:r w:rsidRPr="00BC6A2A">
        <w:rPr>
          <w:rFonts w:ascii="Arial" w:hAnsi="Arial" w:cs="Arial"/>
        </w:rPr>
        <w:t xml:space="preserve"> revealed largely overlapping IgG and IgG1 response profiles throughout the course of infection. Two-way ANOVA did not detect a significant overall treatment with time interaction between these two groups (p &gt; 0.05), indicating similar antibody kinetics. However, pairwise post-hoc comparisons at individual time points showed a trend toward higher IgG and IgG1 levels in the SLA + </w:t>
      </w:r>
      <w:r w:rsidRPr="00BC6A2A">
        <w:rPr>
          <w:rFonts w:ascii="Arial" w:hAnsi="Arial" w:cs="Arial"/>
          <w:i/>
          <w:iCs/>
        </w:rPr>
        <w:t>C. edulis</w:t>
      </w:r>
      <w:r w:rsidRPr="00BC6A2A">
        <w:rPr>
          <w:rFonts w:ascii="Arial" w:hAnsi="Arial" w:cs="Arial"/>
        </w:rPr>
        <w:t xml:space="preserve"> group at weeks 6 and 8 post-infection, although these differences did not reach statistical significance after correction for multiple comparisons. These findings suggest that any potential enhancement of humoral responses by </w:t>
      </w:r>
      <w:r w:rsidRPr="00BC6A2A">
        <w:rPr>
          <w:rFonts w:ascii="Arial" w:hAnsi="Arial" w:cs="Arial"/>
          <w:i/>
          <w:iCs/>
        </w:rPr>
        <w:t>C. edulis</w:t>
      </w:r>
      <w:r w:rsidRPr="00BC6A2A">
        <w:rPr>
          <w:rFonts w:ascii="Arial" w:hAnsi="Arial" w:cs="Arial"/>
        </w:rPr>
        <w:t xml:space="preserve"> in the presence of SLA is modest and time-restricted, becoming most apparent at later stages of infection.</w:t>
      </w:r>
    </w:p>
    <w:p w14:paraId="77A80419" w14:textId="77777777" w:rsidR="008B521B" w:rsidRPr="00BC6A2A" w:rsidRDefault="008B521B" w:rsidP="008B521B">
      <w:pPr>
        <w:pStyle w:val="Body"/>
        <w:rPr>
          <w:rFonts w:ascii="Arial" w:hAnsi="Arial" w:cs="Arial"/>
        </w:rPr>
      </w:pPr>
      <w:r w:rsidRPr="00BC6A2A">
        <w:rPr>
          <w:rFonts w:ascii="Arial" w:hAnsi="Arial" w:cs="Arial"/>
        </w:rPr>
        <w:t xml:space="preserve"> </w:t>
      </w:r>
    </w:p>
    <w:p w14:paraId="03B23829" w14:textId="118CB502" w:rsidR="008B521B" w:rsidRPr="00BC6A2A" w:rsidRDefault="00AE156C" w:rsidP="008B521B">
      <w:pPr>
        <w:pStyle w:val="Body"/>
        <w:rPr>
          <w:rFonts w:ascii="Arial" w:hAnsi="Arial" w:cs="Arial"/>
        </w:rPr>
      </w:pPr>
      <w:r w:rsidRPr="00BC6A2A">
        <w:object w:dxaOrig="8657" w:dyaOrig="4680" w14:anchorId="09014A51">
          <v:shape id="_x0000_i1029" type="#_x0000_t75" style="width:6in;height:233.6pt" o:ole="">
            <v:imagedata r:id="rId22" o:title=""/>
          </v:shape>
          <o:OLEObject Type="Embed" ProgID="Prism10.Document" ShapeID="_x0000_i1029" DrawAspect="Content" ObjectID="_1832155423" r:id="rId23"/>
        </w:object>
      </w:r>
    </w:p>
    <w:p w14:paraId="672120C8" w14:textId="77777777" w:rsidR="008B521B" w:rsidRPr="00BC6A2A" w:rsidRDefault="008B521B" w:rsidP="008B521B">
      <w:pPr>
        <w:pStyle w:val="Body"/>
        <w:rPr>
          <w:rFonts w:ascii="Arial" w:hAnsi="Arial" w:cs="Arial"/>
        </w:rPr>
      </w:pPr>
    </w:p>
    <w:p w14:paraId="6BE93B5A" w14:textId="1785F6A0" w:rsidR="008B521B" w:rsidRPr="00BC6A2A" w:rsidRDefault="008B521B" w:rsidP="008B521B">
      <w:pPr>
        <w:pStyle w:val="Body"/>
        <w:rPr>
          <w:rFonts w:ascii="Arial" w:hAnsi="Arial" w:cs="Arial"/>
        </w:rPr>
      </w:pPr>
      <w:r w:rsidRPr="00BC6A2A">
        <w:rPr>
          <w:rFonts w:ascii="Arial" w:hAnsi="Arial" w:cs="Arial"/>
          <w:b/>
          <w:bCs/>
        </w:rPr>
        <w:t xml:space="preserve">Figure 5. IgG1 antibody subclass production following different treatment interventions over </w:t>
      </w:r>
      <w:proofErr w:type="gramStart"/>
      <w:r w:rsidRPr="00BC6A2A">
        <w:rPr>
          <w:rFonts w:ascii="Arial" w:hAnsi="Arial" w:cs="Arial"/>
          <w:b/>
          <w:bCs/>
        </w:rPr>
        <w:t>a</w:t>
      </w:r>
      <w:proofErr w:type="gramEnd"/>
      <w:r w:rsidRPr="00BC6A2A">
        <w:rPr>
          <w:rFonts w:ascii="Arial" w:hAnsi="Arial" w:cs="Arial"/>
          <w:b/>
          <w:bCs/>
        </w:rPr>
        <w:t xml:space="preserve"> 8-week post- inoculation period.</w:t>
      </w:r>
      <w:r w:rsidRPr="00BC6A2A">
        <w:rPr>
          <w:rFonts w:ascii="Arial" w:hAnsi="Arial" w:cs="Arial"/>
        </w:rPr>
        <w:t xml:space="preserve"> Serum IgG1 concentrations (</w:t>
      </w:r>
      <w:proofErr w:type="spellStart"/>
      <w:r w:rsidRPr="00BC6A2A">
        <w:rPr>
          <w:rFonts w:ascii="Arial" w:hAnsi="Arial" w:cs="Arial"/>
        </w:rPr>
        <w:t>μg</w:t>
      </w:r>
      <w:proofErr w:type="spellEnd"/>
      <w:r w:rsidRPr="00BC6A2A">
        <w:rPr>
          <w:rFonts w:ascii="Arial" w:hAnsi="Arial" w:cs="Arial"/>
        </w:rPr>
        <w:t xml:space="preserve">/mL) were measured at weeks 0, 2, 4, 6, and 8 following inoculations in four treatment groups: SLA alone (blue circles), </w:t>
      </w:r>
      <w:r w:rsidRPr="00BC6A2A">
        <w:rPr>
          <w:rFonts w:ascii="Arial" w:hAnsi="Arial" w:cs="Arial"/>
          <w:i/>
          <w:iCs/>
        </w:rPr>
        <w:t>C. edulis</w:t>
      </w:r>
      <w:r w:rsidRPr="00BC6A2A">
        <w:rPr>
          <w:rFonts w:ascii="Arial" w:hAnsi="Arial" w:cs="Arial"/>
        </w:rPr>
        <w:t xml:space="preserve"> extract alone (red squares), combined SLA +</w:t>
      </w:r>
      <w:r w:rsidR="00AE156C" w:rsidRPr="00BC6A2A">
        <w:rPr>
          <w:rFonts w:ascii="Arial" w:hAnsi="Arial" w:cs="Arial"/>
        </w:rPr>
        <w:t xml:space="preserve"> </w:t>
      </w:r>
      <w:r w:rsidRPr="00BC6A2A">
        <w:rPr>
          <w:rFonts w:ascii="Arial" w:hAnsi="Arial" w:cs="Arial"/>
          <w:i/>
          <w:iCs/>
        </w:rPr>
        <w:t>C. edulis</w:t>
      </w:r>
      <w:r w:rsidRPr="00BC6A2A">
        <w:rPr>
          <w:rFonts w:ascii="Arial" w:hAnsi="Arial" w:cs="Arial"/>
        </w:rPr>
        <w:t xml:space="preserve"> treatment (green triangles), and PBS control (black triangles). Data points represent the mean values ± standard deviation of the mean (SD) for n = 5 per group.</w:t>
      </w:r>
    </w:p>
    <w:p w14:paraId="6D96E860" w14:textId="77777777" w:rsidR="008B521B" w:rsidRPr="00BC6A2A" w:rsidRDefault="008B521B" w:rsidP="008B521B">
      <w:pPr>
        <w:pStyle w:val="Body"/>
        <w:rPr>
          <w:rFonts w:ascii="Arial" w:hAnsi="Arial" w:cs="Arial"/>
        </w:rPr>
      </w:pPr>
    </w:p>
    <w:p w14:paraId="515D8E4E" w14:textId="77777777" w:rsidR="008B521B" w:rsidRPr="00BC6A2A" w:rsidRDefault="008B521B" w:rsidP="008B521B">
      <w:pPr>
        <w:pStyle w:val="Body"/>
        <w:rPr>
          <w:rFonts w:ascii="Arial" w:hAnsi="Arial" w:cs="Arial"/>
        </w:rPr>
      </w:pPr>
    </w:p>
    <w:p w14:paraId="07F34F06" w14:textId="77777777" w:rsidR="008B521B" w:rsidRPr="00BC6A2A" w:rsidRDefault="008B521B" w:rsidP="008B521B">
      <w:pPr>
        <w:pStyle w:val="Body"/>
        <w:rPr>
          <w:rFonts w:ascii="Arial" w:hAnsi="Arial" w:cs="Arial"/>
        </w:rPr>
      </w:pPr>
      <w:r w:rsidRPr="00BC6A2A">
        <w:rPr>
          <w:rFonts w:ascii="Arial" w:hAnsi="Arial" w:cs="Arial"/>
        </w:rPr>
        <w:lastRenderedPageBreak/>
        <w:t xml:space="preserve">The IgG2a subclass responses show the most remarkable treatment effect in all of the measured immune parameters, and combination therapy gives rise to significantly higher levels of antibody far beyond the sum of the individual treatment effects (Figure 6). The SLA + </w:t>
      </w:r>
      <w:r w:rsidRPr="00BC6A2A">
        <w:rPr>
          <w:rFonts w:ascii="Arial" w:hAnsi="Arial" w:cs="Arial"/>
          <w:i/>
          <w:iCs/>
        </w:rPr>
        <w:t>C. edulis</w:t>
      </w:r>
      <w:r w:rsidRPr="00BC6A2A">
        <w:rPr>
          <w:rFonts w:ascii="Arial" w:hAnsi="Arial" w:cs="Arial"/>
        </w:rPr>
        <w:t xml:space="preserve"> combination group was found to have a high level of IgG2a production, with the highest level of about 3 </w:t>
      </w:r>
      <w:proofErr w:type="spellStart"/>
      <w:r w:rsidRPr="00BC6A2A">
        <w:rPr>
          <w:rFonts w:ascii="Arial" w:hAnsi="Arial" w:cs="Arial"/>
        </w:rPr>
        <w:t>μg</w:t>
      </w:r>
      <w:proofErr w:type="spellEnd"/>
      <w:r w:rsidRPr="00BC6A2A">
        <w:rPr>
          <w:rFonts w:ascii="Arial" w:hAnsi="Arial" w:cs="Arial"/>
        </w:rPr>
        <w:t xml:space="preserve">/mL at week 8, which is about 6-7-fold higher than either of the treatments in isolation (p = 0.0245). Interestingly, the two individual treatments yielded almost comparable, small responses of IgG2a, with SLA alone (p= 0.0196) and </w:t>
      </w:r>
      <w:r w:rsidRPr="00BC6A2A">
        <w:rPr>
          <w:rFonts w:ascii="Arial" w:hAnsi="Arial" w:cs="Arial"/>
          <w:i/>
          <w:iCs/>
        </w:rPr>
        <w:t>C. edulis</w:t>
      </w:r>
      <w:r w:rsidRPr="00BC6A2A">
        <w:rPr>
          <w:rFonts w:ascii="Arial" w:hAnsi="Arial" w:cs="Arial"/>
        </w:rPr>
        <w:t xml:space="preserve"> alone (p = 0.0236) retaining similar levels of 0.4-0.5 </w:t>
      </w:r>
      <w:proofErr w:type="spellStart"/>
      <w:r w:rsidRPr="00BC6A2A">
        <w:rPr>
          <w:rFonts w:ascii="Arial" w:hAnsi="Arial" w:cs="Arial"/>
        </w:rPr>
        <w:t>μg</w:t>
      </w:r>
      <w:proofErr w:type="spellEnd"/>
      <w:r w:rsidRPr="00BC6A2A">
        <w:rPr>
          <w:rFonts w:ascii="Arial" w:hAnsi="Arial" w:cs="Arial"/>
        </w:rPr>
        <w:t>/mL over the duration of the study. The PBS control group was found to have a negligible production of anti- Leishmania antibody, and fluctuations were maintained close to the baseline of the control group through the entire period of observation (p = 0.0078). According to statistical analysis, all treatment groups were significantly raised above the theoretical baseline values (p =0.0245), and the results of ANOVA (p = 0.0014) demonstrated highly significant inter-group differences.</w:t>
      </w:r>
    </w:p>
    <w:p w14:paraId="438D61B0" w14:textId="6EC1D70B" w:rsidR="008B521B" w:rsidRPr="00BC6A2A" w:rsidRDefault="009D0DC4" w:rsidP="009D0DC4">
      <w:pPr>
        <w:pStyle w:val="Body"/>
        <w:jc w:val="center"/>
        <w:rPr>
          <w:rFonts w:ascii="Arial" w:hAnsi="Arial" w:cs="Arial"/>
        </w:rPr>
      </w:pPr>
      <w:r w:rsidRPr="00BC6A2A">
        <w:object w:dxaOrig="8751" w:dyaOrig="4670" w14:anchorId="4D592D62">
          <v:shape id="_x0000_i1030" type="#_x0000_t75" style="width:401pt;height:213.5pt" o:ole="">
            <v:imagedata r:id="rId24" o:title=""/>
          </v:shape>
          <o:OLEObject Type="Embed" ProgID="Prism10.Document" ShapeID="_x0000_i1030" DrawAspect="Content" ObjectID="_1832155424" r:id="rId25"/>
        </w:object>
      </w:r>
    </w:p>
    <w:p w14:paraId="3A5B2F97" w14:textId="678A7C26" w:rsidR="008B521B" w:rsidRPr="00BC6A2A" w:rsidRDefault="008B521B" w:rsidP="008B521B">
      <w:pPr>
        <w:pStyle w:val="Body"/>
        <w:rPr>
          <w:rFonts w:ascii="Arial" w:hAnsi="Arial" w:cs="Arial"/>
        </w:rPr>
      </w:pPr>
      <w:r w:rsidRPr="00BC6A2A">
        <w:rPr>
          <w:rFonts w:ascii="Arial" w:hAnsi="Arial" w:cs="Arial"/>
          <w:b/>
          <w:bCs/>
        </w:rPr>
        <w:t xml:space="preserve">Figure 6. IgG2a antibody subclass production following different treatment interventions over </w:t>
      </w:r>
      <w:proofErr w:type="gramStart"/>
      <w:r w:rsidRPr="00BC6A2A">
        <w:rPr>
          <w:rFonts w:ascii="Arial" w:hAnsi="Arial" w:cs="Arial"/>
          <w:b/>
          <w:bCs/>
        </w:rPr>
        <w:t>a</w:t>
      </w:r>
      <w:proofErr w:type="gramEnd"/>
      <w:r w:rsidRPr="00BC6A2A">
        <w:rPr>
          <w:rFonts w:ascii="Arial" w:hAnsi="Arial" w:cs="Arial"/>
          <w:b/>
          <w:bCs/>
        </w:rPr>
        <w:t xml:space="preserve"> 8-week post- inoculation period.</w:t>
      </w:r>
      <w:r w:rsidRPr="00BC6A2A">
        <w:rPr>
          <w:rFonts w:ascii="Arial" w:hAnsi="Arial" w:cs="Arial"/>
        </w:rPr>
        <w:t xml:space="preserve"> Serum IgG2a concentrations (</w:t>
      </w:r>
      <w:proofErr w:type="spellStart"/>
      <w:r w:rsidRPr="00BC6A2A">
        <w:rPr>
          <w:rFonts w:ascii="Arial" w:hAnsi="Arial" w:cs="Arial"/>
        </w:rPr>
        <w:t>μg</w:t>
      </w:r>
      <w:proofErr w:type="spellEnd"/>
      <w:r w:rsidRPr="00BC6A2A">
        <w:rPr>
          <w:rFonts w:ascii="Arial" w:hAnsi="Arial" w:cs="Arial"/>
        </w:rPr>
        <w:t xml:space="preserve">/mL) were measured at weeks 0, 2, 4, 6, and 8 following inoculations in four treatment groups: SLA alone (blue circles), </w:t>
      </w:r>
      <w:r w:rsidRPr="00BC6A2A">
        <w:rPr>
          <w:rFonts w:ascii="Arial" w:hAnsi="Arial" w:cs="Arial"/>
          <w:i/>
          <w:iCs/>
        </w:rPr>
        <w:t>C. edulis</w:t>
      </w:r>
      <w:r w:rsidRPr="00BC6A2A">
        <w:rPr>
          <w:rFonts w:ascii="Arial" w:hAnsi="Arial" w:cs="Arial"/>
        </w:rPr>
        <w:t xml:space="preserve"> extract alone (red circles), combined SLA +</w:t>
      </w:r>
      <w:r w:rsidR="009D0DC4" w:rsidRPr="00BC6A2A">
        <w:rPr>
          <w:rFonts w:ascii="Arial" w:hAnsi="Arial" w:cs="Arial"/>
        </w:rPr>
        <w:t xml:space="preserve"> </w:t>
      </w:r>
      <w:r w:rsidRPr="00BC6A2A">
        <w:rPr>
          <w:rFonts w:ascii="Arial" w:hAnsi="Arial" w:cs="Arial"/>
          <w:i/>
          <w:iCs/>
        </w:rPr>
        <w:t>C. edulis</w:t>
      </w:r>
      <w:r w:rsidRPr="00BC6A2A">
        <w:rPr>
          <w:rFonts w:ascii="Arial" w:hAnsi="Arial" w:cs="Arial"/>
        </w:rPr>
        <w:t xml:space="preserve"> treatment (green circles), and PBS control (black circles). Data points represent mean values ± standard deviation of the mean (SD) for n=5 per group. Note the axis break between 0.5 and 2.0 </w:t>
      </w:r>
      <w:proofErr w:type="spellStart"/>
      <w:r w:rsidRPr="00BC6A2A">
        <w:rPr>
          <w:rFonts w:ascii="Arial" w:hAnsi="Arial" w:cs="Arial"/>
        </w:rPr>
        <w:t>μg</w:t>
      </w:r>
      <w:proofErr w:type="spellEnd"/>
      <w:r w:rsidRPr="00BC6A2A">
        <w:rPr>
          <w:rFonts w:ascii="Arial" w:hAnsi="Arial" w:cs="Arial"/>
        </w:rPr>
        <w:t>/mL to accommodate the dramatically elevated response in the combination therapy group.</w:t>
      </w:r>
    </w:p>
    <w:p w14:paraId="573D7C4F" w14:textId="77777777" w:rsidR="008B521B" w:rsidRPr="00BC6A2A" w:rsidRDefault="008B521B" w:rsidP="008B521B">
      <w:pPr>
        <w:pStyle w:val="Body"/>
        <w:rPr>
          <w:rFonts w:ascii="Arial" w:hAnsi="Arial" w:cs="Arial"/>
        </w:rPr>
      </w:pPr>
    </w:p>
    <w:p w14:paraId="08C34100" w14:textId="4EC86E5F" w:rsidR="008B521B" w:rsidRPr="00BC6A2A" w:rsidRDefault="008B521B" w:rsidP="008B521B">
      <w:pPr>
        <w:pStyle w:val="Body"/>
        <w:rPr>
          <w:rFonts w:ascii="Arial" w:hAnsi="Arial" w:cs="Arial"/>
        </w:rPr>
      </w:pPr>
      <w:r w:rsidRPr="00BC6A2A">
        <w:rPr>
          <w:rFonts w:ascii="Arial" w:hAnsi="Arial" w:cs="Arial"/>
        </w:rPr>
        <w:t xml:space="preserve">The correlation analysis demonstrated that parasite load was significantly positively associated with all measured immunological parameters, which is the most important information about the immune-pathogen interaction in this vaccination model. The highest correlation was found between the parasite burden and the levels of IL-10 (r = 0.9702, P = 0.0061), which suggested that the high parasite loads were strongly correlated with the large production of the anti-inflammatory cytokine. This observation is in line with the known pathogenesis of leishmaniasis in which IL-10 upregulation is one of the major processes through which </w:t>
      </w:r>
      <w:r w:rsidRPr="00BC6A2A">
        <w:rPr>
          <w:rFonts w:ascii="Arial" w:hAnsi="Arial" w:cs="Arial"/>
          <w:i/>
          <w:iCs/>
        </w:rPr>
        <w:t>Leishmania</w:t>
      </w:r>
      <w:r w:rsidRPr="00BC6A2A">
        <w:rPr>
          <w:rFonts w:ascii="Arial" w:hAnsi="Arial" w:cs="Arial"/>
        </w:rPr>
        <w:t xml:space="preserve"> parasites circumvent host immune </w:t>
      </w:r>
      <w:proofErr w:type="spellStart"/>
      <w:r w:rsidR="008E4AA9" w:rsidRPr="00BC6A2A">
        <w:rPr>
          <w:rFonts w:ascii="Arial" w:hAnsi="Arial" w:cs="Arial"/>
        </w:rPr>
        <w:t>defences</w:t>
      </w:r>
      <w:proofErr w:type="spellEnd"/>
      <w:r w:rsidR="008E4AA9" w:rsidRPr="00BC6A2A">
        <w:rPr>
          <w:rFonts w:ascii="Arial" w:hAnsi="Arial" w:cs="Arial"/>
        </w:rPr>
        <w:t xml:space="preserve"> </w:t>
      </w:r>
      <w:r w:rsidRPr="00BC6A2A">
        <w:rPr>
          <w:rFonts w:ascii="Arial" w:hAnsi="Arial" w:cs="Arial"/>
        </w:rPr>
        <w:t>and acquire chronic infection.</w:t>
      </w:r>
    </w:p>
    <w:p w14:paraId="19C9101B" w14:textId="6039C552" w:rsidR="008B521B" w:rsidRPr="00BC6A2A" w:rsidRDefault="008B521B" w:rsidP="008B521B">
      <w:pPr>
        <w:pStyle w:val="Body"/>
        <w:spacing w:after="0"/>
        <w:rPr>
          <w:rFonts w:ascii="Arial" w:hAnsi="Arial" w:cs="Arial"/>
        </w:rPr>
      </w:pPr>
      <w:r w:rsidRPr="00BC6A2A">
        <w:rPr>
          <w:rFonts w:ascii="Arial" w:hAnsi="Arial" w:cs="Arial"/>
        </w:rPr>
        <w:lastRenderedPageBreak/>
        <w:t xml:space="preserve">The parasite load versus IFN-γ production (r = 0.8989, P = 0.0380) correlation gives a more complicated immunological scenario that should be carefully interpreted during the leishmaniasis immune regulation. Although traditionally IFN-γ is regarded as the main protection cytokine against </w:t>
      </w:r>
      <w:r w:rsidRPr="00BC6A2A">
        <w:rPr>
          <w:rFonts w:ascii="Arial" w:hAnsi="Arial" w:cs="Arial"/>
          <w:i/>
          <w:iCs/>
        </w:rPr>
        <w:t>Leishmania</w:t>
      </w:r>
      <w:r w:rsidRPr="00BC6A2A">
        <w:rPr>
          <w:rFonts w:ascii="Arial" w:hAnsi="Arial" w:cs="Arial"/>
        </w:rPr>
        <w:t xml:space="preserve"> infection, the positive correlation to parasite burden may indicate that high levels of IFN-γ are evidence of continuous immune response to persistent infection as opposed to effective clearance of the parasites. Correlations of the antibody responses shed more light on the association between humoral immunity and the outcome of infection. The positive correlation between the parasite load and total IgG level (r = 0.9261, P = 0.0239) indicates that increased antibody level can be counterintuitive to poor control of the infection, in line with previous reports that leishmaniasis is often </w:t>
      </w:r>
      <w:proofErr w:type="spellStart"/>
      <w:r w:rsidR="008E4AA9" w:rsidRPr="00BC6A2A">
        <w:rPr>
          <w:rFonts w:ascii="Arial" w:hAnsi="Arial" w:cs="Arial"/>
        </w:rPr>
        <w:t>characterised</w:t>
      </w:r>
      <w:proofErr w:type="spellEnd"/>
      <w:r w:rsidR="008E4AA9" w:rsidRPr="00BC6A2A">
        <w:rPr>
          <w:rFonts w:ascii="Arial" w:hAnsi="Arial" w:cs="Arial"/>
        </w:rPr>
        <w:t xml:space="preserve"> </w:t>
      </w:r>
      <w:r w:rsidRPr="00BC6A2A">
        <w:rPr>
          <w:rFonts w:ascii="Arial" w:hAnsi="Arial" w:cs="Arial"/>
        </w:rPr>
        <w:t>by a strong but ineffective humoral response. The analysis of IgG subclass shows differentiation as IgG1 was significantly positively correlated with parasite burden (r = 0.9182, P = 0.0278), whereas IgG2a exhibited an even stronger relationship (r = 0.9587, P = 0.0100).</w:t>
      </w:r>
    </w:p>
    <w:p w14:paraId="4AA95299" w14:textId="77777777" w:rsidR="008B521B" w:rsidRPr="00BC6A2A" w:rsidRDefault="008B521B" w:rsidP="00441B6F">
      <w:pPr>
        <w:pStyle w:val="Body"/>
        <w:spacing w:after="0"/>
        <w:rPr>
          <w:rFonts w:ascii="Arial" w:hAnsi="Arial" w:cs="Arial"/>
        </w:rPr>
      </w:pPr>
    </w:p>
    <w:p w14:paraId="416368BD" w14:textId="77777777" w:rsidR="009D0DC4" w:rsidRPr="00BC6A2A" w:rsidRDefault="009D0DC4" w:rsidP="00441B6F">
      <w:pPr>
        <w:pStyle w:val="Body"/>
        <w:spacing w:after="0"/>
        <w:rPr>
          <w:rFonts w:ascii="Arial" w:hAnsi="Arial" w:cs="Arial"/>
        </w:rPr>
      </w:pPr>
    </w:p>
    <w:p w14:paraId="697178A9" w14:textId="77777777" w:rsidR="009D0DC4" w:rsidRPr="00BC6A2A" w:rsidRDefault="009D0DC4" w:rsidP="00441B6F">
      <w:pPr>
        <w:pStyle w:val="Body"/>
        <w:spacing w:after="0"/>
        <w:rPr>
          <w:rFonts w:ascii="Arial" w:hAnsi="Arial" w:cs="Arial"/>
        </w:rPr>
      </w:pPr>
    </w:p>
    <w:p w14:paraId="00817A27" w14:textId="5E347179" w:rsidR="00AE1CA3" w:rsidRPr="00BC6A2A" w:rsidRDefault="00AE1CA3" w:rsidP="00AE1CA3">
      <w:pPr>
        <w:pStyle w:val="Body"/>
        <w:rPr>
          <w:rFonts w:ascii="Arial" w:hAnsi="Arial" w:cs="Arial"/>
          <w:b/>
          <w:bCs/>
        </w:rPr>
      </w:pPr>
      <w:r w:rsidRPr="00BC6A2A">
        <w:rPr>
          <w:rFonts w:ascii="Arial" w:hAnsi="Arial" w:cs="Arial"/>
          <w:b/>
          <w:bCs/>
        </w:rPr>
        <w:t>4. DISCUSSION</w:t>
      </w:r>
    </w:p>
    <w:p w14:paraId="0237DDDF" w14:textId="2353D35A" w:rsidR="00AE1CA3" w:rsidRPr="00BC6A2A" w:rsidRDefault="00AE1CA3" w:rsidP="00AE1CA3">
      <w:pPr>
        <w:pStyle w:val="Body"/>
        <w:rPr>
          <w:rFonts w:ascii="Arial" w:hAnsi="Arial" w:cs="Arial"/>
        </w:rPr>
      </w:pPr>
      <w:r w:rsidRPr="00BC6A2A">
        <w:rPr>
          <w:rFonts w:ascii="Arial" w:hAnsi="Arial" w:cs="Arial"/>
        </w:rPr>
        <w:t xml:space="preserve">Parasite burden is an important endpoint in vaccine testing against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because it directly relates to the ability of an </w:t>
      </w:r>
      <w:proofErr w:type="spellStart"/>
      <w:r w:rsidR="008E4AA9" w:rsidRPr="00BC6A2A">
        <w:rPr>
          <w:rFonts w:ascii="Arial" w:hAnsi="Arial" w:cs="Arial"/>
        </w:rPr>
        <w:t>immunisation</w:t>
      </w:r>
      <w:proofErr w:type="spellEnd"/>
      <w:r w:rsidR="008E4AA9" w:rsidRPr="00BC6A2A">
        <w:rPr>
          <w:rFonts w:ascii="Arial" w:hAnsi="Arial" w:cs="Arial"/>
        </w:rPr>
        <w:t xml:space="preserve"> </w:t>
      </w:r>
      <w:r w:rsidRPr="00BC6A2A">
        <w:rPr>
          <w:rFonts w:ascii="Arial" w:hAnsi="Arial" w:cs="Arial"/>
        </w:rPr>
        <w:t xml:space="preserve">approach to prevent replication, dissemination and pathology of the parasite. All treatment groups had dissimilar levels of parasite control in the given study, as the combination treatment (SLA + </w:t>
      </w:r>
      <w:r w:rsidRPr="00BC6A2A">
        <w:rPr>
          <w:rFonts w:ascii="Arial" w:hAnsi="Arial" w:cs="Arial"/>
          <w:i/>
          <w:iCs/>
        </w:rPr>
        <w:t>C. edulis</w:t>
      </w:r>
      <w:r w:rsidRPr="00BC6A2A">
        <w:rPr>
          <w:rFonts w:ascii="Arial" w:hAnsi="Arial" w:cs="Arial"/>
        </w:rPr>
        <w:t>) was the most effective in reducing parasitemia.</w:t>
      </w:r>
    </w:p>
    <w:p w14:paraId="3447743A" w14:textId="5C9E1FAB" w:rsidR="00AE1CA3" w:rsidRPr="00BC6A2A" w:rsidRDefault="00AE1CA3" w:rsidP="00AE1CA3">
      <w:pPr>
        <w:pStyle w:val="Body"/>
        <w:rPr>
          <w:rFonts w:ascii="Arial" w:hAnsi="Arial" w:cs="Arial"/>
        </w:rPr>
      </w:pPr>
      <w:r w:rsidRPr="00BC6A2A">
        <w:rPr>
          <w:rFonts w:ascii="Arial" w:hAnsi="Arial" w:cs="Arial"/>
        </w:rPr>
        <w:t xml:space="preserve">The lowest parasite burden was observed in the group provided SLA + </w:t>
      </w:r>
      <w:r w:rsidRPr="00BC6A2A">
        <w:rPr>
          <w:rFonts w:ascii="Arial" w:hAnsi="Arial" w:cs="Arial"/>
          <w:i/>
          <w:iCs/>
        </w:rPr>
        <w:t>C. edulis</w:t>
      </w:r>
      <w:r w:rsidRPr="00BC6A2A">
        <w:rPr>
          <w:rFonts w:ascii="Arial" w:hAnsi="Arial" w:cs="Arial"/>
        </w:rPr>
        <w:t xml:space="preserve">, with a mean burden of 3.460% and end-parasitemia of approximately 6%. There was also little improvement in the group between weeks 6 and 8, indicating that not only did the combination therapy clear parasites, but it was also effective in inhibiting parasite growth during late-infection phases. This observation is a strong indicator in </w:t>
      </w:r>
      <w:proofErr w:type="spellStart"/>
      <w:r w:rsidRPr="00BC6A2A">
        <w:rPr>
          <w:rFonts w:ascii="Arial" w:hAnsi="Arial" w:cs="Arial"/>
        </w:rPr>
        <w:t>favo</w:t>
      </w:r>
      <w:r w:rsidR="008E4AA9" w:rsidRPr="00BC6A2A">
        <w:rPr>
          <w:rFonts w:ascii="Arial" w:hAnsi="Arial" w:cs="Arial"/>
        </w:rPr>
        <w:t>u</w:t>
      </w:r>
      <w:r w:rsidRPr="00BC6A2A">
        <w:rPr>
          <w:rFonts w:ascii="Arial" w:hAnsi="Arial" w:cs="Arial"/>
        </w:rPr>
        <w:t>r</w:t>
      </w:r>
      <w:proofErr w:type="spellEnd"/>
      <w:r w:rsidRPr="00BC6A2A">
        <w:rPr>
          <w:rFonts w:ascii="Arial" w:hAnsi="Arial" w:cs="Arial"/>
        </w:rPr>
        <w:t xml:space="preserve"> of the use of this combination as a prophylaxis intervention and perhaps as a therapeutic intervention. The very close efficacy between the individual therapies at week 8 in considering the better performance that combination therapy exhibited, is an indication of additive antiparasitic effects, which differ from the dramatic synergistic effects of immune response regarding production of IgG2a during the course of study.</w:t>
      </w:r>
    </w:p>
    <w:p w14:paraId="7D0A8D93" w14:textId="61DFE123" w:rsidR="00AE1CA3" w:rsidRPr="00BC6A2A" w:rsidRDefault="00AE1CA3" w:rsidP="00AE1CA3">
      <w:pPr>
        <w:pStyle w:val="Body"/>
        <w:rPr>
          <w:rFonts w:ascii="Arial" w:hAnsi="Arial" w:cs="Arial"/>
        </w:rPr>
      </w:pPr>
      <w:r w:rsidRPr="00BC6A2A">
        <w:rPr>
          <w:rFonts w:ascii="Arial" w:hAnsi="Arial" w:cs="Arial"/>
        </w:rPr>
        <w:t xml:space="preserve">The performance of both SLA and </w:t>
      </w:r>
      <w:r w:rsidRPr="00BC6A2A">
        <w:rPr>
          <w:rFonts w:ascii="Arial" w:hAnsi="Arial" w:cs="Arial"/>
          <w:i/>
          <w:iCs/>
        </w:rPr>
        <w:t>C. edulis</w:t>
      </w:r>
      <w:r w:rsidRPr="00BC6A2A">
        <w:rPr>
          <w:rFonts w:ascii="Arial" w:hAnsi="Arial" w:cs="Arial"/>
        </w:rPr>
        <w:t xml:space="preserve"> as monotherapies in the context of parasite control was moderate, with SLA having a mean parasite burden of 5.588% and </w:t>
      </w:r>
      <w:r w:rsidRPr="00BC6A2A">
        <w:rPr>
          <w:rFonts w:ascii="Arial" w:hAnsi="Arial" w:cs="Arial"/>
          <w:i/>
          <w:iCs/>
        </w:rPr>
        <w:t>C. edulis</w:t>
      </w:r>
      <w:r w:rsidRPr="00BC6A2A">
        <w:rPr>
          <w:rFonts w:ascii="Arial" w:hAnsi="Arial" w:cs="Arial"/>
        </w:rPr>
        <w:t xml:space="preserve"> having 7.313%. By week 10, these groups had obtained about 12% parasite load with some protective effect, but not enough to prevent progressive parasitemia. The partial efficacy of the SLA group is consistent with the earlier studies of soluble leishmanial antigens provoking protective immunity in BALB/c mice, but which also need a strong adjuvant to induce optimal efficacy (</w:t>
      </w:r>
      <w:proofErr w:type="spellStart"/>
      <w:r w:rsidRPr="00BC6A2A">
        <w:rPr>
          <w:rFonts w:ascii="Arial" w:hAnsi="Arial" w:cs="Arial"/>
        </w:rPr>
        <w:t>Agallou</w:t>
      </w:r>
      <w:proofErr w:type="spellEnd"/>
      <w:r w:rsidRPr="00BC6A2A">
        <w:rPr>
          <w:rFonts w:ascii="Arial" w:hAnsi="Arial" w:cs="Arial"/>
        </w:rPr>
        <w:t xml:space="preserve"> et al., 2017; Raman et al., 2012a). Of particular interest is the similar efficacy of </w:t>
      </w:r>
      <w:r w:rsidRPr="00BC6A2A">
        <w:rPr>
          <w:rFonts w:ascii="Arial" w:hAnsi="Arial" w:cs="Arial"/>
          <w:i/>
          <w:iCs/>
        </w:rPr>
        <w:t>C. edulis</w:t>
      </w:r>
      <w:r w:rsidRPr="00BC6A2A">
        <w:rPr>
          <w:rFonts w:ascii="Arial" w:hAnsi="Arial" w:cs="Arial"/>
        </w:rPr>
        <w:t xml:space="preserve"> based on its novelty as an immunomodulator in leishmanial infection. Even though </w:t>
      </w:r>
      <w:r w:rsidRPr="00BC6A2A">
        <w:rPr>
          <w:rFonts w:ascii="Arial" w:hAnsi="Arial" w:cs="Arial"/>
          <w:i/>
          <w:iCs/>
        </w:rPr>
        <w:t>C. edulis</w:t>
      </w:r>
      <w:r w:rsidRPr="00BC6A2A">
        <w:rPr>
          <w:rFonts w:ascii="Arial" w:hAnsi="Arial" w:cs="Arial"/>
        </w:rPr>
        <w:t xml:space="preserve"> did not cause a strong response in IgG2a or IFN-γ with its own exposure</w:t>
      </w:r>
      <w:r w:rsidR="008E4AA9" w:rsidRPr="00BC6A2A">
        <w:rPr>
          <w:rFonts w:ascii="Arial" w:hAnsi="Arial" w:cs="Arial"/>
        </w:rPr>
        <w:t xml:space="preserve">; </w:t>
      </w:r>
      <w:r w:rsidRPr="00BC6A2A">
        <w:rPr>
          <w:rFonts w:ascii="Arial" w:hAnsi="Arial" w:cs="Arial"/>
        </w:rPr>
        <w:t xml:space="preserve">it probably has mild direct antiparasitic effects or can modulate early innate immune responses, which agrees with reports of triterpenoid and flavonoid-mediated antimicrobial activity in </w:t>
      </w:r>
      <w:proofErr w:type="spellStart"/>
      <w:r w:rsidRPr="00BC6A2A">
        <w:rPr>
          <w:rFonts w:ascii="Arial" w:hAnsi="Arial" w:cs="Arial"/>
        </w:rPr>
        <w:t>phytotransplantations</w:t>
      </w:r>
      <w:proofErr w:type="spellEnd"/>
      <w:r w:rsidRPr="00BC6A2A">
        <w:rPr>
          <w:rFonts w:ascii="Arial" w:hAnsi="Arial" w:cs="Arial"/>
        </w:rPr>
        <w:t xml:space="preserve"> (</w:t>
      </w:r>
      <w:proofErr w:type="spellStart"/>
      <w:r w:rsidRPr="00BC6A2A">
        <w:rPr>
          <w:rFonts w:ascii="Arial" w:hAnsi="Arial" w:cs="Arial"/>
        </w:rPr>
        <w:t>Ejazi</w:t>
      </w:r>
      <w:proofErr w:type="spellEnd"/>
      <w:r w:rsidRPr="00BC6A2A">
        <w:rPr>
          <w:rFonts w:ascii="Arial" w:hAnsi="Arial" w:cs="Arial"/>
        </w:rPr>
        <w:t xml:space="preserve"> et al., 2020; </w:t>
      </w:r>
      <w:proofErr w:type="spellStart"/>
      <w:r w:rsidRPr="00BC6A2A">
        <w:rPr>
          <w:rFonts w:ascii="Arial" w:hAnsi="Arial" w:cs="Arial"/>
        </w:rPr>
        <w:t>Hojatizade</w:t>
      </w:r>
      <w:proofErr w:type="spellEnd"/>
      <w:r w:rsidRPr="00BC6A2A">
        <w:rPr>
          <w:rFonts w:ascii="Arial" w:hAnsi="Arial" w:cs="Arial"/>
        </w:rPr>
        <w:t xml:space="preserve"> et al., 2019).</w:t>
      </w:r>
    </w:p>
    <w:p w14:paraId="18E6316F" w14:textId="6F187CA3" w:rsidR="00AE1CA3" w:rsidRPr="00BC6A2A" w:rsidRDefault="00AE1CA3" w:rsidP="00AE1CA3">
      <w:pPr>
        <w:pStyle w:val="Body"/>
        <w:rPr>
          <w:rFonts w:ascii="Arial" w:hAnsi="Arial" w:cs="Arial"/>
        </w:rPr>
      </w:pPr>
      <w:r w:rsidRPr="00BC6A2A">
        <w:rPr>
          <w:rFonts w:ascii="Arial" w:hAnsi="Arial" w:cs="Arial"/>
        </w:rPr>
        <w:t>As anticipated, progressively increasing parasitemia was observed in the PBS-treated mice, reaching the peak parasite burden (15.51%), and almost 30 per</w:t>
      </w:r>
      <w:r w:rsidR="008E4AA9" w:rsidRPr="00BC6A2A">
        <w:rPr>
          <w:rFonts w:ascii="Arial" w:hAnsi="Arial" w:cs="Arial"/>
        </w:rPr>
        <w:t xml:space="preserve"> </w:t>
      </w:r>
      <w:r w:rsidRPr="00BC6A2A">
        <w:rPr>
          <w:rFonts w:ascii="Arial" w:hAnsi="Arial" w:cs="Arial"/>
        </w:rPr>
        <w:t xml:space="preserve">cent at week 10, indicating the natural progression of untreated L. </w:t>
      </w:r>
      <w:proofErr w:type="spellStart"/>
      <w:r w:rsidRPr="00BC6A2A">
        <w:rPr>
          <w:rFonts w:ascii="Arial" w:hAnsi="Arial" w:cs="Arial"/>
        </w:rPr>
        <w:t>donovani</w:t>
      </w:r>
      <w:proofErr w:type="spellEnd"/>
      <w:r w:rsidRPr="00BC6A2A">
        <w:rPr>
          <w:rFonts w:ascii="Arial" w:hAnsi="Arial" w:cs="Arial"/>
        </w:rPr>
        <w:t xml:space="preserve"> infection in BALB/c mice. This control result confirms the infection model and underscores the protective effect of the experimental treatments. The present study shows that soluble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antigen (SLA) in </w:t>
      </w:r>
      <w:r w:rsidRPr="00BC6A2A">
        <w:rPr>
          <w:rFonts w:ascii="Arial" w:hAnsi="Arial" w:cs="Arial"/>
        </w:rPr>
        <w:lastRenderedPageBreak/>
        <w:t xml:space="preserve">combination with </w:t>
      </w:r>
      <w:r w:rsidRPr="00BC6A2A">
        <w:rPr>
          <w:rFonts w:ascii="Arial" w:hAnsi="Arial" w:cs="Arial"/>
          <w:i/>
          <w:iCs/>
        </w:rPr>
        <w:t>C. edulis</w:t>
      </w:r>
      <w:r w:rsidRPr="00BC6A2A">
        <w:rPr>
          <w:rFonts w:ascii="Arial" w:hAnsi="Arial" w:cs="Arial"/>
        </w:rPr>
        <w:t xml:space="preserve"> extract causes a much greater IFN-γ response in BALB/c mice in comparison with the individual agents or the phosphate-buffered saline (PBS) control.</w:t>
      </w:r>
    </w:p>
    <w:p w14:paraId="52033648" w14:textId="20D8FDE2" w:rsidR="00AE1CA3" w:rsidRPr="00BC6A2A" w:rsidRDefault="00AE1CA3" w:rsidP="00AE1CA3">
      <w:pPr>
        <w:pStyle w:val="Body"/>
        <w:rPr>
          <w:rFonts w:ascii="Arial" w:hAnsi="Arial" w:cs="Arial"/>
        </w:rPr>
      </w:pPr>
      <w:r w:rsidRPr="00BC6A2A">
        <w:rPr>
          <w:rFonts w:ascii="Arial" w:hAnsi="Arial" w:cs="Arial"/>
        </w:rPr>
        <w:t xml:space="preserve">The progressive and persistent rise in the levels of IFN-γ to about 300 </w:t>
      </w:r>
      <w:proofErr w:type="spellStart"/>
      <w:r w:rsidRPr="00BC6A2A">
        <w:rPr>
          <w:rFonts w:ascii="Arial" w:hAnsi="Arial" w:cs="Arial"/>
        </w:rPr>
        <w:t>pg</w:t>
      </w:r>
      <w:proofErr w:type="spellEnd"/>
      <w:r w:rsidRPr="00BC6A2A">
        <w:rPr>
          <w:rFonts w:ascii="Arial" w:hAnsi="Arial" w:cs="Arial"/>
        </w:rPr>
        <w:t xml:space="preserve">/mL in week 10 indicates a </w:t>
      </w:r>
      <w:proofErr w:type="spellStart"/>
      <w:r w:rsidRPr="00BC6A2A">
        <w:rPr>
          <w:rFonts w:ascii="Arial" w:hAnsi="Arial" w:cs="Arial"/>
        </w:rPr>
        <w:t>polari</w:t>
      </w:r>
      <w:r w:rsidR="008E4AA9" w:rsidRPr="00BC6A2A">
        <w:rPr>
          <w:rFonts w:ascii="Arial" w:hAnsi="Arial" w:cs="Arial"/>
        </w:rPr>
        <w:t>sed</w:t>
      </w:r>
      <w:proofErr w:type="spellEnd"/>
      <w:r w:rsidR="008E4AA9" w:rsidRPr="00BC6A2A">
        <w:rPr>
          <w:rFonts w:ascii="Arial" w:hAnsi="Arial" w:cs="Arial"/>
        </w:rPr>
        <w:t xml:space="preserve"> Th1-</w:t>
      </w:r>
      <w:r w:rsidRPr="00BC6A2A">
        <w:rPr>
          <w:rFonts w:ascii="Arial" w:hAnsi="Arial" w:cs="Arial"/>
        </w:rPr>
        <w:t xml:space="preserve">type immune response, which is essential in the protection against </w:t>
      </w:r>
      <w:r w:rsidRPr="00BC6A2A">
        <w:rPr>
          <w:rFonts w:ascii="Arial" w:hAnsi="Arial" w:cs="Arial"/>
          <w:i/>
          <w:iCs/>
        </w:rPr>
        <w:t xml:space="preserve">L. </w:t>
      </w:r>
      <w:proofErr w:type="spellStart"/>
      <w:r w:rsidRPr="00BC6A2A">
        <w:rPr>
          <w:rFonts w:ascii="Arial" w:hAnsi="Arial" w:cs="Arial"/>
          <w:i/>
          <w:iCs/>
        </w:rPr>
        <w:t>donovani</w:t>
      </w:r>
      <w:proofErr w:type="spellEnd"/>
      <w:r w:rsidRPr="00BC6A2A">
        <w:rPr>
          <w:rFonts w:ascii="Arial" w:hAnsi="Arial" w:cs="Arial"/>
        </w:rPr>
        <w:t xml:space="preserve">. The role of IFN-γ in leishmaniasis is consistent with this observation. Th1 cells produce IFN-γ, which plays a central role in the activation of macrophages to destroy intracellular </w:t>
      </w:r>
      <w:r w:rsidRPr="00BC6A2A">
        <w:rPr>
          <w:rFonts w:ascii="Arial" w:hAnsi="Arial" w:cs="Arial"/>
          <w:i/>
          <w:iCs/>
        </w:rPr>
        <w:t>Leishmania</w:t>
      </w:r>
      <w:r w:rsidRPr="00BC6A2A">
        <w:rPr>
          <w:rFonts w:ascii="Arial" w:hAnsi="Arial" w:cs="Arial"/>
        </w:rPr>
        <w:t xml:space="preserve"> amastigotes through the production of nitric oxide (Flores-García et al., 2011). Previously, SLA-based vaccines have been demonstrated to induce moderate IFN-γ response and provide partial immunity in mouse models (</w:t>
      </w:r>
      <w:proofErr w:type="spellStart"/>
      <w:r w:rsidRPr="00BC6A2A">
        <w:rPr>
          <w:rFonts w:ascii="Arial" w:hAnsi="Arial" w:cs="Arial"/>
        </w:rPr>
        <w:t>Caras</w:t>
      </w:r>
      <w:proofErr w:type="spellEnd"/>
      <w:r w:rsidRPr="00BC6A2A">
        <w:rPr>
          <w:rFonts w:ascii="Arial" w:hAnsi="Arial" w:cs="Arial"/>
        </w:rPr>
        <w:t xml:space="preserve"> et al., 2025; Chawla et al., 2019). The results of our study support this tendency because the SLA-only group began to show a steady rise in levels of IFN-γ, reaching its maximum at 160 </w:t>
      </w:r>
      <w:proofErr w:type="spellStart"/>
      <w:r w:rsidRPr="00BC6A2A">
        <w:rPr>
          <w:rFonts w:ascii="Arial" w:hAnsi="Arial" w:cs="Arial"/>
        </w:rPr>
        <w:t>pg</w:t>
      </w:r>
      <w:proofErr w:type="spellEnd"/>
      <w:r w:rsidRPr="00BC6A2A">
        <w:rPr>
          <w:rFonts w:ascii="Arial" w:hAnsi="Arial" w:cs="Arial"/>
        </w:rPr>
        <w:t>/</w:t>
      </w:r>
      <w:proofErr w:type="spellStart"/>
      <w:r w:rsidRPr="00BC6A2A">
        <w:rPr>
          <w:rFonts w:ascii="Arial" w:hAnsi="Arial" w:cs="Arial"/>
        </w:rPr>
        <w:t>mL.</w:t>
      </w:r>
      <w:proofErr w:type="spellEnd"/>
    </w:p>
    <w:p w14:paraId="07E58654" w14:textId="2973497E" w:rsidR="00AE1CA3" w:rsidRPr="00BC6A2A" w:rsidRDefault="00AE1CA3" w:rsidP="00AE1CA3">
      <w:pPr>
        <w:pStyle w:val="Body"/>
        <w:rPr>
          <w:rFonts w:ascii="Arial" w:hAnsi="Arial" w:cs="Arial"/>
        </w:rPr>
      </w:pPr>
      <w:r w:rsidRPr="00BC6A2A">
        <w:rPr>
          <w:rFonts w:ascii="Arial" w:hAnsi="Arial" w:cs="Arial"/>
        </w:rPr>
        <w:t xml:space="preserve">It is worth noting that the extract of the </w:t>
      </w:r>
      <w:r w:rsidRPr="00BC6A2A">
        <w:rPr>
          <w:rFonts w:ascii="Arial" w:hAnsi="Arial" w:cs="Arial"/>
          <w:i/>
          <w:iCs/>
        </w:rPr>
        <w:t>C. edulis</w:t>
      </w:r>
      <w:r w:rsidRPr="00BC6A2A">
        <w:rPr>
          <w:rFonts w:ascii="Arial" w:hAnsi="Arial" w:cs="Arial"/>
        </w:rPr>
        <w:t xml:space="preserve"> provided a modest IFN-γ response (around 120 </w:t>
      </w:r>
      <w:proofErr w:type="spellStart"/>
      <w:r w:rsidRPr="00BC6A2A">
        <w:rPr>
          <w:rFonts w:ascii="Arial" w:hAnsi="Arial" w:cs="Arial"/>
        </w:rPr>
        <w:t>pg</w:t>
      </w:r>
      <w:proofErr w:type="spellEnd"/>
      <w:r w:rsidRPr="00BC6A2A">
        <w:rPr>
          <w:rFonts w:ascii="Arial" w:hAnsi="Arial" w:cs="Arial"/>
        </w:rPr>
        <w:t xml:space="preserve">/mL in week 10), but it showed a statistically significant immunostimulatory response. This observation confirms previous ethnopharmacological studies suggesting that </w:t>
      </w:r>
      <w:r w:rsidRPr="00BC6A2A">
        <w:rPr>
          <w:rFonts w:ascii="Arial" w:hAnsi="Arial" w:cs="Arial"/>
          <w:i/>
          <w:iCs/>
        </w:rPr>
        <w:t>C. edulis</w:t>
      </w:r>
      <w:r w:rsidRPr="00BC6A2A">
        <w:rPr>
          <w:rFonts w:ascii="Arial" w:hAnsi="Arial" w:cs="Arial"/>
        </w:rPr>
        <w:t xml:space="preserve"> has immune-modulatory effects (Al-Youssef and Hassan, 2012; </w:t>
      </w:r>
      <w:proofErr w:type="spellStart"/>
      <w:r w:rsidRPr="00BC6A2A">
        <w:rPr>
          <w:rFonts w:ascii="Arial" w:hAnsi="Arial" w:cs="Arial"/>
        </w:rPr>
        <w:t>Muruthi</w:t>
      </w:r>
      <w:proofErr w:type="spellEnd"/>
      <w:r w:rsidRPr="00BC6A2A">
        <w:rPr>
          <w:rFonts w:ascii="Arial" w:hAnsi="Arial" w:cs="Arial"/>
        </w:rPr>
        <w:t xml:space="preserve"> et al., 2023). Nevertheless, the role of the same in anti-leishmanial immunity has not been investigated in</w:t>
      </w:r>
      <w:r w:rsidR="00BB24CE" w:rsidRPr="00BC6A2A">
        <w:rPr>
          <w:rFonts w:ascii="Arial" w:hAnsi="Arial" w:cs="Arial"/>
        </w:rPr>
        <w:t xml:space="preserve"> </w:t>
      </w:r>
      <w:r w:rsidRPr="00BC6A2A">
        <w:rPr>
          <w:rFonts w:ascii="Arial" w:hAnsi="Arial" w:cs="Arial"/>
        </w:rPr>
        <w:t xml:space="preserve">many studies previously. The present study is so far the first report of an experiment to show that, when used as an immunotherapeutic or vaccine adjuvant, </w:t>
      </w:r>
      <w:r w:rsidRPr="00BC6A2A">
        <w:rPr>
          <w:rFonts w:ascii="Arial" w:hAnsi="Arial" w:cs="Arial"/>
          <w:i/>
          <w:iCs/>
        </w:rPr>
        <w:t>C. edulis</w:t>
      </w:r>
      <w:r w:rsidRPr="00BC6A2A">
        <w:rPr>
          <w:rFonts w:ascii="Arial" w:hAnsi="Arial" w:cs="Arial"/>
        </w:rPr>
        <w:t xml:space="preserve"> can increase IFN-γ in vivo.</w:t>
      </w:r>
    </w:p>
    <w:p w14:paraId="0B5EEF01" w14:textId="77777777" w:rsidR="00AE1CA3" w:rsidRPr="00BC6A2A" w:rsidRDefault="00AE1CA3" w:rsidP="00AE1CA3">
      <w:pPr>
        <w:pStyle w:val="Body"/>
        <w:rPr>
          <w:rFonts w:ascii="Arial" w:hAnsi="Arial" w:cs="Arial"/>
        </w:rPr>
      </w:pPr>
      <w:r w:rsidRPr="00BC6A2A">
        <w:rPr>
          <w:rFonts w:ascii="Arial" w:hAnsi="Arial" w:cs="Arial"/>
        </w:rPr>
        <w:t xml:space="preserve">The most pronounced observation refers to the synergistic effect that was observed in the SLA + </w:t>
      </w:r>
      <w:r w:rsidRPr="00BC6A2A">
        <w:rPr>
          <w:rFonts w:ascii="Arial" w:hAnsi="Arial" w:cs="Arial"/>
          <w:i/>
          <w:iCs/>
        </w:rPr>
        <w:t>C. edulis</w:t>
      </w:r>
      <w:r w:rsidRPr="00BC6A2A">
        <w:rPr>
          <w:rFonts w:ascii="Arial" w:hAnsi="Arial" w:cs="Arial"/>
        </w:rPr>
        <w:t xml:space="preserve"> group that demonstrated the highest level of IFN-γ concentration (mean 217.4pg/mL, maximum 300pg/mL). This suggests a high level of immunological synergy between the phytochemical content of SLA and the phytochemical content of </w:t>
      </w:r>
      <w:r w:rsidRPr="00BC6A2A">
        <w:rPr>
          <w:rFonts w:ascii="Arial" w:hAnsi="Arial" w:cs="Arial"/>
          <w:i/>
          <w:iCs/>
        </w:rPr>
        <w:t>C. edulis</w:t>
      </w:r>
      <w:r w:rsidRPr="00BC6A2A">
        <w:rPr>
          <w:rFonts w:ascii="Arial" w:hAnsi="Arial" w:cs="Arial"/>
        </w:rPr>
        <w:t xml:space="preserve">. Although past studies have examined natural adjuvants, including saponins, alum, or </w:t>
      </w:r>
      <w:proofErr w:type="spellStart"/>
      <w:r w:rsidRPr="00BC6A2A">
        <w:rPr>
          <w:rFonts w:ascii="Arial" w:hAnsi="Arial" w:cs="Arial"/>
        </w:rPr>
        <w:t>monophosphoryl</w:t>
      </w:r>
      <w:proofErr w:type="spellEnd"/>
      <w:r w:rsidRPr="00BC6A2A">
        <w:rPr>
          <w:rFonts w:ascii="Arial" w:hAnsi="Arial" w:cs="Arial"/>
        </w:rPr>
        <w:t xml:space="preserve"> lipid A in the leishmanial vaccine (Raman et al., 2012b; </w:t>
      </w:r>
      <w:proofErr w:type="spellStart"/>
      <w:r w:rsidRPr="00BC6A2A">
        <w:rPr>
          <w:rFonts w:ascii="Arial" w:hAnsi="Arial" w:cs="Arial"/>
        </w:rPr>
        <w:t>Sinani</w:t>
      </w:r>
      <w:proofErr w:type="spellEnd"/>
      <w:r w:rsidRPr="00BC6A2A">
        <w:rPr>
          <w:rFonts w:ascii="Arial" w:hAnsi="Arial" w:cs="Arial"/>
        </w:rPr>
        <w:t xml:space="preserve"> and </w:t>
      </w:r>
      <w:proofErr w:type="spellStart"/>
      <w:r w:rsidRPr="00BC6A2A">
        <w:rPr>
          <w:rFonts w:ascii="Arial" w:hAnsi="Arial" w:cs="Arial"/>
        </w:rPr>
        <w:t>Şenel</w:t>
      </w:r>
      <w:proofErr w:type="spellEnd"/>
      <w:r w:rsidRPr="00BC6A2A">
        <w:rPr>
          <w:rFonts w:ascii="Arial" w:hAnsi="Arial" w:cs="Arial"/>
        </w:rPr>
        <w:t xml:space="preserve">, 2025), the use of </w:t>
      </w:r>
      <w:r w:rsidRPr="00BC6A2A">
        <w:rPr>
          <w:rFonts w:ascii="Arial" w:hAnsi="Arial" w:cs="Arial"/>
          <w:i/>
          <w:iCs/>
        </w:rPr>
        <w:t>C. edulis</w:t>
      </w:r>
      <w:r w:rsidRPr="00BC6A2A">
        <w:rPr>
          <w:rFonts w:ascii="Arial" w:hAnsi="Arial" w:cs="Arial"/>
        </w:rPr>
        <w:t xml:space="preserve"> is a new botanical option. The enhanced IFN-γ response in the combination group can be explained by </w:t>
      </w:r>
      <w:proofErr w:type="spellStart"/>
      <w:r w:rsidRPr="00BC6A2A">
        <w:rPr>
          <w:rFonts w:ascii="Arial" w:hAnsi="Arial" w:cs="Arial"/>
        </w:rPr>
        <w:t>immunopotentiating</w:t>
      </w:r>
      <w:proofErr w:type="spellEnd"/>
      <w:r w:rsidRPr="00BC6A2A">
        <w:rPr>
          <w:rFonts w:ascii="Arial" w:hAnsi="Arial" w:cs="Arial"/>
        </w:rPr>
        <w:t xml:space="preserve"> compounds, which are known to regulate the expression of cytokines: flavonoids and triterpenoids (</w:t>
      </w:r>
      <w:proofErr w:type="spellStart"/>
      <w:r w:rsidRPr="00BC6A2A">
        <w:rPr>
          <w:rFonts w:ascii="Arial" w:hAnsi="Arial" w:cs="Arial"/>
        </w:rPr>
        <w:t>Alqathama</w:t>
      </w:r>
      <w:proofErr w:type="spellEnd"/>
      <w:r w:rsidRPr="00BC6A2A">
        <w:rPr>
          <w:rFonts w:ascii="Arial" w:hAnsi="Arial" w:cs="Arial"/>
        </w:rPr>
        <w:t>, 2024).</w:t>
      </w:r>
    </w:p>
    <w:p w14:paraId="5403C375" w14:textId="77777777" w:rsidR="00AE1CA3" w:rsidRPr="00BC6A2A" w:rsidRDefault="00AE1CA3" w:rsidP="00AE1CA3">
      <w:pPr>
        <w:pStyle w:val="Body"/>
        <w:rPr>
          <w:rFonts w:ascii="Arial" w:hAnsi="Arial" w:cs="Arial"/>
        </w:rPr>
      </w:pPr>
      <w:r w:rsidRPr="00BC6A2A">
        <w:rPr>
          <w:rFonts w:ascii="Arial" w:hAnsi="Arial" w:cs="Arial"/>
        </w:rPr>
        <w:t>Our findings agree with research in which the combination of antigens and plant-based immunomodulators improved protective immunity. As an example, a previous study showed that co-administration of Nigella sativa extract with SLA substantially improved the production of IFN-γ and the elimination of parasites in mice (</w:t>
      </w:r>
      <w:proofErr w:type="spellStart"/>
      <w:r w:rsidRPr="00BC6A2A">
        <w:rPr>
          <w:rFonts w:ascii="Arial" w:hAnsi="Arial" w:cs="Arial"/>
        </w:rPr>
        <w:t>Hosseinzade</w:t>
      </w:r>
      <w:proofErr w:type="spellEnd"/>
      <w:r w:rsidRPr="00BC6A2A">
        <w:rPr>
          <w:rFonts w:ascii="Arial" w:hAnsi="Arial" w:cs="Arial"/>
        </w:rPr>
        <w:t xml:space="preserve"> et al., 2019). Likewise, administration of </w:t>
      </w:r>
      <w:proofErr w:type="spellStart"/>
      <w:r w:rsidRPr="00BC6A2A">
        <w:rPr>
          <w:rFonts w:ascii="Arial" w:hAnsi="Arial" w:cs="Arial"/>
          <w:i/>
          <w:iCs/>
        </w:rPr>
        <w:t>Azadirachta</w:t>
      </w:r>
      <w:proofErr w:type="spellEnd"/>
      <w:r w:rsidRPr="00BC6A2A">
        <w:rPr>
          <w:rFonts w:ascii="Arial" w:hAnsi="Arial" w:cs="Arial"/>
          <w:i/>
          <w:iCs/>
        </w:rPr>
        <w:t xml:space="preserve"> </w:t>
      </w:r>
      <w:proofErr w:type="spellStart"/>
      <w:r w:rsidRPr="00BC6A2A">
        <w:rPr>
          <w:rFonts w:ascii="Arial" w:hAnsi="Arial" w:cs="Arial"/>
          <w:i/>
          <w:iCs/>
        </w:rPr>
        <w:t>indica</w:t>
      </w:r>
      <w:proofErr w:type="spellEnd"/>
      <w:r w:rsidRPr="00BC6A2A">
        <w:rPr>
          <w:rFonts w:ascii="Arial" w:hAnsi="Arial" w:cs="Arial"/>
        </w:rPr>
        <w:t xml:space="preserve"> extract has been reported to stimulate Th1 cytokines in concert with recombinant leishmanial proteins (Chouhan et al., 2015). Nevertheless, the scale of the IFN-γ rise in the current study using </w:t>
      </w:r>
      <w:r w:rsidRPr="00BC6A2A">
        <w:rPr>
          <w:rFonts w:ascii="Arial" w:hAnsi="Arial" w:cs="Arial"/>
          <w:i/>
          <w:iCs/>
        </w:rPr>
        <w:t>C. edulis</w:t>
      </w:r>
      <w:r w:rsidRPr="00BC6A2A">
        <w:rPr>
          <w:rFonts w:ascii="Arial" w:hAnsi="Arial" w:cs="Arial"/>
        </w:rPr>
        <w:t xml:space="preserve"> is significantly greater than what has been found in such models, indicating its potential as a new and practical immunological adjuvant.</w:t>
      </w:r>
    </w:p>
    <w:p w14:paraId="34031A70" w14:textId="77777777" w:rsidR="00AE1CA3" w:rsidRPr="00BC6A2A" w:rsidRDefault="00AE1CA3" w:rsidP="00AE1CA3">
      <w:pPr>
        <w:pStyle w:val="Body"/>
        <w:rPr>
          <w:rFonts w:ascii="Arial" w:hAnsi="Arial" w:cs="Arial"/>
        </w:rPr>
      </w:pPr>
      <w:r w:rsidRPr="00BC6A2A">
        <w:rPr>
          <w:rFonts w:ascii="Arial" w:hAnsi="Arial" w:cs="Arial"/>
        </w:rPr>
        <w:t xml:space="preserve">It can be seen in the current study that differences can be identified in the various patterns of IL-10 production in the various treatment groups after 10 weeks. The highest concentration of IL-10 was observed in the group that was in contact with </w:t>
      </w:r>
      <w:r w:rsidRPr="00BC6A2A">
        <w:rPr>
          <w:rFonts w:ascii="Arial" w:hAnsi="Arial" w:cs="Arial"/>
          <w:i/>
          <w:iCs/>
        </w:rPr>
        <w:t>C. edulis</w:t>
      </w:r>
      <w:r w:rsidRPr="00BC6A2A">
        <w:rPr>
          <w:rFonts w:ascii="Arial" w:hAnsi="Arial" w:cs="Arial"/>
        </w:rPr>
        <w:t xml:space="preserve"> extract only, and it increased steadily to about 60 </w:t>
      </w:r>
      <w:proofErr w:type="spellStart"/>
      <w:r w:rsidRPr="00BC6A2A">
        <w:rPr>
          <w:rFonts w:ascii="Arial" w:hAnsi="Arial" w:cs="Arial"/>
        </w:rPr>
        <w:t>pg</w:t>
      </w:r>
      <w:proofErr w:type="spellEnd"/>
      <w:r w:rsidRPr="00BC6A2A">
        <w:rPr>
          <w:rFonts w:ascii="Arial" w:hAnsi="Arial" w:cs="Arial"/>
        </w:rPr>
        <w:t xml:space="preserve"> /ml by week 10. The SLA-only group showed an intermediate increase in IL-10 to about 50 </w:t>
      </w:r>
      <w:proofErr w:type="spellStart"/>
      <w:r w:rsidRPr="00BC6A2A">
        <w:rPr>
          <w:rFonts w:ascii="Arial" w:hAnsi="Arial" w:cs="Arial"/>
        </w:rPr>
        <w:t>pg</w:t>
      </w:r>
      <w:proofErr w:type="spellEnd"/>
      <w:r w:rsidRPr="00BC6A2A">
        <w:rPr>
          <w:rFonts w:ascii="Arial" w:hAnsi="Arial" w:cs="Arial"/>
        </w:rPr>
        <w:t xml:space="preserve">/mL after the study. This </w:t>
      </w:r>
      <w:proofErr w:type="gramStart"/>
      <w:r w:rsidRPr="00BC6A2A">
        <w:rPr>
          <w:rFonts w:ascii="Arial" w:hAnsi="Arial" w:cs="Arial"/>
        </w:rPr>
        <w:t>is in agreement</w:t>
      </w:r>
      <w:proofErr w:type="gramEnd"/>
      <w:r w:rsidRPr="00BC6A2A">
        <w:rPr>
          <w:rFonts w:ascii="Arial" w:hAnsi="Arial" w:cs="Arial"/>
        </w:rPr>
        <w:t xml:space="preserve"> with prior findings that reported that SLA-vaccine could stimulate both pro- and anti-inflammatory cytokines in an immune response cascade (Srivastava et al., 2016a; Sundar and Singh, 2014). The IL-10 we have observed could have been the feedback suppressing inflammation after Th1 activation, which is well documented in models of leishmaniasis.</w:t>
      </w:r>
    </w:p>
    <w:p w14:paraId="761A02FE" w14:textId="77777777" w:rsidR="00AE1CA3" w:rsidRPr="00BC6A2A" w:rsidRDefault="00AE1CA3" w:rsidP="00AE1CA3">
      <w:pPr>
        <w:pStyle w:val="Body"/>
        <w:rPr>
          <w:rFonts w:ascii="Arial" w:hAnsi="Arial" w:cs="Arial"/>
        </w:rPr>
      </w:pPr>
      <w:r w:rsidRPr="00BC6A2A">
        <w:rPr>
          <w:rFonts w:ascii="Arial" w:hAnsi="Arial" w:cs="Arial"/>
        </w:rPr>
        <w:t xml:space="preserve">Interestingly, the combination group (SLA + </w:t>
      </w:r>
      <w:r w:rsidRPr="00BC6A2A">
        <w:rPr>
          <w:rFonts w:ascii="Arial" w:hAnsi="Arial" w:cs="Arial"/>
          <w:i/>
          <w:iCs/>
        </w:rPr>
        <w:t>C. edulis</w:t>
      </w:r>
      <w:r w:rsidRPr="00BC6A2A">
        <w:rPr>
          <w:rFonts w:ascii="Arial" w:hAnsi="Arial" w:cs="Arial"/>
        </w:rPr>
        <w:t xml:space="preserve">) retained rather low levels of IL-10 (35-40 </w:t>
      </w:r>
      <w:proofErr w:type="spellStart"/>
      <w:r w:rsidRPr="00BC6A2A">
        <w:rPr>
          <w:rFonts w:ascii="Arial" w:hAnsi="Arial" w:cs="Arial"/>
        </w:rPr>
        <w:t>pg</w:t>
      </w:r>
      <w:proofErr w:type="spellEnd"/>
      <w:r w:rsidRPr="00BC6A2A">
        <w:rPr>
          <w:rFonts w:ascii="Arial" w:hAnsi="Arial" w:cs="Arial"/>
        </w:rPr>
        <w:t xml:space="preserve">/mL) in comparison with monotherapies. Possibly, this is a regulatory balancing effect, </w:t>
      </w:r>
      <w:r w:rsidRPr="00BC6A2A">
        <w:rPr>
          <w:rFonts w:ascii="Arial" w:hAnsi="Arial" w:cs="Arial"/>
        </w:rPr>
        <w:lastRenderedPageBreak/>
        <w:t>perhaps as a result of a synergistic switch to a Th1- biased immune response, which inhibits the production of IL-10. It is preferable to keep IL-10 low and IFN-γ high whenever it comes to the immunology of vaccines, where the activation of macrophages is desirable in addition to their ability to roll out parasites (</w:t>
      </w:r>
      <w:proofErr w:type="spellStart"/>
      <w:r w:rsidRPr="00BC6A2A">
        <w:rPr>
          <w:rFonts w:ascii="Arial" w:hAnsi="Arial" w:cs="Arial"/>
        </w:rPr>
        <w:t>Maksoud</w:t>
      </w:r>
      <w:proofErr w:type="spellEnd"/>
      <w:r w:rsidRPr="00BC6A2A">
        <w:rPr>
          <w:rFonts w:ascii="Arial" w:hAnsi="Arial" w:cs="Arial"/>
        </w:rPr>
        <w:t xml:space="preserve"> and El </w:t>
      </w:r>
      <w:proofErr w:type="spellStart"/>
      <w:r w:rsidRPr="00BC6A2A">
        <w:rPr>
          <w:rFonts w:ascii="Arial" w:hAnsi="Arial" w:cs="Arial"/>
        </w:rPr>
        <w:t>Hokayem</w:t>
      </w:r>
      <w:proofErr w:type="spellEnd"/>
      <w:r w:rsidRPr="00BC6A2A">
        <w:rPr>
          <w:rFonts w:ascii="Arial" w:hAnsi="Arial" w:cs="Arial"/>
        </w:rPr>
        <w:t xml:space="preserve">, 2023). The much lower IL-10 in the combination group might, therefore, be a superior immune spectrum to resist L. </w:t>
      </w:r>
      <w:proofErr w:type="spellStart"/>
      <w:r w:rsidRPr="00BC6A2A">
        <w:rPr>
          <w:rFonts w:ascii="Arial" w:hAnsi="Arial" w:cs="Arial"/>
        </w:rPr>
        <w:t>donovani</w:t>
      </w:r>
      <w:proofErr w:type="spellEnd"/>
      <w:r w:rsidRPr="00BC6A2A">
        <w:rPr>
          <w:rFonts w:ascii="Arial" w:hAnsi="Arial" w:cs="Arial"/>
        </w:rPr>
        <w:t>.</w:t>
      </w:r>
    </w:p>
    <w:p w14:paraId="5EF1AEFA" w14:textId="77777777" w:rsidR="00AE1CA3" w:rsidRPr="00BC6A2A" w:rsidRDefault="00AE1CA3" w:rsidP="00AE1CA3">
      <w:pPr>
        <w:pStyle w:val="Body"/>
        <w:rPr>
          <w:rFonts w:ascii="Arial" w:hAnsi="Arial" w:cs="Arial"/>
        </w:rPr>
      </w:pPr>
      <w:r w:rsidRPr="00BC6A2A">
        <w:rPr>
          <w:rFonts w:ascii="Arial" w:hAnsi="Arial" w:cs="Arial"/>
        </w:rPr>
        <w:t xml:space="preserve">The most notable and new detail of this experiment is the clear cytokine balance obtained with an SLA + </w:t>
      </w:r>
      <w:r w:rsidRPr="00BC6A2A">
        <w:rPr>
          <w:rFonts w:ascii="Arial" w:hAnsi="Arial" w:cs="Arial"/>
          <w:i/>
          <w:iCs/>
        </w:rPr>
        <w:t>C. edulis</w:t>
      </w:r>
      <w:r w:rsidRPr="00BC6A2A">
        <w:rPr>
          <w:rFonts w:ascii="Arial" w:hAnsi="Arial" w:cs="Arial"/>
        </w:rPr>
        <w:t xml:space="preserve">. Not only were the highest levels of IFN-γ induced, but the levels of IL-10 produced during this group were comparatively low, so that the ratio of IFN-γ to IL-10 is high. This Th1-type profile with a low degree of regulatory suppression is typical of a protective immune response against the parasite </w:t>
      </w:r>
      <w:r w:rsidRPr="00BC6A2A">
        <w:rPr>
          <w:rFonts w:ascii="Arial" w:hAnsi="Arial" w:cs="Arial"/>
          <w:i/>
          <w:iCs/>
        </w:rPr>
        <w:t xml:space="preserve">Leishmania </w:t>
      </w:r>
      <w:proofErr w:type="spellStart"/>
      <w:r w:rsidRPr="00BC6A2A">
        <w:rPr>
          <w:rFonts w:ascii="Arial" w:hAnsi="Arial" w:cs="Arial"/>
          <w:i/>
          <w:iCs/>
        </w:rPr>
        <w:t>donovani</w:t>
      </w:r>
      <w:proofErr w:type="spellEnd"/>
      <w:r w:rsidRPr="00BC6A2A">
        <w:rPr>
          <w:rFonts w:ascii="Arial" w:hAnsi="Arial" w:cs="Arial"/>
        </w:rPr>
        <w:t xml:space="preserve"> and correlates with successful resistance to the disease. Thus, in the case of murine models, the successful vaccine candidates usually exhibit high levels of IFN-γ coupled with subdued IL-10 responses (Del Río et al., 2024). By contrast, the </w:t>
      </w:r>
      <w:r w:rsidRPr="00BC6A2A">
        <w:rPr>
          <w:rFonts w:ascii="Arial" w:hAnsi="Arial" w:cs="Arial"/>
          <w:i/>
          <w:iCs/>
        </w:rPr>
        <w:t>C. edulis</w:t>
      </w:r>
      <w:r w:rsidRPr="00BC6A2A">
        <w:rPr>
          <w:rFonts w:ascii="Arial" w:hAnsi="Arial" w:cs="Arial"/>
        </w:rPr>
        <w:t xml:space="preserve">- alone group, though immunostimulatory in a sense, may stimulate an immunoregulatory or tolerogenic phenotype, with a high level of IL-10, which can restrain </w:t>
      </w:r>
      <w:proofErr w:type="spellStart"/>
      <w:r w:rsidRPr="00BC6A2A">
        <w:rPr>
          <w:rFonts w:ascii="Arial" w:hAnsi="Arial" w:cs="Arial"/>
        </w:rPr>
        <w:t>immunoprotective</w:t>
      </w:r>
      <w:proofErr w:type="spellEnd"/>
      <w:r w:rsidRPr="00BC6A2A">
        <w:rPr>
          <w:rFonts w:ascii="Arial" w:hAnsi="Arial" w:cs="Arial"/>
        </w:rPr>
        <w:t xml:space="preserve"> action as a monotherapy. Likewise, SLA triggered IFN-γ and IL-10 by itself, which demonstrated the activation of immunity to some extent, with the regulation returning.</w:t>
      </w:r>
    </w:p>
    <w:p w14:paraId="403CCACA" w14:textId="46D7384C" w:rsidR="00AE1CA3" w:rsidRPr="00BC6A2A" w:rsidRDefault="00AE1CA3" w:rsidP="00AE1CA3">
      <w:pPr>
        <w:pStyle w:val="Body"/>
        <w:rPr>
          <w:rFonts w:ascii="Arial" w:hAnsi="Arial" w:cs="Arial"/>
        </w:rPr>
      </w:pPr>
      <w:r w:rsidRPr="00BC6A2A">
        <w:rPr>
          <w:rFonts w:ascii="Arial" w:hAnsi="Arial" w:cs="Arial"/>
        </w:rPr>
        <w:t xml:space="preserve"> The gradual and progressive increase in antibody titers over the 10-week experiment represents a synergistic activity between SLA and </w:t>
      </w:r>
      <w:r w:rsidRPr="00BC6A2A">
        <w:rPr>
          <w:rFonts w:ascii="Arial" w:hAnsi="Arial" w:cs="Arial"/>
          <w:i/>
          <w:iCs/>
        </w:rPr>
        <w:t>C. edulis</w:t>
      </w:r>
      <w:r w:rsidRPr="00BC6A2A">
        <w:rPr>
          <w:rFonts w:ascii="Arial" w:hAnsi="Arial" w:cs="Arial"/>
        </w:rPr>
        <w:t xml:space="preserve"> to improve B cell activation and resultant production of antibodies. This fact correlates with the fact that effective vaccine preparations must induce not only a robust cellular (Th1-type) response, but also a complementary humoral response, particularly against the extracellular promastigote stage and in early infection (Srivastava et al., 2016b). The elevated IgG level in the combination group could be explained by the adjuvant effects of phytochemicals present in </w:t>
      </w:r>
      <w:r w:rsidRPr="00BC6A2A">
        <w:rPr>
          <w:rFonts w:ascii="Arial" w:hAnsi="Arial" w:cs="Arial"/>
          <w:i/>
          <w:iCs/>
        </w:rPr>
        <w:t>C. edulis</w:t>
      </w:r>
      <w:r w:rsidRPr="00BC6A2A">
        <w:rPr>
          <w:rFonts w:ascii="Arial" w:hAnsi="Arial" w:cs="Arial"/>
        </w:rPr>
        <w:t xml:space="preserve"> that may increase the level of antigen presentation and the activation of T- helpers, stimulating the growth and differentiation of B-cells (Joshi et al., 2014; Oliveira et al., 2024).</w:t>
      </w:r>
    </w:p>
    <w:p w14:paraId="773C85B7" w14:textId="77777777" w:rsidR="00AE1CA3" w:rsidRPr="00BC6A2A" w:rsidRDefault="00AE1CA3" w:rsidP="00AE1CA3">
      <w:pPr>
        <w:pStyle w:val="Body"/>
        <w:rPr>
          <w:rFonts w:ascii="Arial" w:hAnsi="Arial" w:cs="Arial"/>
        </w:rPr>
      </w:pPr>
      <w:r w:rsidRPr="00BC6A2A">
        <w:rPr>
          <w:rFonts w:ascii="Arial" w:hAnsi="Arial" w:cs="Arial"/>
        </w:rPr>
        <w:t xml:space="preserve">The production of IgG alone in response to SLA only was moderately but significantly greater than baseline (mean = 1.362 mg/mL; p = 0.0158), reaching about 2 mg/mL by week 10. This correlates with previous research that demonstrated SLA, though immunogenic, must have an adjuvant to prime the production of optimal </w:t>
      </w:r>
      <w:proofErr w:type="spellStart"/>
      <w:r w:rsidRPr="00BC6A2A">
        <w:rPr>
          <w:rFonts w:ascii="Arial" w:hAnsi="Arial" w:cs="Arial"/>
        </w:rPr>
        <w:t>humour</w:t>
      </w:r>
      <w:proofErr w:type="spellEnd"/>
      <w:r w:rsidRPr="00BC6A2A">
        <w:rPr>
          <w:rFonts w:ascii="Arial" w:hAnsi="Arial" w:cs="Arial"/>
        </w:rPr>
        <w:t xml:space="preserve"> (Lopes et al., 2021; Raman et al., 2012a). The results confirm the inherent immunostimulatory capabilities of SLA, but do not warrant any with respect to the induction of potent IgG reactions on its own.</w:t>
      </w:r>
    </w:p>
    <w:p w14:paraId="67E2B19E" w14:textId="77777777" w:rsidR="00AE1CA3" w:rsidRPr="00BC6A2A" w:rsidRDefault="00AE1CA3" w:rsidP="00AE1CA3">
      <w:pPr>
        <w:pStyle w:val="Body"/>
        <w:rPr>
          <w:rFonts w:ascii="Arial" w:hAnsi="Arial" w:cs="Arial"/>
        </w:rPr>
      </w:pPr>
      <w:r w:rsidRPr="00BC6A2A">
        <w:rPr>
          <w:rFonts w:ascii="Arial" w:hAnsi="Arial" w:cs="Arial"/>
        </w:rPr>
        <w:t xml:space="preserve">The SLA monotherapy, as well as the SLA + </w:t>
      </w:r>
      <w:r w:rsidRPr="00BC6A2A">
        <w:rPr>
          <w:rFonts w:ascii="Arial" w:hAnsi="Arial" w:cs="Arial"/>
          <w:i/>
          <w:iCs/>
        </w:rPr>
        <w:t>C. edulis</w:t>
      </w:r>
      <w:r w:rsidRPr="00BC6A2A">
        <w:rPr>
          <w:rFonts w:ascii="Arial" w:hAnsi="Arial" w:cs="Arial"/>
        </w:rPr>
        <w:t xml:space="preserve"> combination, showed almost the same trajectories of IgG1 with a peak of around 1.7 mg/mL over a period of one week and averages of 1.062 and 1.202 mg/mL, respectively. These findings demonstrate that SLA was the leading cause of IgG1 follow-up, and the immunomodulator </w:t>
      </w:r>
      <w:r w:rsidRPr="00BC6A2A">
        <w:rPr>
          <w:rFonts w:ascii="Arial" w:hAnsi="Arial" w:cs="Arial"/>
          <w:i/>
          <w:iCs/>
        </w:rPr>
        <w:t>C. edulis</w:t>
      </w:r>
      <w:r w:rsidRPr="00BC6A2A">
        <w:rPr>
          <w:rFonts w:ascii="Arial" w:hAnsi="Arial" w:cs="Arial"/>
        </w:rPr>
        <w:t xml:space="preserve"> does not considerably affect the Th2-type humoral pattern evaluated as IgG1 only. This result is in contrast to total IgG patterns, where combination therapy resulted in much greater overall antibody titers, implying that the exponential effect of SLA + </w:t>
      </w:r>
      <w:r w:rsidRPr="00BC6A2A">
        <w:rPr>
          <w:rFonts w:ascii="Arial" w:hAnsi="Arial" w:cs="Arial"/>
          <w:i/>
          <w:iCs/>
        </w:rPr>
        <w:t>C. edulis</w:t>
      </w:r>
      <w:r w:rsidRPr="00BC6A2A">
        <w:rPr>
          <w:rFonts w:ascii="Arial" w:hAnsi="Arial" w:cs="Arial"/>
        </w:rPr>
        <w:t xml:space="preserve"> appears to occur exclusively through non-IgG1 isotypes.</w:t>
      </w:r>
    </w:p>
    <w:p w14:paraId="6333D59E" w14:textId="24B591B3" w:rsidR="00AE1CA3" w:rsidRPr="00BC6A2A" w:rsidRDefault="00AE1CA3" w:rsidP="00AE1CA3">
      <w:pPr>
        <w:pStyle w:val="Body"/>
        <w:rPr>
          <w:rFonts w:ascii="Arial" w:hAnsi="Arial" w:cs="Arial"/>
        </w:rPr>
      </w:pPr>
      <w:r w:rsidRPr="00BC6A2A">
        <w:rPr>
          <w:rFonts w:ascii="Arial" w:hAnsi="Arial" w:cs="Arial"/>
        </w:rPr>
        <w:t xml:space="preserve">It is expected that, given the historic SLA data of balanced responses in Th1/Th2 in the absence of adjuvant activation, the observed IgG1 responses can be </w:t>
      </w:r>
      <w:proofErr w:type="spellStart"/>
      <w:r w:rsidR="008E4AA9" w:rsidRPr="00BC6A2A">
        <w:rPr>
          <w:rFonts w:ascii="Arial" w:hAnsi="Arial" w:cs="Arial"/>
        </w:rPr>
        <w:t>characterised</w:t>
      </w:r>
      <w:proofErr w:type="spellEnd"/>
      <w:r w:rsidR="008E4AA9" w:rsidRPr="00BC6A2A">
        <w:rPr>
          <w:rFonts w:ascii="Arial" w:hAnsi="Arial" w:cs="Arial"/>
        </w:rPr>
        <w:t xml:space="preserve"> </w:t>
      </w:r>
      <w:r w:rsidRPr="00BC6A2A">
        <w:rPr>
          <w:rFonts w:ascii="Arial" w:hAnsi="Arial" w:cs="Arial"/>
        </w:rPr>
        <w:t>as balanced reactions (Lopes et al., 2021; Raman et al., 2012a). SLA may elicit a mixed immune response in the absence of a robust Th1-biased adjuvant, which explains the intermediate induction of IgG1.</w:t>
      </w:r>
      <w:r w:rsidR="00BB24CE" w:rsidRPr="00BC6A2A">
        <w:rPr>
          <w:rFonts w:ascii="Arial" w:hAnsi="Arial" w:cs="Arial"/>
        </w:rPr>
        <w:t xml:space="preserve"> </w:t>
      </w:r>
      <w:r w:rsidRPr="00BC6A2A">
        <w:rPr>
          <w:rFonts w:ascii="Arial" w:hAnsi="Arial" w:cs="Arial"/>
        </w:rPr>
        <w:t xml:space="preserve">The group that received </w:t>
      </w:r>
      <w:r w:rsidRPr="00BC6A2A">
        <w:rPr>
          <w:rFonts w:ascii="Arial" w:hAnsi="Arial" w:cs="Arial"/>
          <w:i/>
          <w:iCs/>
        </w:rPr>
        <w:t>C. edulis</w:t>
      </w:r>
      <w:r w:rsidRPr="00BC6A2A">
        <w:rPr>
          <w:rFonts w:ascii="Arial" w:hAnsi="Arial" w:cs="Arial"/>
        </w:rPr>
        <w:t xml:space="preserve"> extract alone did not show significant changes in the level of IgG1, but additional titers were about 0.8 mg/mL (mean: 0.5080 mg/mL, p = 0.0082). This small IgG1 result, albeit statistically significant relative to baseline, confirms the finding that </w:t>
      </w:r>
      <w:r w:rsidRPr="00BC6A2A">
        <w:rPr>
          <w:rFonts w:ascii="Arial" w:hAnsi="Arial" w:cs="Arial"/>
          <w:i/>
          <w:iCs/>
        </w:rPr>
        <w:t>C. edulis</w:t>
      </w:r>
      <w:r w:rsidRPr="00BC6A2A">
        <w:rPr>
          <w:rFonts w:ascii="Arial" w:hAnsi="Arial" w:cs="Arial"/>
        </w:rPr>
        <w:t xml:space="preserve"> has little ability to activate robust humoral immunity on its own. These </w:t>
      </w:r>
      <w:r w:rsidRPr="00BC6A2A">
        <w:rPr>
          <w:rFonts w:ascii="Arial" w:hAnsi="Arial" w:cs="Arial"/>
        </w:rPr>
        <w:lastRenderedPageBreak/>
        <w:t xml:space="preserve">findings can be compared to the previous results because </w:t>
      </w:r>
      <w:r w:rsidRPr="00BC6A2A">
        <w:rPr>
          <w:rFonts w:ascii="Arial" w:hAnsi="Arial" w:cs="Arial"/>
          <w:i/>
          <w:iCs/>
        </w:rPr>
        <w:t>C. edulis</w:t>
      </w:r>
      <w:r w:rsidRPr="00BC6A2A">
        <w:rPr>
          <w:rFonts w:ascii="Arial" w:hAnsi="Arial" w:cs="Arial"/>
        </w:rPr>
        <w:t xml:space="preserve"> alone causes low total IgG and low levels of IFN-γ, which supports a weakly antigenic appearance in immune responses unless combined with an antigen.</w:t>
      </w:r>
    </w:p>
    <w:p w14:paraId="4B028299" w14:textId="77777777" w:rsidR="00AE1CA3" w:rsidRPr="00BC6A2A" w:rsidRDefault="00AE1CA3" w:rsidP="00AE1CA3">
      <w:pPr>
        <w:pStyle w:val="Body"/>
        <w:rPr>
          <w:rFonts w:ascii="Arial" w:hAnsi="Arial" w:cs="Arial"/>
        </w:rPr>
      </w:pPr>
    </w:p>
    <w:p w14:paraId="1CC648B4" w14:textId="77777777" w:rsidR="008B521B" w:rsidRPr="00BC6A2A" w:rsidRDefault="008B521B" w:rsidP="00441B6F">
      <w:pPr>
        <w:pStyle w:val="Body"/>
        <w:spacing w:after="0"/>
        <w:rPr>
          <w:rFonts w:ascii="Arial" w:hAnsi="Arial" w:cs="Arial"/>
        </w:rPr>
      </w:pPr>
    </w:p>
    <w:p w14:paraId="474D2BDB" w14:textId="05C781E4" w:rsidR="00B01FCD" w:rsidRPr="00BC6A2A" w:rsidRDefault="00BB24CE" w:rsidP="00441B6F">
      <w:pPr>
        <w:pStyle w:val="ConcHead"/>
        <w:spacing w:after="0"/>
        <w:jc w:val="both"/>
        <w:rPr>
          <w:rFonts w:ascii="Arial" w:hAnsi="Arial" w:cs="Arial"/>
        </w:rPr>
      </w:pPr>
      <w:r w:rsidRPr="00BC6A2A">
        <w:rPr>
          <w:rFonts w:ascii="Arial" w:hAnsi="Arial" w:cs="Arial"/>
        </w:rPr>
        <w:t>5</w:t>
      </w:r>
      <w:r w:rsidR="00000F8F" w:rsidRPr="00BC6A2A">
        <w:rPr>
          <w:rFonts w:ascii="Arial" w:hAnsi="Arial" w:cs="Arial"/>
        </w:rPr>
        <w:t xml:space="preserve">. </w:t>
      </w:r>
      <w:r w:rsidR="00B01FCD" w:rsidRPr="00BC6A2A">
        <w:rPr>
          <w:rFonts w:ascii="Arial" w:hAnsi="Arial" w:cs="Arial"/>
        </w:rPr>
        <w:t>Conclusion</w:t>
      </w:r>
    </w:p>
    <w:p w14:paraId="769859E8" w14:textId="77777777" w:rsidR="00790ADA" w:rsidRPr="00BC6A2A" w:rsidRDefault="00790ADA" w:rsidP="00441B6F">
      <w:pPr>
        <w:pStyle w:val="ConcHead"/>
        <w:spacing w:after="0"/>
        <w:jc w:val="both"/>
        <w:rPr>
          <w:rFonts w:ascii="Arial" w:hAnsi="Arial" w:cs="Arial"/>
        </w:rPr>
      </w:pPr>
    </w:p>
    <w:p w14:paraId="0D5DE468" w14:textId="64A33B4B" w:rsidR="00790ADA" w:rsidRPr="00BC6A2A" w:rsidRDefault="00880E19" w:rsidP="00880E19">
      <w:pPr>
        <w:pStyle w:val="Body"/>
        <w:rPr>
          <w:rFonts w:ascii="Arial" w:hAnsi="Arial" w:cs="Arial"/>
        </w:rPr>
      </w:pPr>
      <w:r w:rsidRPr="00BC6A2A">
        <w:rPr>
          <w:rFonts w:ascii="Arial" w:hAnsi="Arial" w:cs="Arial"/>
        </w:rPr>
        <w:t xml:space="preserve">The results of the present study must be framed within this safety paradigm, </w:t>
      </w:r>
      <w:proofErr w:type="spellStart"/>
      <w:r w:rsidR="008E4AA9" w:rsidRPr="00BC6A2A">
        <w:rPr>
          <w:rFonts w:ascii="Arial" w:hAnsi="Arial" w:cs="Arial"/>
        </w:rPr>
        <w:t>recognising</w:t>
      </w:r>
      <w:proofErr w:type="spellEnd"/>
      <w:r w:rsidR="008E4AA9" w:rsidRPr="00BC6A2A">
        <w:rPr>
          <w:rFonts w:ascii="Arial" w:hAnsi="Arial" w:cs="Arial"/>
        </w:rPr>
        <w:t xml:space="preserve"> </w:t>
      </w:r>
      <w:r w:rsidRPr="00BC6A2A">
        <w:rPr>
          <w:rFonts w:ascii="Arial" w:hAnsi="Arial" w:cs="Arial"/>
        </w:rPr>
        <w:t>simultaneously the possible therapeutic value and the strict safety assessment that occurs in any prospective development route. This experiment reported the largest amounts of IFN-γ and IgG2a</w:t>
      </w:r>
      <w:r w:rsidR="008E4AA9" w:rsidRPr="00BC6A2A">
        <w:rPr>
          <w:rFonts w:ascii="Arial" w:hAnsi="Arial" w:cs="Arial"/>
        </w:rPr>
        <w:t>,</w:t>
      </w:r>
      <w:r w:rsidRPr="00BC6A2A">
        <w:rPr>
          <w:rFonts w:ascii="Arial" w:hAnsi="Arial" w:cs="Arial"/>
        </w:rPr>
        <w:t xml:space="preserve"> indicators of Th1-type immunity</w:t>
      </w:r>
      <w:r w:rsidR="008E4AA9" w:rsidRPr="00BC6A2A">
        <w:rPr>
          <w:rFonts w:ascii="Arial" w:hAnsi="Arial" w:cs="Arial"/>
        </w:rPr>
        <w:t>,</w:t>
      </w:r>
      <w:r w:rsidRPr="00BC6A2A">
        <w:rPr>
          <w:rFonts w:ascii="Arial" w:hAnsi="Arial" w:cs="Arial"/>
        </w:rPr>
        <w:t xml:space="preserve"> which indicates that concomitant treatment with SLA and </w:t>
      </w:r>
      <w:r w:rsidRPr="00BC6A2A">
        <w:rPr>
          <w:rFonts w:ascii="Arial" w:hAnsi="Arial" w:cs="Arial"/>
          <w:i/>
          <w:iCs/>
        </w:rPr>
        <w:t>C. edulis</w:t>
      </w:r>
      <w:r w:rsidRPr="00BC6A2A">
        <w:rPr>
          <w:rFonts w:ascii="Arial" w:hAnsi="Arial" w:cs="Arial"/>
        </w:rPr>
        <w:t xml:space="preserve"> stimulates cell-mediated immunity in a strong manner needed to fight the parasites. In both SLA and combination groups, IgG1 levels indicated that SLA causes a Th2-related antibody response despite adjuvant pairing. Nevertheless, the high IgG2a with decreased IgG1 on the combination lot was biased towards a protective Th1 reaction. Comparatively lower levels of IL-10 in the SLA + C. edulis group were associated with increased levels of parasite control, demonstrating the importance of regulating anti-inflammatory cytokines in the establishment of immunity. The high immunogenicity and effectiveness of the combination therapy against parasites warrant the progression of the combination therapy to further preclinical trials and more extended follow-up.</w:t>
      </w:r>
    </w:p>
    <w:p w14:paraId="0132564D" w14:textId="77777777" w:rsidR="00051150" w:rsidRPr="00BC6A2A" w:rsidRDefault="00051150" w:rsidP="00051150">
      <w:pPr>
        <w:rPr>
          <w:rFonts w:ascii="Arial" w:hAnsi="Arial" w:cs="Arial"/>
        </w:rPr>
      </w:pPr>
    </w:p>
    <w:p w14:paraId="4F12070E" w14:textId="77777777" w:rsidR="00051150" w:rsidRPr="00BC6A2A" w:rsidRDefault="00051150" w:rsidP="00051150">
      <w:pPr>
        <w:rPr>
          <w:rFonts w:ascii="Arial" w:hAnsi="Arial" w:cs="Arial"/>
        </w:rPr>
      </w:pPr>
    </w:p>
    <w:p w14:paraId="1FDDF5CB" w14:textId="5B5C07B7" w:rsidR="005C784C" w:rsidRPr="00BC6A2A" w:rsidRDefault="005C784C" w:rsidP="00441B6F">
      <w:pPr>
        <w:pStyle w:val="ReferHead"/>
        <w:spacing w:after="0"/>
        <w:jc w:val="both"/>
        <w:rPr>
          <w:rFonts w:ascii="Arial" w:hAnsi="Arial" w:cs="Arial"/>
          <w:bCs/>
        </w:rPr>
      </w:pPr>
      <w:r w:rsidRPr="00BC6A2A">
        <w:rPr>
          <w:rFonts w:ascii="Arial" w:hAnsi="Arial" w:cs="Arial"/>
          <w:bCs/>
        </w:rPr>
        <w:t>Ethical approval</w:t>
      </w:r>
    </w:p>
    <w:p w14:paraId="212B217F" w14:textId="77777777" w:rsidR="005C784C" w:rsidRPr="00BC6A2A" w:rsidRDefault="005C784C" w:rsidP="00441B6F">
      <w:pPr>
        <w:pStyle w:val="ReferHead"/>
        <w:spacing w:after="0"/>
        <w:jc w:val="both"/>
        <w:rPr>
          <w:rFonts w:ascii="Arial" w:hAnsi="Arial" w:cs="Arial"/>
          <w:bCs/>
        </w:rPr>
      </w:pPr>
    </w:p>
    <w:p w14:paraId="6C17ADE4" w14:textId="6526A015" w:rsidR="00860000" w:rsidRPr="00BC6A2A" w:rsidRDefault="00CB47B8" w:rsidP="00CB47B8">
      <w:pPr>
        <w:jc w:val="both"/>
      </w:pPr>
      <w:r w:rsidRPr="00BC6A2A">
        <w:t xml:space="preserve">All animal procedures were conducted in accordance with the National Institutes of Health Guide for the Care and Use of Laboratory Animals and applicable national regulations. The study protocol was approved by the Institutional Animal Care and Use Committee (IACUC) of Kenyatta University, Nairobi, Kenya. All efforts were made to </w:t>
      </w:r>
      <w:proofErr w:type="spellStart"/>
      <w:r w:rsidR="008E4AA9" w:rsidRPr="00BC6A2A">
        <w:t>minimise</w:t>
      </w:r>
      <w:proofErr w:type="spellEnd"/>
      <w:r w:rsidR="008E4AA9" w:rsidRPr="00BC6A2A">
        <w:t xml:space="preserve"> </w:t>
      </w:r>
      <w:r w:rsidRPr="00BC6A2A">
        <w:t>animal suffering.</w:t>
      </w:r>
    </w:p>
    <w:p w14:paraId="076E7B6E" w14:textId="3481F0A6" w:rsidR="00ED6D2D" w:rsidRPr="00BC6A2A" w:rsidRDefault="00ED6D2D" w:rsidP="00CB47B8">
      <w:pPr>
        <w:jc w:val="both"/>
      </w:pPr>
    </w:p>
    <w:p w14:paraId="4979E3D6" w14:textId="77777777" w:rsidR="00ED6D2D" w:rsidRPr="00BC6A2A" w:rsidRDefault="00ED6D2D" w:rsidP="00ED6D2D">
      <w:pPr>
        <w:jc w:val="both"/>
        <w:rPr>
          <w:b/>
        </w:rPr>
      </w:pPr>
      <w:r w:rsidRPr="00BC6A2A">
        <w:rPr>
          <w:b/>
        </w:rPr>
        <w:t>Disclaimer</w:t>
      </w:r>
    </w:p>
    <w:p w14:paraId="3252A0C4" w14:textId="15D83ECA" w:rsidR="00ED6D2D" w:rsidRPr="00BC6A2A" w:rsidRDefault="00ED6D2D" w:rsidP="00ED6D2D">
      <w:pPr>
        <w:jc w:val="both"/>
      </w:pPr>
      <w:r w:rsidRPr="00BC6A2A">
        <w:t>This paper is an extended version of a preprint document of the same author.</w:t>
      </w:r>
      <w:r w:rsidR="008F6B79" w:rsidRPr="00BC6A2A">
        <w:t xml:space="preserve"> </w:t>
      </w:r>
      <w:r w:rsidRPr="00BC6A2A">
        <w:t xml:space="preserve">The preprint document is available </w:t>
      </w:r>
      <w:r w:rsidR="00670FDB" w:rsidRPr="00BC6A2A">
        <w:t xml:space="preserve">at </w:t>
      </w:r>
      <w:r w:rsidRPr="00BC6A2A">
        <w:t xml:space="preserve">this link: </w:t>
      </w:r>
      <w:hyperlink r:id="rId26" w:history="1">
        <w:r w:rsidR="007D4847" w:rsidRPr="00BC6A2A">
          <w:rPr>
            <w:rStyle w:val="Hyperlink"/>
          </w:rPr>
          <w:t>https://www.researchsquare.com/article/rs-7692689/v1</w:t>
        </w:r>
      </w:hyperlink>
    </w:p>
    <w:p w14:paraId="03B29755" w14:textId="77777777" w:rsidR="007D4847" w:rsidRPr="00BC6A2A" w:rsidRDefault="007D4847" w:rsidP="00ED6D2D">
      <w:pPr>
        <w:jc w:val="both"/>
      </w:pPr>
    </w:p>
    <w:p w14:paraId="77F9D7EC" w14:textId="66F08EB2" w:rsidR="00ED6D2D" w:rsidRPr="00BC6A2A" w:rsidRDefault="00ED6D2D" w:rsidP="00ED6D2D">
      <w:pPr>
        <w:jc w:val="both"/>
      </w:pPr>
      <w:r w:rsidRPr="00BC6A2A">
        <w:t xml:space="preserve">[As per journal policy, </w:t>
      </w:r>
      <w:r w:rsidR="00670FDB" w:rsidRPr="00BC6A2A">
        <w:t xml:space="preserve">a </w:t>
      </w:r>
      <w:r w:rsidRPr="00BC6A2A">
        <w:t>preprint article can be published as a journal article, provided it is not published in any other journal]</w:t>
      </w:r>
    </w:p>
    <w:p w14:paraId="0A675DEB" w14:textId="77777777" w:rsidR="007D4847" w:rsidRPr="00BC6A2A" w:rsidRDefault="007D4847" w:rsidP="00ED6D2D">
      <w:pPr>
        <w:jc w:val="both"/>
      </w:pPr>
    </w:p>
    <w:p w14:paraId="60C32B55" w14:textId="77777777" w:rsidR="00591BE6" w:rsidRPr="00BC6A2A" w:rsidRDefault="00591BE6" w:rsidP="00CB47B8">
      <w:pPr>
        <w:jc w:val="both"/>
      </w:pPr>
    </w:p>
    <w:p w14:paraId="62DE3198" w14:textId="77777777" w:rsidR="00591BE6" w:rsidRPr="00BC6A2A" w:rsidRDefault="00591BE6" w:rsidP="00591BE6">
      <w:pPr>
        <w:keepNext/>
        <w:keepLines/>
        <w:spacing w:before="120" w:after="120" w:line="360" w:lineRule="auto"/>
        <w:jc w:val="both"/>
        <w:outlineLvl w:val="1"/>
        <w:rPr>
          <w:rFonts w:ascii="Times New Roman" w:hAnsi="Times New Roman"/>
          <w:bCs/>
          <w:sz w:val="24"/>
          <w:szCs w:val="24"/>
          <w:lang w:val="en-GB" w:eastAsia="en-IN"/>
        </w:rPr>
      </w:pPr>
      <w:bookmarkStart w:id="2" w:name="_Hlk218867759"/>
      <w:r w:rsidRPr="00BC6A2A">
        <w:rPr>
          <w:rFonts w:ascii="Times New Roman" w:hAnsi="Times New Roman"/>
          <w:bCs/>
          <w:sz w:val="24"/>
          <w:szCs w:val="24"/>
          <w:lang w:val="en-GB" w:eastAsia="en-IN"/>
        </w:rPr>
        <w:t>Disclaimer (Artificial intelligence)</w:t>
      </w:r>
    </w:p>
    <w:p w14:paraId="01218178" w14:textId="77777777" w:rsidR="00591BE6" w:rsidRPr="00BC6A2A" w:rsidRDefault="00591BE6" w:rsidP="00591BE6">
      <w:pPr>
        <w:keepNext/>
        <w:keepLines/>
        <w:spacing w:before="120" w:after="120" w:line="360" w:lineRule="auto"/>
        <w:jc w:val="both"/>
        <w:outlineLvl w:val="1"/>
        <w:rPr>
          <w:rFonts w:ascii="Times New Roman" w:hAnsi="Times New Roman"/>
          <w:bCs/>
          <w:sz w:val="24"/>
          <w:szCs w:val="24"/>
          <w:lang w:val="en-GB" w:eastAsia="en-IN"/>
        </w:rPr>
      </w:pPr>
      <w:r w:rsidRPr="00BC6A2A">
        <w:rPr>
          <w:rFonts w:ascii="Times New Roman" w:hAnsi="Times New Roman"/>
          <w:bCs/>
          <w:sz w:val="24"/>
          <w:szCs w:val="24"/>
          <w:lang w:val="en-GB" w:eastAsia="en-IN"/>
        </w:rPr>
        <w:t>Author(s) hereby declare that NO generative AI technologies such as Large Language Models (</w:t>
      </w:r>
      <w:proofErr w:type="spellStart"/>
      <w:r w:rsidRPr="00BC6A2A">
        <w:rPr>
          <w:rFonts w:ascii="Times New Roman" w:hAnsi="Times New Roman"/>
          <w:bCs/>
          <w:sz w:val="24"/>
          <w:szCs w:val="24"/>
          <w:lang w:val="en-GB" w:eastAsia="en-IN"/>
        </w:rPr>
        <w:t>ChatGPT</w:t>
      </w:r>
      <w:proofErr w:type="spellEnd"/>
      <w:r w:rsidRPr="00BC6A2A">
        <w:rPr>
          <w:rFonts w:ascii="Times New Roman" w:hAnsi="Times New Roman"/>
          <w:bCs/>
          <w:sz w:val="24"/>
          <w:szCs w:val="24"/>
          <w:lang w:val="en-GB" w:eastAsia="en-IN"/>
        </w:rPr>
        <w:t xml:space="preserve">, COPILOT, etc.) and text-to-image generators have been used during the writing or editing of this manuscript. </w:t>
      </w:r>
    </w:p>
    <w:bookmarkEnd w:id="2"/>
    <w:p w14:paraId="51850432" w14:textId="77777777" w:rsidR="00591BE6" w:rsidRPr="00BC6A2A" w:rsidRDefault="00591BE6" w:rsidP="00CB47B8">
      <w:pPr>
        <w:jc w:val="both"/>
      </w:pPr>
    </w:p>
    <w:p w14:paraId="79D15C72" w14:textId="77777777" w:rsidR="00CB47B8" w:rsidRPr="00BC6A2A" w:rsidRDefault="00CB47B8" w:rsidP="00441B6F">
      <w:pPr>
        <w:pStyle w:val="ReferHead"/>
        <w:spacing w:after="0"/>
        <w:jc w:val="both"/>
        <w:rPr>
          <w:rFonts w:ascii="Arial" w:hAnsi="Arial" w:cs="Arial"/>
        </w:rPr>
      </w:pPr>
    </w:p>
    <w:p w14:paraId="6376E742" w14:textId="77777777" w:rsidR="00B01FCD" w:rsidRPr="00BC6A2A" w:rsidRDefault="00B01FCD" w:rsidP="00441B6F">
      <w:pPr>
        <w:pStyle w:val="ReferHead"/>
        <w:spacing w:after="0"/>
        <w:jc w:val="both"/>
        <w:rPr>
          <w:rFonts w:ascii="Arial" w:hAnsi="Arial" w:cs="Arial"/>
        </w:rPr>
      </w:pPr>
      <w:r w:rsidRPr="00BC6A2A">
        <w:rPr>
          <w:rFonts w:ascii="Arial" w:hAnsi="Arial" w:cs="Arial"/>
        </w:rPr>
        <w:t>References</w:t>
      </w:r>
    </w:p>
    <w:p w14:paraId="6392AA50" w14:textId="77777777" w:rsidR="00790ADA" w:rsidRPr="00BC6A2A" w:rsidRDefault="00790ADA" w:rsidP="00441B6F">
      <w:pPr>
        <w:pStyle w:val="ReferHead"/>
        <w:spacing w:after="0"/>
        <w:jc w:val="both"/>
        <w:rPr>
          <w:rFonts w:ascii="Arial" w:hAnsi="Arial" w:cs="Arial"/>
        </w:rPr>
      </w:pPr>
    </w:p>
    <w:p w14:paraId="0BFF7942"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Agallou</w:t>
      </w:r>
      <w:proofErr w:type="spellEnd"/>
      <w:r w:rsidRPr="00BC6A2A">
        <w:rPr>
          <w:rFonts w:ascii="Arial" w:hAnsi="Arial" w:cs="Arial"/>
          <w:sz w:val="20"/>
          <w:szCs w:val="20"/>
        </w:rPr>
        <w:t xml:space="preserve">, M., </w:t>
      </w:r>
      <w:proofErr w:type="spellStart"/>
      <w:r w:rsidRPr="00BC6A2A">
        <w:rPr>
          <w:rFonts w:ascii="Arial" w:hAnsi="Arial" w:cs="Arial"/>
          <w:sz w:val="20"/>
          <w:szCs w:val="20"/>
        </w:rPr>
        <w:t>Margaroni</w:t>
      </w:r>
      <w:proofErr w:type="spellEnd"/>
      <w:r w:rsidRPr="00BC6A2A">
        <w:rPr>
          <w:rFonts w:ascii="Arial" w:hAnsi="Arial" w:cs="Arial"/>
          <w:sz w:val="20"/>
          <w:szCs w:val="20"/>
        </w:rPr>
        <w:t xml:space="preserve">, M., </w:t>
      </w:r>
      <w:proofErr w:type="spellStart"/>
      <w:r w:rsidRPr="00BC6A2A">
        <w:rPr>
          <w:rFonts w:ascii="Arial" w:hAnsi="Arial" w:cs="Arial"/>
          <w:sz w:val="20"/>
          <w:szCs w:val="20"/>
        </w:rPr>
        <w:t>Athanasiou</w:t>
      </w:r>
      <w:proofErr w:type="spellEnd"/>
      <w:r w:rsidRPr="00BC6A2A">
        <w:rPr>
          <w:rFonts w:ascii="Arial" w:hAnsi="Arial" w:cs="Arial"/>
          <w:sz w:val="20"/>
          <w:szCs w:val="20"/>
        </w:rPr>
        <w:t xml:space="preserve">, E., </w:t>
      </w:r>
      <w:proofErr w:type="spellStart"/>
      <w:r w:rsidRPr="00BC6A2A">
        <w:rPr>
          <w:rFonts w:ascii="Arial" w:hAnsi="Arial" w:cs="Arial"/>
          <w:sz w:val="20"/>
          <w:szCs w:val="20"/>
        </w:rPr>
        <w:t>Toubanaki</w:t>
      </w:r>
      <w:proofErr w:type="spellEnd"/>
      <w:r w:rsidRPr="00BC6A2A">
        <w:rPr>
          <w:rFonts w:ascii="Arial" w:hAnsi="Arial" w:cs="Arial"/>
          <w:sz w:val="20"/>
          <w:szCs w:val="20"/>
        </w:rPr>
        <w:t xml:space="preserve">, D. K., </w:t>
      </w:r>
      <w:proofErr w:type="spellStart"/>
      <w:r w:rsidRPr="00BC6A2A">
        <w:rPr>
          <w:rFonts w:ascii="Arial" w:hAnsi="Arial" w:cs="Arial"/>
          <w:sz w:val="20"/>
          <w:szCs w:val="20"/>
        </w:rPr>
        <w:t>Kontonikola</w:t>
      </w:r>
      <w:proofErr w:type="spellEnd"/>
      <w:r w:rsidRPr="00BC6A2A">
        <w:rPr>
          <w:rFonts w:ascii="Arial" w:hAnsi="Arial" w:cs="Arial"/>
          <w:sz w:val="20"/>
          <w:szCs w:val="20"/>
        </w:rPr>
        <w:t xml:space="preserve">, K., </w:t>
      </w:r>
      <w:proofErr w:type="spellStart"/>
      <w:r w:rsidRPr="00BC6A2A">
        <w:rPr>
          <w:rFonts w:ascii="Arial" w:hAnsi="Arial" w:cs="Arial"/>
          <w:sz w:val="20"/>
          <w:szCs w:val="20"/>
        </w:rPr>
        <w:t>Karidi</w:t>
      </w:r>
      <w:proofErr w:type="spellEnd"/>
      <w:r w:rsidRPr="00BC6A2A">
        <w:rPr>
          <w:rFonts w:ascii="Arial" w:hAnsi="Arial" w:cs="Arial"/>
          <w:sz w:val="20"/>
          <w:szCs w:val="20"/>
        </w:rPr>
        <w:t xml:space="preserve">, K., et al. (2017). Identification of BALB/c immune markers correlated with a partial protection to </w:t>
      </w:r>
      <w:r w:rsidRPr="00BC6A2A">
        <w:rPr>
          <w:rStyle w:val="Emphasis"/>
          <w:rFonts w:ascii="Arial" w:hAnsi="Arial" w:cs="Arial"/>
          <w:sz w:val="20"/>
          <w:szCs w:val="20"/>
        </w:rPr>
        <w:t>Leishmania infantum</w:t>
      </w:r>
      <w:r w:rsidRPr="00BC6A2A">
        <w:rPr>
          <w:rFonts w:ascii="Arial" w:hAnsi="Arial" w:cs="Arial"/>
          <w:sz w:val="20"/>
          <w:szCs w:val="20"/>
        </w:rPr>
        <w:t xml:space="preserve"> after vaccination with a rationally designed multi-epitope cysteine protease A peptide-based </w:t>
      </w:r>
      <w:proofErr w:type="spellStart"/>
      <w:r w:rsidRPr="00BC6A2A">
        <w:rPr>
          <w:rFonts w:ascii="Arial" w:hAnsi="Arial" w:cs="Arial"/>
          <w:sz w:val="20"/>
          <w:szCs w:val="20"/>
        </w:rPr>
        <w:t>nanovaccine</w:t>
      </w:r>
      <w:proofErr w:type="spellEnd"/>
      <w:r w:rsidRPr="00BC6A2A">
        <w:rPr>
          <w:rFonts w:ascii="Arial" w:hAnsi="Arial" w:cs="Arial"/>
          <w:sz w:val="20"/>
          <w:szCs w:val="20"/>
        </w:rPr>
        <w:t xml:space="preserve">. </w:t>
      </w:r>
      <w:proofErr w:type="spellStart"/>
      <w:r w:rsidRPr="00BC6A2A">
        <w:rPr>
          <w:rStyle w:val="Emphasis"/>
          <w:rFonts w:ascii="Arial" w:hAnsi="Arial" w:cs="Arial"/>
          <w:sz w:val="20"/>
          <w:szCs w:val="20"/>
        </w:rPr>
        <w:t>PLoS</w:t>
      </w:r>
      <w:proofErr w:type="spellEnd"/>
      <w:r w:rsidRPr="00BC6A2A">
        <w:rPr>
          <w:rStyle w:val="Emphasis"/>
          <w:rFonts w:ascii="Arial" w:hAnsi="Arial" w:cs="Arial"/>
          <w:sz w:val="20"/>
          <w:szCs w:val="20"/>
        </w:rPr>
        <w:t xml:space="preserve"> Neglected Tropical Diseases</w:t>
      </w:r>
      <w:r w:rsidRPr="00BC6A2A">
        <w:rPr>
          <w:rFonts w:ascii="Arial" w:hAnsi="Arial" w:cs="Arial"/>
          <w:sz w:val="20"/>
          <w:szCs w:val="20"/>
        </w:rPr>
        <w:t>, 11(1), e0005311.</w:t>
      </w:r>
    </w:p>
    <w:p w14:paraId="62DB9E0F"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Al-Youssef, H., &amp; Hassan, W. H. B. (2012). Phytochemical and biological studies of the aerial parts of </w:t>
      </w:r>
      <w:r w:rsidRPr="00BC6A2A">
        <w:rPr>
          <w:rStyle w:val="Emphasis"/>
          <w:rFonts w:ascii="Arial" w:hAnsi="Arial" w:cs="Arial"/>
          <w:sz w:val="20"/>
          <w:szCs w:val="20"/>
        </w:rPr>
        <w:t>Carissa edulis</w:t>
      </w:r>
      <w:r w:rsidRPr="00BC6A2A">
        <w:rPr>
          <w:rFonts w:ascii="Arial" w:hAnsi="Arial" w:cs="Arial"/>
          <w:sz w:val="20"/>
          <w:szCs w:val="20"/>
        </w:rPr>
        <w:t xml:space="preserve"> growing in Saudi Arabia. </w:t>
      </w:r>
      <w:r w:rsidRPr="00BC6A2A">
        <w:rPr>
          <w:rStyle w:val="Emphasis"/>
          <w:rFonts w:ascii="Arial" w:hAnsi="Arial" w:cs="Arial"/>
          <w:sz w:val="20"/>
          <w:szCs w:val="20"/>
        </w:rPr>
        <w:t>Biomedical and Pharmacology Journal</w:t>
      </w:r>
      <w:r w:rsidRPr="00BC6A2A">
        <w:rPr>
          <w:rFonts w:ascii="Arial" w:hAnsi="Arial" w:cs="Arial"/>
          <w:sz w:val="20"/>
          <w:szCs w:val="20"/>
        </w:rPr>
        <w:t>, 5(1), 9–18.</w:t>
      </w:r>
    </w:p>
    <w:p w14:paraId="1E4B916C"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Alqathama</w:t>
      </w:r>
      <w:proofErr w:type="spellEnd"/>
      <w:r w:rsidRPr="00BC6A2A">
        <w:rPr>
          <w:rFonts w:ascii="Arial" w:hAnsi="Arial" w:cs="Arial"/>
          <w:sz w:val="20"/>
          <w:szCs w:val="20"/>
        </w:rPr>
        <w:t xml:space="preserve">, A. (2024). Natural products as promising modulators of breast cancer immunotherapy. </w:t>
      </w:r>
      <w:r w:rsidRPr="00BC6A2A">
        <w:rPr>
          <w:rStyle w:val="Emphasis"/>
          <w:rFonts w:ascii="Arial" w:hAnsi="Arial" w:cs="Arial"/>
          <w:sz w:val="20"/>
          <w:szCs w:val="20"/>
        </w:rPr>
        <w:t>Frontiers in Immunology</w:t>
      </w:r>
      <w:r w:rsidRPr="00BC6A2A">
        <w:rPr>
          <w:rFonts w:ascii="Arial" w:hAnsi="Arial" w:cs="Arial"/>
          <w:sz w:val="20"/>
          <w:szCs w:val="20"/>
        </w:rPr>
        <w:t>, 15, 1410300.</w:t>
      </w:r>
    </w:p>
    <w:p w14:paraId="5416AC42"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Alvar, J., </w:t>
      </w:r>
      <w:proofErr w:type="spellStart"/>
      <w:r w:rsidRPr="00BC6A2A">
        <w:rPr>
          <w:rFonts w:ascii="Arial" w:hAnsi="Arial" w:cs="Arial"/>
          <w:sz w:val="20"/>
          <w:szCs w:val="20"/>
        </w:rPr>
        <w:t>Vélez</w:t>
      </w:r>
      <w:proofErr w:type="spellEnd"/>
      <w:r w:rsidRPr="00BC6A2A">
        <w:rPr>
          <w:rFonts w:ascii="Arial" w:hAnsi="Arial" w:cs="Arial"/>
          <w:sz w:val="20"/>
          <w:szCs w:val="20"/>
        </w:rPr>
        <w:t xml:space="preserve">, I. D., Bern, C., Herrero, M., </w:t>
      </w:r>
      <w:proofErr w:type="spellStart"/>
      <w:r w:rsidRPr="00BC6A2A">
        <w:rPr>
          <w:rFonts w:ascii="Arial" w:hAnsi="Arial" w:cs="Arial"/>
          <w:sz w:val="20"/>
          <w:szCs w:val="20"/>
        </w:rPr>
        <w:t>Desjeux</w:t>
      </w:r>
      <w:proofErr w:type="spellEnd"/>
      <w:r w:rsidRPr="00BC6A2A">
        <w:rPr>
          <w:rFonts w:ascii="Arial" w:hAnsi="Arial" w:cs="Arial"/>
          <w:sz w:val="20"/>
          <w:szCs w:val="20"/>
        </w:rPr>
        <w:t xml:space="preserve">, P., Cano, J., et al. (2012). Leishmaniasis worldwide and global estimates of its incidence. </w:t>
      </w:r>
      <w:proofErr w:type="spellStart"/>
      <w:r w:rsidRPr="00BC6A2A">
        <w:rPr>
          <w:rStyle w:val="Emphasis"/>
          <w:rFonts w:ascii="Arial" w:hAnsi="Arial" w:cs="Arial"/>
          <w:sz w:val="20"/>
          <w:szCs w:val="20"/>
        </w:rPr>
        <w:t>PLoS</w:t>
      </w:r>
      <w:proofErr w:type="spellEnd"/>
      <w:r w:rsidRPr="00BC6A2A">
        <w:rPr>
          <w:rStyle w:val="Emphasis"/>
          <w:rFonts w:ascii="Arial" w:hAnsi="Arial" w:cs="Arial"/>
          <w:sz w:val="20"/>
          <w:szCs w:val="20"/>
        </w:rPr>
        <w:t xml:space="preserve"> One</w:t>
      </w:r>
      <w:r w:rsidRPr="00BC6A2A">
        <w:rPr>
          <w:rFonts w:ascii="Arial" w:hAnsi="Arial" w:cs="Arial"/>
          <w:sz w:val="20"/>
          <w:szCs w:val="20"/>
        </w:rPr>
        <w:t>, 7(5).</w:t>
      </w:r>
    </w:p>
    <w:p w14:paraId="04DB3985"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Barragán</w:t>
      </w:r>
      <w:proofErr w:type="spellEnd"/>
      <w:r w:rsidRPr="00BC6A2A">
        <w:rPr>
          <w:rFonts w:ascii="Arial" w:hAnsi="Arial" w:cs="Arial"/>
          <w:sz w:val="20"/>
          <w:szCs w:val="20"/>
        </w:rPr>
        <w:t>, P., López-</w:t>
      </w:r>
      <w:proofErr w:type="spellStart"/>
      <w:r w:rsidRPr="00BC6A2A">
        <w:rPr>
          <w:rFonts w:ascii="Arial" w:hAnsi="Arial" w:cs="Arial"/>
          <w:sz w:val="20"/>
          <w:szCs w:val="20"/>
        </w:rPr>
        <w:t>Vélez</w:t>
      </w:r>
      <w:proofErr w:type="spellEnd"/>
      <w:r w:rsidRPr="00BC6A2A">
        <w:rPr>
          <w:rFonts w:ascii="Arial" w:hAnsi="Arial" w:cs="Arial"/>
          <w:sz w:val="20"/>
          <w:szCs w:val="20"/>
        </w:rPr>
        <w:t xml:space="preserve">, R., </w:t>
      </w:r>
      <w:proofErr w:type="spellStart"/>
      <w:r w:rsidRPr="00BC6A2A">
        <w:rPr>
          <w:rFonts w:ascii="Arial" w:hAnsi="Arial" w:cs="Arial"/>
          <w:sz w:val="20"/>
          <w:szCs w:val="20"/>
        </w:rPr>
        <w:t>Olmo</w:t>
      </w:r>
      <w:proofErr w:type="spellEnd"/>
      <w:r w:rsidRPr="00BC6A2A">
        <w:rPr>
          <w:rFonts w:ascii="Arial" w:hAnsi="Arial" w:cs="Arial"/>
          <w:sz w:val="20"/>
          <w:szCs w:val="20"/>
        </w:rPr>
        <w:t xml:space="preserve">, M., &amp; </w:t>
      </w:r>
      <w:proofErr w:type="spellStart"/>
      <w:r w:rsidRPr="00BC6A2A">
        <w:rPr>
          <w:rFonts w:ascii="Arial" w:hAnsi="Arial" w:cs="Arial"/>
          <w:sz w:val="20"/>
          <w:szCs w:val="20"/>
        </w:rPr>
        <w:t>Podzamczer</w:t>
      </w:r>
      <w:proofErr w:type="spellEnd"/>
      <w:r w:rsidRPr="00BC6A2A">
        <w:rPr>
          <w:rFonts w:ascii="Arial" w:hAnsi="Arial" w:cs="Arial"/>
          <w:sz w:val="20"/>
          <w:szCs w:val="20"/>
        </w:rPr>
        <w:t xml:space="preserve">, D. (2010). Visceral leishmaniasis treated with </w:t>
      </w:r>
      <w:proofErr w:type="spellStart"/>
      <w:r w:rsidRPr="00BC6A2A">
        <w:rPr>
          <w:rFonts w:ascii="Arial" w:hAnsi="Arial" w:cs="Arial"/>
          <w:sz w:val="20"/>
          <w:szCs w:val="20"/>
        </w:rPr>
        <w:t>antimonials</w:t>
      </w:r>
      <w:proofErr w:type="spellEnd"/>
      <w:r w:rsidRPr="00BC6A2A">
        <w:rPr>
          <w:rFonts w:ascii="Arial" w:hAnsi="Arial" w:cs="Arial"/>
          <w:sz w:val="20"/>
          <w:szCs w:val="20"/>
        </w:rPr>
        <w:t>/paromomycin followed by itraconazole/</w:t>
      </w:r>
      <w:proofErr w:type="spellStart"/>
      <w:r w:rsidRPr="00BC6A2A">
        <w:rPr>
          <w:rFonts w:ascii="Arial" w:hAnsi="Arial" w:cs="Arial"/>
          <w:sz w:val="20"/>
          <w:szCs w:val="20"/>
        </w:rPr>
        <w:t>miltefosine</w:t>
      </w:r>
      <w:proofErr w:type="spellEnd"/>
      <w:r w:rsidRPr="00BC6A2A">
        <w:rPr>
          <w:rFonts w:ascii="Arial" w:hAnsi="Arial" w:cs="Arial"/>
          <w:sz w:val="20"/>
          <w:szCs w:val="20"/>
        </w:rPr>
        <w:t xml:space="preserve"> after standard therapy failures in a human immunodeficiency virus–infected patient. </w:t>
      </w:r>
      <w:r w:rsidRPr="00BC6A2A">
        <w:rPr>
          <w:rStyle w:val="Emphasis"/>
          <w:rFonts w:ascii="Arial" w:hAnsi="Arial" w:cs="Arial"/>
          <w:sz w:val="20"/>
          <w:szCs w:val="20"/>
        </w:rPr>
        <w:t>American Journal of Tropical Medicine and Hygiene</w:t>
      </w:r>
      <w:r w:rsidRPr="00BC6A2A">
        <w:rPr>
          <w:rFonts w:ascii="Arial" w:hAnsi="Arial" w:cs="Arial"/>
          <w:sz w:val="20"/>
          <w:szCs w:val="20"/>
        </w:rPr>
        <w:t>, 83(1), 10.</w:t>
      </w:r>
    </w:p>
    <w:p w14:paraId="693A591D"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Bogdan, C., Islam, N. A. K., </w:t>
      </w:r>
      <w:proofErr w:type="spellStart"/>
      <w:r w:rsidRPr="00BC6A2A">
        <w:rPr>
          <w:rFonts w:ascii="Arial" w:hAnsi="Arial" w:cs="Arial"/>
          <w:sz w:val="20"/>
          <w:szCs w:val="20"/>
        </w:rPr>
        <w:t>Barinberg</w:t>
      </w:r>
      <w:proofErr w:type="spellEnd"/>
      <w:r w:rsidRPr="00BC6A2A">
        <w:rPr>
          <w:rFonts w:ascii="Arial" w:hAnsi="Arial" w:cs="Arial"/>
          <w:sz w:val="20"/>
          <w:szCs w:val="20"/>
        </w:rPr>
        <w:t xml:space="preserve">, D., </w:t>
      </w:r>
      <w:proofErr w:type="spellStart"/>
      <w:r w:rsidRPr="00BC6A2A">
        <w:rPr>
          <w:rFonts w:ascii="Arial" w:hAnsi="Arial" w:cs="Arial"/>
          <w:sz w:val="20"/>
          <w:szCs w:val="20"/>
        </w:rPr>
        <w:t>Soulat</w:t>
      </w:r>
      <w:proofErr w:type="spellEnd"/>
      <w:r w:rsidRPr="00BC6A2A">
        <w:rPr>
          <w:rFonts w:ascii="Arial" w:hAnsi="Arial" w:cs="Arial"/>
          <w:sz w:val="20"/>
          <w:szCs w:val="20"/>
        </w:rPr>
        <w:t xml:space="preserve">, D., </w:t>
      </w:r>
      <w:proofErr w:type="spellStart"/>
      <w:r w:rsidRPr="00BC6A2A">
        <w:rPr>
          <w:rFonts w:ascii="Arial" w:hAnsi="Arial" w:cs="Arial"/>
          <w:sz w:val="20"/>
          <w:szCs w:val="20"/>
        </w:rPr>
        <w:t>Schleicher</w:t>
      </w:r>
      <w:proofErr w:type="spellEnd"/>
      <w:r w:rsidRPr="00BC6A2A">
        <w:rPr>
          <w:rFonts w:ascii="Arial" w:hAnsi="Arial" w:cs="Arial"/>
          <w:sz w:val="20"/>
          <w:szCs w:val="20"/>
        </w:rPr>
        <w:t xml:space="preserve">, U., &amp; Rai, B. (2024). The </w:t>
      </w:r>
      <w:proofErr w:type="spellStart"/>
      <w:r w:rsidRPr="00BC6A2A">
        <w:rPr>
          <w:rFonts w:ascii="Arial" w:hAnsi="Arial" w:cs="Arial"/>
          <w:sz w:val="20"/>
          <w:szCs w:val="20"/>
        </w:rPr>
        <w:t>immunomicrotope</w:t>
      </w:r>
      <w:proofErr w:type="spellEnd"/>
      <w:r w:rsidRPr="00BC6A2A">
        <w:rPr>
          <w:rFonts w:ascii="Arial" w:hAnsi="Arial" w:cs="Arial"/>
          <w:sz w:val="20"/>
          <w:szCs w:val="20"/>
        </w:rPr>
        <w:t xml:space="preserve"> of </w:t>
      </w:r>
      <w:r w:rsidRPr="00BC6A2A">
        <w:rPr>
          <w:rStyle w:val="Emphasis"/>
          <w:rFonts w:ascii="Arial" w:hAnsi="Arial" w:cs="Arial"/>
          <w:sz w:val="20"/>
          <w:szCs w:val="20"/>
        </w:rPr>
        <w:t>Leishmania</w:t>
      </w:r>
      <w:r w:rsidRPr="00BC6A2A">
        <w:rPr>
          <w:rFonts w:ascii="Arial" w:hAnsi="Arial" w:cs="Arial"/>
          <w:sz w:val="20"/>
          <w:szCs w:val="20"/>
        </w:rPr>
        <w:t xml:space="preserve"> control and persistence. </w:t>
      </w:r>
      <w:r w:rsidRPr="00BC6A2A">
        <w:rPr>
          <w:rStyle w:val="Emphasis"/>
          <w:rFonts w:ascii="Arial" w:hAnsi="Arial" w:cs="Arial"/>
          <w:sz w:val="20"/>
          <w:szCs w:val="20"/>
        </w:rPr>
        <w:t>Trends in Parasitology</w:t>
      </w:r>
      <w:r w:rsidRPr="00BC6A2A">
        <w:rPr>
          <w:rFonts w:ascii="Arial" w:hAnsi="Arial" w:cs="Arial"/>
          <w:sz w:val="20"/>
          <w:szCs w:val="20"/>
        </w:rPr>
        <w:t>, 40(9), 788–804.</w:t>
      </w:r>
    </w:p>
    <w:p w14:paraId="7E799768"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Caras</w:t>
      </w:r>
      <w:proofErr w:type="spellEnd"/>
      <w:r w:rsidRPr="00BC6A2A">
        <w:rPr>
          <w:rFonts w:ascii="Arial" w:hAnsi="Arial" w:cs="Arial"/>
          <w:sz w:val="20"/>
          <w:szCs w:val="20"/>
        </w:rPr>
        <w:t xml:space="preserve">, I., Ionescu, I. E., </w:t>
      </w:r>
      <w:proofErr w:type="spellStart"/>
      <w:r w:rsidRPr="00BC6A2A">
        <w:rPr>
          <w:rFonts w:ascii="Arial" w:hAnsi="Arial" w:cs="Arial"/>
          <w:sz w:val="20"/>
          <w:szCs w:val="20"/>
        </w:rPr>
        <w:t>Pantazica</w:t>
      </w:r>
      <w:proofErr w:type="spellEnd"/>
      <w:r w:rsidRPr="00BC6A2A">
        <w:rPr>
          <w:rFonts w:ascii="Arial" w:hAnsi="Arial" w:cs="Arial"/>
          <w:sz w:val="20"/>
          <w:szCs w:val="20"/>
        </w:rPr>
        <w:t xml:space="preserve">, A. M., van </w:t>
      </w:r>
      <w:proofErr w:type="spellStart"/>
      <w:r w:rsidRPr="00BC6A2A">
        <w:rPr>
          <w:rFonts w:ascii="Arial" w:hAnsi="Arial" w:cs="Arial"/>
          <w:sz w:val="20"/>
          <w:szCs w:val="20"/>
        </w:rPr>
        <w:t>Eerde</w:t>
      </w:r>
      <w:proofErr w:type="spellEnd"/>
      <w:r w:rsidRPr="00BC6A2A">
        <w:rPr>
          <w:rFonts w:ascii="Arial" w:hAnsi="Arial" w:cs="Arial"/>
          <w:sz w:val="20"/>
          <w:szCs w:val="20"/>
        </w:rPr>
        <w:t xml:space="preserve">, A., Steen, H., Heldal, I., et al. (2025). Humanized mouse model reveals the immunogenicity of hepatitis B virus vaccine candidates produced in CRISPR/Cas9-edited </w:t>
      </w:r>
      <w:r w:rsidRPr="00BC6A2A">
        <w:rPr>
          <w:rStyle w:val="Emphasis"/>
          <w:rFonts w:ascii="Arial" w:hAnsi="Arial" w:cs="Arial"/>
          <w:sz w:val="20"/>
          <w:szCs w:val="20"/>
        </w:rPr>
        <w:t xml:space="preserve">Nicotiana </w:t>
      </w:r>
      <w:proofErr w:type="spellStart"/>
      <w:r w:rsidRPr="00BC6A2A">
        <w:rPr>
          <w:rStyle w:val="Emphasis"/>
          <w:rFonts w:ascii="Arial" w:hAnsi="Arial" w:cs="Arial"/>
          <w:sz w:val="20"/>
          <w:szCs w:val="20"/>
        </w:rPr>
        <w:t>benthamiana</w:t>
      </w:r>
      <w:proofErr w:type="spellEnd"/>
      <w:r w:rsidRPr="00BC6A2A">
        <w:rPr>
          <w:rFonts w:ascii="Arial" w:hAnsi="Arial" w:cs="Arial"/>
          <w:sz w:val="20"/>
          <w:szCs w:val="20"/>
        </w:rPr>
        <w:t xml:space="preserve">. </w:t>
      </w:r>
      <w:r w:rsidRPr="00BC6A2A">
        <w:rPr>
          <w:rStyle w:val="Emphasis"/>
          <w:rFonts w:ascii="Arial" w:hAnsi="Arial" w:cs="Arial"/>
          <w:sz w:val="20"/>
          <w:szCs w:val="20"/>
        </w:rPr>
        <w:t>Frontiers in Immunology</w:t>
      </w:r>
      <w:r w:rsidRPr="00BC6A2A">
        <w:rPr>
          <w:rFonts w:ascii="Arial" w:hAnsi="Arial" w:cs="Arial"/>
          <w:sz w:val="20"/>
          <w:szCs w:val="20"/>
        </w:rPr>
        <w:t>, 16, 1479689.</w:t>
      </w:r>
    </w:p>
    <w:p w14:paraId="19B263E0"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Chawla, B., Mahajan, B., Oakley, M., </w:t>
      </w:r>
      <w:proofErr w:type="spellStart"/>
      <w:r w:rsidRPr="00BC6A2A">
        <w:rPr>
          <w:rFonts w:ascii="Arial" w:hAnsi="Arial" w:cs="Arial"/>
          <w:sz w:val="20"/>
          <w:szCs w:val="20"/>
        </w:rPr>
        <w:t>Majam</w:t>
      </w:r>
      <w:proofErr w:type="spellEnd"/>
      <w:r w:rsidRPr="00BC6A2A">
        <w:rPr>
          <w:rFonts w:ascii="Arial" w:hAnsi="Arial" w:cs="Arial"/>
          <w:sz w:val="20"/>
          <w:szCs w:val="20"/>
        </w:rPr>
        <w:t xml:space="preserve">, V. F., Belmonte, A., </w:t>
      </w:r>
      <w:proofErr w:type="spellStart"/>
      <w:r w:rsidRPr="00BC6A2A">
        <w:rPr>
          <w:rFonts w:ascii="Arial" w:hAnsi="Arial" w:cs="Arial"/>
          <w:sz w:val="20"/>
          <w:szCs w:val="20"/>
        </w:rPr>
        <w:t>Sedegah</w:t>
      </w:r>
      <w:proofErr w:type="spellEnd"/>
      <w:r w:rsidRPr="00BC6A2A">
        <w:rPr>
          <w:rFonts w:ascii="Arial" w:hAnsi="Arial" w:cs="Arial"/>
          <w:sz w:val="20"/>
          <w:szCs w:val="20"/>
        </w:rPr>
        <w:t xml:space="preserve">, M., et al. (2019). Antibody-dependent, gamma interferon-independent sterilizing immunity induced by a subunit malaria vaccine. </w:t>
      </w:r>
      <w:r w:rsidRPr="00BC6A2A">
        <w:rPr>
          <w:rStyle w:val="Emphasis"/>
          <w:rFonts w:ascii="Arial" w:hAnsi="Arial" w:cs="Arial"/>
          <w:sz w:val="20"/>
          <w:szCs w:val="20"/>
        </w:rPr>
        <w:t>Infection and Immunity</w:t>
      </w:r>
      <w:r w:rsidRPr="00BC6A2A">
        <w:rPr>
          <w:rFonts w:ascii="Arial" w:hAnsi="Arial" w:cs="Arial"/>
          <w:sz w:val="20"/>
          <w:szCs w:val="20"/>
        </w:rPr>
        <w:t>, 87(10), e00236-19.</w:t>
      </w:r>
    </w:p>
    <w:p w14:paraId="6BAE3BD9"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Chouhan, G., </w:t>
      </w:r>
      <w:proofErr w:type="spellStart"/>
      <w:r w:rsidRPr="00BC6A2A">
        <w:rPr>
          <w:rFonts w:ascii="Arial" w:hAnsi="Arial" w:cs="Arial"/>
          <w:sz w:val="20"/>
          <w:szCs w:val="20"/>
        </w:rPr>
        <w:t>Islamuddin</w:t>
      </w:r>
      <w:proofErr w:type="spellEnd"/>
      <w:r w:rsidRPr="00BC6A2A">
        <w:rPr>
          <w:rFonts w:ascii="Arial" w:hAnsi="Arial" w:cs="Arial"/>
          <w:sz w:val="20"/>
          <w:szCs w:val="20"/>
        </w:rPr>
        <w:t xml:space="preserve">, M., Want, M. Y., </w:t>
      </w:r>
      <w:proofErr w:type="spellStart"/>
      <w:r w:rsidRPr="00BC6A2A">
        <w:rPr>
          <w:rFonts w:ascii="Arial" w:hAnsi="Arial" w:cs="Arial"/>
          <w:sz w:val="20"/>
          <w:szCs w:val="20"/>
        </w:rPr>
        <w:t>Abdin</w:t>
      </w:r>
      <w:proofErr w:type="spellEnd"/>
      <w:r w:rsidRPr="00BC6A2A">
        <w:rPr>
          <w:rFonts w:ascii="Arial" w:hAnsi="Arial" w:cs="Arial"/>
          <w:sz w:val="20"/>
          <w:szCs w:val="20"/>
        </w:rPr>
        <w:t xml:space="preserve">, M. Z., </w:t>
      </w:r>
      <w:proofErr w:type="spellStart"/>
      <w:r w:rsidRPr="00BC6A2A">
        <w:rPr>
          <w:rFonts w:ascii="Arial" w:hAnsi="Arial" w:cs="Arial"/>
          <w:sz w:val="20"/>
          <w:szCs w:val="20"/>
        </w:rPr>
        <w:t>Ozbak</w:t>
      </w:r>
      <w:proofErr w:type="spellEnd"/>
      <w:r w:rsidRPr="00BC6A2A">
        <w:rPr>
          <w:rFonts w:ascii="Arial" w:hAnsi="Arial" w:cs="Arial"/>
          <w:sz w:val="20"/>
          <w:szCs w:val="20"/>
        </w:rPr>
        <w:t xml:space="preserve">, H. A., </w:t>
      </w:r>
      <w:proofErr w:type="spellStart"/>
      <w:r w:rsidRPr="00BC6A2A">
        <w:rPr>
          <w:rFonts w:ascii="Arial" w:hAnsi="Arial" w:cs="Arial"/>
          <w:sz w:val="20"/>
          <w:szCs w:val="20"/>
        </w:rPr>
        <w:t>Hemeg</w:t>
      </w:r>
      <w:proofErr w:type="spellEnd"/>
      <w:r w:rsidRPr="00BC6A2A">
        <w:rPr>
          <w:rFonts w:ascii="Arial" w:hAnsi="Arial" w:cs="Arial"/>
          <w:sz w:val="20"/>
          <w:szCs w:val="20"/>
        </w:rPr>
        <w:t xml:space="preserve">, H. A., et al. (2015). Apoptosis-mediated </w:t>
      </w:r>
      <w:proofErr w:type="spellStart"/>
      <w:r w:rsidRPr="00BC6A2A">
        <w:rPr>
          <w:rFonts w:ascii="Arial" w:hAnsi="Arial" w:cs="Arial"/>
          <w:sz w:val="20"/>
          <w:szCs w:val="20"/>
        </w:rPr>
        <w:t>leishmanicidal</w:t>
      </w:r>
      <w:proofErr w:type="spellEnd"/>
      <w:r w:rsidRPr="00BC6A2A">
        <w:rPr>
          <w:rFonts w:ascii="Arial" w:hAnsi="Arial" w:cs="Arial"/>
          <w:sz w:val="20"/>
          <w:szCs w:val="20"/>
        </w:rPr>
        <w:t xml:space="preserve"> activity of </w:t>
      </w:r>
      <w:proofErr w:type="spellStart"/>
      <w:r w:rsidRPr="00BC6A2A">
        <w:rPr>
          <w:rStyle w:val="Emphasis"/>
          <w:rFonts w:ascii="Arial" w:hAnsi="Arial" w:cs="Arial"/>
          <w:sz w:val="20"/>
          <w:szCs w:val="20"/>
        </w:rPr>
        <w:t>Azadirachta</w:t>
      </w:r>
      <w:proofErr w:type="spellEnd"/>
      <w:r w:rsidRPr="00BC6A2A">
        <w:rPr>
          <w:rStyle w:val="Emphasis"/>
          <w:rFonts w:ascii="Arial" w:hAnsi="Arial" w:cs="Arial"/>
          <w:sz w:val="20"/>
          <w:szCs w:val="20"/>
        </w:rPr>
        <w:t xml:space="preserve"> </w:t>
      </w:r>
      <w:proofErr w:type="spellStart"/>
      <w:r w:rsidRPr="00BC6A2A">
        <w:rPr>
          <w:rStyle w:val="Emphasis"/>
          <w:rFonts w:ascii="Arial" w:hAnsi="Arial" w:cs="Arial"/>
          <w:sz w:val="20"/>
          <w:szCs w:val="20"/>
        </w:rPr>
        <w:t>indica</w:t>
      </w:r>
      <w:proofErr w:type="spellEnd"/>
      <w:r w:rsidRPr="00BC6A2A">
        <w:rPr>
          <w:rFonts w:ascii="Arial" w:hAnsi="Arial" w:cs="Arial"/>
          <w:sz w:val="20"/>
          <w:szCs w:val="20"/>
        </w:rPr>
        <w:t xml:space="preserve"> bioactive fractions accompanied by Th1 immunostimulatory potential and therapeutic cure in vivo. </w:t>
      </w:r>
      <w:r w:rsidRPr="00BC6A2A">
        <w:rPr>
          <w:rStyle w:val="Emphasis"/>
          <w:rFonts w:ascii="Arial" w:hAnsi="Arial" w:cs="Arial"/>
          <w:sz w:val="20"/>
          <w:szCs w:val="20"/>
        </w:rPr>
        <w:t>Parasites &amp; Vectors</w:t>
      </w:r>
      <w:r w:rsidRPr="00BC6A2A">
        <w:rPr>
          <w:rFonts w:ascii="Arial" w:hAnsi="Arial" w:cs="Arial"/>
          <w:sz w:val="20"/>
          <w:szCs w:val="20"/>
        </w:rPr>
        <w:t>, 8(1), 183.</w:t>
      </w:r>
    </w:p>
    <w:p w14:paraId="163AEBDF"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Costa-da-Silva, A. C., Nascimento, D. O., Ferreira, J. R. M., </w:t>
      </w:r>
      <w:proofErr w:type="spellStart"/>
      <w:r w:rsidRPr="00BC6A2A">
        <w:rPr>
          <w:rFonts w:ascii="Arial" w:hAnsi="Arial" w:cs="Arial"/>
          <w:sz w:val="20"/>
          <w:szCs w:val="20"/>
        </w:rPr>
        <w:t>Guimarães</w:t>
      </w:r>
      <w:proofErr w:type="spellEnd"/>
      <w:r w:rsidRPr="00BC6A2A">
        <w:rPr>
          <w:rFonts w:ascii="Arial" w:hAnsi="Arial" w:cs="Arial"/>
          <w:sz w:val="20"/>
          <w:szCs w:val="20"/>
        </w:rPr>
        <w:t xml:space="preserve">-Pinto, K., Freire-de-Lima, L., </w:t>
      </w:r>
      <w:proofErr w:type="spellStart"/>
      <w:r w:rsidRPr="00BC6A2A">
        <w:rPr>
          <w:rFonts w:ascii="Arial" w:hAnsi="Arial" w:cs="Arial"/>
          <w:sz w:val="20"/>
          <w:szCs w:val="20"/>
        </w:rPr>
        <w:t>Morrot</w:t>
      </w:r>
      <w:proofErr w:type="spellEnd"/>
      <w:r w:rsidRPr="00BC6A2A">
        <w:rPr>
          <w:rFonts w:ascii="Arial" w:hAnsi="Arial" w:cs="Arial"/>
          <w:sz w:val="20"/>
          <w:szCs w:val="20"/>
        </w:rPr>
        <w:t xml:space="preserve">, A., et al. (2022). Immune responses in leishmaniasis: An overview. </w:t>
      </w:r>
      <w:r w:rsidRPr="00BC6A2A">
        <w:rPr>
          <w:rStyle w:val="Emphasis"/>
          <w:rFonts w:ascii="Arial" w:hAnsi="Arial" w:cs="Arial"/>
          <w:sz w:val="20"/>
          <w:szCs w:val="20"/>
        </w:rPr>
        <w:t>Tropical Medicine and Infectious Disease</w:t>
      </w:r>
      <w:r w:rsidRPr="00BC6A2A">
        <w:rPr>
          <w:rFonts w:ascii="Arial" w:hAnsi="Arial" w:cs="Arial"/>
          <w:sz w:val="20"/>
          <w:szCs w:val="20"/>
        </w:rPr>
        <w:t>, 7(4), 54.</w:t>
      </w:r>
    </w:p>
    <w:p w14:paraId="6D777D2F"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Del Río, L., Salinas, J., Ortega, N., </w:t>
      </w:r>
      <w:proofErr w:type="spellStart"/>
      <w:r w:rsidRPr="00BC6A2A">
        <w:rPr>
          <w:rFonts w:ascii="Arial" w:hAnsi="Arial" w:cs="Arial"/>
          <w:sz w:val="20"/>
          <w:szCs w:val="20"/>
        </w:rPr>
        <w:t>Buendía</w:t>
      </w:r>
      <w:proofErr w:type="spellEnd"/>
      <w:r w:rsidRPr="00BC6A2A">
        <w:rPr>
          <w:rFonts w:ascii="Arial" w:hAnsi="Arial" w:cs="Arial"/>
          <w:sz w:val="20"/>
          <w:szCs w:val="20"/>
        </w:rPr>
        <w:t xml:space="preserve">, A. J., Navarro, J. A., &amp; Caro, M. R. (2024). IL-10 overexpression reduces the protective response of an experimental </w:t>
      </w:r>
      <w:r w:rsidRPr="00BC6A2A">
        <w:rPr>
          <w:rStyle w:val="Emphasis"/>
          <w:rFonts w:ascii="Arial" w:hAnsi="Arial" w:cs="Arial"/>
          <w:sz w:val="20"/>
          <w:szCs w:val="20"/>
        </w:rPr>
        <w:t>Chlamydia abortus</w:t>
      </w:r>
      <w:r w:rsidRPr="00BC6A2A">
        <w:rPr>
          <w:rFonts w:ascii="Arial" w:hAnsi="Arial" w:cs="Arial"/>
          <w:sz w:val="20"/>
          <w:szCs w:val="20"/>
        </w:rPr>
        <w:t xml:space="preserve"> vaccine in a murine model. </w:t>
      </w:r>
      <w:r w:rsidRPr="00BC6A2A">
        <w:rPr>
          <w:rStyle w:val="Emphasis"/>
          <w:rFonts w:ascii="Arial" w:hAnsi="Arial" w:cs="Arial"/>
          <w:sz w:val="20"/>
          <w:szCs w:val="20"/>
        </w:rPr>
        <w:t>Animals</w:t>
      </w:r>
      <w:r w:rsidRPr="00BC6A2A">
        <w:rPr>
          <w:rFonts w:ascii="Arial" w:hAnsi="Arial" w:cs="Arial"/>
          <w:sz w:val="20"/>
          <w:szCs w:val="20"/>
        </w:rPr>
        <w:t>, 14(16), 2322.</w:t>
      </w:r>
    </w:p>
    <w:p w14:paraId="1C0A769A"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lastRenderedPageBreak/>
        <w:t>Ejazi</w:t>
      </w:r>
      <w:proofErr w:type="spellEnd"/>
      <w:r w:rsidRPr="00BC6A2A">
        <w:rPr>
          <w:rFonts w:ascii="Arial" w:hAnsi="Arial" w:cs="Arial"/>
          <w:sz w:val="20"/>
          <w:szCs w:val="20"/>
        </w:rPr>
        <w:t xml:space="preserve">, S. A., Ghosh, S., Bhattacharyya, A., Kamran, M., Das, S., </w:t>
      </w:r>
      <w:proofErr w:type="spellStart"/>
      <w:r w:rsidRPr="00BC6A2A">
        <w:rPr>
          <w:rFonts w:ascii="Arial" w:hAnsi="Arial" w:cs="Arial"/>
          <w:sz w:val="20"/>
          <w:szCs w:val="20"/>
        </w:rPr>
        <w:t>Bhowmick</w:t>
      </w:r>
      <w:proofErr w:type="spellEnd"/>
      <w:r w:rsidRPr="00BC6A2A">
        <w:rPr>
          <w:rFonts w:ascii="Arial" w:hAnsi="Arial" w:cs="Arial"/>
          <w:sz w:val="20"/>
          <w:szCs w:val="20"/>
        </w:rPr>
        <w:t xml:space="preserve">, S., et al. (2020). Antigenicity and protective efficacy of </w:t>
      </w:r>
      <w:r w:rsidRPr="00BC6A2A">
        <w:rPr>
          <w:rStyle w:val="Emphasis"/>
          <w:rFonts w:ascii="Arial" w:hAnsi="Arial" w:cs="Arial"/>
          <w:sz w:val="20"/>
          <w:szCs w:val="20"/>
        </w:rPr>
        <w:t>Leishmania</w:t>
      </w:r>
      <w:r w:rsidRPr="00BC6A2A">
        <w:rPr>
          <w:rFonts w:ascii="Arial" w:hAnsi="Arial" w:cs="Arial"/>
          <w:sz w:val="20"/>
          <w:szCs w:val="20"/>
        </w:rPr>
        <w:t xml:space="preserve"> promastigote membrane antigens as diagnostic and vaccine candidates against visceral leishmaniasis. </w:t>
      </w:r>
      <w:r w:rsidRPr="00BC6A2A">
        <w:rPr>
          <w:rStyle w:val="Emphasis"/>
          <w:rFonts w:ascii="Arial" w:hAnsi="Arial" w:cs="Arial"/>
          <w:sz w:val="20"/>
          <w:szCs w:val="20"/>
        </w:rPr>
        <w:t>Parasites &amp; Vectors</w:t>
      </w:r>
      <w:r w:rsidRPr="00BC6A2A">
        <w:rPr>
          <w:rFonts w:ascii="Arial" w:hAnsi="Arial" w:cs="Arial"/>
          <w:sz w:val="20"/>
          <w:szCs w:val="20"/>
        </w:rPr>
        <w:t>, 13(1), 1–12.</w:t>
      </w:r>
    </w:p>
    <w:p w14:paraId="1067D5FA"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Flores-García, Y., Rosales-</w:t>
      </w:r>
      <w:proofErr w:type="spellStart"/>
      <w:r w:rsidRPr="00BC6A2A">
        <w:rPr>
          <w:rFonts w:ascii="Arial" w:hAnsi="Arial" w:cs="Arial"/>
          <w:sz w:val="20"/>
          <w:szCs w:val="20"/>
        </w:rPr>
        <w:t>Encina</w:t>
      </w:r>
      <w:proofErr w:type="spellEnd"/>
      <w:r w:rsidRPr="00BC6A2A">
        <w:rPr>
          <w:rFonts w:ascii="Arial" w:hAnsi="Arial" w:cs="Arial"/>
          <w:sz w:val="20"/>
          <w:szCs w:val="20"/>
        </w:rPr>
        <w:t xml:space="preserve">, J. L., </w:t>
      </w:r>
      <w:proofErr w:type="spellStart"/>
      <w:r w:rsidRPr="00BC6A2A">
        <w:rPr>
          <w:rFonts w:ascii="Arial" w:hAnsi="Arial" w:cs="Arial"/>
          <w:sz w:val="20"/>
          <w:szCs w:val="20"/>
        </w:rPr>
        <w:t>Satoskar</w:t>
      </w:r>
      <w:proofErr w:type="spellEnd"/>
      <w:r w:rsidRPr="00BC6A2A">
        <w:rPr>
          <w:rFonts w:ascii="Arial" w:hAnsi="Arial" w:cs="Arial"/>
          <w:sz w:val="20"/>
          <w:szCs w:val="20"/>
        </w:rPr>
        <w:t xml:space="preserve">, A. R., &amp; </w:t>
      </w:r>
      <w:proofErr w:type="spellStart"/>
      <w:r w:rsidRPr="00BC6A2A">
        <w:rPr>
          <w:rFonts w:ascii="Arial" w:hAnsi="Arial" w:cs="Arial"/>
          <w:sz w:val="20"/>
          <w:szCs w:val="20"/>
        </w:rPr>
        <w:t>Talamás-Rohana</w:t>
      </w:r>
      <w:proofErr w:type="spellEnd"/>
      <w:r w:rsidRPr="00BC6A2A">
        <w:rPr>
          <w:rFonts w:ascii="Arial" w:hAnsi="Arial" w:cs="Arial"/>
          <w:sz w:val="20"/>
          <w:szCs w:val="20"/>
        </w:rPr>
        <w:t xml:space="preserve">, P. (2011). IL-10/IFN-γ double-producing CD4+ T cells induced by immunization with an amastigote stage-specific recombinant protein of </w:t>
      </w:r>
      <w:r w:rsidRPr="00BC6A2A">
        <w:rPr>
          <w:rStyle w:val="Emphasis"/>
          <w:rFonts w:ascii="Arial" w:hAnsi="Arial" w:cs="Arial"/>
          <w:sz w:val="20"/>
          <w:szCs w:val="20"/>
        </w:rPr>
        <w:t xml:space="preserve">Trypanosoma </w:t>
      </w:r>
      <w:proofErr w:type="spellStart"/>
      <w:r w:rsidRPr="00BC6A2A">
        <w:rPr>
          <w:rStyle w:val="Emphasis"/>
          <w:rFonts w:ascii="Arial" w:hAnsi="Arial" w:cs="Arial"/>
          <w:sz w:val="20"/>
          <w:szCs w:val="20"/>
        </w:rPr>
        <w:t>cruzi</w:t>
      </w:r>
      <w:proofErr w:type="spellEnd"/>
      <w:r w:rsidRPr="00BC6A2A">
        <w:rPr>
          <w:rFonts w:ascii="Arial" w:hAnsi="Arial" w:cs="Arial"/>
          <w:sz w:val="20"/>
          <w:szCs w:val="20"/>
        </w:rPr>
        <w:t xml:space="preserve">. </w:t>
      </w:r>
      <w:r w:rsidRPr="00BC6A2A">
        <w:rPr>
          <w:rStyle w:val="Emphasis"/>
          <w:rFonts w:ascii="Arial" w:hAnsi="Arial" w:cs="Arial"/>
          <w:sz w:val="20"/>
          <w:szCs w:val="20"/>
        </w:rPr>
        <w:t>International Journal of Biological Sciences</w:t>
      </w:r>
      <w:r w:rsidRPr="00BC6A2A">
        <w:rPr>
          <w:rFonts w:ascii="Arial" w:hAnsi="Arial" w:cs="Arial"/>
          <w:sz w:val="20"/>
          <w:szCs w:val="20"/>
        </w:rPr>
        <w:t>, 7(8), 1093.</w:t>
      </w:r>
    </w:p>
    <w:p w14:paraId="7A88830D"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Hojatizade</w:t>
      </w:r>
      <w:proofErr w:type="spellEnd"/>
      <w:r w:rsidRPr="00BC6A2A">
        <w:rPr>
          <w:rFonts w:ascii="Arial" w:hAnsi="Arial" w:cs="Arial"/>
          <w:sz w:val="20"/>
          <w:szCs w:val="20"/>
        </w:rPr>
        <w:t xml:space="preserve">, M., </w:t>
      </w:r>
      <w:proofErr w:type="spellStart"/>
      <w:r w:rsidRPr="00BC6A2A">
        <w:rPr>
          <w:rFonts w:ascii="Arial" w:hAnsi="Arial" w:cs="Arial"/>
          <w:sz w:val="20"/>
          <w:szCs w:val="20"/>
        </w:rPr>
        <w:t>Badiee</w:t>
      </w:r>
      <w:proofErr w:type="spellEnd"/>
      <w:r w:rsidRPr="00BC6A2A">
        <w:rPr>
          <w:rFonts w:ascii="Arial" w:hAnsi="Arial" w:cs="Arial"/>
          <w:sz w:val="20"/>
          <w:szCs w:val="20"/>
        </w:rPr>
        <w:t xml:space="preserve">, A., </w:t>
      </w:r>
      <w:proofErr w:type="spellStart"/>
      <w:r w:rsidRPr="00BC6A2A">
        <w:rPr>
          <w:rFonts w:ascii="Arial" w:hAnsi="Arial" w:cs="Arial"/>
          <w:sz w:val="20"/>
          <w:szCs w:val="20"/>
        </w:rPr>
        <w:t>Khamesipour</w:t>
      </w:r>
      <w:proofErr w:type="spellEnd"/>
      <w:r w:rsidRPr="00BC6A2A">
        <w:rPr>
          <w:rFonts w:ascii="Arial" w:hAnsi="Arial" w:cs="Arial"/>
          <w:sz w:val="20"/>
          <w:szCs w:val="20"/>
        </w:rPr>
        <w:t xml:space="preserve">, A., &amp; </w:t>
      </w:r>
      <w:proofErr w:type="spellStart"/>
      <w:r w:rsidRPr="00BC6A2A">
        <w:rPr>
          <w:rFonts w:ascii="Arial" w:hAnsi="Arial" w:cs="Arial"/>
          <w:sz w:val="20"/>
          <w:szCs w:val="20"/>
        </w:rPr>
        <w:t>Jaafari</w:t>
      </w:r>
      <w:proofErr w:type="spellEnd"/>
      <w:r w:rsidRPr="00BC6A2A">
        <w:rPr>
          <w:rFonts w:ascii="Arial" w:hAnsi="Arial" w:cs="Arial"/>
          <w:sz w:val="20"/>
          <w:szCs w:val="20"/>
        </w:rPr>
        <w:t xml:space="preserve">, M. R. (2019). Evaluation of immune response against leishmaniasis in BALB/c mice immunized with cationic liposomes containing soluble </w:t>
      </w:r>
      <w:r w:rsidRPr="00BC6A2A">
        <w:rPr>
          <w:rStyle w:val="Emphasis"/>
          <w:rFonts w:ascii="Arial" w:hAnsi="Arial" w:cs="Arial"/>
          <w:sz w:val="20"/>
          <w:szCs w:val="20"/>
        </w:rPr>
        <w:t>Leishmania major</w:t>
      </w:r>
      <w:r w:rsidRPr="00BC6A2A">
        <w:rPr>
          <w:rFonts w:ascii="Arial" w:hAnsi="Arial" w:cs="Arial"/>
          <w:sz w:val="20"/>
          <w:szCs w:val="20"/>
        </w:rPr>
        <w:t xml:space="preserve"> antigens. </w:t>
      </w:r>
      <w:r w:rsidRPr="00BC6A2A">
        <w:rPr>
          <w:rStyle w:val="Emphasis"/>
          <w:rFonts w:ascii="Arial" w:hAnsi="Arial" w:cs="Arial"/>
          <w:sz w:val="20"/>
          <w:szCs w:val="20"/>
        </w:rPr>
        <w:t>Iranian Journal of Parasitology</w:t>
      </w:r>
      <w:r w:rsidRPr="00BC6A2A">
        <w:rPr>
          <w:rFonts w:ascii="Arial" w:hAnsi="Arial" w:cs="Arial"/>
          <w:sz w:val="20"/>
          <w:szCs w:val="20"/>
        </w:rPr>
        <w:t>, 14(1), 68.</w:t>
      </w:r>
    </w:p>
    <w:p w14:paraId="62188281"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Hosseinzade</w:t>
      </w:r>
      <w:proofErr w:type="spellEnd"/>
      <w:r w:rsidRPr="00BC6A2A">
        <w:rPr>
          <w:rFonts w:ascii="Arial" w:hAnsi="Arial" w:cs="Arial"/>
          <w:sz w:val="20"/>
          <w:szCs w:val="20"/>
        </w:rPr>
        <w:t xml:space="preserve">, A., Sadeghi, O., </w:t>
      </w:r>
      <w:proofErr w:type="spellStart"/>
      <w:r w:rsidRPr="00BC6A2A">
        <w:rPr>
          <w:rFonts w:ascii="Arial" w:hAnsi="Arial" w:cs="Arial"/>
          <w:sz w:val="20"/>
          <w:szCs w:val="20"/>
        </w:rPr>
        <w:t>Biregani</w:t>
      </w:r>
      <w:proofErr w:type="spellEnd"/>
      <w:r w:rsidRPr="00BC6A2A">
        <w:rPr>
          <w:rFonts w:ascii="Arial" w:hAnsi="Arial" w:cs="Arial"/>
          <w:sz w:val="20"/>
          <w:szCs w:val="20"/>
        </w:rPr>
        <w:t xml:space="preserve">, A. N., </w:t>
      </w:r>
      <w:proofErr w:type="spellStart"/>
      <w:r w:rsidRPr="00BC6A2A">
        <w:rPr>
          <w:rFonts w:ascii="Arial" w:hAnsi="Arial" w:cs="Arial"/>
          <w:sz w:val="20"/>
          <w:szCs w:val="20"/>
        </w:rPr>
        <w:t>Soukhtehzari</w:t>
      </w:r>
      <w:proofErr w:type="spellEnd"/>
      <w:r w:rsidRPr="00BC6A2A">
        <w:rPr>
          <w:rFonts w:ascii="Arial" w:hAnsi="Arial" w:cs="Arial"/>
          <w:sz w:val="20"/>
          <w:szCs w:val="20"/>
        </w:rPr>
        <w:t xml:space="preserve">, S., Brandt, G. S., &amp; </w:t>
      </w:r>
      <w:proofErr w:type="spellStart"/>
      <w:r w:rsidRPr="00BC6A2A">
        <w:rPr>
          <w:rFonts w:ascii="Arial" w:hAnsi="Arial" w:cs="Arial"/>
          <w:sz w:val="20"/>
          <w:szCs w:val="20"/>
        </w:rPr>
        <w:t>Esmaillzadeh</w:t>
      </w:r>
      <w:proofErr w:type="spellEnd"/>
      <w:r w:rsidRPr="00BC6A2A">
        <w:rPr>
          <w:rFonts w:ascii="Arial" w:hAnsi="Arial" w:cs="Arial"/>
          <w:sz w:val="20"/>
          <w:szCs w:val="20"/>
        </w:rPr>
        <w:t xml:space="preserve">, A. (2019). Immunomodulatory effects of flavonoids: Possible induction of CD4+ regulatory T cells through suppression of mTOR </w:t>
      </w:r>
      <w:proofErr w:type="spellStart"/>
      <w:r w:rsidRPr="00BC6A2A">
        <w:rPr>
          <w:rFonts w:ascii="Arial" w:hAnsi="Arial" w:cs="Arial"/>
          <w:sz w:val="20"/>
          <w:szCs w:val="20"/>
        </w:rPr>
        <w:t>signaling</w:t>
      </w:r>
      <w:proofErr w:type="spellEnd"/>
      <w:r w:rsidRPr="00BC6A2A">
        <w:rPr>
          <w:rFonts w:ascii="Arial" w:hAnsi="Arial" w:cs="Arial"/>
          <w:sz w:val="20"/>
          <w:szCs w:val="20"/>
        </w:rPr>
        <w:t xml:space="preserve">. </w:t>
      </w:r>
      <w:r w:rsidRPr="00BC6A2A">
        <w:rPr>
          <w:rStyle w:val="Emphasis"/>
          <w:rFonts w:ascii="Arial" w:hAnsi="Arial" w:cs="Arial"/>
          <w:sz w:val="20"/>
          <w:szCs w:val="20"/>
        </w:rPr>
        <w:t>Frontiers in Immunology</w:t>
      </w:r>
      <w:r w:rsidRPr="00BC6A2A">
        <w:rPr>
          <w:rFonts w:ascii="Arial" w:hAnsi="Arial" w:cs="Arial"/>
          <w:sz w:val="20"/>
          <w:szCs w:val="20"/>
        </w:rPr>
        <w:t>, 10, 412793.</w:t>
      </w:r>
    </w:p>
    <w:p w14:paraId="61538792"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Joshi, S., Rawat, K., Yadav, N. K., Kumar, V., Siddiqi, M. I., &amp; Dube, A. (2014). Visceral leishmaniasis: Advancements in vaccine development via classical and molecular approaches. </w:t>
      </w:r>
      <w:r w:rsidRPr="00BC6A2A">
        <w:rPr>
          <w:rStyle w:val="Emphasis"/>
          <w:rFonts w:ascii="Arial" w:hAnsi="Arial" w:cs="Arial"/>
          <w:sz w:val="20"/>
          <w:szCs w:val="20"/>
        </w:rPr>
        <w:t>Frontiers in Immunology</w:t>
      </w:r>
      <w:r w:rsidRPr="00BC6A2A">
        <w:rPr>
          <w:rFonts w:ascii="Arial" w:hAnsi="Arial" w:cs="Arial"/>
          <w:sz w:val="20"/>
          <w:szCs w:val="20"/>
        </w:rPr>
        <w:t>, 5, 90934.</w:t>
      </w:r>
    </w:p>
    <w:p w14:paraId="5C84DDC7"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Lopes, M. E., dos Santos, L. M., Sacks, D., Vieira, L. Q., &amp; Carneiro, M. B. (2021). Resistance against </w:t>
      </w:r>
      <w:r w:rsidRPr="00BC6A2A">
        <w:rPr>
          <w:rStyle w:val="Emphasis"/>
          <w:rFonts w:ascii="Arial" w:hAnsi="Arial" w:cs="Arial"/>
          <w:sz w:val="20"/>
          <w:szCs w:val="20"/>
        </w:rPr>
        <w:t>Leishmania major</w:t>
      </w:r>
      <w:r w:rsidRPr="00BC6A2A">
        <w:rPr>
          <w:rFonts w:ascii="Arial" w:hAnsi="Arial" w:cs="Arial"/>
          <w:sz w:val="20"/>
          <w:szCs w:val="20"/>
        </w:rPr>
        <w:t xml:space="preserve"> infection depends on microbiota-guided macrophage activation. </w:t>
      </w:r>
      <w:r w:rsidRPr="00BC6A2A">
        <w:rPr>
          <w:rStyle w:val="Emphasis"/>
          <w:rFonts w:ascii="Arial" w:hAnsi="Arial" w:cs="Arial"/>
          <w:sz w:val="20"/>
          <w:szCs w:val="20"/>
        </w:rPr>
        <w:t>Frontiers in Immunology</w:t>
      </w:r>
      <w:r w:rsidRPr="00BC6A2A">
        <w:rPr>
          <w:rFonts w:ascii="Arial" w:hAnsi="Arial" w:cs="Arial"/>
          <w:sz w:val="20"/>
          <w:szCs w:val="20"/>
        </w:rPr>
        <w:t>, 12, 730437.</w:t>
      </w:r>
    </w:p>
    <w:p w14:paraId="703D1127"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Maksoud</w:t>
      </w:r>
      <w:proofErr w:type="spellEnd"/>
      <w:r w:rsidRPr="00BC6A2A">
        <w:rPr>
          <w:rFonts w:ascii="Arial" w:hAnsi="Arial" w:cs="Arial"/>
          <w:sz w:val="20"/>
          <w:szCs w:val="20"/>
        </w:rPr>
        <w:t xml:space="preserve">, S., &amp; El </w:t>
      </w:r>
      <w:proofErr w:type="spellStart"/>
      <w:r w:rsidRPr="00BC6A2A">
        <w:rPr>
          <w:rFonts w:ascii="Arial" w:hAnsi="Arial" w:cs="Arial"/>
          <w:sz w:val="20"/>
          <w:szCs w:val="20"/>
        </w:rPr>
        <w:t>Hokayem</w:t>
      </w:r>
      <w:proofErr w:type="spellEnd"/>
      <w:r w:rsidRPr="00BC6A2A">
        <w:rPr>
          <w:rFonts w:ascii="Arial" w:hAnsi="Arial" w:cs="Arial"/>
          <w:sz w:val="20"/>
          <w:szCs w:val="20"/>
        </w:rPr>
        <w:t xml:space="preserve">, J. (2023). The cytokine/chemokine response in </w:t>
      </w:r>
      <w:r w:rsidRPr="00BC6A2A">
        <w:rPr>
          <w:rStyle w:val="Emphasis"/>
          <w:rFonts w:ascii="Arial" w:hAnsi="Arial" w:cs="Arial"/>
          <w:sz w:val="20"/>
          <w:szCs w:val="20"/>
        </w:rPr>
        <w:t>Leishmania</w:t>
      </w:r>
      <w:r w:rsidRPr="00BC6A2A">
        <w:rPr>
          <w:rFonts w:ascii="Arial" w:hAnsi="Arial" w:cs="Arial"/>
          <w:sz w:val="20"/>
          <w:szCs w:val="20"/>
        </w:rPr>
        <w:t xml:space="preserve">/HIV infection and co-infection. </w:t>
      </w:r>
      <w:proofErr w:type="spellStart"/>
      <w:r w:rsidRPr="00BC6A2A">
        <w:rPr>
          <w:rStyle w:val="Emphasis"/>
          <w:rFonts w:ascii="Arial" w:hAnsi="Arial" w:cs="Arial"/>
          <w:sz w:val="20"/>
          <w:szCs w:val="20"/>
        </w:rPr>
        <w:t>Heliyon</w:t>
      </w:r>
      <w:proofErr w:type="spellEnd"/>
      <w:r w:rsidRPr="00BC6A2A">
        <w:rPr>
          <w:rFonts w:ascii="Arial" w:hAnsi="Arial" w:cs="Arial"/>
          <w:sz w:val="20"/>
          <w:szCs w:val="20"/>
        </w:rPr>
        <w:t>, 9(4), e15055.</w:t>
      </w:r>
    </w:p>
    <w:p w14:paraId="71C7FAA7"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Muruthi</w:t>
      </w:r>
      <w:proofErr w:type="spellEnd"/>
      <w:r w:rsidRPr="00BC6A2A">
        <w:rPr>
          <w:rFonts w:ascii="Arial" w:hAnsi="Arial" w:cs="Arial"/>
          <w:sz w:val="20"/>
          <w:szCs w:val="20"/>
        </w:rPr>
        <w:t xml:space="preserve">, C. W., Ngugi, M. P., </w:t>
      </w:r>
      <w:proofErr w:type="spellStart"/>
      <w:r w:rsidRPr="00BC6A2A">
        <w:rPr>
          <w:rFonts w:ascii="Arial" w:hAnsi="Arial" w:cs="Arial"/>
          <w:sz w:val="20"/>
          <w:szCs w:val="20"/>
        </w:rPr>
        <w:t>Runo</w:t>
      </w:r>
      <w:proofErr w:type="spellEnd"/>
      <w:r w:rsidRPr="00BC6A2A">
        <w:rPr>
          <w:rFonts w:ascii="Arial" w:hAnsi="Arial" w:cs="Arial"/>
          <w:sz w:val="20"/>
          <w:szCs w:val="20"/>
        </w:rPr>
        <w:t xml:space="preserve">, S. M., &amp; </w:t>
      </w:r>
      <w:proofErr w:type="spellStart"/>
      <w:r w:rsidRPr="00BC6A2A">
        <w:rPr>
          <w:rFonts w:ascii="Arial" w:hAnsi="Arial" w:cs="Arial"/>
          <w:sz w:val="20"/>
          <w:szCs w:val="20"/>
        </w:rPr>
        <w:t>Mwitari</w:t>
      </w:r>
      <w:proofErr w:type="spellEnd"/>
      <w:r w:rsidRPr="00BC6A2A">
        <w:rPr>
          <w:rFonts w:ascii="Arial" w:hAnsi="Arial" w:cs="Arial"/>
          <w:sz w:val="20"/>
          <w:szCs w:val="20"/>
        </w:rPr>
        <w:t xml:space="preserve">, P. G. (2023). In vitro antioxidant activities of </w:t>
      </w:r>
      <w:r w:rsidRPr="00BC6A2A">
        <w:rPr>
          <w:rStyle w:val="Emphasis"/>
          <w:rFonts w:ascii="Arial" w:hAnsi="Arial" w:cs="Arial"/>
          <w:sz w:val="20"/>
          <w:szCs w:val="20"/>
        </w:rPr>
        <w:t>Carissa edulis</w:t>
      </w:r>
      <w:r w:rsidRPr="00BC6A2A">
        <w:rPr>
          <w:rFonts w:ascii="Arial" w:hAnsi="Arial" w:cs="Arial"/>
          <w:sz w:val="20"/>
          <w:szCs w:val="20"/>
        </w:rPr>
        <w:t xml:space="preserve"> and </w:t>
      </w:r>
      <w:proofErr w:type="spellStart"/>
      <w:r w:rsidRPr="00BC6A2A">
        <w:rPr>
          <w:rStyle w:val="Emphasis"/>
          <w:rFonts w:ascii="Arial" w:hAnsi="Arial" w:cs="Arial"/>
          <w:sz w:val="20"/>
          <w:szCs w:val="20"/>
        </w:rPr>
        <w:t>Pappea</w:t>
      </w:r>
      <w:proofErr w:type="spellEnd"/>
      <w:r w:rsidRPr="00BC6A2A">
        <w:rPr>
          <w:rStyle w:val="Emphasis"/>
          <w:rFonts w:ascii="Arial" w:hAnsi="Arial" w:cs="Arial"/>
          <w:sz w:val="20"/>
          <w:szCs w:val="20"/>
        </w:rPr>
        <w:t xml:space="preserve"> </w:t>
      </w:r>
      <w:proofErr w:type="spellStart"/>
      <w:r w:rsidRPr="00BC6A2A">
        <w:rPr>
          <w:rStyle w:val="Emphasis"/>
          <w:rFonts w:ascii="Arial" w:hAnsi="Arial" w:cs="Arial"/>
          <w:sz w:val="20"/>
          <w:szCs w:val="20"/>
        </w:rPr>
        <w:t>capensis</w:t>
      </w:r>
      <w:proofErr w:type="spellEnd"/>
      <w:r w:rsidRPr="00BC6A2A">
        <w:rPr>
          <w:rFonts w:ascii="Arial" w:hAnsi="Arial" w:cs="Arial"/>
          <w:sz w:val="20"/>
          <w:szCs w:val="20"/>
        </w:rPr>
        <w:t xml:space="preserve"> extracts. </w:t>
      </w:r>
      <w:proofErr w:type="spellStart"/>
      <w:r w:rsidRPr="00BC6A2A">
        <w:rPr>
          <w:rStyle w:val="Emphasis"/>
          <w:rFonts w:ascii="Arial" w:hAnsi="Arial" w:cs="Arial"/>
          <w:sz w:val="20"/>
          <w:szCs w:val="20"/>
        </w:rPr>
        <w:t>Heliyon</w:t>
      </w:r>
      <w:proofErr w:type="spellEnd"/>
      <w:r w:rsidRPr="00BC6A2A">
        <w:rPr>
          <w:rFonts w:ascii="Arial" w:hAnsi="Arial" w:cs="Arial"/>
          <w:sz w:val="20"/>
          <w:szCs w:val="20"/>
        </w:rPr>
        <w:t>, 9(1), e12965.</w:t>
      </w:r>
    </w:p>
    <w:p w14:paraId="1FE7D1AE"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Mutiso</w:t>
      </w:r>
      <w:proofErr w:type="spellEnd"/>
      <w:r w:rsidRPr="00BC6A2A">
        <w:rPr>
          <w:rFonts w:ascii="Arial" w:hAnsi="Arial" w:cs="Arial"/>
          <w:sz w:val="20"/>
          <w:szCs w:val="20"/>
        </w:rPr>
        <w:t xml:space="preserve">, J. M., Macharia, J. C., </w:t>
      </w:r>
      <w:proofErr w:type="spellStart"/>
      <w:r w:rsidRPr="00BC6A2A">
        <w:rPr>
          <w:rFonts w:ascii="Arial" w:hAnsi="Arial" w:cs="Arial"/>
          <w:sz w:val="20"/>
          <w:szCs w:val="20"/>
        </w:rPr>
        <w:t>Taracha</w:t>
      </w:r>
      <w:proofErr w:type="spellEnd"/>
      <w:r w:rsidRPr="00BC6A2A">
        <w:rPr>
          <w:rFonts w:ascii="Arial" w:hAnsi="Arial" w:cs="Arial"/>
          <w:sz w:val="20"/>
          <w:szCs w:val="20"/>
        </w:rPr>
        <w:t xml:space="preserve">, E., &amp; </w:t>
      </w:r>
      <w:proofErr w:type="spellStart"/>
      <w:r w:rsidRPr="00BC6A2A">
        <w:rPr>
          <w:rFonts w:ascii="Arial" w:hAnsi="Arial" w:cs="Arial"/>
          <w:sz w:val="20"/>
          <w:szCs w:val="20"/>
        </w:rPr>
        <w:t>Gicheru</w:t>
      </w:r>
      <w:proofErr w:type="spellEnd"/>
      <w:r w:rsidRPr="00BC6A2A">
        <w:rPr>
          <w:rFonts w:ascii="Arial" w:hAnsi="Arial" w:cs="Arial"/>
          <w:sz w:val="20"/>
          <w:szCs w:val="20"/>
        </w:rPr>
        <w:t xml:space="preserve">, M. M. (2012). </w:t>
      </w:r>
      <w:r w:rsidRPr="00BC6A2A">
        <w:rPr>
          <w:rStyle w:val="Emphasis"/>
          <w:rFonts w:ascii="Arial" w:hAnsi="Arial" w:cs="Arial"/>
          <w:sz w:val="20"/>
          <w:szCs w:val="20"/>
        </w:rPr>
        <w:t xml:space="preserve">Leishmania </w:t>
      </w:r>
      <w:proofErr w:type="spellStart"/>
      <w:r w:rsidRPr="00BC6A2A">
        <w:rPr>
          <w:rStyle w:val="Emphasis"/>
          <w:rFonts w:ascii="Arial" w:hAnsi="Arial" w:cs="Arial"/>
          <w:sz w:val="20"/>
          <w:szCs w:val="20"/>
        </w:rPr>
        <w:t>donovani</w:t>
      </w:r>
      <w:proofErr w:type="spellEnd"/>
      <w:r w:rsidRPr="00BC6A2A">
        <w:rPr>
          <w:rFonts w:ascii="Arial" w:hAnsi="Arial" w:cs="Arial"/>
          <w:sz w:val="20"/>
          <w:szCs w:val="20"/>
        </w:rPr>
        <w:t xml:space="preserve"> whole-cell antigen delivered with adjuvants protects against visceral leishmaniasis in </w:t>
      </w:r>
      <w:proofErr w:type="spellStart"/>
      <w:r w:rsidRPr="00BC6A2A">
        <w:rPr>
          <w:rFonts w:ascii="Arial" w:hAnsi="Arial" w:cs="Arial"/>
          <w:sz w:val="20"/>
          <w:szCs w:val="20"/>
        </w:rPr>
        <w:t>vervet</w:t>
      </w:r>
      <w:proofErr w:type="spellEnd"/>
      <w:r w:rsidRPr="00BC6A2A">
        <w:rPr>
          <w:rFonts w:ascii="Arial" w:hAnsi="Arial" w:cs="Arial"/>
          <w:sz w:val="20"/>
          <w:szCs w:val="20"/>
        </w:rPr>
        <w:t xml:space="preserve"> monkeys (</w:t>
      </w:r>
      <w:proofErr w:type="spellStart"/>
      <w:r w:rsidRPr="00BC6A2A">
        <w:rPr>
          <w:rStyle w:val="Emphasis"/>
          <w:rFonts w:ascii="Arial" w:hAnsi="Arial" w:cs="Arial"/>
          <w:sz w:val="20"/>
          <w:szCs w:val="20"/>
        </w:rPr>
        <w:t>Chlorocebus</w:t>
      </w:r>
      <w:proofErr w:type="spellEnd"/>
      <w:r w:rsidRPr="00BC6A2A">
        <w:rPr>
          <w:rStyle w:val="Emphasis"/>
          <w:rFonts w:ascii="Arial" w:hAnsi="Arial" w:cs="Arial"/>
          <w:sz w:val="20"/>
          <w:szCs w:val="20"/>
        </w:rPr>
        <w:t xml:space="preserve"> aethiops</w:t>
      </w:r>
      <w:r w:rsidRPr="00BC6A2A">
        <w:rPr>
          <w:rFonts w:ascii="Arial" w:hAnsi="Arial" w:cs="Arial"/>
          <w:sz w:val="20"/>
          <w:szCs w:val="20"/>
        </w:rPr>
        <w:t xml:space="preserve">). </w:t>
      </w:r>
      <w:r w:rsidRPr="00BC6A2A">
        <w:rPr>
          <w:rStyle w:val="Emphasis"/>
          <w:rFonts w:ascii="Arial" w:hAnsi="Arial" w:cs="Arial"/>
          <w:sz w:val="20"/>
          <w:szCs w:val="20"/>
        </w:rPr>
        <w:t>Journal of Biomedical Research</w:t>
      </w:r>
      <w:r w:rsidRPr="00BC6A2A">
        <w:rPr>
          <w:rFonts w:ascii="Arial" w:hAnsi="Arial" w:cs="Arial"/>
          <w:sz w:val="20"/>
          <w:szCs w:val="20"/>
        </w:rPr>
        <w:t>, 26(1), 8.</w:t>
      </w:r>
    </w:p>
    <w:p w14:paraId="1B63C12D"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Oliveira, D. S., </w:t>
      </w:r>
      <w:proofErr w:type="spellStart"/>
      <w:r w:rsidRPr="00BC6A2A">
        <w:rPr>
          <w:rFonts w:ascii="Arial" w:hAnsi="Arial" w:cs="Arial"/>
          <w:sz w:val="20"/>
          <w:szCs w:val="20"/>
        </w:rPr>
        <w:t>Zaldívar</w:t>
      </w:r>
      <w:proofErr w:type="spellEnd"/>
      <w:r w:rsidRPr="00BC6A2A">
        <w:rPr>
          <w:rFonts w:ascii="Arial" w:hAnsi="Arial" w:cs="Arial"/>
          <w:sz w:val="20"/>
          <w:szCs w:val="20"/>
        </w:rPr>
        <w:t xml:space="preserve">, M. F., Gonçalves, A. A. M., </w:t>
      </w:r>
      <w:proofErr w:type="spellStart"/>
      <w:r w:rsidRPr="00BC6A2A">
        <w:rPr>
          <w:rFonts w:ascii="Arial" w:hAnsi="Arial" w:cs="Arial"/>
          <w:sz w:val="20"/>
          <w:szCs w:val="20"/>
        </w:rPr>
        <w:t>Resende</w:t>
      </w:r>
      <w:proofErr w:type="spellEnd"/>
      <w:r w:rsidRPr="00BC6A2A">
        <w:rPr>
          <w:rFonts w:ascii="Arial" w:hAnsi="Arial" w:cs="Arial"/>
          <w:sz w:val="20"/>
          <w:szCs w:val="20"/>
        </w:rPr>
        <w:t xml:space="preserve">, L. A., Mariano, R. M. S., Pereira, D. F. S., et al. (2024). New approaches to the prevention of visceral leishmaniasis: A review of recent patents of potential candidates for a chimeric protein vaccine. </w:t>
      </w:r>
      <w:r w:rsidRPr="00BC6A2A">
        <w:rPr>
          <w:rStyle w:val="Emphasis"/>
          <w:rFonts w:ascii="Arial" w:hAnsi="Arial" w:cs="Arial"/>
          <w:sz w:val="20"/>
          <w:szCs w:val="20"/>
        </w:rPr>
        <w:t>Vaccines</w:t>
      </w:r>
      <w:r w:rsidRPr="00BC6A2A">
        <w:rPr>
          <w:rFonts w:ascii="Arial" w:hAnsi="Arial" w:cs="Arial"/>
          <w:sz w:val="20"/>
          <w:szCs w:val="20"/>
        </w:rPr>
        <w:t>, 12(3), 271.</w:t>
      </w:r>
    </w:p>
    <w:p w14:paraId="5CF6A154"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Pacheco-Fernandez, T., Markle, H., Verma, C., Huston, R., </w:t>
      </w:r>
      <w:proofErr w:type="spellStart"/>
      <w:r w:rsidRPr="00BC6A2A">
        <w:rPr>
          <w:rFonts w:ascii="Arial" w:hAnsi="Arial" w:cs="Arial"/>
          <w:sz w:val="20"/>
          <w:szCs w:val="20"/>
        </w:rPr>
        <w:t>Gannavaram</w:t>
      </w:r>
      <w:proofErr w:type="spellEnd"/>
      <w:r w:rsidRPr="00BC6A2A">
        <w:rPr>
          <w:rFonts w:ascii="Arial" w:hAnsi="Arial" w:cs="Arial"/>
          <w:sz w:val="20"/>
          <w:szCs w:val="20"/>
        </w:rPr>
        <w:t xml:space="preserve">, S., </w:t>
      </w:r>
      <w:proofErr w:type="spellStart"/>
      <w:r w:rsidRPr="00BC6A2A">
        <w:rPr>
          <w:rFonts w:ascii="Arial" w:hAnsi="Arial" w:cs="Arial"/>
          <w:sz w:val="20"/>
          <w:szCs w:val="20"/>
        </w:rPr>
        <w:t>Nakhasi</w:t>
      </w:r>
      <w:proofErr w:type="spellEnd"/>
      <w:r w:rsidRPr="00BC6A2A">
        <w:rPr>
          <w:rFonts w:ascii="Arial" w:hAnsi="Arial" w:cs="Arial"/>
          <w:sz w:val="20"/>
          <w:szCs w:val="20"/>
        </w:rPr>
        <w:t xml:space="preserve">, H. L., et al. (2023). Field-deployable treatments for leishmaniasis: Intrinsic challenges, recent developments and next steps. </w:t>
      </w:r>
      <w:r w:rsidRPr="00BC6A2A">
        <w:rPr>
          <w:rStyle w:val="Emphasis"/>
          <w:rFonts w:ascii="Arial" w:hAnsi="Arial" w:cs="Arial"/>
          <w:sz w:val="20"/>
          <w:szCs w:val="20"/>
        </w:rPr>
        <w:t>Research and Reports in Tropical Medicine</w:t>
      </w:r>
      <w:r w:rsidRPr="00BC6A2A">
        <w:rPr>
          <w:rFonts w:ascii="Arial" w:hAnsi="Arial" w:cs="Arial"/>
          <w:sz w:val="20"/>
          <w:szCs w:val="20"/>
        </w:rPr>
        <w:t>, 14, 61.</w:t>
      </w:r>
    </w:p>
    <w:p w14:paraId="7C980661"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Ponte-Sucre, A., </w:t>
      </w:r>
      <w:proofErr w:type="spellStart"/>
      <w:r w:rsidRPr="00BC6A2A">
        <w:rPr>
          <w:rFonts w:ascii="Arial" w:hAnsi="Arial" w:cs="Arial"/>
          <w:sz w:val="20"/>
          <w:szCs w:val="20"/>
        </w:rPr>
        <w:t>Gamarro</w:t>
      </w:r>
      <w:proofErr w:type="spellEnd"/>
      <w:r w:rsidRPr="00BC6A2A">
        <w:rPr>
          <w:rFonts w:ascii="Arial" w:hAnsi="Arial" w:cs="Arial"/>
          <w:sz w:val="20"/>
          <w:szCs w:val="20"/>
        </w:rPr>
        <w:t>, F., Dujardin, J.-C., Barrett, M. P., López-</w:t>
      </w:r>
      <w:proofErr w:type="spellStart"/>
      <w:r w:rsidRPr="00BC6A2A">
        <w:rPr>
          <w:rFonts w:ascii="Arial" w:hAnsi="Arial" w:cs="Arial"/>
          <w:sz w:val="20"/>
          <w:szCs w:val="20"/>
        </w:rPr>
        <w:t>Vélez</w:t>
      </w:r>
      <w:proofErr w:type="spellEnd"/>
      <w:r w:rsidRPr="00BC6A2A">
        <w:rPr>
          <w:rFonts w:ascii="Arial" w:hAnsi="Arial" w:cs="Arial"/>
          <w:sz w:val="20"/>
          <w:szCs w:val="20"/>
        </w:rPr>
        <w:t xml:space="preserve">, R., García-Hernández, R., et al. (2017). Drug resistance and treatment failure in leishmaniasis: A 21st-century challenge. </w:t>
      </w:r>
      <w:proofErr w:type="spellStart"/>
      <w:r w:rsidRPr="00BC6A2A">
        <w:rPr>
          <w:rStyle w:val="Emphasis"/>
          <w:rFonts w:ascii="Arial" w:hAnsi="Arial" w:cs="Arial"/>
          <w:sz w:val="20"/>
          <w:szCs w:val="20"/>
        </w:rPr>
        <w:t>PLoS</w:t>
      </w:r>
      <w:proofErr w:type="spellEnd"/>
      <w:r w:rsidRPr="00BC6A2A">
        <w:rPr>
          <w:rStyle w:val="Emphasis"/>
          <w:rFonts w:ascii="Arial" w:hAnsi="Arial" w:cs="Arial"/>
          <w:sz w:val="20"/>
          <w:szCs w:val="20"/>
        </w:rPr>
        <w:t xml:space="preserve"> Neglected Tropical Diseases</w:t>
      </w:r>
      <w:r w:rsidRPr="00BC6A2A">
        <w:rPr>
          <w:rFonts w:ascii="Arial" w:hAnsi="Arial" w:cs="Arial"/>
          <w:sz w:val="20"/>
          <w:szCs w:val="20"/>
        </w:rPr>
        <w:t>, 11(12), e0006052.</w:t>
      </w:r>
    </w:p>
    <w:p w14:paraId="6F39A288"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lastRenderedPageBreak/>
        <w:t xml:space="preserve">Raman, V. S., Duthie, M. S., Fox, C. B., </w:t>
      </w:r>
      <w:proofErr w:type="spellStart"/>
      <w:r w:rsidRPr="00BC6A2A">
        <w:rPr>
          <w:rFonts w:ascii="Arial" w:hAnsi="Arial" w:cs="Arial"/>
          <w:sz w:val="20"/>
          <w:szCs w:val="20"/>
        </w:rPr>
        <w:t>Matlashewski</w:t>
      </w:r>
      <w:proofErr w:type="spellEnd"/>
      <w:r w:rsidRPr="00BC6A2A">
        <w:rPr>
          <w:rFonts w:ascii="Arial" w:hAnsi="Arial" w:cs="Arial"/>
          <w:sz w:val="20"/>
          <w:szCs w:val="20"/>
        </w:rPr>
        <w:t xml:space="preserve">, G., &amp; Reed, S. G. (2012). Adjuvants for </w:t>
      </w:r>
      <w:r w:rsidRPr="00BC6A2A">
        <w:rPr>
          <w:rStyle w:val="Emphasis"/>
          <w:rFonts w:ascii="Arial" w:hAnsi="Arial" w:cs="Arial"/>
          <w:sz w:val="20"/>
          <w:szCs w:val="20"/>
        </w:rPr>
        <w:t>Leishmania</w:t>
      </w:r>
      <w:r w:rsidRPr="00BC6A2A">
        <w:rPr>
          <w:rFonts w:ascii="Arial" w:hAnsi="Arial" w:cs="Arial"/>
          <w:sz w:val="20"/>
          <w:szCs w:val="20"/>
        </w:rPr>
        <w:t xml:space="preserve"> vaccines: From models to clinical application. </w:t>
      </w:r>
      <w:r w:rsidRPr="00BC6A2A">
        <w:rPr>
          <w:rStyle w:val="Emphasis"/>
          <w:rFonts w:ascii="Arial" w:hAnsi="Arial" w:cs="Arial"/>
          <w:sz w:val="20"/>
          <w:szCs w:val="20"/>
        </w:rPr>
        <w:t>Frontiers in Immunology</w:t>
      </w:r>
      <w:r w:rsidRPr="00BC6A2A">
        <w:rPr>
          <w:rFonts w:ascii="Arial" w:hAnsi="Arial" w:cs="Arial"/>
          <w:sz w:val="20"/>
          <w:szCs w:val="20"/>
        </w:rPr>
        <w:t>, 3, 144.</w:t>
      </w:r>
    </w:p>
    <w:p w14:paraId="2A259A2E"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Samant</w:t>
      </w:r>
      <w:proofErr w:type="spellEnd"/>
      <w:r w:rsidRPr="00BC6A2A">
        <w:rPr>
          <w:rFonts w:ascii="Arial" w:hAnsi="Arial" w:cs="Arial"/>
          <w:sz w:val="20"/>
          <w:szCs w:val="20"/>
        </w:rPr>
        <w:t xml:space="preserve">, M., </w:t>
      </w:r>
      <w:proofErr w:type="spellStart"/>
      <w:r w:rsidRPr="00BC6A2A">
        <w:rPr>
          <w:rFonts w:ascii="Arial" w:hAnsi="Arial" w:cs="Arial"/>
          <w:sz w:val="20"/>
          <w:szCs w:val="20"/>
        </w:rPr>
        <w:t>Sahu</w:t>
      </w:r>
      <w:proofErr w:type="spellEnd"/>
      <w:r w:rsidRPr="00BC6A2A">
        <w:rPr>
          <w:rFonts w:ascii="Arial" w:hAnsi="Arial" w:cs="Arial"/>
          <w:sz w:val="20"/>
          <w:szCs w:val="20"/>
        </w:rPr>
        <w:t xml:space="preserve">, U., Pandey, S. C., &amp; </w:t>
      </w:r>
      <w:proofErr w:type="spellStart"/>
      <w:r w:rsidRPr="00BC6A2A">
        <w:rPr>
          <w:rFonts w:ascii="Arial" w:hAnsi="Arial" w:cs="Arial"/>
          <w:sz w:val="20"/>
          <w:szCs w:val="20"/>
        </w:rPr>
        <w:t>Khare</w:t>
      </w:r>
      <w:proofErr w:type="spellEnd"/>
      <w:r w:rsidRPr="00BC6A2A">
        <w:rPr>
          <w:rFonts w:ascii="Arial" w:hAnsi="Arial" w:cs="Arial"/>
          <w:sz w:val="20"/>
          <w:szCs w:val="20"/>
        </w:rPr>
        <w:t xml:space="preserve">, P. (2021). Role of cytokines in experimental and human visceral leishmaniasis. </w:t>
      </w:r>
      <w:r w:rsidRPr="00BC6A2A">
        <w:rPr>
          <w:rStyle w:val="Emphasis"/>
          <w:rFonts w:ascii="Arial" w:hAnsi="Arial" w:cs="Arial"/>
          <w:sz w:val="20"/>
          <w:szCs w:val="20"/>
        </w:rPr>
        <w:t>Frontiers in Cellular and Infection Microbiology</w:t>
      </w:r>
      <w:r w:rsidRPr="00BC6A2A">
        <w:rPr>
          <w:rFonts w:ascii="Arial" w:hAnsi="Arial" w:cs="Arial"/>
          <w:sz w:val="20"/>
          <w:szCs w:val="20"/>
        </w:rPr>
        <w:t>, 11, 624009.</w:t>
      </w:r>
    </w:p>
    <w:p w14:paraId="7F98901A"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Sinani</w:t>
      </w:r>
      <w:proofErr w:type="spellEnd"/>
      <w:r w:rsidRPr="00BC6A2A">
        <w:rPr>
          <w:rFonts w:ascii="Arial" w:hAnsi="Arial" w:cs="Arial"/>
          <w:sz w:val="20"/>
          <w:szCs w:val="20"/>
        </w:rPr>
        <w:t xml:space="preserve">, G., &amp; </w:t>
      </w:r>
      <w:proofErr w:type="spellStart"/>
      <w:r w:rsidRPr="00BC6A2A">
        <w:rPr>
          <w:rFonts w:ascii="Arial" w:hAnsi="Arial" w:cs="Arial"/>
          <w:sz w:val="20"/>
          <w:szCs w:val="20"/>
        </w:rPr>
        <w:t>Şenel</w:t>
      </w:r>
      <w:proofErr w:type="spellEnd"/>
      <w:r w:rsidRPr="00BC6A2A">
        <w:rPr>
          <w:rFonts w:ascii="Arial" w:hAnsi="Arial" w:cs="Arial"/>
          <w:sz w:val="20"/>
          <w:szCs w:val="20"/>
        </w:rPr>
        <w:t xml:space="preserve">, S. (2025). Advances in vaccine adjuvant development and future perspectives. </w:t>
      </w:r>
      <w:r w:rsidRPr="00BC6A2A">
        <w:rPr>
          <w:rStyle w:val="Emphasis"/>
          <w:rFonts w:ascii="Arial" w:hAnsi="Arial" w:cs="Arial"/>
          <w:sz w:val="20"/>
          <w:szCs w:val="20"/>
        </w:rPr>
        <w:t>Drug Delivery</w:t>
      </w:r>
      <w:r w:rsidRPr="00BC6A2A">
        <w:rPr>
          <w:rFonts w:ascii="Arial" w:hAnsi="Arial" w:cs="Arial"/>
          <w:sz w:val="20"/>
          <w:szCs w:val="20"/>
        </w:rPr>
        <w:t>, 32(1), 2517137.</w:t>
      </w:r>
    </w:p>
    <w:p w14:paraId="1ADD3AE5"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Singh, O. P., Singh, B., Chakravarty, J., &amp; Sundar, S. (2016). Current challenges in treatment options for visceral leishmaniasis in India: A public health perspective. </w:t>
      </w:r>
      <w:r w:rsidRPr="00BC6A2A">
        <w:rPr>
          <w:rStyle w:val="Emphasis"/>
          <w:rFonts w:ascii="Arial" w:hAnsi="Arial" w:cs="Arial"/>
          <w:sz w:val="20"/>
          <w:szCs w:val="20"/>
        </w:rPr>
        <w:t>Infectious Diseases of Poverty</w:t>
      </w:r>
      <w:r w:rsidRPr="00BC6A2A">
        <w:rPr>
          <w:rFonts w:ascii="Arial" w:hAnsi="Arial" w:cs="Arial"/>
          <w:sz w:val="20"/>
          <w:szCs w:val="20"/>
        </w:rPr>
        <w:t>, 5(1), 1–15.</w:t>
      </w:r>
    </w:p>
    <w:p w14:paraId="34292A00"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Srivastava, S., Shankar, P., Mishra, J., &amp; Singh, S. (2016). Possibilities and challenges for developing a successful vaccine for leishmaniasis. </w:t>
      </w:r>
      <w:r w:rsidRPr="00BC6A2A">
        <w:rPr>
          <w:rStyle w:val="Emphasis"/>
          <w:rFonts w:ascii="Arial" w:hAnsi="Arial" w:cs="Arial"/>
          <w:sz w:val="20"/>
          <w:szCs w:val="20"/>
        </w:rPr>
        <w:t>Parasites &amp; Vectors</w:t>
      </w:r>
      <w:r w:rsidRPr="00BC6A2A">
        <w:rPr>
          <w:rFonts w:ascii="Arial" w:hAnsi="Arial" w:cs="Arial"/>
          <w:sz w:val="20"/>
          <w:szCs w:val="20"/>
        </w:rPr>
        <w:t>, 9(1), 277.</w:t>
      </w:r>
    </w:p>
    <w:p w14:paraId="2A3D0E6E"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Steverding</w:t>
      </w:r>
      <w:proofErr w:type="spellEnd"/>
      <w:r w:rsidRPr="00BC6A2A">
        <w:rPr>
          <w:rFonts w:ascii="Arial" w:hAnsi="Arial" w:cs="Arial"/>
          <w:sz w:val="20"/>
          <w:szCs w:val="20"/>
        </w:rPr>
        <w:t xml:space="preserve">, D. (2017). The history of leishmaniasis. </w:t>
      </w:r>
      <w:r w:rsidRPr="00BC6A2A">
        <w:rPr>
          <w:rStyle w:val="Emphasis"/>
          <w:rFonts w:ascii="Arial" w:hAnsi="Arial" w:cs="Arial"/>
          <w:sz w:val="20"/>
          <w:szCs w:val="20"/>
        </w:rPr>
        <w:t>Parasites &amp; Vectors</w:t>
      </w:r>
      <w:r w:rsidRPr="00BC6A2A">
        <w:rPr>
          <w:rFonts w:ascii="Arial" w:hAnsi="Arial" w:cs="Arial"/>
          <w:sz w:val="20"/>
          <w:szCs w:val="20"/>
        </w:rPr>
        <w:t>, 10(1), 1–10.</w:t>
      </w:r>
    </w:p>
    <w:p w14:paraId="035F4FEE"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Sundar, S. (2015). Visceral leishmaniasis. </w:t>
      </w:r>
      <w:r w:rsidRPr="00BC6A2A">
        <w:rPr>
          <w:rStyle w:val="Emphasis"/>
          <w:rFonts w:ascii="Arial" w:hAnsi="Arial" w:cs="Arial"/>
          <w:sz w:val="20"/>
          <w:szCs w:val="20"/>
        </w:rPr>
        <w:t>Tropical Parasitology</w:t>
      </w:r>
      <w:r w:rsidRPr="00BC6A2A">
        <w:rPr>
          <w:rFonts w:ascii="Arial" w:hAnsi="Arial" w:cs="Arial"/>
          <w:sz w:val="20"/>
          <w:szCs w:val="20"/>
        </w:rPr>
        <w:t>, 5(2), 83.</w:t>
      </w:r>
    </w:p>
    <w:p w14:paraId="7A8A1940" w14:textId="77777777" w:rsidR="00853D21" w:rsidRPr="00BC6A2A" w:rsidRDefault="00853D21" w:rsidP="00853D21">
      <w:pPr>
        <w:pStyle w:val="NormalWeb"/>
        <w:ind w:left="576" w:right="-72" w:hanging="576"/>
        <w:rPr>
          <w:rFonts w:ascii="Arial" w:hAnsi="Arial" w:cs="Arial"/>
          <w:sz w:val="20"/>
          <w:szCs w:val="20"/>
        </w:rPr>
      </w:pPr>
      <w:r w:rsidRPr="00BC6A2A">
        <w:rPr>
          <w:rFonts w:ascii="Arial" w:hAnsi="Arial" w:cs="Arial"/>
          <w:sz w:val="20"/>
          <w:szCs w:val="20"/>
        </w:rPr>
        <w:t xml:space="preserve">Sundar, S., &amp; Singh, B. (2014). Identifying vaccine targets for anti-leishmanial vaccine development. </w:t>
      </w:r>
      <w:r w:rsidRPr="00BC6A2A">
        <w:rPr>
          <w:rStyle w:val="Emphasis"/>
          <w:rFonts w:ascii="Arial" w:hAnsi="Arial" w:cs="Arial"/>
          <w:sz w:val="20"/>
          <w:szCs w:val="20"/>
        </w:rPr>
        <w:t>Expert Review of Vaccines</w:t>
      </w:r>
      <w:r w:rsidRPr="00BC6A2A">
        <w:rPr>
          <w:rFonts w:ascii="Arial" w:hAnsi="Arial" w:cs="Arial"/>
          <w:sz w:val="20"/>
          <w:szCs w:val="20"/>
        </w:rPr>
        <w:t>, 13(4), 489.</w:t>
      </w:r>
    </w:p>
    <w:p w14:paraId="1EF7AA82" w14:textId="7777777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Volpedo</w:t>
      </w:r>
      <w:proofErr w:type="spellEnd"/>
      <w:r w:rsidRPr="00BC6A2A">
        <w:rPr>
          <w:rFonts w:ascii="Arial" w:hAnsi="Arial" w:cs="Arial"/>
          <w:sz w:val="20"/>
          <w:szCs w:val="20"/>
        </w:rPr>
        <w:t xml:space="preserve">, G., Pacheco-Fernandez, T., Holcomb, E. A., Cipriano, N., Cox, B., &amp; </w:t>
      </w:r>
      <w:proofErr w:type="spellStart"/>
      <w:r w:rsidRPr="00BC6A2A">
        <w:rPr>
          <w:rFonts w:ascii="Arial" w:hAnsi="Arial" w:cs="Arial"/>
          <w:sz w:val="20"/>
          <w:szCs w:val="20"/>
        </w:rPr>
        <w:t>Satoskar</w:t>
      </w:r>
      <w:proofErr w:type="spellEnd"/>
      <w:r w:rsidRPr="00BC6A2A">
        <w:rPr>
          <w:rFonts w:ascii="Arial" w:hAnsi="Arial" w:cs="Arial"/>
          <w:sz w:val="20"/>
          <w:szCs w:val="20"/>
        </w:rPr>
        <w:t xml:space="preserve">, A. R. (2021). Mechanisms of immunopathogenesis in cutaneous leishmaniasis and post kala-azar dermal leishmaniasis (PKDL). </w:t>
      </w:r>
      <w:r w:rsidRPr="00BC6A2A">
        <w:rPr>
          <w:rStyle w:val="Emphasis"/>
          <w:rFonts w:ascii="Arial" w:hAnsi="Arial" w:cs="Arial"/>
          <w:sz w:val="20"/>
          <w:szCs w:val="20"/>
        </w:rPr>
        <w:t>Frontiers in Cellular and Infection Microbiology</w:t>
      </w:r>
      <w:r w:rsidRPr="00BC6A2A">
        <w:rPr>
          <w:rFonts w:ascii="Arial" w:hAnsi="Arial" w:cs="Arial"/>
          <w:sz w:val="20"/>
          <w:szCs w:val="20"/>
        </w:rPr>
        <w:t>, 11, 685296.</w:t>
      </w:r>
    </w:p>
    <w:p w14:paraId="1E54F341" w14:textId="65920CD7" w:rsidR="00853D21" w:rsidRPr="00BC6A2A" w:rsidRDefault="00853D21"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Wamai</w:t>
      </w:r>
      <w:proofErr w:type="spellEnd"/>
      <w:r w:rsidRPr="00BC6A2A">
        <w:rPr>
          <w:rFonts w:ascii="Arial" w:hAnsi="Arial" w:cs="Arial"/>
          <w:sz w:val="20"/>
          <w:szCs w:val="20"/>
        </w:rPr>
        <w:t xml:space="preserve">, R. G., Kahn, J., McGloin, J., &amp; </w:t>
      </w:r>
      <w:proofErr w:type="spellStart"/>
      <w:r w:rsidRPr="00BC6A2A">
        <w:rPr>
          <w:rFonts w:ascii="Arial" w:hAnsi="Arial" w:cs="Arial"/>
          <w:sz w:val="20"/>
          <w:szCs w:val="20"/>
        </w:rPr>
        <w:t>Ziaggi</w:t>
      </w:r>
      <w:proofErr w:type="spellEnd"/>
      <w:r w:rsidRPr="00BC6A2A">
        <w:rPr>
          <w:rFonts w:ascii="Arial" w:hAnsi="Arial" w:cs="Arial"/>
          <w:sz w:val="20"/>
          <w:szCs w:val="20"/>
        </w:rPr>
        <w:t xml:space="preserve">, G. (2020). Visceral leishmaniasis: A global overview. </w:t>
      </w:r>
      <w:r w:rsidRPr="00BC6A2A">
        <w:rPr>
          <w:rStyle w:val="Emphasis"/>
          <w:rFonts w:ascii="Arial" w:hAnsi="Arial" w:cs="Arial"/>
          <w:sz w:val="20"/>
          <w:szCs w:val="20"/>
        </w:rPr>
        <w:t>Journal of Global Health Science</w:t>
      </w:r>
      <w:r w:rsidRPr="00BC6A2A">
        <w:rPr>
          <w:rFonts w:ascii="Arial" w:hAnsi="Arial" w:cs="Arial"/>
          <w:sz w:val="20"/>
          <w:szCs w:val="20"/>
        </w:rPr>
        <w:t>, 2(1).</w:t>
      </w:r>
    </w:p>
    <w:p w14:paraId="2F038CE4" w14:textId="66611330" w:rsidR="00805505" w:rsidRPr="00BC6A2A" w:rsidRDefault="00805505" w:rsidP="00853D21">
      <w:pPr>
        <w:pStyle w:val="NormalWeb"/>
        <w:ind w:left="576" w:right="-72" w:hanging="576"/>
        <w:rPr>
          <w:rFonts w:ascii="Arial" w:hAnsi="Arial" w:cs="Arial"/>
          <w:sz w:val="20"/>
          <w:szCs w:val="20"/>
        </w:rPr>
      </w:pPr>
      <w:r w:rsidRPr="00BC6A2A">
        <w:rPr>
          <w:rFonts w:ascii="Arial" w:hAnsi="Arial" w:cs="Arial"/>
          <w:sz w:val="20"/>
          <w:szCs w:val="20"/>
        </w:rPr>
        <w:t>Zhao, T., Cai, Y., Jiang, Y., He, X., Wei, Y., Yu, Y., &amp; Tian, X. (2023). Vaccine adjuvants: mechanisms and platforms. Signal transduction and targeted therapy, 8(1), 283.</w:t>
      </w:r>
    </w:p>
    <w:p w14:paraId="352A0443" w14:textId="0E9D1EEE" w:rsidR="00F77F82" w:rsidRPr="00BC6A2A" w:rsidRDefault="00F77F82" w:rsidP="00853D21">
      <w:pPr>
        <w:pStyle w:val="NormalWeb"/>
        <w:ind w:left="576" w:right="-72" w:hanging="576"/>
        <w:rPr>
          <w:rFonts w:ascii="Arial" w:hAnsi="Arial" w:cs="Arial"/>
          <w:sz w:val="20"/>
          <w:szCs w:val="20"/>
        </w:rPr>
      </w:pPr>
      <w:r w:rsidRPr="00BC6A2A">
        <w:rPr>
          <w:rFonts w:ascii="Arial" w:hAnsi="Arial" w:cs="Arial"/>
          <w:sz w:val="20"/>
          <w:szCs w:val="20"/>
        </w:rPr>
        <w:t>Reed, S. G., Orr, M. T., &amp; Fox, C. B. (2013). Key roles of adjuvants in modern vaccines. Nature medicine, 19(12), 1597-1608.</w:t>
      </w:r>
    </w:p>
    <w:p w14:paraId="3CB852A0" w14:textId="13425780" w:rsidR="00416403" w:rsidRPr="00BC6A2A" w:rsidRDefault="00416403" w:rsidP="00853D21">
      <w:pPr>
        <w:pStyle w:val="NormalWeb"/>
        <w:ind w:left="576" w:right="-72" w:hanging="576"/>
        <w:rPr>
          <w:rFonts w:ascii="Arial" w:hAnsi="Arial" w:cs="Arial"/>
          <w:sz w:val="20"/>
          <w:szCs w:val="20"/>
        </w:rPr>
      </w:pPr>
      <w:proofErr w:type="spellStart"/>
      <w:r w:rsidRPr="00BC6A2A">
        <w:rPr>
          <w:rFonts w:ascii="Arial" w:hAnsi="Arial" w:cs="Arial"/>
          <w:sz w:val="20"/>
          <w:szCs w:val="20"/>
        </w:rPr>
        <w:t>Israël</w:t>
      </w:r>
      <w:proofErr w:type="spellEnd"/>
      <w:r w:rsidRPr="00BC6A2A">
        <w:rPr>
          <w:rFonts w:ascii="Arial" w:hAnsi="Arial" w:cs="Arial"/>
          <w:sz w:val="20"/>
          <w:szCs w:val="20"/>
        </w:rPr>
        <w:t xml:space="preserve">, D. K., Coulibaly, C. A., </w:t>
      </w:r>
      <w:proofErr w:type="spellStart"/>
      <w:r w:rsidRPr="00BC6A2A">
        <w:rPr>
          <w:rFonts w:ascii="Arial" w:hAnsi="Arial" w:cs="Arial"/>
          <w:sz w:val="20"/>
          <w:szCs w:val="20"/>
        </w:rPr>
        <w:t>Beier</w:t>
      </w:r>
      <w:proofErr w:type="spellEnd"/>
      <w:r w:rsidRPr="00BC6A2A">
        <w:rPr>
          <w:rFonts w:ascii="Arial" w:hAnsi="Arial" w:cs="Arial"/>
          <w:sz w:val="20"/>
          <w:szCs w:val="20"/>
        </w:rPr>
        <w:t xml:space="preserve">, J. C., Muller, G. C., &amp; Doumbia, S. (2021). Systematic Review of Visceral Leishmaniasis in Central Africa. Asian Journal of Medicine and Health, 19(7), 8–20. </w:t>
      </w:r>
      <w:hyperlink r:id="rId27" w:history="1">
        <w:r w:rsidRPr="00BC6A2A">
          <w:rPr>
            <w:rStyle w:val="Hyperlink"/>
            <w:rFonts w:ascii="Arial" w:hAnsi="Arial" w:cs="Arial"/>
            <w:sz w:val="20"/>
            <w:szCs w:val="20"/>
          </w:rPr>
          <w:t>https://doi.org/10.9734/ajmah/2021/v19i730341</w:t>
        </w:r>
      </w:hyperlink>
      <w:r w:rsidRPr="00BC6A2A">
        <w:rPr>
          <w:rFonts w:ascii="Arial" w:hAnsi="Arial" w:cs="Arial"/>
          <w:sz w:val="20"/>
          <w:szCs w:val="20"/>
        </w:rPr>
        <w:t xml:space="preserve"> </w:t>
      </w:r>
    </w:p>
    <w:p w14:paraId="73237AF3" w14:textId="75E1A92F" w:rsidR="009B64C1" w:rsidRPr="00BC6A2A" w:rsidRDefault="009B64C1" w:rsidP="00853D21">
      <w:pPr>
        <w:pStyle w:val="NormalWeb"/>
        <w:ind w:left="576" w:right="-72" w:hanging="576"/>
        <w:rPr>
          <w:rFonts w:ascii="Arial" w:hAnsi="Arial" w:cs="Arial"/>
          <w:sz w:val="20"/>
          <w:szCs w:val="20"/>
        </w:rPr>
      </w:pPr>
      <w:r w:rsidRPr="00BC6A2A">
        <w:rPr>
          <w:rFonts w:ascii="Arial" w:hAnsi="Arial" w:cs="Arial"/>
          <w:sz w:val="20"/>
          <w:szCs w:val="20"/>
        </w:rPr>
        <w:t xml:space="preserve">Verma, G., Nayak, S. R., Gupta, N., Bisht, R., &amp; </w:t>
      </w:r>
      <w:proofErr w:type="spellStart"/>
      <w:r w:rsidRPr="00BC6A2A">
        <w:rPr>
          <w:rFonts w:ascii="Arial" w:hAnsi="Arial" w:cs="Arial"/>
          <w:sz w:val="20"/>
          <w:szCs w:val="20"/>
        </w:rPr>
        <w:t>Tripathy</w:t>
      </w:r>
      <w:proofErr w:type="spellEnd"/>
      <w:r w:rsidRPr="00BC6A2A">
        <w:rPr>
          <w:rFonts w:ascii="Arial" w:hAnsi="Arial" w:cs="Arial"/>
          <w:sz w:val="20"/>
          <w:szCs w:val="20"/>
        </w:rPr>
        <w:t xml:space="preserve">, S. (2022). Review on Leishmaniasis. Asian Journal of Research in Infectious Diseases, 10(2), 49–54. </w:t>
      </w:r>
      <w:hyperlink r:id="rId28" w:history="1">
        <w:r w:rsidRPr="00BC6A2A">
          <w:rPr>
            <w:rStyle w:val="Hyperlink"/>
            <w:rFonts w:ascii="Arial" w:hAnsi="Arial" w:cs="Arial"/>
            <w:sz w:val="20"/>
            <w:szCs w:val="20"/>
          </w:rPr>
          <w:t>https://doi.org/10.9734/ajrid/2022/v10i230288</w:t>
        </w:r>
      </w:hyperlink>
      <w:r w:rsidRPr="00BC6A2A">
        <w:rPr>
          <w:rFonts w:ascii="Arial" w:hAnsi="Arial" w:cs="Arial"/>
          <w:sz w:val="20"/>
          <w:szCs w:val="20"/>
        </w:rPr>
        <w:t xml:space="preserve"> </w:t>
      </w:r>
    </w:p>
    <w:p w14:paraId="7F38CE6D" w14:textId="77777777" w:rsidR="002A3057" w:rsidRPr="00BC6A2A" w:rsidRDefault="002A3057" w:rsidP="00853D21">
      <w:pPr>
        <w:pStyle w:val="NormalWeb"/>
        <w:ind w:left="576" w:right="-72" w:hanging="576"/>
        <w:rPr>
          <w:rFonts w:ascii="Arial" w:hAnsi="Arial" w:cs="Arial"/>
          <w:sz w:val="20"/>
          <w:szCs w:val="20"/>
        </w:rPr>
      </w:pPr>
    </w:p>
    <w:p w14:paraId="55DEAF24" w14:textId="77777777" w:rsidR="00853D21" w:rsidRPr="00853D21" w:rsidRDefault="00853D21" w:rsidP="00853D21"/>
    <w:sectPr w:rsidR="00853D21" w:rsidRPr="00853D21" w:rsidSect="002A6B6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DDCBC" w14:textId="77777777" w:rsidR="0049437A" w:rsidRDefault="0049437A" w:rsidP="00C37E61">
      <w:r>
        <w:separator/>
      </w:r>
    </w:p>
  </w:endnote>
  <w:endnote w:type="continuationSeparator" w:id="0">
    <w:p w14:paraId="61340BF9" w14:textId="77777777" w:rsidR="0049437A" w:rsidRDefault="004943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0CAF" w14:textId="77777777" w:rsidR="002A6B60" w:rsidRDefault="002A6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6995" w14:textId="77777777" w:rsidR="002A6B60" w:rsidRDefault="002A6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2EC0" w14:textId="3E568A06" w:rsidR="00754C9A" w:rsidRPr="001D191A" w:rsidRDefault="00754C9A" w:rsidP="001D1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E6766" w14:textId="77777777" w:rsidR="0049437A" w:rsidRDefault="0049437A" w:rsidP="00C37E61">
      <w:r>
        <w:separator/>
      </w:r>
    </w:p>
  </w:footnote>
  <w:footnote w:type="continuationSeparator" w:id="0">
    <w:p w14:paraId="359D814C" w14:textId="77777777" w:rsidR="0049437A" w:rsidRDefault="004943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5E58" w14:textId="3A5F628B" w:rsidR="002A6B60" w:rsidRDefault="0049437A">
    <w:pPr>
      <w:pStyle w:val="Header"/>
    </w:pPr>
    <w:r>
      <w:rPr>
        <w:noProof/>
      </w:rPr>
      <w:pict w14:anchorId="06F68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C9DF" w14:textId="6EB3D8E9" w:rsidR="002A6B60" w:rsidRDefault="0049437A">
    <w:pPr>
      <w:pStyle w:val="Header"/>
    </w:pPr>
    <w:r>
      <w:rPr>
        <w:noProof/>
      </w:rPr>
      <w:pict w14:anchorId="1FBB4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43D1" w14:textId="2E31236C" w:rsidR="00296529" w:rsidRPr="00296529" w:rsidRDefault="0049437A" w:rsidP="00296529">
    <w:pPr>
      <w:ind w:left="2160"/>
      <w:jc w:val="center"/>
      <w:rPr>
        <w:rFonts w:ascii="Times New Roman" w:eastAsia="Calibri" w:hAnsi="Times New Roman"/>
        <w:i/>
        <w:sz w:val="18"/>
        <w:szCs w:val="22"/>
      </w:rPr>
    </w:pPr>
    <w:r>
      <w:rPr>
        <w:noProof/>
      </w:rPr>
      <w:pict w14:anchorId="586ED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C870B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98AA0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C03D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F5689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B92C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F7F80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90481A"/>
    <w:multiLevelType w:val="hybridMultilevel"/>
    <w:tmpl w:val="BDCE40E2"/>
    <w:lvl w:ilvl="0" w:tplc="67B86524">
      <w:start w:val="1"/>
      <w:numFmt w:val="decimal"/>
      <w:lvlText w:val="%1."/>
      <w:lvlJc w:val="left"/>
      <w:pPr>
        <w:ind w:left="977" w:hanging="641"/>
      </w:pPr>
      <w:rPr>
        <w:rFonts w:ascii="Times New Roman" w:eastAsia="Times New Roman" w:hAnsi="Times New Roman" w:cs="Times New Roman" w:hint="default"/>
        <w:b w:val="0"/>
        <w:bCs w:val="0"/>
        <w:i w:val="0"/>
        <w:iCs w:val="0"/>
        <w:spacing w:val="0"/>
        <w:w w:val="99"/>
        <w:sz w:val="20"/>
        <w:szCs w:val="20"/>
        <w:lang w:val="en-US" w:eastAsia="en-US" w:bidi="ar-SA"/>
      </w:rPr>
    </w:lvl>
    <w:lvl w:ilvl="1" w:tplc="96942C68">
      <w:numFmt w:val="bullet"/>
      <w:lvlText w:val="•"/>
      <w:lvlJc w:val="left"/>
      <w:pPr>
        <w:ind w:left="1890" w:hanging="641"/>
      </w:pPr>
      <w:rPr>
        <w:rFonts w:hint="default"/>
        <w:lang w:val="en-US" w:eastAsia="en-US" w:bidi="ar-SA"/>
      </w:rPr>
    </w:lvl>
    <w:lvl w:ilvl="2" w:tplc="171A9BB6">
      <w:numFmt w:val="bullet"/>
      <w:lvlText w:val="•"/>
      <w:lvlJc w:val="left"/>
      <w:pPr>
        <w:ind w:left="2800" w:hanging="641"/>
      </w:pPr>
      <w:rPr>
        <w:rFonts w:hint="default"/>
        <w:lang w:val="en-US" w:eastAsia="en-US" w:bidi="ar-SA"/>
      </w:rPr>
    </w:lvl>
    <w:lvl w:ilvl="3" w:tplc="FFB46BB8">
      <w:numFmt w:val="bullet"/>
      <w:lvlText w:val="•"/>
      <w:lvlJc w:val="left"/>
      <w:pPr>
        <w:ind w:left="3710" w:hanging="641"/>
      </w:pPr>
      <w:rPr>
        <w:rFonts w:hint="default"/>
        <w:lang w:val="en-US" w:eastAsia="en-US" w:bidi="ar-SA"/>
      </w:rPr>
    </w:lvl>
    <w:lvl w:ilvl="4" w:tplc="026C462E">
      <w:numFmt w:val="bullet"/>
      <w:lvlText w:val="•"/>
      <w:lvlJc w:val="left"/>
      <w:pPr>
        <w:ind w:left="4620" w:hanging="641"/>
      </w:pPr>
      <w:rPr>
        <w:rFonts w:hint="default"/>
        <w:lang w:val="en-US" w:eastAsia="en-US" w:bidi="ar-SA"/>
      </w:rPr>
    </w:lvl>
    <w:lvl w:ilvl="5" w:tplc="D48C78E2">
      <w:numFmt w:val="bullet"/>
      <w:lvlText w:val="•"/>
      <w:lvlJc w:val="left"/>
      <w:pPr>
        <w:ind w:left="5530" w:hanging="641"/>
      </w:pPr>
      <w:rPr>
        <w:rFonts w:hint="default"/>
        <w:lang w:val="en-US" w:eastAsia="en-US" w:bidi="ar-SA"/>
      </w:rPr>
    </w:lvl>
    <w:lvl w:ilvl="6" w:tplc="FF24BB50">
      <w:numFmt w:val="bullet"/>
      <w:lvlText w:val="•"/>
      <w:lvlJc w:val="left"/>
      <w:pPr>
        <w:ind w:left="6440" w:hanging="641"/>
      </w:pPr>
      <w:rPr>
        <w:rFonts w:hint="default"/>
        <w:lang w:val="en-US" w:eastAsia="en-US" w:bidi="ar-SA"/>
      </w:rPr>
    </w:lvl>
    <w:lvl w:ilvl="7" w:tplc="5C34CFFC">
      <w:numFmt w:val="bullet"/>
      <w:lvlText w:val="•"/>
      <w:lvlJc w:val="left"/>
      <w:pPr>
        <w:ind w:left="7350" w:hanging="641"/>
      </w:pPr>
      <w:rPr>
        <w:rFonts w:hint="default"/>
        <w:lang w:val="en-US" w:eastAsia="en-US" w:bidi="ar-SA"/>
      </w:rPr>
    </w:lvl>
    <w:lvl w:ilvl="8" w:tplc="B0589E12">
      <w:numFmt w:val="bullet"/>
      <w:lvlText w:val="•"/>
      <w:lvlJc w:val="left"/>
      <w:pPr>
        <w:ind w:left="8260" w:hanging="641"/>
      </w:pPr>
      <w:rPr>
        <w:rFonts w:hint="default"/>
        <w:lang w:val="en-US" w:eastAsia="en-US" w:bidi="ar-SA"/>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zNzYyNTcyNzAyMTFS0lEKTi0uzszPAykwrAUAUjONVSwAAAA="/>
  </w:docVars>
  <w:rsids>
    <w:rsidRoot w:val="00AA6219"/>
    <w:rsid w:val="00000F8F"/>
    <w:rsid w:val="00030174"/>
    <w:rsid w:val="000357E9"/>
    <w:rsid w:val="00037679"/>
    <w:rsid w:val="0004579C"/>
    <w:rsid w:val="00051150"/>
    <w:rsid w:val="00074AB2"/>
    <w:rsid w:val="000832A8"/>
    <w:rsid w:val="000A47FA"/>
    <w:rsid w:val="000A65D3"/>
    <w:rsid w:val="000B1E33"/>
    <w:rsid w:val="000B20AD"/>
    <w:rsid w:val="000D689F"/>
    <w:rsid w:val="000E3CFB"/>
    <w:rsid w:val="000E7B7B"/>
    <w:rsid w:val="000E7D62"/>
    <w:rsid w:val="00103357"/>
    <w:rsid w:val="00123C9F"/>
    <w:rsid w:val="00126190"/>
    <w:rsid w:val="00130F17"/>
    <w:rsid w:val="001320BF"/>
    <w:rsid w:val="00136E7D"/>
    <w:rsid w:val="00163BC4"/>
    <w:rsid w:val="00191062"/>
    <w:rsid w:val="00192B72"/>
    <w:rsid w:val="001A29D8"/>
    <w:rsid w:val="001A5CAA"/>
    <w:rsid w:val="001B00EE"/>
    <w:rsid w:val="001B0427"/>
    <w:rsid w:val="001D191A"/>
    <w:rsid w:val="001D3A51"/>
    <w:rsid w:val="001E10D2"/>
    <w:rsid w:val="001E25B4"/>
    <w:rsid w:val="001E44FE"/>
    <w:rsid w:val="001E6286"/>
    <w:rsid w:val="00200595"/>
    <w:rsid w:val="00204835"/>
    <w:rsid w:val="00211BB8"/>
    <w:rsid w:val="0022321C"/>
    <w:rsid w:val="00231920"/>
    <w:rsid w:val="0023195C"/>
    <w:rsid w:val="0024282C"/>
    <w:rsid w:val="0024473B"/>
    <w:rsid w:val="002460DC"/>
    <w:rsid w:val="00250134"/>
    <w:rsid w:val="00250985"/>
    <w:rsid w:val="002556F6"/>
    <w:rsid w:val="00283105"/>
    <w:rsid w:val="00284C4C"/>
    <w:rsid w:val="00287E4F"/>
    <w:rsid w:val="00287E68"/>
    <w:rsid w:val="002924E9"/>
    <w:rsid w:val="00296529"/>
    <w:rsid w:val="002A3057"/>
    <w:rsid w:val="002A6B60"/>
    <w:rsid w:val="002B27FB"/>
    <w:rsid w:val="002B685A"/>
    <w:rsid w:val="002C57D2"/>
    <w:rsid w:val="002E0D56"/>
    <w:rsid w:val="002E2801"/>
    <w:rsid w:val="002F0AA6"/>
    <w:rsid w:val="002F197D"/>
    <w:rsid w:val="00315186"/>
    <w:rsid w:val="0033343E"/>
    <w:rsid w:val="0033647C"/>
    <w:rsid w:val="003473D1"/>
    <w:rsid w:val="003512C2"/>
    <w:rsid w:val="00371FB6"/>
    <w:rsid w:val="003763C1"/>
    <w:rsid w:val="00376BBE"/>
    <w:rsid w:val="00382C38"/>
    <w:rsid w:val="0039224F"/>
    <w:rsid w:val="0039653B"/>
    <w:rsid w:val="003A43A4"/>
    <w:rsid w:val="003A7E18"/>
    <w:rsid w:val="003C4C86"/>
    <w:rsid w:val="003C6258"/>
    <w:rsid w:val="003E2904"/>
    <w:rsid w:val="00401927"/>
    <w:rsid w:val="0041027F"/>
    <w:rsid w:val="004109A2"/>
    <w:rsid w:val="00412475"/>
    <w:rsid w:val="00416403"/>
    <w:rsid w:val="00416DE3"/>
    <w:rsid w:val="00423789"/>
    <w:rsid w:val="00440F43"/>
    <w:rsid w:val="00441B6F"/>
    <w:rsid w:val="00446221"/>
    <w:rsid w:val="00450E62"/>
    <w:rsid w:val="004539DB"/>
    <w:rsid w:val="00471A80"/>
    <w:rsid w:val="0049437A"/>
    <w:rsid w:val="004D305E"/>
    <w:rsid w:val="004D4277"/>
    <w:rsid w:val="004D53AE"/>
    <w:rsid w:val="004E12FF"/>
    <w:rsid w:val="00502516"/>
    <w:rsid w:val="00505F06"/>
    <w:rsid w:val="00506828"/>
    <w:rsid w:val="00525EF2"/>
    <w:rsid w:val="0053056E"/>
    <w:rsid w:val="00554FDA"/>
    <w:rsid w:val="00565BDD"/>
    <w:rsid w:val="00591BE6"/>
    <w:rsid w:val="005B41B3"/>
    <w:rsid w:val="005C41B0"/>
    <w:rsid w:val="005C784C"/>
    <w:rsid w:val="005D17F6"/>
    <w:rsid w:val="005D7A20"/>
    <w:rsid w:val="005E29AE"/>
    <w:rsid w:val="005E5539"/>
    <w:rsid w:val="00602BF5"/>
    <w:rsid w:val="00617FDD"/>
    <w:rsid w:val="00633614"/>
    <w:rsid w:val="00633F68"/>
    <w:rsid w:val="00636414"/>
    <w:rsid w:val="00636EB2"/>
    <w:rsid w:val="006375B8"/>
    <w:rsid w:val="00660AFF"/>
    <w:rsid w:val="00663F51"/>
    <w:rsid w:val="00664BA2"/>
    <w:rsid w:val="0066510A"/>
    <w:rsid w:val="00670FDB"/>
    <w:rsid w:val="00673F9F"/>
    <w:rsid w:val="00686953"/>
    <w:rsid w:val="00687DEA"/>
    <w:rsid w:val="00687E67"/>
    <w:rsid w:val="006967F7"/>
    <w:rsid w:val="006A250C"/>
    <w:rsid w:val="006B21D3"/>
    <w:rsid w:val="006B57D0"/>
    <w:rsid w:val="006D30FF"/>
    <w:rsid w:val="006D6940"/>
    <w:rsid w:val="006F11EC"/>
    <w:rsid w:val="0070082C"/>
    <w:rsid w:val="00713E35"/>
    <w:rsid w:val="007369E6"/>
    <w:rsid w:val="00746E59"/>
    <w:rsid w:val="00750D61"/>
    <w:rsid w:val="0075426A"/>
    <w:rsid w:val="00754C9A"/>
    <w:rsid w:val="0075599A"/>
    <w:rsid w:val="00761D52"/>
    <w:rsid w:val="007718CC"/>
    <w:rsid w:val="0077749E"/>
    <w:rsid w:val="007862CD"/>
    <w:rsid w:val="00790ADA"/>
    <w:rsid w:val="00796C89"/>
    <w:rsid w:val="007D2288"/>
    <w:rsid w:val="007D4847"/>
    <w:rsid w:val="007E088F"/>
    <w:rsid w:val="007F7B32"/>
    <w:rsid w:val="00804BC2"/>
    <w:rsid w:val="00805505"/>
    <w:rsid w:val="0081431A"/>
    <w:rsid w:val="0083216F"/>
    <w:rsid w:val="00853D21"/>
    <w:rsid w:val="00860000"/>
    <w:rsid w:val="008623BC"/>
    <w:rsid w:val="00863BD3"/>
    <w:rsid w:val="008641ED"/>
    <w:rsid w:val="00866D66"/>
    <w:rsid w:val="008671C6"/>
    <w:rsid w:val="00875803"/>
    <w:rsid w:val="00877856"/>
    <w:rsid w:val="00880E19"/>
    <w:rsid w:val="008A7119"/>
    <w:rsid w:val="008B459E"/>
    <w:rsid w:val="008B521B"/>
    <w:rsid w:val="008C3E75"/>
    <w:rsid w:val="008D6DC1"/>
    <w:rsid w:val="008E13AE"/>
    <w:rsid w:val="008E1506"/>
    <w:rsid w:val="008E4AA9"/>
    <w:rsid w:val="008E710C"/>
    <w:rsid w:val="008F69D6"/>
    <w:rsid w:val="008F6B79"/>
    <w:rsid w:val="00902823"/>
    <w:rsid w:val="0090363B"/>
    <w:rsid w:val="00915CA6"/>
    <w:rsid w:val="00927834"/>
    <w:rsid w:val="00935413"/>
    <w:rsid w:val="009500A6"/>
    <w:rsid w:val="00951438"/>
    <w:rsid w:val="00957C18"/>
    <w:rsid w:val="009659BA"/>
    <w:rsid w:val="00983040"/>
    <w:rsid w:val="009A184E"/>
    <w:rsid w:val="009A5659"/>
    <w:rsid w:val="009B3FB9"/>
    <w:rsid w:val="009B64C1"/>
    <w:rsid w:val="009C2465"/>
    <w:rsid w:val="009D0DC4"/>
    <w:rsid w:val="009D35A0"/>
    <w:rsid w:val="009D7EB7"/>
    <w:rsid w:val="009E048A"/>
    <w:rsid w:val="009E08E9"/>
    <w:rsid w:val="009E3DB9"/>
    <w:rsid w:val="009E6E35"/>
    <w:rsid w:val="009F0EDA"/>
    <w:rsid w:val="00A03B96"/>
    <w:rsid w:val="00A05B19"/>
    <w:rsid w:val="00A1134E"/>
    <w:rsid w:val="00A2460A"/>
    <w:rsid w:val="00A24E7E"/>
    <w:rsid w:val="00A258C3"/>
    <w:rsid w:val="00A347C0"/>
    <w:rsid w:val="00A51431"/>
    <w:rsid w:val="00A539AD"/>
    <w:rsid w:val="00A94063"/>
    <w:rsid w:val="00A94FF2"/>
    <w:rsid w:val="00AA6219"/>
    <w:rsid w:val="00AA74E0"/>
    <w:rsid w:val="00AB703F"/>
    <w:rsid w:val="00AC6BB8"/>
    <w:rsid w:val="00AE008F"/>
    <w:rsid w:val="00AE156C"/>
    <w:rsid w:val="00AE1CA3"/>
    <w:rsid w:val="00B01FCD"/>
    <w:rsid w:val="00B1776C"/>
    <w:rsid w:val="00B52583"/>
    <w:rsid w:val="00B52896"/>
    <w:rsid w:val="00B9135B"/>
    <w:rsid w:val="00B95236"/>
    <w:rsid w:val="00B96BD9"/>
    <w:rsid w:val="00BA1B01"/>
    <w:rsid w:val="00BA2641"/>
    <w:rsid w:val="00BB24CE"/>
    <w:rsid w:val="00BB37AA"/>
    <w:rsid w:val="00BB465E"/>
    <w:rsid w:val="00BC53A0"/>
    <w:rsid w:val="00BC6A2A"/>
    <w:rsid w:val="00BC73A6"/>
    <w:rsid w:val="00BE62AD"/>
    <w:rsid w:val="00BF121F"/>
    <w:rsid w:val="00BF1F80"/>
    <w:rsid w:val="00C166EF"/>
    <w:rsid w:val="00C17EB0"/>
    <w:rsid w:val="00C27F5F"/>
    <w:rsid w:val="00C30A0F"/>
    <w:rsid w:val="00C37E61"/>
    <w:rsid w:val="00C70F1B"/>
    <w:rsid w:val="00C71A47"/>
    <w:rsid w:val="00C7464C"/>
    <w:rsid w:val="00C85588"/>
    <w:rsid w:val="00C94C4B"/>
    <w:rsid w:val="00CB301D"/>
    <w:rsid w:val="00CB47B8"/>
    <w:rsid w:val="00CD6755"/>
    <w:rsid w:val="00CD6856"/>
    <w:rsid w:val="00CE0089"/>
    <w:rsid w:val="00CE793C"/>
    <w:rsid w:val="00CF193C"/>
    <w:rsid w:val="00D173F1"/>
    <w:rsid w:val="00D74CB0"/>
    <w:rsid w:val="00D76160"/>
    <w:rsid w:val="00D8295D"/>
    <w:rsid w:val="00DA5226"/>
    <w:rsid w:val="00DC2A65"/>
    <w:rsid w:val="00DC7D01"/>
    <w:rsid w:val="00DE15F0"/>
    <w:rsid w:val="00DE5663"/>
    <w:rsid w:val="00DE78AA"/>
    <w:rsid w:val="00E053D0"/>
    <w:rsid w:val="00E15994"/>
    <w:rsid w:val="00E3114E"/>
    <w:rsid w:val="00E31A70"/>
    <w:rsid w:val="00E35B02"/>
    <w:rsid w:val="00E44F6F"/>
    <w:rsid w:val="00E66496"/>
    <w:rsid w:val="00E66B35"/>
    <w:rsid w:val="00E66E10"/>
    <w:rsid w:val="00E769F6"/>
    <w:rsid w:val="00E8407C"/>
    <w:rsid w:val="00E84F3C"/>
    <w:rsid w:val="00E97ED6"/>
    <w:rsid w:val="00EA012C"/>
    <w:rsid w:val="00EB468B"/>
    <w:rsid w:val="00EC6A55"/>
    <w:rsid w:val="00ED0288"/>
    <w:rsid w:val="00ED56E2"/>
    <w:rsid w:val="00ED6D2D"/>
    <w:rsid w:val="00EE52CB"/>
    <w:rsid w:val="00EF18C3"/>
    <w:rsid w:val="00EF581D"/>
    <w:rsid w:val="00EF7FD8"/>
    <w:rsid w:val="00F0553E"/>
    <w:rsid w:val="00F06F59"/>
    <w:rsid w:val="00F14BF6"/>
    <w:rsid w:val="00F17988"/>
    <w:rsid w:val="00F36054"/>
    <w:rsid w:val="00F469F0"/>
    <w:rsid w:val="00F53273"/>
    <w:rsid w:val="00F755E4"/>
    <w:rsid w:val="00F77D02"/>
    <w:rsid w:val="00F77F82"/>
    <w:rsid w:val="00FA343D"/>
    <w:rsid w:val="00FB3A86"/>
    <w:rsid w:val="00FC698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81A2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DC7D01"/>
    <w:pPr>
      <w:spacing w:after="120"/>
    </w:pPr>
  </w:style>
  <w:style w:type="character" w:customStyle="1" w:styleId="BodyTextChar">
    <w:name w:val="Body Text Char"/>
    <w:basedOn w:val="DefaultParagraphFont"/>
    <w:link w:val="BodyText"/>
    <w:semiHidden/>
    <w:rsid w:val="00DC7D01"/>
    <w:rPr>
      <w:rFonts w:ascii="Helvetica" w:hAnsi="Helvetica"/>
    </w:rPr>
  </w:style>
  <w:style w:type="paragraph" w:styleId="NormalWeb">
    <w:name w:val="Normal (Web)"/>
    <w:basedOn w:val="Normal"/>
    <w:uiPriority w:val="99"/>
    <w:semiHidden/>
    <w:unhideWhenUsed/>
    <w:rsid w:val="00853D21"/>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6006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748524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28668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105">
          <w:marLeft w:val="0"/>
          <w:marRight w:val="0"/>
          <w:marTop w:val="0"/>
          <w:marBottom w:val="0"/>
          <w:divBdr>
            <w:top w:val="none" w:sz="0" w:space="0" w:color="auto"/>
            <w:left w:val="none" w:sz="0" w:space="0" w:color="auto"/>
            <w:bottom w:val="none" w:sz="0" w:space="0" w:color="auto"/>
            <w:right w:val="none" w:sz="0" w:space="0" w:color="auto"/>
          </w:divBdr>
          <w:divsChild>
            <w:div w:id="302345426">
              <w:marLeft w:val="0"/>
              <w:marRight w:val="0"/>
              <w:marTop w:val="0"/>
              <w:marBottom w:val="0"/>
              <w:divBdr>
                <w:top w:val="none" w:sz="0" w:space="0" w:color="auto"/>
                <w:left w:val="none" w:sz="0" w:space="0" w:color="auto"/>
                <w:bottom w:val="none" w:sz="0" w:space="0" w:color="auto"/>
                <w:right w:val="none" w:sz="0" w:space="0" w:color="auto"/>
              </w:divBdr>
              <w:divsChild>
                <w:div w:id="1900091544">
                  <w:marLeft w:val="0"/>
                  <w:marRight w:val="0"/>
                  <w:marTop w:val="0"/>
                  <w:marBottom w:val="0"/>
                  <w:divBdr>
                    <w:top w:val="none" w:sz="0" w:space="0" w:color="auto"/>
                    <w:left w:val="none" w:sz="0" w:space="0" w:color="auto"/>
                    <w:bottom w:val="none" w:sz="0" w:space="0" w:color="auto"/>
                    <w:right w:val="none" w:sz="0" w:space="0" w:color="auto"/>
                  </w:divBdr>
                  <w:divsChild>
                    <w:div w:id="10752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2872781">
      <w:bodyDiv w:val="1"/>
      <w:marLeft w:val="0"/>
      <w:marRight w:val="0"/>
      <w:marTop w:val="0"/>
      <w:marBottom w:val="0"/>
      <w:divBdr>
        <w:top w:val="none" w:sz="0" w:space="0" w:color="auto"/>
        <w:left w:val="none" w:sz="0" w:space="0" w:color="auto"/>
        <w:bottom w:val="none" w:sz="0" w:space="0" w:color="auto"/>
        <w:right w:val="none" w:sz="0" w:space="0" w:color="auto"/>
      </w:divBdr>
      <w:divsChild>
        <w:div w:id="1351687263">
          <w:marLeft w:val="0"/>
          <w:marRight w:val="0"/>
          <w:marTop w:val="0"/>
          <w:marBottom w:val="0"/>
          <w:divBdr>
            <w:top w:val="none" w:sz="0" w:space="0" w:color="auto"/>
            <w:left w:val="none" w:sz="0" w:space="0" w:color="auto"/>
            <w:bottom w:val="none" w:sz="0" w:space="0" w:color="auto"/>
            <w:right w:val="none" w:sz="0" w:space="0" w:color="auto"/>
          </w:divBdr>
          <w:divsChild>
            <w:div w:id="717322307">
              <w:marLeft w:val="0"/>
              <w:marRight w:val="0"/>
              <w:marTop w:val="0"/>
              <w:marBottom w:val="0"/>
              <w:divBdr>
                <w:top w:val="none" w:sz="0" w:space="0" w:color="auto"/>
                <w:left w:val="none" w:sz="0" w:space="0" w:color="auto"/>
                <w:bottom w:val="none" w:sz="0" w:space="0" w:color="auto"/>
                <w:right w:val="none" w:sz="0" w:space="0" w:color="auto"/>
              </w:divBdr>
              <w:divsChild>
                <w:div w:id="1366445493">
                  <w:marLeft w:val="0"/>
                  <w:marRight w:val="0"/>
                  <w:marTop w:val="0"/>
                  <w:marBottom w:val="0"/>
                  <w:divBdr>
                    <w:top w:val="none" w:sz="0" w:space="0" w:color="auto"/>
                    <w:left w:val="none" w:sz="0" w:space="0" w:color="auto"/>
                    <w:bottom w:val="none" w:sz="0" w:space="0" w:color="auto"/>
                    <w:right w:val="none" w:sz="0" w:space="0" w:color="auto"/>
                  </w:divBdr>
                  <w:divsChild>
                    <w:div w:id="8141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hyperlink" Target="https://www.researchsquare.com/article/rs-7692689/v1" TargetMode="Externa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s://doi.org/10.9734/ajrid/2022/v10i230288" TargetMode="Externa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yperlink" Target="https://doi.org/10.9734/ajmah/2021/v19i730341"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38AEA-E137-48D5-A926-9492E346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51</TotalTime>
  <Pages>18</Pages>
  <Words>7679</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51353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70</cp:revision>
  <cp:lastPrinted>1999-07-06T11:00:00Z</cp:lastPrinted>
  <dcterms:created xsi:type="dcterms:W3CDTF">2026-01-18T10:28:00Z</dcterms:created>
  <dcterms:modified xsi:type="dcterms:W3CDTF">2026-02-09T09:45:00Z</dcterms:modified>
</cp:coreProperties>
</file>