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E3104" w14:textId="090C52AA" w:rsidR="006A0664" w:rsidRPr="001F0149" w:rsidRDefault="006A0664" w:rsidP="005B1D04">
      <w:pPr>
        <w:spacing w:after="0" w:line="240" w:lineRule="auto"/>
        <w:jc w:val="right"/>
        <w:rPr>
          <w:rFonts w:ascii="Arial" w:hAnsi="Arial" w:cs="Arial"/>
          <w:b/>
          <w:sz w:val="24"/>
          <w:szCs w:val="24"/>
        </w:rPr>
      </w:pPr>
      <w:r w:rsidRPr="001F0149">
        <w:rPr>
          <w:rFonts w:ascii="Arial" w:hAnsi="Arial" w:cs="Arial"/>
          <w:b/>
          <w:sz w:val="24"/>
          <w:szCs w:val="24"/>
        </w:rPr>
        <w:t>A Preliminary</w:t>
      </w:r>
      <w:r w:rsidR="009E3B6B" w:rsidRPr="001F0149">
        <w:rPr>
          <w:rFonts w:ascii="Arial" w:hAnsi="Arial" w:cs="Arial"/>
          <w:b/>
          <w:sz w:val="24"/>
          <w:szCs w:val="24"/>
        </w:rPr>
        <w:t xml:space="preserve"> </w:t>
      </w:r>
      <w:r w:rsidRPr="001F0149">
        <w:rPr>
          <w:rFonts w:ascii="Arial" w:hAnsi="Arial" w:cs="Arial"/>
          <w:b/>
          <w:sz w:val="24"/>
          <w:szCs w:val="24"/>
        </w:rPr>
        <w:t xml:space="preserve">Community-Based </w:t>
      </w:r>
      <w:r w:rsidR="009E3B6B" w:rsidRPr="001F0149">
        <w:rPr>
          <w:rFonts w:ascii="Arial" w:hAnsi="Arial" w:cs="Arial"/>
          <w:b/>
          <w:sz w:val="24"/>
          <w:szCs w:val="24"/>
        </w:rPr>
        <w:t xml:space="preserve">Assessment of </w:t>
      </w:r>
      <w:r w:rsidRPr="001F0149">
        <w:rPr>
          <w:rFonts w:ascii="Arial" w:hAnsi="Arial" w:cs="Arial"/>
          <w:b/>
          <w:sz w:val="24"/>
          <w:szCs w:val="24"/>
        </w:rPr>
        <w:t>Water Sources and</w:t>
      </w:r>
      <w:r w:rsidR="009E3B6B" w:rsidRPr="001F0149">
        <w:rPr>
          <w:rFonts w:ascii="Arial" w:hAnsi="Arial" w:cs="Arial"/>
          <w:b/>
          <w:sz w:val="24"/>
          <w:szCs w:val="24"/>
        </w:rPr>
        <w:t xml:space="preserve"> Prevalence of</w:t>
      </w:r>
      <w:r w:rsidRPr="001F0149">
        <w:rPr>
          <w:rFonts w:ascii="Arial" w:hAnsi="Arial" w:cs="Arial"/>
          <w:b/>
          <w:sz w:val="24"/>
          <w:szCs w:val="24"/>
        </w:rPr>
        <w:t xml:space="preserve"> Waterborne Diseases in </w:t>
      </w:r>
      <w:proofErr w:type="spellStart"/>
      <w:r w:rsidRPr="001F0149">
        <w:rPr>
          <w:rFonts w:ascii="Arial" w:hAnsi="Arial" w:cs="Arial"/>
          <w:b/>
          <w:sz w:val="24"/>
          <w:szCs w:val="24"/>
        </w:rPr>
        <w:t>Giri</w:t>
      </w:r>
      <w:proofErr w:type="spellEnd"/>
      <w:r w:rsidRPr="001F0149">
        <w:rPr>
          <w:rFonts w:ascii="Arial" w:hAnsi="Arial" w:cs="Arial"/>
          <w:b/>
          <w:sz w:val="24"/>
          <w:szCs w:val="24"/>
        </w:rPr>
        <w:t>, FCT Abuja</w:t>
      </w:r>
      <w:r w:rsidR="001F0149">
        <w:rPr>
          <w:rFonts w:ascii="Arial" w:hAnsi="Arial" w:cs="Arial"/>
          <w:b/>
          <w:sz w:val="24"/>
          <w:szCs w:val="24"/>
        </w:rPr>
        <w:t xml:space="preserve">, </w:t>
      </w:r>
      <w:r w:rsidR="001F0149" w:rsidRPr="001F0149">
        <w:rPr>
          <w:rFonts w:ascii="Arial" w:hAnsi="Arial" w:cs="Arial"/>
          <w:b/>
          <w:sz w:val="24"/>
          <w:szCs w:val="24"/>
        </w:rPr>
        <w:t>Nigeria</w:t>
      </w:r>
    </w:p>
    <w:p w14:paraId="75F5E9E8" w14:textId="77777777" w:rsidR="00CC0B6F" w:rsidRDefault="00CC0B6F" w:rsidP="006A0664">
      <w:pPr>
        <w:rPr>
          <w:rFonts w:ascii="Arial" w:hAnsi="Arial" w:cs="Arial"/>
        </w:rPr>
      </w:pPr>
    </w:p>
    <w:p w14:paraId="1421D3E5" w14:textId="77777777" w:rsidR="00CC0B6F" w:rsidRDefault="00CC0B6F" w:rsidP="006A0664">
      <w:pPr>
        <w:rPr>
          <w:rFonts w:ascii="Arial" w:hAnsi="Arial" w:cs="Arial"/>
        </w:rPr>
      </w:pPr>
    </w:p>
    <w:p w14:paraId="2DEE6557" w14:textId="77777777" w:rsidR="00CC0B6F" w:rsidRPr="000B224B" w:rsidRDefault="00CC0B6F" w:rsidP="006A0664">
      <w:pPr>
        <w:rPr>
          <w:rFonts w:ascii="Arial" w:hAnsi="Arial" w:cs="Arial"/>
          <w:b/>
        </w:rPr>
      </w:pPr>
    </w:p>
    <w:p w14:paraId="193E3E76" w14:textId="70CAC4D7" w:rsidR="006A0664" w:rsidRPr="000B224B" w:rsidRDefault="006A0664" w:rsidP="006A0664">
      <w:pPr>
        <w:rPr>
          <w:rFonts w:ascii="Arial" w:hAnsi="Arial" w:cs="Arial"/>
          <w:b/>
        </w:rPr>
      </w:pPr>
      <w:r w:rsidRPr="000B224B">
        <w:rPr>
          <w:rFonts w:ascii="Arial" w:hAnsi="Arial" w:cs="Arial"/>
          <w:b/>
        </w:rPr>
        <w:t>Abstract</w:t>
      </w:r>
    </w:p>
    <w:p w14:paraId="06BDA6C8" w14:textId="04CB590A" w:rsidR="003D049E" w:rsidRPr="003D049E" w:rsidRDefault="003D049E" w:rsidP="003D049E">
      <w:pPr>
        <w:spacing w:before="100" w:beforeAutospacing="1" w:after="100" w:afterAutospacing="1" w:line="240" w:lineRule="auto"/>
        <w:jc w:val="both"/>
        <w:rPr>
          <w:rFonts w:ascii="Arial" w:eastAsia="Times New Roman" w:hAnsi="Arial" w:cs="Arial"/>
          <w:sz w:val="24"/>
          <w:szCs w:val="24"/>
          <w:lang w:eastAsia="en-GB"/>
        </w:rPr>
      </w:pPr>
      <w:r w:rsidRPr="003D049E">
        <w:rPr>
          <w:rFonts w:ascii="Arial" w:eastAsia="Times New Roman" w:hAnsi="Arial" w:cs="Arial"/>
          <w:sz w:val="24"/>
          <w:szCs w:val="24"/>
          <w:lang w:eastAsia="en-GB"/>
        </w:rPr>
        <w:t xml:space="preserve">Waterborne diseases remain a major contributor to illness and death in many developing countries, largely due to limited access to safe drinking water and adequate sanitation. This </w:t>
      </w:r>
      <w:proofErr w:type="gramStart"/>
      <w:r w:rsidRPr="003D049E">
        <w:rPr>
          <w:rFonts w:ascii="Arial" w:eastAsia="Times New Roman" w:hAnsi="Arial" w:cs="Arial"/>
          <w:sz w:val="24"/>
          <w:szCs w:val="24"/>
          <w:lang w:eastAsia="en-GB"/>
        </w:rPr>
        <w:t>community based</w:t>
      </w:r>
      <w:proofErr w:type="gramEnd"/>
      <w:r w:rsidRPr="003D049E">
        <w:rPr>
          <w:rFonts w:ascii="Arial" w:eastAsia="Times New Roman" w:hAnsi="Arial" w:cs="Arial"/>
          <w:sz w:val="24"/>
          <w:szCs w:val="24"/>
          <w:lang w:eastAsia="en-GB"/>
        </w:rPr>
        <w:t xml:space="preserve"> investigation assessed household water sources and the prevalence of water-related diseases in </w:t>
      </w:r>
      <w:proofErr w:type="spellStart"/>
      <w:r w:rsidRPr="003D049E">
        <w:rPr>
          <w:rFonts w:ascii="Arial" w:eastAsia="Times New Roman" w:hAnsi="Arial" w:cs="Arial"/>
          <w:sz w:val="24"/>
          <w:szCs w:val="24"/>
          <w:lang w:eastAsia="en-GB"/>
        </w:rPr>
        <w:t>Giri</w:t>
      </w:r>
      <w:proofErr w:type="spellEnd"/>
      <w:r w:rsidRPr="003D049E">
        <w:rPr>
          <w:rFonts w:ascii="Arial" w:eastAsia="Times New Roman" w:hAnsi="Arial" w:cs="Arial"/>
          <w:sz w:val="24"/>
          <w:szCs w:val="24"/>
          <w:lang w:eastAsia="en-GB"/>
        </w:rPr>
        <w:t xml:space="preserve">, Gwagwalada Area Council, Federal Capital Territory (FCT), Abuja, Nigeria, with the aim of identifying associated public health risks. A cross-sectional study design was adopted, combining structured questionnaires administered to 50 randomly selected households with reviews of hospital records. Results showed that females constituted 76% of respondents, underscoring their primary role in domestic water management. Children under five years of age represented the most affected demographic group (46%), indicating increased vulnerability. Cholera and dysentery were the most commonly reported waterborne illnesses (30% each), while diarrhoea and typhoid fever accounted for 20% each. Overall, the findings </w:t>
      </w:r>
      <w:r w:rsidR="00E40999" w:rsidRPr="003D049E">
        <w:rPr>
          <w:rFonts w:ascii="Arial" w:eastAsia="Times New Roman" w:hAnsi="Arial" w:cs="Arial"/>
          <w:sz w:val="24"/>
          <w:szCs w:val="24"/>
          <w:lang w:eastAsia="en-GB"/>
        </w:rPr>
        <w:t>reveal</w:t>
      </w:r>
      <w:r w:rsidR="00E40999">
        <w:rPr>
          <w:rFonts w:ascii="Arial" w:eastAsia="Times New Roman" w:hAnsi="Arial" w:cs="Arial"/>
          <w:sz w:val="24"/>
          <w:szCs w:val="24"/>
          <w:lang w:eastAsia="en-GB"/>
        </w:rPr>
        <w:t xml:space="preserve"> a strong link</w:t>
      </w:r>
      <w:r w:rsidRPr="003D049E">
        <w:rPr>
          <w:rFonts w:ascii="Arial" w:eastAsia="Times New Roman" w:hAnsi="Arial" w:cs="Arial"/>
          <w:sz w:val="24"/>
          <w:szCs w:val="24"/>
          <w:lang w:eastAsia="en-GB"/>
        </w:rPr>
        <w:t xml:space="preserve"> between the high burden of waterborne diseases in </w:t>
      </w:r>
      <w:proofErr w:type="spellStart"/>
      <w:r w:rsidRPr="003D049E">
        <w:rPr>
          <w:rFonts w:ascii="Arial" w:eastAsia="Times New Roman" w:hAnsi="Arial" w:cs="Arial"/>
          <w:sz w:val="24"/>
          <w:szCs w:val="24"/>
          <w:lang w:eastAsia="en-GB"/>
        </w:rPr>
        <w:t>Giri</w:t>
      </w:r>
      <w:proofErr w:type="spellEnd"/>
      <w:r w:rsidRPr="003D049E">
        <w:rPr>
          <w:rFonts w:ascii="Arial" w:eastAsia="Times New Roman" w:hAnsi="Arial" w:cs="Arial"/>
          <w:sz w:val="24"/>
          <w:szCs w:val="24"/>
          <w:lang w:eastAsia="en-GB"/>
        </w:rPr>
        <w:t xml:space="preserve"> and the consumption of unsafe water. The study therefore calls for immediate action by government and local authorities, including the provision of reliable potable water systems, improved healthcare services, and comprehensive sanitation and hygiene awareness programs to reduce the public health impact.</w:t>
      </w:r>
    </w:p>
    <w:p w14:paraId="7F88074F" w14:textId="77777777" w:rsidR="003E01A0" w:rsidRPr="005B1D04" w:rsidRDefault="003E01A0" w:rsidP="006A0664">
      <w:pPr>
        <w:rPr>
          <w:rFonts w:ascii="Arial" w:hAnsi="Arial" w:cs="Arial"/>
          <w:sz w:val="24"/>
          <w:szCs w:val="24"/>
        </w:rPr>
      </w:pPr>
    </w:p>
    <w:p w14:paraId="208D6400" w14:textId="77777777" w:rsidR="006A0664" w:rsidRPr="005B1D04" w:rsidRDefault="006A0664" w:rsidP="006A0664">
      <w:pPr>
        <w:rPr>
          <w:rFonts w:ascii="Arial" w:hAnsi="Arial" w:cs="Arial"/>
          <w:sz w:val="24"/>
          <w:szCs w:val="24"/>
        </w:rPr>
      </w:pPr>
      <w:r w:rsidRPr="000B224B">
        <w:rPr>
          <w:rFonts w:ascii="Arial" w:hAnsi="Arial" w:cs="Arial"/>
          <w:b/>
          <w:sz w:val="24"/>
          <w:szCs w:val="24"/>
        </w:rPr>
        <w:t>Keywords:</w:t>
      </w:r>
      <w:r w:rsidRPr="005B1D04">
        <w:rPr>
          <w:rFonts w:ascii="Arial" w:hAnsi="Arial" w:cs="Arial"/>
          <w:sz w:val="24"/>
          <w:szCs w:val="24"/>
        </w:rPr>
        <w:t xml:space="preserve">  </w:t>
      </w:r>
      <w:proofErr w:type="spellStart"/>
      <w:r w:rsidRPr="005B1D04">
        <w:rPr>
          <w:rFonts w:ascii="Arial" w:hAnsi="Arial" w:cs="Arial"/>
          <w:sz w:val="24"/>
          <w:szCs w:val="24"/>
        </w:rPr>
        <w:t>Giri</w:t>
      </w:r>
      <w:proofErr w:type="spellEnd"/>
      <w:r w:rsidRPr="005B1D04">
        <w:rPr>
          <w:rFonts w:ascii="Arial" w:hAnsi="Arial" w:cs="Arial"/>
          <w:sz w:val="24"/>
          <w:szCs w:val="24"/>
        </w:rPr>
        <w:t xml:space="preserve"> community, Groundwater conta</w:t>
      </w:r>
      <w:r w:rsidR="00F542CC" w:rsidRPr="005B1D04">
        <w:rPr>
          <w:rFonts w:ascii="Arial" w:hAnsi="Arial" w:cs="Arial"/>
          <w:sz w:val="24"/>
          <w:szCs w:val="24"/>
        </w:rPr>
        <w:t>mination, P</w:t>
      </w:r>
      <w:r w:rsidRPr="005B1D04">
        <w:rPr>
          <w:rFonts w:ascii="Arial" w:hAnsi="Arial" w:cs="Arial"/>
          <w:sz w:val="24"/>
          <w:szCs w:val="24"/>
        </w:rPr>
        <w:t xml:space="preserve">ublic health, </w:t>
      </w:r>
      <w:r w:rsidR="00675530" w:rsidRPr="005B1D04">
        <w:rPr>
          <w:rFonts w:ascii="Arial" w:hAnsi="Arial" w:cs="Arial"/>
          <w:sz w:val="24"/>
          <w:szCs w:val="24"/>
        </w:rPr>
        <w:t>W</w:t>
      </w:r>
      <w:r w:rsidRPr="005B1D04">
        <w:rPr>
          <w:rFonts w:ascii="Arial" w:hAnsi="Arial" w:cs="Arial"/>
          <w:sz w:val="24"/>
          <w:szCs w:val="24"/>
        </w:rPr>
        <w:t>aterborne diseases</w:t>
      </w:r>
    </w:p>
    <w:p w14:paraId="6B42290B" w14:textId="77777777" w:rsidR="00675530" w:rsidRPr="005B1D04" w:rsidRDefault="00675530" w:rsidP="006A0664">
      <w:pPr>
        <w:rPr>
          <w:rFonts w:ascii="Arial" w:hAnsi="Arial" w:cs="Arial"/>
          <w:sz w:val="24"/>
          <w:szCs w:val="24"/>
        </w:rPr>
      </w:pPr>
    </w:p>
    <w:p w14:paraId="642D6B0D" w14:textId="77777777" w:rsidR="00675530" w:rsidRPr="005B1D04" w:rsidRDefault="00675530" w:rsidP="006A0664">
      <w:pPr>
        <w:rPr>
          <w:rFonts w:ascii="Arial" w:hAnsi="Arial" w:cs="Arial"/>
          <w:sz w:val="24"/>
          <w:szCs w:val="24"/>
        </w:rPr>
      </w:pPr>
    </w:p>
    <w:p w14:paraId="3D70CCD5" w14:textId="77777777" w:rsidR="00675530" w:rsidRPr="005B1D04" w:rsidRDefault="00675530" w:rsidP="006A0664">
      <w:pPr>
        <w:rPr>
          <w:rFonts w:ascii="Arial" w:hAnsi="Arial" w:cs="Arial"/>
          <w:sz w:val="24"/>
          <w:szCs w:val="24"/>
        </w:rPr>
      </w:pPr>
    </w:p>
    <w:p w14:paraId="574CD718" w14:textId="77777777" w:rsidR="00114935" w:rsidRDefault="00114935" w:rsidP="006A0664">
      <w:pPr>
        <w:rPr>
          <w:rFonts w:ascii="Arial" w:hAnsi="Arial" w:cs="Arial"/>
          <w:sz w:val="24"/>
          <w:szCs w:val="24"/>
        </w:rPr>
      </w:pPr>
    </w:p>
    <w:p w14:paraId="0ECE37F3" w14:textId="77777777" w:rsidR="00782B63" w:rsidRDefault="00782B63" w:rsidP="006A0664">
      <w:pPr>
        <w:rPr>
          <w:rFonts w:ascii="Arial" w:hAnsi="Arial" w:cs="Arial"/>
          <w:sz w:val="24"/>
          <w:szCs w:val="24"/>
        </w:rPr>
      </w:pPr>
    </w:p>
    <w:p w14:paraId="18452019" w14:textId="77777777" w:rsidR="00782B63" w:rsidRDefault="00782B63" w:rsidP="006A0664">
      <w:pPr>
        <w:rPr>
          <w:rFonts w:ascii="Arial" w:hAnsi="Arial" w:cs="Arial"/>
          <w:sz w:val="24"/>
          <w:szCs w:val="24"/>
        </w:rPr>
      </w:pPr>
    </w:p>
    <w:p w14:paraId="4F396C20" w14:textId="77777777" w:rsidR="00FB6ACC" w:rsidRDefault="00FB6ACC" w:rsidP="006A0664">
      <w:pPr>
        <w:rPr>
          <w:rFonts w:ascii="Arial" w:hAnsi="Arial" w:cs="Arial"/>
          <w:sz w:val="24"/>
          <w:szCs w:val="24"/>
        </w:rPr>
      </w:pPr>
    </w:p>
    <w:p w14:paraId="68F5EA27" w14:textId="77777777" w:rsidR="00FB6ACC" w:rsidRDefault="00FB6ACC" w:rsidP="006A0664">
      <w:pPr>
        <w:rPr>
          <w:rFonts w:ascii="Arial" w:hAnsi="Arial" w:cs="Arial"/>
          <w:sz w:val="24"/>
          <w:szCs w:val="24"/>
        </w:rPr>
      </w:pPr>
    </w:p>
    <w:p w14:paraId="3D24D4E7" w14:textId="77777777" w:rsidR="00FB6ACC" w:rsidRPr="005B1D04" w:rsidRDefault="00FB6ACC" w:rsidP="006A0664">
      <w:pPr>
        <w:rPr>
          <w:rFonts w:ascii="Arial" w:hAnsi="Arial" w:cs="Arial"/>
          <w:sz w:val="24"/>
          <w:szCs w:val="24"/>
        </w:rPr>
      </w:pPr>
    </w:p>
    <w:p w14:paraId="39E493DA" w14:textId="77777777" w:rsidR="006A0664" w:rsidRPr="00CC583D" w:rsidRDefault="00F542CC" w:rsidP="006A0664">
      <w:pPr>
        <w:rPr>
          <w:rFonts w:ascii="Arial" w:hAnsi="Arial" w:cs="Arial"/>
          <w:b/>
          <w:sz w:val="24"/>
          <w:szCs w:val="24"/>
        </w:rPr>
      </w:pPr>
      <w:r w:rsidRPr="00CC583D">
        <w:rPr>
          <w:rFonts w:ascii="Arial" w:hAnsi="Arial" w:cs="Arial"/>
          <w:b/>
          <w:sz w:val="24"/>
          <w:szCs w:val="24"/>
        </w:rPr>
        <w:lastRenderedPageBreak/>
        <w:t>I</w:t>
      </w:r>
      <w:r w:rsidR="00C820C8" w:rsidRPr="00CC583D">
        <w:rPr>
          <w:rFonts w:ascii="Arial" w:hAnsi="Arial" w:cs="Arial"/>
          <w:b/>
          <w:sz w:val="24"/>
          <w:szCs w:val="24"/>
        </w:rPr>
        <w:t>ntroduction</w:t>
      </w:r>
    </w:p>
    <w:p w14:paraId="1D1F4782" w14:textId="7D7A4E86" w:rsidR="008B43FD" w:rsidRPr="003B025E" w:rsidRDefault="008B43FD" w:rsidP="008B43FD">
      <w:pPr>
        <w:spacing w:before="100" w:beforeAutospacing="1" w:after="100" w:afterAutospacing="1" w:line="360" w:lineRule="auto"/>
        <w:jc w:val="both"/>
        <w:rPr>
          <w:rFonts w:ascii="Arial" w:eastAsia="Times New Roman" w:hAnsi="Arial" w:cs="Arial"/>
          <w:sz w:val="24"/>
          <w:szCs w:val="24"/>
          <w:lang w:eastAsia="en-GB"/>
        </w:rPr>
      </w:pPr>
      <w:r w:rsidRPr="003B025E">
        <w:rPr>
          <w:rFonts w:ascii="Arial" w:eastAsia="Times New Roman" w:hAnsi="Arial" w:cs="Arial"/>
          <w:sz w:val="24"/>
          <w:szCs w:val="24"/>
          <w:lang w:eastAsia="en-GB"/>
        </w:rPr>
        <w:t xml:space="preserve">Waterborne diseases remain a major public health challenge in developing countries, particularly in sub-Saharan Africa, where inadequate access to safe drinking water, sanitation, and hygiene (WASH) facilitates the transmission of pathogens through the </w:t>
      </w:r>
      <w:proofErr w:type="spellStart"/>
      <w:r w:rsidRPr="003B025E">
        <w:rPr>
          <w:rFonts w:ascii="Arial" w:eastAsia="Times New Roman" w:hAnsi="Arial" w:cs="Arial"/>
          <w:sz w:val="24"/>
          <w:szCs w:val="24"/>
          <w:lang w:eastAsia="en-GB"/>
        </w:rPr>
        <w:t>fecal</w:t>
      </w:r>
      <w:proofErr w:type="spellEnd"/>
      <w:r w:rsidRPr="003B025E">
        <w:rPr>
          <w:rFonts w:ascii="Arial" w:eastAsia="Times New Roman" w:hAnsi="Arial" w:cs="Arial"/>
          <w:sz w:val="24"/>
          <w:szCs w:val="24"/>
          <w:lang w:eastAsia="en-GB"/>
        </w:rPr>
        <w:t xml:space="preserve">–oral route (Bain </w:t>
      </w:r>
      <w:r w:rsidRPr="003B025E">
        <w:rPr>
          <w:rFonts w:ascii="Arial" w:eastAsia="Times New Roman" w:hAnsi="Arial" w:cs="Arial"/>
          <w:i/>
          <w:sz w:val="24"/>
          <w:szCs w:val="24"/>
          <w:lang w:eastAsia="en-GB"/>
        </w:rPr>
        <w:t>et al</w:t>
      </w:r>
      <w:r w:rsidRPr="003B025E">
        <w:rPr>
          <w:rFonts w:ascii="Arial" w:eastAsia="Times New Roman" w:hAnsi="Arial" w:cs="Arial"/>
          <w:sz w:val="24"/>
          <w:szCs w:val="24"/>
          <w:lang w:eastAsia="en-GB"/>
        </w:rPr>
        <w:t xml:space="preserve">., 2014; World Health Organization [WHO], 2022). These diseases, including cholera, typhoid fever, dysentery, and diarrhoeal illnesses, arise primarily from the consumption of water contaminated with human or animal </w:t>
      </w:r>
      <w:proofErr w:type="spellStart"/>
      <w:r w:rsidRPr="003B025E">
        <w:rPr>
          <w:rFonts w:ascii="Arial" w:eastAsia="Times New Roman" w:hAnsi="Arial" w:cs="Arial"/>
          <w:sz w:val="24"/>
          <w:szCs w:val="24"/>
          <w:lang w:eastAsia="en-GB"/>
        </w:rPr>
        <w:t>feces</w:t>
      </w:r>
      <w:proofErr w:type="spellEnd"/>
      <w:r w:rsidRPr="003B025E">
        <w:rPr>
          <w:rFonts w:ascii="Arial" w:eastAsia="Times New Roman" w:hAnsi="Arial" w:cs="Arial"/>
          <w:sz w:val="24"/>
          <w:szCs w:val="24"/>
          <w:lang w:eastAsia="en-GB"/>
        </w:rPr>
        <w:t xml:space="preserve"> containing pathogenic bacteria, viruses, protozoa, or parasites (Ramírez-Castillo </w:t>
      </w:r>
      <w:r w:rsidRPr="003B025E">
        <w:rPr>
          <w:rFonts w:ascii="Arial" w:eastAsia="Times New Roman" w:hAnsi="Arial" w:cs="Arial"/>
          <w:i/>
          <w:sz w:val="24"/>
          <w:szCs w:val="24"/>
          <w:lang w:eastAsia="en-GB"/>
        </w:rPr>
        <w:t>et al</w:t>
      </w:r>
      <w:r>
        <w:rPr>
          <w:rFonts w:ascii="Arial" w:eastAsia="Times New Roman" w:hAnsi="Arial" w:cs="Arial"/>
          <w:sz w:val="24"/>
          <w:szCs w:val="24"/>
          <w:lang w:eastAsia="en-GB"/>
        </w:rPr>
        <w:t xml:space="preserve">., 2015; </w:t>
      </w:r>
      <w:proofErr w:type="spellStart"/>
      <w:r>
        <w:rPr>
          <w:rFonts w:ascii="Arial" w:eastAsia="Times New Roman" w:hAnsi="Arial" w:cs="Arial"/>
          <w:sz w:val="24"/>
          <w:szCs w:val="24"/>
          <w:lang w:eastAsia="en-GB"/>
        </w:rPr>
        <w:t>Devipriya</w:t>
      </w:r>
      <w:proofErr w:type="spellEnd"/>
      <w:r>
        <w:rPr>
          <w:rFonts w:ascii="Arial" w:eastAsia="Times New Roman" w:hAnsi="Arial" w:cs="Arial"/>
          <w:sz w:val="24"/>
          <w:szCs w:val="24"/>
          <w:lang w:eastAsia="en-GB"/>
        </w:rPr>
        <w:t xml:space="preserve"> and</w:t>
      </w:r>
      <w:r w:rsidRPr="003B025E">
        <w:rPr>
          <w:rFonts w:ascii="Arial" w:eastAsia="Times New Roman" w:hAnsi="Arial" w:cs="Arial"/>
          <w:sz w:val="24"/>
          <w:szCs w:val="24"/>
          <w:lang w:eastAsia="en-GB"/>
        </w:rPr>
        <w:t xml:space="preserve"> </w:t>
      </w:r>
      <w:proofErr w:type="spellStart"/>
      <w:r w:rsidRPr="003B025E">
        <w:rPr>
          <w:rFonts w:ascii="Arial" w:eastAsia="Times New Roman" w:hAnsi="Arial" w:cs="Arial"/>
          <w:sz w:val="24"/>
          <w:szCs w:val="24"/>
          <w:lang w:eastAsia="en-GB"/>
        </w:rPr>
        <w:t>Kalaivani</w:t>
      </w:r>
      <w:proofErr w:type="spellEnd"/>
      <w:r w:rsidRPr="003B025E">
        <w:rPr>
          <w:rFonts w:ascii="Arial" w:eastAsia="Times New Roman" w:hAnsi="Arial" w:cs="Arial"/>
          <w:sz w:val="24"/>
          <w:szCs w:val="24"/>
          <w:lang w:eastAsia="en-GB"/>
        </w:rPr>
        <w:t xml:space="preserve">, 2022). Globally, unsafe water and sanitation account for millions of preventable illnesses and an estimated 2.2 million deaths annually, with children under five years disproportionately affected due to their developing </w:t>
      </w:r>
      <w:r>
        <w:rPr>
          <w:rFonts w:ascii="Arial" w:eastAsia="Times New Roman" w:hAnsi="Arial" w:cs="Arial"/>
          <w:sz w:val="24"/>
          <w:szCs w:val="24"/>
          <w:lang w:eastAsia="en-GB"/>
        </w:rPr>
        <w:t>immune systems (WHO, 2019; WHO and</w:t>
      </w:r>
      <w:r w:rsidRPr="003B025E">
        <w:rPr>
          <w:rFonts w:ascii="Arial" w:eastAsia="Times New Roman" w:hAnsi="Arial" w:cs="Arial"/>
          <w:sz w:val="24"/>
          <w:szCs w:val="24"/>
          <w:lang w:eastAsia="en-GB"/>
        </w:rPr>
        <w:t xml:space="preserve"> UNICEF, 2025).</w:t>
      </w:r>
    </w:p>
    <w:p w14:paraId="5406F7D4" w14:textId="6006FCA8" w:rsidR="008B43FD" w:rsidRPr="003B025E" w:rsidRDefault="008B43FD" w:rsidP="008B43FD">
      <w:pPr>
        <w:spacing w:before="100" w:beforeAutospacing="1" w:after="100" w:afterAutospacing="1" w:line="360" w:lineRule="auto"/>
        <w:jc w:val="both"/>
        <w:rPr>
          <w:rFonts w:ascii="Arial" w:eastAsia="Times New Roman" w:hAnsi="Arial" w:cs="Arial"/>
          <w:sz w:val="24"/>
          <w:szCs w:val="24"/>
          <w:lang w:eastAsia="en-GB"/>
        </w:rPr>
      </w:pPr>
      <w:r w:rsidRPr="003B025E">
        <w:rPr>
          <w:rFonts w:ascii="Arial" w:eastAsia="Times New Roman" w:hAnsi="Arial" w:cs="Arial"/>
          <w:sz w:val="24"/>
          <w:szCs w:val="24"/>
          <w:lang w:eastAsia="en-GB"/>
        </w:rPr>
        <w:t>In Nigeria, waterborne diseases remain endemic and are characterized by recurrent outbreaks of cholera, typhoid, dysentery, and diarrhoea, driven by rapid urbanization, inadequate waste management, flooding, and climate variability (Mike-</w:t>
      </w:r>
      <w:proofErr w:type="spellStart"/>
      <w:r w:rsidRPr="003B025E">
        <w:rPr>
          <w:rFonts w:ascii="Arial" w:eastAsia="Times New Roman" w:hAnsi="Arial" w:cs="Arial"/>
          <w:sz w:val="24"/>
          <w:szCs w:val="24"/>
          <w:lang w:eastAsia="en-GB"/>
        </w:rPr>
        <w:t>Ogburia</w:t>
      </w:r>
      <w:proofErr w:type="spellEnd"/>
      <w:r w:rsidRPr="003B025E">
        <w:rPr>
          <w:rFonts w:ascii="Arial" w:eastAsia="Times New Roman" w:hAnsi="Arial" w:cs="Arial"/>
          <w:sz w:val="24"/>
          <w:szCs w:val="24"/>
          <w:lang w:eastAsia="en-GB"/>
        </w:rPr>
        <w:t xml:space="preserve"> </w:t>
      </w:r>
      <w:r w:rsidRPr="003B025E">
        <w:rPr>
          <w:rFonts w:ascii="Arial" w:eastAsia="Times New Roman" w:hAnsi="Arial" w:cs="Arial"/>
          <w:i/>
          <w:sz w:val="24"/>
          <w:szCs w:val="24"/>
          <w:lang w:eastAsia="en-GB"/>
        </w:rPr>
        <w:t>et al</w:t>
      </w:r>
      <w:r w:rsidRPr="003B025E">
        <w:rPr>
          <w:rFonts w:ascii="Arial" w:eastAsia="Times New Roman" w:hAnsi="Arial" w:cs="Arial"/>
          <w:sz w:val="24"/>
          <w:szCs w:val="24"/>
          <w:lang w:eastAsia="en-GB"/>
        </w:rPr>
        <w:t xml:space="preserve">., 2025; UNICEF, 2025a). Groundwater sources such as boreholes and wells constitute the primary domestic water supply in many peri-urban and rural communities; however, these sources are increasingly compromised by anthropogenic activities, including proximity to pit latrines, agricultural runoff, abattoir waste, and industrial effluents (Afolabi </w:t>
      </w:r>
      <w:r w:rsidRPr="003B025E">
        <w:rPr>
          <w:rFonts w:ascii="Arial" w:eastAsia="Times New Roman" w:hAnsi="Arial" w:cs="Arial"/>
          <w:i/>
          <w:sz w:val="24"/>
          <w:szCs w:val="24"/>
          <w:lang w:eastAsia="en-GB"/>
        </w:rPr>
        <w:t>et al</w:t>
      </w:r>
      <w:r>
        <w:rPr>
          <w:rFonts w:ascii="Arial" w:eastAsia="Times New Roman" w:hAnsi="Arial" w:cs="Arial"/>
          <w:sz w:val="24"/>
          <w:szCs w:val="24"/>
          <w:lang w:eastAsia="en-GB"/>
        </w:rPr>
        <w:t>., 2022; Musa and</w:t>
      </w:r>
      <w:r w:rsidRPr="003B025E">
        <w:rPr>
          <w:rFonts w:ascii="Arial" w:eastAsia="Times New Roman" w:hAnsi="Arial" w:cs="Arial"/>
          <w:sz w:val="24"/>
          <w:szCs w:val="24"/>
          <w:lang w:eastAsia="en-GB"/>
        </w:rPr>
        <w:t xml:space="preserve"> </w:t>
      </w:r>
      <w:proofErr w:type="spellStart"/>
      <w:r w:rsidRPr="003B025E">
        <w:rPr>
          <w:rFonts w:ascii="Arial" w:eastAsia="Times New Roman" w:hAnsi="Arial" w:cs="Arial"/>
          <w:sz w:val="24"/>
          <w:szCs w:val="24"/>
          <w:lang w:eastAsia="en-GB"/>
        </w:rPr>
        <w:t>Ahanonu</w:t>
      </w:r>
      <w:proofErr w:type="spellEnd"/>
      <w:r w:rsidRPr="003B025E">
        <w:rPr>
          <w:rFonts w:ascii="Arial" w:eastAsia="Times New Roman" w:hAnsi="Arial" w:cs="Arial"/>
          <w:sz w:val="24"/>
          <w:szCs w:val="24"/>
          <w:lang w:eastAsia="en-GB"/>
        </w:rPr>
        <w:t xml:space="preserve">, 2023). Consequently, groundwater contamination with </w:t>
      </w:r>
      <w:proofErr w:type="spellStart"/>
      <w:r w:rsidRPr="003B025E">
        <w:rPr>
          <w:rFonts w:ascii="Arial" w:eastAsia="Times New Roman" w:hAnsi="Arial" w:cs="Arial"/>
          <w:sz w:val="24"/>
          <w:szCs w:val="24"/>
          <w:lang w:eastAsia="en-GB"/>
        </w:rPr>
        <w:t>fecal</w:t>
      </w:r>
      <w:proofErr w:type="spellEnd"/>
      <w:r w:rsidRPr="003B025E">
        <w:rPr>
          <w:rFonts w:ascii="Arial" w:eastAsia="Times New Roman" w:hAnsi="Arial" w:cs="Arial"/>
          <w:sz w:val="24"/>
          <w:szCs w:val="24"/>
          <w:lang w:eastAsia="en-GB"/>
        </w:rPr>
        <w:t xml:space="preserve"> coliforms, nitrates, and heavy metals has been widely reported across Nigerian communities, often exceeding World Health Organization permissible limits (</w:t>
      </w:r>
      <w:proofErr w:type="spellStart"/>
      <w:r w:rsidRPr="003B025E">
        <w:rPr>
          <w:rFonts w:ascii="Arial" w:eastAsia="Times New Roman" w:hAnsi="Arial" w:cs="Arial"/>
          <w:sz w:val="24"/>
          <w:szCs w:val="24"/>
          <w:lang w:eastAsia="en-GB"/>
        </w:rPr>
        <w:t>Etuk</w:t>
      </w:r>
      <w:proofErr w:type="spellEnd"/>
      <w:r w:rsidRPr="003B025E">
        <w:rPr>
          <w:rFonts w:ascii="Arial" w:eastAsia="Times New Roman" w:hAnsi="Arial" w:cs="Arial"/>
          <w:sz w:val="24"/>
          <w:szCs w:val="24"/>
          <w:lang w:eastAsia="en-GB"/>
        </w:rPr>
        <w:t xml:space="preserve"> </w:t>
      </w:r>
      <w:r w:rsidRPr="003B025E">
        <w:rPr>
          <w:rFonts w:ascii="Arial" w:eastAsia="Times New Roman" w:hAnsi="Arial" w:cs="Arial"/>
          <w:i/>
          <w:sz w:val="24"/>
          <w:szCs w:val="24"/>
          <w:lang w:eastAsia="en-GB"/>
        </w:rPr>
        <w:t>et al</w:t>
      </w:r>
      <w:r w:rsidRPr="003B025E">
        <w:rPr>
          <w:rFonts w:ascii="Arial" w:eastAsia="Times New Roman" w:hAnsi="Arial" w:cs="Arial"/>
          <w:sz w:val="24"/>
          <w:szCs w:val="24"/>
          <w:lang w:eastAsia="en-GB"/>
        </w:rPr>
        <w:t xml:space="preserve">., 2022; </w:t>
      </w:r>
      <w:proofErr w:type="spellStart"/>
      <w:r w:rsidRPr="003B025E">
        <w:rPr>
          <w:rFonts w:ascii="Arial" w:eastAsia="Times New Roman" w:hAnsi="Arial" w:cs="Arial"/>
          <w:sz w:val="24"/>
          <w:szCs w:val="24"/>
          <w:lang w:eastAsia="en-GB"/>
        </w:rPr>
        <w:t>Odelami-Abdulrasheed</w:t>
      </w:r>
      <w:proofErr w:type="spellEnd"/>
      <w:r w:rsidRPr="003B025E">
        <w:rPr>
          <w:rFonts w:ascii="Arial" w:eastAsia="Times New Roman" w:hAnsi="Arial" w:cs="Arial"/>
          <w:sz w:val="24"/>
          <w:szCs w:val="24"/>
          <w:lang w:eastAsia="en-GB"/>
        </w:rPr>
        <w:t xml:space="preserve"> </w:t>
      </w:r>
      <w:r w:rsidRPr="003B025E">
        <w:rPr>
          <w:rFonts w:ascii="Arial" w:eastAsia="Times New Roman" w:hAnsi="Arial" w:cs="Arial"/>
          <w:i/>
          <w:sz w:val="24"/>
          <w:szCs w:val="24"/>
          <w:lang w:eastAsia="en-GB"/>
        </w:rPr>
        <w:t>et al</w:t>
      </w:r>
      <w:r w:rsidRPr="003B025E">
        <w:rPr>
          <w:rFonts w:ascii="Arial" w:eastAsia="Times New Roman" w:hAnsi="Arial" w:cs="Arial"/>
          <w:sz w:val="24"/>
          <w:szCs w:val="24"/>
          <w:lang w:eastAsia="en-GB"/>
        </w:rPr>
        <w:t>., 2025).</w:t>
      </w:r>
    </w:p>
    <w:p w14:paraId="6845F80E" w14:textId="2095445D" w:rsidR="006A0664" w:rsidRPr="008B43FD" w:rsidRDefault="008B43FD" w:rsidP="008B43FD">
      <w:pPr>
        <w:spacing w:before="100" w:beforeAutospacing="1" w:after="100" w:afterAutospacing="1" w:line="360" w:lineRule="auto"/>
        <w:jc w:val="both"/>
        <w:rPr>
          <w:rFonts w:ascii="Arial" w:eastAsia="Times New Roman" w:hAnsi="Arial" w:cs="Arial"/>
          <w:sz w:val="24"/>
          <w:szCs w:val="24"/>
          <w:lang w:eastAsia="en-GB"/>
        </w:rPr>
      </w:pPr>
      <w:r w:rsidRPr="003B025E">
        <w:rPr>
          <w:rFonts w:ascii="Arial" w:eastAsia="Times New Roman" w:hAnsi="Arial" w:cs="Arial"/>
          <w:sz w:val="24"/>
          <w:szCs w:val="24"/>
          <w:lang w:eastAsia="en-GB"/>
        </w:rPr>
        <w:t>Despite global and national commitments toward achieving</w:t>
      </w:r>
      <w:r>
        <w:rPr>
          <w:rFonts w:ascii="Arial" w:eastAsia="Times New Roman" w:hAnsi="Arial" w:cs="Arial"/>
          <w:sz w:val="24"/>
          <w:szCs w:val="24"/>
          <w:lang w:eastAsia="en-GB"/>
        </w:rPr>
        <w:t xml:space="preserve"> Sustainable Development Goal 6 </w:t>
      </w:r>
      <w:r w:rsidRPr="003B025E">
        <w:rPr>
          <w:rFonts w:ascii="Arial" w:eastAsia="Times New Roman" w:hAnsi="Arial" w:cs="Arial"/>
          <w:sz w:val="24"/>
          <w:szCs w:val="24"/>
          <w:lang w:eastAsia="en-GB"/>
        </w:rPr>
        <w:t>ensuring universal acce</w:t>
      </w:r>
      <w:r>
        <w:rPr>
          <w:rFonts w:ascii="Arial" w:eastAsia="Times New Roman" w:hAnsi="Arial" w:cs="Arial"/>
          <w:sz w:val="24"/>
          <w:szCs w:val="24"/>
          <w:lang w:eastAsia="en-GB"/>
        </w:rPr>
        <w:t xml:space="preserve">ss to safe water and sanitation </w:t>
      </w:r>
      <w:r w:rsidRPr="003B025E">
        <w:rPr>
          <w:rFonts w:ascii="Arial" w:eastAsia="Times New Roman" w:hAnsi="Arial" w:cs="Arial"/>
          <w:sz w:val="24"/>
          <w:szCs w:val="24"/>
          <w:lang w:eastAsia="en-GB"/>
        </w:rPr>
        <w:t>Nigeria continues to lag behind, particularly in rural and per</w:t>
      </w:r>
      <w:r>
        <w:rPr>
          <w:rFonts w:ascii="Arial" w:eastAsia="Times New Roman" w:hAnsi="Arial" w:cs="Arial"/>
          <w:sz w:val="24"/>
          <w:szCs w:val="24"/>
          <w:lang w:eastAsia="en-GB"/>
        </w:rPr>
        <w:t>i-urban settlements (WHO and</w:t>
      </w:r>
      <w:r w:rsidRPr="003B025E">
        <w:rPr>
          <w:rFonts w:ascii="Arial" w:eastAsia="Times New Roman" w:hAnsi="Arial" w:cs="Arial"/>
          <w:sz w:val="24"/>
          <w:szCs w:val="24"/>
          <w:lang w:eastAsia="en-GB"/>
        </w:rPr>
        <w:t xml:space="preserve"> UNICEF, 2025). Communities such as </w:t>
      </w:r>
      <w:proofErr w:type="spellStart"/>
      <w:r w:rsidRPr="003B025E">
        <w:rPr>
          <w:rFonts w:ascii="Arial" w:eastAsia="Times New Roman" w:hAnsi="Arial" w:cs="Arial"/>
          <w:sz w:val="24"/>
          <w:szCs w:val="24"/>
          <w:lang w:eastAsia="en-GB"/>
        </w:rPr>
        <w:t>Giri</w:t>
      </w:r>
      <w:proofErr w:type="spellEnd"/>
      <w:r w:rsidRPr="003B025E">
        <w:rPr>
          <w:rFonts w:ascii="Arial" w:eastAsia="Times New Roman" w:hAnsi="Arial" w:cs="Arial"/>
          <w:sz w:val="24"/>
          <w:szCs w:val="24"/>
          <w:lang w:eastAsia="en-GB"/>
        </w:rPr>
        <w:t xml:space="preserve"> in Gwagwalada Area Council exemplify these challenges, where reliance on untreated groundwater and poor sanitation practices heighten exposure to waterborne pathogens. Understanding the link between domestic water sources and disease prevalence in such settings is essential for informing targeted public health interventions and improving water safety management.</w:t>
      </w:r>
      <w:r w:rsidRPr="008B43FD">
        <w:rPr>
          <w:rFonts w:ascii="Arial" w:eastAsia="Times New Roman" w:hAnsi="Arial" w:cs="Arial"/>
          <w:sz w:val="24"/>
          <w:szCs w:val="24"/>
          <w:lang w:eastAsia="en-GB"/>
        </w:rPr>
        <w:t xml:space="preserve"> </w:t>
      </w:r>
      <w:r w:rsidR="006A0664" w:rsidRPr="008B43FD">
        <w:rPr>
          <w:rFonts w:ascii="Arial" w:hAnsi="Arial" w:cs="Arial"/>
          <w:sz w:val="24"/>
          <w:szCs w:val="24"/>
        </w:rPr>
        <w:t xml:space="preserve">This study aims </w:t>
      </w:r>
      <w:r w:rsidR="006A0664" w:rsidRPr="008B43FD">
        <w:rPr>
          <w:rFonts w:ascii="Arial" w:hAnsi="Arial" w:cs="Arial"/>
          <w:sz w:val="24"/>
          <w:szCs w:val="24"/>
        </w:rPr>
        <w:lastRenderedPageBreak/>
        <w:t>to: (</w:t>
      </w:r>
      <w:proofErr w:type="spellStart"/>
      <w:r w:rsidR="006A0664" w:rsidRPr="008B43FD">
        <w:rPr>
          <w:rFonts w:ascii="Arial" w:hAnsi="Arial" w:cs="Arial"/>
          <w:sz w:val="24"/>
          <w:szCs w:val="24"/>
        </w:rPr>
        <w:t>i</w:t>
      </w:r>
      <w:proofErr w:type="spellEnd"/>
      <w:r w:rsidR="006A0664" w:rsidRPr="008B43FD">
        <w:rPr>
          <w:rFonts w:ascii="Arial" w:hAnsi="Arial" w:cs="Arial"/>
          <w:sz w:val="24"/>
          <w:szCs w:val="24"/>
        </w:rPr>
        <w:t>) examine water sources for domestic use, and (ii) identify prevalent waterborne diseases among residents</w:t>
      </w:r>
      <w:r w:rsidR="006A0664" w:rsidRPr="008B43FD">
        <w:rPr>
          <w:rFonts w:ascii="Arial" w:hAnsi="Arial" w:cs="Arial"/>
          <w:color w:val="FF0000"/>
          <w:sz w:val="24"/>
          <w:szCs w:val="24"/>
        </w:rPr>
        <w:t>.</w:t>
      </w:r>
    </w:p>
    <w:p w14:paraId="5F4A1291" w14:textId="77777777" w:rsidR="006A0664" w:rsidRPr="005B1D04" w:rsidRDefault="00675530" w:rsidP="006A0664">
      <w:pPr>
        <w:rPr>
          <w:rFonts w:ascii="Arial" w:hAnsi="Arial" w:cs="Arial"/>
          <w:b/>
          <w:sz w:val="24"/>
          <w:szCs w:val="24"/>
        </w:rPr>
      </w:pPr>
      <w:r w:rsidRPr="005B1D04">
        <w:rPr>
          <w:rFonts w:ascii="Arial" w:hAnsi="Arial" w:cs="Arial"/>
          <w:b/>
          <w:sz w:val="24"/>
          <w:szCs w:val="24"/>
        </w:rPr>
        <w:t>Materials and Methods</w:t>
      </w:r>
    </w:p>
    <w:p w14:paraId="37B72A94"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Study Are</w:t>
      </w:r>
      <w:r w:rsidR="00675530" w:rsidRPr="005B1D04">
        <w:rPr>
          <w:rFonts w:ascii="Arial" w:hAnsi="Arial" w:cs="Arial"/>
          <w:sz w:val="24"/>
          <w:szCs w:val="24"/>
        </w:rPr>
        <w:t>a</w:t>
      </w:r>
      <w:r w:rsidRPr="005B1D04">
        <w:rPr>
          <w:rFonts w:ascii="Arial" w:hAnsi="Arial" w:cs="Arial"/>
          <w:sz w:val="24"/>
          <w:szCs w:val="24"/>
        </w:rPr>
        <w:t xml:space="preserve"> </w:t>
      </w:r>
    </w:p>
    <w:p w14:paraId="08E94ACF"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The study was conducted in </w:t>
      </w:r>
      <w:proofErr w:type="spellStart"/>
      <w:r w:rsidRPr="005B1D04">
        <w:rPr>
          <w:rFonts w:ascii="Arial" w:hAnsi="Arial" w:cs="Arial"/>
          <w:sz w:val="24"/>
          <w:szCs w:val="24"/>
        </w:rPr>
        <w:t>Giri</w:t>
      </w:r>
      <w:proofErr w:type="spellEnd"/>
      <w:r w:rsidRPr="005B1D04">
        <w:rPr>
          <w:rFonts w:ascii="Arial" w:hAnsi="Arial" w:cs="Arial"/>
          <w:sz w:val="24"/>
          <w:szCs w:val="24"/>
        </w:rPr>
        <w:t xml:space="preserve"> community, Gwagwalada Area Council, Federal Capital Territory (FCT), Abuja, Nigeria. </w:t>
      </w:r>
      <w:proofErr w:type="spellStart"/>
      <w:r w:rsidRPr="005B1D04">
        <w:rPr>
          <w:rFonts w:ascii="Arial" w:hAnsi="Arial" w:cs="Arial"/>
          <w:sz w:val="24"/>
          <w:szCs w:val="24"/>
        </w:rPr>
        <w:t>Giri</w:t>
      </w:r>
      <w:proofErr w:type="spellEnd"/>
      <w:r w:rsidRPr="005B1D04">
        <w:rPr>
          <w:rFonts w:ascii="Arial" w:hAnsi="Arial" w:cs="Arial"/>
          <w:sz w:val="24"/>
          <w:szCs w:val="24"/>
        </w:rPr>
        <w:t xml:space="preserve"> is a peri-urban settlement within Gwagwalada, which spans approximately 1,043 km². The area has a tropical savanna climate with average temperatures ranging from 21°C to 34°C (Nigerian Meteorological Agency [NIMET], 2021). Residents are predominantly from lower socioeconomic backgrounds, engaged in informal sector activities. Environmental challenges include poor waste management, open defecation, and reliance on potentially contaminated groundwater.</w:t>
      </w:r>
    </w:p>
    <w:p w14:paraId="78E78EE8" w14:textId="77777777" w:rsidR="00B0369B" w:rsidRPr="005B1D04" w:rsidRDefault="005F3EAE" w:rsidP="00675530">
      <w:pPr>
        <w:jc w:val="both"/>
        <w:rPr>
          <w:rFonts w:ascii="Arial" w:hAnsi="Arial" w:cs="Arial"/>
          <w:sz w:val="24"/>
          <w:szCs w:val="24"/>
        </w:rPr>
      </w:pPr>
      <w:r w:rsidRPr="005B1D04">
        <w:rPr>
          <w:rFonts w:ascii="Arial" w:hAnsi="Arial" w:cs="Arial"/>
          <w:noProof/>
          <w:lang w:eastAsia="en-GB"/>
        </w:rPr>
        <w:drawing>
          <wp:inline distT="0" distB="0" distL="0" distR="0" wp14:anchorId="3167B969" wp14:editId="7340AE49">
            <wp:extent cx="5733415" cy="2857500"/>
            <wp:effectExtent l="0" t="0" r="635" b="0"/>
            <wp:docPr id="2" name="Picture 2" descr="https://www.researchgate.net/publication/390123071/figure/fig1/AS%3A11431281319879266%401742817725553/Gwagwalada-Area-Council-Source-Modified-from-the-Administrative-Map-of-Gwagwa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390123071/figure/fig1/AS%3A11431281319879266%401742817725553/Gwagwalada-Area-Council-Source-Modified-from-the-Administrative-Map-of-Gwagwal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56551"/>
                    </a:xfrm>
                    <a:prstGeom prst="rect">
                      <a:avLst/>
                    </a:prstGeom>
                    <a:noFill/>
                    <a:ln>
                      <a:noFill/>
                    </a:ln>
                  </pic:spPr>
                </pic:pic>
              </a:graphicData>
            </a:graphic>
          </wp:inline>
        </w:drawing>
      </w:r>
    </w:p>
    <w:p w14:paraId="666264D2" w14:textId="77777777" w:rsidR="00B0369B" w:rsidRPr="005B1D04" w:rsidRDefault="005F3EAE" w:rsidP="005F3EAE">
      <w:pPr>
        <w:jc w:val="both"/>
        <w:rPr>
          <w:rFonts w:ascii="Arial" w:hAnsi="Arial" w:cs="Arial"/>
          <w:sz w:val="24"/>
          <w:szCs w:val="24"/>
        </w:rPr>
      </w:pPr>
      <w:r w:rsidRPr="005B1D04">
        <w:rPr>
          <w:rFonts w:ascii="Arial" w:eastAsia="Times New Roman" w:hAnsi="Arial" w:cs="Arial"/>
          <w:bCs/>
          <w:color w:val="0F1115"/>
          <w:sz w:val="24"/>
          <w:szCs w:val="24"/>
          <w:lang w:eastAsia="en-GB"/>
        </w:rPr>
        <w:t xml:space="preserve">Figure 1. Map of Nigeria, Abuja Area council indicating Gwagwalada Area council and </w:t>
      </w:r>
      <w:proofErr w:type="spellStart"/>
      <w:r w:rsidRPr="005B1D04">
        <w:rPr>
          <w:rFonts w:ascii="Arial" w:eastAsia="Times New Roman" w:hAnsi="Arial" w:cs="Arial"/>
          <w:bCs/>
          <w:color w:val="0F1115"/>
          <w:sz w:val="24"/>
          <w:szCs w:val="24"/>
          <w:lang w:eastAsia="en-GB"/>
        </w:rPr>
        <w:t>Giri</w:t>
      </w:r>
      <w:proofErr w:type="spellEnd"/>
      <w:r w:rsidRPr="005B1D04">
        <w:rPr>
          <w:rFonts w:ascii="Arial" w:eastAsia="Times New Roman" w:hAnsi="Arial" w:cs="Arial"/>
          <w:bCs/>
          <w:color w:val="0F1115"/>
          <w:sz w:val="24"/>
          <w:szCs w:val="24"/>
          <w:lang w:eastAsia="en-GB"/>
        </w:rPr>
        <w:t xml:space="preserve">, the study area and </w:t>
      </w:r>
      <w:proofErr w:type="gramStart"/>
      <w:r w:rsidRPr="005B1D04">
        <w:rPr>
          <w:rFonts w:ascii="Arial" w:eastAsia="Times New Roman" w:hAnsi="Arial" w:cs="Arial"/>
          <w:bCs/>
          <w:color w:val="0F1115"/>
          <w:sz w:val="24"/>
          <w:szCs w:val="24"/>
          <w:lang w:eastAsia="en-GB"/>
        </w:rPr>
        <w:t>its</w:t>
      </w:r>
      <w:proofErr w:type="gramEnd"/>
      <w:r w:rsidRPr="005B1D04">
        <w:rPr>
          <w:rFonts w:ascii="Arial" w:eastAsia="Times New Roman" w:hAnsi="Arial" w:cs="Arial"/>
          <w:bCs/>
          <w:color w:val="0F1115"/>
          <w:sz w:val="24"/>
          <w:szCs w:val="24"/>
          <w:lang w:eastAsia="en-GB"/>
        </w:rPr>
        <w:t xml:space="preserve"> environ</w:t>
      </w:r>
      <w:r w:rsidRPr="005B1D04">
        <w:rPr>
          <w:rFonts w:ascii="Arial" w:hAnsi="Arial" w:cs="Arial"/>
          <w:sz w:val="24"/>
          <w:szCs w:val="24"/>
        </w:rPr>
        <w:t>.</w:t>
      </w:r>
    </w:p>
    <w:p w14:paraId="67C2C6F2" w14:textId="77777777" w:rsidR="00E13B0F" w:rsidRPr="005B1D04" w:rsidRDefault="00E13B0F" w:rsidP="006A0664">
      <w:pPr>
        <w:rPr>
          <w:rFonts w:ascii="Arial" w:hAnsi="Arial" w:cs="Arial"/>
          <w:b/>
          <w:sz w:val="24"/>
          <w:szCs w:val="24"/>
        </w:rPr>
      </w:pPr>
    </w:p>
    <w:p w14:paraId="7BAD143E" w14:textId="77777777" w:rsidR="008B43FD" w:rsidRDefault="008B43FD" w:rsidP="008B43FD">
      <w:pPr>
        <w:spacing w:line="360" w:lineRule="auto"/>
        <w:rPr>
          <w:rFonts w:ascii="Arial" w:hAnsi="Arial" w:cs="Arial"/>
          <w:b/>
          <w:sz w:val="24"/>
          <w:szCs w:val="24"/>
        </w:rPr>
      </w:pPr>
    </w:p>
    <w:p w14:paraId="39EE789F" w14:textId="77777777" w:rsidR="008B43FD" w:rsidRDefault="008B43FD" w:rsidP="008B43FD">
      <w:pPr>
        <w:spacing w:line="360" w:lineRule="auto"/>
        <w:rPr>
          <w:rFonts w:ascii="Arial" w:hAnsi="Arial" w:cs="Arial"/>
          <w:b/>
          <w:sz w:val="24"/>
          <w:szCs w:val="24"/>
        </w:rPr>
      </w:pPr>
    </w:p>
    <w:p w14:paraId="0C964D66" w14:textId="77777777" w:rsidR="008B43FD" w:rsidRDefault="008B43FD" w:rsidP="008B43FD">
      <w:pPr>
        <w:spacing w:line="360" w:lineRule="auto"/>
        <w:rPr>
          <w:rFonts w:ascii="Arial" w:hAnsi="Arial" w:cs="Arial"/>
          <w:b/>
          <w:sz w:val="24"/>
          <w:szCs w:val="24"/>
        </w:rPr>
      </w:pPr>
    </w:p>
    <w:p w14:paraId="36571904" w14:textId="77777777" w:rsidR="006A0664" w:rsidRPr="008B43FD" w:rsidRDefault="00675530" w:rsidP="008B43FD">
      <w:pPr>
        <w:spacing w:line="360" w:lineRule="auto"/>
        <w:rPr>
          <w:rFonts w:ascii="Arial" w:hAnsi="Arial" w:cs="Arial"/>
          <w:b/>
          <w:sz w:val="24"/>
          <w:szCs w:val="24"/>
        </w:rPr>
      </w:pPr>
      <w:r w:rsidRPr="008B43FD">
        <w:rPr>
          <w:rFonts w:ascii="Arial" w:hAnsi="Arial" w:cs="Arial"/>
          <w:b/>
          <w:sz w:val="24"/>
          <w:szCs w:val="24"/>
        </w:rPr>
        <w:lastRenderedPageBreak/>
        <w:t>Study Design</w:t>
      </w:r>
      <w:r w:rsidR="006A0664" w:rsidRPr="008B43FD">
        <w:rPr>
          <w:rFonts w:ascii="Arial" w:hAnsi="Arial" w:cs="Arial"/>
          <w:b/>
          <w:sz w:val="24"/>
          <w:szCs w:val="24"/>
        </w:rPr>
        <w:t xml:space="preserve">  </w:t>
      </w:r>
    </w:p>
    <w:p w14:paraId="466785E5" w14:textId="57AE752A" w:rsidR="006A0664" w:rsidRPr="008B43FD" w:rsidRDefault="006A0664" w:rsidP="008B43FD">
      <w:pPr>
        <w:spacing w:line="360" w:lineRule="auto"/>
        <w:jc w:val="both"/>
        <w:rPr>
          <w:rFonts w:ascii="Arial" w:hAnsi="Arial" w:cs="Arial"/>
          <w:sz w:val="24"/>
          <w:szCs w:val="24"/>
        </w:rPr>
      </w:pPr>
      <w:r w:rsidRPr="008B43FD">
        <w:rPr>
          <w:rFonts w:ascii="Arial" w:hAnsi="Arial" w:cs="Arial"/>
          <w:sz w:val="24"/>
          <w:szCs w:val="24"/>
        </w:rPr>
        <w:t xml:space="preserve">A cross-sectional descriptive design was employed, combining quantitative methods: a household survey using structured questionnaires, </w:t>
      </w:r>
      <w:r w:rsidR="00605AAC" w:rsidRPr="008B43FD">
        <w:rPr>
          <w:rFonts w:ascii="Arial" w:hAnsi="Arial" w:cs="Arial"/>
          <w:sz w:val="24"/>
          <w:szCs w:val="24"/>
        </w:rPr>
        <w:t xml:space="preserve">and </w:t>
      </w:r>
      <w:r w:rsidRPr="008B43FD">
        <w:rPr>
          <w:rFonts w:ascii="Arial" w:hAnsi="Arial" w:cs="Arial"/>
          <w:sz w:val="24"/>
          <w:szCs w:val="24"/>
        </w:rPr>
        <w:t>review of hospital records,</w:t>
      </w:r>
      <w:r w:rsidR="00605AAC" w:rsidRPr="008B43FD">
        <w:rPr>
          <w:rFonts w:ascii="Arial" w:hAnsi="Arial" w:cs="Arial"/>
          <w:sz w:val="24"/>
          <w:szCs w:val="24"/>
        </w:rPr>
        <w:t xml:space="preserve"> were integrated between</w:t>
      </w:r>
      <w:r w:rsidR="00E13B0F" w:rsidRPr="008B43FD">
        <w:rPr>
          <w:rFonts w:ascii="Arial" w:hAnsi="Arial" w:cs="Arial"/>
          <w:sz w:val="24"/>
          <w:szCs w:val="24"/>
        </w:rPr>
        <w:t xml:space="preserve"> (July – September, 2025)</w:t>
      </w:r>
      <w:r w:rsidRPr="008B43FD">
        <w:rPr>
          <w:rFonts w:ascii="Arial" w:hAnsi="Arial" w:cs="Arial"/>
          <w:sz w:val="24"/>
          <w:szCs w:val="24"/>
        </w:rPr>
        <w:t>.</w:t>
      </w:r>
    </w:p>
    <w:p w14:paraId="0C887B0F" w14:textId="77777777" w:rsidR="006A0664" w:rsidRPr="008B43FD" w:rsidRDefault="006A0664" w:rsidP="008B43FD">
      <w:pPr>
        <w:spacing w:line="360" w:lineRule="auto"/>
        <w:rPr>
          <w:rFonts w:ascii="Arial" w:hAnsi="Arial" w:cs="Arial"/>
          <w:b/>
          <w:sz w:val="24"/>
          <w:szCs w:val="24"/>
        </w:rPr>
      </w:pPr>
      <w:r w:rsidRPr="008B43FD">
        <w:rPr>
          <w:rFonts w:ascii="Arial" w:hAnsi="Arial" w:cs="Arial"/>
          <w:b/>
          <w:sz w:val="24"/>
          <w:szCs w:val="24"/>
        </w:rPr>
        <w:t>Sampl</w:t>
      </w:r>
      <w:r w:rsidR="00675530" w:rsidRPr="008B43FD">
        <w:rPr>
          <w:rFonts w:ascii="Arial" w:hAnsi="Arial" w:cs="Arial"/>
          <w:b/>
          <w:sz w:val="24"/>
          <w:szCs w:val="24"/>
        </w:rPr>
        <w:t>ing Technique and Sample Size</w:t>
      </w:r>
      <w:r w:rsidRPr="008B43FD">
        <w:rPr>
          <w:rFonts w:ascii="Arial" w:hAnsi="Arial" w:cs="Arial"/>
          <w:b/>
          <w:sz w:val="24"/>
          <w:szCs w:val="24"/>
        </w:rPr>
        <w:t xml:space="preserve"> </w:t>
      </w:r>
    </w:p>
    <w:p w14:paraId="433C7FB6" w14:textId="633B85B7" w:rsidR="00867DD0" w:rsidRPr="00867DD0" w:rsidRDefault="00867DD0" w:rsidP="00867DD0">
      <w:pPr>
        <w:spacing w:before="100" w:beforeAutospacing="1" w:after="100" w:afterAutospacing="1" w:line="360" w:lineRule="auto"/>
        <w:jc w:val="both"/>
        <w:rPr>
          <w:rFonts w:ascii="Arial" w:eastAsia="Times New Roman" w:hAnsi="Arial" w:cs="Arial"/>
          <w:sz w:val="24"/>
          <w:szCs w:val="24"/>
          <w:lang w:eastAsia="en-GB"/>
        </w:rPr>
      </w:pPr>
      <w:r w:rsidRPr="00433BD2">
        <w:rPr>
          <w:rFonts w:ascii="Arial" w:eastAsia="Times New Roman" w:hAnsi="Arial" w:cs="Arial"/>
          <w:sz w:val="24"/>
          <w:szCs w:val="24"/>
          <w:lang w:eastAsia="en-GB"/>
        </w:rPr>
        <w:t xml:space="preserve">A multi-stage sampling technique </w:t>
      </w:r>
      <w:r w:rsidR="007B5547">
        <w:rPr>
          <w:rFonts w:ascii="Arial" w:eastAsia="Times New Roman" w:hAnsi="Arial" w:cs="Arial"/>
          <w:sz w:val="24"/>
          <w:szCs w:val="24"/>
          <w:lang w:eastAsia="en-GB"/>
        </w:rPr>
        <w:t xml:space="preserve">described by </w:t>
      </w:r>
      <w:r w:rsidR="007B5547" w:rsidRPr="007B5547">
        <w:rPr>
          <w:rFonts w:ascii="Arial" w:eastAsia="Times New Roman" w:hAnsi="Arial" w:cs="Arial"/>
          <w:sz w:val="24"/>
          <w:szCs w:val="24"/>
          <w:lang w:eastAsia="en-GB"/>
        </w:rPr>
        <w:t>Kothari</w:t>
      </w:r>
      <w:r w:rsidR="007B5547" w:rsidRPr="00433BD2">
        <w:rPr>
          <w:rFonts w:ascii="Arial" w:eastAsia="Times New Roman" w:hAnsi="Arial" w:cs="Arial"/>
          <w:sz w:val="24"/>
          <w:szCs w:val="24"/>
          <w:lang w:eastAsia="en-GB"/>
        </w:rPr>
        <w:t xml:space="preserve"> </w:t>
      </w:r>
      <w:r w:rsidR="007B5547">
        <w:rPr>
          <w:rFonts w:ascii="Arial" w:eastAsia="Times New Roman" w:hAnsi="Arial" w:cs="Arial"/>
          <w:sz w:val="24"/>
          <w:szCs w:val="24"/>
          <w:lang w:eastAsia="en-GB"/>
        </w:rPr>
        <w:t xml:space="preserve">(2004) </w:t>
      </w:r>
      <w:r w:rsidRPr="00433BD2">
        <w:rPr>
          <w:rFonts w:ascii="Arial" w:eastAsia="Times New Roman" w:hAnsi="Arial" w:cs="Arial"/>
          <w:sz w:val="24"/>
          <w:szCs w:val="24"/>
          <w:lang w:eastAsia="en-GB"/>
        </w:rPr>
        <w:t xml:space="preserve">was employed for the study. The </w:t>
      </w:r>
      <w:proofErr w:type="spellStart"/>
      <w:r w:rsidRPr="00433BD2">
        <w:rPr>
          <w:rFonts w:ascii="Arial" w:eastAsia="Times New Roman" w:hAnsi="Arial" w:cs="Arial"/>
          <w:sz w:val="24"/>
          <w:szCs w:val="24"/>
          <w:lang w:eastAsia="en-GB"/>
        </w:rPr>
        <w:t>Giri</w:t>
      </w:r>
      <w:proofErr w:type="spellEnd"/>
      <w:r w:rsidRPr="00433BD2">
        <w:rPr>
          <w:rFonts w:ascii="Arial" w:eastAsia="Times New Roman" w:hAnsi="Arial" w:cs="Arial"/>
          <w:sz w:val="24"/>
          <w:szCs w:val="24"/>
          <w:lang w:eastAsia="en-GB"/>
        </w:rPr>
        <w:t xml:space="preserve"> community was deliberately chosen because of its documented susceptibility to waterborne diseases and its heavy dependence on non-piped water sources. Within the community, households were selected through a systematic random sampling method based on residential clusters comprising approximately 200 households. From this sampling frame, a total of 50 households were selected, applying a sampling interval of every fourth</w:t>
      </w:r>
      <w:r>
        <w:rPr>
          <w:rFonts w:ascii="Arial" w:eastAsia="Times New Roman" w:hAnsi="Arial" w:cs="Arial"/>
          <w:sz w:val="24"/>
          <w:szCs w:val="24"/>
          <w:lang w:eastAsia="en-GB"/>
        </w:rPr>
        <w:t xml:space="preserve"> (4th)</w:t>
      </w:r>
      <w:r w:rsidRPr="00433BD2">
        <w:rPr>
          <w:rFonts w:ascii="Arial" w:eastAsia="Times New Roman" w:hAnsi="Arial" w:cs="Arial"/>
          <w:sz w:val="24"/>
          <w:szCs w:val="24"/>
          <w:lang w:eastAsia="en-GB"/>
        </w:rPr>
        <w:t xml:space="preserve"> household, calculated using the formula </w:t>
      </w:r>
      <w:r w:rsidRPr="00433BD2">
        <w:rPr>
          <w:rFonts w:ascii="Arial" w:eastAsia="Times New Roman" w:hAnsi="Arial" w:cs="Arial"/>
          <w:i/>
          <w:iCs/>
          <w:sz w:val="24"/>
          <w:szCs w:val="24"/>
          <w:lang w:eastAsia="en-GB"/>
        </w:rPr>
        <w:t>k = N/n</w:t>
      </w:r>
      <w:r w:rsidRPr="00433BD2">
        <w:rPr>
          <w:rFonts w:ascii="Arial" w:eastAsia="Times New Roman" w:hAnsi="Arial" w:cs="Arial"/>
          <w:sz w:val="24"/>
          <w:szCs w:val="24"/>
          <w:lang w:eastAsia="en-GB"/>
        </w:rPr>
        <w:t>.</w:t>
      </w:r>
    </w:p>
    <w:p w14:paraId="02FC35FF" w14:textId="77777777" w:rsidR="00867DD0" w:rsidRPr="00867DD0" w:rsidRDefault="00867DD0" w:rsidP="00867DD0">
      <w:pPr>
        <w:spacing w:after="0" w:line="360" w:lineRule="auto"/>
        <w:jc w:val="both"/>
        <w:rPr>
          <w:rFonts w:ascii="Arial" w:eastAsia="Times New Roman" w:hAnsi="Arial" w:cs="Arial"/>
          <w:sz w:val="24"/>
          <w:szCs w:val="24"/>
          <w:lang w:eastAsia="en-GB"/>
        </w:rPr>
      </w:pPr>
      <w:r w:rsidRPr="00867DD0">
        <w:rPr>
          <w:rFonts w:ascii="Arial" w:eastAsia="Times New Roman" w:hAnsi="Arial" w:cs="Arial"/>
          <w:sz w:val="24"/>
          <w:szCs w:val="24"/>
          <w:lang w:eastAsia="en-GB"/>
        </w:rPr>
        <w:t xml:space="preserve">             </w:t>
      </w:r>
      <w:r w:rsidRPr="00867DD0">
        <w:rPr>
          <w:rFonts w:ascii="Arial" w:eastAsia="Times New Roman" w:hAnsi="Arial" w:cs="Arial"/>
          <w:bCs/>
          <w:sz w:val="24"/>
          <w:szCs w:val="24"/>
          <w:lang w:eastAsia="en-GB"/>
        </w:rPr>
        <w:t>K</w:t>
      </w:r>
      <w:r w:rsidRPr="00867DD0">
        <w:rPr>
          <w:rFonts w:ascii="Arial" w:eastAsia="Times New Roman" w:hAnsi="Arial" w:cs="Arial"/>
          <w:sz w:val="24"/>
          <w:szCs w:val="24"/>
          <w:lang w:eastAsia="en-GB"/>
        </w:rPr>
        <w:t xml:space="preserve"> = sampling interval (the step size)</w:t>
      </w:r>
    </w:p>
    <w:p w14:paraId="20B0390D" w14:textId="77777777" w:rsidR="00867DD0" w:rsidRPr="00867DD0" w:rsidRDefault="00867DD0" w:rsidP="00867DD0">
      <w:pPr>
        <w:spacing w:after="0" w:line="360" w:lineRule="auto"/>
        <w:jc w:val="both"/>
        <w:rPr>
          <w:rFonts w:ascii="Arial" w:eastAsia="Times New Roman" w:hAnsi="Arial" w:cs="Arial"/>
          <w:sz w:val="24"/>
          <w:szCs w:val="24"/>
          <w:lang w:eastAsia="en-GB"/>
        </w:rPr>
      </w:pPr>
      <w:r w:rsidRPr="00867DD0">
        <w:rPr>
          <w:rFonts w:ascii="Arial" w:eastAsia="Times New Roman" w:hAnsi="Arial" w:cs="Arial"/>
          <w:sz w:val="24"/>
          <w:szCs w:val="24"/>
          <w:lang w:eastAsia="en-GB"/>
        </w:rPr>
        <w:t xml:space="preserve">             </w:t>
      </w:r>
      <w:r w:rsidRPr="00867DD0">
        <w:rPr>
          <w:rFonts w:ascii="Arial" w:eastAsia="Times New Roman" w:hAnsi="Arial" w:cs="Arial"/>
          <w:bCs/>
          <w:sz w:val="24"/>
          <w:szCs w:val="24"/>
          <w:lang w:eastAsia="en-GB"/>
        </w:rPr>
        <w:t>N</w:t>
      </w:r>
      <w:r w:rsidRPr="00867DD0">
        <w:rPr>
          <w:rFonts w:ascii="Arial" w:eastAsia="Times New Roman" w:hAnsi="Arial" w:cs="Arial"/>
          <w:sz w:val="24"/>
          <w:szCs w:val="24"/>
          <w:lang w:eastAsia="en-GB"/>
        </w:rPr>
        <w:t xml:space="preserve"> = total number of households in the sampling frame c</w:t>
      </w:r>
    </w:p>
    <w:p w14:paraId="23897128" w14:textId="77777777" w:rsidR="00867DD0" w:rsidRPr="00867DD0" w:rsidRDefault="00867DD0" w:rsidP="00867DD0">
      <w:pPr>
        <w:spacing w:after="0" w:line="360" w:lineRule="auto"/>
        <w:jc w:val="both"/>
        <w:rPr>
          <w:rFonts w:ascii="Arial" w:eastAsia="Times New Roman" w:hAnsi="Arial" w:cs="Arial"/>
          <w:sz w:val="24"/>
          <w:szCs w:val="24"/>
          <w:lang w:eastAsia="en-GB"/>
        </w:rPr>
      </w:pPr>
      <w:r w:rsidRPr="00867DD0">
        <w:rPr>
          <w:rFonts w:ascii="Arial" w:eastAsia="Times New Roman" w:hAnsi="Arial" w:cs="Arial"/>
          <w:sz w:val="24"/>
          <w:szCs w:val="24"/>
          <w:lang w:eastAsia="en-GB"/>
        </w:rPr>
        <w:t xml:space="preserve">             </w:t>
      </w:r>
      <w:r w:rsidRPr="00867DD0">
        <w:rPr>
          <w:rFonts w:ascii="Arial" w:eastAsia="Times New Roman" w:hAnsi="Arial" w:cs="Arial"/>
          <w:bCs/>
          <w:sz w:val="24"/>
          <w:szCs w:val="24"/>
          <w:lang w:eastAsia="en-GB"/>
        </w:rPr>
        <w:t>n</w:t>
      </w:r>
      <w:r w:rsidRPr="00867DD0">
        <w:rPr>
          <w:rFonts w:ascii="Arial" w:eastAsia="Times New Roman" w:hAnsi="Arial" w:cs="Arial"/>
          <w:sz w:val="24"/>
          <w:szCs w:val="24"/>
          <w:lang w:eastAsia="en-GB"/>
        </w:rPr>
        <w:t xml:space="preserve"> = desired sample size</w:t>
      </w:r>
    </w:p>
    <w:p w14:paraId="6AE5B242" w14:textId="7A9551D3" w:rsidR="006A0664" w:rsidRPr="008B43FD" w:rsidRDefault="006A0664" w:rsidP="00867DD0">
      <w:pPr>
        <w:spacing w:line="360" w:lineRule="auto"/>
        <w:jc w:val="both"/>
        <w:rPr>
          <w:rFonts w:ascii="Arial" w:hAnsi="Arial" w:cs="Arial"/>
          <w:sz w:val="24"/>
          <w:szCs w:val="24"/>
        </w:rPr>
      </w:pPr>
      <w:r w:rsidRPr="008B43FD">
        <w:rPr>
          <w:rFonts w:ascii="Arial" w:hAnsi="Arial" w:cs="Arial"/>
          <w:sz w:val="24"/>
          <w:szCs w:val="24"/>
        </w:rPr>
        <w:t>Respondents were primarily household heads or adult members responsible for water management.</w:t>
      </w:r>
    </w:p>
    <w:p w14:paraId="08F47695" w14:textId="3009A4DB" w:rsidR="006A0664" w:rsidRPr="008B43FD" w:rsidRDefault="00675530" w:rsidP="008B43FD">
      <w:pPr>
        <w:spacing w:line="360" w:lineRule="auto"/>
        <w:rPr>
          <w:rFonts w:ascii="Arial" w:hAnsi="Arial" w:cs="Arial"/>
          <w:b/>
          <w:sz w:val="24"/>
          <w:szCs w:val="24"/>
        </w:rPr>
      </w:pPr>
      <w:r w:rsidRPr="008B43FD">
        <w:rPr>
          <w:rFonts w:ascii="Arial" w:hAnsi="Arial" w:cs="Arial"/>
          <w:b/>
          <w:sz w:val="24"/>
          <w:szCs w:val="24"/>
        </w:rPr>
        <w:t xml:space="preserve">Data Collection </w:t>
      </w:r>
    </w:p>
    <w:p w14:paraId="6938C891" w14:textId="42CF4CDB" w:rsidR="00605AAC" w:rsidRPr="008B43FD" w:rsidRDefault="006A0664" w:rsidP="0096068D">
      <w:pPr>
        <w:spacing w:line="360" w:lineRule="auto"/>
        <w:jc w:val="both"/>
        <w:rPr>
          <w:rFonts w:ascii="Arial" w:hAnsi="Arial" w:cs="Arial"/>
          <w:sz w:val="24"/>
          <w:szCs w:val="24"/>
        </w:rPr>
      </w:pPr>
      <w:r w:rsidRPr="008B43FD">
        <w:rPr>
          <w:rFonts w:ascii="Arial" w:hAnsi="Arial" w:cs="Arial"/>
          <w:sz w:val="24"/>
          <w:szCs w:val="24"/>
        </w:rPr>
        <w:t>Questi</w:t>
      </w:r>
      <w:r w:rsidR="00675530" w:rsidRPr="008B43FD">
        <w:rPr>
          <w:rFonts w:ascii="Arial" w:hAnsi="Arial" w:cs="Arial"/>
          <w:sz w:val="24"/>
          <w:szCs w:val="24"/>
        </w:rPr>
        <w:t xml:space="preserve">onnaire Survey: </w:t>
      </w:r>
      <w:r w:rsidRPr="008B43FD">
        <w:rPr>
          <w:rFonts w:ascii="Arial" w:hAnsi="Arial" w:cs="Arial"/>
          <w:sz w:val="24"/>
          <w:szCs w:val="24"/>
        </w:rPr>
        <w:t xml:space="preserve"> A pre-tested, structured questionnaire was administered to 50 respondents, ca</w:t>
      </w:r>
      <w:r w:rsidR="008B43FD">
        <w:rPr>
          <w:rFonts w:ascii="Arial" w:hAnsi="Arial" w:cs="Arial"/>
          <w:sz w:val="24"/>
          <w:szCs w:val="24"/>
        </w:rPr>
        <w:t xml:space="preserve">pturing socio-demographic data, </w:t>
      </w:r>
      <w:r w:rsidR="008B43FD" w:rsidRPr="008B43FD">
        <w:rPr>
          <w:rFonts w:ascii="Arial" w:hAnsi="Arial" w:cs="Arial"/>
          <w:sz w:val="24"/>
          <w:szCs w:val="24"/>
        </w:rPr>
        <w:t>water</w:t>
      </w:r>
      <w:r w:rsidRPr="008B43FD">
        <w:rPr>
          <w:rFonts w:ascii="Arial" w:hAnsi="Arial" w:cs="Arial"/>
          <w:sz w:val="24"/>
          <w:szCs w:val="24"/>
        </w:rPr>
        <w:t xml:space="preserve"> sources, </w:t>
      </w:r>
      <w:r w:rsidR="008B43FD">
        <w:rPr>
          <w:rFonts w:ascii="Arial" w:hAnsi="Arial" w:cs="Arial"/>
          <w:sz w:val="24"/>
          <w:szCs w:val="24"/>
        </w:rPr>
        <w:t>and</w:t>
      </w:r>
      <w:r w:rsidR="0096068D">
        <w:rPr>
          <w:rFonts w:ascii="Arial" w:hAnsi="Arial" w:cs="Arial"/>
          <w:sz w:val="24"/>
          <w:szCs w:val="24"/>
        </w:rPr>
        <w:t xml:space="preserve"> </w:t>
      </w:r>
      <w:r w:rsidRPr="008B43FD">
        <w:rPr>
          <w:rFonts w:ascii="Arial" w:hAnsi="Arial" w:cs="Arial"/>
          <w:sz w:val="24"/>
          <w:szCs w:val="24"/>
        </w:rPr>
        <w:t>knowledge of waterborne diseases, illness h</w:t>
      </w:r>
      <w:r w:rsidR="008B43FD">
        <w:rPr>
          <w:rFonts w:ascii="Arial" w:hAnsi="Arial" w:cs="Arial"/>
          <w:sz w:val="24"/>
          <w:szCs w:val="24"/>
        </w:rPr>
        <w:t xml:space="preserve">istory, and hygiene practices. </w:t>
      </w:r>
      <w:r w:rsidR="00605AAC" w:rsidRPr="008B43FD">
        <w:rPr>
          <w:rFonts w:ascii="Arial" w:hAnsi="Arial" w:cs="Arial"/>
          <w:sz w:val="24"/>
          <w:szCs w:val="24"/>
        </w:rPr>
        <w:t xml:space="preserve">Hospital Records Review: </w:t>
      </w:r>
      <w:r w:rsidRPr="008B43FD">
        <w:rPr>
          <w:rFonts w:ascii="Arial" w:hAnsi="Arial" w:cs="Arial"/>
          <w:sz w:val="24"/>
          <w:szCs w:val="24"/>
        </w:rPr>
        <w:t xml:space="preserve">Secondary data on waterborne disease cases were obtained from local health facilities.  </w:t>
      </w:r>
    </w:p>
    <w:p w14:paraId="5A07E305" w14:textId="77777777" w:rsidR="006A0664" w:rsidRPr="008B43FD" w:rsidRDefault="006A0664" w:rsidP="008B43FD">
      <w:pPr>
        <w:spacing w:line="360" w:lineRule="auto"/>
        <w:rPr>
          <w:rFonts w:ascii="Arial" w:hAnsi="Arial" w:cs="Arial"/>
          <w:b/>
          <w:sz w:val="24"/>
          <w:szCs w:val="24"/>
        </w:rPr>
      </w:pPr>
      <w:r w:rsidRPr="008B43FD">
        <w:rPr>
          <w:rFonts w:ascii="Arial" w:hAnsi="Arial" w:cs="Arial"/>
          <w:b/>
          <w:sz w:val="24"/>
          <w:szCs w:val="24"/>
        </w:rPr>
        <w:t>Data Analy</w:t>
      </w:r>
      <w:r w:rsidR="0031365D" w:rsidRPr="008B43FD">
        <w:rPr>
          <w:rFonts w:ascii="Arial" w:hAnsi="Arial" w:cs="Arial"/>
          <w:b/>
          <w:sz w:val="24"/>
          <w:szCs w:val="24"/>
        </w:rPr>
        <w:t>sis</w:t>
      </w:r>
      <w:r w:rsidRPr="008B43FD">
        <w:rPr>
          <w:rFonts w:ascii="Arial" w:hAnsi="Arial" w:cs="Arial"/>
          <w:b/>
          <w:sz w:val="24"/>
          <w:szCs w:val="24"/>
        </w:rPr>
        <w:t xml:space="preserve">  </w:t>
      </w:r>
    </w:p>
    <w:p w14:paraId="7B9D0A0F" w14:textId="77777777" w:rsidR="006A0664" w:rsidRPr="008B43FD" w:rsidRDefault="004426A0" w:rsidP="008B43FD">
      <w:pPr>
        <w:shd w:val="clear" w:color="auto" w:fill="FFFFFF"/>
        <w:spacing w:before="240" w:after="240" w:line="360" w:lineRule="auto"/>
        <w:jc w:val="both"/>
        <w:rPr>
          <w:rFonts w:ascii="Arial" w:eastAsia="Times New Roman" w:hAnsi="Arial" w:cs="Arial"/>
          <w:sz w:val="24"/>
          <w:szCs w:val="24"/>
          <w:lang w:eastAsia="en-GB"/>
        </w:rPr>
      </w:pPr>
      <w:r w:rsidRPr="008B43FD">
        <w:rPr>
          <w:rFonts w:ascii="Arial" w:eastAsia="Times New Roman" w:hAnsi="Arial" w:cs="Arial"/>
          <w:sz w:val="24"/>
          <w:szCs w:val="24"/>
          <w:lang w:eastAsia="en-GB"/>
        </w:rPr>
        <w:t xml:space="preserve">Data from the questionnaires were cleaned, coded, and </w:t>
      </w:r>
      <w:proofErr w:type="spellStart"/>
      <w:r w:rsidRPr="008B43FD">
        <w:rPr>
          <w:rFonts w:ascii="Arial" w:eastAsia="Times New Roman" w:hAnsi="Arial" w:cs="Arial"/>
          <w:sz w:val="24"/>
          <w:szCs w:val="24"/>
          <w:lang w:eastAsia="en-GB"/>
        </w:rPr>
        <w:t>analyzed</w:t>
      </w:r>
      <w:proofErr w:type="spellEnd"/>
      <w:r w:rsidRPr="008B43FD">
        <w:rPr>
          <w:rFonts w:ascii="Arial" w:eastAsia="Times New Roman" w:hAnsi="Arial" w:cs="Arial"/>
          <w:sz w:val="24"/>
          <w:szCs w:val="24"/>
          <w:lang w:eastAsia="en-GB"/>
        </w:rPr>
        <w:t xml:space="preserve"> using descriptive statistics. Frequencies and percentages were calculated for categorical variables (example, gender, age groups, and </w:t>
      </w:r>
      <w:r w:rsidRPr="007B5547">
        <w:rPr>
          <w:rFonts w:ascii="Arial" w:eastAsia="Times New Roman" w:hAnsi="Arial" w:cs="Arial"/>
          <w:sz w:val="24"/>
          <w:szCs w:val="24"/>
          <w:lang w:eastAsia="en-GB"/>
        </w:rPr>
        <w:t>disease prevalence</w:t>
      </w:r>
      <w:r w:rsidRPr="008B43FD">
        <w:rPr>
          <w:rFonts w:ascii="Arial" w:eastAsia="Times New Roman" w:hAnsi="Arial" w:cs="Arial"/>
          <w:sz w:val="24"/>
          <w:szCs w:val="24"/>
          <w:lang w:eastAsia="en-GB"/>
        </w:rPr>
        <w:t>) to summarize the data.</w:t>
      </w:r>
    </w:p>
    <w:p w14:paraId="12AA6D4F" w14:textId="77777777" w:rsidR="00867DD0" w:rsidRDefault="00867DD0" w:rsidP="008B43FD">
      <w:pPr>
        <w:spacing w:line="360" w:lineRule="auto"/>
        <w:rPr>
          <w:rFonts w:ascii="Arial" w:hAnsi="Arial" w:cs="Arial"/>
          <w:b/>
          <w:sz w:val="24"/>
          <w:szCs w:val="24"/>
        </w:rPr>
      </w:pPr>
    </w:p>
    <w:p w14:paraId="4100C35D" w14:textId="47A8DF70" w:rsidR="00454316" w:rsidRPr="008B43FD" w:rsidRDefault="0031365D" w:rsidP="008B43FD">
      <w:pPr>
        <w:spacing w:line="360" w:lineRule="auto"/>
        <w:rPr>
          <w:rFonts w:ascii="Arial" w:hAnsi="Arial" w:cs="Arial"/>
          <w:b/>
          <w:sz w:val="24"/>
          <w:szCs w:val="24"/>
        </w:rPr>
      </w:pPr>
      <w:r w:rsidRPr="008B43FD">
        <w:rPr>
          <w:rFonts w:ascii="Arial" w:hAnsi="Arial" w:cs="Arial"/>
          <w:b/>
          <w:sz w:val="24"/>
          <w:szCs w:val="24"/>
        </w:rPr>
        <w:lastRenderedPageBreak/>
        <w:t>Results</w:t>
      </w:r>
    </w:p>
    <w:p w14:paraId="19743011" w14:textId="0791F921" w:rsidR="00B564E6" w:rsidRPr="008B43FD" w:rsidRDefault="00B564E6" w:rsidP="008B43FD">
      <w:pPr>
        <w:spacing w:line="360" w:lineRule="auto"/>
        <w:jc w:val="both"/>
        <w:rPr>
          <w:rFonts w:ascii="Arial" w:hAnsi="Arial" w:cs="Arial"/>
          <w:sz w:val="24"/>
          <w:szCs w:val="24"/>
        </w:rPr>
      </w:pPr>
      <w:r w:rsidRPr="008B43FD">
        <w:rPr>
          <w:rFonts w:ascii="Arial" w:hAnsi="Arial" w:cs="Arial"/>
          <w:sz w:val="24"/>
          <w:szCs w:val="24"/>
        </w:rPr>
        <w:t xml:space="preserve">Table 1 </w:t>
      </w:r>
      <w:r w:rsidR="0096068D" w:rsidRPr="008B43FD">
        <w:rPr>
          <w:rFonts w:ascii="Arial" w:hAnsi="Arial" w:cs="Arial"/>
          <w:sz w:val="24"/>
          <w:szCs w:val="24"/>
        </w:rPr>
        <w:t>below highlights</w:t>
      </w:r>
      <w:r w:rsidRPr="008B43FD">
        <w:rPr>
          <w:rFonts w:ascii="Arial" w:hAnsi="Arial" w:cs="Arial"/>
          <w:sz w:val="24"/>
          <w:szCs w:val="24"/>
        </w:rPr>
        <w:t xml:space="preserve"> that </w:t>
      </w:r>
      <w:r w:rsidRPr="008B43FD">
        <w:rPr>
          <w:rStyle w:val="Strong"/>
          <w:rFonts w:ascii="Arial" w:hAnsi="Arial" w:cs="Arial"/>
          <w:b w:val="0"/>
          <w:sz w:val="24"/>
          <w:szCs w:val="24"/>
        </w:rPr>
        <w:t xml:space="preserve">groundwater sources particularly boreholes and hand-dug wells constitute the primary sources of domestic water in </w:t>
      </w:r>
      <w:proofErr w:type="spellStart"/>
      <w:r w:rsidRPr="008B43FD">
        <w:rPr>
          <w:rStyle w:val="Strong"/>
          <w:rFonts w:ascii="Arial" w:hAnsi="Arial" w:cs="Arial"/>
          <w:b w:val="0"/>
          <w:sz w:val="24"/>
          <w:szCs w:val="24"/>
        </w:rPr>
        <w:t>Giri</w:t>
      </w:r>
      <w:proofErr w:type="spellEnd"/>
      <w:r w:rsidRPr="008B43FD">
        <w:rPr>
          <w:rStyle w:val="Strong"/>
          <w:rFonts w:ascii="Arial" w:hAnsi="Arial" w:cs="Arial"/>
          <w:b w:val="0"/>
          <w:sz w:val="24"/>
          <w:szCs w:val="24"/>
        </w:rPr>
        <w:t xml:space="preserve"> community</w:t>
      </w:r>
      <w:r w:rsidRPr="008B43FD">
        <w:rPr>
          <w:rFonts w:ascii="Arial" w:hAnsi="Arial" w:cs="Arial"/>
          <w:sz w:val="24"/>
          <w:szCs w:val="24"/>
        </w:rPr>
        <w:t>, reflecting a common pattern in peri-urban settlements across Nigeria.</w:t>
      </w:r>
    </w:p>
    <w:p w14:paraId="5553904A" w14:textId="2E4381E3" w:rsidR="00454316" w:rsidRPr="008B43FD" w:rsidRDefault="00454316" w:rsidP="008B43FD">
      <w:pPr>
        <w:spacing w:line="360" w:lineRule="auto"/>
        <w:rPr>
          <w:rFonts w:ascii="Arial" w:hAnsi="Arial" w:cs="Arial"/>
          <w:sz w:val="24"/>
          <w:szCs w:val="24"/>
        </w:rPr>
      </w:pPr>
      <w:r w:rsidRPr="008B43FD">
        <w:rPr>
          <w:rFonts w:ascii="Arial" w:hAnsi="Arial" w:cs="Arial"/>
          <w:sz w:val="24"/>
          <w:szCs w:val="24"/>
        </w:rPr>
        <w:t xml:space="preserve">Table 1. Sources of Water for Domestic Use in </w:t>
      </w:r>
      <w:proofErr w:type="spellStart"/>
      <w:r w:rsidRPr="008B43FD">
        <w:rPr>
          <w:rFonts w:ascii="Arial" w:hAnsi="Arial" w:cs="Arial"/>
          <w:sz w:val="24"/>
          <w:szCs w:val="24"/>
        </w:rPr>
        <w:t>Giri</w:t>
      </w:r>
      <w:proofErr w:type="spellEnd"/>
      <w:r w:rsidRPr="008B43FD">
        <w:rPr>
          <w:rFonts w:ascii="Arial" w:hAnsi="Arial" w:cs="Arial"/>
          <w:sz w:val="24"/>
          <w:szCs w:val="24"/>
        </w:rPr>
        <w:t xml:space="preserve"> Community, Gwagwalada Area Council, FCT Abuja</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6098"/>
      </w:tblGrid>
      <w:tr w:rsidR="008B43FD" w:rsidRPr="008B43FD" w14:paraId="0FE028E7" w14:textId="77777777" w:rsidTr="00454316">
        <w:trPr>
          <w:trHeight w:val="281"/>
        </w:trPr>
        <w:tc>
          <w:tcPr>
            <w:tcW w:w="3082" w:type="dxa"/>
            <w:tcBorders>
              <w:top w:val="single" w:sz="4" w:space="0" w:color="auto"/>
              <w:bottom w:val="single" w:sz="4" w:space="0" w:color="auto"/>
            </w:tcBorders>
            <w:vAlign w:val="center"/>
          </w:tcPr>
          <w:p w14:paraId="5E3C9F5D" w14:textId="77777777" w:rsidR="00454316" w:rsidRPr="00BD3AA8" w:rsidRDefault="00454316" w:rsidP="008B43FD">
            <w:pPr>
              <w:spacing w:line="360" w:lineRule="auto"/>
              <w:jc w:val="center"/>
              <w:rPr>
                <w:rFonts w:ascii="Arial" w:eastAsia="Times New Roman" w:hAnsi="Arial" w:cs="Arial"/>
                <w:b/>
                <w:bCs/>
                <w:sz w:val="24"/>
                <w:szCs w:val="24"/>
                <w:lang w:eastAsia="en-GB"/>
              </w:rPr>
            </w:pPr>
            <w:r w:rsidRPr="00BD3AA8">
              <w:rPr>
                <w:rFonts w:ascii="Arial" w:eastAsia="Times New Roman" w:hAnsi="Arial" w:cs="Arial"/>
                <w:b/>
                <w:bCs/>
                <w:sz w:val="24"/>
                <w:szCs w:val="24"/>
                <w:lang w:eastAsia="en-GB"/>
              </w:rPr>
              <w:t>Water Source</w:t>
            </w:r>
          </w:p>
        </w:tc>
        <w:tc>
          <w:tcPr>
            <w:tcW w:w="6098" w:type="dxa"/>
            <w:tcBorders>
              <w:top w:val="single" w:sz="4" w:space="0" w:color="auto"/>
              <w:bottom w:val="single" w:sz="4" w:space="0" w:color="auto"/>
            </w:tcBorders>
            <w:vAlign w:val="center"/>
          </w:tcPr>
          <w:p w14:paraId="56BA8BF3" w14:textId="77777777" w:rsidR="00454316" w:rsidRPr="00BD3AA8" w:rsidRDefault="00454316" w:rsidP="008B43FD">
            <w:pPr>
              <w:spacing w:line="360" w:lineRule="auto"/>
              <w:jc w:val="center"/>
              <w:rPr>
                <w:rFonts w:ascii="Arial" w:eastAsia="Times New Roman" w:hAnsi="Arial" w:cs="Arial"/>
                <w:b/>
                <w:bCs/>
                <w:sz w:val="24"/>
                <w:szCs w:val="24"/>
                <w:lang w:eastAsia="en-GB"/>
              </w:rPr>
            </w:pPr>
            <w:r w:rsidRPr="00BD3AA8">
              <w:rPr>
                <w:rFonts w:ascii="Arial" w:eastAsia="Times New Roman" w:hAnsi="Arial" w:cs="Arial"/>
                <w:b/>
                <w:bCs/>
                <w:sz w:val="24"/>
                <w:szCs w:val="24"/>
                <w:lang w:eastAsia="en-GB"/>
              </w:rPr>
              <w:t>Description / Use Pattern</w:t>
            </w:r>
          </w:p>
        </w:tc>
      </w:tr>
      <w:tr w:rsidR="008B43FD" w:rsidRPr="008B43FD" w14:paraId="486020F2" w14:textId="77777777" w:rsidTr="00454316">
        <w:trPr>
          <w:trHeight w:val="562"/>
        </w:trPr>
        <w:tc>
          <w:tcPr>
            <w:tcW w:w="3082" w:type="dxa"/>
            <w:tcBorders>
              <w:top w:val="single" w:sz="4" w:space="0" w:color="auto"/>
            </w:tcBorders>
            <w:vAlign w:val="center"/>
          </w:tcPr>
          <w:p w14:paraId="258DEB01"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Boreholes</w:t>
            </w:r>
          </w:p>
        </w:tc>
        <w:tc>
          <w:tcPr>
            <w:tcW w:w="6098" w:type="dxa"/>
            <w:tcBorders>
              <w:top w:val="single" w:sz="4" w:space="0" w:color="auto"/>
            </w:tcBorders>
            <w:vAlign w:val="center"/>
          </w:tcPr>
          <w:p w14:paraId="507D4AF9"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Primary source for drinking, cooking, and bathing</w:t>
            </w:r>
          </w:p>
        </w:tc>
      </w:tr>
      <w:tr w:rsidR="008B43FD" w:rsidRPr="008B43FD" w14:paraId="50B769B2" w14:textId="77777777" w:rsidTr="00454316">
        <w:trPr>
          <w:trHeight w:val="578"/>
        </w:trPr>
        <w:tc>
          <w:tcPr>
            <w:tcW w:w="3082" w:type="dxa"/>
            <w:vAlign w:val="center"/>
          </w:tcPr>
          <w:p w14:paraId="2ADCAE65"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Hand-dug wells</w:t>
            </w:r>
          </w:p>
        </w:tc>
        <w:tc>
          <w:tcPr>
            <w:tcW w:w="6098" w:type="dxa"/>
            <w:vAlign w:val="center"/>
          </w:tcPr>
          <w:p w14:paraId="6F1B214B"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Used for domestic chores and occasionally for drinking</w:t>
            </w:r>
          </w:p>
        </w:tc>
      </w:tr>
      <w:tr w:rsidR="008B43FD" w:rsidRPr="008B43FD" w14:paraId="35A3D09A" w14:textId="77777777" w:rsidTr="00454316">
        <w:trPr>
          <w:trHeight w:val="281"/>
        </w:trPr>
        <w:tc>
          <w:tcPr>
            <w:tcW w:w="3082" w:type="dxa"/>
            <w:vAlign w:val="center"/>
          </w:tcPr>
          <w:p w14:paraId="275EA8CF"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Surface water (streams)</w:t>
            </w:r>
          </w:p>
        </w:tc>
        <w:tc>
          <w:tcPr>
            <w:tcW w:w="6098" w:type="dxa"/>
            <w:vAlign w:val="center"/>
          </w:tcPr>
          <w:p w14:paraId="757ECA30"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Used occasionally during water scarcity</w:t>
            </w:r>
          </w:p>
        </w:tc>
      </w:tr>
      <w:tr w:rsidR="008B43FD" w:rsidRPr="008B43FD" w14:paraId="3E3F98BA" w14:textId="77777777" w:rsidTr="00454316">
        <w:trPr>
          <w:trHeight w:val="281"/>
        </w:trPr>
        <w:tc>
          <w:tcPr>
            <w:tcW w:w="3082" w:type="dxa"/>
            <w:vAlign w:val="center"/>
          </w:tcPr>
          <w:p w14:paraId="688678B0"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Rainwater harvesting</w:t>
            </w:r>
          </w:p>
        </w:tc>
        <w:tc>
          <w:tcPr>
            <w:tcW w:w="6098" w:type="dxa"/>
            <w:vAlign w:val="center"/>
          </w:tcPr>
          <w:p w14:paraId="09D0EDF4"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Seasonally collected for household use</w:t>
            </w:r>
          </w:p>
        </w:tc>
      </w:tr>
      <w:tr w:rsidR="008B43FD" w:rsidRPr="008B43FD" w14:paraId="1AFF1E90" w14:textId="77777777" w:rsidTr="00454316">
        <w:trPr>
          <w:trHeight w:val="578"/>
        </w:trPr>
        <w:tc>
          <w:tcPr>
            <w:tcW w:w="3082" w:type="dxa"/>
            <w:vAlign w:val="center"/>
          </w:tcPr>
          <w:p w14:paraId="28D2F5E8"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Sachet / bottled water</w:t>
            </w:r>
          </w:p>
        </w:tc>
        <w:tc>
          <w:tcPr>
            <w:tcW w:w="6098" w:type="dxa"/>
            <w:vAlign w:val="center"/>
          </w:tcPr>
          <w:p w14:paraId="4030930F" w14:textId="77777777" w:rsidR="00454316" w:rsidRPr="00BD3AA8" w:rsidRDefault="00454316" w:rsidP="008B43FD">
            <w:pPr>
              <w:spacing w:line="360" w:lineRule="auto"/>
              <w:rPr>
                <w:rFonts w:ascii="Arial" w:eastAsia="Times New Roman" w:hAnsi="Arial" w:cs="Arial"/>
                <w:sz w:val="24"/>
                <w:szCs w:val="24"/>
                <w:lang w:eastAsia="en-GB"/>
              </w:rPr>
            </w:pPr>
            <w:r w:rsidRPr="00BD3AA8">
              <w:rPr>
                <w:rFonts w:ascii="Arial" w:eastAsia="Times New Roman" w:hAnsi="Arial" w:cs="Arial"/>
                <w:sz w:val="24"/>
                <w:szCs w:val="24"/>
                <w:lang w:eastAsia="en-GB"/>
              </w:rPr>
              <w:t>Used mainly for drinking by households that can afford it</w:t>
            </w:r>
          </w:p>
        </w:tc>
      </w:tr>
    </w:tbl>
    <w:p w14:paraId="32B82D75" w14:textId="77777777" w:rsidR="00454316" w:rsidRPr="008B43FD" w:rsidRDefault="00454316" w:rsidP="008B43FD">
      <w:pPr>
        <w:spacing w:line="360" w:lineRule="auto"/>
        <w:rPr>
          <w:rFonts w:ascii="Arial" w:hAnsi="Arial" w:cs="Arial"/>
          <w:b/>
          <w:sz w:val="24"/>
          <w:szCs w:val="24"/>
        </w:rPr>
      </w:pPr>
    </w:p>
    <w:p w14:paraId="7B854B29" w14:textId="77777777" w:rsidR="00046EA0" w:rsidRPr="008B43FD" w:rsidRDefault="00046EA0" w:rsidP="008B43FD">
      <w:pPr>
        <w:shd w:val="clear" w:color="auto" w:fill="FFFFFF"/>
        <w:spacing w:before="240" w:after="240" w:line="360" w:lineRule="auto"/>
        <w:outlineLvl w:val="3"/>
        <w:rPr>
          <w:rFonts w:ascii="Arial" w:eastAsia="Times New Roman" w:hAnsi="Arial" w:cs="Arial"/>
          <w:b/>
          <w:bCs/>
          <w:sz w:val="24"/>
          <w:szCs w:val="24"/>
          <w:lang w:eastAsia="en-GB"/>
        </w:rPr>
      </w:pPr>
      <w:r w:rsidRPr="008B43FD">
        <w:rPr>
          <w:rFonts w:ascii="Arial" w:eastAsia="Times New Roman" w:hAnsi="Arial" w:cs="Arial"/>
          <w:b/>
          <w:bCs/>
          <w:sz w:val="24"/>
          <w:szCs w:val="24"/>
          <w:lang w:eastAsia="en-GB"/>
        </w:rPr>
        <w:t>Socio-Demographic Characteristics of Respondents</w:t>
      </w:r>
    </w:p>
    <w:p w14:paraId="43A16140" w14:textId="57C7A7F2" w:rsidR="00E57ABF" w:rsidRPr="008B43FD" w:rsidRDefault="00046EA0" w:rsidP="008B43FD">
      <w:pPr>
        <w:shd w:val="clear" w:color="auto" w:fill="FFFFFF"/>
        <w:spacing w:before="240" w:after="240" w:line="360" w:lineRule="auto"/>
        <w:jc w:val="both"/>
        <w:rPr>
          <w:rFonts w:ascii="Arial" w:eastAsia="Times New Roman" w:hAnsi="Arial" w:cs="Arial"/>
          <w:sz w:val="24"/>
          <w:szCs w:val="24"/>
          <w:lang w:eastAsia="en-GB"/>
        </w:rPr>
      </w:pPr>
      <w:r w:rsidRPr="008B43FD">
        <w:rPr>
          <w:rFonts w:ascii="Arial" w:eastAsia="Times New Roman" w:hAnsi="Arial" w:cs="Arial"/>
          <w:sz w:val="24"/>
          <w:szCs w:val="24"/>
          <w:lang w:eastAsia="en-GB"/>
        </w:rPr>
        <w:t xml:space="preserve">The study involved 50 </w:t>
      </w:r>
      <w:r w:rsidR="00B564E6" w:rsidRPr="008B43FD">
        <w:rPr>
          <w:rFonts w:ascii="Arial" w:eastAsia="Times New Roman" w:hAnsi="Arial" w:cs="Arial"/>
          <w:sz w:val="24"/>
          <w:szCs w:val="24"/>
          <w:lang w:eastAsia="en-GB"/>
        </w:rPr>
        <w:t>respondents. As shown in Table 2</w:t>
      </w:r>
      <w:r w:rsidRPr="008B43FD">
        <w:rPr>
          <w:rFonts w:ascii="Arial" w:eastAsia="Times New Roman" w:hAnsi="Arial" w:cs="Arial"/>
          <w:sz w:val="24"/>
          <w:szCs w:val="24"/>
          <w:lang w:eastAsia="en-GB"/>
        </w:rPr>
        <w:t>, the majority (76%) were female, underscoring their pivotal role in domestic water management. Regarding age distribution</w:t>
      </w:r>
      <w:r w:rsidR="00633B79" w:rsidRPr="008B43FD">
        <w:rPr>
          <w:rFonts w:ascii="Arial" w:eastAsia="Times New Roman" w:hAnsi="Arial" w:cs="Arial"/>
          <w:sz w:val="24"/>
          <w:szCs w:val="24"/>
          <w:lang w:eastAsia="en-GB"/>
        </w:rPr>
        <w:t xml:space="preserve"> and vulnerability</w:t>
      </w:r>
      <w:r w:rsidR="007F6E52" w:rsidRPr="008B43FD">
        <w:rPr>
          <w:rFonts w:ascii="Arial" w:eastAsia="Times New Roman" w:hAnsi="Arial" w:cs="Arial"/>
          <w:sz w:val="24"/>
          <w:szCs w:val="24"/>
          <w:lang w:eastAsia="en-GB"/>
        </w:rPr>
        <w:t xml:space="preserve">, nearly half of the disease-ridden </w:t>
      </w:r>
      <w:r w:rsidRPr="008B43FD">
        <w:rPr>
          <w:rFonts w:ascii="Arial" w:eastAsia="Times New Roman" w:hAnsi="Arial" w:cs="Arial"/>
          <w:sz w:val="24"/>
          <w:szCs w:val="24"/>
          <w:lang w:eastAsia="en-GB"/>
        </w:rPr>
        <w:t>(46%) were children under five years old, followed by children over five (34%) and adults (20%), indicating a study population heavily weighted toward the most vulnerable demographic.</w:t>
      </w:r>
      <w:bookmarkStart w:id="0" w:name="_t4cqycmu2gsm" w:colFirst="0" w:colLast="0"/>
      <w:bookmarkEnd w:id="0"/>
    </w:p>
    <w:p w14:paraId="211CA9BF" w14:textId="0EBF1DAD" w:rsidR="00E57ABF" w:rsidRPr="008B43FD" w:rsidRDefault="00046EA0" w:rsidP="008B43FD">
      <w:pPr>
        <w:spacing w:after="0" w:line="360" w:lineRule="auto"/>
        <w:rPr>
          <w:rFonts w:ascii="Arial" w:eastAsia="Times New Roman" w:hAnsi="Arial" w:cs="Arial"/>
          <w:sz w:val="24"/>
          <w:szCs w:val="24"/>
          <w:lang w:val="en"/>
        </w:rPr>
      </w:pPr>
      <w:r w:rsidRPr="008B43FD">
        <w:rPr>
          <w:rFonts w:ascii="Arial" w:eastAsia="Times New Roman" w:hAnsi="Arial" w:cs="Arial"/>
          <w:sz w:val="24"/>
          <w:szCs w:val="24"/>
          <w:lang w:val="en"/>
        </w:rPr>
        <w:t>T</w:t>
      </w:r>
      <w:r w:rsidR="00B564E6" w:rsidRPr="008B43FD">
        <w:rPr>
          <w:rFonts w:ascii="Arial" w:eastAsia="Times New Roman" w:hAnsi="Arial" w:cs="Arial"/>
          <w:sz w:val="24"/>
          <w:szCs w:val="24"/>
          <w:lang w:val="en"/>
        </w:rPr>
        <w:t>able 2</w:t>
      </w:r>
      <w:r w:rsidRPr="008B43FD">
        <w:rPr>
          <w:rFonts w:ascii="Arial" w:eastAsia="Times New Roman" w:hAnsi="Arial" w:cs="Arial"/>
          <w:sz w:val="24"/>
          <w:szCs w:val="24"/>
          <w:lang w:val="en"/>
        </w:rPr>
        <w:t xml:space="preserve">. </w:t>
      </w:r>
      <w:r w:rsidR="00605AAC" w:rsidRPr="008B43FD">
        <w:rPr>
          <w:rFonts w:ascii="Arial" w:eastAsia="Times New Roman" w:hAnsi="Arial" w:cs="Arial"/>
          <w:sz w:val="24"/>
          <w:szCs w:val="24"/>
          <w:lang w:val="en"/>
        </w:rPr>
        <w:t>Respondents ‘Based on</w:t>
      </w:r>
      <w:r w:rsidR="00E57ABF" w:rsidRPr="008B43FD">
        <w:rPr>
          <w:rFonts w:ascii="Arial" w:eastAsia="Times New Roman" w:hAnsi="Arial" w:cs="Arial"/>
          <w:sz w:val="24"/>
          <w:szCs w:val="24"/>
          <w:lang w:val="en"/>
        </w:rPr>
        <w:t xml:space="preserve"> Gender Distribution</w:t>
      </w:r>
    </w:p>
    <w:p w14:paraId="63A8C187" w14:textId="77777777" w:rsidR="00E57ABF" w:rsidRPr="008B43FD" w:rsidRDefault="00E57ABF" w:rsidP="008B43FD">
      <w:pPr>
        <w:spacing w:after="0" w:line="360" w:lineRule="auto"/>
        <w:rPr>
          <w:rFonts w:ascii="Arial" w:eastAsia="Times New Roman" w:hAnsi="Arial" w:cs="Arial"/>
          <w:b/>
          <w:sz w:val="24"/>
          <w:szCs w:val="24"/>
          <w:lang w:val="en"/>
        </w:rPr>
      </w:pPr>
    </w:p>
    <w:tbl>
      <w:tblPr>
        <w:tblStyle w:val="3"/>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8B43FD" w:rsidRPr="008B43FD" w14:paraId="5838DBB9" w14:textId="77777777" w:rsidTr="00C820C8">
        <w:tc>
          <w:tcPr>
            <w:tcW w:w="3005" w:type="dxa"/>
            <w:tcBorders>
              <w:top w:val="single" w:sz="4" w:space="0" w:color="auto"/>
              <w:bottom w:val="single" w:sz="4" w:space="0" w:color="auto"/>
            </w:tcBorders>
            <w:vAlign w:val="center"/>
          </w:tcPr>
          <w:p w14:paraId="5C153A46"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b/>
                <w:sz w:val="24"/>
                <w:szCs w:val="24"/>
              </w:rPr>
              <w:t>Gender</w:t>
            </w:r>
          </w:p>
        </w:tc>
        <w:tc>
          <w:tcPr>
            <w:tcW w:w="3005" w:type="dxa"/>
            <w:tcBorders>
              <w:top w:val="single" w:sz="4" w:space="0" w:color="auto"/>
              <w:bottom w:val="single" w:sz="4" w:space="0" w:color="auto"/>
            </w:tcBorders>
            <w:vAlign w:val="center"/>
          </w:tcPr>
          <w:p w14:paraId="35696E4A"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28B8E513"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b/>
                <w:sz w:val="24"/>
                <w:szCs w:val="24"/>
              </w:rPr>
              <w:t>Percentage (%)</w:t>
            </w:r>
          </w:p>
        </w:tc>
      </w:tr>
      <w:tr w:rsidR="008B43FD" w:rsidRPr="008B43FD" w14:paraId="6BEDAA55" w14:textId="77777777" w:rsidTr="00C820C8">
        <w:tc>
          <w:tcPr>
            <w:tcW w:w="3005" w:type="dxa"/>
            <w:tcBorders>
              <w:top w:val="single" w:sz="4" w:space="0" w:color="auto"/>
            </w:tcBorders>
            <w:vAlign w:val="center"/>
          </w:tcPr>
          <w:p w14:paraId="18522F89"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Male</w:t>
            </w:r>
          </w:p>
        </w:tc>
        <w:tc>
          <w:tcPr>
            <w:tcW w:w="3005" w:type="dxa"/>
            <w:tcBorders>
              <w:top w:val="single" w:sz="4" w:space="0" w:color="auto"/>
            </w:tcBorders>
            <w:vAlign w:val="center"/>
          </w:tcPr>
          <w:p w14:paraId="23F660C1"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12</w:t>
            </w:r>
          </w:p>
        </w:tc>
        <w:tc>
          <w:tcPr>
            <w:tcW w:w="3006" w:type="dxa"/>
            <w:tcBorders>
              <w:top w:val="single" w:sz="4" w:space="0" w:color="auto"/>
            </w:tcBorders>
            <w:vAlign w:val="center"/>
          </w:tcPr>
          <w:p w14:paraId="3DEA989E"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24%</w:t>
            </w:r>
          </w:p>
        </w:tc>
      </w:tr>
      <w:tr w:rsidR="008B43FD" w:rsidRPr="008B43FD" w14:paraId="587AAC70" w14:textId="77777777" w:rsidTr="00C820C8">
        <w:tc>
          <w:tcPr>
            <w:tcW w:w="3005" w:type="dxa"/>
            <w:vAlign w:val="center"/>
          </w:tcPr>
          <w:p w14:paraId="17AC5CEB"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Female</w:t>
            </w:r>
          </w:p>
        </w:tc>
        <w:tc>
          <w:tcPr>
            <w:tcW w:w="3005" w:type="dxa"/>
            <w:vAlign w:val="center"/>
          </w:tcPr>
          <w:p w14:paraId="4A755559"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38</w:t>
            </w:r>
          </w:p>
        </w:tc>
        <w:tc>
          <w:tcPr>
            <w:tcW w:w="3006" w:type="dxa"/>
            <w:vAlign w:val="center"/>
          </w:tcPr>
          <w:p w14:paraId="12581718" w14:textId="77777777" w:rsidR="00E57ABF" w:rsidRPr="008B43FD" w:rsidRDefault="00E57ABF" w:rsidP="008B43FD">
            <w:pPr>
              <w:spacing w:line="360" w:lineRule="auto"/>
              <w:rPr>
                <w:rFonts w:ascii="Arial" w:eastAsia="Times New Roman" w:hAnsi="Arial" w:cs="Arial"/>
                <w:b/>
                <w:sz w:val="24"/>
                <w:szCs w:val="24"/>
              </w:rPr>
            </w:pPr>
            <w:r w:rsidRPr="008B43FD">
              <w:rPr>
                <w:rFonts w:ascii="Arial" w:eastAsia="Times New Roman" w:hAnsi="Arial" w:cs="Arial"/>
                <w:sz w:val="24"/>
                <w:szCs w:val="24"/>
              </w:rPr>
              <w:t>76%</w:t>
            </w:r>
          </w:p>
        </w:tc>
      </w:tr>
      <w:tr w:rsidR="00E57ABF" w:rsidRPr="008B43FD" w14:paraId="34F9B038" w14:textId="77777777" w:rsidTr="00C820C8">
        <w:tc>
          <w:tcPr>
            <w:tcW w:w="3005" w:type="dxa"/>
            <w:vAlign w:val="center"/>
          </w:tcPr>
          <w:p w14:paraId="753631C8" w14:textId="77777777" w:rsidR="00E57ABF" w:rsidRPr="008B43FD" w:rsidRDefault="00E57ABF" w:rsidP="008B43FD">
            <w:pPr>
              <w:spacing w:line="360" w:lineRule="auto"/>
              <w:rPr>
                <w:rFonts w:ascii="Arial" w:eastAsia="Times New Roman" w:hAnsi="Arial" w:cs="Arial"/>
                <w:sz w:val="24"/>
                <w:szCs w:val="24"/>
              </w:rPr>
            </w:pPr>
            <w:r w:rsidRPr="008B43FD">
              <w:rPr>
                <w:rFonts w:ascii="Arial" w:eastAsia="Times New Roman" w:hAnsi="Arial" w:cs="Arial"/>
                <w:sz w:val="24"/>
                <w:szCs w:val="24"/>
              </w:rPr>
              <w:t>Total</w:t>
            </w:r>
          </w:p>
        </w:tc>
        <w:tc>
          <w:tcPr>
            <w:tcW w:w="3005" w:type="dxa"/>
            <w:vAlign w:val="center"/>
          </w:tcPr>
          <w:p w14:paraId="3B20B17B" w14:textId="77777777" w:rsidR="00E57ABF" w:rsidRPr="008B43FD" w:rsidRDefault="00E57ABF" w:rsidP="008B43FD">
            <w:pPr>
              <w:spacing w:line="360" w:lineRule="auto"/>
              <w:rPr>
                <w:rFonts w:ascii="Arial" w:eastAsia="Times New Roman" w:hAnsi="Arial" w:cs="Arial"/>
                <w:sz w:val="24"/>
                <w:szCs w:val="24"/>
              </w:rPr>
            </w:pPr>
            <w:r w:rsidRPr="008B43FD">
              <w:rPr>
                <w:rFonts w:ascii="Arial" w:eastAsia="Times New Roman" w:hAnsi="Arial" w:cs="Arial"/>
                <w:sz w:val="24"/>
                <w:szCs w:val="24"/>
              </w:rPr>
              <w:t>50</w:t>
            </w:r>
          </w:p>
        </w:tc>
        <w:tc>
          <w:tcPr>
            <w:tcW w:w="3006" w:type="dxa"/>
            <w:vAlign w:val="center"/>
          </w:tcPr>
          <w:p w14:paraId="70457DD8" w14:textId="77777777" w:rsidR="00E57ABF" w:rsidRPr="008B43FD" w:rsidRDefault="00E57ABF" w:rsidP="008B43FD">
            <w:pPr>
              <w:spacing w:line="360" w:lineRule="auto"/>
              <w:rPr>
                <w:rFonts w:ascii="Arial" w:eastAsia="Times New Roman" w:hAnsi="Arial" w:cs="Arial"/>
                <w:sz w:val="24"/>
                <w:szCs w:val="24"/>
              </w:rPr>
            </w:pPr>
            <w:r w:rsidRPr="008B43FD">
              <w:rPr>
                <w:rFonts w:ascii="Arial" w:eastAsia="Times New Roman" w:hAnsi="Arial" w:cs="Arial"/>
                <w:sz w:val="24"/>
                <w:szCs w:val="24"/>
              </w:rPr>
              <w:t>100%</w:t>
            </w:r>
          </w:p>
        </w:tc>
      </w:tr>
    </w:tbl>
    <w:p w14:paraId="69EA2BC8" w14:textId="77777777" w:rsidR="00E57ABF" w:rsidRPr="008B43FD" w:rsidRDefault="00E57ABF" w:rsidP="008B43FD">
      <w:pPr>
        <w:spacing w:after="0" w:line="360" w:lineRule="auto"/>
        <w:rPr>
          <w:rFonts w:ascii="Arial" w:eastAsia="Times New Roman" w:hAnsi="Arial" w:cs="Arial"/>
          <w:b/>
          <w:sz w:val="24"/>
          <w:szCs w:val="24"/>
          <w:lang w:val="en"/>
        </w:rPr>
      </w:pPr>
    </w:p>
    <w:p w14:paraId="579E96E2" w14:textId="02D41643" w:rsidR="00E57ABF" w:rsidRDefault="00B564E6" w:rsidP="008B43FD">
      <w:pPr>
        <w:spacing w:after="160" w:line="360" w:lineRule="auto"/>
        <w:jc w:val="both"/>
        <w:rPr>
          <w:rFonts w:ascii="Arial" w:eastAsia="Times New Roman" w:hAnsi="Arial" w:cs="Arial"/>
          <w:sz w:val="24"/>
          <w:szCs w:val="24"/>
          <w:lang w:val="en"/>
        </w:rPr>
      </w:pPr>
      <w:r w:rsidRPr="008B43FD">
        <w:rPr>
          <w:rFonts w:ascii="Arial" w:eastAsia="Times New Roman" w:hAnsi="Arial" w:cs="Arial"/>
          <w:sz w:val="24"/>
          <w:szCs w:val="24"/>
          <w:lang w:val="en"/>
        </w:rPr>
        <w:t>Table 2</w:t>
      </w:r>
      <w:r w:rsidR="00E57ABF" w:rsidRPr="008B43FD">
        <w:rPr>
          <w:rFonts w:ascii="Arial" w:eastAsia="Times New Roman" w:hAnsi="Arial" w:cs="Arial"/>
          <w:sz w:val="24"/>
          <w:szCs w:val="24"/>
          <w:lang w:val="en"/>
        </w:rPr>
        <w:t xml:space="preserve">. above reveal that the majority of respondents were female (76%), while males accounted for only 24% of the population. This suggests that women were more </w:t>
      </w:r>
      <w:r w:rsidR="00E57ABF" w:rsidRPr="008B43FD">
        <w:rPr>
          <w:rFonts w:ascii="Arial" w:eastAsia="Times New Roman" w:hAnsi="Arial" w:cs="Arial"/>
          <w:sz w:val="24"/>
          <w:szCs w:val="24"/>
          <w:lang w:val="en"/>
        </w:rPr>
        <w:lastRenderedPageBreak/>
        <w:t>actively represented in this study, possibly because they are often more involved in household water collection, usage, and management.</w:t>
      </w:r>
    </w:p>
    <w:p w14:paraId="060F20C3" w14:textId="77777777" w:rsidR="0096068D" w:rsidRPr="008B43FD" w:rsidRDefault="0096068D" w:rsidP="008B43FD">
      <w:pPr>
        <w:spacing w:after="160" w:line="360" w:lineRule="auto"/>
        <w:jc w:val="both"/>
        <w:rPr>
          <w:rFonts w:ascii="Arial" w:eastAsia="Times New Roman" w:hAnsi="Arial" w:cs="Arial"/>
          <w:sz w:val="24"/>
          <w:szCs w:val="24"/>
          <w:lang w:val="en"/>
        </w:rPr>
      </w:pPr>
    </w:p>
    <w:p w14:paraId="08DABD73" w14:textId="77777777" w:rsidR="00BF7F6B" w:rsidRPr="008B43FD" w:rsidRDefault="00BF7F6B" w:rsidP="008B43FD">
      <w:pPr>
        <w:spacing w:after="160" w:line="360" w:lineRule="auto"/>
        <w:rPr>
          <w:rFonts w:ascii="Arial" w:eastAsia="Times New Roman" w:hAnsi="Arial" w:cs="Arial"/>
          <w:sz w:val="24"/>
          <w:szCs w:val="24"/>
          <w:lang w:val="en"/>
        </w:rPr>
      </w:pPr>
    </w:p>
    <w:p w14:paraId="590AB5E4" w14:textId="079C657C" w:rsidR="00E57ABF" w:rsidRPr="008B43FD" w:rsidRDefault="00C820C8" w:rsidP="008B43FD">
      <w:pPr>
        <w:spacing w:after="160" w:line="360" w:lineRule="auto"/>
        <w:rPr>
          <w:rFonts w:ascii="Arial" w:eastAsia="Times New Roman" w:hAnsi="Arial" w:cs="Arial"/>
          <w:sz w:val="24"/>
          <w:szCs w:val="24"/>
          <w:lang w:val="en"/>
        </w:rPr>
      </w:pPr>
      <w:r w:rsidRPr="008B43FD">
        <w:rPr>
          <w:rFonts w:ascii="Arial" w:eastAsia="Times New Roman" w:hAnsi="Arial" w:cs="Arial"/>
          <w:sz w:val="24"/>
          <w:szCs w:val="24"/>
          <w:lang w:val="en"/>
        </w:rPr>
        <w:t xml:space="preserve">Table </w:t>
      </w:r>
      <w:r w:rsidR="00B564E6" w:rsidRPr="008B43FD">
        <w:rPr>
          <w:rFonts w:ascii="Arial" w:eastAsia="Times New Roman" w:hAnsi="Arial" w:cs="Arial"/>
          <w:sz w:val="24"/>
          <w:szCs w:val="24"/>
          <w:lang w:val="en"/>
        </w:rPr>
        <w:t>3</w:t>
      </w:r>
      <w:r w:rsidR="00E57ABF" w:rsidRPr="008B43FD">
        <w:rPr>
          <w:rFonts w:ascii="Arial" w:eastAsia="Times New Roman" w:hAnsi="Arial" w:cs="Arial"/>
          <w:sz w:val="24"/>
          <w:szCs w:val="24"/>
          <w:lang w:val="en"/>
        </w:rPr>
        <w:t xml:space="preserve">; </w:t>
      </w:r>
      <w:r w:rsidR="007F6E52" w:rsidRPr="008B43FD">
        <w:rPr>
          <w:rFonts w:ascii="Arial" w:eastAsia="Times New Roman" w:hAnsi="Arial" w:cs="Arial"/>
          <w:sz w:val="24"/>
          <w:szCs w:val="24"/>
          <w:lang w:eastAsia="en-GB"/>
        </w:rPr>
        <w:t>Disease-ridden</w:t>
      </w:r>
      <w:r w:rsidR="00D028D8" w:rsidRPr="008B43FD">
        <w:rPr>
          <w:rFonts w:ascii="Arial" w:eastAsia="Times New Roman" w:hAnsi="Arial" w:cs="Arial"/>
          <w:sz w:val="24"/>
          <w:szCs w:val="24"/>
          <w:lang w:val="en"/>
        </w:rPr>
        <w:t xml:space="preserve"> based</w:t>
      </w:r>
      <w:r w:rsidR="00D028D8" w:rsidRPr="008B43FD">
        <w:rPr>
          <w:rFonts w:ascii="Arial" w:eastAsia="Times New Roman" w:hAnsi="Arial" w:cs="Arial"/>
          <w:b/>
          <w:sz w:val="24"/>
          <w:szCs w:val="24"/>
          <w:lang w:val="en"/>
        </w:rPr>
        <w:t xml:space="preserve"> </w:t>
      </w:r>
      <w:r w:rsidR="007F6E52" w:rsidRPr="008B43FD">
        <w:rPr>
          <w:rFonts w:ascii="Arial" w:eastAsia="Times New Roman" w:hAnsi="Arial" w:cs="Arial"/>
          <w:sz w:val="24"/>
          <w:szCs w:val="24"/>
          <w:lang w:val="en"/>
        </w:rPr>
        <w:t>on</w:t>
      </w:r>
      <w:r w:rsidR="007F6E52" w:rsidRPr="008B43FD">
        <w:rPr>
          <w:rFonts w:ascii="Arial" w:eastAsia="Times New Roman" w:hAnsi="Arial" w:cs="Arial"/>
          <w:b/>
          <w:sz w:val="24"/>
          <w:szCs w:val="24"/>
          <w:lang w:val="en"/>
        </w:rPr>
        <w:t xml:space="preserve"> </w:t>
      </w:r>
      <w:r w:rsidR="00E57ABF" w:rsidRPr="008B43FD">
        <w:rPr>
          <w:rFonts w:ascii="Arial" w:eastAsia="Times New Roman" w:hAnsi="Arial" w:cs="Arial"/>
          <w:sz w:val="24"/>
          <w:szCs w:val="24"/>
          <w:lang w:val="en"/>
        </w:rPr>
        <w:t>Age Group/Biodata Distribution</w:t>
      </w:r>
    </w:p>
    <w:tbl>
      <w:tblPr>
        <w:tblStyle w:val="2"/>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8B43FD" w:rsidRPr="008B43FD" w14:paraId="3603B8EB" w14:textId="77777777" w:rsidTr="00C820C8">
        <w:tc>
          <w:tcPr>
            <w:tcW w:w="3005" w:type="dxa"/>
            <w:tcBorders>
              <w:top w:val="single" w:sz="4" w:space="0" w:color="auto"/>
              <w:bottom w:val="single" w:sz="4" w:space="0" w:color="auto"/>
            </w:tcBorders>
            <w:vAlign w:val="center"/>
          </w:tcPr>
          <w:p w14:paraId="0AF0DABA"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b/>
                <w:sz w:val="24"/>
                <w:szCs w:val="24"/>
              </w:rPr>
              <w:t>Age Group</w:t>
            </w:r>
          </w:p>
        </w:tc>
        <w:tc>
          <w:tcPr>
            <w:tcW w:w="3005" w:type="dxa"/>
            <w:tcBorders>
              <w:top w:val="single" w:sz="4" w:space="0" w:color="auto"/>
              <w:bottom w:val="single" w:sz="4" w:space="0" w:color="auto"/>
            </w:tcBorders>
            <w:vAlign w:val="center"/>
          </w:tcPr>
          <w:p w14:paraId="5503BE74"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0BAE3A6A"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b/>
                <w:sz w:val="24"/>
                <w:szCs w:val="24"/>
              </w:rPr>
              <w:t>Percentage (%)</w:t>
            </w:r>
          </w:p>
        </w:tc>
      </w:tr>
      <w:tr w:rsidR="008B43FD" w:rsidRPr="008B43FD" w14:paraId="2964F8D4" w14:textId="77777777" w:rsidTr="00C820C8">
        <w:tc>
          <w:tcPr>
            <w:tcW w:w="3005" w:type="dxa"/>
            <w:tcBorders>
              <w:top w:val="single" w:sz="4" w:space="0" w:color="auto"/>
            </w:tcBorders>
            <w:vAlign w:val="center"/>
          </w:tcPr>
          <w:p w14:paraId="47D9E2FE"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 xml:space="preserve">Children &lt; 5 </w:t>
            </w:r>
            <w:proofErr w:type="spellStart"/>
            <w:r w:rsidRPr="008B43FD">
              <w:rPr>
                <w:rFonts w:ascii="Arial" w:eastAsia="Times New Roman" w:hAnsi="Arial" w:cs="Arial"/>
                <w:sz w:val="24"/>
                <w:szCs w:val="24"/>
              </w:rPr>
              <w:t>yrs</w:t>
            </w:r>
            <w:proofErr w:type="spellEnd"/>
          </w:p>
        </w:tc>
        <w:tc>
          <w:tcPr>
            <w:tcW w:w="3005" w:type="dxa"/>
            <w:tcBorders>
              <w:top w:val="single" w:sz="4" w:space="0" w:color="auto"/>
            </w:tcBorders>
            <w:vAlign w:val="center"/>
          </w:tcPr>
          <w:p w14:paraId="0CE5F907"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23</w:t>
            </w:r>
          </w:p>
        </w:tc>
        <w:tc>
          <w:tcPr>
            <w:tcW w:w="3006" w:type="dxa"/>
            <w:tcBorders>
              <w:top w:val="single" w:sz="4" w:space="0" w:color="auto"/>
            </w:tcBorders>
            <w:vAlign w:val="center"/>
          </w:tcPr>
          <w:p w14:paraId="6D8F3158"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46%</w:t>
            </w:r>
          </w:p>
        </w:tc>
      </w:tr>
      <w:tr w:rsidR="008B43FD" w:rsidRPr="008B43FD" w14:paraId="6BFF386B" w14:textId="77777777" w:rsidTr="00C820C8">
        <w:tc>
          <w:tcPr>
            <w:tcW w:w="3005" w:type="dxa"/>
            <w:vAlign w:val="center"/>
          </w:tcPr>
          <w:p w14:paraId="21AA9A3C"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 xml:space="preserve">Children &gt; 5 </w:t>
            </w:r>
            <w:proofErr w:type="spellStart"/>
            <w:r w:rsidRPr="008B43FD">
              <w:rPr>
                <w:rFonts w:ascii="Arial" w:eastAsia="Times New Roman" w:hAnsi="Arial" w:cs="Arial"/>
                <w:sz w:val="24"/>
                <w:szCs w:val="24"/>
              </w:rPr>
              <w:t>yrs</w:t>
            </w:r>
            <w:proofErr w:type="spellEnd"/>
          </w:p>
        </w:tc>
        <w:tc>
          <w:tcPr>
            <w:tcW w:w="3005" w:type="dxa"/>
            <w:vAlign w:val="center"/>
          </w:tcPr>
          <w:p w14:paraId="28EBB2A2"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17</w:t>
            </w:r>
          </w:p>
        </w:tc>
        <w:tc>
          <w:tcPr>
            <w:tcW w:w="3006" w:type="dxa"/>
            <w:vAlign w:val="center"/>
          </w:tcPr>
          <w:p w14:paraId="7530CB96"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34%</w:t>
            </w:r>
          </w:p>
        </w:tc>
      </w:tr>
      <w:tr w:rsidR="008B43FD" w:rsidRPr="008B43FD" w14:paraId="3F59C40B" w14:textId="77777777" w:rsidTr="00C820C8">
        <w:tc>
          <w:tcPr>
            <w:tcW w:w="3005" w:type="dxa"/>
            <w:vAlign w:val="center"/>
          </w:tcPr>
          <w:p w14:paraId="392455AF"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 xml:space="preserve">Adults &gt; 18 </w:t>
            </w:r>
            <w:proofErr w:type="spellStart"/>
            <w:r w:rsidRPr="008B43FD">
              <w:rPr>
                <w:rFonts w:ascii="Arial" w:eastAsia="Times New Roman" w:hAnsi="Arial" w:cs="Arial"/>
                <w:sz w:val="24"/>
                <w:szCs w:val="24"/>
              </w:rPr>
              <w:t>yrs</w:t>
            </w:r>
            <w:proofErr w:type="spellEnd"/>
          </w:p>
        </w:tc>
        <w:tc>
          <w:tcPr>
            <w:tcW w:w="3005" w:type="dxa"/>
            <w:vAlign w:val="center"/>
          </w:tcPr>
          <w:p w14:paraId="41F7FB4F"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10</w:t>
            </w:r>
          </w:p>
        </w:tc>
        <w:tc>
          <w:tcPr>
            <w:tcW w:w="3006" w:type="dxa"/>
            <w:vAlign w:val="center"/>
          </w:tcPr>
          <w:p w14:paraId="6170CC48"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20%</w:t>
            </w:r>
          </w:p>
        </w:tc>
      </w:tr>
      <w:tr w:rsidR="00E57ABF" w:rsidRPr="008B43FD" w14:paraId="4229F4AE" w14:textId="77777777" w:rsidTr="00C820C8">
        <w:tc>
          <w:tcPr>
            <w:tcW w:w="3005" w:type="dxa"/>
            <w:vAlign w:val="center"/>
          </w:tcPr>
          <w:p w14:paraId="71C2A452"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Total</w:t>
            </w:r>
          </w:p>
        </w:tc>
        <w:tc>
          <w:tcPr>
            <w:tcW w:w="3005" w:type="dxa"/>
            <w:vAlign w:val="center"/>
          </w:tcPr>
          <w:p w14:paraId="5326E52F"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50</w:t>
            </w:r>
          </w:p>
        </w:tc>
        <w:tc>
          <w:tcPr>
            <w:tcW w:w="3006" w:type="dxa"/>
            <w:vAlign w:val="center"/>
          </w:tcPr>
          <w:p w14:paraId="16331E9C" w14:textId="77777777" w:rsidR="00E57ABF" w:rsidRPr="008B43FD" w:rsidRDefault="00E57ABF" w:rsidP="008B43FD">
            <w:pPr>
              <w:spacing w:line="360" w:lineRule="auto"/>
              <w:jc w:val="both"/>
              <w:rPr>
                <w:rFonts w:ascii="Arial" w:eastAsia="Times New Roman" w:hAnsi="Arial" w:cs="Arial"/>
                <w:sz w:val="24"/>
                <w:szCs w:val="24"/>
              </w:rPr>
            </w:pPr>
            <w:r w:rsidRPr="008B43FD">
              <w:rPr>
                <w:rFonts w:ascii="Arial" w:eastAsia="Times New Roman" w:hAnsi="Arial" w:cs="Arial"/>
                <w:sz w:val="24"/>
                <w:szCs w:val="24"/>
              </w:rPr>
              <w:t>100%</w:t>
            </w:r>
          </w:p>
        </w:tc>
      </w:tr>
    </w:tbl>
    <w:p w14:paraId="5E9C7EEA" w14:textId="77777777" w:rsidR="00E57ABF" w:rsidRPr="008B43FD" w:rsidRDefault="00E57ABF" w:rsidP="008B43FD">
      <w:pPr>
        <w:spacing w:after="0" w:line="360" w:lineRule="auto"/>
        <w:ind w:firstLine="420"/>
        <w:rPr>
          <w:rFonts w:ascii="Arial" w:eastAsia="Times New Roman" w:hAnsi="Arial" w:cs="Arial"/>
          <w:sz w:val="24"/>
          <w:szCs w:val="24"/>
          <w:lang w:val="en"/>
        </w:rPr>
      </w:pPr>
    </w:p>
    <w:p w14:paraId="34BDD0B1" w14:textId="3C40D744" w:rsidR="00E57ABF" w:rsidRPr="008B43FD" w:rsidRDefault="000E6729" w:rsidP="008B43FD">
      <w:pPr>
        <w:spacing w:after="0" w:line="360" w:lineRule="auto"/>
        <w:jc w:val="both"/>
        <w:rPr>
          <w:rFonts w:ascii="Arial" w:eastAsia="Times New Roman" w:hAnsi="Arial" w:cs="Arial"/>
          <w:sz w:val="24"/>
          <w:szCs w:val="24"/>
          <w:lang w:val="en"/>
        </w:rPr>
      </w:pPr>
      <w:bookmarkStart w:id="1" w:name="_GoBack"/>
      <w:r w:rsidRPr="008B43FD">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136B08C1" wp14:editId="227BC2F5">
            <wp:simplePos x="0" y="0"/>
            <wp:positionH relativeFrom="column">
              <wp:posOffset>-47625</wp:posOffset>
            </wp:positionH>
            <wp:positionV relativeFrom="paragraph">
              <wp:posOffset>1292860</wp:posOffset>
            </wp:positionV>
            <wp:extent cx="5705475" cy="3448050"/>
            <wp:effectExtent l="0" t="0" r="9525"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bookmarkEnd w:id="1"/>
      <w:r w:rsidR="00046EA0" w:rsidRPr="008B43FD">
        <w:rPr>
          <w:rFonts w:ascii="Arial" w:eastAsia="Times New Roman" w:hAnsi="Arial" w:cs="Arial"/>
          <w:sz w:val="24"/>
          <w:szCs w:val="24"/>
          <w:lang w:val="en"/>
        </w:rPr>
        <w:t xml:space="preserve">Table </w:t>
      </w:r>
      <w:r w:rsidR="00B564E6" w:rsidRPr="008B43FD">
        <w:rPr>
          <w:rFonts w:ascii="Arial" w:eastAsia="Times New Roman" w:hAnsi="Arial" w:cs="Arial"/>
          <w:sz w:val="24"/>
          <w:szCs w:val="24"/>
          <w:lang w:val="en"/>
        </w:rPr>
        <w:t>3</w:t>
      </w:r>
      <w:r w:rsidR="00E57ABF" w:rsidRPr="008B43FD">
        <w:rPr>
          <w:rFonts w:ascii="Arial" w:eastAsia="Times New Roman" w:hAnsi="Arial" w:cs="Arial"/>
          <w:sz w:val="24"/>
          <w:szCs w:val="24"/>
          <w:lang w:val="en"/>
        </w:rPr>
        <w:t xml:space="preserve"> shows that Children under five years constituted </w:t>
      </w:r>
      <w:r w:rsidR="007F6E52" w:rsidRPr="008B43FD">
        <w:rPr>
          <w:rFonts w:ascii="Arial" w:eastAsia="Times New Roman" w:hAnsi="Arial" w:cs="Arial"/>
          <w:sz w:val="24"/>
          <w:szCs w:val="24"/>
          <w:lang w:val="en"/>
        </w:rPr>
        <w:t xml:space="preserve">the largest group of </w:t>
      </w:r>
      <w:r w:rsidR="007F6E52" w:rsidRPr="008B43FD">
        <w:rPr>
          <w:rFonts w:ascii="Arial" w:eastAsia="Times New Roman" w:hAnsi="Arial" w:cs="Arial"/>
          <w:sz w:val="24"/>
          <w:szCs w:val="24"/>
          <w:lang w:eastAsia="en-GB"/>
        </w:rPr>
        <w:t xml:space="preserve">disease-ridden </w:t>
      </w:r>
      <w:r w:rsidR="00633B79" w:rsidRPr="008B43FD">
        <w:rPr>
          <w:rFonts w:ascii="Arial" w:eastAsia="Times New Roman" w:hAnsi="Arial" w:cs="Arial"/>
          <w:sz w:val="24"/>
          <w:szCs w:val="24"/>
          <w:lang w:val="en"/>
        </w:rPr>
        <w:t>(</w:t>
      </w:r>
      <w:r w:rsidR="00E57ABF" w:rsidRPr="008B43FD">
        <w:rPr>
          <w:rFonts w:ascii="Arial" w:eastAsia="Times New Roman" w:hAnsi="Arial" w:cs="Arial"/>
          <w:sz w:val="24"/>
          <w:szCs w:val="24"/>
          <w:lang w:val="en"/>
        </w:rPr>
        <w:t>46%), followed by children over five years (34%), and adults (20%). This age distribution highlights the vulnerability of young children, who are often the most affected by water-related illnesses such as diarrhea and cholera due to weaker immune systems.</w:t>
      </w:r>
    </w:p>
    <w:p w14:paraId="70FBEF8A" w14:textId="6913EB90" w:rsidR="006A0664" w:rsidRPr="008B43FD" w:rsidRDefault="007F6E52" w:rsidP="008B43FD">
      <w:pPr>
        <w:spacing w:line="360" w:lineRule="auto"/>
        <w:rPr>
          <w:rFonts w:ascii="Arial" w:hAnsi="Arial" w:cs="Arial"/>
          <w:sz w:val="24"/>
          <w:szCs w:val="24"/>
        </w:rPr>
      </w:pPr>
      <w:r w:rsidRPr="008B43FD">
        <w:rPr>
          <w:rFonts w:ascii="Arial" w:hAnsi="Arial" w:cs="Arial"/>
          <w:sz w:val="24"/>
          <w:szCs w:val="24"/>
        </w:rPr>
        <w:t xml:space="preserve"> </w:t>
      </w:r>
    </w:p>
    <w:p w14:paraId="0C2167CA" w14:textId="5E819F76" w:rsidR="006A0664" w:rsidRPr="008B43FD" w:rsidRDefault="006A0664" w:rsidP="008B43FD">
      <w:pPr>
        <w:spacing w:line="360" w:lineRule="auto"/>
        <w:rPr>
          <w:rFonts w:ascii="Arial" w:hAnsi="Arial" w:cs="Arial"/>
          <w:sz w:val="24"/>
          <w:szCs w:val="24"/>
        </w:rPr>
      </w:pPr>
    </w:p>
    <w:p w14:paraId="78975E29" w14:textId="77777777" w:rsidR="006A0664" w:rsidRPr="008B43FD" w:rsidRDefault="006A0664" w:rsidP="008B43FD">
      <w:pPr>
        <w:spacing w:line="360" w:lineRule="auto"/>
        <w:rPr>
          <w:rFonts w:ascii="Arial" w:hAnsi="Arial" w:cs="Arial"/>
          <w:sz w:val="24"/>
          <w:szCs w:val="24"/>
        </w:rPr>
      </w:pPr>
    </w:p>
    <w:p w14:paraId="62044A6C" w14:textId="77777777" w:rsidR="00F64A9C" w:rsidRPr="008B43FD" w:rsidRDefault="00F64A9C" w:rsidP="008B43FD">
      <w:pPr>
        <w:spacing w:line="360" w:lineRule="auto"/>
        <w:rPr>
          <w:rFonts w:ascii="Arial" w:hAnsi="Arial" w:cs="Arial"/>
          <w:b/>
          <w:sz w:val="24"/>
          <w:szCs w:val="24"/>
        </w:rPr>
      </w:pPr>
    </w:p>
    <w:p w14:paraId="59A7F111" w14:textId="77777777" w:rsidR="00F64A9C" w:rsidRPr="008B43FD" w:rsidRDefault="00F64A9C" w:rsidP="008B43FD">
      <w:pPr>
        <w:spacing w:line="360" w:lineRule="auto"/>
        <w:rPr>
          <w:rFonts w:ascii="Arial" w:hAnsi="Arial" w:cs="Arial"/>
          <w:b/>
          <w:sz w:val="24"/>
          <w:szCs w:val="24"/>
        </w:rPr>
      </w:pPr>
    </w:p>
    <w:p w14:paraId="1AD7FF3B" w14:textId="77777777" w:rsidR="00F64A9C" w:rsidRPr="008B43FD" w:rsidRDefault="00F64A9C" w:rsidP="008B43FD">
      <w:pPr>
        <w:spacing w:line="360" w:lineRule="auto"/>
        <w:rPr>
          <w:rFonts w:ascii="Arial" w:hAnsi="Arial" w:cs="Arial"/>
          <w:b/>
          <w:sz w:val="24"/>
          <w:szCs w:val="24"/>
        </w:rPr>
      </w:pPr>
    </w:p>
    <w:p w14:paraId="6B673D0B" w14:textId="77777777" w:rsidR="00F64A9C" w:rsidRPr="008B43FD" w:rsidRDefault="00F64A9C" w:rsidP="008B43FD">
      <w:pPr>
        <w:spacing w:line="360" w:lineRule="auto"/>
        <w:rPr>
          <w:rFonts w:ascii="Arial" w:hAnsi="Arial" w:cs="Arial"/>
          <w:b/>
          <w:sz w:val="24"/>
          <w:szCs w:val="24"/>
        </w:rPr>
      </w:pPr>
    </w:p>
    <w:p w14:paraId="729DBB31" w14:textId="77777777" w:rsidR="00F64A9C" w:rsidRPr="008B43FD" w:rsidRDefault="00F64A9C" w:rsidP="008B43FD">
      <w:pPr>
        <w:spacing w:line="360" w:lineRule="auto"/>
        <w:rPr>
          <w:rFonts w:ascii="Arial" w:hAnsi="Arial" w:cs="Arial"/>
          <w:b/>
          <w:sz w:val="24"/>
          <w:szCs w:val="24"/>
        </w:rPr>
      </w:pPr>
    </w:p>
    <w:p w14:paraId="25ECC368" w14:textId="77777777" w:rsidR="00D01D9A" w:rsidRPr="008B43FD" w:rsidRDefault="00D01D9A" w:rsidP="008B43FD">
      <w:pPr>
        <w:spacing w:line="360" w:lineRule="auto"/>
        <w:rPr>
          <w:rFonts w:ascii="Arial" w:eastAsia="Times New Roman" w:hAnsi="Arial" w:cs="Arial"/>
          <w:b/>
          <w:sz w:val="24"/>
          <w:szCs w:val="24"/>
        </w:rPr>
      </w:pPr>
    </w:p>
    <w:p w14:paraId="5209D8A7" w14:textId="31C7518C" w:rsidR="00FB6ACC" w:rsidRPr="008E2206" w:rsidRDefault="00F64A9C" w:rsidP="008E2206">
      <w:pPr>
        <w:spacing w:line="360" w:lineRule="auto"/>
        <w:rPr>
          <w:rFonts w:ascii="Arial" w:hAnsi="Arial" w:cs="Arial"/>
          <w:sz w:val="24"/>
          <w:szCs w:val="24"/>
        </w:rPr>
      </w:pPr>
      <w:r w:rsidRPr="008B43FD">
        <w:rPr>
          <w:rFonts w:ascii="Arial" w:eastAsia="Times New Roman" w:hAnsi="Arial" w:cs="Arial"/>
          <w:sz w:val="24"/>
          <w:szCs w:val="24"/>
        </w:rPr>
        <w:t xml:space="preserve">Figure 2: Percentage (%) </w:t>
      </w:r>
      <w:r w:rsidR="007B5547">
        <w:rPr>
          <w:rFonts w:ascii="Arial" w:eastAsia="Times New Roman" w:hAnsi="Arial" w:cs="Arial"/>
          <w:sz w:val="24"/>
          <w:szCs w:val="24"/>
        </w:rPr>
        <w:t xml:space="preserve">Prevalence </w:t>
      </w:r>
      <w:r w:rsidRPr="008B43FD">
        <w:rPr>
          <w:rFonts w:ascii="Arial" w:eastAsia="Times New Roman" w:hAnsi="Arial" w:cs="Arial"/>
          <w:sz w:val="24"/>
          <w:szCs w:val="24"/>
        </w:rPr>
        <w:t>of Water-Related Diseases Reported by Respondents</w:t>
      </w:r>
    </w:p>
    <w:p w14:paraId="5EC96551" w14:textId="77777777" w:rsidR="00FB6ACC" w:rsidRDefault="00FB6ACC" w:rsidP="008B43FD">
      <w:pPr>
        <w:spacing w:after="0" w:line="360" w:lineRule="auto"/>
        <w:jc w:val="both"/>
        <w:rPr>
          <w:rFonts w:ascii="Arial" w:eastAsia="Times New Roman" w:hAnsi="Arial" w:cs="Arial"/>
          <w:sz w:val="24"/>
          <w:szCs w:val="24"/>
          <w:lang w:val="en"/>
        </w:rPr>
      </w:pPr>
    </w:p>
    <w:p w14:paraId="7F02A236" w14:textId="3377FC79" w:rsidR="00F64A9C" w:rsidRPr="008B43FD" w:rsidRDefault="00F64A9C" w:rsidP="008B43FD">
      <w:pPr>
        <w:spacing w:after="0" w:line="360" w:lineRule="auto"/>
        <w:jc w:val="both"/>
        <w:rPr>
          <w:rFonts w:ascii="Arial" w:eastAsia="Times New Roman" w:hAnsi="Arial" w:cs="Arial"/>
          <w:sz w:val="24"/>
          <w:szCs w:val="24"/>
          <w:lang w:val="en"/>
        </w:rPr>
      </w:pPr>
      <w:r w:rsidRPr="008B43FD">
        <w:rPr>
          <w:rFonts w:ascii="Arial" w:eastAsia="Times New Roman" w:hAnsi="Arial" w:cs="Arial"/>
          <w:sz w:val="24"/>
          <w:szCs w:val="24"/>
          <w:lang w:val="en"/>
        </w:rPr>
        <w:t>Figure 2, shows that the most commonly reported water-related diseases were cholera and dysentery, each accounting for 30% of the cases. Diarrhea and typhoid followed each contributing 20% of reported cases. This pattern suggests that water contamination is a significant public health concern, with cholera and dysentery being major contributors to the disease burden in the community. Improving water quality and sanitation practices could significantly reduce these incidences.</w:t>
      </w:r>
    </w:p>
    <w:p w14:paraId="2315E815" w14:textId="77777777" w:rsidR="00F64A9C" w:rsidRPr="008B43FD" w:rsidRDefault="00F64A9C" w:rsidP="008B43FD">
      <w:pPr>
        <w:spacing w:line="360" w:lineRule="auto"/>
        <w:rPr>
          <w:rFonts w:ascii="Arial" w:hAnsi="Arial" w:cs="Arial"/>
          <w:b/>
          <w:sz w:val="24"/>
          <w:szCs w:val="24"/>
        </w:rPr>
      </w:pPr>
    </w:p>
    <w:p w14:paraId="464A8EE2" w14:textId="57CFA9B7" w:rsidR="00B564E6" w:rsidRPr="008B43FD" w:rsidRDefault="0031365D" w:rsidP="008B43FD">
      <w:pPr>
        <w:spacing w:line="360" w:lineRule="auto"/>
        <w:rPr>
          <w:rFonts w:ascii="Arial" w:hAnsi="Arial" w:cs="Arial"/>
          <w:b/>
          <w:sz w:val="24"/>
          <w:szCs w:val="24"/>
        </w:rPr>
      </w:pPr>
      <w:r w:rsidRPr="008B43FD">
        <w:rPr>
          <w:rFonts w:ascii="Arial" w:hAnsi="Arial" w:cs="Arial"/>
          <w:b/>
          <w:sz w:val="24"/>
          <w:szCs w:val="24"/>
        </w:rPr>
        <w:t>Discussion</w:t>
      </w:r>
    </w:p>
    <w:p w14:paraId="1FC2BB14" w14:textId="3A4508F5" w:rsidR="00754161" w:rsidRPr="008B43FD" w:rsidRDefault="00754161" w:rsidP="0096068D">
      <w:pPr>
        <w:spacing w:before="100" w:beforeAutospacing="1" w:after="100" w:afterAutospacing="1" w:line="360" w:lineRule="auto"/>
        <w:jc w:val="both"/>
        <w:rPr>
          <w:rFonts w:ascii="Arial" w:eastAsia="Times New Roman" w:hAnsi="Arial" w:cs="Arial"/>
          <w:sz w:val="24"/>
          <w:szCs w:val="24"/>
          <w:lang w:eastAsia="en-GB"/>
        </w:rPr>
      </w:pPr>
      <w:r w:rsidRPr="008B43FD">
        <w:rPr>
          <w:rFonts w:ascii="Arial" w:eastAsia="Times New Roman" w:hAnsi="Arial" w:cs="Arial"/>
          <w:sz w:val="24"/>
          <w:szCs w:val="24"/>
          <w:lang w:eastAsia="en-GB"/>
        </w:rPr>
        <w:t>The</w:t>
      </w:r>
      <w:r w:rsidRPr="00830D78">
        <w:rPr>
          <w:rFonts w:ascii="Arial" w:eastAsia="Times New Roman" w:hAnsi="Arial" w:cs="Arial"/>
          <w:sz w:val="24"/>
          <w:szCs w:val="24"/>
          <w:lang w:eastAsia="en-GB"/>
        </w:rPr>
        <w:t xml:space="preserve"> </w:t>
      </w:r>
      <w:r w:rsidRPr="0096068D">
        <w:rPr>
          <w:rFonts w:ascii="Arial" w:eastAsia="Times New Roman" w:hAnsi="Arial" w:cs="Arial"/>
          <w:bCs/>
          <w:sz w:val="24"/>
          <w:szCs w:val="24"/>
          <w:lang w:eastAsia="en-GB"/>
        </w:rPr>
        <w:t xml:space="preserve">groundwater sources </w:t>
      </w:r>
      <w:r w:rsidRPr="00830D78">
        <w:rPr>
          <w:rFonts w:ascii="Arial" w:eastAsia="Times New Roman" w:hAnsi="Arial" w:cs="Arial"/>
          <w:bCs/>
          <w:sz w:val="24"/>
          <w:szCs w:val="24"/>
          <w:lang w:eastAsia="en-GB"/>
        </w:rPr>
        <w:t>particular</w:t>
      </w:r>
      <w:r w:rsidRPr="0096068D">
        <w:rPr>
          <w:rFonts w:ascii="Arial" w:eastAsia="Times New Roman" w:hAnsi="Arial" w:cs="Arial"/>
          <w:bCs/>
          <w:sz w:val="24"/>
          <w:szCs w:val="24"/>
          <w:lang w:eastAsia="en-GB"/>
        </w:rPr>
        <w:t xml:space="preserve">ly boreholes and hand-dug wells </w:t>
      </w:r>
      <w:r w:rsidRPr="00830D78">
        <w:rPr>
          <w:rFonts w:ascii="Arial" w:eastAsia="Times New Roman" w:hAnsi="Arial" w:cs="Arial"/>
          <w:bCs/>
          <w:sz w:val="24"/>
          <w:szCs w:val="24"/>
          <w:lang w:eastAsia="en-GB"/>
        </w:rPr>
        <w:t xml:space="preserve">are the dominant sources of domestic water in </w:t>
      </w:r>
      <w:proofErr w:type="spellStart"/>
      <w:r w:rsidRPr="00830D78">
        <w:rPr>
          <w:rFonts w:ascii="Arial" w:eastAsia="Times New Roman" w:hAnsi="Arial" w:cs="Arial"/>
          <w:bCs/>
          <w:sz w:val="24"/>
          <w:szCs w:val="24"/>
          <w:lang w:eastAsia="en-GB"/>
        </w:rPr>
        <w:t>Giri</w:t>
      </w:r>
      <w:proofErr w:type="spellEnd"/>
      <w:r w:rsidRPr="00830D78">
        <w:rPr>
          <w:rFonts w:ascii="Arial" w:eastAsia="Times New Roman" w:hAnsi="Arial" w:cs="Arial"/>
          <w:bCs/>
          <w:sz w:val="24"/>
          <w:szCs w:val="24"/>
          <w:lang w:eastAsia="en-GB"/>
        </w:rPr>
        <w:t xml:space="preserve"> community</w:t>
      </w:r>
      <w:r w:rsidRPr="00830D78">
        <w:rPr>
          <w:rFonts w:ascii="Arial" w:eastAsia="Times New Roman" w:hAnsi="Arial" w:cs="Arial"/>
          <w:sz w:val="24"/>
          <w:szCs w:val="24"/>
          <w:lang w:eastAsia="en-GB"/>
        </w:rPr>
        <w:t xml:space="preserve">, a trend widely reported in peri-urban and rural settlements across Nigeria (Afolabi </w:t>
      </w:r>
      <w:r w:rsidRPr="00830D78">
        <w:rPr>
          <w:rFonts w:ascii="Arial" w:eastAsia="Times New Roman" w:hAnsi="Arial" w:cs="Arial"/>
          <w:i/>
          <w:sz w:val="24"/>
          <w:szCs w:val="24"/>
          <w:lang w:eastAsia="en-GB"/>
        </w:rPr>
        <w:t>et al</w:t>
      </w:r>
      <w:r w:rsidRPr="00830D78">
        <w:rPr>
          <w:rFonts w:ascii="Arial" w:eastAsia="Times New Roman" w:hAnsi="Arial" w:cs="Arial"/>
          <w:sz w:val="24"/>
          <w:szCs w:val="24"/>
          <w:lang w:eastAsia="en-GB"/>
        </w:rPr>
        <w:t xml:space="preserve">., 2022; </w:t>
      </w:r>
      <w:proofErr w:type="spellStart"/>
      <w:r w:rsidRPr="00830D78">
        <w:rPr>
          <w:rFonts w:ascii="Arial" w:eastAsia="Times New Roman" w:hAnsi="Arial" w:cs="Arial"/>
          <w:sz w:val="24"/>
          <w:szCs w:val="24"/>
          <w:lang w:eastAsia="en-GB"/>
        </w:rPr>
        <w:t>Uk</w:t>
      </w:r>
      <w:r w:rsidR="0096068D">
        <w:rPr>
          <w:rFonts w:ascii="Arial" w:eastAsia="Times New Roman" w:hAnsi="Arial" w:cs="Arial"/>
          <w:sz w:val="24"/>
          <w:szCs w:val="24"/>
          <w:lang w:eastAsia="en-GB"/>
        </w:rPr>
        <w:t>pong</w:t>
      </w:r>
      <w:proofErr w:type="spellEnd"/>
      <w:r w:rsidR="0096068D">
        <w:rPr>
          <w:rFonts w:ascii="Arial" w:eastAsia="Times New Roman" w:hAnsi="Arial" w:cs="Arial"/>
          <w:sz w:val="24"/>
          <w:szCs w:val="24"/>
          <w:lang w:eastAsia="en-GB"/>
        </w:rPr>
        <w:t xml:space="preserve"> and</w:t>
      </w:r>
      <w:r w:rsidRPr="00830D78">
        <w:rPr>
          <w:rFonts w:ascii="Arial" w:eastAsia="Times New Roman" w:hAnsi="Arial" w:cs="Arial"/>
          <w:sz w:val="24"/>
          <w:szCs w:val="24"/>
          <w:lang w:eastAsia="en-GB"/>
        </w:rPr>
        <w:t xml:space="preserve"> </w:t>
      </w:r>
      <w:proofErr w:type="spellStart"/>
      <w:r w:rsidRPr="00830D78">
        <w:rPr>
          <w:rFonts w:ascii="Arial" w:eastAsia="Times New Roman" w:hAnsi="Arial" w:cs="Arial"/>
          <w:sz w:val="24"/>
          <w:szCs w:val="24"/>
          <w:lang w:eastAsia="en-GB"/>
        </w:rPr>
        <w:t>Okon</w:t>
      </w:r>
      <w:proofErr w:type="spellEnd"/>
      <w:r w:rsidRPr="00830D78">
        <w:rPr>
          <w:rFonts w:ascii="Arial" w:eastAsia="Times New Roman" w:hAnsi="Arial" w:cs="Arial"/>
          <w:sz w:val="24"/>
          <w:szCs w:val="24"/>
          <w:lang w:eastAsia="en-GB"/>
        </w:rPr>
        <w:t xml:space="preserve">, 2023). Although boreholes are commonly regarded as safer alternatives to surface water, their safety is highly dependent on proper construction, maintenance, and adequate separation from sanitation facilities. </w:t>
      </w:r>
    </w:p>
    <w:p w14:paraId="35583D88" w14:textId="3DCCC0D3" w:rsidR="00B564E6" w:rsidRPr="008B43FD" w:rsidRDefault="00B564E6" w:rsidP="008B43FD">
      <w:pPr>
        <w:spacing w:before="100" w:beforeAutospacing="1" w:after="100" w:afterAutospacing="1" w:line="360" w:lineRule="auto"/>
        <w:jc w:val="both"/>
        <w:rPr>
          <w:rFonts w:ascii="Arial" w:eastAsia="Times New Roman" w:hAnsi="Arial" w:cs="Arial"/>
          <w:sz w:val="24"/>
          <w:szCs w:val="24"/>
          <w:lang w:eastAsia="en-GB"/>
        </w:rPr>
      </w:pPr>
      <w:r w:rsidRPr="00830D78">
        <w:rPr>
          <w:rFonts w:ascii="Arial" w:eastAsia="Times New Roman" w:hAnsi="Arial" w:cs="Arial"/>
          <w:sz w:val="24"/>
          <w:szCs w:val="24"/>
          <w:lang w:eastAsia="en-GB"/>
        </w:rPr>
        <w:t xml:space="preserve">Hand-dug wells and surface water sources exhibit an even higher susceptibility to contamination, particularly during the rainy season when runoff introduces pathogens into water bodies (Bain </w:t>
      </w:r>
      <w:r w:rsidRPr="00830D78">
        <w:rPr>
          <w:rFonts w:ascii="Arial" w:eastAsia="Times New Roman" w:hAnsi="Arial" w:cs="Arial"/>
          <w:i/>
          <w:sz w:val="24"/>
          <w:szCs w:val="24"/>
          <w:lang w:eastAsia="en-GB"/>
        </w:rPr>
        <w:t>et al</w:t>
      </w:r>
      <w:r w:rsidRPr="00830D78">
        <w:rPr>
          <w:rFonts w:ascii="Arial" w:eastAsia="Times New Roman" w:hAnsi="Arial" w:cs="Arial"/>
          <w:sz w:val="24"/>
          <w:szCs w:val="24"/>
          <w:lang w:eastAsia="en-GB"/>
        </w:rPr>
        <w:t xml:space="preserve">., 2014; </w:t>
      </w:r>
      <w:proofErr w:type="spellStart"/>
      <w:r w:rsidRPr="00830D78">
        <w:rPr>
          <w:rFonts w:ascii="Arial" w:eastAsia="Times New Roman" w:hAnsi="Arial" w:cs="Arial"/>
          <w:sz w:val="24"/>
          <w:szCs w:val="24"/>
          <w:lang w:eastAsia="en-GB"/>
        </w:rPr>
        <w:t>Odewade</w:t>
      </w:r>
      <w:proofErr w:type="spellEnd"/>
      <w:r w:rsidRPr="00830D78">
        <w:rPr>
          <w:rFonts w:ascii="Arial" w:eastAsia="Times New Roman" w:hAnsi="Arial" w:cs="Arial"/>
          <w:sz w:val="24"/>
          <w:szCs w:val="24"/>
          <w:lang w:eastAsia="en-GB"/>
        </w:rPr>
        <w:t xml:space="preserve"> </w:t>
      </w:r>
      <w:r w:rsidRPr="00830D78">
        <w:rPr>
          <w:rFonts w:ascii="Arial" w:eastAsia="Times New Roman" w:hAnsi="Arial" w:cs="Arial"/>
          <w:i/>
          <w:sz w:val="24"/>
          <w:szCs w:val="24"/>
          <w:lang w:eastAsia="en-GB"/>
        </w:rPr>
        <w:t>et al</w:t>
      </w:r>
      <w:r w:rsidRPr="00830D78">
        <w:rPr>
          <w:rFonts w:ascii="Arial" w:eastAsia="Times New Roman" w:hAnsi="Arial" w:cs="Arial"/>
          <w:sz w:val="24"/>
          <w:szCs w:val="24"/>
          <w:lang w:eastAsia="en-GB"/>
        </w:rPr>
        <w:t xml:space="preserve">., 2025). The reliance on water vendors and sachet water reflects adaptive strategies to cope with water scarcity; however, inconsistent quality control, poor handling practices, and affordability constraints limit their effectiveness as reliable sources of safe drinking water (WHO, 2019; UNICEF, 2025a). Collectively, the diversity and vulnerability of water sources used in </w:t>
      </w:r>
      <w:proofErr w:type="spellStart"/>
      <w:r w:rsidRPr="00830D78">
        <w:rPr>
          <w:rFonts w:ascii="Arial" w:eastAsia="Times New Roman" w:hAnsi="Arial" w:cs="Arial"/>
          <w:sz w:val="24"/>
          <w:szCs w:val="24"/>
          <w:lang w:eastAsia="en-GB"/>
        </w:rPr>
        <w:t>Giri</w:t>
      </w:r>
      <w:proofErr w:type="spellEnd"/>
      <w:r w:rsidRPr="00830D78">
        <w:rPr>
          <w:rFonts w:ascii="Arial" w:eastAsia="Times New Roman" w:hAnsi="Arial" w:cs="Arial"/>
          <w:sz w:val="24"/>
          <w:szCs w:val="24"/>
          <w:lang w:eastAsia="en-GB"/>
        </w:rPr>
        <w:t xml:space="preserve"> provide a plausible explanation for the </w:t>
      </w:r>
      <w:r w:rsidRPr="00830D78">
        <w:rPr>
          <w:rFonts w:ascii="Arial" w:eastAsia="Times New Roman" w:hAnsi="Arial" w:cs="Arial"/>
          <w:bCs/>
          <w:sz w:val="24"/>
          <w:szCs w:val="24"/>
          <w:lang w:eastAsia="en-GB"/>
        </w:rPr>
        <w:t>high prevalence of waterborne diseases</w:t>
      </w:r>
      <w:r w:rsidRPr="00830D78">
        <w:rPr>
          <w:rFonts w:ascii="Arial" w:eastAsia="Times New Roman" w:hAnsi="Arial" w:cs="Arial"/>
          <w:sz w:val="24"/>
          <w:szCs w:val="24"/>
          <w:lang w:eastAsia="en-GB"/>
        </w:rPr>
        <w:t xml:space="preserve"> reported in the community.</w:t>
      </w:r>
    </w:p>
    <w:p w14:paraId="7FFD38D8" w14:textId="6DA27DE2" w:rsidR="008B43FD" w:rsidRPr="008B43FD" w:rsidRDefault="008B43FD" w:rsidP="008B43FD">
      <w:pPr>
        <w:spacing w:after="0" w:line="360" w:lineRule="auto"/>
        <w:rPr>
          <w:rFonts w:ascii="Arial" w:eastAsia="Times New Roman" w:hAnsi="Arial" w:cs="Arial"/>
          <w:sz w:val="24"/>
          <w:szCs w:val="24"/>
          <w:lang w:eastAsia="en-GB"/>
        </w:rPr>
      </w:pPr>
      <w:r w:rsidRPr="008B43FD">
        <w:rPr>
          <w:rFonts w:ascii="Arial" w:eastAsia="Times New Roman" w:hAnsi="Arial" w:cs="Arial"/>
          <w:sz w:val="24"/>
          <w:szCs w:val="24"/>
          <w:lang w:eastAsia="en-GB"/>
        </w:rPr>
        <w:t>According to the research findings showed in Table 2, women made up the majority of respondents (76%), which is indicative of their crucial role in managing household water.</w:t>
      </w:r>
    </w:p>
    <w:p w14:paraId="1B868ED8" w14:textId="730E327F" w:rsidR="002F7FB0" w:rsidRPr="008B43FD" w:rsidRDefault="002F7FB0" w:rsidP="008B43FD">
      <w:pPr>
        <w:shd w:val="clear" w:color="auto" w:fill="FFFFFF"/>
        <w:spacing w:before="240" w:after="240" w:line="360" w:lineRule="auto"/>
        <w:jc w:val="both"/>
        <w:rPr>
          <w:rFonts w:ascii="Arial" w:eastAsia="Times New Roman" w:hAnsi="Arial" w:cs="Arial"/>
          <w:sz w:val="24"/>
          <w:szCs w:val="24"/>
          <w:lang w:eastAsia="en-GB"/>
        </w:rPr>
      </w:pPr>
      <w:r w:rsidRPr="008B43FD">
        <w:rPr>
          <w:rFonts w:ascii="Arial" w:eastAsia="Times New Roman" w:hAnsi="Arial" w:cs="Arial"/>
          <w:sz w:val="24"/>
          <w:szCs w:val="24"/>
          <w:lang w:eastAsia="en-GB"/>
        </w:rPr>
        <w:t>The de</w:t>
      </w:r>
      <w:r w:rsidR="007F6E52" w:rsidRPr="008B43FD">
        <w:rPr>
          <w:rFonts w:ascii="Arial" w:eastAsia="Times New Roman" w:hAnsi="Arial" w:cs="Arial"/>
          <w:sz w:val="24"/>
          <w:szCs w:val="24"/>
          <w:lang w:eastAsia="en-GB"/>
        </w:rPr>
        <w:t>mographic profile of disease-ridden</w:t>
      </w:r>
      <w:r w:rsidRPr="008B43FD">
        <w:rPr>
          <w:rFonts w:ascii="Arial" w:eastAsia="Times New Roman" w:hAnsi="Arial" w:cs="Arial"/>
          <w:sz w:val="24"/>
          <w:szCs w:val="24"/>
          <w:lang w:eastAsia="en-GB"/>
        </w:rPr>
        <w:t xml:space="preserve">, with a high representation of children </w:t>
      </w:r>
      <w:r w:rsidR="007F6E52" w:rsidRPr="008B43FD">
        <w:rPr>
          <w:rFonts w:ascii="Arial" w:eastAsia="Times New Roman" w:hAnsi="Arial" w:cs="Arial"/>
          <w:sz w:val="24"/>
          <w:szCs w:val="24"/>
          <w:lang w:eastAsia="en-GB"/>
        </w:rPr>
        <w:t>fewer than</w:t>
      </w:r>
      <w:r w:rsidR="00B564E6" w:rsidRPr="008B43FD">
        <w:rPr>
          <w:rFonts w:ascii="Arial" w:eastAsia="Times New Roman" w:hAnsi="Arial" w:cs="Arial"/>
          <w:sz w:val="24"/>
          <w:szCs w:val="24"/>
          <w:lang w:eastAsia="en-GB"/>
        </w:rPr>
        <w:t xml:space="preserve"> five in Table 3</w:t>
      </w:r>
      <w:r w:rsidRPr="008B43FD">
        <w:rPr>
          <w:rFonts w:ascii="Arial" w:eastAsia="Times New Roman" w:hAnsi="Arial" w:cs="Arial"/>
          <w:sz w:val="24"/>
          <w:szCs w:val="24"/>
          <w:lang w:eastAsia="en-GB"/>
        </w:rPr>
        <w:t xml:space="preserve">, is particularly of significance. This age group possesses a developing immune system and is more prone to severe outcomes from diarrheal </w:t>
      </w:r>
      <w:r w:rsidRPr="008B43FD">
        <w:rPr>
          <w:rFonts w:ascii="Arial" w:eastAsia="Times New Roman" w:hAnsi="Arial" w:cs="Arial"/>
          <w:sz w:val="24"/>
          <w:szCs w:val="24"/>
          <w:lang w:eastAsia="en-GB"/>
        </w:rPr>
        <w:lastRenderedPageBreak/>
        <w:t>diseases, which aligns with global patterns where children bear the greatest burden of waterborne illnesses (WHO, 2019).</w:t>
      </w:r>
      <w:r w:rsidR="007F6E52" w:rsidRPr="008B43FD">
        <w:rPr>
          <w:rFonts w:ascii="Arial" w:eastAsia="Times New Roman" w:hAnsi="Arial" w:cs="Arial"/>
          <w:sz w:val="24"/>
          <w:szCs w:val="24"/>
          <w:lang w:eastAsia="en-GB"/>
        </w:rPr>
        <w:t xml:space="preserve"> </w:t>
      </w:r>
    </w:p>
    <w:p w14:paraId="2D9C4BF5" w14:textId="7F6F5AD6" w:rsidR="008E7D48" w:rsidRPr="008B43FD" w:rsidRDefault="008E7D48" w:rsidP="008B43FD">
      <w:pPr>
        <w:spacing w:before="100" w:beforeAutospacing="1" w:after="100" w:afterAutospacing="1" w:line="360" w:lineRule="auto"/>
        <w:jc w:val="both"/>
        <w:outlineLvl w:val="1"/>
        <w:rPr>
          <w:rFonts w:ascii="Arial" w:eastAsia="Times New Roman" w:hAnsi="Arial" w:cs="Arial"/>
          <w:bCs/>
          <w:sz w:val="24"/>
          <w:szCs w:val="24"/>
          <w:lang w:eastAsia="en-GB"/>
        </w:rPr>
      </w:pPr>
      <w:r w:rsidRPr="00DF49A9">
        <w:rPr>
          <w:rFonts w:ascii="Arial" w:eastAsia="Times New Roman" w:hAnsi="Arial" w:cs="Arial"/>
          <w:sz w:val="24"/>
          <w:szCs w:val="24"/>
          <w:lang w:eastAsia="en-GB"/>
        </w:rPr>
        <w:t xml:space="preserve">Children under five years accounted for nearly half (46%) of reported waterborne disease cases, underscoring their disproportionate vulnerability. This finding is consistent with global and regional evidence indicating that young children bear the highest burden of water-related illnesses due to their immature immune systems, higher exposure through hand-to-mouth </w:t>
      </w:r>
      <w:r w:rsidR="0096068D" w:rsidRPr="00DF49A9">
        <w:rPr>
          <w:rFonts w:ascii="Arial" w:eastAsia="Times New Roman" w:hAnsi="Arial" w:cs="Arial"/>
          <w:sz w:val="24"/>
          <w:szCs w:val="24"/>
          <w:lang w:eastAsia="en-GB"/>
        </w:rPr>
        <w:t>behaviours</w:t>
      </w:r>
      <w:r w:rsidRPr="00DF49A9">
        <w:rPr>
          <w:rFonts w:ascii="Arial" w:eastAsia="Times New Roman" w:hAnsi="Arial" w:cs="Arial"/>
          <w:sz w:val="24"/>
          <w:szCs w:val="24"/>
          <w:lang w:eastAsia="en-GB"/>
        </w:rPr>
        <w:t>, and greater susceptibility to dehydration and malnutrition resulting from diarr</w:t>
      </w:r>
      <w:r w:rsidRPr="008B43FD">
        <w:rPr>
          <w:rFonts w:ascii="Arial" w:eastAsia="Times New Roman" w:hAnsi="Arial" w:cs="Arial"/>
          <w:sz w:val="24"/>
          <w:szCs w:val="24"/>
          <w:lang w:eastAsia="en-GB"/>
        </w:rPr>
        <w:t>hoeal diseases (WHO, 2019; WHO and</w:t>
      </w:r>
      <w:r w:rsidRPr="00DF49A9">
        <w:rPr>
          <w:rFonts w:ascii="Arial" w:eastAsia="Times New Roman" w:hAnsi="Arial" w:cs="Arial"/>
          <w:sz w:val="24"/>
          <w:szCs w:val="24"/>
          <w:lang w:eastAsia="en-GB"/>
        </w:rPr>
        <w:t xml:space="preserve"> UNICEF, 2025).</w:t>
      </w:r>
    </w:p>
    <w:p w14:paraId="756BAC5F" w14:textId="7EA77A05" w:rsidR="008E7D48" w:rsidRPr="008B43FD" w:rsidRDefault="008E7D48" w:rsidP="008B43FD">
      <w:pPr>
        <w:spacing w:before="100" w:beforeAutospacing="1" w:after="100" w:afterAutospacing="1" w:line="360" w:lineRule="auto"/>
        <w:jc w:val="both"/>
        <w:outlineLvl w:val="1"/>
        <w:rPr>
          <w:rFonts w:ascii="Arial" w:eastAsia="Times New Roman" w:hAnsi="Arial" w:cs="Arial"/>
          <w:sz w:val="24"/>
          <w:szCs w:val="24"/>
          <w:lang w:eastAsia="en-GB"/>
        </w:rPr>
      </w:pPr>
      <w:r w:rsidRPr="00DF49A9">
        <w:rPr>
          <w:rFonts w:ascii="Arial" w:eastAsia="Times New Roman" w:hAnsi="Arial" w:cs="Arial"/>
          <w:sz w:val="24"/>
          <w:szCs w:val="24"/>
          <w:lang w:eastAsia="en-GB"/>
        </w:rPr>
        <w:t xml:space="preserve">Repeated episodes of diarrhoea in early childhood are associated not only with increased mortality but also with long-term consequences such as stunted growth, impaired cognitive development, and reduced educational attainment (Wolf et al., 2022). The high proportion of affected children in </w:t>
      </w:r>
      <w:proofErr w:type="spellStart"/>
      <w:r w:rsidRPr="00DF49A9">
        <w:rPr>
          <w:rFonts w:ascii="Arial" w:eastAsia="Times New Roman" w:hAnsi="Arial" w:cs="Arial"/>
          <w:sz w:val="24"/>
          <w:szCs w:val="24"/>
          <w:lang w:eastAsia="en-GB"/>
        </w:rPr>
        <w:t>Giri</w:t>
      </w:r>
      <w:proofErr w:type="spellEnd"/>
      <w:r w:rsidRPr="00DF49A9">
        <w:rPr>
          <w:rFonts w:ascii="Arial" w:eastAsia="Times New Roman" w:hAnsi="Arial" w:cs="Arial"/>
          <w:sz w:val="24"/>
          <w:szCs w:val="24"/>
          <w:lang w:eastAsia="en-GB"/>
        </w:rPr>
        <w:t xml:space="preserve"> therefore signals an urgent need for targeted child-focused WASH interventions, including safe household water treatment, improved sanitation, and hygiene education for caregivers.</w:t>
      </w:r>
    </w:p>
    <w:p w14:paraId="580A0C14" w14:textId="77777777" w:rsidR="008E7D48" w:rsidRPr="00DF49A9" w:rsidRDefault="008E7D48" w:rsidP="008B43FD">
      <w:pPr>
        <w:spacing w:before="100" w:beforeAutospacing="1" w:after="100" w:afterAutospacing="1" w:line="360" w:lineRule="auto"/>
        <w:jc w:val="both"/>
        <w:rPr>
          <w:rFonts w:ascii="Arial" w:eastAsia="Times New Roman" w:hAnsi="Arial" w:cs="Arial"/>
          <w:sz w:val="24"/>
          <w:szCs w:val="24"/>
          <w:lang w:eastAsia="en-GB"/>
        </w:rPr>
      </w:pPr>
      <w:r w:rsidRPr="008B43FD">
        <w:rPr>
          <w:rFonts w:ascii="Arial" w:eastAsia="Times New Roman" w:hAnsi="Arial" w:cs="Arial"/>
          <w:sz w:val="24"/>
          <w:szCs w:val="24"/>
          <w:lang w:eastAsia="en-GB"/>
        </w:rPr>
        <w:t xml:space="preserve">The disease profile observed </w:t>
      </w:r>
      <w:r w:rsidRPr="00DF49A9">
        <w:rPr>
          <w:rFonts w:ascii="Arial" w:eastAsia="Times New Roman" w:hAnsi="Arial" w:cs="Arial"/>
          <w:sz w:val="24"/>
          <w:szCs w:val="24"/>
          <w:lang w:eastAsia="en-GB"/>
        </w:rPr>
        <w:t>cholera and dysentery (30% each), followed by diarrho</w:t>
      </w:r>
      <w:r w:rsidRPr="008B43FD">
        <w:rPr>
          <w:rFonts w:ascii="Arial" w:eastAsia="Times New Roman" w:hAnsi="Arial" w:cs="Arial"/>
          <w:sz w:val="24"/>
          <w:szCs w:val="24"/>
          <w:lang w:eastAsia="en-GB"/>
        </w:rPr>
        <w:t xml:space="preserve">ea and typhoid fever (20% each) </w:t>
      </w:r>
      <w:r w:rsidRPr="00DF49A9">
        <w:rPr>
          <w:rFonts w:ascii="Arial" w:eastAsia="Times New Roman" w:hAnsi="Arial" w:cs="Arial"/>
          <w:sz w:val="24"/>
          <w:szCs w:val="24"/>
          <w:lang w:eastAsia="en-GB"/>
        </w:rPr>
        <w:t xml:space="preserve">is characteristic of communities with inadequate water, sanitation, and hygiene (WASH) infrastructure. These diseases are classically transmitted via the </w:t>
      </w:r>
      <w:proofErr w:type="spellStart"/>
      <w:r w:rsidRPr="00DF49A9">
        <w:rPr>
          <w:rFonts w:ascii="Arial" w:eastAsia="Times New Roman" w:hAnsi="Arial" w:cs="Arial"/>
          <w:sz w:val="24"/>
          <w:szCs w:val="24"/>
          <w:lang w:eastAsia="en-GB"/>
        </w:rPr>
        <w:t>fecal</w:t>
      </w:r>
      <w:proofErr w:type="spellEnd"/>
      <w:r w:rsidRPr="00DF49A9">
        <w:rPr>
          <w:rFonts w:ascii="Arial" w:eastAsia="Times New Roman" w:hAnsi="Arial" w:cs="Arial"/>
          <w:sz w:val="24"/>
          <w:szCs w:val="24"/>
          <w:lang w:eastAsia="en-GB"/>
        </w:rPr>
        <w:t>–oral route and are strongly associated with unsafe drinking water, poor sanitation, and suboptimal hygiene practic</w:t>
      </w:r>
      <w:r w:rsidRPr="008B43FD">
        <w:rPr>
          <w:rFonts w:ascii="Arial" w:eastAsia="Times New Roman" w:hAnsi="Arial" w:cs="Arial"/>
          <w:sz w:val="24"/>
          <w:szCs w:val="24"/>
          <w:lang w:eastAsia="en-GB"/>
        </w:rPr>
        <w:t>es (</w:t>
      </w:r>
      <w:proofErr w:type="spellStart"/>
      <w:r w:rsidRPr="008B43FD">
        <w:rPr>
          <w:rFonts w:ascii="Arial" w:eastAsia="Times New Roman" w:hAnsi="Arial" w:cs="Arial"/>
          <w:sz w:val="24"/>
          <w:szCs w:val="24"/>
          <w:lang w:eastAsia="en-GB"/>
        </w:rPr>
        <w:t>Devipriya</w:t>
      </w:r>
      <w:proofErr w:type="spellEnd"/>
      <w:r w:rsidRPr="008B43FD">
        <w:rPr>
          <w:rFonts w:ascii="Arial" w:eastAsia="Times New Roman" w:hAnsi="Arial" w:cs="Arial"/>
          <w:sz w:val="24"/>
          <w:szCs w:val="24"/>
          <w:lang w:eastAsia="en-GB"/>
        </w:rPr>
        <w:t xml:space="preserve"> and</w:t>
      </w:r>
      <w:r w:rsidRPr="00DF49A9">
        <w:rPr>
          <w:rFonts w:ascii="Arial" w:eastAsia="Times New Roman" w:hAnsi="Arial" w:cs="Arial"/>
          <w:sz w:val="24"/>
          <w:szCs w:val="24"/>
          <w:lang w:eastAsia="en-GB"/>
        </w:rPr>
        <w:t xml:space="preserve"> </w:t>
      </w:r>
      <w:proofErr w:type="spellStart"/>
      <w:r w:rsidRPr="00DF49A9">
        <w:rPr>
          <w:rFonts w:ascii="Arial" w:eastAsia="Times New Roman" w:hAnsi="Arial" w:cs="Arial"/>
          <w:sz w:val="24"/>
          <w:szCs w:val="24"/>
          <w:lang w:eastAsia="en-GB"/>
        </w:rPr>
        <w:t>Kalaivani</w:t>
      </w:r>
      <w:proofErr w:type="spellEnd"/>
      <w:r w:rsidRPr="00DF49A9">
        <w:rPr>
          <w:rFonts w:ascii="Arial" w:eastAsia="Times New Roman" w:hAnsi="Arial" w:cs="Arial"/>
          <w:sz w:val="24"/>
          <w:szCs w:val="24"/>
          <w:lang w:eastAsia="en-GB"/>
        </w:rPr>
        <w:t xml:space="preserve">, 2022; Wolf </w:t>
      </w:r>
      <w:r w:rsidRPr="00DF49A9">
        <w:rPr>
          <w:rFonts w:ascii="Arial" w:eastAsia="Times New Roman" w:hAnsi="Arial" w:cs="Arial"/>
          <w:i/>
          <w:sz w:val="24"/>
          <w:szCs w:val="24"/>
          <w:lang w:eastAsia="en-GB"/>
        </w:rPr>
        <w:t>et al</w:t>
      </w:r>
      <w:r w:rsidRPr="00DF49A9">
        <w:rPr>
          <w:rFonts w:ascii="Arial" w:eastAsia="Times New Roman" w:hAnsi="Arial" w:cs="Arial"/>
          <w:sz w:val="24"/>
          <w:szCs w:val="24"/>
          <w:lang w:eastAsia="en-GB"/>
        </w:rPr>
        <w:t>., 2022).</w:t>
      </w:r>
    </w:p>
    <w:p w14:paraId="66BADF4B" w14:textId="77777777" w:rsidR="008C5F47" w:rsidRPr="008B43FD" w:rsidRDefault="008E7D48" w:rsidP="008B43FD">
      <w:pPr>
        <w:spacing w:before="100" w:beforeAutospacing="1" w:after="100" w:afterAutospacing="1" w:line="360" w:lineRule="auto"/>
        <w:jc w:val="both"/>
        <w:rPr>
          <w:rFonts w:ascii="Arial" w:eastAsia="Times New Roman" w:hAnsi="Arial" w:cs="Arial"/>
          <w:sz w:val="24"/>
          <w:szCs w:val="24"/>
          <w:lang w:eastAsia="en-GB"/>
        </w:rPr>
      </w:pPr>
      <w:r w:rsidRPr="00DF49A9">
        <w:rPr>
          <w:rFonts w:ascii="Arial" w:eastAsia="Times New Roman" w:hAnsi="Arial" w:cs="Arial"/>
          <w:sz w:val="24"/>
          <w:szCs w:val="24"/>
          <w:lang w:eastAsia="en-GB"/>
        </w:rPr>
        <w:t xml:space="preserve">Evidence from similar Nigerian settings supports this linkage. Studies in Kaduna, Ekiti, and </w:t>
      </w:r>
      <w:proofErr w:type="spellStart"/>
      <w:r w:rsidRPr="00DF49A9">
        <w:rPr>
          <w:rFonts w:ascii="Arial" w:eastAsia="Times New Roman" w:hAnsi="Arial" w:cs="Arial"/>
          <w:sz w:val="24"/>
          <w:szCs w:val="24"/>
          <w:lang w:eastAsia="en-GB"/>
        </w:rPr>
        <w:t>Katsina</w:t>
      </w:r>
      <w:proofErr w:type="spellEnd"/>
      <w:r w:rsidRPr="00DF49A9">
        <w:rPr>
          <w:rFonts w:ascii="Arial" w:eastAsia="Times New Roman" w:hAnsi="Arial" w:cs="Arial"/>
          <w:sz w:val="24"/>
          <w:szCs w:val="24"/>
          <w:lang w:eastAsia="en-GB"/>
        </w:rPr>
        <w:t xml:space="preserve"> States have reported comparable disease patterns in communities relying on contaminated groundwater and practicing open defecation (</w:t>
      </w:r>
      <w:proofErr w:type="spellStart"/>
      <w:r w:rsidRPr="00DF49A9">
        <w:rPr>
          <w:rFonts w:ascii="Arial" w:eastAsia="Times New Roman" w:hAnsi="Arial" w:cs="Arial"/>
          <w:sz w:val="24"/>
          <w:szCs w:val="24"/>
          <w:lang w:eastAsia="en-GB"/>
        </w:rPr>
        <w:t>A</w:t>
      </w:r>
      <w:r w:rsidRPr="008B43FD">
        <w:rPr>
          <w:rFonts w:ascii="Arial" w:eastAsia="Times New Roman" w:hAnsi="Arial" w:cs="Arial"/>
          <w:sz w:val="24"/>
          <w:szCs w:val="24"/>
          <w:lang w:eastAsia="en-GB"/>
        </w:rPr>
        <w:t>matobi</w:t>
      </w:r>
      <w:proofErr w:type="spellEnd"/>
      <w:r w:rsidRPr="008B43FD">
        <w:rPr>
          <w:rFonts w:ascii="Arial" w:eastAsia="Times New Roman" w:hAnsi="Arial" w:cs="Arial"/>
          <w:sz w:val="24"/>
          <w:szCs w:val="24"/>
          <w:lang w:eastAsia="en-GB"/>
        </w:rPr>
        <w:t xml:space="preserve"> and </w:t>
      </w:r>
      <w:proofErr w:type="spellStart"/>
      <w:r w:rsidRPr="008B43FD">
        <w:rPr>
          <w:rFonts w:ascii="Arial" w:eastAsia="Times New Roman" w:hAnsi="Arial" w:cs="Arial"/>
          <w:sz w:val="24"/>
          <w:szCs w:val="24"/>
          <w:lang w:eastAsia="en-GB"/>
        </w:rPr>
        <w:t>Adenaike</w:t>
      </w:r>
      <w:proofErr w:type="spellEnd"/>
      <w:r w:rsidRPr="008B43FD">
        <w:rPr>
          <w:rFonts w:ascii="Arial" w:eastAsia="Times New Roman" w:hAnsi="Arial" w:cs="Arial"/>
          <w:sz w:val="24"/>
          <w:szCs w:val="24"/>
          <w:lang w:eastAsia="en-GB"/>
        </w:rPr>
        <w:t>, 2021; Bello and</w:t>
      </w:r>
      <w:r w:rsidRPr="00DF49A9">
        <w:rPr>
          <w:rFonts w:ascii="Arial" w:eastAsia="Times New Roman" w:hAnsi="Arial" w:cs="Arial"/>
          <w:sz w:val="24"/>
          <w:szCs w:val="24"/>
          <w:lang w:eastAsia="en-GB"/>
        </w:rPr>
        <w:t xml:space="preserve"> </w:t>
      </w:r>
      <w:proofErr w:type="spellStart"/>
      <w:r w:rsidRPr="00DF49A9">
        <w:rPr>
          <w:rFonts w:ascii="Arial" w:eastAsia="Times New Roman" w:hAnsi="Arial" w:cs="Arial"/>
          <w:sz w:val="24"/>
          <w:szCs w:val="24"/>
          <w:lang w:eastAsia="en-GB"/>
        </w:rPr>
        <w:t>Kurmi</w:t>
      </w:r>
      <w:proofErr w:type="spellEnd"/>
      <w:r w:rsidRPr="00DF49A9">
        <w:rPr>
          <w:rFonts w:ascii="Arial" w:eastAsia="Times New Roman" w:hAnsi="Arial" w:cs="Arial"/>
          <w:sz w:val="24"/>
          <w:szCs w:val="24"/>
          <w:lang w:eastAsia="en-GB"/>
        </w:rPr>
        <w:t xml:space="preserve">, 2024; </w:t>
      </w:r>
      <w:proofErr w:type="spellStart"/>
      <w:r w:rsidRPr="00DF49A9">
        <w:rPr>
          <w:rFonts w:ascii="Arial" w:eastAsia="Times New Roman" w:hAnsi="Arial" w:cs="Arial"/>
          <w:sz w:val="24"/>
          <w:szCs w:val="24"/>
          <w:lang w:eastAsia="en-GB"/>
        </w:rPr>
        <w:t>Odewade</w:t>
      </w:r>
      <w:proofErr w:type="spellEnd"/>
      <w:r w:rsidRPr="00DF49A9">
        <w:rPr>
          <w:rFonts w:ascii="Arial" w:eastAsia="Times New Roman" w:hAnsi="Arial" w:cs="Arial"/>
          <w:sz w:val="24"/>
          <w:szCs w:val="24"/>
          <w:lang w:eastAsia="en-GB"/>
        </w:rPr>
        <w:t xml:space="preserve"> </w:t>
      </w:r>
      <w:r w:rsidRPr="00DF49A9">
        <w:rPr>
          <w:rFonts w:ascii="Arial" w:eastAsia="Times New Roman" w:hAnsi="Arial" w:cs="Arial"/>
          <w:i/>
          <w:sz w:val="24"/>
          <w:szCs w:val="24"/>
          <w:lang w:eastAsia="en-GB"/>
        </w:rPr>
        <w:t>et al</w:t>
      </w:r>
      <w:r w:rsidRPr="00DF49A9">
        <w:rPr>
          <w:rFonts w:ascii="Arial" w:eastAsia="Times New Roman" w:hAnsi="Arial" w:cs="Arial"/>
          <w:sz w:val="24"/>
          <w:szCs w:val="24"/>
          <w:lang w:eastAsia="en-GB"/>
        </w:rPr>
        <w:t xml:space="preserve">., 2025). In </w:t>
      </w:r>
      <w:proofErr w:type="spellStart"/>
      <w:r w:rsidRPr="00DF49A9">
        <w:rPr>
          <w:rFonts w:ascii="Arial" w:eastAsia="Times New Roman" w:hAnsi="Arial" w:cs="Arial"/>
          <w:sz w:val="24"/>
          <w:szCs w:val="24"/>
          <w:lang w:eastAsia="en-GB"/>
        </w:rPr>
        <w:t>Giri</w:t>
      </w:r>
      <w:proofErr w:type="spellEnd"/>
      <w:r w:rsidRPr="00DF49A9">
        <w:rPr>
          <w:rFonts w:ascii="Arial" w:eastAsia="Times New Roman" w:hAnsi="Arial" w:cs="Arial"/>
          <w:sz w:val="24"/>
          <w:szCs w:val="24"/>
          <w:lang w:eastAsia="en-GB"/>
        </w:rPr>
        <w:t>, envi</w:t>
      </w:r>
      <w:r w:rsidRPr="008B43FD">
        <w:rPr>
          <w:rFonts w:ascii="Arial" w:eastAsia="Times New Roman" w:hAnsi="Arial" w:cs="Arial"/>
          <w:sz w:val="24"/>
          <w:szCs w:val="24"/>
          <w:lang w:eastAsia="en-GB"/>
        </w:rPr>
        <w:t xml:space="preserve">ronmental sanitation challenges </w:t>
      </w:r>
      <w:r w:rsidRPr="00DF49A9">
        <w:rPr>
          <w:rFonts w:ascii="Arial" w:eastAsia="Times New Roman" w:hAnsi="Arial" w:cs="Arial"/>
          <w:sz w:val="24"/>
          <w:szCs w:val="24"/>
          <w:lang w:eastAsia="en-GB"/>
        </w:rPr>
        <w:t>such as inadequate toilet facilities, poor waste disposal, and proximi</w:t>
      </w:r>
      <w:r w:rsidRPr="008B43FD">
        <w:rPr>
          <w:rFonts w:ascii="Arial" w:eastAsia="Times New Roman" w:hAnsi="Arial" w:cs="Arial"/>
          <w:sz w:val="24"/>
          <w:szCs w:val="24"/>
          <w:lang w:eastAsia="en-GB"/>
        </w:rPr>
        <w:t xml:space="preserve">ty of latrines to water sources </w:t>
      </w:r>
      <w:r w:rsidRPr="00DF49A9">
        <w:rPr>
          <w:rFonts w:ascii="Arial" w:eastAsia="Times New Roman" w:hAnsi="Arial" w:cs="Arial"/>
          <w:sz w:val="24"/>
          <w:szCs w:val="24"/>
          <w:lang w:eastAsia="en-GB"/>
        </w:rPr>
        <w:t>likely facilitate the continuous recycling of pathogens between the environment and households, sustaining endemic transmission.</w:t>
      </w:r>
    </w:p>
    <w:p w14:paraId="3BE7E2AB" w14:textId="2A153FDA" w:rsidR="008E7D48" w:rsidRPr="0096068D" w:rsidRDefault="008C5F47" w:rsidP="008B43FD">
      <w:pPr>
        <w:spacing w:before="100" w:beforeAutospacing="1" w:after="100" w:afterAutospacing="1" w:line="360" w:lineRule="auto"/>
        <w:jc w:val="both"/>
        <w:rPr>
          <w:rFonts w:ascii="Arial" w:eastAsia="Times New Roman" w:hAnsi="Arial" w:cs="Arial"/>
          <w:b/>
          <w:sz w:val="24"/>
          <w:szCs w:val="24"/>
          <w:lang w:eastAsia="en-GB"/>
        </w:rPr>
      </w:pPr>
      <w:r w:rsidRPr="0096068D">
        <w:rPr>
          <w:rFonts w:ascii="Arial" w:hAnsi="Arial" w:cs="Arial"/>
          <w:b/>
          <w:sz w:val="24"/>
          <w:szCs w:val="24"/>
        </w:rPr>
        <w:t>Study limitations</w:t>
      </w:r>
    </w:p>
    <w:p w14:paraId="04DFD859" w14:textId="77777777" w:rsidR="008E7D48" w:rsidRPr="00E73123" w:rsidRDefault="008E7D48" w:rsidP="008B43FD">
      <w:pPr>
        <w:spacing w:before="100" w:beforeAutospacing="1" w:after="100" w:afterAutospacing="1" w:line="360" w:lineRule="auto"/>
        <w:jc w:val="both"/>
        <w:rPr>
          <w:rFonts w:ascii="Arial" w:eastAsia="Times New Roman" w:hAnsi="Arial" w:cs="Arial"/>
          <w:sz w:val="24"/>
          <w:szCs w:val="24"/>
          <w:lang w:eastAsia="en-GB"/>
        </w:rPr>
      </w:pPr>
      <w:r w:rsidRPr="00E73123">
        <w:rPr>
          <w:rFonts w:ascii="Arial" w:eastAsia="Times New Roman" w:hAnsi="Arial" w:cs="Arial"/>
          <w:sz w:val="24"/>
          <w:szCs w:val="24"/>
          <w:lang w:eastAsia="en-GB"/>
        </w:rPr>
        <w:lastRenderedPageBreak/>
        <w:t>Despite its important findings, this study has some limitations that should be acknowledged. First, the relatively small sample size (50 households) limits the generalizability of the findings to the wider Gwagwalada Area Council or other peri-urban communities. Second, reliance on self-reported illness history and hospital records may introduce recall bias or underreporting, particularly for mild cases that do not present to health facilities. Third, the water quality assessment was preliminary and did not include seasonal variation or pathogen-specific identification, which could provide deeper insight into contamination dynamics.</w:t>
      </w:r>
    </w:p>
    <w:p w14:paraId="49EF9D2D" w14:textId="6DFCCFB5" w:rsidR="008E7D48" w:rsidRPr="0096068D" w:rsidRDefault="008E7D48" w:rsidP="0096068D">
      <w:pPr>
        <w:spacing w:before="100" w:beforeAutospacing="1" w:after="100" w:afterAutospacing="1" w:line="360" w:lineRule="auto"/>
        <w:jc w:val="both"/>
        <w:rPr>
          <w:rFonts w:ascii="Arial" w:eastAsia="Times New Roman" w:hAnsi="Arial" w:cs="Arial"/>
          <w:sz w:val="24"/>
          <w:szCs w:val="24"/>
          <w:lang w:eastAsia="en-GB"/>
        </w:rPr>
      </w:pPr>
      <w:r w:rsidRPr="00E73123">
        <w:rPr>
          <w:rFonts w:ascii="Arial" w:eastAsia="Times New Roman" w:hAnsi="Arial" w:cs="Arial"/>
          <w:sz w:val="24"/>
          <w:szCs w:val="24"/>
          <w:lang w:eastAsia="en-GB"/>
        </w:rPr>
        <w:t>Nevertheless, the consistency of the findings with hospital data, environmental assessments, and existing literature strengthens the validity of the observed associations and highlights critical public health concerns that warrant urgent intervention.</w:t>
      </w:r>
    </w:p>
    <w:p w14:paraId="3DAF2836" w14:textId="77777777" w:rsidR="006A0664" w:rsidRPr="008B43FD" w:rsidRDefault="0031365D" w:rsidP="008B43FD">
      <w:pPr>
        <w:spacing w:line="360" w:lineRule="auto"/>
        <w:rPr>
          <w:rFonts w:ascii="Arial" w:hAnsi="Arial" w:cs="Arial"/>
          <w:b/>
          <w:sz w:val="24"/>
          <w:szCs w:val="24"/>
        </w:rPr>
      </w:pPr>
      <w:r w:rsidRPr="008B43FD">
        <w:rPr>
          <w:rFonts w:ascii="Arial" w:hAnsi="Arial" w:cs="Arial"/>
          <w:b/>
          <w:sz w:val="24"/>
          <w:szCs w:val="24"/>
        </w:rPr>
        <w:t>Conclusion</w:t>
      </w:r>
    </w:p>
    <w:p w14:paraId="2232AA56" w14:textId="16B93849" w:rsidR="006A0664" w:rsidRDefault="006A0664" w:rsidP="0096068D">
      <w:pPr>
        <w:spacing w:line="360" w:lineRule="auto"/>
        <w:jc w:val="both"/>
        <w:rPr>
          <w:rFonts w:ascii="Arial" w:hAnsi="Arial" w:cs="Arial"/>
          <w:sz w:val="24"/>
          <w:szCs w:val="24"/>
        </w:rPr>
      </w:pPr>
      <w:r w:rsidRPr="008B43FD">
        <w:rPr>
          <w:rFonts w:ascii="Arial" w:hAnsi="Arial" w:cs="Arial"/>
          <w:sz w:val="24"/>
          <w:szCs w:val="24"/>
        </w:rPr>
        <w:t xml:space="preserve">This study concludes that poor water quality from contaminated groundwater sources is a major contributor to the high prevalence of waterborne diseases in </w:t>
      </w:r>
      <w:proofErr w:type="spellStart"/>
      <w:r w:rsidRPr="008B43FD">
        <w:rPr>
          <w:rFonts w:ascii="Arial" w:hAnsi="Arial" w:cs="Arial"/>
          <w:sz w:val="24"/>
          <w:szCs w:val="24"/>
        </w:rPr>
        <w:t>Giri</w:t>
      </w:r>
      <w:proofErr w:type="spellEnd"/>
      <w:r w:rsidRPr="008B43FD">
        <w:rPr>
          <w:rFonts w:ascii="Arial" w:hAnsi="Arial" w:cs="Arial"/>
          <w:sz w:val="24"/>
          <w:szCs w:val="24"/>
        </w:rPr>
        <w:t xml:space="preserve"> community. The frequent reporting of cholera, dysentery, </w:t>
      </w:r>
      <w:proofErr w:type="spellStart"/>
      <w:r w:rsidRPr="008B43FD">
        <w:rPr>
          <w:rFonts w:ascii="Arial" w:hAnsi="Arial" w:cs="Arial"/>
          <w:sz w:val="24"/>
          <w:szCs w:val="24"/>
        </w:rPr>
        <w:t>diarrhea</w:t>
      </w:r>
      <w:proofErr w:type="spellEnd"/>
      <w:r w:rsidRPr="008B43FD">
        <w:rPr>
          <w:rFonts w:ascii="Arial" w:hAnsi="Arial" w:cs="Arial"/>
          <w:sz w:val="24"/>
          <w:szCs w:val="24"/>
        </w:rPr>
        <w:t>, and typhoid underscores the urgent need for improved water infrastructure and public health interventions. Addressing these issues requires coordinated efforts from government, healthcare providers, and community stakeholders to ensure sustainable access to safe water and reduce disease burden.</w:t>
      </w:r>
    </w:p>
    <w:p w14:paraId="5AB100CA" w14:textId="77777777" w:rsidR="0096068D" w:rsidRPr="008B43FD" w:rsidRDefault="0096068D" w:rsidP="0096068D">
      <w:pPr>
        <w:spacing w:line="360" w:lineRule="auto"/>
        <w:jc w:val="both"/>
        <w:rPr>
          <w:rFonts w:ascii="Arial" w:hAnsi="Arial" w:cs="Arial"/>
          <w:sz w:val="24"/>
          <w:szCs w:val="24"/>
        </w:rPr>
      </w:pPr>
    </w:p>
    <w:p w14:paraId="0CBD6DB4" w14:textId="77777777" w:rsidR="00631043" w:rsidRPr="008B43FD" w:rsidRDefault="0031365D" w:rsidP="008B43FD">
      <w:pPr>
        <w:spacing w:line="360" w:lineRule="auto"/>
        <w:rPr>
          <w:rFonts w:ascii="Arial" w:hAnsi="Arial" w:cs="Arial"/>
          <w:b/>
          <w:sz w:val="24"/>
          <w:szCs w:val="24"/>
        </w:rPr>
      </w:pPr>
      <w:r w:rsidRPr="008B43FD">
        <w:rPr>
          <w:rFonts w:ascii="Arial" w:hAnsi="Arial" w:cs="Arial"/>
          <w:b/>
          <w:sz w:val="24"/>
          <w:szCs w:val="24"/>
        </w:rPr>
        <w:t>Recommendations</w:t>
      </w:r>
      <w:r w:rsidR="006A0664" w:rsidRPr="008B43FD">
        <w:rPr>
          <w:rFonts w:ascii="Arial" w:hAnsi="Arial" w:cs="Arial"/>
          <w:b/>
          <w:sz w:val="24"/>
          <w:szCs w:val="24"/>
        </w:rPr>
        <w:t xml:space="preserve"> </w:t>
      </w:r>
    </w:p>
    <w:p w14:paraId="5A26384E" w14:textId="77777777" w:rsidR="00631043" w:rsidRPr="008B43FD" w:rsidRDefault="00631043" w:rsidP="008B43FD">
      <w:pPr>
        <w:spacing w:line="360" w:lineRule="auto"/>
        <w:rPr>
          <w:rFonts w:ascii="Arial" w:hAnsi="Arial" w:cs="Arial"/>
          <w:b/>
          <w:sz w:val="24"/>
          <w:szCs w:val="24"/>
        </w:rPr>
      </w:pPr>
      <w:r w:rsidRPr="008B43FD">
        <w:rPr>
          <w:rFonts w:ascii="Arial" w:eastAsia="Times New Roman" w:hAnsi="Arial" w:cs="Arial"/>
          <w:sz w:val="24"/>
          <w:szCs w:val="24"/>
          <w:lang w:eastAsia="en-GB"/>
        </w:rPr>
        <w:t>Based on these findings, the following recommendations are proposed:</w:t>
      </w:r>
    </w:p>
    <w:p w14:paraId="074ADEBB" w14:textId="77777777" w:rsidR="00631043" w:rsidRPr="008B43FD" w:rsidRDefault="00631043" w:rsidP="008B43FD">
      <w:pPr>
        <w:numPr>
          <w:ilvl w:val="0"/>
          <w:numId w:val="1"/>
        </w:numPr>
        <w:shd w:val="clear" w:color="auto" w:fill="FFFFFF"/>
        <w:spacing w:before="100" w:beforeAutospacing="1" w:after="0" w:line="360" w:lineRule="auto"/>
        <w:ind w:left="0"/>
        <w:jc w:val="both"/>
        <w:rPr>
          <w:rFonts w:ascii="Arial" w:eastAsia="Times New Roman" w:hAnsi="Arial" w:cs="Arial"/>
          <w:sz w:val="24"/>
          <w:szCs w:val="24"/>
          <w:lang w:eastAsia="en-GB"/>
        </w:rPr>
      </w:pPr>
      <w:r w:rsidRPr="008B43FD">
        <w:rPr>
          <w:rFonts w:ascii="Arial" w:eastAsia="Times New Roman" w:hAnsi="Arial" w:cs="Arial"/>
          <w:bCs/>
          <w:sz w:val="24"/>
          <w:szCs w:val="24"/>
          <w:lang w:eastAsia="en-GB"/>
        </w:rPr>
        <w:t>Infrastructure Intervention:</w:t>
      </w:r>
      <w:r w:rsidRPr="008B43FD">
        <w:rPr>
          <w:rFonts w:ascii="Arial" w:eastAsia="Times New Roman" w:hAnsi="Arial" w:cs="Arial"/>
          <w:sz w:val="24"/>
          <w:szCs w:val="24"/>
          <w:lang w:eastAsia="en-GB"/>
        </w:rPr>
        <w:t> The government, in collaboration with non-governmental organizations, should prioritize the provision of sustainable and safe potable water infrastructure, such as protected boreholes with functional treatment systems, to break the cycle of disease transmission.</w:t>
      </w:r>
    </w:p>
    <w:p w14:paraId="5E4F6FF8" w14:textId="77777777" w:rsidR="00631043" w:rsidRPr="008B43FD" w:rsidRDefault="00631043" w:rsidP="008B43FD">
      <w:pPr>
        <w:numPr>
          <w:ilvl w:val="0"/>
          <w:numId w:val="1"/>
        </w:numPr>
        <w:shd w:val="clear" w:color="auto" w:fill="FFFFFF"/>
        <w:spacing w:before="100" w:beforeAutospacing="1" w:after="0" w:line="360" w:lineRule="auto"/>
        <w:ind w:left="0"/>
        <w:jc w:val="both"/>
        <w:rPr>
          <w:rFonts w:ascii="Arial" w:eastAsia="Times New Roman" w:hAnsi="Arial" w:cs="Arial"/>
          <w:sz w:val="24"/>
          <w:szCs w:val="24"/>
          <w:lang w:eastAsia="en-GB"/>
        </w:rPr>
      </w:pPr>
      <w:r w:rsidRPr="008B43FD">
        <w:rPr>
          <w:rFonts w:ascii="Arial" w:eastAsia="Times New Roman" w:hAnsi="Arial" w:cs="Arial"/>
          <w:bCs/>
          <w:sz w:val="24"/>
          <w:szCs w:val="24"/>
          <w:lang w:eastAsia="en-GB"/>
        </w:rPr>
        <w:t>Strengthened Healthcare:</w:t>
      </w:r>
      <w:r w:rsidRPr="008B43FD">
        <w:rPr>
          <w:rFonts w:ascii="Arial" w:eastAsia="Times New Roman" w:hAnsi="Arial" w:cs="Arial"/>
          <w:sz w:val="24"/>
          <w:szCs w:val="24"/>
          <w:lang w:eastAsia="en-GB"/>
        </w:rPr>
        <w:t> Local health care facilities should be equipped with adequate resources for the rapid diagnosis, treatment, and surveillance of waterborne diseases to reduce morbidity and mortality.</w:t>
      </w:r>
    </w:p>
    <w:p w14:paraId="2887543D" w14:textId="77777777" w:rsidR="00631043" w:rsidRPr="008B43FD" w:rsidRDefault="00631043" w:rsidP="008B43FD">
      <w:pPr>
        <w:numPr>
          <w:ilvl w:val="0"/>
          <w:numId w:val="1"/>
        </w:numPr>
        <w:shd w:val="clear" w:color="auto" w:fill="FFFFFF"/>
        <w:spacing w:before="100" w:beforeAutospacing="1" w:after="0" w:line="360" w:lineRule="auto"/>
        <w:ind w:left="0"/>
        <w:jc w:val="both"/>
        <w:rPr>
          <w:rFonts w:ascii="Arial" w:eastAsia="Times New Roman" w:hAnsi="Arial" w:cs="Arial"/>
          <w:sz w:val="24"/>
          <w:szCs w:val="24"/>
          <w:lang w:eastAsia="en-GB"/>
        </w:rPr>
      </w:pPr>
      <w:r w:rsidRPr="008B43FD">
        <w:rPr>
          <w:rFonts w:ascii="Arial" w:eastAsia="Times New Roman" w:hAnsi="Arial" w:cs="Arial"/>
          <w:bCs/>
          <w:sz w:val="24"/>
          <w:szCs w:val="24"/>
          <w:lang w:eastAsia="en-GB"/>
        </w:rPr>
        <w:lastRenderedPageBreak/>
        <w:t>Community Sanitation and Hygiene Education:</w:t>
      </w:r>
      <w:r w:rsidRPr="008B43FD">
        <w:rPr>
          <w:rFonts w:ascii="Arial" w:eastAsia="Times New Roman" w:hAnsi="Arial" w:cs="Arial"/>
          <w:sz w:val="24"/>
          <w:szCs w:val="24"/>
          <w:lang w:eastAsia="en-GB"/>
        </w:rPr>
        <w:t> The local authority should implement robust environmental sanitation programs, including the construction of public toilets and organized waste collection services. Concurrently, community-wide health education campaigns on the dangers of open defecation and the importance of proper water storage and household water treatment should be conducted.</w:t>
      </w:r>
    </w:p>
    <w:p w14:paraId="6AB76526" w14:textId="27B00822" w:rsidR="00D01D9A" w:rsidRDefault="00D01D9A"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36EBC401" w14:textId="17F42E24" w:rsidR="00075D5A" w:rsidRPr="008B43FD" w:rsidRDefault="00075D5A" w:rsidP="00075D5A">
      <w:pPr>
        <w:spacing w:line="360" w:lineRule="auto"/>
        <w:rPr>
          <w:rFonts w:ascii="Arial" w:hAnsi="Arial" w:cs="Arial"/>
          <w:b/>
          <w:sz w:val="24"/>
          <w:szCs w:val="24"/>
        </w:rPr>
      </w:pPr>
      <w:r>
        <w:rPr>
          <w:rFonts w:ascii="Arial" w:hAnsi="Arial" w:cs="Arial"/>
          <w:b/>
          <w:sz w:val="24"/>
          <w:szCs w:val="24"/>
        </w:rPr>
        <w:t>Consent</w:t>
      </w:r>
    </w:p>
    <w:p w14:paraId="0DCB29F1" w14:textId="77777777" w:rsidR="00075D5A" w:rsidRPr="008B43FD" w:rsidRDefault="00075D5A" w:rsidP="00075D5A">
      <w:pPr>
        <w:spacing w:line="360" w:lineRule="auto"/>
        <w:jc w:val="both"/>
        <w:rPr>
          <w:rFonts w:ascii="Arial" w:hAnsi="Arial" w:cs="Arial"/>
          <w:sz w:val="24"/>
          <w:szCs w:val="24"/>
        </w:rPr>
      </w:pPr>
      <w:r w:rsidRPr="008B43FD">
        <w:rPr>
          <w:rFonts w:ascii="Arial" w:hAnsi="Arial" w:cs="Arial"/>
          <w:sz w:val="24"/>
          <w:szCs w:val="24"/>
        </w:rPr>
        <w:t>Informed consent was obtained from all participants. Anonymity and confidentiality were maintained throughout the study.</w:t>
      </w:r>
    </w:p>
    <w:p w14:paraId="2734C729" w14:textId="2EC93C53" w:rsidR="00910D4B" w:rsidRDefault="00910D4B"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4157330E" w14:textId="77777777" w:rsidR="00910D4B" w:rsidRPr="00A3749A" w:rsidRDefault="00910D4B" w:rsidP="00910D4B">
      <w:pPr>
        <w:pStyle w:val="NoSpacing"/>
        <w:rPr>
          <w:rFonts w:ascii="Arial" w:hAnsi="Arial" w:cs="Arial"/>
          <w:b/>
          <w:highlight w:val="yellow"/>
        </w:rPr>
      </w:pPr>
      <w:bookmarkStart w:id="2" w:name="_Hlk198031404"/>
      <w:r w:rsidRPr="00A3749A">
        <w:rPr>
          <w:rFonts w:ascii="Arial" w:hAnsi="Arial" w:cs="Arial"/>
          <w:b/>
          <w:highlight w:val="yellow"/>
        </w:rPr>
        <w:t>Disclaimer (Artificial intelligence)</w:t>
      </w:r>
    </w:p>
    <w:p w14:paraId="494E7820" w14:textId="77777777" w:rsidR="00910D4B" w:rsidRPr="00005ED1" w:rsidRDefault="00910D4B" w:rsidP="00910D4B">
      <w:pPr>
        <w:pStyle w:val="NoSpacing"/>
        <w:rPr>
          <w:rFonts w:ascii="Arial" w:hAnsi="Arial" w:cs="Arial"/>
          <w:highlight w:val="yellow"/>
        </w:rPr>
      </w:pPr>
    </w:p>
    <w:p w14:paraId="62634DDF" w14:textId="77777777" w:rsidR="00910D4B" w:rsidRPr="00005ED1" w:rsidRDefault="00910D4B" w:rsidP="00910D4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16AF5395" w14:textId="77777777" w:rsidR="00910D4B" w:rsidRDefault="00910D4B" w:rsidP="00910D4B">
      <w:pPr>
        <w:pStyle w:val="NoSpacing"/>
        <w:rPr>
          <w:rFonts w:ascii="Arial" w:hAnsi="Arial" w:cs="Arial"/>
        </w:rPr>
      </w:pPr>
    </w:p>
    <w:p w14:paraId="5F26405C" w14:textId="77777777" w:rsidR="00910D4B" w:rsidRDefault="00910D4B" w:rsidP="00910D4B">
      <w:pPr>
        <w:pStyle w:val="NoSpacing"/>
        <w:rPr>
          <w:rFonts w:ascii="Arial" w:hAnsi="Arial" w:cs="Arial"/>
        </w:rPr>
      </w:pPr>
    </w:p>
    <w:p w14:paraId="59800354" w14:textId="77777777" w:rsidR="00910D4B" w:rsidRPr="00005ED1" w:rsidRDefault="00910D4B" w:rsidP="00910D4B">
      <w:pPr>
        <w:pStyle w:val="NoSpacing"/>
        <w:rPr>
          <w:rFonts w:ascii="Arial" w:hAnsi="Arial" w:cs="Arial"/>
        </w:rPr>
      </w:pPr>
    </w:p>
    <w:p w14:paraId="791BFA1D" w14:textId="77777777" w:rsidR="00910D4B" w:rsidRPr="005B1D04" w:rsidRDefault="00910D4B"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p w14:paraId="18B05D77" w14:textId="77777777" w:rsidR="006A0664" w:rsidRDefault="0031365D" w:rsidP="00D01D9A">
      <w:pPr>
        <w:shd w:val="clear" w:color="auto" w:fill="FFFFFF"/>
        <w:spacing w:before="100" w:beforeAutospacing="1" w:after="0" w:line="360" w:lineRule="auto"/>
        <w:jc w:val="both"/>
        <w:rPr>
          <w:rFonts w:ascii="Arial" w:hAnsi="Arial" w:cs="Arial"/>
          <w:b/>
          <w:sz w:val="24"/>
          <w:szCs w:val="24"/>
        </w:rPr>
      </w:pPr>
      <w:r w:rsidRPr="005B1D04">
        <w:rPr>
          <w:rFonts w:ascii="Arial" w:hAnsi="Arial" w:cs="Arial"/>
          <w:b/>
          <w:sz w:val="24"/>
          <w:szCs w:val="24"/>
        </w:rPr>
        <w:t>References</w:t>
      </w:r>
    </w:p>
    <w:p w14:paraId="1AF2A73A" w14:textId="6CBBFEDA"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folabi, O. T., </w:t>
      </w:r>
      <w:proofErr w:type="spellStart"/>
      <w:r>
        <w:rPr>
          <w:rFonts w:ascii="Times New Roman" w:eastAsia="Times New Roman" w:hAnsi="Times New Roman" w:cs="Times New Roman"/>
          <w:sz w:val="24"/>
          <w:szCs w:val="24"/>
          <w:lang w:eastAsia="en-GB"/>
        </w:rPr>
        <w:t>Adewumi</w:t>
      </w:r>
      <w:proofErr w:type="spellEnd"/>
      <w:r>
        <w:rPr>
          <w:rFonts w:ascii="Times New Roman" w:eastAsia="Times New Roman" w:hAnsi="Times New Roman" w:cs="Times New Roman"/>
          <w:sz w:val="24"/>
          <w:szCs w:val="24"/>
          <w:lang w:eastAsia="en-GB"/>
        </w:rPr>
        <w:t>, J. R., and</w:t>
      </w:r>
      <w:r w:rsidRPr="003608FA">
        <w:rPr>
          <w:rFonts w:ascii="Times New Roman" w:eastAsia="Times New Roman" w:hAnsi="Times New Roman" w:cs="Times New Roman"/>
          <w:sz w:val="24"/>
          <w:szCs w:val="24"/>
          <w:lang w:eastAsia="en-GB"/>
        </w:rPr>
        <w:t xml:space="preserve"> Olatunji, O. S. (2022). Groundwater quality assessment and health risk implications in peri-urban communities of southwestern Nigeria. </w:t>
      </w:r>
      <w:r w:rsidRPr="003608FA">
        <w:rPr>
          <w:rFonts w:ascii="Times New Roman" w:eastAsia="Times New Roman" w:hAnsi="Times New Roman" w:cs="Times New Roman"/>
          <w:i/>
          <w:iCs/>
          <w:sz w:val="24"/>
          <w:szCs w:val="24"/>
          <w:lang w:eastAsia="en-GB"/>
        </w:rPr>
        <w:t>Environmental Monitoring and Assessment, 194</w:t>
      </w:r>
      <w:r w:rsidRPr="003608FA">
        <w:rPr>
          <w:rFonts w:ascii="Times New Roman" w:eastAsia="Times New Roman" w:hAnsi="Times New Roman" w:cs="Times New Roman"/>
          <w:sz w:val="24"/>
          <w:szCs w:val="24"/>
          <w:lang w:eastAsia="en-GB"/>
        </w:rPr>
        <w:t>(5), 1–16. https://doi.org/10.1007/s10661-022-09984-3</w:t>
      </w:r>
    </w:p>
    <w:p w14:paraId="6A0617DC" w14:textId="1AB15D7E"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Amatobi</w:t>
      </w:r>
      <w:proofErr w:type="spellEnd"/>
      <w:r>
        <w:rPr>
          <w:rFonts w:ascii="Times New Roman" w:eastAsia="Times New Roman" w:hAnsi="Times New Roman" w:cs="Times New Roman"/>
          <w:sz w:val="24"/>
          <w:szCs w:val="24"/>
          <w:lang w:eastAsia="en-GB"/>
        </w:rPr>
        <w:t>, D. A.,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Adenaike</w:t>
      </w:r>
      <w:proofErr w:type="spellEnd"/>
      <w:r w:rsidRPr="003608FA">
        <w:rPr>
          <w:rFonts w:ascii="Times New Roman" w:eastAsia="Times New Roman" w:hAnsi="Times New Roman" w:cs="Times New Roman"/>
          <w:sz w:val="24"/>
          <w:szCs w:val="24"/>
          <w:lang w:eastAsia="en-GB"/>
        </w:rPr>
        <w:t xml:space="preserve">, O. O. (2021). Water sanitation practices and prevalence of waterborne diseases in rural Nigerian communities. </w:t>
      </w:r>
      <w:r w:rsidRPr="003608FA">
        <w:rPr>
          <w:rFonts w:ascii="Times New Roman" w:eastAsia="Times New Roman" w:hAnsi="Times New Roman" w:cs="Times New Roman"/>
          <w:i/>
          <w:iCs/>
          <w:sz w:val="24"/>
          <w:szCs w:val="24"/>
          <w:lang w:eastAsia="en-GB"/>
        </w:rPr>
        <w:t>Journal of Water, Sanitation and Hygiene for Development, 11</w:t>
      </w:r>
      <w:r w:rsidRPr="003608FA">
        <w:rPr>
          <w:rFonts w:ascii="Times New Roman" w:eastAsia="Times New Roman" w:hAnsi="Times New Roman" w:cs="Times New Roman"/>
          <w:sz w:val="24"/>
          <w:szCs w:val="24"/>
          <w:lang w:eastAsia="en-GB"/>
        </w:rPr>
        <w:t>(3), 458–467. https://doi.org/10.2166/washdev.2021.243</w:t>
      </w:r>
    </w:p>
    <w:p w14:paraId="06CE512E" w14:textId="71F0C178"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Bain, R., Cronk, R., Hossain, R., Bonjour, S., </w:t>
      </w:r>
      <w:proofErr w:type="spellStart"/>
      <w:r w:rsidRPr="003608FA">
        <w:rPr>
          <w:rFonts w:ascii="Times New Roman" w:eastAsia="Times New Roman" w:hAnsi="Times New Roman" w:cs="Times New Roman"/>
          <w:sz w:val="24"/>
          <w:szCs w:val="24"/>
          <w:lang w:eastAsia="en-GB"/>
        </w:rPr>
        <w:t>Onda</w:t>
      </w:r>
      <w:proofErr w:type="spellEnd"/>
      <w:r w:rsidRPr="003608FA">
        <w:rPr>
          <w:rFonts w:ascii="Times New Roman" w:eastAsia="Times New Roman" w:hAnsi="Times New Roman" w:cs="Times New Roman"/>
          <w:sz w:val="24"/>
          <w:szCs w:val="24"/>
          <w:lang w:eastAsia="en-GB"/>
        </w:rPr>
        <w:t xml:space="preserve">, K., Wright, J., Yang, H., </w:t>
      </w:r>
      <w:proofErr w:type="spellStart"/>
      <w:r w:rsidRPr="003608FA">
        <w:rPr>
          <w:rFonts w:ascii="Times New Roman" w:eastAsia="Times New Roman" w:hAnsi="Times New Roman" w:cs="Times New Roman"/>
          <w:sz w:val="24"/>
          <w:szCs w:val="24"/>
          <w:lang w:eastAsia="en-GB"/>
        </w:rPr>
        <w:t>Slaymaker</w:t>
      </w:r>
      <w:proofErr w:type="spellEnd"/>
      <w:r w:rsidRPr="003608FA">
        <w:rPr>
          <w:rFonts w:ascii="Times New Roman" w:eastAsia="Times New Roman" w:hAnsi="Times New Roman" w:cs="Times New Roman"/>
          <w:sz w:val="24"/>
          <w:szCs w:val="24"/>
          <w:lang w:eastAsia="en-GB"/>
        </w:rPr>
        <w:t>, T.</w:t>
      </w:r>
      <w:r>
        <w:rPr>
          <w:rFonts w:ascii="Times New Roman" w:eastAsia="Times New Roman" w:hAnsi="Times New Roman" w:cs="Times New Roman"/>
          <w:sz w:val="24"/>
          <w:szCs w:val="24"/>
          <w:lang w:eastAsia="en-GB"/>
        </w:rPr>
        <w:t xml:space="preserve">, Hunter, P., </w:t>
      </w:r>
      <w:proofErr w:type="spellStart"/>
      <w:r>
        <w:rPr>
          <w:rFonts w:ascii="Times New Roman" w:eastAsia="Times New Roman" w:hAnsi="Times New Roman" w:cs="Times New Roman"/>
          <w:sz w:val="24"/>
          <w:szCs w:val="24"/>
          <w:lang w:eastAsia="en-GB"/>
        </w:rPr>
        <w:t>Prüss-Ustün</w:t>
      </w:r>
      <w:proofErr w:type="spellEnd"/>
      <w:r>
        <w:rPr>
          <w:rFonts w:ascii="Times New Roman" w:eastAsia="Times New Roman" w:hAnsi="Times New Roman" w:cs="Times New Roman"/>
          <w:sz w:val="24"/>
          <w:szCs w:val="24"/>
          <w:lang w:eastAsia="en-GB"/>
        </w:rPr>
        <w:t>, A., and</w:t>
      </w:r>
      <w:r w:rsidRPr="003608FA">
        <w:rPr>
          <w:rFonts w:ascii="Times New Roman" w:eastAsia="Times New Roman" w:hAnsi="Times New Roman" w:cs="Times New Roman"/>
          <w:sz w:val="24"/>
          <w:szCs w:val="24"/>
          <w:lang w:eastAsia="en-GB"/>
        </w:rPr>
        <w:t xml:space="preserve"> Bartram, J. (2014). Global assessment of exposure to faecal contamination through drinking water based on a systematic review. </w:t>
      </w:r>
      <w:r w:rsidRPr="003608FA">
        <w:rPr>
          <w:rFonts w:ascii="Times New Roman" w:eastAsia="Times New Roman" w:hAnsi="Times New Roman" w:cs="Times New Roman"/>
          <w:i/>
          <w:iCs/>
          <w:sz w:val="24"/>
          <w:szCs w:val="24"/>
          <w:lang w:eastAsia="en-GB"/>
        </w:rPr>
        <w:t>Tropical Medicine &amp; International Health, 19</w:t>
      </w:r>
      <w:r w:rsidRPr="003608FA">
        <w:rPr>
          <w:rFonts w:ascii="Times New Roman" w:eastAsia="Times New Roman" w:hAnsi="Times New Roman" w:cs="Times New Roman"/>
          <w:sz w:val="24"/>
          <w:szCs w:val="24"/>
          <w:lang w:eastAsia="en-GB"/>
        </w:rPr>
        <w:t xml:space="preserve">(8), 917–927. </w:t>
      </w:r>
      <w:hyperlink r:id="rId9" w:tgtFrame="_new" w:history="1">
        <w:r w:rsidRPr="003608FA">
          <w:rPr>
            <w:rFonts w:ascii="Times New Roman" w:eastAsia="Times New Roman" w:hAnsi="Times New Roman" w:cs="Times New Roman"/>
            <w:sz w:val="24"/>
            <w:szCs w:val="24"/>
            <w:lang w:eastAsia="en-GB"/>
          </w:rPr>
          <w:t>https://doi.org/10.1111/tmi.12334</w:t>
        </w:r>
      </w:hyperlink>
    </w:p>
    <w:p w14:paraId="340D07A9" w14:textId="1ED5CB78"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Bello, S. A.,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Kurmi</w:t>
      </w:r>
      <w:proofErr w:type="spellEnd"/>
      <w:r w:rsidRPr="003608FA">
        <w:rPr>
          <w:rFonts w:ascii="Times New Roman" w:eastAsia="Times New Roman" w:hAnsi="Times New Roman" w:cs="Times New Roman"/>
          <w:sz w:val="24"/>
          <w:szCs w:val="24"/>
          <w:lang w:eastAsia="en-GB"/>
        </w:rPr>
        <w:t xml:space="preserve">, A. M. (2024). Sanitation infrastructure and endemic waterborne diseases in northern Nigerian settlements. </w:t>
      </w:r>
      <w:r w:rsidRPr="003608FA">
        <w:rPr>
          <w:rFonts w:ascii="Times New Roman" w:eastAsia="Times New Roman" w:hAnsi="Times New Roman" w:cs="Times New Roman"/>
          <w:i/>
          <w:iCs/>
          <w:sz w:val="24"/>
          <w:szCs w:val="24"/>
          <w:lang w:eastAsia="en-GB"/>
        </w:rPr>
        <w:t>African Journal of Environmental Health Sciences, 18</w:t>
      </w:r>
      <w:r w:rsidRPr="003608FA">
        <w:rPr>
          <w:rFonts w:ascii="Times New Roman" w:eastAsia="Times New Roman" w:hAnsi="Times New Roman" w:cs="Times New Roman"/>
          <w:sz w:val="24"/>
          <w:szCs w:val="24"/>
          <w:lang w:eastAsia="en-GB"/>
        </w:rPr>
        <w:t>(1), 33–45.</w:t>
      </w:r>
    </w:p>
    <w:p w14:paraId="72EBAFD7" w14:textId="5555FACC"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lastRenderedPageBreak/>
        <w:t>Devipriya</w:t>
      </w:r>
      <w:proofErr w:type="spellEnd"/>
      <w:r>
        <w:rPr>
          <w:rFonts w:ascii="Times New Roman" w:eastAsia="Times New Roman" w:hAnsi="Times New Roman" w:cs="Times New Roman"/>
          <w:sz w:val="24"/>
          <w:szCs w:val="24"/>
          <w:lang w:eastAsia="en-GB"/>
        </w:rPr>
        <w:t>, S. P.,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Kalaivani</w:t>
      </w:r>
      <w:proofErr w:type="spellEnd"/>
      <w:r w:rsidRPr="003608FA">
        <w:rPr>
          <w:rFonts w:ascii="Times New Roman" w:eastAsia="Times New Roman" w:hAnsi="Times New Roman" w:cs="Times New Roman"/>
          <w:sz w:val="24"/>
          <w:szCs w:val="24"/>
          <w:lang w:eastAsia="en-GB"/>
        </w:rPr>
        <w:t xml:space="preserve">, T. (2022). Waterborne diseases: Transmission, prevention, and control strategies. </w:t>
      </w:r>
      <w:r w:rsidRPr="003608FA">
        <w:rPr>
          <w:rFonts w:ascii="Times New Roman" w:eastAsia="Times New Roman" w:hAnsi="Times New Roman" w:cs="Times New Roman"/>
          <w:i/>
          <w:iCs/>
          <w:sz w:val="24"/>
          <w:szCs w:val="24"/>
          <w:lang w:eastAsia="en-GB"/>
        </w:rPr>
        <w:t>Journal of Environmental Health Science and Engineering, 20</w:t>
      </w:r>
      <w:r w:rsidRPr="003608FA">
        <w:rPr>
          <w:rFonts w:ascii="Times New Roman" w:eastAsia="Times New Roman" w:hAnsi="Times New Roman" w:cs="Times New Roman"/>
          <w:sz w:val="24"/>
          <w:szCs w:val="24"/>
          <w:lang w:eastAsia="en-GB"/>
        </w:rPr>
        <w:t>(1), 455–469. https://doi.org/10.1007/s40201-022-00753-9</w:t>
      </w:r>
    </w:p>
    <w:p w14:paraId="56C5B5F4" w14:textId="70DBC595"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Etuk</w:t>
      </w:r>
      <w:proofErr w:type="spellEnd"/>
      <w:r>
        <w:rPr>
          <w:rFonts w:ascii="Times New Roman" w:eastAsia="Times New Roman" w:hAnsi="Times New Roman" w:cs="Times New Roman"/>
          <w:sz w:val="24"/>
          <w:szCs w:val="24"/>
          <w:lang w:eastAsia="en-GB"/>
        </w:rPr>
        <w:t xml:space="preserve">, E. U., Akpan, E. R., and </w:t>
      </w:r>
      <w:r w:rsidRPr="003608FA">
        <w:rPr>
          <w:rFonts w:ascii="Times New Roman" w:eastAsia="Times New Roman" w:hAnsi="Times New Roman" w:cs="Times New Roman"/>
          <w:sz w:val="24"/>
          <w:szCs w:val="24"/>
          <w:lang w:eastAsia="en-GB"/>
        </w:rPr>
        <w:t xml:space="preserve">Udoh, I. S. (2022). Microbial and physicochemical quality of groundwater sources in southern Nigeria. </w:t>
      </w:r>
      <w:r w:rsidRPr="003608FA">
        <w:rPr>
          <w:rFonts w:ascii="Times New Roman" w:eastAsia="Times New Roman" w:hAnsi="Times New Roman" w:cs="Times New Roman"/>
          <w:i/>
          <w:iCs/>
          <w:sz w:val="24"/>
          <w:szCs w:val="24"/>
          <w:lang w:eastAsia="en-GB"/>
        </w:rPr>
        <w:t>Journal of Water and Health, 20</w:t>
      </w:r>
      <w:r w:rsidRPr="003608FA">
        <w:rPr>
          <w:rFonts w:ascii="Times New Roman" w:eastAsia="Times New Roman" w:hAnsi="Times New Roman" w:cs="Times New Roman"/>
          <w:sz w:val="24"/>
          <w:szCs w:val="24"/>
          <w:lang w:eastAsia="en-GB"/>
        </w:rPr>
        <w:t>(4), 602–614. https://doi.org/10.2166/wh.2022.017</w:t>
      </w:r>
    </w:p>
    <w:p w14:paraId="469047FE" w14:textId="6FEA12C5" w:rsidR="007B5547" w:rsidRPr="007B5547" w:rsidRDefault="007B5547" w:rsidP="007B5547">
      <w:pPr>
        <w:spacing w:before="100" w:beforeAutospacing="1" w:after="100" w:afterAutospacing="1" w:line="240" w:lineRule="auto"/>
        <w:jc w:val="both"/>
        <w:rPr>
          <w:rFonts w:ascii="Arial" w:eastAsia="Times New Roman" w:hAnsi="Arial" w:cs="Arial"/>
          <w:sz w:val="24"/>
          <w:szCs w:val="24"/>
          <w:lang w:eastAsia="en-GB"/>
        </w:rPr>
      </w:pPr>
      <w:r w:rsidRPr="007B5547">
        <w:rPr>
          <w:rFonts w:ascii="Arial" w:eastAsia="Times New Roman" w:hAnsi="Arial" w:cs="Arial"/>
          <w:sz w:val="24"/>
          <w:szCs w:val="24"/>
          <w:lang w:eastAsia="en-GB"/>
        </w:rPr>
        <w:t xml:space="preserve">Kothari, C. R. (2004). </w:t>
      </w:r>
      <w:r w:rsidRPr="007B5547">
        <w:rPr>
          <w:rFonts w:ascii="Arial" w:eastAsia="Times New Roman" w:hAnsi="Arial" w:cs="Arial"/>
          <w:i/>
          <w:iCs/>
          <w:sz w:val="24"/>
          <w:szCs w:val="24"/>
          <w:lang w:eastAsia="en-GB"/>
        </w:rPr>
        <w:t>Research methodology: Methods and techniques</w:t>
      </w:r>
      <w:r w:rsidRPr="007B5547">
        <w:rPr>
          <w:rFonts w:ascii="Arial" w:eastAsia="Times New Roman" w:hAnsi="Arial" w:cs="Arial"/>
          <w:sz w:val="24"/>
          <w:szCs w:val="24"/>
          <w:lang w:eastAsia="en-GB"/>
        </w:rPr>
        <w:t xml:space="preserve"> (2nd ed.). New Age International Publishers.</w:t>
      </w:r>
    </w:p>
    <w:p w14:paraId="79E22C3A" w14:textId="0FE5AF92"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Mi</w:t>
      </w:r>
      <w:r>
        <w:rPr>
          <w:rFonts w:ascii="Times New Roman" w:eastAsia="Times New Roman" w:hAnsi="Times New Roman" w:cs="Times New Roman"/>
          <w:sz w:val="24"/>
          <w:szCs w:val="24"/>
          <w:lang w:eastAsia="en-GB"/>
        </w:rPr>
        <w:t>ke-</w:t>
      </w:r>
      <w:proofErr w:type="spellStart"/>
      <w:r>
        <w:rPr>
          <w:rFonts w:ascii="Times New Roman" w:eastAsia="Times New Roman" w:hAnsi="Times New Roman" w:cs="Times New Roman"/>
          <w:sz w:val="24"/>
          <w:szCs w:val="24"/>
          <w:lang w:eastAsia="en-GB"/>
        </w:rPr>
        <w:t>Ogburia</w:t>
      </w:r>
      <w:proofErr w:type="spellEnd"/>
      <w:r>
        <w:rPr>
          <w:rFonts w:ascii="Times New Roman" w:eastAsia="Times New Roman" w:hAnsi="Times New Roman" w:cs="Times New Roman"/>
          <w:sz w:val="24"/>
          <w:szCs w:val="24"/>
          <w:lang w:eastAsia="en-GB"/>
        </w:rPr>
        <w:t>, E., Adeola, A. M.,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Olorunfemi</w:t>
      </w:r>
      <w:proofErr w:type="spellEnd"/>
      <w:r w:rsidRPr="003608FA">
        <w:rPr>
          <w:rFonts w:ascii="Times New Roman" w:eastAsia="Times New Roman" w:hAnsi="Times New Roman" w:cs="Times New Roman"/>
          <w:sz w:val="24"/>
          <w:szCs w:val="24"/>
          <w:lang w:eastAsia="en-GB"/>
        </w:rPr>
        <w:t xml:space="preserve">, F. B. (2025). Climate variability, flooding, and waterborne disease outbreaks in urban Nigeria. </w:t>
      </w:r>
      <w:r w:rsidRPr="003608FA">
        <w:rPr>
          <w:rFonts w:ascii="Times New Roman" w:eastAsia="Times New Roman" w:hAnsi="Times New Roman" w:cs="Times New Roman"/>
          <w:i/>
          <w:iCs/>
          <w:sz w:val="24"/>
          <w:szCs w:val="24"/>
          <w:lang w:eastAsia="en-GB"/>
        </w:rPr>
        <w:t>Environmental Challenges, 9</w:t>
      </w:r>
      <w:r w:rsidRPr="003608FA">
        <w:rPr>
          <w:rFonts w:ascii="Times New Roman" w:eastAsia="Times New Roman" w:hAnsi="Times New Roman" w:cs="Times New Roman"/>
          <w:sz w:val="24"/>
          <w:szCs w:val="24"/>
          <w:lang w:eastAsia="en-GB"/>
        </w:rPr>
        <w:t>, 100640. https://doi.org/10.1016/j.envc.2024.100640</w:t>
      </w:r>
    </w:p>
    <w:p w14:paraId="74C79E0F" w14:textId="2A3BBCF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Musa, J. J.,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Ahanonu</w:t>
      </w:r>
      <w:proofErr w:type="spellEnd"/>
      <w:r w:rsidRPr="003608FA">
        <w:rPr>
          <w:rFonts w:ascii="Times New Roman" w:eastAsia="Times New Roman" w:hAnsi="Times New Roman" w:cs="Times New Roman"/>
          <w:sz w:val="24"/>
          <w:szCs w:val="24"/>
          <w:lang w:eastAsia="en-GB"/>
        </w:rPr>
        <w:t xml:space="preserve">, J. J. (2023). Impact of anthropogenic activities on groundwater contamination in Nigerian peri-urban environments. </w:t>
      </w:r>
      <w:r w:rsidRPr="003608FA">
        <w:rPr>
          <w:rFonts w:ascii="Times New Roman" w:eastAsia="Times New Roman" w:hAnsi="Times New Roman" w:cs="Times New Roman"/>
          <w:i/>
          <w:iCs/>
          <w:sz w:val="24"/>
          <w:szCs w:val="24"/>
          <w:lang w:eastAsia="en-GB"/>
        </w:rPr>
        <w:t>Applied Water Science, 13</w:t>
      </w:r>
      <w:r w:rsidRPr="003608FA">
        <w:rPr>
          <w:rFonts w:ascii="Times New Roman" w:eastAsia="Times New Roman" w:hAnsi="Times New Roman" w:cs="Times New Roman"/>
          <w:sz w:val="24"/>
          <w:szCs w:val="24"/>
          <w:lang w:eastAsia="en-GB"/>
        </w:rPr>
        <w:t>(2), 1–12. https://doi.org/10.1007/s13201-023-01785-4</w:t>
      </w:r>
    </w:p>
    <w:p w14:paraId="2907A25B" w14:textId="7777777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Nigerian Meteorological Agency. (2021). </w:t>
      </w:r>
      <w:r w:rsidRPr="003608FA">
        <w:rPr>
          <w:rFonts w:ascii="Times New Roman" w:eastAsia="Times New Roman" w:hAnsi="Times New Roman" w:cs="Times New Roman"/>
          <w:i/>
          <w:iCs/>
          <w:sz w:val="24"/>
          <w:szCs w:val="24"/>
          <w:lang w:eastAsia="en-GB"/>
        </w:rPr>
        <w:t>Climate data for Abuja and surrounding areas</w:t>
      </w:r>
      <w:r w:rsidRPr="003608FA">
        <w:rPr>
          <w:rFonts w:ascii="Times New Roman" w:eastAsia="Times New Roman" w:hAnsi="Times New Roman" w:cs="Times New Roman"/>
          <w:sz w:val="24"/>
          <w:szCs w:val="24"/>
          <w:lang w:eastAsia="en-GB"/>
        </w:rPr>
        <w:t>. NIMET.</w:t>
      </w:r>
    </w:p>
    <w:p w14:paraId="24EC4F1B" w14:textId="4C0110A5"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608FA">
        <w:rPr>
          <w:rFonts w:ascii="Times New Roman" w:eastAsia="Times New Roman" w:hAnsi="Times New Roman" w:cs="Times New Roman"/>
          <w:sz w:val="24"/>
          <w:szCs w:val="24"/>
          <w:lang w:eastAsia="en-GB"/>
        </w:rPr>
        <w:t>Odelami-Abdul</w:t>
      </w:r>
      <w:r>
        <w:rPr>
          <w:rFonts w:ascii="Times New Roman" w:eastAsia="Times New Roman" w:hAnsi="Times New Roman" w:cs="Times New Roman"/>
          <w:sz w:val="24"/>
          <w:szCs w:val="24"/>
          <w:lang w:eastAsia="en-GB"/>
        </w:rPr>
        <w:t>rasheed</w:t>
      </w:r>
      <w:proofErr w:type="spellEnd"/>
      <w:r>
        <w:rPr>
          <w:rFonts w:ascii="Times New Roman" w:eastAsia="Times New Roman" w:hAnsi="Times New Roman" w:cs="Times New Roman"/>
          <w:sz w:val="24"/>
          <w:szCs w:val="24"/>
          <w:lang w:eastAsia="en-GB"/>
        </w:rPr>
        <w:t>, A., Lawal, I. O.,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Jimoh</w:t>
      </w:r>
      <w:proofErr w:type="spellEnd"/>
      <w:r w:rsidRPr="003608FA">
        <w:rPr>
          <w:rFonts w:ascii="Times New Roman" w:eastAsia="Times New Roman" w:hAnsi="Times New Roman" w:cs="Times New Roman"/>
          <w:sz w:val="24"/>
          <w:szCs w:val="24"/>
          <w:lang w:eastAsia="en-GB"/>
        </w:rPr>
        <w:t xml:space="preserve">, T. A. (2025). Nitrate and faecal contamination of groundwater in rapidly urbanizing Nigerian communities. </w:t>
      </w:r>
      <w:r w:rsidRPr="003608FA">
        <w:rPr>
          <w:rFonts w:ascii="Times New Roman" w:eastAsia="Times New Roman" w:hAnsi="Times New Roman" w:cs="Times New Roman"/>
          <w:i/>
          <w:iCs/>
          <w:sz w:val="24"/>
          <w:szCs w:val="24"/>
          <w:lang w:eastAsia="en-GB"/>
        </w:rPr>
        <w:t>Environmental Monitoring and Assessment, 197</w:t>
      </w:r>
      <w:r w:rsidRPr="003608FA">
        <w:rPr>
          <w:rFonts w:ascii="Times New Roman" w:eastAsia="Times New Roman" w:hAnsi="Times New Roman" w:cs="Times New Roman"/>
          <w:sz w:val="24"/>
          <w:szCs w:val="24"/>
          <w:lang w:eastAsia="en-GB"/>
        </w:rPr>
        <w:t>(1), 88. https://doi.org/10.1007/s10661-024-11203-6</w:t>
      </w:r>
    </w:p>
    <w:p w14:paraId="18A394AE" w14:textId="44B7A68E"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608FA">
        <w:rPr>
          <w:rFonts w:ascii="Times New Roman" w:eastAsia="Times New Roman" w:hAnsi="Times New Roman" w:cs="Times New Roman"/>
          <w:sz w:val="24"/>
          <w:szCs w:val="24"/>
          <w:lang w:eastAsia="en-GB"/>
        </w:rPr>
        <w:t>Odewade</w:t>
      </w:r>
      <w:proofErr w:type="spellEnd"/>
      <w:r w:rsidRPr="003608FA">
        <w:rPr>
          <w:rFonts w:ascii="Times New Roman" w:eastAsia="Times New Roman" w:hAnsi="Times New Roman" w:cs="Times New Roman"/>
          <w:sz w:val="24"/>
          <w:szCs w:val="24"/>
          <w:lang w:eastAsia="en-GB"/>
        </w:rPr>
        <w:t>, A. A., Og</w:t>
      </w:r>
      <w:r>
        <w:rPr>
          <w:rFonts w:ascii="Times New Roman" w:eastAsia="Times New Roman" w:hAnsi="Times New Roman" w:cs="Times New Roman"/>
          <w:sz w:val="24"/>
          <w:szCs w:val="24"/>
          <w:lang w:eastAsia="en-GB"/>
        </w:rPr>
        <w:t>unleye, O. O., and</w:t>
      </w:r>
      <w:r w:rsidRPr="003608FA">
        <w:rPr>
          <w:rFonts w:ascii="Times New Roman" w:eastAsia="Times New Roman" w:hAnsi="Times New Roman" w:cs="Times New Roman"/>
          <w:sz w:val="24"/>
          <w:szCs w:val="24"/>
          <w:lang w:eastAsia="en-GB"/>
        </w:rPr>
        <w:t xml:space="preserve"> Alabi, A. O. (2025). Seasonal variation in groundwater contamination and diarrhoeal disease incidence in southwest Nigeria. </w:t>
      </w:r>
      <w:r w:rsidRPr="003608FA">
        <w:rPr>
          <w:rFonts w:ascii="Times New Roman" w:eastAsia="Times New Roman" w:hAnsi="Times New Roman" w:cs="Times New Roman"/>
          <w:i/>
          <w:iCs/>
          <w:sz w:val="24"/>
          <w:szCs w:val="24"/>
          <w:lang w:eastAsia="en-GB"/>
        </w:rPr>
        <w:t>Journal of Water and Health, 23</w:t>
      </w:r>
      <w:r w:rsidRPr="003608FA">
        <w:rPr>
          <w:rFonts w:ascii="Times New Roman" w:eastAsia="Times New Roman" w:hAnsi="Times New Roman" w:cs="Times New Roman"/>
          <w:sz w:val="24"/>
          <w:szCs w:val="24"/>
          <w:lang w:eastAsia="en-GB"/>
        </w:rPr>
        <w:t>(1), 112–124. https://doi.org/10.2166/wh.2024.198</w:t>
      </w:r>
    </w:p>
    <w:p w14:paraId="568B90D4" w14:textId="59E5DF93"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Ramírez-Castillo, F. Y., Loera-</w:t>
      </w:r>
      <w:proofErr w:type="spellStart"/>
      <w:r w:rsidRPr="003608FA">
        <w:rPr>
          <w:rFonts w:ascii="Times New Roman" w:eastAsia="Times New Roman" w:hAnsi="Times New Roman" w:cs="Times New Roman"/>
          <w:sz w:val="24"/>
          <w:szCs w:val="24"/>
          <w:lang w:eastAsia="en-GB"/>
        </w:rPr>
        <w:t>Muro</w:t>
      </w:r>
      <w:proofErr w:type="spellEnd"/>
      <w:r w:rsidRPr="003608FA">
        <w:rPr>
          <w:rFonts w:ascii="Times New Roman" w:eastAsia="Times New Roman" w:hAnsi="Times New Roman" w:cs="Times New Roman"/>
          <w:sz w:val="24"/>
          <w:szCs w:val="24"/>
          <w:lang w:eastAsia="en-GB"/>
        </w:rPr>
        <w:t>, A., Jacques, M., Garneau, P., Avel</w:t>
      </w:r>
      <w:r>
        <w:rPr>
          <w:rFonts w:ascii="Times New Roman" w:eastAsia="Times New Roman" w:hAnsi="Times New Roman" w:cs="Times New Roman"/>
          <w:sz w:val="24"/>
          <w:szCs w:val="24"/>
          <w:lang w:eastAsia="en-GB"/>
        </w:rPr>
        <w:t xml:space="preserve">ar-González, F. J., </w:t>
      </w:r>
      <w:proofErr w:type="spellStart"/>
      <w:r>
        <w:rPr>
          <w:rFonts w:ascii="Times New Roman" w:eastAsia="Times New Roman" w:hAnsi="Times New Roman" w:cs="Times New Roman"/>
          <w:sz w:val="24"/>
          <w:szCs w:val="24"/>
          <w:lang w:eastAsia="en-GB"/>
        </w:rPr>
        <w:t>Harel</w:t>
      </w:r>
      <w:proofErr w:type="spellEnd"/>
      <w:r>
        <w:rPr>
          <w:rFonts w:ascii="Times New Roman" w:eastAsia="Times New Roman" w:hAnsi="Times New Roman" w:cs="Times New Roman"/>
          <w:sz w:val="24"/>
          <w:szCs w:val="24"/>
          <w:lang w:eastAsia="en-GB"/>
        </w:rPr>
        <w:t>, J., and</w:t>
      </w:r>
      <w:r w:rsidRPr="003608FA">
        <w:rPr>
          <w:rFonts w:ascii="Times New Roman" w:eastAsia="Times New Roman" w:hAnsi="Times New Roman" w:cs="Times New Roman"/>
          <w:sz w:val="24"/>
          <w:szCs w:val="24"/>
          <w:lang w:eastAsia="en-GB"/>
        </w:rPr>
        <w:t xml:space="preserve"> Guerrero-</w:t>
      </w:r>
      <w:proofErr w:type="spellStart"/>
      <w:r w:rsidRPr="003608FA">
        <w:rPr>
          <w:rFonts w:ascii="Times New Roman" w:eastAsia="Times New Roman" w:hAnsi="Times New Roman" w:cs="Times New Roman"/>
          <w:sz w:val="24"/>
          <w:szCs w:val="24"/>
          <w:lang w:eastAsia="en-GB"/>
        </w:rPr>
        <w:t>Barrantes</w:t>
      </w:r>
      <w:proofErr w:type="spellEnd"/>
      <w:r w:rsidRPr="003608FA">
        <w:rPr>
          <w:rFonts w:ascii="Times New Roman" w:eastAsia="Times New Roman" w:hAnsi="Times New Roman" w:cs="Times New Roman"/>
          <w:sz w:val="24"/>
          <w:szCs w:val="24"/>
          <w:lang w:eastAsia="en-GB"/>
        </w:rPr>
        <w:t xml:space="preserve">, A. (2015). Waterborne pathogens: Detection methods and challenges. </w:t>
      </w:r>
      <w:r w:rsidRPr="003608FA">
        <w:rPr>
          <w:rFonts w:ascii="Times New Roman" w:eastAsia="Times New Roman" w:hAnsi="Times New Roman" w:cs="Times New Roman"/>
          <w:i/>
          <w:iCs/>
          <w:sz w:val="24"/>
          <w:szCs w:val="24"/>
          <w:lang w:eastAsia="en-GB"/>
        </w:rPr>
        <w:t>Pathogens, 4</w:t>
      </w:r>
      <w:r w:rsidRPr="003608FA">
        <w:rPr>
          <w:rFonts w:ascii="Times New Roman" w:eastAsia="Times New Roman" w:hAnsi="Times New Roman" w:cs="Times New Roman"/>
          <w:sz w:val="24"/>
          <w:szCs w:val="24"/>
          <w:lang w:eastAsia="en-GB"/>
        </w:rPr>
        <w:t>(2), 307–334. https://doi.org/10.3390/pathogens4020307</w:t>
      </w:r>
    </w:p>
    <w:p w14:paraId="43400901" w14:textId="2C76CC25"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Ukpong</w:t>
      </w:r>
      <w:proofErr w:type="spellEnd"/>
      <w:r>
        <w:rPr>
          <w:rFonts w:ascii="Times New Roman" w:eastAsia="Times New Roman" w:hAnsi="Times New Roman" w:cs="Times New Roman"/>
          <w:sz w:val="24"/>
          <w:szCs w:val="24"/>
          <w:lang w:eastAsia="en-GB"/>
        </w:rPr>
        <w:t>, E. C.,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Okon</w:t>
      </w:r>
      <w:proofErr w:type="spellEnd"/>
      <w:r w:rsidRPr="003608FA">
        <w:rPr>
          <w:rFonts w:ascii="Times New Roman" w:eastAsia="Times New Roman" w:hAnsi="Times New Roman" w:cs="Times New Roman"/>
          <w:sz w:val="24"/>
          <w:szCs w:val="24"/>
          <w:lang w:eastAsia="en-GB"/>
        </w:rPr>
        <w:t xml:space="preserve">, I. E. (2023). Borehole water safety and microbial risks in rural Nigerian communities. </w:t>
      </w:r>
      <w:r w:rsidRPr="003608FA">
        <w:rPr>
          <w:rFonts w:ascii="Times New Roman" w:eastAsia="Times New Roman" w:hAnsi="Times New Roman" w:cs="Times New Roman"/>
          <w:i/>
          <w:iCs/>
          <w:sz w:val="24"/>
          <w:szCs w:val="24"/>
          <w:lang w:eastAsia="en-GB"/>
        </w:rPr>
        <w:t>International Journal of Environmental Studies, 80</w:t>
      </w:r>
      <w:r w:rsidRPr="003608FA">
        <w:rPr>
          <w:rFonts w:ascii="Times New Roman" w:eastAsia="Times New Roman" w:hAnsi="Times New Roman" w:cs="Times New Roman"/>
          <w:sz w:val="24"/>
          <w:szCs w:val="24"/>
          <w:lang w:eastAsia="en-GB"/>
        </w:rPr>
        <w:t>(4), 695–709. https://doi.org/10.1080/00207233.2023.2181147</w:t>
      </w:r>
    </w:p>
    <w:p w14:paraId="0AA64C19" w14:textId="7777777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UNICEF. (2025a). </w:t>
      </w:r>
      <w:r w:rsidRPr="003608FA">
        <w:rPr>
          <w:rFonts w:ascii="Times New Roman" w:eastAsia="Times New Roman" w:hAnsi="Times New Roman" w:cs="Times New Roman"/>
          <w:i/>
          <w:iCs/>
          <w:sz w:val="24"/>
          <w:szCs w:val="24"/>
          <w:lang w:eastAsia="en-GB"/>
        </w:rPr>
        <w:t>Progress on household drinking water, sanitation and hygiene 2000–2024</w:t>
      </w:r>
      <w:r w:rsidRPr="003608FA">
        <w:rPr>
          <w:rFonts w:ascii="Times New Roman" w:eastAsia="Times New Roman" w:hAnsi="Times New Roman" w:cs="Times New Roman"/>
          <w:sz w:val="24"/>
          <w:szCs w:val="24"/>
          <w:lang w:eastAsia="en-GB"/>
        </w:rPr>
        <w:t>. United Nations Children’s Fund.</w:t>
      </w:r>
    </w:p>
    <w:p w14:paraId="28C221AB" w14:textId="7777777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World Health Organization. (2019). </w:t>
      </w:r>
      <w:r w:rsidRPr="003608FA">
        <w:rPr>
          <w:rFonts w:ascii="Times New Roman" w:eastAsia="Times New Roman" w:hAnsi="Times New Roman" w:cs="Times New Roman"/>
          <w:i/>
          <w:iCs/>
          <w:sz w:val="24"/>
          <w:szCs w:val="24"/>
          <w:lang w:eastAsia="en-GB"/>
        </w:rPr>
        <w:t>Drinking-water</w:t>
      </w:r>
      <w:r w:rsidRPr="003608FA">
        <w:rPr>
          <w:rFonts w:ascii="Times New Roman" w:eastAsia="Times New Roman" w:hAnsi="Times New Roman" w:cs="Times New Roman"/>
          <w:sz w:val="24"/>
          <w:szCs w:val="24"/>
          <w:lang w:eastAsia="en-GB"/>
        </w:rPr>
        <w:t>. WHO.</w:t>
      </w:r>
    </w:p>
    <w:p w14:paraId="3A9254A5" w14:textId="7777777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World Health Organization. (2022). </w:t>
      </w:r>
      <w:r w:rsidRPr="003608FA">
        <w:rPr>
          <w:rFonts w:ascii="Times New Roman" w:eastAsia="Times New Roman" w:hAnsi="Times New Roman" w:cs="Times New Roman"/>
          <w:i/>
          <w:iCs/>
          <w:sz w:val="24"/>
          <w:szCs w:val="24"/>
          <w:lang w:eastAsia="en-GB"/>
        </w:rPr>
        <w:t>Guidelines on sanitation and health</w:t>
      </w:r>
      <w:r w:rsidRPr="003608FA">
        <w:rPr>
          <w:rFonts w:ascii="Times New Roman" w:eastAsia="Times New Roman" w:hAnsi="Times New Roman" w:cs="Times New Roman"/>
          <w:sz w:val="24"/>
          <w:szCs w:val="24"/>
          <w:lang w:eastAsia="en-GB"/>
        </w:rPr>
        <w:t>. WHO.</w:t>
      </w:r>
    </w:p>
    <w:p w14:paraId="1AC60846" w14:textId="77777777"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t xml:space="preserve">World Health Organization, &amp; United Nations Children’s Fund. (2025). </w:t>
      </w:r>
      <w:r w:rsidRPr="003608FA">
        <w:rPr>
          <w:rFonts w:ascii="Times New Roman" w:eastAsia="Times New Roman" w:hAnsi="Times New Roman" w:cs="Times New Roman"/>
          <w:i/>
          <w:iCs/>
          <w:sz w:val="24"/>
          <w:szCs w:val="24"/>
          <w:lang w:eastAsia="en-GB"/>
        </w:rPr>
        <w:t>Progress on drinking water, sanitation and hygiene in households: 2025 update</w:t>
      </w:r>
      <w:r w:rsidRPr="003608FA">
        <w:rPr>
          <w:rFonts w:ascii="Times New Roman" w:eastAsia="Times New Roman" w:hAnsi="Times New Roman" w:cs="Times New Roman"/>
          <w:sz w:val="24"/>
          <w:szCs w:val="24"/>
          <w:lang w:eastAsia="en-GB"/>
        </w:rPr>
        <w:t>. WHO/UNICEF Joint Monitoring Programme.</w:t>
      </w:r>
    </w:p>
    <w:p w14:paraId="3A382019" w14:textId="6B4B183C" w:rsidR="003608FA" w:rsidRPr="003608FA" w:rsidRDefault="003608FA" w:rsidP="003608FA">
      <w:pPr>
        <w:spacing w:before="100" w:beforeAutospacing="1" w:after="100" w:afterAutospacing="1" w:line="240" w:lineRule="auto"/>
        <w:rPr>
          <w:rFonts w:ascii="Times New Roman" w:eastAsia="Times New Roman" w:hAnsi="Times New Roman" w:cs="Times New Roman"/>
          <w:sz w:val="24"/>
          <w:szCs w:val="24"/>
          <w:lang w:eastAsia="en-GB"/>
        </w:rPr>
      </w:pPr>
      <w:r w:rsidRPr="003608FA">
        <w:rPr>
          <w:rFonts w:ascii="Times New Roman" w:eastAsia="Times New Roman" w:hAnsi="Times New Roman" w:cs="Times New Roman"/>
          <w:sz w:val="24"/>
          <w:szCs w:val="24"/>
          <w:lang w:eastAsia="en-GB"/>
        </w:rPr>
        <w:lastRenderedPageBreak/>
        <w:t xml:space="preserve">Wolf, J., Johnston, R., Hunter, P. </w:t>
      </w:r>
      <w:r>
        <w:rPr>
          <w:rFonts w:ascii="Times New Roman" w:eastAsia="Times New Roman" w:hAnsi="Times New Roman" w:cs="Times New Roman"/>
          <w:sz w:val="24"/>
          <w:szCs w:val="24"/>
          <w:lang w:eastAsia="en-GB"/>
        </w:rPr>
        <w:t xml:space="preserve">R., Gordon, B., </w:t>
      </w:r>
      <w:proofErr w:type="spellStart"/>
      <w:r>
        <w:rPr>
          <w:rFonts w:ascii="Times New Roman" w:eastAsia="Times New Roman" w:hAnsi="Times New Roman" w:cs="Times New Roman"/>
          <w:sz w:val="24"/>
          <w:szCs w:val="24"/>
          <w:lang w:eastAsia="en-GB"/>
        </w:rPr>
        <w:t>Medlicott</w:t>
      </w:r>
      <w:proofErr w:type="spellEnd"/>
      <w:r>
        <w:rPr>
          <w:rFonts w:ascii="Times New Roman" w:eastAsia="Times New Roman" w:hAnsi="Times New Roman" w:cs="Times New Roman"/>
          <w:sz w:val="24"/>
          <w:szCs w:val="24"/>
          <w:lang w:eastAsia="en-GB"/>
        </w:rPr>
        <w:t>, K., and</w:t>
      </w:r>
      <w:r w:rsidRPr="003608FA">
        <w:rPr>
          <w:rFonts w:ascii="Times New Roman" w:eastAsia="Times New Roman" w:hAnsi="Times New Roman" w:cs="Times New Roman"/>
          <w:sz w:val="24"/>
          <w:szCs w:val="24"/>
          <w:lang w:eastAsia="en-GB"/>
        </w:rPr>
        <w:t xml:space="preserve"> </w:t>
      </w:r>
      <w:proofErr w:type="spellStart"/>
      <w:r w:rsidRPr="003608FA">
        <w:rPr>
          <w:rFonts w:ascii="Times New Roman" w:eastAsia="Times New Roman" w:hAnsi="Times New Roman" w:cs="Times New Roman"/>
          <w:sz w:val="24"/>
          <w:szCs w:val="24"/>
          <w:lang w:eastAsia="en-GB"/>
        </w:rPr>
        <w:t>Prüss-Ustün</w:t>
      </w:r>
      <w:proofErr w:type="spellEnd"/>
      <w:r w:rsidRPr="003608FA">
        <w:rPr>
          <w:rFonts w:ascii="Times New Roman" w:eastAsia="Times New Roman" w:hAnsi="Times New Roman" w:cs="Times New Roman"/>
          <w:sz w:val="24"/>
          <w:szCs w:val="24"/>
          <w:lang w:eastAsia="en-GB"/>
        </w:rPr>
        <w:t xml:space="preserve">, A. (2022). Impact of drinking water, sanitation and hand hygiene on child health: Updated global burden of disease estimates. </w:t>
      </w:r>
      <w:r w:rsidRPr="003608FA">
        <w:rPr>
          <w:rFonts w:ascii="Times New Roman" w:eastAsia="Times New Roman" w:hAnsi="Times New Roman" w:cs="Times New Roman"/>
          <w:i/>
          <w:iCs/>
          <w:sz w:val="24"/>
          <w:szCs w:val="24"/>
          <w:lang w:eastAsia="en-GB"/>
        </w:rPr>
        <w:t>International Journal of Hygiene and Environmental Health, 240</w:t>
      </w:r>
      <w:r w:rsidRPr="003608FA">
        <w:rPr>
          <w:rFonts w:ascii="Times New Roman" w:eastAsia="Times New Roman" w:hAnsi="Times New Roman" w:cs="Times New Roman"/>
          <w:sz w:val="24"/>
          <w:szCs w:val="24"/>
          <w:lang w:eastAsia="en-GB"/>
        </w:rPr>
        <w:t>, 113896. https://doi.org/10.1016/j.ijheh.2022.113896</w:t>
      </w:r>
    </w:p>
    <w:p w14:paraId="44FC52C1" w14:textId="77777777" w:rsidR="003608FA" w:rsidRPr="005B1D04" w:rsidRDefault="003608FA"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p>
    <w:sectPr w:rsidR="003608FA" w:rsidRPr="005B1D0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AFD7B" w14:textId="77777777" w:rsidR="00743451" w:rsidRDefault="00743451" w:rsidP="00114935">
      <w:pPr>
        <w:spacing w:after="0" w:line="240" w:lineRule="auto"/>
      </w:pPr>
      <w:r>
        <w:separator/>
      </w:r>
    </w:p>
  </w:endnote>
  <w:endnote w:type="continuationSeparator" w:id="0">
    <w:p w14:paraId="32B486DD" w14:textId="77777777" w:rsidR="00743451" w:rsidRDefault="00743451" w:rsidP="001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766899"/>
      <w:docPartObj>
        <w:docPartGallery w:val="Page Numbers (Bottom of Page)"/>
        <w:docPartUnique/>
      </w:docPartObj>
    </w:sdtPr>
    <w:sdtEndPr>
      <w:rPr>
        <w:noProof/>
      </w:rPr>
    </w:sdtEndPr>
    <w:sdtContent>
      <w:p w14:paraId="3F0DE130" w14:textId="77777777" w:rsidR="00114935" w:rsidRDefault="00114935">
        <w:pPr>
          <w:pStyle w:val="Footer"/>
          <w:jc w:val="center"/>
        </w:pPr>
        <w:r>
          <w:fldChar w:fldCharType="begin"/>
        </w:r>
        <w:r>
          <w:instrText xml:space="preserve"> PAGE   \* MERGEFORMAT </w:instrText>
        </w:r>
        <w:r>
          <w:fldChar w:fldCharType="separate"/>
        </w:r>
        <w:r w:rsidR="007B5547">
          <w:rPr>
            <w:noProof/>
          </w:rPr>
          <w:t>4</w:t>
        </w:r>
        <w:r>
          <w:rPr>
            <w:noProof/>
          </w:rPr>
          <w:fldChar w:fldCharType="end"/>
        </w:r>
      </w:p>
    </w:sdtContent>
  </w:sdt>
  <w:p w14:paraId="1284CAC1" w14:textId="77777777" w:rsidR="00114935" w:rsidRDefault="0011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8B6D" w14:textId="77777777" w:rsidR="00743451" w:rsidRDefault="00743451" w:rsidP="00114935">
      <w:pPr>
        <w:spacing w:after="0" w:line="240" w:lineRule="auto"/>
      </w:pPr>
      <w:r>
        <w:separator/>
      </w:r>
    </w:p>
  </w:footnote>
  <w:footnote w:type="continuationSeparator" w:id="0">
    <w:p w14:paraId="21CDBFCF" w14:textId="77777777" w:rsidR="00743451" w:rsidRDefault="00743451" w:rsidP="00114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94A36"/>
    <w:multiLevelType w:val="multilevel"/>
    <w:tmpl w:val="85E8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41807"/>
    <w:multiLevelType w:val="hybridMultilevel"/>
    <w:tmpl w:val="D51AF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64"/>
    <w:rsid w:val="0002265C"/>
    <w:rsid w:val="00043849"/>
    <w:rsid w:val="00046EA0"/>
    <w:rsid w:val="000534FC"/>
    <w:rsid w:val="00075D5A"/>
    <w:rsid w:val="000B1C4D"/>
    <w:rsid w:val="000B224B"/>
    <w:rsid w:val="000E6729"/>
    <w:rsid w:val="000F14F0"/>
    <w:rsid w:val="000F76C5"/>
    <w:rsid w:val="00114935"/>
    <w:rsid w:val="00154A0C"/>
    <w:rsid w:val="001F0149"/>
    <w:rsid w:val="00263885"/>
    <w:rsid w:val="00280E79"/>
    <w:rsid w:val="002E5D14"/>
    <w:rsid w:val="002F7FB0"/>
    <w:rsid w:val="0031365D"/>
    <w:rsid w:val="003522ED"/>
    <w:rsid w:val="003608FA"/>
    <w:rsid w:val="00364B84"/>
    <w:rsid w:val="00365B94"/>
    <w:rsid w:val="003766BD"/>
    <w:rsid w:val="003A79FA"/>
    <w:rsid w:val="003B357C"/>
    <w:rsid w:val="003C02DA"/>
    <w:rsid w:val="003D049E"/>
    <w:rsid w:val="003E01A0"/>
    <w:rsid w:val="003E6A36"/>
    <w:rsid w:val="003E75F9"/>
    <w:rsid w:val="003F39D3"/>
    <w:rsid w:val="004426A0"/>
    <w:rsid w:val="00454316"/>
    <w:rsid w:val="004670C7"/>
    <w:rsid w:val="0053308B"/>
    <w:rsid w:val="005A42C0"/>
    <w:rsid w:val="005B1D04"/>
    <w:rsid w:val="005C7951"/>
    <w:rsid w:val="005D1B19"/>
    <w:rsid w:val="005F3EAE"/>
    <w:rsid w:val="00605AAC"/>
    <w:rsid w:val="00631043"/>
    <w:rsid w:val="00633B79"/>
    <w:rsid w:val="00641C7E"/>
    <w:rsid w:val="006533AE"/>
    <w:rsid w:val="00675530"/>
    <w:rsid w:val="00696584"/>
    <w:rsid w:val="006A0664"/>
    <w:rsid w:val="006A1BF1"/>
    <w:rsid w:val="006B1654"/>
    <w:rsid w:val="006B5733"/>
    <w:rsid w:val="006E0191"/>
    <w:rsid w:val="00743451"/>
    <w:rsid w:val="00754161"/>
    <w:rsid w:val="00782B63"/>
    <w:rsid w:val="007B5547"/>
    <w:rsid w:val="007D3814"/>
    <w:rsid w:val="007F6E52"/>
    <w:rsid w:val="00866A13"/>
    <w:rsid w:val="00867DD0"/>
    <w:rsid w:val="008902EF"/>
    <w:rsid w:val="0089163F"/>
    <w:rsid w:val="008B43FD"/>
    <w:rsid w:val="008C1C2A"/>
    <w:rsid w:val="008C5F47"/>
    <w:rsid w:val="008D1AB5"/>
    <w:rsid w:val="008E2206"/>
    <w:rsid w:val="008E7D48"/>
    <w:rsid w:val="00900A1F"/>
    <w:rsid w:val="00910D4B"/>
    <w:rsid w:val="00922BE7"/>
    <w:rsid w:val="00935CA7"/>
    <w:rsid w:val="0096068D"/>
    <w:rsid w:val="00984203"/>
    <w:rsid w:val="0098787A"/>
    <w:rsid w:val="009B0D56"/>
    <w:rsid w:val="009D076E"/>
    <w:rsid w:val="009E3B6B"/>
    <w:rsid w:val="00A04490"/>
    <w:rsid w:val="00A3749A"/>
    <w:rsid w:val="00A50D54"/>
    <w:rsid w:val="00A868BC"/>
    <w:rsid w:val="00B0369B"/>
    <w:rsid w:val="00B36445"/>
    <w:rsid w:val="00B564E6"/>
    <w:rsid w:val="00BD13BF"/>
    <w:rsid w:val="00BF7F6B"/>
    <w:rsid w:val="00C31448"/>
    <w:rsid w:val="00C322B2"/>
    <w:rsid w:val="00C60A1D"/>
    <w:rsid w:val="00C820C8"/>
    <w:rsid w:val="00C85C78"/>
    <w:rsid w:val="00CC0B6F"/>
    <w:rsid w:val="00CC583D"/>
    <w:rsid w:val="00D01D9A"/>
    <w:rsid w:val="00D028D8"/>
    <w:rsid w:val="00D474E4"/>
    <w:rsid w:val="00D510C2"/>
    <w:rsid w:val="00D56885"/>
    <w:rsid w:val="00DA1F72"/>
    <w:rsid w:val="00DF068A"/>
    <w:rsid w:val="00E12EE4"/>
    <w:rsid w:val="00E13B0F"/>
    <w:rsid w:val="00E14DD4"/>
    <w:rsid w:val="00E40999"/>
    <w:rsid w:val="00E43D63"/>
    <w:rsid w:val="00E56B0B"/>
    <w:rsid w:val="00E57ABF"/>
    <w:rsid w:val="00E60AEE"/>
    <w:rsid w:val="00E71628"/>
    <w:rsid w:val="00ED1470"/>
    <w:rsid w:val="00F257B0"/>
    <w:rsid w:val="00F542CC"/>
    <w:rsid w:val="00F64A9C"/>
    <w:rsid w:val="00F81283"/>
    <w:rsid w:val="00F928FD"/>
    <w:rsid w:val="00FB6ACC"/>
    <w:rsid w:val="00FE0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C24EA"/>
  <w15:docId w15:val="{BC8B2C05-B8D7-45AD-8CD5-9E5B8BD3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6A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63F"/>
    <w:rPr>
      <w:color w:val="0000FF" w:themeColor="hyperlink"/>
      <w:u w:val="single"/>
    </w:rPr>
  </w:style>
  <w:style w:type="paragraph" w:styleId="Header">
    <w:name w:val="header"/>
    <w:basedOn w:val="Normal"/>
    <w:link w:val="HeaderChar"/>
    <w:uiPriority w:val="99"/>
    <w:unhideWhenUsed/>
    <w:rsid w:val="00114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35"/>
  </w:style>
  <w:style w:type="paragraph" w:styleId="Footer">
    <w:name w:val="footer"/>
    <w:basedOn w:val="Normal"/>
    <w:link w:val="FooterChar"/>
    <w:uiPriority w:val="99"/>
    <w:unhideWhenUsed/>
    <w:rsid w:val="0011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35"/>
  </w:style>
  <w:style w:type="table" w:customStyle="1" w:styleId="3">
    <w:name w:val="3"/>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table" w:customStyle="1" w:styleId="2">
    <w:name w:val="2"/>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paragraph" w:styleId="BalloonText">
    <w:name w:val="Balloon Text"/>
    <w:basedOn w:val="Normal"/>
    <w:link w:val="BalloonTextChar"/>
    <w:uiPriority w:val="99"/>
    <w:semiHidden/>
    <w:unhideWhenUsed/>
    <w:rsid w:val="00B0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9B"/>
    <w:rPr>
      <w:rFonts w:ascii="Tahoma" w:hAnsi="Tahoma" w:cs="Tahoma"/>
      <w:sz w:val="16"/>
      <w:szCs w:val="16"/>
    </w:rPr>
  </w:style>
  <w:style w:type="character" w:customStyle="1" w:styleId="UnresolvedMention1">
    <w:name w:val="Unresolved Mention1"/>
    <w:basedOn w:val="DefaultParagraphFont"/>
    <w:uiPriority w:val="99"/>
    <w:semiHidden/>
    <w:unhideWhenUsed/>
    <w:rsid w:val="006E0191"/>
    <w:rPr>
      <w:color w:val="605E5C"/>
      <w:shd w:val="clear" w:color="auto" w:fill="E1DFDD"/>
    </w:rPr>
  </w:style>
  <w:style w:type="paragraph" w:styleId="NormalWeb">
    <w:name w:val="Normal (Web)"/>
    <w:basedOn w:val="Normal"/>
    <w:uiPriority w:val="99"/>
    <w:unhideWhenUsed/>
    <w:rsid w:val="009D07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E6A3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0D4B"/>
    <w:pPr>
      <w:spacing w:after="0" w:line="240" w:lineRule="auto"/>
    </w:pPr>
    <w:rPr>
      <w:kern w:val="2"/>
      <w:lang w:val="en-US"/>
      <w14:ligatures w14:val="standardContextual"/>
    </w:rPr>
  </w:style>
  <w:style w:type="paragraph" w:styleId="ListParagraph">
    <w:name w:val="List Paragraph"/>
    <w:basedOn w:val="Normal"/>
    <w:uiPriority w:val="34"/>
    <w:qFormat/>
    <w:rsid w:val="00364B84"/>
    <w:pPr>
      <w:ind w:left="720"/>
      <w:contextualSpacing/>
    </w:pPr>
  </w:style>
  <w:style w:type="character" w:styleId="Emphasis">
    <w:name w:val="Emphasis"/>
    <w:basedOn w:val="DefaultParagraphFont"/>
    <w:uiPriority w:val="20"/>
    <w:qFormat/>
    <w:rsid w:val="00984203"/>
    <w:rPr>
      <w:i/>
      <w:iCs/>
    </w:rPr>
  </w:style>
  <w:style w:type="table" w:styleId="TableGrid">
    <w:name w:val="Table Grid"/>
    <w:basedOn w:val="TableNormal"/>
    <w:uiPriority w:val="59"/>
    <w:rsid w:val="0045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47024">
      <w:bodyDiv w:val="1"/>
      <w:marLeft w:val="0"/>
      <w:marRight w:val="0"/>
      <w:marTop w:val="0"/>
      <w:marBottom w:val="0"/>
      <w:divBdr>
        <w:top w:val="none" w:sz="0" w:space="0" w:color="auto"/>
        <w:left w:val="none" w:sz="0" w:space="0" w:color="auto"/>
        <w:bottom w:val="none" w:sz="0" w:space="0" w:color="auto"/>
        <w:right w:val="none" w:sz="0" w:space="0" w:color="auto"/>
      </w:divBdr>
    </w:div>
    <w:div w:id="1404646274">
      <w:bodyDiv w:val="1"/>
      <w:marLeft w:val="0"/>
      <w:marRight w:val="0"/>
      <w:marTop w:val="0"/>
      <w:marBottom w:val="0"/>
      <w:divBdr>
        <w:top w:val="none" w:sz="0" w:space="0" w:color="auto"/>
        <w:left w:val="none" w:sz="0" w:space="0" w:color="auto"/>
        <w:bottom w:val="none" w:sz="0" w:space="0" w:color="auto"/>
        <w:right w:val="none" w:sz="0" w:space="0" w:color="auto"/>
      </w:divBdr>
    </w:div>
    <w:div w:id="1520124080">
      <w:bodyDiv w:val="1"/>
      <w:marLeft w:val="0"/>
      <w:marRight w:val="0"/>
      <w:marTop w:val="0"/>
      <w:marBottom w:val="0"/>
      <w:divBdr>
        <w:top w:val="none" w:sz="0" w:space="0" w:color="auto"/>
        <w:left w:val="none" w:sz="0" w:space="0" w:color="auto"/>
        <w:bottom w:val="none" w:sz="0" w:space="0" w:color="auto"/>
        <w:right w:val="none" w:sz="0" w:space="0" w:color="auto"/>
      </w:divBdr>
    </w:div>
    <w:div w:id="1978757917">
      <w:bodyDiv w:val="1"/>
      <w:marLeft w:val="0"/>
      <w:marRight w:val="0"/>
      <w:marTop w:val="0"/>
      <w:marBottom w:val="0"/>
      <w:divBdr>
        <w:top w:val="none" w:sz="0" w:space="0" w:color="auto"/>
        <w:left w:val="none" w:sz="0" w:space="0" w:color="auto"/>
        <w:bottom w:val="none" w:sz="0" w:space="0" w:color="auto"/>
        <w:right w:val="none" w:sz="0" w:space="0" w:color="auto"/>
      </w:divBdr>
    </w:div>
    <w:div w:id="21034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tmi.1233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1"/>
          <c:order val="0"/>
          <c:tx>
            <c:strRef>
              <c:f>Sheet1!$C$1</c:f>
              <c:strCache>
                <c:ptCount val="1"/>
                <c:pt idx="0">
                  <c:v>Percentage (%)</c:v>
                </c:pt>
              </c:strCache>
            </c:strRef>
          </c:tx>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Cholera</c:v>
                </c:pt>
                <c:pt idx="1">
                  <c:v>Diarrhea</c:v>
                </c:pt>
                <c:pt idx="2">
                  <c:v>Dysentery</c:v>
                </c:pt>
                <c:pt idx="3">
                  <c:v>Typhoid</c:v>
                </c:pt>
                <c:pt idx="4">
                  <c:v>Total</c:v>
                </c:pt>
              </c:strCache>
            </c:strRef>
          </c:cat>
          <c:val>
            <c:numRef>
              <c:f>Sheet1!$C$2:$C$6</c:f>
              <c:numCache>
                <c:formatCode>0%</c:formatCode>
                <c:ptCount val="5"/>
                <c:pt idx="0">
                  <c:v>0.3</c:v>
                </c:pt>
                <c:pt idx="1">
                  <c:v>0.2</c:v>
                </c:pt>
                <c:pt idx="2">
                  <c:v>0.3</c:v>
                </c:pt>
                <c:pt idx="3">
                  <c:v>0.2</c:v>
                </c:pt>
                <c:pt idx="4">
                  <c:v>1</c:v>
                </c:pt>
              </c:numCache>
            </c:numRef>
          </c:val>
          <c:extLst>
            <c:ext xmlns:c16="http://schemas.microsoft.com/office/drawing/2014/chart" uri="{C3380CC4-5D6E-409C-BE32-E72D297353CC}">
              <c16:uniqueId val="{00000000-D122-4277-8899-E12F5E7B864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1158</cp:lastModifiedBy>
  <cp:revision>8</cp:revision>
  <dcterms:created xsi:type="dcterms:W3CDTF">2026-02-08T02:07:00Z</dcterms:created>
  <dcterms:modified xsi:type="dcterms:W3CDTF">2026-02-12T06:13:00Z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ebf24c34-c7be-470a-b238-8338ddf1bc98</vt:lpwstr>
  </property>
</Properties>
</file>