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8B48E" w14:textId="77777777" w:rsidR="0034628C" w:rsidRDefault="0034628C" w:rsidP="002B395B">
      <w:pPr>
        <w:pStyle w:val="Title"/>
        <w:spacing w:after="0"/>
        <w:jc w:val="left"/>
        <w:rPr>
          <w:rFonts w:ascii="Arial" w:hAnsi="Arial" w:cs="Arial"/>
        </w:rPr>
      </w:pPr>
    </w:p>
    <w:p w14:paraId="1348FC12" w14:textId="77777777" w:rsidR="0034628C" w:rsidRDefault="0034628C" w:rsidP="002B395B">
      <w:pPr>
        <w:pStyle w:val="Title"/>
        <w:spacing w:after="0"/>
        <w:jc w:val="left"/>
        <w:rPr>
          <w:rFonts w:ascii="Arial" w:hAnsi="Arial" w:cs="Arial"/>
        </w:rPr>
      </w:pPr>
    </w:p>
    <w:p w14:paraId="4CB82426" w14:textId="06FF0185" w:rsidR="000C698F" w:rsidRPr="000C698F" w:rsidRDefault="000C698F" w:rsidP="002B395B">
      <w:pPr>
        <w:pStyle w:val="Author"/>
        <w:spacing w:line="240" w:lineRule="auto"/>
        <w:jc w:val="left"/>
        <w:rPr>
          <w:rFonts w:ascii="Arial" w:hAnsi="Arial" w:cs="Arial"/>
          <w:bCs/>
          <w:iCs/>
          <w:kern w:val="28"/>
          <w:sz w:val="36"/>
        </w:rPr>
      </w:pPr>
      <w:r w:rsidRPr="000C698F">
        <w:rPr>
          <w:rFonts w:ascii="Arial" w:hAnsi="Arial" w:cs="Arial"/>
          <w:bCs/>
          <w:iCs/>
          <w:kern w:val="28"/>
          <w:sz w:val="36"/>
        </w:rPr>
        <w:t>Serum Magnesium as a Predictor of Diabetic Retinopathy Severity amon</w:t>
      </w:r>
      <w:r>
        <w:rPr>
          <w:rFonts w:ascii="Arial" w:hAnsi="Arial" w:cs="Arial"/>
          <w:bCs/>
          <w:iCs/>
          <w:kern w:val="28"/>
          <w:sz w:val="36"/>
        </w:rPr>
        <w:t>g Type 2 Diabetic Patients at K</w:t>
      </w:r>
      <w:r w:rsidR="0058731E">
        <w:rPr>
          <w:rFonts w:ascii="Arial" w:hAnsi="Arial" w:cs="Arial"/>
          <w:bCs/>
          <w:iCs/>
          <w:kern w:val="28"/>
          <w:sz w:val="36"/>
        </w:rPr>
        <w:t>iliman</w:t>
      </w:r>
      <w:r w:rsidR="00F91884">
        <w:rPr>
          <w:rFonts w:ascii="Arial" w:hAnsi="Arial" w:cs="Arial"/>
          <w:bCs/>
          <w:iCs/>
          <w:kern w:val="28"/>
          <w:sz w:val="36"/>
        </w:rPr>
        <w:t>j</w:t>
      </w:r>
      <w:r w:rsidR="0058731E">
        <w:rPr>
          <w:rFonts w:ascii="Arial" w:hAnsi="Arial" w:cs="Arial"/>
          <w:bCs/>
          <w:iCs/>
          <w:kern w:val="28"/>
          <w:sz w:val="36"/>
        </w:rPr>
        <w:t xml:space="preserve">aro </w:t>
      </w:r>
      <w:r>
        <w:rPr>
          <w:rFonts w:ascii="Arial" w:hAnsi="Arial" w:cs="Arial"/>
          <w:bCs/>
          <w:iCs/>
          <w:kern w:val="28"/>
          <w:sz w:val="36"/>
        </w:rPr>
        <w:t>C</w:t>
      </w:r>
      <w:r w:rsidR="0058731E">
        <w:rPr>
          <w:rFonts w:ascii="Arial" w:hAnsi="Arial" w:cs="Arial"/>
          <w:bCs/>
          <w:iCs/>
          <w:kern w:val="28"/>
          <w:sz w:val="36"/>
        </w:rPr>
        <w:t xml:space="preserve">hristian </w:t>
      </w:r>
      <w:r>
        <w:rPr>
          <w:rFonts w:ascii="Arial" w:hAnsi="Arial" w:cs="Arial"/>
          <w:bCs/>
          <w:iCs/>
          <w:kern w:val="28"/>
          <w:sz w:val="36"/>
        </w:rPr>
        <w:t>M</w:t>
      </w:r>
      <w:r w:rsidR="0058731E">
        <w:rPr>
          <w:rFonts w:ascii="Arial" w:hAnsi="Arial" w:cs="Arial"/>
          <w:bCs/>
          <w:iCs/>
          <w:kern w:val="28"/>
          <w:sz w:val="36"/>
        </w:rPr>
        <w:t>edical Centre</w:t>
      </w:r>
      <w:r w:rsidR="00367FC1">
        <w:rPr>
          <w:rFonts w:ascii="Arial" w:hAnsi="Arial" w:cs="Arial"/>
          <w:bCs/>
          <w:iCs/>
          <w:kern w:val="28"/>
          <w:sz w:val="36"/>
        </w:rPr>
        <w:t xml:space="preserve">: </w:t>
      </w:r>
      <w:r>
        <w:rPr>
          <w:rFonts w:ascii="Arial" w:hAnsi="Arial" w:cs="Arial"/>
          <w:bCs/>
          <w:iCs/>
          <w:kern w:val="28"/>
          <w:sz w:val="36"/>
        </w:rPr>
        <w:t xml:space="preserve"> A One-year study</w:t>
      </w:r>
      <w:r w:rsidR="00856BC6">
        <w:rPr>
          <w:rFonts w:ascii="Arial" w:hAnsi="Arial" w:cs="Arial"/>
          <w:bCs/>
          <w:iCs/>
          <w:kern w:val="28"/>
          <w:sz w:val="36"/>
        </w:rPr>
        <w:t xml:space="preserve"> 2024-2025</w:t>
      </w:r>
    </w:p>
    <w:p w14:paraId="4F4FAF14" w14:textId="77777777" w:rsidR="00A258C3" w:rsidRPr="00790ADA" w:rsidRDefault="00A258C3" w:rsidP="002B395B">
      <w:pPr>
        <w:pStyle w:val="Author"/>
        <w:spacing w:line="240" w:lineRule="auto"/>
        <w:jc w:val="left"/>
        <w:rPr>
          <w:rFonts w:ascii="Arial" w:hAnsi="Arial" w:cs="Arial"/>
          <w:sz w:val="36"/>
        </w:rPr>
      </w:pPr>
    </w:p>
    <w:p w14:paraId="200DEB19" w14:textId="77777777" w:rsidR="002B2912" w:rsidRPr="000C698F" w:rsidRDefault="002B2912" w:rsidP="002B395B">
      <w:pPr>
        <w:pStyle w:val="Affiliation"/>
        <w:spacing w:after="0" w:line="240" w:lineRule="auto"/>
        <w:jc w:val="left"/>
        <w:rPr>
          <w:rFonts w:ascii="Arial" w:hAnsi="Arial" w:cs="Arial"/>
          <w:sz w:val="24"/>
          <w:szCs w:val="24"/>
        </w:rPr>
      </w:pPr>
    </w:p>
    <w:p w14:paraId="7DC0B002" w14:textId="77777777" w:rsidR="002C57D2" w:rsidRPr="00FB3A86" w:rsidRDefault="002C57D2" w:rsidP="00441B6F">
      <w:pPr>
        <w:pStyle w:val="Affiliation"/>
        <w:spacing w:after="0" w:line="240" w:lineRule="auto"/>
        <w:jc w:val="both"/>
        <w:rPr>
          <w:rFonts w:ascii="Arial" w:hAnsi="Arial" w:cs="Arial"/>
        </w:rPr>
      </w:pPr>
    </w:p>
    <w:p w14:paraId="642D3A28" w14:textId="77777777" w:rsidR="00B01FCD" w:rsidRPr="00FB3A86" w:rsidRDefault="0077393B" w:rsidP="00441B6F">
      <w:pPr>
        <w:pStyle w:val="Copyright"/>
        <w:spacing w:after="0" w:line="240" w:lineRule="auto"/>
        <w:jc w:val="both"/>
        <w:rPr>
          <w:rFonts w:ascii="Arial" w:hAnsi="Arial" w:cs="Arial"/>
        </w:rPr>
        <w:sectPr w:rsidR="00B01FCD" w:rsidRPr="00FB3A86" w:rsidSect="00B5057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10BA82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61CED12"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511A2E4" w14:textId="77777777" w:rsidTr="001E44FE">
        <w:tc>
          <w:tcPr>
            <w:tcW w:w="9576" w:type="dxa"/>
            <w:shd w:val="clear" w:color="auto" w:fill="F2F2F2"/>
          </w:tcPr>
          <w:p w14:paraId="0EBF8B88" w14:textId="5F3474B5" w:rsidR="00E3114E" w:rsidRPr="00376951" w:rsidRDefault="00ED0510" w:rsidP="00441B6F">
            <w:pPr>
              <w:pStyle w:val="Body"/>
              <w:spacing w:after="0"/>
              <w:rPr>
                <w:rFonts w:ascii="Arial" w:eastAsia="Calibri" w:hAnsi="Arial" w:cs="Arial"/>
                <w:szCs w:val="22"/>
              </w:rPr>
            </w:pPr>
            <w:r w:rsidRPr="00ED0510">
              <w:rPr>
                <w:rFonts w:ascii="Arial" w:eastAsia="Calibri" w:hAnsi="Arial" w:cs="Arial"/>
                <w:b/>
                <w:szCs w:val="22"/>
              </w:rPr>
              <w:t>Background</w:t>
            </w:r>
            <w:r>
              <w:rPr>
                <w:rFonts w:ascii="Arial" w:eastAsia="Calibri" w:hAnsi="Arial" w:cs="Arial"/>
                <w:szCs w:val="22"/>
              </w:rPr>
              <w:t xml:space="preserve">: </w:t>
            </w:r>
            <w:r w:rsidRPr="00ED0510">
              <w:rPr>
                <w:rFonts w:ascii="Arial" w:eastAsia="Calibri" w:hAnsi="Arial" w:cs="Arial"/>
                <w:szCs w:val="22"/>
              </w:rPr>
              <w:t>Diabetic retinopathy remains a leading cause of visual impairment among patients with Type 2 diabetes mellitus. While common risk factors such as hyperglycemia and duration of diabetes are well established, the role of micronutrients like serum magnesium in the progression of diabetic retinopathy remains unde</w:t>
            </w:r>
            <w:r>
              <w:rPr>
                <w:rFonts w:ascii="Arial" w:eastAsia="Calibri" w:hAnsi="Arial" w:cs="Arial"/>
                <w:szCs w:val="22"/>
              </w:rPr>
              <w:t>rexplored in sub-Saharan Africa</w:t>
            </w:r>
            <w:r w:rsidR="007B2AEE">
              <w:rPr>
                <w:rFonts w:ascii="Arial" w:eastAsia="Calibri" w:hAnsi="Arial" w:cs="Arial"/>
                <w:szCs w:val="22"/>
              </w:rPr>
              <w:t>.</w:t>
            </w:r>
          </w:p>
          <w:p w14:paraId="244C9D8B" w14:textId="63F8E9F6" w:rsidR="007B2AEE" w:rsidRPr="007B2AEE" w:rsidRDefault="00BA1B01" w:rsidP="00441B6F">
            <w:pPr>
              <w:pStyle w:val="Body"/>
              <w:spacing w:after="0"/>
              <w:rPr>
                <w:rFonts w:ascii="Arial" w:eastAsia="Calibri" w:hAnsi="Arial" w:cs="Arial"/>
                <w:bCs/>
                <w:iCs/>
                <w:szCs w:val="22"/>
              </w:rPr>
            </w:pPr>
            <w:r w:rsidRPr="00BA1B01">
              <w:rPr>
                <w:rFonts w:ascii="Arial" w:eastAsia="Calibri" w:hAnsi="Arial" w:cs="Arial"/>
                <w:b/>
                <w:szCs w:val="22"/>
              </w:rPr>
              <w:t xml:space="preserve">Aims: </w:t>
            </w:r>
            <w:r w:rsidR="007B2AEE">
              <w:rPr>
                <w:rFonts w:ascii="Arial" w:eastAsia="Calibri" w:hAnsi="Arial" w:cs="Arial"/>
                <w:szCs w:val="22"/>
              </w:rPr>
              <w:t xml:space="preserve">To evaluate </w:t>
            </w:r>
            <w:r w:rsidR="00B927F9" w:rsidRPr="00B927F9">
              <w:rPr>
                <w:rFonts w:ascii="Arial" w:eastAsia="Calibri" w:hAnsi="Arial" w:cs="Arial"/>
                <w:bCs/>
                <w:iCs/>
                <w:szCs w:val="22"/>
              </w:rPr>
              <w:t>Serum Magnesium as a Predictor of Diabetic Retinopathy Severity Among Type 2 Diabetic Patients at KCMC Hospital From 2024-2025</w:t>
            </w:r>
            <w:r w:rsidR="007B2AEE">
              <w:rPr>
                <w:rFonts w:ascii="Arial" w:eastAsia="Calibri" w:hAnsi="Arial" w:cs="Arial"/>
                <w:bCs/>
                <w:iCs/>
                <w:szCs w:val="22"/>
              </w:rPr>
              <w:t>.</w:t>
            </w:r>
          </w:p>
          <w:p w14:paraId="2868595B" w14:textId="642F9191" w:rsidR="007B2AEE" w:rsidRPr="007B2AEE" w:rsidRDefault="007B2AEE" w:rsidP="00441B6F">
            <w:pPr>
              <w:pStyle w:val="Body"/>
              <w:spacing w:after="0"/>
              <w:rPr>
                <w:rFonts w:ascii="Arial" w:eastAsia="Calibri" w:hAnsi="Arial" w:cs="Arial"/>
                <w:b/>
                <w:bCs/>
                <w:szCs w:val="22"/>
                <w:lang w:val="en-IN"/>
              </w:rPr>
            </w:pPr>
            <w:r w:rsidRPr="007B2AEE">
              <w:rPr>
                <w:rFonts w:ascii="Arial" w:eastAsia="Calibri" w:hAnsi="Arial" w:cs="Arial"/>
                <w:b/>
                <w:bCs/>
                <w:szCs w:val="22"/>
                <w:lang w:val="en-IN"/>
              </w:rPr>
              <w:t>Objective</w:t>
            </w:r>
            <w:r>
              <w:rPr>
                <w:rFonts w:ascii="Arial" w:eastAsia="Calibri" w:hAnsi="Arial" w:cs="Arial"/>
                <w:b/>
                <w:bCs/>
                <w:szCs w:val="22"/>
                <w:lang w:val="en-IN"/>
              </w:rPr>
              <w:t>:</w:t>
            </w:r>
            <w:r w:rsidRPr="007B2AEE">
              <w:t xml:space="preserve"> </w:t>
            </w:r>
            <w:r w:rsidRPr="007B2AEE">
              <w:rPr>
                <w:rFonts w:ascii="Arial" w:eastAsia="Calibri" w:hAnsi="Arial" w:cs="Arial"/>
                <w:bCs/>
                <w:szCs w:val="22"/>
              </w:rPr>
              <w:t>To assess the association between serum magnesium levels and the severity of diabetic retinopathy among patients with type 2 diabetes mellitus attending KCMC.</w:t>
            </w:r>
          </w:p>
          <w:p w14:paraId="2EB64261" w14:textId="29013720" w:rsidR="007B2AEE" w:rsidRDefault="007B2AEE" w:rsidP="00441B6F">
            <w:pPr>
              <w:pStyle w:val="Body"/>
              <w:spacing w:after="0"/>
              <w:rPr>
                <w:rFonts w:ascii="Arial" w:eastAsia="Calibri" w:hAnsi="Arial" w:cs="Arial"/>
                <w:b/>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Pr="00083AB8">
              <w:rPr>
                <w:rFonts w:ascii="Arial" w:eastAsia="Calibri" w:hAnsi="Arial" w:cs="Arial"/>
                <w:bCs/>
                <w:szCs w:val="22"/>
                <w:lang w:val="en-IN"/>
              </w:rPr>
              <w:t>Analytical cross-sectional stud</w:t>
            </w:r>
            <w:r>
              <w:rPr>
                <w:rFonts w:ascii="Arial" w:eastAsia="Calibri" w:hAnsi="Arial" w:cs="Arial"/>
                <w:bCs/>
                <w:szCs w:val="22"/>
                <w:lang w:val="en-IN"/>
              </w:rPr>
              <w:t>y</w:t>
            </w:r>
            <w:r>
              <w:rPr>
                <w:rFonts w:ascii="Arial" w:eastAsia="Calibri" w:hAnsi="Arial" w:cs="Arial"/>
                <w:b/>
                <w:szCs w:val="22"/>
              </w:rPr>
              <w:t>.</w:t>
            </w:r>
          </w:p>
          <w:p w14:paraId="12E04EC2" w14:textId="7A6E24A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927F9" w:rsidRPr="00B927F9">
              <w:rPr>
                <w:rFonts w:ascii="Arial" w:eastAsia="Calibri" w:hAnsi="Arial" w:cs="Arial"/>
                <w:szCs w:val="22"/>
              </w:rPr>
              <w:t>The study was conducted at Kilimanjaro Christian Medical Centre (KCMC), Moshi, Northern Tanzania, between 2024 and 2025</w:t>
            </w:r>
            <w:r w:rsidR="007B2AEE">
              <w:rPr>
                <w:rFonts w:ascii="Arial" w:eastAsia="Calibri" w:hAnsi="Arial" w:cs="Arial"/>
                <w:szCs w:val="22"/>
              </w:rPr>
              <w:t>.</w:t>
            </w:r>
          </w:p>
          <w:p w14:paraId="423A288A" w14:textId="459E01B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76951" w:rsidRPr="00376951">
              <w:rPr>
                <w:rFonts w:ascii="Arial" w:eastAsia="Calibri" w:hAnsi="Arial" w:cs="Arial"/>
                <w:bCs/>
                <w:szCs w:val="22"/>
              </w:rPr>
              <w:t>An analytical cross-sectional study was car</w:t>
            </w:r>
            <w:r w:rsidR="00376951">
              <w:rPr>
                <w:rFonts w:ascii="Arial" w:eastAsia="Calibri" w:hAnsi="Arial" w:cs="Arial"/>
                <w:bCs/>
                <w:szCs w:val="22"/>
              </w:rPr>
              <w:t>ried out at KCMC, involving 201</w:t>
            </w:r>
            <w:r w:rsidR="00D61A35">
              <w:rPr>
                <w:rFonts w:ascii="Arial" w:eastAsia="Calibri" w:hAnsi="Arial" w:cs="Arial"/>
                <w:bCs/>
                <w:szCs w:val="22"/>
              </w:rPr>
              <w:t xml:space="preserve"> type 2</w:t>
            </w:r>
            <w:r w:rsidR="00376951">
              <w:rPr>
                <w:rFonts w:ascii="Arial" w:eastAsia="Calibri" w:hAnsi="Arial" w:cs="Arial"/>
                <w:bCs/>
                <w:szCs w:val="22"/>
              </w:rPr>
              <w:t xml:space="preserve"> </w:t>
            </w:r>
            <w:r w:rsidR="00376951" w:rsidRPr="00376951">
              <w:rPr>
                <w:rFonts w:ascii="Arial" w:eastAsia="Calibri" w:hAnsi="Arial" w:cs="Arial"/>
                <w:bCs/>
                <w:szCs w:val="22"/>
              </w:rPr>
              <w:t>diabetic outpatients. Participants underwent fundus examination to assess the severity of diabetic retinopathy, and blood samples were collected for biochemical analysis. Data cleaning and statistical analysis were performed using STATA version 17.</w:t>
            </w:r>
          </w:p>
          <w:p w14:paraId="4C321B96" w14:textId="6E8055BB"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DD762A">
              <w:t xml:space="preserve">A total of 66.7% of participants had diabetic retinopathy, of whom 37.8% had non-proliferative DR (NPDR) and 28.9% had proliferative DR (PDR), while 33.3% had no diabetic retinopathy (NDR). </w:t>
            </w:r>
            <w:r w:rsidR="00DD762A">
              <w:rPr>
                <w:rFonts w:ascii="Arial" w:eastAsia="Calibri" w:hAnsi="Arial" w:cs="Arial"/>
                <w:szCs w:val="22"/>
              </w:rPr>
              <w:t>Hypomagnesemia</w:t>
            </w:r>
            <w:r w:rsidR="00376951" w:rsidRPr="00376951">
              <w:rPr>
                <w:rFonts w:ascii="Arial" w:eastAsia="Calibri" w:hAnsi="Arial" w:cs="Arial"/>
                <w:szCs w:val="22"/>
              </w:rPr>
              <w:t xml:space="preserve"> was identified in 14.4% of participants. Patients with low serum magnesium had significantly higher odds of developing more severe stages of DR (AOR = 2.25, p = 0.031). Additionally, a diabetes duration greater than five years was strongly associated with increased DR severity (AOR = 3.05, p = 0.006). Abnormal serum cholesterol was also significantly associated with DR severity (p = 0.011). However, age over 60 years, sex, and HDL levels were not significantly associated with DR severity in the adjusted models</w:t>
            </w:r>
            <w:r w:rsidR="007B2AEE">
              <w:rPr>
                <w:rFonts w:ascii="Arial" w:eastAsia="Calibri" w:hAnsi="Arial" w:cs="Arial"/>
                <w:szCs w:val="22"/>
              </w:rPr>
              <w:t>.</w:t>
            </w:r>
          </w:p>
          <w:p w14:paraId="39592116" w14:textId="77777777" w:rsidR="00636EB2" w:rsidRDefault="00BA1B01" w:rsidP="00376951">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76951" w:rsidRPr="00376951">
              <w:rPr>
                <w:rFonts w:ascii="Arial" w:eastAsia="Calibri" w:hAnsi="Arial" w:cs="Arial"/>
                <w:szCs w:val="22"/>
              </w:rPr>
              <w:t>Low serum magnesium levels are significantly associated with increased DR severity and macular edema, suggesting magnesium as a potential modifiable risk factor. These findings support the integration of serum magnesium screening into diabetic care protocols to enhance early detection and prevention of diabetic eye complications in Tanzania.</w:t>
            </w:r>
          </w:p>
          <w:p w14:paraId="2B57096F" w14:textId="77777777" w:rsidR="00505F06" w:rsidRPr="00BA1B01" w:rsidRDefault="00505F06" w:rsidP="00441B6F">
            <w:pPr>
              <w:pStyle w:val="Body"/>
              <w:spacing w:after="0"/>
              <w:rPr>
                <w:rFonts w:ascii="Arial" w:eastAsia="Calibri" w:hAnsi="Arial" w:cs="Arial"/>
                <w:szCs w:val="22"/>
              </w:rPr>
            </w:pPr>
          </w:p>
        </w:tc>
      </w:tr>
    </w:tbl>
    <w:p w14:paraId="50A2EE2D" w14:textId="77777777" w:rsidR="00636EB2" w:rsidRDefault="00636EB2" w:rsidP="00441B6F">
      <w:pPr>
        <w:pStyle w:val="Body"/>
        <w:spacing w:after="0"/>
        <w:rPr>
          <w:rFonts w:ascii="Arial" w:hAnsi="Arial" w:cs="Arial"/>
          <w:i/>
        </w:rPr>
      </w:pPr>
    </w:p>
    <w:p w14:paraId="15981D07" w14:textId="77777777" w:rsidR="00790ADA" w:rsidRDefault="00790ADA" w:rsidP="00441B6F">
      <w:pPr>
        <w:pStyle w:val="Body"/>
        <w:spacing w:after="0"/>
        <w:rPr>
          <w:rFonts w:ascii="Arial" w:hAnsi="Arial" w:cs="Arial"/>
          <w:i/>
        </w:rPr>
      </w:pPr>
    </w:p>
    <w:p w14:paraId="079E3F82" w14:textId="77777777" w:rsidR="0024282C" w:rsidRDefault="0024282C" w:rsidP="00441B6F">
      <w:pPr>
        <w:pStyle w:val="Body"/>
        <w:spacing w:after="0"/>
        <w:rPr>
          <w:rFonts w:ascii="Arial" w:hAnsi="Arial" w:cs="Arial"/>
          <w:i/>
          <w:sz w:val="18"/>
        </w:rPr>
      </w:pPr>
    </w:p>
    <w:p w14:paraId="5CF706E9" w14:textId="4E448912" w:rsidR="00505F06" w:rsidRPr="00A24E7E" w:rsidRDefault="004A69B6" w:rsidP="00441B6F">
      <w:pPr>
        <w:pStyle w:val="Body"/>
        <w:spacing w:after="0"/>
        <w:rPr>
          <w:rFonts w:ascii="Arial" w:hAnsi="Arial" w:cs="Arial"/>
          <w:i/>
        </w:rPr>
      </w:pPr>
      <w:r>
        <w:rPr>
          <w:rFonts w:ascii="Arial" w:hAnsi="Arial" w:cs="Arial"/>
          <w:i/>
        </w:rPr>
        <w:t xml:space="preserve">Keywords: </w:t>
      </w:r>
      <w:r w:rsidRPr="004A69B6">
        <w:rPr>
          <w:rFonts w:ascii="Arial" w:hAnsi="Arial" w:cs="Arial"/>
          <w:i/>
        </w:rPr>
        <w:t>Type 2 diabetes</w:t>
      </w:r>
      <w:r>
        <w:rPr>
          <w:rFonts w:ascii="Arial" w:hAnsi="Arial" w:cs="Arial"/>
          <w:i/>
        </w:rPr>
        <w:t>, C</w:t>
      </w:r>
      <w:r w:rsidRPr="004A69B6">
        <w:rPr>
          <w:rFonts w:ascii="Arial" w:hAnsi="Arial" w:cs="Arial"/>
          <w:i/>
        </w:rPr>
        <w:t>holesterol</w:t>
      </w:r>
      <w:r>
        <w:rPr>
          <w:rFonts w:ascii="Arial" w:hAnsi="Arial" w:cs="Arial"/>
          <w:i/>
        </w:rPr>
        <w:t xml:space="preserve">, </w:t>
      </w:r>
      <w:r w:rsidRPr="004A69B6">
        <w:rPr>
          <w:rFonts w:ascii="Arial" w:hAnsi="Arial" w:cs="Arial"/>
          <w:i/>
        </w:rPr>
        <w:t>Hypomagnesemia</w:t>
      </w:r>
      <w:r>
        <w:rPr>
          <w:rFonts w:ascii="Arial" w:hAnsi="Arial" w:cs="Arial"/>
          <w:i/>
        </w:rPr>
        <w:t>, B</w:t>
      </w:r>
      <w:bookmarkStart w:id="0" w:name="_GoBack"/>
      <w:bookmarkEnd w:id="0"/>
      <w:r w:rsidRPr="004A69B6">
        <w:rPr>
          <w:rFonts w:ascii="Arial" w:hAnsi="Arial" w:cs="Arial"/>
          <w:i/>
        </w:rPr>
        <w:t>lood</w:t>
      </w:r>
    </w:p>
    <w:p w14:paraId="0BD10AB0" w14:textId="7C55F688"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D93C6F2" w14:textId="77777777" w:rsidR="00790ADA" w:rsidRPr="00FB3A86" w:rsidRDefault="00790ADA" w:rsidP="00441B6F">
      <w:pPr>
        <w:pStyle w:val="AbstHead"/>
        <w:spacing w:after="0"/>
        <w:jc w:val="both"/>
        <w:rPr>
          <w:rFonts w:ascii="Arial" w:hAnsi="Arial" w:cs="Arial"/>
        </w:rPr>
      </w:pPr>
    </w:p>
    <w:p w14:paraId="594416EB" w14:textId="77777777" w:rsidR="00A16A84" w:rsidRPr="00A16A84" w:rsidRDefault="00A16A84" w:rsidP="00A16A84">
      <w:pPr>
        <w:pStyle w:val="Body"/>
        <w:spacing w:after="0"/>
        <w:rPr>
          <w:rFonts w:ascii="Arial" w:hAnsi="Arial" w:cs="Arial"/>
        </w:rPr>
      </w:pPr>
      <w:r w:rsidRPr="00A16A84">
        <w:rPr>
          <w:rFonts w:ascii="Arial" w:hAnsi="Arial" w:cs="Arial"/>
        </w:rPr>
        <w:t xml:space="preserve">Diabetes mellitus (DM) is one of the chronic diseases with the quickest rate of growth in terms of prevalence worldwide. The International Diabetes Federation recently released data showing that 537 million adults worldwide had diabetes in 2021; projections indicate that number would rise to 783 million by 2045. About 30% of people with diabetes develop diabetic retinopathy (DR), a significant microvascular consequence. Thus, DR is a major contributor to adult avoidable vision loss and blindness, especially in higher-income nations </w:t>
      </w:r>
      <w:r w:rsidRPr="00A16A84">
        <w:rPr>
          <w:rFonts w:ascii="Arial" w:hAnsi="Arial" w:cs="Arial"/>
        </w:rPr>
        <w:fldChar w:fldCharType="begin" w:fldLock="1"/>
      </w:r>
      <w:r w:rsidRPr="00A16A84">
        <w:rPr>
          <w:rFonts w:ascii="Arial" w:hAnsi="Arial" w:cs="Arial"/>
        </w:rPr>
        <w:instrText>ADDIN CSL_CITATION {"citationItems":[{"id":"ITEM-1","itemData":{"DOI":"10.3389/fendo.2022.1079217","ISSN":"16642392","PMID":"36589807","abstract":"Diabetic retinopathy (DR) is a leading cause of visual impairment and blindness worldwide. Since DR was first recognized as an important complication of diabetes, there have been many attempts to accurately classify the severity and stages of disease. These historical classification systems evolved as understanding of disease pathophysiology improved, methods of imaging and assessing DR changed, and effective treatments were developed. Current DR classification systems are effective, and have been the basis of major research trials and clinical management guidelines for decades. However, with further new developments such as recognition of diabetic retinal neurodegeneration, new imaging platforms such as optical coherence tomography and ultra wide-field retinal imaging, artificial intelligence and new treatments, our current classification systems have significant limitations that need to be addressed. In this paper, we provide a historical review of different classification systems for DR, and discuss the limitations of our current classification systems in the context of new developments. We also review the implications of new developments in the field, to see how they might feature in a future, updated classification.","author":[{"dropping-particle":"","family":"Yang","given":"Zhengwei","non-dropping-particle":"","parse-names":false,"suffix":""},{"dropping-particle":"","family":"Tan","given":"Tien En","non-dropping-particle":"","parse-names":false,"suffix":""},{"dropping-particle":"","family":"Shao","given":"Yan","non-dropping-particle":"","parse-names":false,"suffix":""},{"dropping-particle":"","family":"Wong","given":"Tien Yin","non-dropping-particle":"","parse-names":false,"suffix":""},{"dropping-particle":"","family":"Li","given":"Xiaorong","non-dropping-particle":"","parse-names":false,"suffix":""}],"container-title":"Frontiers in Endocrinology","id":"ITEM-1","issued":{"date-parts":[["2022","12","16"]]},"publisher":"Frontiers Media S.A.","title":"Classification of diabetic retinopathy: Past, present and future","type":"article","volume":"13"},"uris":["http://www.mendeley.com/documents/?uuid=d62c684a-5ea8-3299-a263-e4985b9f96f4"]}],"mendeley":{"formattedCitation":"(Yang &lt;i&gt;et al.&lt;/i&gt;, 2022)","plainTextFormattedCitation":"(Yang et al., 2022)","previouslyFormattedCitation":"(1)"},"properties":{"noteIndex":0},"schema":"https://github.com/citation-style-language/schema/raw/master/csl-citation.json"}</w:instrText>
      </w:r>
      <w:r w:rsidRPr="00A16A84">
        <w:rPr>
          <w:rFonts w:ascii="Arial" w:hAnsi="Arial" w:cs="Arial"/>
        </w:rPr>
        <w:fldChar w:fldCharType="separate"/>
      </w:r>
      <w:r w:rsidRPr="00A16A84">
        <w:rPr>
          <w:rFonts w:ascii="Arial" w:hAnsi="Arial" w:cs="Arial"/>
        </w:rPr>
        <w:t xml:space="preserve">(Yang </w:t>
      </w:r>
      <w:r w:rsidRPr="00A16A84">
        <w:rPr>
          <w:rFonts w:ascii="Arial" w:hAnsi="Arial" w:cs="Arial"/>
          <w:i/>
        </w:rPr>
        <w:t>et al.</w:t>
      </w:r>
      <w:r w:rsidRPr="00A16A84">
        <w:rPr>
          <w:rFonts w:ascii="Arial" w:hAnsi="Arial" w:cs="Arial"/>
        </w:rPr>
        <w:t>, 2022)</w:t>
      </w:r>
      <w:r w:rsidRPr="00A16A84">
        <w:rPr>
          <w:rFonts w:ascii="Arial" w:hAnsi="Arial" w:cs="Arial"/>
        </w:rPr>
        <w:fldChar w:fldCharType="end"/>
      </w:r>
      <w:r w:rsidRPr="00A16A84">
        <w:rPr>
          <w:rFonts w:ascii="Arial" w:hAnsi="Arial" w:cs="Arial"/>
        </w:rPr>
        <w:t xml:space="preserve">    </w:t>
      </w:r>
    </w:p>
    <w:p w14:paraId="24300985" w14:textId="77777777" w:rsidR="00A16A84" w:rsidRPr="00A16A84" w:rsidRDefault="00A16A84" w:rsidP="00A16A84">
      <w:pPr>
        <w:pStyle w:val="Body"/>
        <w:spacing w:after="0"/>
        <w:rPr>
          <w:rFonts w:ascii="Arial" w:hAnsi="Arial" w:cs="Arial"/>
        </w:rPr>
      </w:pPr>
    </w:p>
    <w:p w14:paraId="61E9E61E" w14:textId="77777777" w:rsidR="00A16A84" w:rsidRPr="00A16A84" w:rsidRDefault="00A16A84" w:rsidP="00A16A84">
      <w:pPr>
        <w:pStyle w:val="Body"/>
        <w:spacing w:after="0"/>
        <w:rPr>
          <w:rFonts w:ascii="Arial" w:hAnsi="Arial" w:cs="Arial"/>
        </w:rPr>
      </w:pPr>
      <w:r w:rsidRPr="00A16A84">
        <w:rPr>
          <w:rFonts w:ascii="Arial" w:hAnsi="Arial" w:cs="Arial"/>
        </w:rPr>
        <w:t>Diabetic retinopathy (DR) is the one of the most common microvascular consequences of diabetes mellitus, which primarily affects people with Type 2 diabetes mellitus (T2DM)</w:t>
      </w:r>
      <w:r w:rsidR="002B395B">
        <w:rPr>
          <w:rFonts w:ascii="Arial" w:hAnsi="Arial" w:cs="Arial"/>
        </w:rPr>
        <w:t xml:space="preserve"> </w:t>
      </w:r>
      <w:r w:rsidRPr="00A16A84">
        <w:rPr>
          <w:rFonts w:ascii="Arial" w:hAnsi="Arial" w:cs="Arial"/>
        </w:rPr>
        <w:fldChar w:fldCharType="begin" w:fldLock="1"/>
      </w:r>
      <w:r w:rsidRPr="00A16A84">
        <w:rPr>
          <w:rFonts w:ascii="Arial" w:hAnsi="Arial" w:cs="Arial"/>
        </w:rPr>
        <w:instrText>ADDIN CSL_CITATION {"citationItems":[{"id":"ITEM-1","itemData":{"DOI":"10.1016/j.mcpsp.2023.100371","ISSN":"26039249","abstract":"Background: Retinopathy is one of the most common microvascular complications caused by diabetes, which occurs due to changes in blood capillaries. One of the most important factors to determine the progression of retinopathy is measuring HbA1C. This study aimed to investigate the relationship between glycosylated hemoglobin levels, blood pressure (systolic and diastolic), and triglycerides with DRP in the population of diabetic patients. Methods: This descriptive and analytical study was conducted on 80 diabetic patients referred to Hafiz Sabzevar Diabetes Clinic in 1400. Based on fundoscopic examination, patients were divided into three general categories: patients without retinopathy, patients with proliferative diabetic retinopathy, and patients with non-proliferative retinopathy. Patient information was collected through a demographic questionnaire (including age, sex, insulin or oral drug use, and fasting blood sugar level) and a researcher-made checklist (including HbA1C, systolic blood pressure, diastolic blood pressure and triglycerides). Data were analyzed with spss 28. Descriptive statistical tests, ANOVA and Bonferroni's post hoc test were used for analysis. Results: The results of the study showed that there is a significant difference in HbA1C, SBP and DBP levels between the three groups (P = 0.000). Post Hoc (Bonferroni) test was used to accurately determine this significant difference. The data showed that both retinopathy groups (NPDR and PDR) had higher levels of HbA1C and blood pressure (SBP and DBP) compared to the non-retinopathy group and this difference was statistically significant (P = 0.000). However, there was no significant difference between the three groups in terms of triglyceride levels (P = 0.96). Conclusion: High levels of glycosylated hemoglobin, systolic and diastolic blood pressure play an important role in the occurrence of diabetic retinopathy. Therefore, it is recommended to carefully control blood sugar and blood pressure of diabetic patients in order to prevent the occurrence of retinopathy.","author":[{"dropping-particle":"","family":"Poshtchaman","given":"Faeze","non-dropping-particle":"","parse-names":false,"suffix":""},{"dropping-particle":"","family":"Dehnabi","given":"Alemeh","non-dropping-particle":"","parse-names":false,"suffix":""},{"dropping-particle":"","family":"Poshtchaman","given":"Zahra","non-dropping-particle":"","parse-names":false,"suffix":""},{"dropping-particle":"","family":"Birjandi","given":"Batul","non-dropping-particle":"","parse-names":false,"suffix":""}],"container-title":"Medicina Clinica Practica","id":"ITEM-1","issue":"3","issued":{"date-parts":[["2023"]]},"title":", proliferative and non-proliferative retinopathy in diabetic patientHbA1Cs","type":"article-journal","volume":"6"},"uris":["http://www.mendeley.com/documents/?uuid=4ca71ffa-db44-34f1-ae1d-be5105a7e8b9"]}],"mendeley":{"formattedCitation":"(Poshtchaman &lt;i&gt;et al.&lt;/i&gt;, 2023)","plainTextFormattedCitation":"(Poshtchaman et al., 2023)","previouslyFormattedCitation":"(2)"},"properties":{"noteIndex":0},"schema":"https://github.com/citation-style-language/schema/raw/master/csl-citation.json"}</w:instrText>
      </w:r>
      <w:r w:rsidRPr="00A16A84">
        <w:rPr>
          <w:rFonts w:ascii="Arial" w:hAnsi="Arial" w:cs="Arial"/>
        </w:rPr>
        <w:fldChar w:fldCharType="separate"/>
      </w:r>
      <w:r w:rsidRPr="00A16A84">
        <w:rPr>
          <w:rFonts w:ascii="Arial" w:hAnsi="Arial" w:cs="Arial"/>
        </w:rPr>
        <w:t xml:space="preserve">(Poshtchaman </w:t>
      </w:r>
      <w:r w:rsidRPr="00A16A84">
        <w:rPr>
          <w:rFonts w:ascii="Arial" w:hAnsi="Arial" w:cs="Arial"/>
          <w:i/>
        </w:rPr>
        <w:t>et al.</w:t>
      </w:r>
      <w:r w:rsidRPr="00A16A84">
        <w:rPr>
          <w:rFonts w:ascii="Arial" w:hAnsi="Arial" w:cs="Arial"/>
        </w:rPr>
        <w:t>, 2023)</w:t>
      </w:r>
      <w:r w:rsidRPr="00A16A84">
        <w:rPr>
          <w:rFonts w:ascii="Arial" w:hAnsi="Arial" w:cs="Arial"/>
        </w:rPr>
        <w:fldChar w:fldCharType="end"/>
      </w:r>
      <w:r w:rsidRPr="00A16A84">
        <w:rPr>
          <w:rFonts w:ascii="Arial" w:hAnsi="Arial" w:cs="Arial"/>
        </w:rPr>
        <w:t>. Prolonged hyperglycemia causes damage to the blood vessels that supply the retina, which, if left untreated, can result in blindness or vision impairment. This complex disorder is the outcome. DR is classified into two types: proliferative diabetic retinopathy (PDR), which is more severe and is characteri</w:t>
      </w:r>
      <w:r>
        <w:rPr>
          <w:rFonts w:ascii="Arial" w:hAnsi="Arial" w:cs="Arial"/>
        </w:rPr>
        <w:t>zed by the formation of new</w:t>
      </w:r>
      <w:r w:rsidRPr="00A16A84">
        <w:rPr>
          <w:rFonts w:ascii="Arial" w:hAnsi="Arial" w:cs="Arial"/>
        </w:rPr>
        <w:t xml:space="preserve"> blood vessels on the retina, and non-proliferative diabetic retinopathy (NPDR)</w:t>
      </w:r>
      <w:r w:rsidRPr="00A16A84">
        <w:rPr>
          <w:rFonts w:ascii="Arial" w:hAnsi="Arial" w:cs="Arial"/>
        </w:rPr>
        <w:fldChar w:fldCharType="begin" w:fldLock="1"/>
      </w:r>
      <w:r w:rsidRPr="00A16A84">
        <w:rPr>
          <w:rFonts w:ascii="Arial" w:hAnsi="Arial" w:cs="Arial"/>
        </w:rPr>
        <w:instrText>ADDIN CSL_CITATION {"citationItems":[{"id":"ITEM-1","itemData":{"DOI":"10.3389/fendo.2022.1079217","ISSN":"16642392","PMID":"36589807","abstract":"Diabetic retinopathy (DR) is a leading cause of visual impairment and blindness worldwide. Since DR was first recognized as an important complication of diabetes, there have been many attempts to accurately classify the severity and stages of disease. These historical classification systems evolved as understanding of disease pathophysiology improved, methods of imaging and assessing DR changed, and effective treatments were developed. Current DR classification systems are effective, and have been the basis of major research trials and clinical management guidelines for decades. However, with further new developments such as recognition of diabetic retinal neurodegeneration, new imaging platforms such as optical coherence tomography and ultra wide-field retinal imaging, artificial intelligence and new treatments, our current classification systems have significant limitations that need to be addressed. In this paper, we provide a historical review of different classification systems for DR, and discuss the limitations of our current classification systems in the context of new developments. We also review the implications of new developments in the field, to see how they might feature in a future, updated classification.","author":[{"dropping-particle":"","family":"Yang","given":"Zhengwei","non-dropping-particle":"","parse-names":false,"suffix":""},{"dropping-particle":"","family":"Tan","given":"Tien En","non-dropping-particle":"","parse-names":false,"suffix":""},{"dropping-particle":"","family":"Shao","given":"Yan","non-dropping-particle":"","parse-names":false,"suffix":""},{"dropping-particle":"","family":"Wong","given":"Tien Yin","non-dropping-particle":"","parse-names":false,"suffix":""},{"dropping-particle":"","family":"Li","given":"Xiaorong","non-dropping-particle":"","parse-names":false,"suffix":""}],"container-title":"Frontiers in Endocrinology","id":"ITEM-1","issued":{"date-parts":[["2022","12","16"]]},"publisher":"Frontiers Media S.A.","title":"Classification of diabetic retinopathy: Past, present and future","type":"article","volume":"13"},"uris":["http://www.mendeley.com/documents/?uuid=d62c684a-5ea8-3299-a263-e4985b9f96f4"]}],"mendeley":{"formattedCitation":"(Yang &lt;i&gt;et al.&lt;/i&gt;, 2022)","plainTextFormattedCitation":"(Yang et al., 2022)","previouslyFormattedCitation":"(1)"},"properties":{"noteIndex":0},"schema":"https://github.com/citation-style-language/schema/raw/master/csl-citation.json"}</w:instrText>
      </w:r>
      <w:r w:rsidRPr="00A16A84">
        <w:rPr>
          <w:rFonts w:ascii="Arial" w:hAnsi="Arial" w:cs="Arial"/>
        </w:rPr>
        <w:fldChar w:fldCharType="separate"/>
      </w:r>
      <w:r w:rsidRPr="00A16A84">
        <w:rPr>
          <w:rFonts w:ascii="Arial" w:hAnsi="Arial" w:cs="Arial"/>
        </w:rPr>
        <w:t xml:space="preserve">(Yang </w:t>
      </w:r>
      <w:r w:rsidRPr="00A16A84">
        <w:rPr>
          <w:rFonts w:ascii="Arial" w:hAnsi="Arial" w:cs="Arial"/>
          <w:i/>
        </w:rPr>
        <w:t>et al.</w:t>
      </w:r>
      <w:r w:rsidRPr="00A16A84">
        <w:rPr>
          <w:rFonts w:ascii="Arial" w:hAnsi="Arial" w:cs="Arial"/>
        </w:rPr>
        <w:t>, 2022)</w:t>
      </w:r>
      <w:r w:rsidRPr="00A16A84">
        <w:rPr>
          <w:rFonts w:ascii="Arial" w:hAnsi="Arial" w:cs="Arial"/>
        </w:rPr>
        <w:fldChar w:fldCharType="end"/>
      </w:r>
    </w:p>
    <w:p w14:paraId="652DEC94" w14:textId="77777777" w:rsidR="00A16A84" w:rsidRPr="00A16A84" w:rsidRDefault="00A16A84" w:rsidP="00A16A84">
      <w:pPr>
        <w:pStyle w:val="Body"/>
        <w:spacing w:after="0"/>
        <w:rPr>
          <w:rFonts w:ascii="Arial" w:hAnsi="Arial" w:cs="Arial"/>
        </w:rPr>
      </w:pPr>
    </w:p>
    <w:p w14:paraId="2DD9E83F" w14:textId="77777777" w:rsidR="00A16A84" w:rsidRPr="00A16A84" w:rsidRDefault="00A16A84" w:rsidP="00A16A84">
      <w:pPr>
        <w:pStyle w:val="Body"/>
        <w:spacing w:after="0"/>
        <w:rPr>
          <w:rFonts w:ascii="Arial" w:hAnsi="Arial" w:cs="Arial"/>
        </w:rPr>
      </w:pPr>
      <w:r w:rsidRPr="00A16A84">
        <w:rPr>
          <w:rFonts w:ascii="Arial" w:hAnsi="Arial" w:cs="Arial"/>
        </w:rPr>
        <w:t>The majority of those impacted are those who have been diagnosed with Type 2 diabetes mellitus, a condition whose incidence has increased dramatically worldwide due to sedentary lifestyles, poor eating habits, and an aging population. Extended periods of diabetes, inadequate glycemic management, hypertension, dyslipidemia, and genetic predispositions are risk factors for the onset and advancement of diabetic retinopathy (DR). In addition, the risk is increased by lifestyle choices including obesity and smoking</w:t>
      </w:r>
      <w:r w:rsidRPr="00A16A84">
        <w:rPr>
          <w:rFonts w:ascii="Arial" w:hAnsi="Arial" w:cs="Arial"/>
        </w:rPr>
        <w:fldChar w:fldCharType="begin" w:fldLock="1"/>
      </w:r>
      <w:r w:rsidRPr="00A16A84">
        <w:rPr>
          <w:rFonts w:ascii="Arial" w:hAnsi="Arial" w:cs="Arial"/>
        </w:rPr>
        <w:instrText>ADDIN CSL_CITATION {"citationItems":[{"id":"ITEM-1","itemData":{"abstract":"Background: Type 2 diabetes mellitus (T2DM) mostly occurs in adults when the body becomes resistant to insulin. Genetic predisposition, age, an unhealthy diet, and a sedentary lifestyle are key factors leading to T2DM. Office workers are one of the populations at greatest risk of developing T2DM. This study assessed the level of knowledge and risk factors for T2DM among office workers in Mwanza City, Tanzania. Methods: A cross-sectional study was conducted among 309 office workers in public and private institutions in Mwanza City. A structured, pre-tested questionnaire was used to collect information from the participants. The coded data were analyzed using STATA Version 14. The associations between various risk factors for T2DM and knowledge on T2DM were determined using Chi-square or Fisher's exact tests. Results: The level of knowledge was poor in 41.1%, moderate in 31.1%, and good in 27.8% of the study participants. Family history of T2DM showed a significant association with knowledge score (P=.001). Only 63 (20.4%) of respondents reported eating a healthy diet. Among the study participants, 154 (49.8%) had poor diabetes prevention practices, 82 (26.5%) had moderate practices, and 73 (23.7%) had good practices. Conclusion: The majority of the office workers who participated in this study had limited knowledge regarding risk factors for T2DM and poor practices concerning the prevention of the disease. In order to reduce the burden of T2DM, there is a need for lifestyle modification, provision of education, and raising awareness about the risk factors of T2DM among office workers in Mwanza City.","author":[{"dropping-particle":"","family":"Dika","given":"Haruna","non-dropping-particle":"","parse-names":false,"suffix":""},{"dropping-particle":"","family":"Deogratias","given":"Magdalena","non-dropping-particle":"","parse-names":false,"suffix":""},{"dropping-particle":"","family":"Byamungu","given":"Daniel","non-dropping-particle":"","parse-names":false,"suffix":""},{"dropping-particle":"","family":"Marwa","given":"Karol","non-dropping-particle":"","parse-names":false,"suffix":""},{"dropping-particle":"","family":"Kapesa","given":"Anthony","non-dropping-particle":"","parse-names":false,"suffix":""},{"dropping-particle":"","family":"Mwita","given":"Stanley","non-dropping-particle":"","parse-names":false,"suffix":""}],"id":"ITEM-1","issued":{"date-parts":[["0"]]},"title":"Practice and Knowledge on Type 2 Diabetes Mellitus Risk Factors Among Office Workers in Mwanza City, Tanzania","type":"report"},"uris":["http://www.mendeley.com/documents/?uuid=8989b384-b629-34c5-b7ee-73d897b0c320"]}],"mendeley":{"formattedCitation":"(Dika &lt;i&gt;et al.&lt;/i&gt;, no date)","manualFormatting":"(Dika et al., n.d 2023)","plainTextFormattedCitation":"(Dika et al., no date)","previouslyFormattedCitation":"(3)"},"properties":{"noteIndex":0},"schema":"https://github.com/citation-style-language/schema/raw/master/csl-citation.json"}</w:instrText>
      </w:r>
      <w:r w:rsidRPr="00A16A84">
        <w:rPr>
          <w:rFonts w:ascii="Arial" w:hAnsi="Arial" w:cs="Arial"/>
        </w:rPr>
        <w:fldChar w:fldCharType="separate"/>
      </w:r>
      <w:r w:rsidRPr="00A16A84">
        <w:rPr>
          <w:rFonts w:ascii="Arial" w:hAnsi="Arial" w:cs="Arial"/>
        </w:rPr>
        <w:t>(Dika et al., n.d 2023)</w:t>
      </w:r>
      <w:r w:rsidRPr="00A16A84">
        <w:rPr>
          <w:rFonts w:ascii="Arial" w:hAnsi="Arial" w:cs="Arial"/>
        </w:rPr>
        <w:fldChar w:fldCharType="end"/>
      </w:r>
      <w:r w:rsidRPr="00A16A84">
        <w:rPr>
          <w:rFonts w:ascii="Arial" w:hAnsi="Arial" w:cs="Arial"/>
        </w:rPr>
        <w:t xml:space="preserve"> Diabetic retinopathy (DR) can have serious implications, varying from a slight blurring of vision to permanent visual loss. Vitreous hemorrhage, tractional retinal detachment, and diabetic macular edema (DME) are among the complications. These affect daily functioning, visual acuity, and quality of life</w:t>
      </w:r>
      <w:r w:rsidRPr="00A16A84">
        <w:rPr>
          <w:rFonts w:ascii="Arial" w:hAnsi="Arial" w:cs="Arial"/>
        </w:rPr>
        <w:fldChar w:fldCharType="begin" w:fldLock="1"/>
      </w:r>
      <w:r w:rsidRPr="00A16A84">
        <w:rPr>
          <w:rFonts w:ascii="Arial" w:hAnsi="Arial" w:cs="Arial"/>
        </w:rPr>
        <w:instrText>ADDIN CSL_CITATION {"citationItems":[{"id":"ITEM-1","itemData":{"DOI":"10.1136/bmjdrc-2023-003758","ISSN":"20524897","PMID":"38167606","abstract":"Introduction Diabetic retinopathy (DR) is a leading cause of preventable blindness among working-age adults, primarily driven by ocular microvascular complications from chronic hyperglycemia. Comprehending the complex relationship between microvascular changes in the eye and disease progression poses challenges, traditional methods assuming linear or logistical relationships may not adequately capture the intricate interactions between these changes and disease advances. Hence, the aim of this study was to evaluate the microvascular involvement of diabetes mellitus (DM) and non-proliferative DR with the implementation of non-parametric machine learning methods. Research design and methods We conducted a retrospective cohort study that included optical coherence tomography angiography (OCTA) images collected from a healthy group (196 eyes), a DM no DR group (120 eyes), a mild DR group (71 eyes), and a moderate DR group (66 eyes). We implemented a non-parametric machine learning method for four classification tasks that used parameters extracted from the OCTA images as predictors: DM no DR versus healthy, mild DR versus DM no DR, moderate DR versus mild DR, and any DR versus no DR. SHapley Additive exPlanations values were used to determine the importance of these parameters in the classification. Results We found large choriocapillaris flow deficits were the most important for healthy versus DM no DR, and became less important in eyes with mild or moderate DR. The superficial microvasculature was important for the healthy versus DM no DR and mild DR versus moderate DR tasks, but not for the DM no DR versus mild DR task-the stage when deep microvasculature plays an important role. Foveal avascular zone metric was in general less affected, but its involvement increased with worsening DR. Conclusions The findings from this study provide valuable insights into the microvascular involvement of DM and DR, facilitating the development of early detection methods and intervention strategies.","author":[{"dropping-particle":"","family":"Ahmed","given":"Thiara S.","non-dropping-particle":"","parse-names":false,"suffix":""},{"dropping-particle":"","family":"Shah","given":"Janika","non-dropping-particle":"","parse-names":false,"suffix":""},{"dropping-particle":"","family":"Zhen","given":"Yvonne N.B.","non-dropping-particle":"","parse-names":false,"suffix":""},{"dropping-particle":"","family":"Chua","given":"Jacqueline","non-dropping-particle":"","parse-names":false,"suffix":""},{"dropping-particle":"","family":"Wong","given":"Damon W.K.","non-dropping-particle":"","parse-names":false,"suffix":""},{"dropping-particle":"","family":"Nusinovici","given":"Simon","non-dropping-particle":"","parse-names":false,"suffix":""},{"dropping-particle":"","family":"Tan","given":"Rose","non-dropping-particle":"","parse-names":false,"suffix":""},{"dropping-particle":"","family":"Tan","given":"Gavin","non-dropping-particle":"","parse-names":false,"suffix":""},{"dropping-particle":"","family":"Schmetterer","given":"Leopold","non-dropping-particle":"","parse-names":false,"suffix":""},{"dropping-particle":"","family":"Tan","given":"Bingyao","non-dropping-particle":"","parse-names":false,"suffix":""}],"container-title":"BMJ Open Diabetes Research and Care","id":"ITEM-1","issue":"1","issued":{"date-parts":[["2024","1","2"]]},"publisher":"BMJ Publishing Group","title":"Ocular microvascular complications in diabetic retinopathy: insights from machine learning","type":"article-journal","volume":"12"},"uris":["http://www.mendeley.com/documents/?uuid=11c33976-0839-368c-8703-1da16f241c72"]}],"mendeley":{"formattedCitation":"(Ahmed &lt;i&gt;et al.&lt;/i&gt;, 2024)","plainTextFormattedCitation":"(Ahmed et al., 2024)","previouslyFormattedCitation":"(4)"},"properties":{"noteIndex":0},"schema":"https://github.com/citation-style-language/schema/raw/master/csl-citation.json"}</w:instrText>
      </w:r>
      <w:r w:rsidRPr="00A16A84">
        <w:rPr>
          <w:rFonts w:ascii="Arial" w:hAnsi="Arial" w:cs="Arial"/>
        </w:rPr>
        <w:fldChar w:fldCharType="separate"/>
      </w:r>
      <w:r w:rsidRPr="00A16A84">
        <w:rPr>
          <w:rFonts w:ascii="Arial" w:hAnsi="Arial" w:cs="Arial"/>
        </w:rPr>
        <w:t xml:space="preserve">(Ahmed </w:t>
      </w:r>
      <w:r w:rsidRPr="00A16A84">
        <w:rPr>
          <w:rFonts w:ascii="Arial" w:hAnsi="Arial" w:cs="Arial"/>
          <w:i/>
        </w:rPr>
        <w:t>et al.</w:t>
      </w:r>
      <w:r w:rsidRPr="00A16A84">
        <w:rPr>
          <w:rFonts w:ascii="Arial" w:hAnsi="Arial" w:cs="Arial"/>
        </w:rPr>
        <w:t>, 2024)</w:t>
      </w:r>
      <w:r w:rsidRPr="00A16A84">
        <w:rPr>
          <w:rFonts w:ascii="Arial" w:hAnsi="Arial" w:cs="Arial"/>
        </w:rPr>
        <w:fldChar w:fldCharType="end"/>
      </w:r>
    </w:p>
    <w:p w14:paraId="1BAF83BE" w14:textId="77777777" w:rsidR="00A16A84" w:rsidRPr="00A16A84" w:rsidRDefault="00A16A84" w:rsidP="00A16A84">
      <w:pPr>
        <w:pStyle w:val="Body"/>
        <w:spacing w:after="0"/>
        <w:rPr>
          <w:rFonts w:ascii="Arial" w:hAnsi="Arial" w:cs="Arial"/>
        </w:rPr>
      </w:pPr>
    </w:p>
    <w:p w14:paraId="375DD51C" w14:textId="77777777" w:rsidR="00A16A84" w:rsidRPr="00A16A84" w:rsidRDefault="00A16A84" w:rsidP="00A16A84">
      <w:pPr>
        <w:pStyle w:val="Body"/>
        <w:spacing w:after="0"/>
        <w:rPr>
          <w:rFonts w:ascii="Arial" w:hAnsi="Arial" w:cs="Arial"/>
        </w:rPr>
      </w:pPr>
      <w:r w:rsidRPr="00A16A84">
        <w:rPr>
          <w:rFonts w:ascii="Arial" w:hAnsi="Arial" w:cs="Arial"/>
        </w:rPr>
        <w:t>It has been suggested that serum magnesium levels has been indicated as the risk of DR. After potassium, magnesium is the second-largest intracellular cation in the human body. More than 600 enzymes use it as a cofactor, and more than 200 enzymes use it as an activator. Furthermore, magnesium is involved in numerous metabolic processes, such as insulin signal transduction, b-oxidation, and glycolysis</w:t>
      </w:r>
      <w:r w:rsidRPr="00A16A84">
        <w:rPr>
          <w:rFonts w:ascii="Arial" w:hAnsi="Arial" w:cs="Arial"/>
        </w:rPr>
        <w:fldChar w:fldCharType="begin" w:fldLock="1"/>
      </w:r>
      <w:r w:rsidRPr="00A16A84">
        <w:rPr>
          <w:rFonts w:ascii="Arial" w:hAnsi="Arial" w:cs="Arial"/>
        </w:rPr>
        <w:instrText>ADDIN CSL_CITATION {"citationItems":[{"id":"ITEM-1","itemData":{"DOI":"10.3389/fmed.2022.923282","ISSN":"2296858X","abstract":"Serum magnesium levels have been reported to reflect the risk of diabetic retinopathy (DR); however, the effect of serum magnesium level on diabetic macular edema (DME) remains unclear. Here, we investigated the association between the serum magnesium levels and DME in patients with DR. Patients with DR were recruited between January 2018 and June 2021. A total of 519 such patients were included in this study. All patients underwent a standardized clinical ophthalmic examination by an experienced ophthalmologist, and an assay was conducted to determine the serum magnesium concentration. Compared with the non-DME group, the DME group had a higher proportion of insulin use and a higher level of serum ischemia-modified albumin and fasting plasma glucose. The serum magnesium and calcium levels were lower in the DME group than in the non-DME group (P &lt; 0.05). Higher magnesium levels were negatively associated with DME after adjustment for relevant covariates. Compared with the participants in the lowest magnesium quartile, those in the fourth quartile showed a significantly lower risk of DME after adjustment [odds ratio (OR), 0.294; 95% confidence interval, 0.153–0.566; P &lt; 0.0001]. Considering the potentially different effects of serum magnesium on the development of DME in patients with DR based on age, DR staging and insulin use, stratified analysis was performed by considering these factors. Among insulin-using patients with non-proliferative DR who were &lt; 66 years of age, those in the third and fourth quartile of serum magnesium were less likely to develop DME than those in the lowest quartile of serum magnesium [OR (95% CI), 0.095 (0.014–0.620), 0.057 (0.011–0.305); P = 0.014, 0.001]. Overall, a higher serum magnesium level was associated with a lower risk of DME in patients with DR. Furthermore, patients with DR who used insulin were more likely to develop DME. Long-term studies on oral magnesium supplements are needed to determine whether maintaining the serum magnesium levels in a higher physiological range can reduce the risk of DME in patients with DR.","author":[{"dropping-particle":"","family":"Xiang","given":"Xiaoli","non-dropping-particle":"","parse-names":false,"suffix":""},{"dropping-particle":"","family":"Ji","given":"Zijia","non-dropping-particle":"","parse-names":false,"suffix":""},{"dropping-particle":"","family":"Jiang","given":"Tingwang","non-dropping-particle":"","parse-names":false,"suffix":""},{"dropping-particle":"","family":"Huang","given":"Zhengru","non-dropping-particle":"","parse-names":false,"suffix":""},{"dropping-particle":"","family":"Yan","given":"Jing","non-dropping-particle":"","parse-names":false,"suffix":""}],"container-title":"Frontiers in Medicine","id":"ITEM-1","issued":{"date-parts":[["2022","9","20"]]},"publisher":"Frontiers Media S.A.","title":"Reduced serum magnesium is associated with the occurrence of diabetic macular edema in patients with diabetic retinopathy: A retrospective study","type":"article-journal","volume":"9"},"uris":["http://www.mendeley.com/documents/?uuid=5c8d8d82-1a34-363a-8667-1284af4bce12"]}],"mendeley":{"formattedCitation":"(Xiang &lt;i&gt;et al.&lt;/i&gt;, 2022)","plainTextFormattedCitation":"(Xiang et al., 2022)","previouslyFormattedCitation":"(5)"},"properties":{"noteIndex":0},"schema":"https://github.com/citation-style-language/schema/raw/master/csl-citation.json"}</w:instrText>
      </w:r>
      <w:r w:rsidRPr="00A16A84">
        <w:rPr>
          <w:rFonts w:ascii="Arial" w:hAnsi="Arial" w:cs="Arial"/>
        </w:rPr>
        <w:fldChar w:fldCharType="separate"/>
      </w:r>
      <w:r w:rsidRPr="00A16A84">
        <w:rPr>
          <w:rFonts w:ascii="Arial" w:hAnsi="Arial" w:cs="Arial"/>
        </w:rPr>
        <w:t xml:space="preserve">(Xiang </w:t>
      </w:r>
      <w:r w:rsidRPr="00A16A84">
        <w:rPr>
          <w:rFonts w:ascii="Arial" w:hAnsi="Arial" w:cs="Arial"/>
          <w:i/>
        </w:rPr>
        <w:t>et al.</w:t>
      </w:r>
      <w:r w:rsidRPr="00A16A84">
        <w:rPr>
          <w:rFonts w:ascii="Arial" w:hAnsi="Arial" w:cs="Arial"/>
        </w:rPr>
        <w:t>, 2022)</w:t>
      </w:r>
      <w:r w:rsidRPr="00A16A84">
        <w:rPr>
          <w:rFonts w:ascii="Arial" w:hAnsi="Arial" w:cs="Arial"/>
        </w:rPr>
        <w:fldChar w:fldCharType="end"/>
      </w:r>
      <w:r w:rsidRPr="00A16A84">
        <w:rPr>
          <w:rFonts w:ascii="Arial" w:hAnsi="Arial" w:cs="Arial"/>
        </w:rPr>
        <w:t>. Magnesium plays a protective role in the retina by promoting vasodilation through inhibition of endothelin-1 and enhancing nitric oxide production, thereby increasing retinal blood flow. It protect retinal neurons from glutamate- induced excitotoxicity and calcium overload  by blocking NMDA(N-methyl-D-aspartate) receptors</w:t>
      </w:r>
      <w:r w:rsidRPr="00A16A84">
        <w:rPr>
          <w:rFonts w:ascii="Arial" w:hAnsi="Arial" w:cs="Arial"/>
        </w:rPr>
        <w:fldChar w:fldCharType="begin" w:fldLock="1"/>
      </w:r>
      <w:r w:rsidRPr="00A16A84">
        <w:rPr>
          <w:rFonts w:ascii="Arial" w:hAnsi="Arial" w:cs="Arial"/>
        </w:rPr>
        <w:instrText>ADDIN CSL_CITATION {"citationItems":[{"id":"ITEM-1","itemData":{"DOI":"10.5799/ahinjs.01.2013.02.0277","abstract":"ÖZET Magnezyum hücre zar fonksiyonlarını, düz kas kontrak-siyonlarını ve enzimatik reaksiyonları etkileyerek pek çok metabolik sürece katılan fizyolojik bir kalsiyum kanal blokörüdür. Magnezyumun Endothelin-1 (ET-1) ve Nitrik Oksit (NO) yolakları vasıtasıyla endotel fonksiyonları-nı modifiye ederek dokulara kan akımında artışa neden olduğu gösterilmiştir. Magnezyum aynı zamanda N-me-til-D-aspartat (NMDA) reseptör ilişkili kalsiyum içe akımı-nı bloke ederek ve glutamat serbestleşmesini önleyerek nöroprotektif rol oynamakta ve hücreleri oksidatif stres ve apoptoza karşı korumaktadır. Hem kan akımında artışa neden olması hem de nöroprotektif etkileri magnezyumu glokom çalışmaları için iyi bir hedef molekül yapmaktadır. Magnezyumun retinada oksidatif stresi ve apoptozu azalt-tığı ve ganglion koruyucu etkileri olduğu gösterilmiştir. Bir takım çalışmalarda aynı zamanda magnezyumun diabe-tik hastalarda insulin resistansını azalttığı, glisemik kont-rolü kolaylaştırdığı ve retinopatiyi önlediği gösterilmiştir. Magnezyumun lensteki iyon dengesinin sağlanmasında kritik önemi belirlenmiştir. Magnezyum eksikliğinin lenti-küler oksidatif stresi arttırdığı ve iyon dengesini bozarak katarakt oluşumuna neden olduğu gösterilmiştir. Anahtar kelimeler: Magnezyum, kalsiyum kanal blokajı, glokom, nöroproteksiyon, diabetik retinopati, katarakt ABSTRACT Magnesium is the physiologic calcium channel blocker, involving in many different metabolic processes by main-taining cell membrane function, modulating smooth mus-cle contraction and influencing enzymatic activities. Mag-nesium has been shown to increase blood flow to tissues by modifying endothelial function via endothelin-1 (ET-1) and nitric Oxide (NO) pathways. Magnesium also exhib-its neuroprotective role by blocking N-methyl-D-aspartate (NMDA) receptor related calcium influx and by inhibiting the release of glutamate, hence protects the cell against oxidative stress and apoptosis. Both increase in blood flow and its neuroprotective effect make magnesium a good candidate for glaucoma studies. Magnesium has been shown to decrease oxidative stress and apoptosis in retinal tissue and to have retinal ganglion cell spar-ing effect. A series of studies has been conducted about magnesium could decrease insulin resistance in diabetic patients, ease glycemia control and prevent diabetic reti-nopathy. Magnesium is found to be critically important in maintaining normal ionic homeostasis of lens. Magnesium deficiency has been shown to…","author":[{"dropping-particle":"","family":"Korkmaz","given":"Şafak","non-dropping-particle":"","parse-names":false,"suffix":""},{"dropping-particle":"","family":"Ekici","given":"Feyzahan","non-dropping-particle":"","parse-names":false,"suffix":""},{"dropping-particle":"","family":"Tufan","given":"Hasan Ali","non-dropping-particle":"","parse-names":false,"suffix":""},{"dropping-particle":"","family":"Aydın","given":"Bahri","non-dropping-particle":"","parse-names":false,"suffix":""}],"container-title":"Journal of Clinical and Experimental Investigations","id":"ITEM-1","issue":"2","issued":{"date-parts":[["2014"]]},"page":"244-251","title":"Magnesium: Effect on ocular health as a calcium channel antagonist","type":"article-journal","volume":"4"},"uris":["http://www.mendeley.com/documents/?uuid=8866e9a8-ae7b-4e73-b61e-238037181a76"]}],"mendeley":{"formattedCitation":"(Korkmaz &lt;i&gt;et al.&lt;/i&gt;, 2014)","plainTextFormattedCitation":"(Korkmaz et al., 2014)","previouslyFormattedCitation":"(6)"},"properties":{"noteIndex":0},"schema":"https://github.com/citation-style-language/schema/raw/master/csl-citation.json"}</w:instrText>
      </w:r>
      <w:r w:rsidRPr="00A16A84">
        <w:rPr>
          <w:rFonts w:ascii="Arial" w:hAnsi="Arial" w:cs="Arial"/>
        </w:rPr>
        <w:fldChar w:fldCharType="separate"/>
      </w:r>
      <w:r w:rsidRPr="00A16A84">
        <w:rPr>
          <w:rFonts w:ascii="Arial" w:hAnsi="Arial" w:cs="Arial"/>
        </w:rPr>
        <w:t xml:space="preserve">(Korkmaz </w:t>
      </w:r>
      <w:r w:rsidRPr="00A16A84">
        <w:rPr>
          <w:rFonts w:ascii="Arial" w:hAnsi="Arial" w:cs="Arial"/>
          <w:i/>
        </w:rPr>
        <w:t>et al.</w:t>
      </w:r>
      <w:r w:rsidRPr="00A16A84">
        <w:rPr>
          <w:rFonts w:ascii="Arial" w:hAnsi="Arial" w:cs="Arial"/>
        </w:rPr>
        <w:t>, 2014)</w:t>
      </w:r>
      <w:r w:rsidRPr="00A16A84">
        <w:rPr>
          <w:rFonts w:ascii="Arial" w:hAnsi="Arial" w:cs="Arial"/>
        </w:rPr>
        <w:fldChar w:fldCharType="end"/>
      </w:r>
    </w:p>
    <w:p w14:paraId="25C558C8" w14:textId="77777777" w:rsidR="00A16A84" w:rsidRPr="00A16A84" w:rsidRDefault="00A16A84" w:rsidP="00A16A84">
      <w:pPr>
        <w:pStyle w:val="Body"/>
        <w:spacing w:after="0"/>
        <w:rPr>
          <w:rFonts w:ascii="Arial" w:hAnsi="Arial" w:cs="Arial"/>
        </w:rPr>
      </w:pPr>
    </w:p>
    <w:p w14:paraId="1EEBC0AF" w14:textId="77777777" w:rsidR="00A16A84" w:rsidRPr="00A16A84" w:rsidRDefault="00A16A84" w:rsidP="00A16A84">
      <w:pPr>
        <w:pStyle w:val="Body"/>
        <w:spacing w:after="0"/>
        <w:rPr>
          <w:rFonts w:ascii="Arial" w:hAnsi="Arial" w:cs="Arial"/>
        </w:rPr>
      </w:pPr>
      <w:r w:rsidRPr="00A16A84">
        <w:rPr>
          <w:rFonts w:ascii="Arial" w:hAnsi="Arial" w:cs="Arial"/>
        </w:rPr>
        <w:t>The possible preventative and therapeutic roles of micronutrients, such as magnesium, in the management of type 2 diabetes mellitus (T2DM) and associated consequences have drawn attention. T2DM has been linked to abnormalities in magnesium metabolism. Magnesium plays a critical role in glucose metabolism by promoting the activity of enzymatic systems and facilitating insulin action. Hyperglycemia-induced cellular magnesium depletion and increased urinary magnesium losses are two processes via which hypomagnesemia can be resulted, in T2DM patients, leads to insulin resistance</w:t>
      </w:r>
      <w:r w:rsidRPr="00A16A84">
        <w:rPr>
          <w:rFonts w:ascii="Arial" w:hAnsi="Arial" w:cs="Arial"/>
        </w:rPr>
        <w:fldChar w:fldCharType="begin" w:fldLock="1"/>
      </w:r>
      <w:r w:rsidRPr="00A16A84">
        <w:rPr>
          <w:rFonts w:ascii="Arial" w:hAnsi="Arial" w:cs="Arial"/>
        </w:rPr>
        <w:instrText>ADDIN CSL_CITATION {"citationItems":[{"id":"ITEM-1","itemData":{"DOI":"10.18203/2349-3933.ijam20170614","ISSN":"2349-3925","abstract":"Background: Hypomagnesemia has been proposed as a novel factor implicated in the pathogenesis of poor glycemic control and diabetic complications. Aim of the present study is to study serum magnesium level in patients with type 2 DM and to find the correlation between serum magnesium levels, HbA1c and diabetic complications.Methods: 100 patients with Type 2 DM (50 males and 50 females) who were diagnosed on the basis of ADA criteria or taking treatment for Diabetes were included in the study. All patients underwent tests for serum magnesium level, fasting blood sugar, postprandial blood sugar, HbA1c and also target organ evaluation for Diabetes. A detailed history and examination was also done.Results: There was significant difference in the prevalence of hypomagnesemia (34% vs 6%) and serum magnesium levels (1.59±0.187 versus 1.78±0.126, p &lt;0.0001) between diabetics and control group. FBS (172.17±30.55 versus 137.06±37.76, p&lt;0.0001), PPBS (243±61.21 versus 195.84±59.1, p = 0.0003) and HbA1C (8.42±1.292 versus 7.04±0.956, p&lt;0.0001) were significantly higher in hypomagnesemic diabetics as compared to normomagnesemic diabetics. Significant proportion of hypomagnesemic diabetics were suffering from retinopathy as compared to normomagnesemic diabetics (47.06% versus 19.70%, p = 0.0042). Diabetic nephropathy, neuropathy, hypertension and IHD were also higher in hypomagnesemic diabetics as compared to normomagnesemic diabetics, but insignificant.Conclusions: Prevalence of hypomagnesemia in Type 2 diabetics was 34%. Diabetics with hypomagnesemia had poor glycemic control. Hypomagnesemia was significantly associated with diabetic retinopathy.  ","author":[{"dropping-particle":"","family":"Wahid","given":"Abdul","non-dropping-particle":"","parse-names":false,"suffix":""},{"dropping-particle":"","family":"Verma","given":"Girish C.","non-dropping-particle":"","parse-names":false,"suffix":""},{"dropping-particle":"","family":"Meena","given":"C. P.","non-dropping-particle":"","parse-names":false,"suffix":""},{"dropping-particle":"","family":"Pathan","given":"A. R.","non-dropping-particle":"","parse-names":false,"suffix":""}],"container-title":"International Journal of Advances in Medicine","id":"ITEM-1","issue":"2","issued":{"date-parts":[["2017","3","23"]]},"page":"311","publisher":"Medip Academy","title":"Study of serum magnesium level in patients with type 2 diabetes mellitus and it’s correlation with glycosylated hemoglobin and diabetic complications","type":"article-journal","volume":"4"},"uris":["http://www.mendeley.com/documents/?uuid=55872abd-d782-38e2-b7d2-22a48bdabf0b"]}],"mendeley":{"formattedCitation":"(Wahid &lt;i&gt;et al.&lt;/i&gt;, 2017)","plainTextFormattedCitation":"(Wahid et al., 2017)","previouslyFormattedCitation":"(7)"},"properties":{"noteIndex":0},"schema":"https://github.com/citation-style-language/schema/raw/master/csl-citation.json"}</w:instrText>
      </w:r>
      <w:r w:rsidRPr="00A16A84">
        <w:rPr>
          <w:rFonts w:ascii="Arial" w:hAnsi="Arial" w:cs="Arial"/>
        </w:rPr>
        <w:fldChar w:fldCharType="separate"/>
      </w:r>
      <w:r w:rsidRPr="00A16A84">
        <w:rPr>
          <w:rFonts w:ascii="Arial" w:hAnsi="Arial" w:cs="Arial"/>
        </w:rPr>
        <w:t xml:space="preserve">(Wahid </w:t>
      </w:r>
      <w:r w:rsidRPr="00A16A84">
        <w:rPr>
          <w:rFonts w:ascii="Arial" w:hAnsi="Arial" w:cs="Arial"/>
          <w:i/>
        </w:rPr>
        <w:t>et al.</w:t>
      </w:r>
      <w:r w:rsidRPr="00A16A84">
        <w:rPr>
          <w:rFonts w:ascii="Arial" w:hAnsi="Arial" w:cs="Arial"/>
        </w:rPr>
        <w:t>, 2017)</w:t>
      </w:r>
      <w:r w:rsidRPr="00A16A84">
        <w:rPr>
          <w:rFonts w:ascii="Arial" w:hAnsi="Arial" w:cs="Arial"/>
        </w:rPr>
        <w:fldChar w:fldCharType="end"/>
      </w:r>
      <w:r w:rsidRPr="00A16A84">
        <w:rPr>
          <w:rFonts w:ascii="Arial" w:hAnsi="Arial" w:cs="Arial"/>
        </w:rPr>
        <w:t>. Moreover, hypomagnesemia may worsen the course of type 2 diabetes and the microvascular alterations that accompany it by increasing the risk of cardiovascular disease, hypertension, and diabetic sequelae such retinopathy</w:t>
      </w:r>
      <w:r w:rsidRPr="00A16A84">
        <w:rPr>
          <w:rFonts w:ascii="Arial" w:hAnsi="Arial" w:cs="Arial"/>
        </w:rPr>
        <w:fldChar w:fldCharType="begin" w:fldLock="1"/>
      </w:r>
      <w:r w:rsidRPr="00A16A84">
        <w:rPr>
          <w:rFonts w:ascii="Arial" w:hAnsi="Arial" w:cs="Arial"/>
        </w:rPr>
        <w:instrText>ADDIN CSL_CITATION {"citationItems":[{"id":"ITEM-1","itemData":{"DOI":"10.18203/2349-3933.ijam20170123","ISSN":"2349-3925","abstract":"Background: Diabetes mellitus is a heterogeneous group of metabolic disorders characterized by chronic hyperglycemia with disturbance of carbohydrate, fat and protein metabolism resulting from defects in insulin secretion, insulin action or both. The aim of this study was to estimate serum magnesium levels in patients with type 2 diabetes mellitus and correlate it with complications of type 2 diabetes mellitus - glycemic control and retinopathy.Methods: A cross-sectional study of 100 patients with type 2 diabetes, attending Government Medical College and associated Hospital, Jammu over a period of one year from 1st November, 2014 to 30th October, 2015. Detailed history including duration of diabetes, treatment mode, symptoms suggestive of retinopathy and associated diseases such as hypertension and ischemic heart disease were obtained, as per the proforma, followed by physical examination.Results: Majority of patients (38%) of type-2 diabetes mellitus were in the age group of 51-60 years. Males constituting 71% with male to female ratio of 2.45:1. Complications were observed in 48 cases, which mainly included retinopathy 60.42% (all non-proliferative). Maximum patients (79%) had abnormal (&gt;6.5%) glycosylated hemoglobin levels ranging from 6.5 to 12%. Patients with diabetic retinopathy had significantly higher prevalence of hypomagnesaemia compared to patients without retinopathy (58.62 % vs 18.31%).Conclusions: Prevalence of hypomagnesaemia in type 2 diabetes was 30% in the present study. The present study illustrates that as the magnesium level decreases in type 2 diabetes mellitus patients, prevalence of retinopathy increases.","author":[{"dropping-particle":"","family":"Saproo","given":"Nipun","non-dropping-particle":"","parse-names":false,"suffix":""},{"dropping-particle":"","family":"Singh","given":"Roma","non-dropping-particle":"","parse-names":false,"suffix":""}],"container-title":"International Journal of Advances in Medicine","id":"ITEM-1","issue":"1","issued":{"date-parts":[["2017","1","23"]]},"page":"263","publisher":"Medip Academy","title":"Study of serum magnesium levels in diabetes mellitus and its correlation with complications (retinopathy and HbA1c) a cross-sectional study of one year","type":"article-journal","volume":"4"},"uris":["http://www.mendeley.com/documents/?uuid=1d6c6eac-7cfa-3fb4-b871-6adac2d0c402"]}],"mendeley":{"formattedCitation":"(Saproo and Singh, 2017)","plainTextFormattedCitation":"(Saproo and Singh, 2017)","previouslyFormattedCitation":"(8)"},"properties":{"noteIndex":0},"schema":"https://github.com/citation-style-language/schema/raw/master/csl-citation.json"}</w:instrText>
      </w:r>
      <w:r w:rsidRPr="00A16A84">
        <w:rPr>
          <w:rFonts w:ascii="Arial" w:hAnsi="Arial" w:cs="Arial"/>
        </w:rPr>
        <w:fldChar w:fldCharType="separate"/>
      </w:r>
      <w:r w:rsidRPr="00A16A84">
        <w:rPr>
          <w:rFonts w:ascii="Arial" w:hAnsi="Arial" w:cs="Arial"/>
        </w:rPr>
        <w:t>(Saproo and Singh, 2017)</w:t>
      </w:r>
      <w:r w:rsidRPr="00A16A84">
        <w:rPr>
          <w:rFonts w:ascii="Arial" w:hAnsi="Arial" w:cs="Arial"/>
        </w:rPr>
        <w:fldChar w:fldCharType="end"/>
      </w:r>
    </w:p>
    <w:p w14:paraId="554BACC0" w14:textId="77777777" w:rsidR="00A16A84" w:rsidRPr="00A16A84" w:rsidRDefault="00A16A84" w:rsidP="00A16A84">
      <w:pPr>
        <w:pStyle w:val="Body"/>
        <w:spacing w:after="0"/>
        <w:rPr>
          <w:rFonts w:ascii="Arial" w:hAnsi="Arial" w:cs="Arial"/>
        </w:rPr>
      </w:pPr>
      <w:r w:rsidRPr="00A16A84">
        <w:rPr>
          <w:rFonts w:ascii="Arial" w:hAnsi="Arial" w:cs="Arial"/>
        </w:rPr>
        <w:t>Diabetic patients are increasingly seeking ophthalmologic care for vision-related problems, with DR presenting as a critical concern. Despite recent improvements in screening and treatment strategies, late-stage manifestations continue to make management of DR to be difficult. Furthermore, there are still gaps in our knowledge of the specific mechanisms supporting the development of DR, particularly on the function of micronutrients like serum magnesium.</w:t>
      </w:r>
    </w:p>
    <w:p w14:paraId="532F1DE9" w14:textId="77777777" w:rsidR="00A16A84" w:rsidRPr="00A16A84" w:rsidRDefault="00A16A84" w:rsidP="00A16A84">
      <w:pPr>
        <w:pStyle w:val="Body"/>
        <w:spacing w:after="0"/>
        <w:rPr>
          <w:rFonts w:ascii="Arial" w:hAnsi="Arial" w:cs="Arial"/>
        </w:rPr>
      </w:pPr>
    </w:p>
    <w:p w14:paraId="519B5D84" w14:textId="77777777" w:rsidR="00667429" w:rsidRPr="00667429" w:rsidRDefault="00A16A84" w:rsidP="00667429">
      <w:pPr>
        <w:pStyle w:val="Body"/>
        <w:spacing w:after="0"/>
        <w:rPr>
          <w:rFonts w:ascii="Arial" w:hAnsi="Arial" w:cs="Arial"/>
        </w:rPr>
      </w:pPr>
      <w:r w:rsidRPr="00A16A84">
        <w:rPr>
          <w:rFonts w:ascii="Arial" w:hAnsi="Arial" w:cs="Arial"/>
        </w:rPr>
        <w:t xml:space="preserve">Many </w:t>
      </w:r>
      <w:r w:rsidR="00667429" w:rsidRPr="00667429">
        <w:rPr>
          <w:rFonts w:ascii="Arial" w:hAnsi="Arial" w:cs="Arial"/>
        </w:rPr>
        <w:t xml:space="preserve">studies have identified common risk factors for diabetic retinopathy, including poor glycemic control (HbA1c), duration of diabetes, and hypertension. Additional factors like uric acid and dyslipidemia and cholesterol </w:t>
      </w:r>
      <w:r w:rsidR="00DC4EC1">
        <w:rPr>
          <w:rFonts w:ascii="Arial" w:hAnsi="Arial" w:cs="Arial"/>
        </w:rPr>
        <w:t>are also</w:t>
      </w:r>
      <w:r w:rsidR="00DC4EC1" w:rsidRPr="00DC4EC1">
        <w:rPr>
          <w:rFonts w:ascii="Arial" w:hAnsi="Arial" w:cs="Arial"/>
        </w:rPr>
        <w:t xml:space="preserve"> already studied</w:t>
      </w:r>
      <w:r w:rsidR="00667429" w:rsidRPr="00667429">
        <w:rPr>
          <w:rFonts w:ascii="Arial" w:hAnsi="Arial" w:cs="Arial"/>
        </w:rPr>
        <w:t>, but serum magnesium remains to be studied.</w:t>
      </w:r>
    </w:p>
    <w:p w14:paraId="505F840B" w14:textId="77777777" w:rsidR="00790ADA" w:rsidRPr="00FB3A86" w:rsidRDefault="00790ADA" w:rsidP="00441B6F">
      <w:pPr>
        <w:pStyle w:val="Body"/>
        <w:spacing w:after="0"/>
        <w:rPr>
          <w:rFonts w:ascii="Arial" w:hAnsi="Arial" w:cs="Arial"/>
        </w:rPr>
      </w:pPr>
    </w:p>
    <w:p w14:paraId="7B5973D5" w14:textId="77777777" w:rsidR="007F7B32" w:rsidRDefault="00902823" w:rsidP="00441B6F">
      <w:pPr>
        <w:pStyle w:val="AbstHead"/>
        <w:spacing w:after="0"/>
        <w:jc w:val="both"/>
        <w:rPr>
          <w:rFonts w:ascii="Arial" w:hAnsi="Arial" w:cs="Arial"/>
        </w:rPr>
      </w:pPr>
      <w:r>
        <w:rPr>
          <w:rFonts w:ascii="Arial" w:hAnsi="Arial" w:cs="Arial"/>
        </w:rPr>
        <w:t>2.</w:t>
      </w:r>
      <w:r w:rsidR="002B395B">
        <w:rPr>
          <w:rFonts w:ascii="Arial" w:hAnsi="Arial" w:cs="Arial"/>
        </w:rPr>
        <w:t xml:space="preserve"> methodology</w:t>
      </w:r>
    </w:p>
    <w:p w14:paraId="31BDAA6A" w14:textId="77777777" w:rsidR="00790ADA" w:rsidRPr="00FB3A86" w:rsidRDefault="00790ADA" w:rsidP="00441B6F">
      <w:pPr>
        <w:pStyle w:val="AbstHead"/>
        <w:spacing w:after="0"/>
        <w:jc w:val="both"/>
        <w:rPr>
          <w:rFonts w:ascii="Arial" w:hAnsi="Arial" w:cs="Arial"/>
        </w:rPr>
      </w:pPr>
    </w:p>
    <w:p w14:paraId="543F7E0C" w14:textId="2DDC3DCB" w:rsidR="00DC4EC1" w:rsidRPr="00DC4EC1" w:rsidRDefault="00BD15E9" w:rsidP="00DC4EC1">
      <w:pPr>
        <w:pStyle w:val="Body"/>
        <w:spacing w:after="0"/>
        <w:rPr>
          <w:rFonts w:ascii="Arial" w:eastAsia="Calibri" w:hAnsi="Arial" w:cs="Arial"/>
        </w:rPr>
      </w:pPr>
      <w:r w:rsidRPr="00BD15E9">
        <w:rPr>
          <w:rFonts w:ascii="Arial" w:eastAsia="Calibri" w:hAnsi="Arial" w:cs="Arial"/>
        </w:rPr>
        <w:t>This was a hospital-based analytical cross-sectional study conducted from 2024 to 2025 at Kilimanjaro Christian Medical Center (KCMC), a tertiary referral hospital in Northern Tanzania. The study population included adults with type 2 diabetes mellitus attending</w:t>
      </w:r>
      <w:r>
        <w:rPr>
          <w:rFonts w:ascii="Arial" w:eastAsia="Calibri" w:hAnsi="Arial" w:cs="Arial"/>
        </w:rPr>
        <w:t xml:space="preserve"> outpatients at KCMC </w:t>
      </w:r>
      <w:r w:rsidRPr="00BD15E9">
        <w:rPr>
          <w:rFonts w:ascii="Arial" w:eastAsia="Calibri" w:hAnsi="Arial" w:cs="Arial"/>
        </w:rPr>
        <w:t xml:space="preserve">during the study period. All patients were first screened using the eligibility criteria, and those with conditions or treatments that could alter serum magnesium levels, prior vitreoretinal surgery, hazy media, glaucoma, pregnancy, or sepsis were excluded. Eligible participants were then consecutively enrolled using a </w:t>
      </w:r>
      <w:r w:rsidRPr="00BD15E9">
        <w:rPr>
          <w:rFonts w:ascii="Arial" w:eastAsia="Calibri" w:hAnsi="Arial" w:cs="Arial"/>
          <w:bCs/>
        </w:rPr>
        <w:t>consecutive non-probability sampling technique</w:t>
      </w:r>
      <w:r w:rsidRPr="00BD15E9">
        <w:rPr>
          <w:rFonts w:ascii="Arial" w:eastAsia="Calibri" w:hAnsi="Arial" w:cs="Arial"/>
        </w:rPr>
        <w:t xml:space="preserve"> until the required sample size was reached</w:t>
      </w:r>
      <w:r>
        <w:rPr>
          <w:rFonts w:ascii="Arial" w:eastAsia="Calibri" w:hAnsi="Arial" w:cs="Arial"/>
        </w:rPr>
        <w:t>.</w:t>
      </w:r>
      <w:r w:rsidR="00DC4EC1" w:rsidRPr="00DC4EC1">
        <w:rPr>
          <w:rFonts w:ascii="Arial" w:eastAsia="Calibri" w:hAnsi="Arial" w:cs="Arial"/>
        </w:rPr>
        <w:t xml:space="preserve"> A standardized data extraction form, developed in English, was utilized to collect relevant clinical, demographic, and laboratory information. The tool was divided into six main sections: informed consent, demographic information, physical examination, macular edema assessment, diabetic retinopathy (DR) classification, and laboratory investigations.</w:t>
      </w:r>
    </w:p>
    <w:p w14:paraId="22D36E86" w14:textId="77777777" w:rsidR="00DC4EC1" w:rsidRPr="00DC4EC1" w:rsidRDefault="00DC4EC1" w:rsidP="00DC4EC1">
      <w:pPr>
        <w:pStyle w:val="Body"/>
        <w:spacing w:after="0"/>
        <w:rPr>
          <w:rFonts w:ascii="Arial" w:eastAsia="Calibri" w:hAnsi="Arial" w:cs="Arial"/>
          <w:szCs w:val="22"/>
        </w:rPr>
      </w:pPr>
      <w:r w:rsidRPr="00DC4EC1">
        <w:rPr>
          <w:rFonts w:ascii="Arial" w:eastAsia="Calibri" w:hAnsi="Arial" w:cs="Arial"/>
          <w:szCs w:val="22"/>
        </w:rPr>
        <w:lastRenderedPageBreak/>
        <w:t>Demographic data included age, sex, residence status, duration of diabetes, and treatment type. Clinical variables such as intraocular pressure (IOP) and visual acuity (VA) were recorded under the same section. A structured interview was conducted to confirm diabetes status. VA was measured using a Snellen chart, while IOP was assessed with Goldmann applanation tonometry. Systemic blood pressure was recorded using a digital sphygmomanometer to ensure accuracy.</w:t>
      </w:r>
    </w:p>
    <w:p w14:paraId="2443CE31" w14:textId="77777777" w:rsidR="00DC4EC1" w:rsidRDefault="00DC4EC1" w:rsidP="00DC4EC1">
      <w:pPr>
        <w:pStyle w:val="Body"/>
        <w:spacing w:after="0"/>
        <w:rPr>
          <w:rFonts w:ascii="Arial" w:eastAsia="Calibri" w:hAnsi="Arial" w:cs="Arial"/>
          <w:szCs w:val="22"/>
        </w:rPr>
      </w:pPr>
      <w:r w:rsidRPr="00DC4EC1">
        <w:rPr>
          <w:rFonts w:ascii="Arial" w:eastAsia="Calibri" w:hAnsi="Arial" w:cs="Arial"/>
          <w:szCs w:val="22"/>
        </w:rPr>
        <w:t>Fundoscopy was performed following pharmacologic pupil dilation using 0.5% tropicamide and 5% phenylephrine. The presence and severity of DR were assessed using indirect ophthalmoscopy with a Haag-Streit slit lamp and Volk 90D lens. Findings were reviewed by ophthalmology specialists. DR staging adhered to the Diabetic Retinopathy Disease Severity Scale and was classified into three categories: no apparent DR (NDR), non-proliferative DR (NPDR), and proliferative DR (PDR). NPDR was indicated by features such as microaneurysms, retinal hemorrhages, venous beading, cotton wool spots, or IRMA, while PDR was confirmed by neovascularization, proliferative membranes, or vitreous hemorrhage. Macular edema was noted through the presence of hard exudates within or near the macula.</w:t>
      </w:r>
    </w:p>
    <w:p w14:paraId="5849FA87" w14:textId="77777777" w:rsidR="003D161E" w:rsidRPr="00DC4EC1" w:rsidRDefault="003D161E" w:rsidP="00DC4EC1">
      <w:pPr>
        <w:pStyle w:val="Body"/>
        <w:spacing w:after="0"/>
        <w:rPr>
          <w:rFonts w:ascii="Arial" w:eastAsia="Calibri" w:hAnsi="Arial" w:cs="Arial"/>
          <w:szCs w:val="22"/>
        </w:rPr>
      </w:pPr>
    </w:p>
    <w:p w14:paraId="291CE6E2" w14:textId="77777777" w:rsidR="00DC4EC1" w:rsidRPr="00DC4EC1" w:rsidRDefault="00DC4EC1" w:rsidP="00DC4EC1">
      <w:pPr>
        <w:pStyle w:val="Body"/>
        <w:spacing w:after="0"/>
        <w:rPr>
          <w:rFonts w:ascii="Arial" w:eastAsia="Calibri" w:hAnsi="Arial" w:cs="Arial"/>
          <w:szCs w:val="22"/>
        </w:rPr>
      </w:pPr>
      <w:r w:rsidRPr="00DC4EC1">
        <w:rPr>
          <w:rFonts w:ascii="Arial" w:eastAsia="Calibri" w:hAnsi="Arial" w:cs="Arial"/>
          <w:szCs w:val="22"/>
        </w:rPr>
        <w:t>After the fundus examination, macular thickness was assessed using a Carl Zeiss PRIMUS 200 Time-Domain Optical Coherence Tomography (OCT) device. Two OCT parameters were recorded: central subfield macular thickness (CSMT), considered abnormal if ≥250 µm within the central 1 mm zone, and cube volume, considered abnormal when exceeding 10 mm³ as per the Early Treatment Diabetic Retinopathy Study (ETDRS) grid.</w:t>
      </w:r>
    </w:p>
    <w:p w14:paraId="54D23DC6" w14:textId="77777777" w:rsidR="00DC4EC1" w:rsidRPr="00DC4EC1" w:rsidRDefault="00DC4EC1" w:rsidP="00DC4EC1">
      <w:pPr>
        <w:pStyle w:val="Body"/>
        <w:spacing w:after="0"/>
        <w:rPr>
          <w:rFonts w:ascii="Arial" w:eastAsia="Calibri" w:hAnsi="Arial" w:cs="Arial"/>
          <w:szCs w:val="22"/>
        </w:rPr>
      </w:pPr>
      <w:r w:rsidRPr="00DC4EC1">
        <w:rPr>
          <w:rFonts w:ascii="Arial" w:eastAsia="Calibri" w:hAnsi="Arial" w:cs="Arial"/>
          <w:szCs w:val="22"/>
        </w:rPr>
        <w:t xml:space="preserve">Following clinical evaluations, patients were directed to the research laboratory for biochemical testing. Blood samples were analyzed using the COBAS INTEGRA 400 PLUS system. Serum magnesium, creatinine, cholesterol, HDL, and triglycerides were measured. Hypomagnesemia was defined as serum magnesium &lt;0.65 mmol/L. Abnormal HDL was &lt;1.15 mmol/L, triglycerides were considered elevated if &gt;2.26 mmol/L, total cholesterol was flagged if &gt;5.2 mmol/L, and serum creatinine &gt;120 </w:t>
      </w:r>
      <w:proofErr w:type="spellStart"/>
      <w:r w:rsidRPr="00DC4EC1">
        <w:rPr>
          <w:rFonts w:ascii="Arial" w:eastAsia="Calibri" w:hAnsi="Arial" w:cs="Arial"/>
          <w:szCs w:val="22"/>
        </w:rPr>
        <w:t>μmol</w:t>
      </w:r>
      <w:proofErr w:type="spellEnd"/>
      <w:r w:rsidRPr="00DC4EC1">
        <w:rPr>
          <w:rFonts w:ascii="Arial" w:eastAsia="Calibri" w:hAnsi="Arial" w:cs="Arial"/>
          <w:szCs w:val="22"/>
        </w:rPr>
        <w:t>/L indicated impaired renal function.</w:t>
      </w:r>
    </w:p>
    <w:p w14:paraId="2098AE52" w14:textId="77777777" w:rsidR="00DC4EC1" w:rsidRPr="00DC4EC1" w:rsidRDefault="00DC4EC1" w:rsidP="00DC4EC1">
      <w:pPr>
        <w:pStyle w:val="Body"/>
        <w:spacing w:after="0"/>
        <w:rPr>
          <w:rFonts w:ascii="Arial" w:eastAsia="Calibri" w:hAnsi="Arial" w:cs="Arial"/>
          <w:szCs w:val="22"/>
        </w:rPr>
      </w:pPr>
      <w:r w:rsidRPr="00DC4EC1">
        <w:rPr>
          <w:rFonts w:ascii="Arial" w:eastAsia="Calibri" w:hAnsi="Arial" w:cs="Arial"/>
          <w:szCs w:val="22"/>
        </w:rPr>
        <w:t>To maintain privacy and accommodate language preferences, interviews and clinical assessments were conducted in a designated, quiet room. Patients who met the inclusion criteria were warmly welcomed, given detailed information about the study, and provided sufficient time to give informed consent. Those requiring medical or ophthalmic intervention received appropriate guidance based on their findings.</w:t>
      </w:r>
    </w:p>
    <w:p w14:paraId="1C644E04" w14:textId="77777777" w:rsidR="003D161E" w:rsidRPr="003D161E" w:rsidRDefault="00DC4EC1" w:rsidP="003D161E">
      <w:pPr>
        <w:pStyle w:val="Body"/>
        <w:spacing w:after="0"/>
        <w:rPr>
          <w:rFonts w:ascii="Arial" w:eastAsia="Calibri" w:hAnsi="Arial" w:cs="Arial"/>
        </w:rPr>
      </w:pPr>
      <w:r>
        <w:rPr>
          <w:rFonts w:ascii="Arial" w:eastAsia="Calibri" w:hAnsi="Arial" w:cs="Arial"/>
          <w:szCs w:val="22"/>
        </w:rPr>
        <w:t xml:space="preserve">All information gathered </w:t>
      </w:r>
      <w:r w:rsidRPr="00DC4EC1">
        <w:rPr>
          <w:rFonts w:ascii="Arial" w:eastAsia="Calibri" w:hAnsi="Arial" w:cs="Arial"/>
          <w:szCs w:val="22"/>
        </w:rPr>
        <w:t xml:space="preserve">including demographic details, OCT measurements, DR </w:t>
      </w:r>
      <w:r>
        <w:rPr>
          <w:rFonts w:ascii="Arial" w:eastAsia="Calibri" w:hAnsi="Arial" w:cs="Arial"/>
          <w:szCs w:val="22"/>
        </w:rPr>
        <w:t xml:space="preserve">staging, and laboratory results </w:t>
      </w:r>
      <w:r w:rsidRPr="00DC4EC1">
        <w:rPr>
          <w:rFonts w:ascii="Arial" w:eastAsia="Calibri" w:hAnsi="Arial" w:cs="Arial"/>
          <w:szCs w:val="22"/>
        </w:rPr>
        <w:t>was recorded on the data collection form and subsequently entered into a secure electronic database.</w:t>
      </w:r>
      <w:r w:rsidR="003D161E" w:rsidRPr="003D161E">
        <w:rPr>
          <w:rFonts w:ascii="Times New Roman" w:eastAsiaTheme="minorHAnsi" w:hAnsi="Times New Roman"/>
          <w:sz w:val="24"/>
          <w:szCs w:val="24"/>
        </w:rPr>
        <w:t xml:space="preserve"> </w:t>
      </w:r>
      <w:r w:rsidR="003D161E" w:rsidRPr="003D161E">
        <w:rPr>
          <w:rFonts w:ascii="Arial" w:eastAsia="Calibri" w:hAnsi="Arial" w:cs="Arial"/>
        </w:rPr>
        <w:t>Collected data were systematically coded, with unique identifiers assigned to each participant to safeguard confidentiality. The dataset was entered and cleaned using STATA version 17 (</w:t>
      </w:r>
      <w:proofErr w:type="spellStart"/>
      <w:r w:rsidR="003D161E" w:rsidRPr="003D161E">
        <w:rPr>
          <w:rFonts w:ascii="Arial" w:eastAsia="Calibri" w:hAnsi="Arial" w:cs="Arial"/>
        </w:rPr>
        <w:t>StataCorp</w:t>
      </w:r>
      <w:proofErr w:type="spellEnd"/>
      <w:r w:rsidR="003D161E" w:rsidRPr="003D161E">
        <w:rPr>
          <w:rFonts w:ascii="Arial" w:eastAsia="Calibri" w:hAnsi="Arial" w:cs="Arial"/>
        </w:rPr>
        <w:t>, College Station, TX, USA). Data cleaning involved detecting and correcting inconsistencies, encoding variables, applying labels, and addressing missing values or outliers.</w:t>
      </w:r>
    </w:p>
    <w:p w14:paraId="4F11BB34" w14:textId="77777777" w:rsidR="003D161E" w:rsidRPr="003D161E" w:rsidRDefault="003D161E" w:rsidP="003D161E">
      <w:pPr>
        <w:pStyle w:val="Body"/>
        <w:spacing w:after="0"/>
        <w:rPr>
          <w:rFonts w:ascii="Arial" w:eastAsia="Calibri" w:hAnsi="Arial" w:cs="Arial"/>
          <w:szCs w:val="22"/>
        </w:rPr>
      </w:pPr>
      <w:r w:rsidRPr="003D161E">
        <w:rPr>
          <w:rFonts w:ascii="Arial" w:eastAsia="Calibri" w:hAnsi="Arial" w:cs="Arial"/>
          <w:szCs w:val="22"/>
        </w:rPr>
        <w:t>Descriptive statistics summarized both categorical and continuous variables. Frequencies and percentages were reported for categorical variables, while continuous variables were presented as means with standard deviations or medians with interquartile ranges, depending on the distribution. The chi-square (χ²) test was used to examine associations between DR severity or macular thickness and participant characteristics.</w:t>
      </w:r>
    </w:p>
    <w:p w14:paraId="7647AC3A" w14:textId="4B825E89" w:rsidR="00DC4EC1" w:rsidRDefault="003D161E" w:rsidP="003D161E">
      <w:pPr>
        <w:pStyle w:val="Body"/>
        <w:spacing w:after="0"/>
        <w:rPr>
          <w:rFonts w:ascii="Arial" w:eastAsia="Calibri" w:hAnsi="Arial" w:cs="Arial"/>
          <w:szCs w:val="22"/>
        </w:rPr>
      </w:pPr>
      <w:r w:rsidRPr="003D161E">
        <w:rPr>
          <w:rFonts w:ascii="Arial" w:eastAsia="Calibri" w:hAnsi="Arial" w:cs="Arial"/>
          <w:szCs w:val="22"/>
        </w:rPr>
        <w:t>Ordinal logistic regression was applied to identify factors associated with DR severity, whereas a modified Poisson regression model was used to evaluate associations with DR status and central macular thickness. Univariate analyses were initially performed to generate crude odds ratios (COR) and crude prevalence ratios (CPR). Variables with a P-value</w:t>
      </w:r>
      <w:r w:rsidR="00526A9E">
        <w:rPr>
          <w:rFonts w:ascii="Arial" w:eastAsia="Calibri" w:hAnsi="Arial" w:cs="Arial"/>
          <w:szCs w:val="22"/>
        </w:rPr>
        <w:t xml:space="preserve"> &lt;0.05 in the univariate models </w:t>
      </w:r>
      <w:r w:rsidRPr="003D161E">
        <w:rPr>
          <w:rFonts w:ascii="Arial" w:eastAsia="Calibri" w:hAnsi="Arial" w:cs="Arial"/>
          <w:szCs w:val="22"/>
        </w:rPr>
        <w:t>and t</w:t>
      </w:r>
      <w:r w:rsidR="00526A9E">
        <w:rPr>
          <w:rFonts w:ascii="Arial" w:eastAsia="Calibri" w:hAnsi="Arial" w:cs="Arial"/>
          <w:szCs w:val="22"/>
        </w:rPr>
        <w:t xml:space="preserve">hose deemed clinically relevant </w:t>
      </w:r>
      <w:r w:rsidRPr="003D161E">
        <w:rPr>
          <w:rFonts w:ascii="Arial" w:eastAsia="Calibri" w:hAnsi="Arial" w:cs="Arial"/>
          <w:szCs w:val="22"/>
        </w:rPr>
        <w:t>were included in the multivariable models. Adjusted odds ratios (AOR) and adjusted prevalence ratios (APR) were then estimated. A P-value &lt;0.05 in the multivariable analysis was considered indicative of statistical significance.</w:t>
      </w:r>
    </w:p>
    <w:p w14:paraId="36A73451" w14:textId="77777777" w:rsidR="00DC4EC1" w:rsidRDefault="00DC4EC1" w:rsidP="00DC4EC1">
      <w:pPr>
        <w:pStyle w:val="Body"/>
        <w:spacing w:after="0"/>
        <w:rPr>
          <w:rFonts w:ascii="Arial" w:eastAsia="Calibri" w:hAnsi="Arial" w:cs="Arial"/>
          <w:szCs w:val="22"/>
        </w:rPr>
      </w:pPr>
    </w:p>
    <w:p w14:paraId="478EDC05" w14:textId="77777777" w:rsidR="00DC4EC1" w:rsidRDefault="00DC4EC1" w:rsidP="00DC4EC1">
      <w:pPr>
        <w:pStyle w:val="Body"/>
        <w:spacing w:after="0"/>
        <w:rPr>
          <w:rFonts w:ascii="Arial" w:eastAsia="Calibri" w:hAnsi="Arial" w:cs="Arial"/>
          <w:szCs w:val="22"/>
        </w:rPr>
      </w:pPr>
    </w:p>
    <w:p w14:paraId="4E9B886D" w14:textId="77777777" w:rsidR="00DC4EC1" w:rsidRPr="00DC4EC1" w:rsidRDefault="00DC4EC1" w:rsidP="00DC4EC1">
      <w:pPr>
        <w:pStyle w:val="Body"/>
        <w:spacing w:after="0"/>
        <w:rPr>
          <w:rFonts w:ascii="Arial" w:eastAsia="Calibri" w:hAnsi="Arial" w:cs="Arial"/>
          <w:szCs w:val="22"/>
        </w:rPr>
      </w:pPr>
    </w:p>
    <w:p w14:paraId="3FCDAAEB" w14:textId="77777777" w:rsidR="00790ADA" w:rsidRPr="00FB3A86" w:rsidRDefault="00790ADA" w:rsidP="00441B6F">
      <w:pPr>
        <w:pStyle w:val="Body"/>
        <w:spacing w:after="0"/>
        <w:rPr>
          <w:rFonts w:ascii="Arial" w:hAnsi="Arial" w:cs="Arial"/>
        </w:rPr>
      </w:pPr>
    </w:p>
    <w:p w14:paraId="5022D3B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321AF62" w14:textId="77777777" w:rsidR="00790ADA" w:rsidRPr="00FB3A86" w:rsidRDefault="00790ADA" w:rsidP="00441B6F">
      <w:pPr>
        <w:pStyle w:val="Head1"/>
        <w:spacing w:after="0"/>
        <w:jc w:val="both"/>
        <w:rPr>
          <w:rFonts w:ascii="Arial" w:hAnsi="Arial" w:cs="Arial"/>
        </w:rPr>
      </w:pPr>
    </w:p>
    <w:p w14:paraId="1E522582" w14:textId="130F0861" w:rsidR="003D161E" w:rsidRPr="003D161E" w:rsidRDefault="003D161E" w:rsidP="003D161E">
      <w:pPr>
        <w:pStyle w:val="Body"/>
        <w:rPr>
          <w:rFonts w:ascii="Arial" w:hAnsi="Arial" w:cs="Arial"/>
        </w:rPr>
      </w:pPr>
      <w:r w:rsidRPr="003D161E">
        <w:rPr>
          <w:rFonts w:ascii="Arial" w:hAnsi="Arial" w:cs="Arial"/>
        </w:rPr>
        <w:t xml:space="preserve">A total of 201 participant were include with a mean age of 62.4±7.81 years; 58.2% were over 60 years. Females made up 55.7% of the sample. The median duration of diabetes was 10 years (IQR: 7-11), and 52.7% had diabetes for </w:t>
      </w:r>
      <w:r w:rsidR="0023309D" w:rsidRPr="0023309D">
        <w:rPr>
          <w:rFonts w:ascii="Arial" w:hAnsi="Arial" w:cs="Arial"/>
          <w:bCs/>
          <w:lang w:val="en-IN"/>
        </w:rPr>
        <w:t>&gt;5 years</w:t>
      </w:r>
      <w:r w:rsidR="00C4715F">
        <w:rPr>
          <w:rFonts w:ascii="Arial" w:hAnsi="Arial" w:cs="Arial"/>
          <w:bCs/>
          <w:lang w:val="en-IN"/>
        </w:rPr>
        <w:t>.</w:t>
      </w:r>
      <w:r w:rsidR="0023309D" w:rsidRPr="0023309D">
        <w:rPr>
          <w:rFonts w:ascii="Arial" w:hAnsi="Arial" w:cs="Arial"/>
        </w:rPr>
        <w:t xml:space="preserve"> </w:t>
      </w:r>
      <w:r w:rsidRPr="003D161E">
        <w:rPr>
          <w:rFonts w:ascii="Arial" w:hAnsi="Arial" w:cs="Arial"/>
        </w:rPr>
        <w:t xml:space="preserve">Most participant (92.5%) used oral anti-diabetic drugs. Regarding vision, the right eye had a median </w:t>
      </w:r>
      <w:proofErr w:type="spellStart"/>
      <w:r w:rsidRPr="003D161E">
        <w:rPr>
          <w:rFonts w:ascii="Arial" w:hAnsi="Arial" w:cs="Arial"/>
        </w:rPr>
        <w:t>LogMAR</w:t>
      </w:r>
      <w:proofErr w:type="spellEnd"/>
      <w:r w:rsidRPr="003D161E">
        <w:rPr>
          <w:rFonts w:ascii="Arial" w:hAnsi="Arial" w:cs="Arial"/>
        </w:rPr>
        <w:t xml:space="preserve"> of 0.5 (IQR: 0.3-1) and the left eye 0.8 (IQR: 0.5-1). Elevated IOP was found in only 1.5% (right eye) and 2.5% (left eye), with a median IOP of 13mmHg. Hypertension was present in 58.2% of participants. BMI classification showed 45.3% had normal weight 38.8% were overweight. 12,9% </w:t>
      </w:r>
      <w:proofErr w:type="gramStart"/>
      <w:r w:rsidRPr="003D161E">
        <w:rPr>
          <w:rFonts w:ascii="Arial" w:hAnsi="Arial" w:cs="Arial"/>
        </w:rPr>
        <w:t>obese ,</w:t>
      </w:r>
      <w:proofErr w:type="gramEnd"/>
      <w:r w:rsidRPr="003D161E">
        <w:rPr>
          <w:rFonts w:ascii="Arial" w:hAnsi="Arial" w:cs="Arial"/>
        </w:rPr>
        <w:t xml:space="preserve"> and 3% underweight</w:t>
      </w:r>
      <w:r w:rsidR="002B395B">
        <w:rPr>
          <w:rFonts w:ascii="Arial" w:hAnsi="Arial" w:cs="Arial"/>
        </w:rPr>
        <w:t xml:space="preserve">  </w:t>
      </w:r>
      <w:r w:rsidRPr="003D161E">
        <w:rPr>
          <w:rFonts w:ascii="Arial" w:hAnsi="Arial" w:cs="Arial"/>
          <w:b/>
        </w:rPr>
        <w:t>(Table 1)</w:t>
      </w:r>
      <w:r w:rsidR="002B395B">
        <w:rPr>
          <w:rFonts w:ascii="Arial" w:hAnsi="Arial" w:cs="Arial"/>
          <w:b/>
        </w:rPr>
        <w:t>.</w:t>
      </w:r>
    </w:p>
    <w:p w14:paraId="5075BD13" w14:textId="77777777" w:rsidR="003D161E" w:rsidRPr="003D161E" w:rsidRDefault="003D161E" w:rsidP="003D161E">
      <w:pPr>
        <w:pStyle w:val="Body"/>
        <w:spacing w:after="0"/>
        <w:rPr>
          <w:rFonts w:ascii="Arial" w:hAnsi="Arial" w:cs="Arial"/>
        </w:rPr>
      </w:pPr>
      <w:r w:rsidRPr="003D161E">
        <w:rPr>
          <w:rFonts w:ascii="Arial" w:hAnsi="Arial" w:cs="Arial"/>
        </w:rPr>
        <w:t>In the laboratory results of the study participants, the mean serum magnesium level was 0.8(±0.18) whereby 29(14.4%) participants had abnormal serum magnesium level.</w:t>
      </w:r>
    </w:p>
    <w:p w14:paraId="4FE35B5E" w14:textId="77777777" w:rsidR="003D161E" w:rsidRPr="003D161E" w:rsidRDefault="003D161E" w:rsidP="003D161E">
      <w:pPr>
        <w:pStyle w:val="Body"/>
        <w:spacing w:after="0"/>
        <w:rPr>
          <w:rFonts w:ascii="Arial" w:hAnsi="Arial" w:cs="Arial"/>
        </w:rPr>
      </w:pPr>
      <w:r w:rsidRPr="003D161E">
        <w:rPr>
          <w:rFonts w:ascii="Arial" w:hAnsi="Arial" w:cs="Arial"/>
        </w:rPr>
        <w:t>Serum HDL level had a median of 1.24 (IQR=1.02-1.60), with 80 (39.8%) having normal serum HDL. Serum triglyceride were abnormal in 24.4% of participants, with a median of 1.4 mmol/L (IQR: 1.01-2.21). The mean serum cholesterol level was 5.1 mmol/L (±1.51) whereby 44.3% had abnormal serum cholesterol level</w:t>
      </w:r>
      <w:r w:rsidR="002B395B">
        <w:rPr>
          <w:rFonts w:ascii="Arial" w:hAnsi="Arial" w:cs="Arial"/>
        </w:rPr>
        <w:t xml:space="preserve"> </w:t>
      </w:r>
      <w:r w:rsidRPr="003D161E">
        <w:rPr>
          <w:rFonts w:ascii="Arial" w:hAnsi="Arial" w:cs="Arial"/>
          <w:b/>
        </w:rPr>
        <w:t>(Table 2)</w:t>
      </w:r>
      <w:r w:rsidR="002B395B">
        <w:rPr>
          <w:rFonts w:ascii="Arial" w:hAnsi="Arial" w:cs="Arial"/>
          <w:b/>
        </w:rPr>
        <w:t>.</w:t>
      </w:r>
    </w:p>
    <w:p w14:paraId="6034FA57" w14:textId="77777777" w:rsidR="00790ADA" w:rsidRDefault="00790ADA" w:rsidP="00441B6F">
      <w:pPr>
        <w:pStyle w:val="Body"/>
        <w:spacing w:after="0"/>
        <w:rPr>
          <w:rFonts w:ascii="Arial" w:hAnsi="Arial" w:cs="Arial"/>
        </w:rPr>
      </w:pPr>
    </w:p>
    <w:p w14:paraId="6B74C999" w14:textId="77777777" w:rsidR="002B395B" w:rsidRDefault="002B395B" w:rsidP="003D161E">
      <w:pPr>
        <w:pStyle w:val="BodyText3"/>
        <w:tabs>
          <w:tab w:val="left" w:pos="1080"/>
        </w:tabs>
        <w:ind w:left="1080" w:hanging="1080"/>
        <w:jc w:val="both"/>
        <w:rPr>
          <w:rFonts w:ascii="Arial" w:hAnsi="Arial"/>
          <w:b/>
          <w:bCs/>
        </w:rPr>
      </w:pPr>
    </w:p>
    <w:p w14:paraId="7A66E54B" w14:textId="77777777" w:rsidR="002B395B" w:rsidRDefault="002B395B" w:rsidP="003D161E">
      <w:pPr>
        <w:pStyle w:val="BodyText3"/>
        <w:tabs>
          <w:tab w:val="left" w:pos="1080"/>
        </w:tabs>
        <w:ind w:left="1080" w:hanging="1080"/>
        <w:jc w:val="both"/>
        <w:rPr>
          <w:rFonts w:ascii="Arial" w:hAnsi="Arial"/>
          <w:b/>
          <w:bCs/>
        </w:rPr>
      </w:pPr>
    </w:p>
    <w:p w14:paraId="5877720B" w14:textId="77777777" w:rsidR="008974F7" w:rsidRDefault="008974F7" w:rsidP="003D161E">
      <w:pPr>
        <w:pStyle w:val="BodyText3"/>
        <w:tabs>
          <w:tab w:val="left" w:pos="1080"/>
        </w:tabs>
        <w:ind w:left="1080" w:hanging="1080"/>
        <w:jc w:val="both"/>
        <w:rPr>
          <w:rFonts w:ascii="Arial" w:hAnsi="Arial"/>
          <w:b/>
          <w:bCs/>
        </w:rPr>
      </w:pPr>
    </w:p>
    <w:p w14:paraId="795EFD50"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bCs/>
        </w:rPr>
        <w:t>Table 1:</w:t>
      </w:r>
      <w:r w:rsidRPr="003D161E">
        <w:rPr>
          <w:rFonts w:ascii="Arial" w:hAnsi="Arial"/>
          <w:b/>
        </w:rPr>
        <w:t xml:space="preserve"> Participants’ background Characteristics</w:t>
      </w:r>
    </w:p>
    <w:tbl>
      <w:tblPr>
        <w:tblW w:w="9097" w:type="dxa"/>
        <w:tblLook w:val="04A0" w:firstRow="1" w:lastRow="0" w:firstColumn="1" w:lastColumn="0" w:noHBand="0" w:noVBand="1"/>
      </w:tblPr>
      <w:tblGrid>
        <w:gridCol w:w="6400"/>
        <w:gridCol w:w="1348"/>
        <w:gridCol w:w="1349"/>
      </w:tblGrid>
      <w:tr w:rsidR="003D161E" w:rsidRPr="003D161E" w14:paraId="348DE021" w14:textId="77777777" w:rsidTr="009A221B">
        <w:trPr>
          <w:trHeight w:val="33"/>
        </w:trPr>
        <w:tc>
          <w:tcPr>
            <w:tcW w:w="6400" w:type="dxa"/>
            <w:tcBorders>
              <w:top w:val="single" w:sz="12" w:space="0" w:color="auto"/>
              <w:bottom w:val="single" w:sz="12" w:space="0" w:color="auto"/>
            </w:tcBorders>
            <w:noWrap/>
            <w:vAlign w:val="bottom"/>
            <w:hideMark/>
          </w:tcPr>
          <w:p w14:paraId="4C28E6CA" w14:textId="77777777" w:rsidR="003D161E" w:rsidRPr="003D161E" w:rsidRDefault="003D161E" w:rsidP="003D161E">
            <w:pPr>
              <w:pStyle w:val="BodyText3"/>
              <w:tabs>
                <w:tab w:val="left" w:pos="1080"/>
              </w:tabs>
              <w:ind w:left="1080" w:hanging="1080"/>
              <w:jc w:val="both"/>
              <w:rPr>
                <w:rFonts w:ascii="Arial" w:hAnsi="Arial"/>
                <w:b/>
                <w:bCs/>
              </w:rPr>
            </w:pPr>
            <w:r w:rsidRPr="003D161E">
              <w:rPr>
                <w:rFonts w:ascii="Arial" w:hAnsi="Arial"/>
                <w:b/>
                <w:bCs/>
              </w:rPr>
              <w:t>Characteristics</w:t>
            </w:r>
          </w:p>
        </w:tc>
        <w:tc>
          <w:tcPr>
            <w:tcW w:w="1348" w:type="dxa"/>
            <w:tcBorders>
              <w:top w:val="single" w:sz="12" w:space="0" w:color="auto"/>
              <w:bottom w:val="single" w:sz="12" w:space="0" w:color="auto"/>
            </w:tcBorders>
            <w:noWrap/>
            <w:vAlign w:val="bottom"/>
            <w:hideMark/>
          </w:tcPr>
          <w:p w14:paraId="582AAF9E" w14:textId="77777777" w:rsidR="003D161E" w:rsidRPr="003D161E" w:rsidRDefault="003D161E" w:rsidP="003D161E">
            <w:pPr>
              <w:pStyle w:val="BodyText3"/>
              <w:tabs>
                <w:tab w:val="left" w:pos="1080"/>
              </w:tabs>
              <w:ind w:left="1080" w:hanging="1080"/>
              <w:jc w:val="both"/>
              <w:rPr>
                <w:rFonts w:ascii="Arial" w:hAnsi="Arial"/>
                <w:b/>
                <w:bCs/>
              </w:rPr>
            </w:pPr>
            <w:r w:rsidRPr="003D161E">
              <w:rPr>
                <w:rFonts w:ascii="Arial" w:hAnsi="Arial"/>
                <w:b/>
                <w:bCs/>
              </w:rPr>
              <w:t>Frequency</w:t>
            </w:r>
          </w:p>
        </w:tc>
        <w:tc>
          <w:tcPr>
            <w:tcW w:w="1349" w:type="dxa"/>
            <w:tcBorders>
              <w:top w:val="single" w:sz="12" w:space="0" w:color="auto"/>
              <w:bottom w:val="single" w:sz="12" w:space="0" w:color="auto"/>
            </w:tcBorders>
            <w:noWrap/>
            <w:vAlign w:val="bottom"/>
            <w:hideMark/>
          </w:tcPr>
          <w:p w14:paraId="78A0313D" w14:textId="77777777" w:rsidR="003D161E" w:rsidRPr="003D161E" w:rsidRDefault="003D161E" w:rsidP="003D161E">
            <w:pPr>
              <w:pStyle w:val="BodyText3"/>
              <w:tabs>
                <w:tab w:val="left" w:pos="1080"/>
              </w:tabs>
              <w:ind w:left="1080" w:hanging="1080"/>
              <w:jc w:val="both"/>
              <w:rPr>
                <w:rFonts w:ascii="Arial" w:hAnsi="Arial"/>
                <w:b/>
                <w:bCs/>
              </w:rPr>
            </w:pPr>
            <w:r w:rsidRPr="003D161E">
              <w:rPr>
                <w:rFonts w:ascii="Arial" w:hAnsi="Arial"/>
                <w:b/>
                <w:bCs/>
              </w:rPr>
              <w:t>Percentage</w:t>
            </w:r>
          </w:p>
        </w:tc>
      </w:tr>
      <w:tr w:rsidR="003D161E" w:rsidRPr="003D161E" w14:paraId="453D97F5" w14:textId="77777777" w:rsidTr="009A221B">
        <w:trPr>
          <w:trHeight w:val="78"/>
        </w:trPr>
        <w:tc>
          <w:tcPr>
            <w:tcW w:w="6400" w:type="dxa"/>
            <w:tcBorders>
              <w:top w:val="single" w:sz="12" w:space="0" w:color="auto"/>
            </w:tcBorders>
            <w:noWrap/>
            <w:vAlign w:val="bottom"/>
            <w:hideMark/>
          </w:tcPr>
          <w:p w14:paraId="41DC2C47" w14:textId="77777777" w:rsidR="003D161E" w:rsidRPr="003D161E" w:rsidRDefault="003D161E" w:rsidP="003D161E">
            <w:pPr>
              <w:pStyle w:val="BodyText3"/>
              <w:tabs>
                <w:tab w:val="left" w:pos="1080"/>
              </w:tabs>
              <w:ind w:left="1080" w:hanging="1080"/>
              <w:jc w:val="both"/>
              <w:rPr>
                <w:rFonts w:ascii="Arial" w:hAnsi="Arial"/>
                <w:b/>
                <w:bCs/>
              </w:rPr>
            </w:pPr>
            <w:r w:rsidRPr="003D161E">
              <w:rPr>
                <w:rFonts w:ascii="Arial" w:hAnsi="Arial"/>
                <w:b/>
                <w:bCs/>
              </w:rPr>
              <w:t>Age of participant (In years)</w:t>
            </w:r>
          </w:p>
        </w:tc>
        <w:tc>
          <w:tcPr>
            <w:tcW w:w="1348" w:type="dxa"/>
            <w:tcBorders>
              <w:top w:val="single" w:sz="12" w:space="0" w:color="auto"/>
            </w:tcBorders>
            <w:noWrap/>
            <w:vAlign w:val="bottom"/>
            <w:hideMark/>
          </w:tcPr>
          <w:p w14:paraId="369B74EA"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c>
          <w:tcPr>
            <w:tcW w:w="1349" w:type="dxa"/>
            <w:tcBorders>
              <w:top w:val="single" w:sz="12" w:space="0" w:color="auto"/>
            </w:tcBorders>
            <w:noWrap/>
            <w:vAlign w:val="bottom"/>
            <w:hideMark/>
          </w:tcPr>
          <w:p w14:paraId="04E0F5AD"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r>
      <w:tr w:rsidR="003D161E" w:rsidRPr="003D161E" w14:paraId="52E43F56" w14:textId="77777777" w:rsidTr="009A221B">
        <w:trPr>
          <w:trHeight w:val="71"/>
        </w:trPr>
        <w:tc>
          <w:tcPr>
            <w:tcW w:w="6400" w:type="dxa"/>
            <w:noWrap/>
            <w:vAlign w:val="bottom"/>
            <w:hideMark/>
          </w:tcPr>
          <w:p w14:paraId="66FB6EFD"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≤60</w:t>
            </w:r>
          </w:p>
        </w:tc>
        <w:tc>
          <w:tcPr>
            <w:tcW w:w="1348" w:type="dxa"/>
            <w:noWrap/>
            <w:vAlign w:val="bottom"/>
            <w:hideMark/>
          </w:tcPr>
          <w:p w14:paraId="56DDC9B5"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84</w:t>
            </w:r>
          </w:p>
        </w:tc>
        <w:tc>
          <w:tcPr>
            <w:tcW w:w="1349" w:type="dxa"/>
            <w:noWrap/>
            <w:vAlign w:val="bottom"/>
            <w:hideMark/>
          </w:tcPr>
          <w:p w14:paraId="159010E1"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41.8</w:t>
            </w:r>
          </w:p>
        </w:tc>
      </w:tr>
      <w:tr w:rsidR="003D161E" w:rsidRPr="003D161E" w14:paraId="376A0CE5" w14:textId="77777777" w:rsidTr="009A221B">
        <w:trPr>
          <w:trHeight w:val="50"/>
        </w:trPr>
        <w:tc>
          <w:tcPr>
            <w:tcW w:w="6400" w:type="dxa"/>
            <w:noWrap/>
            <w:vAlign w:val="bottom"/>
            <w:hideMark/>
          </w:tcPr>
          <w:p w14:paraId="195E978B"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&gt;60</w:t>
            </w:r>
          </w:p>
        </w:tc>
        <w:tc>
          <w:tcPr>
            <w:tcW w:w="1348" w:type="dxa"/>
            <w:noWrap/>
            <w:vAlign w:val="bottom"/>
            <w:hideMark/>
          </w:tcPr>
          <w:p w14:paraId="5CE8660B"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117</w:t>
            </w:r>
          </w:p>
        </w:tc>
        <w:tc>
          <w:tcPr>
            <w:tcW w:w="1349" w:type="dxa"/>
            <w:noWrap/>
            <w:vAlign w:val="bottom"/>
            <w:hideMark/>
          </w:tcPr>
          <w:p w14:paraId="5A9F96D3"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58.2</w:t>
            </w:r>
          </w:p>
        </w:tc>
      </w:tr>
      <w:tr w:rsidR="003D161E" w:rsidRPr="003D161E" w14:paraId="1C9EC8E6" w14:textId="77777777" w:rsidTr="009A221B">
        <w:trPr>
          <w:trHeight w:val="50"/>
        </w:trPr>
        <w:tc>
          <w:tcPr>
            <w:tcW w:w="6400" w:type="dxa"/>
            <w:noWrap/>
            <w:vAlign w:val="bottom"/>
            <w:hideMark/>
          </w:tcPr>
          <w:p w14:paraId="7A7D8AC6" w14:textId="77777777" w:rsidR="003D161E" w:rsidRPr="003D161E" w:rsidRDefault="003D161E" w:rsidP="003D161E">
            <w:pPr>
              <w:pStyle w:val="BodyText3"/>
              <w:tabs>
                <w:tab w:val="left" w:pos="1080"/>
              </w:tabs>
              <w:ind w:left="1080" w:hanging="1080"/>
              <w:jc w:val="both"/>
              <w:rPr>
                <w:rFonts w:ascii="Arial" w:hAnsi="Arial"/>
                <w:b/>
                <w:i/>
                <w:iCs/>
              </w:rPr>
            </w:pPr>
            <w:r w:rsidRPr="003D161E">
              <w:rPr>
                <w:rFonts w:ascii="Arial" w:hAnsi="Arial"/>
                <w:b/>
                <w:i/>
                <w:iCs/>
              </w:rPr>
              <w:t xml:space="preserve"> Mean(SD)</w:t>
            </w:r>
          </w:p>
        </w:tc>
        <w:tc>
          <w:tcPr>
            <w:tcW w:w="1348" w:type="dxa"/>
            <w:noWrap/>
            <w:vAlign w:val="bottom"/>
            <w:hideMark/>
          </w:tcPr>
          <w:p w14:paraId="3D41C91D" w14:textId="77777777" w:rsidR="003D161E" w:rsidRPr="003D161E" w:rsidRDefault="003D161E" w:rsidP="003D161E">
            <w:pPr>
              <w:pStyle w:val="BodyText3"/>
              <w:tabs>
                <w:tab w:val="left" w:pos="1080"/>
              </w:tabs>
              <w:ind w:left="1080" w:hanging="1080"/>
              <w:jc w:val="both"/>
              <w:rPr>
                <w:rFonts w:ascii="Arial" w:hAnsi="Arial"/>
                <w:b/>
                <w:i/>
                <w:iCs/>
              </w:rPr>
            </w:pPr>
            <w:r w:rsidRPr="003D161E">
              <w:rPr>
                <w:rFonts w:ascii="Arial" w:hAnsi="Arial"/>
                <w:b/>
                <w:i/>
                <w:iCs/>
              </w:rPr>
              <w:t>62.4(±7.81)</w:t>
            </w:r>
          </w:p>
        </w:tc>
        <w:tc>
          <w:tcPr>
            <w:tcW w:w="1349" w:type="dxa"/>
            <w:noWrap/>
            <w:vAlign w:val="bottom"/>
            <w:hideMark/>
          </w:tcPr>
          <w:p w14:paraId="1FCD28B1"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r>
      <w:tr w:rsidR="003D161E" w:rsidRPr="003D161E" w14:paraId="17F77F38" w14:textId="77777777" w:rsidTr="009A221B">
        <w:trPr>
          <w:trHeight w:val="50"/>
        </w:trPr>
        <w:tc>
          <w:tcPr>
            <w:tcW w:w="6400" w:type="dxa"/>
            <w:noWrap/>
            <w:vAlign w:val="bottom"/>
            <w:hideMark/>
          </w:tcPr>
          <w:p w14:paraId="128DD4AF"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bCs/>
              </w:rPr>
              <w:t>Sex of participant</w:t>
            </w:r>
          </w:p>
        </w:tc>
        <w:tc>
          <w:tcPr>
            <w:tcW w:w="1348" w:type="dxa"/>
            <w:noWrap/>
            <w:vAlign w:val="bottom"/>
            <w:hideMark/>
          </w:tcPr>
          <w:p w14:paraId="6624E8BB"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c>
          <w:tcPr>
            <w:tcW w:w="1349" w:type="dxa"/>
            <w:noWrap/>
            <w:vAlign w:val="bottom"/>
            <w:hideMark/>
          </w:tcPr>
          <w:p w14:paraId="31013FC0"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r>
      <w:tr w:rsidR="003D161E" w:rsidRPr="003D161E" w14:paraId="630AD15E" w14:textId="77777777" w:rsidTr="009A221B">
        <w:trPr>
          <w:trHeight w:val="50"/>
        </w:trPr>
        <w:tc>
          <w:tcPr>
            <w:tcW w:w="6400" w:type="dxa"/>
            <w:noWrap/>
            <w:vAlign w:val="bottom"/>
            <w:hideMark/>
          </w:tcPr>
          <w:p w14:paraId="0CD8525A"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Male</w:t>
            </w:r>
          </w:p>
        </w:tc>
        <w:tc>
          <w:tcPr>
            <w:tcW w:w="1348" w:type="dxa"/>
            <w:noWrap/>
            <w:vAlign w:val="bottom"/>
            <w:hideMark/>
          </w:tcPr>
          <w:p w14:paraId="61DBF35A"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89</w:t>
            </w:r>
          </w:p>
        </w:tc>
        <w:tc>
          <w:tcPr>
            <w:tcW w:w="1349" w:type="dxa"/>
            <w:noWrap/>
            <w:vAlign w:val="bottom"/>
            <w:hideMark/>
          </w:tcPr>
          <w:p w14:paraId="4E13A76D"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44.3</w:t>
            </w:r>
          </w:p>
        </w:tc>
      </w:tr>
      <w:tr w:rsidR="003D161E" w:rsidRPr="003D161E" w14:paraId="3E0DE87D" w14:textId="77777777" w:rsidTr="009A221B">
        <w:trPr>
          <w:trHeight w:val="80"/>
        </w:trPr>
        <w:tc>
          <w:tcPr>
            <w:tcW w:w="6400" w:type="dxa"/>
            <w:noWrap/>
            <w:vAlign w:val="bottom"/>
            <w:hideMark/>
          </w:tcPr>
          <w:p w14:paraId="310EFC02"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Female</w:t>
            </w:r>
          </w:p>
        </w:tc>
        <w:tc>
          <w:tcPr>
            <w:tcW w:w="1348" w:type="dxa"/>
            <w:noWrap/>
            <w:vAlign w:val="bottom"/>
            <w:hideMark/>
          </w:tcPr>
          <w:p w14:paraId="26E6B20B"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112</w:t>
            </w:r>
          </w:p>
        </w:tc>
        <w:tc>
          <w:tcPr>
            <w:tcW w:w="1349" w:type="dxa"/>
            <w:noWrap/>
            <w:vAlign w:val="bottom"/>
            <w:hideMark/>
          </w:tcPr>
          <w:p w14:paraId="7B491740"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55.7</w:t>
            </w:r>
          </w:p>
        </w:tc>
      </w:tr>
      <w:tr w:rsidR="003D161E" w:rsidRPr="003D161E" w14:paraId="63CCA7BA" w14:textId="77777777" w:rsidTr="009A221B">
        <w:trPr>
          <w:trHeight w:val="315"/>
        </w:trPr>
        <w:tc>
          <w:tcPr>
            <w:tcW w:w="6400" w:type="dxa"/>
            <w:noWrap/>
            <w:vAlign w:val="bottom"/>
          </w:tcPr>
          <w:p w14:paraId="369CCF2A" w14:textId="77777777" w:rsidR="003D161E" w:rsidRPr="003D161E" w:rsidRDefault="003D161E" w:rsidP="003D161E">
            <w:pPr>
              <w:pStyle w:val="BodyText3"/>
              <w:tabs>
                <w:tab w:val="left" w:pos="1080"/>
              </w:tabs>
              <w:ind w:left="1080" w:hanging="1080"/>
              <w:jc w:val="both"/>
              <w:rPr>
                <w:rFonts w:ascii="Arial" w:hAnsi="Arial"/>
                <w:b/>
                <w:bCs/>
              </w:rPr>
            </w:pPr>
            <w:r w:rsidRPr="003D161E">
              <w:rPr>
                <w:rFonts w:ascii="Arial" w:hAnsi="Arial"/>
                <w:b/>
                <w:bCs/>
              </w:rPr>
              <w:t>Duration of Diabetes Mellitus (In years)</w:t>
            </w:r>
          </w:p>
        </w:tc>
        <w:tc>
          <w:tcPr>
            <w:tcW w:w="1348" w:type="dxa"/>
            <w:noWrap/>
            <w:vAlign w:val="bottom"/>
          </w:tcPr>
          <w:p w14:paraId="38C44A3C" w14:textId="77777777" w:rsidR="003D161E" w:rsidRPr="003D161E" w:rsidRDefault="003D161E" w:rsidP="003D161E">
            <w:pPr>
              <w:pStyle w:val="BodyText3"/>
              <w:tabs>
                <w:tab w:val="left" w:pos="1080"/>
              </w:tabs>
              <w:ind w:left="1080" w:hanging="1080"/>
              <w:jc w:val="both"/>
              <w:rPr>
                <w:rFonts w:ascii="Arial" w:hAnsi="Arial"/>
                <w:b/>
              </w:rPr>
            </w:pPr>
          </w:p>
        </w:tc>
        <w:tc>
          <w:tcPr>
            <w:tcW w:w="1349" w:type="dxa"/>
            <w:noWrap/>
            <w:vAlign w:val="bottom"/>
          </w:tcPr>
          <w:p w14:paraId="5D60C0AD" w14:textId="77777777" w:rsidR="003D161E" w:rsidRPr="003D161E" w:rsidRDefault="003D161E" w:rsidP="003D161E">
            <w:pPr>
              <w:pStyle w:val="BodyText3"/>
              <w:tabs>
                <w:tab w:val="left" w:pos="1080"/>
              </w:tabs>
              <w:ind w:left="1080" w:hanging="1080"/>
              <w:jc w:val="both"/>
              <w:rPr>
                <w:rFonts w:ascii="Arial" w:hAnsi="Arial"/>
                <w:b/>
              </w:rPr>
            </w:pPr>
          </w:p>
        </w:tc>
      </w:tr>
      <w:tr w:rsidR="003D161E" w:rsidRPr="003D161E" w14:paraId="7D92161C" w14:textId="77777777" w:rsidTr="009A221B">
        <w:trPr>
          <w:trHeight w:val="50"/>
        </w:trPr>
        <w:tc>
          <w:tcPr>
            <w:tcW w:w="6400" w:type="dxa"/>
            <w:noWrap/>
            <w:vAlign w:val="bottom"/>
            <w:hideMark/>
          </w:tcPr>
          <w:p w14:paraId="3D4B8694"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≤5</w:t>
            </w:r>
          </w:p>
        </w:tc>
        <w:tc>
          <w:tcPr>
            <w:tcW w:w="1348" w:type="dxa"/>
            <w:noWrap/>
            <w:vAlign w:val="bottom"/>
            <w:hideMark/>
          </w:tcPr>
          <w:p w14:paraId="1576A6D9"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95</w:t>
            </w:r>
          </w:p>
        </w:tc>
        <w:tc>
          <w:tcPr>
            <w:tcW w:w="1349" w:type="dxa"/>
            <w:noWrap/>
            <w:vAlign w:val="bottom"/>
            <w:hideMark/>
          </w:tcPr>
          <w:p w14:paraId="03EB8676"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47.3</w:t>
            </w:r>
          </w:p>
        </w:tc>
      </w:tr>
      <w:tr w:rsidR="003D161E" w:rsidRPr="003D161E" w14:paraId="4CCE3FD8" w14:textId="77777777" w:rsidTr="009A221B">
        <w:trPr>
          <w:trHeight w:val="80"/>
        </w:trPr>
        <w:tc>
          <w:tcPr>
            <w:tcW w:w="6400" w:type="dxa"/>
            <w:noWrap/>
            <w:vAlign w:val="bottom"/>
            <w:hideMark/>
          </w:tcPr>
          <w:p w14:paraId="686727AE"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&gt;5</w:t>
            </w:r>
          </w:p>
        </w:tc>
        <w:tc>
          <w:tcPr>
            <w:tcW w:w="1348" w:type="dxa"/>
            <w:noWrap/>
            <w:vAlign w:val="bottom"/>
            <w:hideMark/>
          </w:tcPr>
          <w:p w14:paraId="586A339F"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106</w:t>
            </w:r>
          </w:p>
        </w:tc>
        <w:tc>
          <w:tcPr>
            <w:tcW w:w="1349" w:type="dxa"/>
            <w:noWrap/>
            <w:vAlign w:val="bottom"/>
            <w:hideMark/>
          </w:tcPr>
          <w:p w14:paraId="7D4B4CCD"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52.7</w:t>
            </w:r>
          </w:p>
        </w:tc>
      </w:tr>
      <w:tr w:rsidR="003D161E" w:rsidRPr="003D161E" w14:paraId="4D9B7A8F" w14:textId="77777777" w:rsidTr="009A221B">
        <w:trPr>
          <w:trHeight w:val="71"/>
        </w:trPr>
        <w:tc>
          <w:tcPr>
            <w:tcW w:w="6400" w:type="dxa"/>
            <w:noWrap/>
            <w:vAlign w:val="bottom"/>
            <w:hideMark/>
          </w:tcPr>
          <w:p w14:paraId="1F74268D" w14:textId="77777777" w:rsidR="003D161E" w:rsidRPr="003D161E" w:rsidRDefault="003D161E" w:rsidP="003D161E">
            <w:pPr>
              <w:pStyle w:val="BodyText3"/>
              <w:tabs>
                <w:tab w:val="left" w:pos="1080"/>
              </w:tabs>
              <w:ind w:left="1080" w:hanging="1080"/>
              <w:jc w:val="both"/>
              <w:rPr>
                <w:rFonts w:ascii="Arial" w:hAnsi="Arial"/>
                <w:b/>
                <w:i/>
                <w:iCs/>
              </w:rPr>
            </w:pPr>
            <w:r w:rsidRPr="003D161E">
              <w:rPr>
                <w:rFonts w:ascii="Arial" w:hAnsi="Arial"/>
                <w:b/>
                <w:i/>
                <w:iCs/>
              </w:rPr>
              <w:t>Median(IQR)</w:t>
            </w:r>
          </w:p>
        </w:tc>
        <w:tc>
          <w:tcPr>
            <w:tcW w:w="1348" w:type="dxa"/>
            <w:noWrap/>
            <w:vAlign w:val="bottom"/>
            <w:hideMark/>
          </w:tcPr>
          <w:p w14:paraId="45F7A3F9" w14:textId="77777777" w:rsidR="003D161E" w:rsidRPr="003D161E" w:rsidRDefault="003D161E" w:rsidP="003D161E">
            <w:pPr>
              <w:pStyle w:val="BodyText3"/>
              <w:tabs>
                <w:tab w:val="left" w:pos="1080"/>
              </w:tabs>
              <w:ind w:left="1080" w:hanging="1080"/>
              <w:jc w:val="both"/>
              <w:rPr>
                <w:rFonts w:ascii="Arial" w:hAnsi="Arial"/>
                <w:b/>
                <w:i/>
                <w:iCs/>
              </w:rPr>
            </w:pPr>
            <w:r w:rsidRPr="003D161E">
              <w:rPr>
                <w:rFonts w:ascii="Arial" w:hAnsi="Arial"/>
                <w:b/>
                <w:i/>
                <w:iCs/>
              </w:rPr>
              <w:t>10(7-11)</w:t>
            </w:r>
          </w:p>
        </w:tc>
        <w:tc>
          <w:tcPr>
            <w:tcW w:w="1349" w:type="dxa"/>
            <w:noWrap/>
            <w:vAlign w:val="bottom"/>
            <w:hideMark/>
          </w:tcPr>
          <w:p w14:paraId="485A5C80"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r>
      <w:tr w:rsidR="003D161E" w:rsidRPr="003D161E" w14:paraId="0C931E5B" w14:textId="77777777" w:rsidTr="009A221B">
        <w:trPr>
          <w:trHeight w:val="315"/>
        </w:trPr>
        <w:tc>
          <w:tcPr>
            <w:tcW w:w="6400" w:type="dxa"/>
            <w:noWrap/>
            <w:vAlign w:val="bottom"/>
            <w:hideMark/>
          </w:tcPr>
          <w:p w14:paraId="60B9948B" w14:textId="77777777" w:rsidR="003D161E" w:rsidRPr="003D161E" w:rsidRDefault="003D161E" w:rsidP="003D161E">
            <w:pPr>
              <w:pStyle w:val="BodyText3"/>
              <w:tabs>
                <w:tab w:val="left" w:pos="1080"/>
              </w:tabs>
              <w:ind w:left="1080" w:hanging="1080"/>
              <w:jc w:val="both"/>
              <w:rPr>
                <w:rFonts w:ascii="Arial" w:hAnsi="Arial"/>
                <w:b/>
                <w:bCs/>
              </w:rPr>
            </w:pPr>
            <w:r w:rsidRPr="003D161E">
              <w:rPr>
                <w:rFonts w:ascii="Arial" w:hAnsi="Arial"/>
                <w:b/>
                <w:bCs/>
              </w:rPr>
              <w:t>Type of Anti diabetic medication used</w:t>
            </w:r>
          </w:p>
        </w:tc>
        <w:tc>
          <w:tcPr>
            <w:tcW w:w="1348" w:type="dxa"/>
            <w:noWrap/>
            <w:vAlign w:val="bottom"/>
            <w:hideMark/>
          </w:tcPr>
          <w:p w14:paraId="4A84751B"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c>
          <w:tcPr>
            <w:tcW w:w="1349" w:type="dxa"/>
            <w:noWrap/>
            <w:vAlign w:val="bottom"/>
            <w:hideMark/>
          </w:tcPr>
          <w:p w14:paraId="568D7A21"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r>
      <w:tr w:rsidR="003D161E" w:rsidRPr="003D161E" w14:paraId="4855EF5D" w14:textId="77777777" w:rsidTr="009A221B">
        <w:trPr>
          <w:trHeight w:val="50"/>
        </w:trPr>
        <w:tc>
          <w:tcPr>
            <w:tcW w:w="6400" w:type="dxa"/>
            <w:noWrap/>
            <w:vAlign w:val="bottom"/>
            <w:hideMark/>
          </w:tcPr>
          <w:p w14:paraId="03003EC9"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Injection</w:t>
            </w:r>
          </w:p>
        </w:tc>
        <w:tc>
          <w:tcPr>
            <w:tcW w:w="1348" w:type="dxa"/>
            <w:noWrap/>
            <w:vAlign w:val="bottom"/>
            <w:hideMark/>
          </w:tcPr>
          <w:p w14:paraId="3B756190"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11</w:t>
            </w:r>
          </w:p>
        </w:tc>
        <w:tc>
          <w:tcPr>
            <w:tcW w:w="1349" w:type="dxa"/>
            <w:noWrap/>
            <w:vAlign w:val="bottom"/>
            <w:hideMark/>
          </w:tcPr>
          <w:p w14:paraId="212CA22A"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5.5</w:t>
            </w:r>
          </w:p>
        </w:tc>
      </w:tr>
      <w:tr w:rsidR="003D161E" w:rsidRPr="003D161E" w14:paraId="1FDBF5C5" w14:textId="77777777" w:rsidTr="009A221B">
        <w:trPr>
          <w:trHeight w:val="71"/>
        </w:trPr>
        <w:tc>
          <w:tcPr>
            <w:tcW w:w="6400" w:type="dxa"/>
            <w:noWrap/>
            <w:vAlign w:val="bottom"/>
            <w:hideMark/>
          </w:tcPr>
          <w:p w14:paraId="23CC8EEA"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Oral</w:t>
            </w:r>
          </w:p>
        </w:tc>
        <w:tc>
          <w:tcPr>
            <w:tcW w:w="1348" w:type="dxa"/>
            <w:noWrap/>
            <w:vAlign w:val="bottom"/>
            <w:hideMark/>
          </w:tcPr>
          <w:p w14:paraId="79936F76"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186</w:t>
            </w:r>
          </w:p>
        </w:tc>
        <w:tc>
          <w:tcPr>
            <w:tcW w:w="1349" w:type="dxa"/>
            <w:noWrap/>
            <w:vAlign w:val="bottom"/>
            <w:hideMark/>
          </w:tcPr>
          <w:p w14:paraId="2827F482"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92.5</w:t>
            </w:r>
          </w:p>
        </w:tc>
      </w:tr>
      <w:tr w:rsidR="003D161E" w:rsidRPr="003D161E" w14:paraId="431B7857" w14:textId="77777777" w:rsidTr="009A221B">
        <w:trPr>
          <w:trHeight w:val="89"/>
        </w:trPr>
        <w:tc>
          <w:tcPr>
            <w:tcW w:w="6400" w:type="dxa"/>
            <w:noWrap/>
            <w:vAlign w:val="bottom"/>
            <w:hideMark/>
          </w:tcPr>
          <w:p w14:paraId="54705889"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Both (Oral and Injection)</w:t>
            </w:r>
          </w:p>
        </w:tc>
        <w:tc>
          <w:tcPr>
            <w:tcW w:w="1348" w:type="dxa"/>
            <w:noWrap/>
            <w:vAlign w:val="bottom"/>
            <w:hideMark/>
          </w:tcPr>
          <w:p w14:paraId="75017508"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3</w:t>
            </w:r>
          </w:p>
        </w:tc>
        <w:tc>
          <w:tcPr>
            <w:tcW w:w="1349" w:type="dxa"/>
            <w:noWrap/>
            <w:vAlign w:val="bottom"/>
            <w:hideMark/>
          </w:tcPr>
          <w:p w14:paraId="53F39802"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1.5</w:t>
            </w:r>
          </w:p>
        </w:tc>
      </w:tr>
      <w:tr w:rsidR="003D161E" w:rsidRPr="003D161E" w14:paraId="077A4104" w14:textId="77777777" w:rsidTr="009A221B">
        <w:trPr>
          <w:trHeight w:val="161"/>
        </w:trPr>
        <w:tc>
          <w:tcPr>
            <w:tcW w:w="6400" w:type="dxa"/>
            <w:noWrap/>
            <w:vAlign w:val="bottom"/>
            <w:hideMark/>
          </w:tcPr>
          <w:p w14:paraId="0FE485DD"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Not on medication</w:t>
            </w:r>
          </w:p>
        </w:tc>
        <w:tc>
          <w:tcPr>
            <w:tcW w:w="1348" w:type="dxa"/>
            <w:noWrap/>
            <w:vAlign w:val="bottom"/>
            <w:hideMark/>
          </w:tcPr>
          <w:p w14:paraId="4CF0241C"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w:t>
            </w:r>
          </w:p>
        </w:tc>
        <w:tc>
          <w:tcPr>
            <w:tcW w:w="1349" w:type="dxa"/>
            <w:noWrap/>
            <w:vAlign w:val="bottom"/>
            <w:hideMark/>
          </w:tcPr>
          <w:p w14:paraId="33A6222F"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0.5</w:t>
            </w:r>
          </w:p>
        </w:tc>
      </w:tr>
      <w:tr w:rsidR="003D161E" w:rsidRPr="003D161E" w14:paraId="664C3FF0" w14:textId="77777777" w:rsidTr="009A221B">
        <w:trPr>
          <w:trHeight w:val="315"/>
        </w:trPr>
        <w:tc>
          <w:tcPr>
            <w:tcW w:w="6400" w:type="dxa"/>
            <w:noWrap/>
            <w:vAlign w:val="bottom"/>
            <w:hideMark/>
          </w:tcPr>
          <w:p w14:paraId="781CE50E" w14:textId="77777777" w:rsidR="003D161E" w:rsidRPr="003D161E" w:rsidRDefault="003D161E" w:rsidP="003D161E">
            <w:pPr>
              <w:pStyle w:val="BodyText3"/>
              <w:tabs>
                <w:tab w:val="left" w:pos="1080"/>
              </w:tabs>
              <w:ind w:left="1080" w:hanging="1080"/>
              <w:jc w:val="both"/>
              <w:rPr>
                <w:rFonts w:ascii="Arial" w:hAnsi="Arial"/>
                <w:b/>
                <w:bCs/>
              </w:rPr>
            </w:pPr>
            <w:r w:rsidRPr="003D161E">
              <w:rPr>
                <w:rFonts w:ascii="Arial" w:hAnsi="Arial"/>
                <w:b/>
                <w:bCs/>
              </w:rPr>
              <w:t xml:space="preserve">Participant Visual Acuity (In </w:t>
            </w:r>
            <w:proofErr w:type="spellStart"/>
            <w:r w:rsidRPr="003D161E">
              <w:rPr>
                <w:rFonts w:ascii="Arial" w:hAnsi="Arial"/>
                <w:b/>
                <w:bCs/>
              </w:rPr>
              <w:t>LogMAR</w:t>
            </w:r>
            <w:proofErr w:type="spellEnd"/>
            <w:r w:rsidRPr="003D161E">
              <w:rPr>
                <w:rFonts w:ascii="Arial" w:hAnsi="Arial"/>
                <w:b/>
                <w:bCs/>
              </w:rPr>
              <w:t>) Right Eye</w:t>
            </w:r>
          </w:p>
        </w:tc>
        <w:tc>
          <w:tcPr>
            <w:tcW w:w="1348" w:type="dxa"/>
            <w:noWrap/>
            <w:vAlign w:val="bottom"/>
            <w:hideMark/>
          </w:tcPr>
          <w:p w14:paraId="078C498B"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c>
          <w:tcPr>
            <w:tcW w:w="1349" w:type="dxa"/>
            <w:noWrap/>
            <w:vAlign w:val="bottom"/>
            <w:hideMark/>
          </w:tcPr>
          <w:p w14:paraId="2BEE0BED"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r>
      <w:tr w:rsidR="003D161E" w:rsidRPr="003D161E" w14:paraId="6EEB2AD5" w14:textId="77777777" w:rsidTr="009A221B">
        <w:trPr>
          <w:trHeight w:val="50"/>
        </w:trPr>
        <w:tc>
          <w:tcPr>
            <w:tcW w:w="6400" w:type="dxa"/>
            <w:noWrap/>
            <w:vAlign w:val="bottom"/>
            <w:hideMark/>
          </w:tcPr>
          <w:p w14:paraId="163DC6E9"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≤0.5</w:t>
            </w:r>
          </w:p>
        </w:tc>
        <w:tc>
          <w:tcPr>
            <w:tcW w:w="1348" w:type="dxa"/>
            <w:noWrap/>
            <w:vAlign w:val="bottom"/>
            <w:hideMark/>
          </w:tcPr>
          <w:p w14:paraId="5B04A1A0"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103</w:t>
            </w:r>
          </w:p>
        </w:tc>
        <w:tc>
          <w:tcPr>
            <w:tcW w:w="1349" w:type="dxa"/>
            <w:noWrap/>
            <w:vAlign w:val="bottom"/>
            <w:hideMark/>
          </w:tcPr>
          <w:p w14:paraId="5BB94DD1"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51.2</w:t>
            </w:r>
          </w:p>
        </w:tc>
      </w:tr>
      <w:tr w:rsidR="003D161E" w:rsidRPr="003D161E" w14:paraId="2BC2BD7F" w14:textId="77777777" w:rsidTr="009A221B">
        <w:trPr>
          <w:trHeight w:val="50"/>
        </w:trPr>
        <w:tc>
          <w:tcPr>
            <w:tcW w:w="6400" w:type="dxa"/>
            <w:noWrap/>
            <w:vAlign w:val="bottom"/>
            <w:hideMark/>
          </w:tcPr>
          <w:p w14:paraId="4ED71A66"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0.6-0.9</w:t>
            </w:r>
          </w:p>
        </w:tc>
        <w:tc>
          <w:tcPr>
            <w:tcW w:w="1348" w:type="dxa"/>
            <w:noWrap/>
            <w:vAlign w:val="bottom"/>
            <w:hideMark/>
          </w:tcPr>
          <w:p w14:paraId="2D1C9FFC"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45</w:t>
            </w:r>
          </w:p>
        </w:tc>
        <w:tc>
          <w:tcPr>
            <w:tcW w:w="1349" w:type="dxa"/>
            <w:noWrap/>
            <w:vAlign w:val="bottom"/>
            <w:hideMark/>
          </w:tcPr>
          <w:p w14:paraId="3E3253B9"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22.4</w:t>
            </w:r>
          </w:p>
        </w:tc>
      </w:tr>
      <w:tr w:rsidR="003D161E" w:rsidRPr="003D161E" w14:paraId="4B8FB978" w14:textId="77777777" w:rsidTr="009A221B">
        <w:trPr>
          <w:trHeight w:val="152"/>
        </w:trPr>
        <w:tc>
          <w:tcPr>
            <w:tcW w:w="6400" w:type="dxa"/>
            <w:noWrap/>
            <w:vAlign w:val="bottom"/>
            <w:hideMark/>
          </w:tcPr>
          <w:p w14:paraId="68EC6A14"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w:t>
            </w:r>
          </w:p>
        </w:tc>
        <w:tc>
          <w:tcPr>
            <w:tcW w:w="1348" w:type="dxa"/>
            <w:noWrap/>
            <w:vAlign w:val="bottom"/>
            <w:hideMark/>
          </w:tcPr>
          <w:p w14:paraId="50AE8344"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53</w:t>
            </w:r>
          </w:p>
        </w:tc>
        <w:tc>
          <w:tcPr>
            <w:tcW w:w="1349" w:type="dxa"/>
            <w:noWrap/>
            <w:vAlign w:val="bottom"/>
            <w:hideMark/>
          </w:tcPr>
          <w:p w14:paraId="51EEA729"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26.4</w:t>
            </w:r>
          </w:p>
        </w:tc>
      </w:tr>
      <w:tr w:rsidR="003D161E" w:rsidRPr="003D161E" w14:paraId="435930D2" w14:textId="77777777" w:rsidTr="009A221B">
        <w:trPr>
          <w:trHeight w:val="134"/>
        </w:trPr>
        <w:tc>
          <w:tcPr>
            <w:tcW w:w="6400" w:type="dxa"/>
            <w:noWrap/>
            <w:vAlign w:val="bottom"/>
            <w:hideMark/>
          </w:tcPr>
          <w:p w14:paraId="63CB07CF" w14:textId="77777777" w:rsidR="003D161E" w:rsidRPr="003D161E" w:rsidRDefault="003D161E" w:rsidP="003D161E">
            <w:pPr>
              <w:pStyle w:val="BodyText3"/>
              <w:tabs>
                <w:tab w:val="left" w:pos="1080"/>
              </w:tabs>
              <w:ind w:left="1080" w:hanging="1080"/>
              <w:jc w:val="both"/>
              <w:rPr>
                <w:rFonts w:ascii="Arial" w:hAnsi="Arial"/>
                <w:b/>
                <w:i/>
                <w:iCs/>
              </w:rPr>
            </w:pPr>
            <w:r w:rsidRPr="003D161E">
              <w:rPr>
                <w:rFonts w:ascii="Arial" w:hAnsi="Arial"/>
                <w:b/>
                <w:i/>
                <w:iCs/>
              </w:rPr>
              <w:t>Median(IQR)</w:t>
            </w:r>
          </w:p>
        </w:tc>
        <w:tc>
          <w:tcPr>
            <w:tcW w:w="1348" w:type="dxa"/>
            <w:noWrap/>
            <w:vAlign w:val="bottom"/>
            <w:hideMark/>
          </w:tcPr>
          <w:p w14:paraId="7EF77A85" w14:textId="77777777" w:rsidR="003D161E" w:rsidRPr="003D161E" w:rsidRDefault="003D161E" w:rsidP="003D161E">
            <w:pPr>
              <w:pStyle w:val="BodyText3"/>
              <w:tabs>
                <w:tab w:val="left" w:pos="1080"/>
              </w:tabs>
              <w:ind w:left="1080" w:hanging="1080"/>
              <w:jc w:val="both"/>
              <w:rPr>
                <w:rFonts w:ascii="Arial" w:hAnsi="Arial"/>
                <w:b/>
                <w:i/>
                <w:iCs/>
              </w:rPr>
            </w:pPr>
            <w:r w:rsidRPr="003D161E">
              <w:rPr>
                <w:rFonts w:ascii="Arial" w:hAnsi="Arial"/>
                <w:b/>
                <w:i/>
                <w:iCs/>
              </w:rPr>
              <w:t>0.5 (0.3-1)</w:t>
            </w:r>
          </w:p>
        </w:tc>
        <w:tc>
          <w:tcPr>
            <w:tcW w:w="1349" w:type="dxa"/>
            <w:noWrap/>
            <w:vAlign w:val="bottom"/>
            <w:hideMark/>
          </w:tcPr>
          <w:p w14:paraId="772436DA"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r>
      <w:tr w:rsidR="003D161E" w:rsidRPr="003D161E" w14:paraId="7DB9A424" w14:textId="77777777" w:rsidTr="009A221B">
        <w:trPr>
          <w:trHeight w:val="89"/>
        </w:trPr>
        <w:tc>
          <w:tcPr>
            <w:tcW w:w="6400" w:type="dxa"/>
            <w:noWrap/>
            <w:vAlign w:val="bottom"/>
            <w:hideMark/>
          </w:tcPr>
          <w:p w14:paraId="4FB2CA38" w14:textId="77777777" w:rsidR="003D161E" w:rsidRPr="003D161E" w:rsidRDefault="003D161E" w:rsidP="003D161E">
            <w:pPr>
              <w:pStyle w:val="BodyText3"/>
              <w:tabs>
                <w:tab w:val="left" w:pos="1080"/>
              </w:tabs>
              <w:ind w:left="1080" w:hanging="1080"/>
              <w:jc w:val="both"/>
              <w:rPr>
                <w:rFonts w:ascii="Arial" w:hAnsi="Arial"/>
                <w:b/>
                <w:bCs/>
              </w:rPr>
            </w:pPr>
            <w:r w:rsidRPr="003D161E">
              <w:rPr>
                <w:rFonts w:ascii="Arial" w:hAnsi="Arial"/>
                <w:b/>
                <w:bCs/>
              </w:rPr>
              <w:t xml:space="preserve">Participant Visual Acuity  (In </w:t>
            </w:r>
            <w:proofErr w:type="spellStart"/>
            <w:r w:rsidRPr="003D161E">
              <w:rPr>
                <w:rFonts w:ascii="Arial" w:hAnsi="Arial"/>
                <w:b/>
                <w:bCs/>
              </w:rPr>
              <w:t>LogMAR</w:t>
            </w:r>
            <w:proofErr w:type="spellEnd"/>
            <w:r w:rsidRPr="003D161E">
              <w:rPr>
                <w:rFonts w:ascii="Arial" w:hAnsi="Arial"/>
                <w:b/>
                <w:bCs/>
              </w:rPr>
              <w:t>) Left eye</w:t>
            </w:r>
          </w:p>
        </w:tc>
        <w:tc>
          <w:tcPr>
            <w:tcW w:w="1348" w:type="dxa"/>
            <w:noWrap/>
            <w:vAlign w:val="bottom"/>
            <w:hideMark/>
          </w:tcPr>
          <w:p w14:paraId="1904AFB2"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No.</w:t>
            </w:r>
          </w:p>
        </w:tc>
        <w:tc>
          <w:tcPr>
            <w:tcW w:w="1349" w:type="dxa"/>
            <w:noWrap/>
            <w:vAlign w:val="bottom"/>
            <w:hideMark/>
          </w:tcPr>
          <w:p w14:paraId="63D501F9"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w:t>
            </w:r>
          </w:p>
        </w:tc>
      </w:tr>
      <w:tr w:rsidR="003D161E" w:rsidRPr="003D161E" w14:paraId="7FE5A6B2" w14:textId="77777777" w:rsidTr="009A221B">
        <w:trPr>
          <w:trHeight w:val="50"/>
        </w:trPr>
        <w:tc>
          <w:tcPr>
            <w:tcW w:w="6400" w:type="dxa"/>
            <w:noWrap/>
            <w:vAlign w:val="bottom"/>
            <w:hideMark/>
          </w:tcPr>
          <w:p w14:paraId="55DAEE7D"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≤0.5</w:t>
            </w:r>
          </w:p>
        </w:tc>
        <w:tc>
          <w:tcPr>
            <w:tcW w:w="1348" w:type="dxa"/>
            <w:noWrap/>
            <w:vAlign w:val="bottom"/>
            <w:hideMark/>
          </w:tcPr>
          <w:p w14:paraId="4AFC2387"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77</w:t>
            </w:r>
          </w:p>
        </w:tc>
        <w:tc>
          <w:tcPr>
            <w:tcW w:w="1349" w:type="dxa"/>
            <w:noWrap/>
            <w:vAlign w:val="bottom"/>
            <w:hideMark/>
          </w:tcPr>
          <w:p w14:paraId="45EBBE05"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38.3</w:t>
            </w:r>
          </w:p>
        </w:tc>
      </w:tr>
      <w:tr w:rsidR="003D161E" w:rsidRPr="003D161E" w14:paraId="6617538A" w14:textId="77777777" w:rsidTr="009A221B">
        <w:trPr>
          <w:trHeight w:val="50"/>
        </w:trPr>
        <w:tc>
          <w:tcPr>
            <w:tcW w:w="6400" w:type="dxa"/>
            <w:noWrap/>
            <w:vAlign w:val="bottom"/>
            <w:hideMark/>
          </w:tcPr>
          <w:p w14:paraId="2838F58C"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0.6-0.9</w:t>
            </w:r>
          </w:p>
        </w:tc>
        <w:tc>
          <w:tcPr>
            <w:tcW w:w="1348" w:type="dxa"/>
            <w:noWrap/>
            <w:vAlign w:val="bottom"/>
            <w:hideMark/>
          </w:tcPr>
          <w:p w14:paraId="2C30D181"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56</w:t>
            </w:r>
          </w:p>
        </w:tc>
        <w:tc>
          <w:tcPr>
            <w:tcW w:w="1349" w:type="dxa"/>
            <w:noWrap/>
            <w:vAlign w:val="bottom"/>
            <w:hideMark/>
          </w:tcPr>
          <w:p w14:paraId="67E20CF0"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27.9</w:t>
            </w:r>
          </w:p>
        </w:tc>
      </w:tr>
      <w:tr w:rsidR="003D161E" w:rsidRPr="003D161E" w14:paraId="67AE4E13" w14:textId="77777777" w:rsidTr="009A221B">
        <w:trPr>
          <w:trHeight w:val="50"/>
        </w:trPr>
        <w:tc>
          <w:tcPr>
            <w:tcW w:w="6400" w:type="dxa"/>
            <w:noWrap/>
            <w:vAlign w:val="bottom"/>
            <w:hideMark/>
          </w:tcPr>
          <w:p w14:paraId="27ECB4BE"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w:t>
            </w:r>
          </w:p>
        </w:tc>
        <w:tc>
          <w:tcPr>
            <w:tcW w:w="1348" w:type="dxa"/>
            <w:noWrap/>
            <w:vAlign w:val="bottom"/>
            <w:hideMark/>
          </w:tcPr>
          <w:p w14:paraId="3EDEAE2C"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68</w:t>
            </w:r>
          </w:p>
        </w:tc>
        <w:tc>
          <w:tcPr>
            <w:tcW w:w="1349" w:type="dxa"/>
            <w:noWrap/>
            <w:vAlign w:val="bottom"/>
            <w:hideMark/>
          </w:tcPr>
          <w:p w14:paraId="7FCC9CF5"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33.8</w:t>
            </w:r>
          </w:p>
        </w:tc>
      </w:tr>
      <w:tr w:rsidR="003D161E" w:rsidRPr="003D161E" w14:paraId="1EDCB21E" w14:textId="77777777" w:rsidTr="009A221B">
        <w:trPr>
          <w:trHeight w:val="53"/>
        </w:trPr>
        <w:tc>
          <w:tcPr>
            <w:tcW w:w="6400" w:type="dxa"/>
            <w:noWrap/>
            <w:vAlign w:val="bottom"/>
            <w:hideMark/>
          </w:tcPr>
          <w:p w14:paraId="24F61E79" w14:textId="77777777" w:rsidR="003D161E" w:rsidRPr="003D161E" w:rsidRDefault="003D161E" w:rsidP="003D161E">
            <w:pPr>
              <w:pStyle w:val="BodyText3"/>
              <w:tabs>
                <w:tab w:val="left" w:pos="1080"/>
              </w:tabs>
              <w:ind w:left="1080" w:hanging="1080"/>
              <w:jc w:val="both"/>
              <w:rPr>
                <w:rFonts w:ascii="Arial" w:hAnsi="Arial"/>
                <w:b/>
                <w:i/>
                <w:iCs/>
              </w:rPr>
            </w:pPr>
            <w:r w:rsidRPr="003D161E">
              <w:rPr>
                <w:rFonts w:ascii="Arial" w:hAnsi="Arial"/>
                <w:b/>
                <w:i/>
                <w:iCs/>
              </w:rPr>
              <w:t>Median(IQR)</w:t>
            </w:r>
          </w:p>
        </w:tc>
        <w:tc>
          <w:tcPr>
            <w:tcW w:w="1348" w:type="dxa"/>
            <w:noWrap/>
            <w:vAlign w:val="bottom"/>
            <w:hideMark/>
          </w:tcPr>
          <w:p w14:paraId="10FBCD32"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0.8 (0.5-1)</w:t>
            </w:r>
          </w:p>
        </w:tc>
        <w:tc>
          <w:tcPr>
            <w:tcW w:w="1349" w:type="dxa"/>
            <w:noWrap/>
            <w:vAlign w:val="bottom"/>
            <w:hideMark/>
          </w:tcPr>
          <w:p w14:paraId="26FBA459"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100</w:t>
            </w:r>
          </w:p>
        </w:tc>
      </w:tr>
      <w:tr w:rsidR="003D161E" w:rsidRPr="003D161E" w14:paraId="23936AC5" w14:textId="77777777" w:rsidTr="009A221B">
        <w:trPr>
          <w:trHeight w:val="80"/>
        </w:trPr>
        <w:tc>
          <w:tcPr>
            <w:tcW w:w="6400" w:type="dxa"/>
            <w:noWrap/>
            <w:vAlign w:val="bottom"/>
            <w:hideMark/>
          </w:tcPr>
          <w:p w14:paraId="13A9DCD4" w14:textId="77777777" w:rsidR="003D161E" w:rsidRPr="003D161E" w:rsidRDefault="003D161E" w:rsidP="003D161E">
            <w:pPr>
              <w:pStyle w:val="BodyText3"/>
              <w:tabs>
                <w:tab w:val="left" w:pos="1080"/>
              </w:tabs>
              <w:ind w:left="1080" w:hanging="1080"/>
              <w:jc w:val="both"/>
              <w:rPr>
                <w:rFonts w:ascii="Arial" w:hAnsi="Arial"/>
                <w:b/>
                <w:bCs/>
              </w:rPr>
            </w:pPr>
            <w:r w:rsidRPr="003D161E">
              <w:rPr>
                <w:rFonts w:ascii="Arial" w:hAnsi="Arial"/>
                <w:b/>
                <w:bCs/>
              </w:rPr>
              <w:t>Participant IOP Right eye</w:t>
            </w:r>
          </w:p>
        </w:tc>
        <w:tc>
          <w:tcPr>
            <w:tcW w:w="1348" w:type="dxa"/>
            <w:noWrap/>
            <w:vAlign w:val="bottom"/>
            <w:hideMark/>
          </w:tcPr>
          <w:p w14:paraId="76895FC5"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c>
          <w:tcPr>
            <w:tcW w:w="1349" w:type="dxa"/>
            <w:noWrap/>
            <w:vAlign w:val="bottom"/>
            <w:hideMark/>
          </w:tcPr>
          <w:p w14:paraId="0F2BEF99"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r>
      <w:tr w:rsidR="003D161E" w:rsidRPr="003D161E" w14:paraId="3ADFC630" w14:textId="77777777" w:rsidTr="009A221B">
        <w:trPr>
          <w:trHeight w:val="116"/>
        </w:trPr>
        <w:tc>
          <w:tcPr>
            <w:tcW w:w="6400" w:type="dxa"/>
            <w:noWrap/>
            <w:vAlign w:val="bottom"/>
            <w:hideMark/>
          </w:tcPr>
          <w:p w14:paraId="6973C528"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Normal</w:t>
            </w:r>
          </w:p>
        </w:tc>
        <w:tc>
          <w:tcPr>
            <w:tcW w:w="1348" w:type="dxa"/>
            <w:noWrap/>
            <w:vAlign w:val="bottom"/>
            <w:hideMark/>
          </w:tcPr>
          <w:p w14:paraId="195F7536"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198</w:t>
            </w:r>
          </w:p>
        </w:tc>
        <w:tc>
          <w:tcPr>
            <w:tcW w:w="1349" w:type="dxa"/>
            <w:noWrap/>
            <w:vAlign w:val="bottom"/>
            <w:hideMark/>
          </w:tcPr>
          <w:p w14:paraId="7E205EBF"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98.5</w:t>
            </w:r>
          </w:p>
        </w:tc>
      </w:tr>
      <w:tr w:rsidR="003D161E" w:rsidRPr="003D161E" w14:paraId="18376B22" w14:textId="77777777" w:rsidTr="009A221B">
        <w:trPr>
          <w:trHeight w:val="50"/>
        </w:trPr>
        <w:tc>
          <w:tcPr>
            <w:tcW w:w="6400" w:type="dxa"/>
            <w:noWrap/>
            <w:vAlign w:val="bottom"/>
            <w:hideMark/>
          </w:tcPr>
          <w:p w14:paraId="35C30292"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High</w:t>
            </w:r>
          </w:p>
        </w:tc>
        <w:tc>
          <w:tcPr>
            <w:tcW w:w="1348" w:type="dxa"/>
            <w:noWrap/>
            <w:vAlign w:val="bottom"/>
            <w:hideMark/>
          </w:tcPr>
          <w:p w14:paraId="15465A6E"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3</w:t>
            </w:r>
          </w:p>
        </w:tc>
        <w:tc>
          <w:tcPr>
            <w:tcW w:w="1349" w:type="dxa"/>
            <w:noWrap/>
            <w:vAlign w:val="bottom"/>
            <w:hideMark/>
          </w:tcPr>
          <w:p w14:paraId="4707FB10"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1.5</w:t>
            </w:r>
          </w:p>
        </w:tc>
      </w:tr>
      <w:tr w:rsidR="003D161E" w:rsidRPr="003D161E" w14:paraId="4BF34BB2" w14:textId="77777777" w:rsidTr="009A221B">
        <w:trPr>
          <w:trHeight w:val="50"/>
        </w:trPr>
        <w:tc>
          <w:tcPr>
            <w:tcW w:w="6400" w:type="dxa"/>
            <w:noWrap/>
            <w:vAlign w:val="bottom"/>
            <w:hideMark/>
          </w:tcPr>
          <w:p w14:paraId="2115B46C"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Median(IQR)</w:t>
            </w:r>
          </w:p>
        </w:tc>
        <w:tc>
          <w:tcPr>
            <w:tcW w:w="1348" w:type="dxa"/>
            <w:noWrap/>
            <w:vAlign w:val="bottom"/>
            <w:hideMark/>
          </w:tcPr>
          <w:p w14:paraId="58B74822"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13.01 (±3.3</w:t>
            </w:r>
          </w:p>
        </w:tc>
        <w:tc>
          <w:tcPr>
            <w:tcW w:w="1349" w:type="dxa"/>
            <w:noWrap/>
            <w:vAlign w:val="bottom"/>
            <w:hideMark/>
          </w:tcPr>
          <w:p w14:paraId="0A572356"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100</w:t>
            </w:r>
          </w:p>
        </w:tc>
      </w:tr>
      <w:tr w:rsidR="003D161E" w:rsidRPr="003D161E" w14:paraId="264512F5" w14:textId="77777777" w:rsidTr="009A221B">
        <w:trPr>
          <w:trHeight w:val="233"/>
        </w:trPr>
        <w:tc>
          <w:tcPr>
            <w:tcW w:w="6400" w:type="dxa"/>
            <w:noWrap/>
            <w:vAlign w:val="bottom"/>
            <w:hideMark/>
          </w:tcPr>
          <w:p w14:paraId="4FABC102" w14:textId="77777777" w:rsidR="003D161E" w:rsidRPr="003D161E" w:rsidRDefault="003D161E" w:rsidP="003D161E">
            <w:pPr>
              <w:pStyle w:val="BodyText3"/>
              <w:tabs>
                <w:tab w:val="left" w:pos="1080"/>
              </w:tabs>
              <w:ind w:left="1080" w:hanging="1080"/>
              <w:jc w:val="both"/>
              <w:rPr>
                <w:rFonts w:ascii="Arial" w:hAnsi="Arial"/>
                <w:b/>
                <w:bCs/>
              </w:rPr>
            </w:pPr>
            <w:r w:rsidRPr="003D161E">
              <w:rPr>
                <w:rFonts w:ascii="Arial" w:hAnsi="Arial"/>
                <w:b/>
                <w:bCs/>
              </w:rPr>
              <w:t>Participant IOP Left eye</w:t>
            </w:r>
          </w:p>
        </w:tc>
        <w:tc>
          <w:tcPr>
            <w:tcW w:w="1348" w:type="dxa"/>
            <w:noWrap/>
            <w:vAlign w:val="bottom"/>
            <w:hideMark/>
          </w:tcPr>
          <w:p w14:paraId="0B183F4C"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c>
          <w:tcPr>
            <w:tcW w:w="1349" w:type="dxa"/>
            <w:noWrap/>
            <w:vAlign w:val="bottom"/>
            <w:hideMark/>
          </w:tcPr>
          <w:p w14:paraId="3C410AB8"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r>
      <w:tr w:rsidR="003D161E" w:rsidRPr="003D161E" w14:paraId="36CDA89A" w14:textId="77777777" w:rsidTr="009A221B">
        <w:trPr>
          <w:trHeight w:val="50"/>
        </w:trPr>
        <w:tc>
          <w:tcPr>
            <w:tcW w:w="6400" w:type="dxa"/>
            <w:noWrap/>
            <w:vAlign w:val="bottom"/>
            <w:hideMark/>
          </w:tcPr>
          <w:p w14:paraId="42F4F9E0"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Normal</w:t>
            </w:r>
          </w:p>
        </w:tc>
        <w:tc>
          <w:tcPr>
            <w:tcW w:w="1348" w:type="dxa"/>
            <w:noWrap/>
            <w:vAlign w:val="bottom"/>
            <w:hideMark/>
          </w:tcPr>
          <w:p w14:paraId="4B22DB0B"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196</w:t>
            </w:r>
          </w:p>
        </w:tc>
        <w:tc>
          <w:tcPr>
            <w:tcW w:w="1349" w:type="dxa"/>
            <w:noWrap/>
            <w:vAlign w:val="bottom"/>
            <w:hideMark/>
          </w:tcPr>
          <w:p w14:paraId="133A1894"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97.5</w:t>
            </w:r>
          </w:p>
        </w:tc>
      </w:tr>
      <w:tr w:rsidR="003D161E" w:rsidRPr="003D161E" w14:paraId="7C62D2F5" w14:textId="77777777" w:rsidTr="009A221B">
        <w:trPr>
          <w:trHeight w:val="50"/>
        </w:trPr>
        <w:tc>
          <w:tcPr>
            <w:tcW w:w="6400" w:type="dxa"/>
            <w:noWrap/>
            <w:vAlign w:val="bottom"/>
            <w:hideMark/>
          </w:tcPr>
          <w:p w14:paraId="0AC9F6B0"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High</w:t>
            </w:r>
          </w:p>
        </w:tc>
        <w:tc>
          <w:tcPr>
            <w:tcW w:w="1348" w:type="dxa"/>
            <w:noWrap/>
            <w:vAlign w:val="bottom"/>
            <w:hideMark/>
          </w:tcPr>
          <w:p w14:paraId="01097025"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5</w:t>
            </w:r>
          </w:p>
        </w:tc>
        <w:tc>
          <w:tcPr>
            <w:tcW w:w="1349" w:type="dxa"/>
            <w:noWrap/>
            <w:vAlign w:val="bottom"/>
            <w:hideMark/>
          </w:tcPr>
          <w:p w14:paraId="621FE360"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2.5</w:t>
            </w:r>
          </w:p>
        </w:tc>
      </w:tr>
      <w:tr w:rsidR="003D161E" w:rsidRPr="003D161E" w14:paraId="223547DE" w14:textId="77777777" w:rsidTr="009A221B">
        <w:trPr>
          <w:trHeight w:val="50"/>
        </w:trPr>
        <w:tc>
          <w:tcPr>
            <w:tcW w:w="6400" w:type="dxa"/>
            <w:noWrap/>
            <w:vAlign w:val="bottom"/>
            <w:hideMark/>
          </w:tcPr>
          <w:p w14:paraId="7643FAAF"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Median(IQR)</w:t>
            </w:r>
          </w:p>
        </w:tc>
        <w:tc>
          <w:tcPr>
            <w:tcW w:w="1348" w:type="dxa"/>
            <w:noWrap/>
            <w:vAlign w:val="bottom"/>
            <w:hideMark/>
          </w:tcPr>
          <w:p w14:paraId="28F50B2E"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13(10-16</w:t>
            </w:r>
          </w:p>
        </w:tc>
        <w:tc>
          <w:tcPr>
            <w:tcW w:w="1349" w:type="dxa"/>
            <w:noWrap/>
            <w:vAlign w:val="bottom"/>
            <w:hideMark/>
          </w:tcPr>
          <w:p w14:paraId="5BBAA413"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100</w:t>
            </w:r>
          </w:p>
        </w:tc>
      </w:tr>
      <w:tr w:rsidR="003D161E" w:rsidRPr="003D161E" w14:paraId="6776206C" w14:textId="77777777" w:rsidTr="009A221B">
        <w:trPr>
          <w:trHeight w:val="179"/>
        </w:trPr>
        <w:tc>
          <w:tcPr>
            <w:tcW w:w="6400" w:type="dxa"/>
            <w:noWrap/>
            <w:vAlign w:val="bottom"/>
            <w:hideMark/>
          </w:tcPr>
          <w:p w14:paraId="7112D6C1" w14:textId="77777777" w:rsidR="003D161E" w:rsidRPr="003D161E" w:rsidRDefault="003D161E" w:rsidP="003D161E">
            <w:pPr>
              <w:pStyle w:val="BodyText3"/>
              <w:tabs>
                <w:tab w:val="left" w:pos="1080"/>
              </w:tabs>
              <w:ind w:left="1080" w:hanging="1080"/>
              <w:jc w:val="both"/>
              <w:rPr>
                <w:rFonts w:ascii="Arial" w:hAnsi="Arial"/>
                <w:b/>
                <w:bCs/>
              </w:rPr>
            </w:pPr>
            <w:r w:rsidRPr="003D161E">
              <w:rPr>
                <w:rFonts w:ascii="Arial" w:hAnsi="Arial"/>
                <w:b/>
                <w:bCs/>
              </w:rPr>
              <w:t>Hypertension status</w:t>
            </w:r>
          </w:p>
        </w:tc>
        <w:tc>
          <w:tcPr>
            <w:tcW w:w="1348" w:type="dxa"/>
            <w:noWrap/>
            <w:vAlign w:val="bottom"/>
            <w:hideMark/>
          </w:tcPr>
          <w:p w14:paraId="7AC59269"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c>
          <w:tcPr>
            <w:tcW w:w="1349" w:type="dxa"/>
            <w:noWrap/>
            <w:vAlign w:val="bottom"/>
            <w:hideMark/>
          </w:tcPr>
          <w:p w14:paraId="088EC05B"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r>
      <w:tr w:rsidR="003D161E" w:rsidRPr="003D161E" w14:paraId="735CE040" w14:textId="77777777" w:rsidTr="009A221B">
        <w:trPr>
          <w:trHeight w:val="50"/>
        </w:trPr>
        <w:tc>
          <w:tcPr>
            <w:tcW w:w="6400" w:type="dxa"/>
            <w:noWrap/>
            <w:vAlign w:val="bottom"/>
            <w:hideMark/>
          </w:tcPr>
          <w:p w14:paraId="39C6C65F"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No</w:t>
            </w:r>
          </w:p>
        </w:tc>
        <w:tc>
          <w:tcPr>
            <w:tcW w:w="1348" w:type="dxa"/>
            <w:noWrap/>
            <w:vAlign w:val="bottom"/>
            <w:hideMark/>
          </w:tcPr>
          <w:p w14:paraId="19B4FD03"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84</w:t>
            </w:r>
          </w:p>
        </w:tc>
        <w:tc>
          <w:tcPr>
            <w:tcW w:w="1349" w:type="dxa"/>
            <w:noWrap/>
            <w:vAlign w:val="bottom"/>
            <w:hideMark/>
          </w:tcPr>
          <w:p w14:paraId="4F5B0F0A"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41.8</w:t>
            </w:r>
          </w:p>
        </w:tc>
      </w:tr>
      <w:tr w:rsidR="003D161E" w:rsidRPr="003D161E" w14:paraId="7B66D9AD" w14:textId="77777777" w:rsidTr="009A221B">
        <w:trPr>
          <w:trHeight w:val="50"/>
        </w:trPr>
        <w:tc>
          <w:tcPr>
            <w:tcW w:w="6400" w:type="dxa"/>
            <w:noWrap/>
            <w:vAlign w:val="bottom"/>
            <w:hideMark/>
          </w:tcPr>
          <w:p w14:paraId="4D13ED7D"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Yes</w:t>
            </w:r>
          </w:p>
        </w:tc>
        <w:tc>
          <w:tcPr>
            <w:tcW w:w="1348" w:type="dxa"/>
            <w:noWrap/>
            <w:vAlign w:val="bottom"/>
            <w:hideMark/>
          </w:tcPr>
          <w:p w14:paraId="108AA02A"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117</w:t>
            </w:r>
          </w:p>
        </w:tc>
        <w:tc>
          <w:tcPr>
            <w:tcW w:w="1349" w:type="dxa"/>
            <w:noWrap/>
            <w:vAlign w:val="bottom"/>
            <w:hideMark/>
          </w:tcPr>
          <w:p w14:paraId="312F373D"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58.2</w:t>
            </w:r>
          </w:p>
        </w:tc>
      </w:tr>
      <w:tr w:rsidR="003D161E" w:rsidRPr="003D161E" w14:paraId="1AF4EF9C" w14:textId="77777777" w:rsidTr="009A221B">
        <w:trPr>
          <w:trHeight w:val="50"/>
        </w:trPr>
        <w:tc>
          <w:tcPr>
            <w:tcW w:w="6400" w:type="dxa"/>
            <w:noWrap/>
            <w:vAlign w:val="bottom"/>
            <w:hideMark/>
          </w:tcPr>
          <w:p w14:paraId="33B9BCBB" w14:textId="77777777" w:rsidR="003D161E" w:rsidRPr="003D161E" w:rsidRDefault="003D161E" w:rsidP="003D161E">
            <w:pPr>
              <w:pStyle w:val="BodyText3"/>
              <w:tabs>
                <w:tab w:val="left" w:pos="1080"/>
              </w:tabs>
              <w:ind w:left="1080" w:hanging="1080"/>
              <w:jc w:val="both"/>
              <w:rPr>
                <w:rFonts w:ascii="Arial" w:hAnsi="Arial"/>
                <w:b/>
                <w:bCs/>
              </w:rPr>
            </w:pPr>
            <w:r w:rsidRPr="003D161E">
              <w:rPr>
                <w:rFonts w:ascii="Arial" w:hAnsi="Arial"/>
                <w:b/>
                <w:bCs/>
              </w:rPr>
              <w:t>Participant BMI</w:t>
            </w:r>
          </w:p>
        </w:tc>
        <w:tc>
          <w:tcPr>
            <w:tcW w:w="1348" w:type="dxa"/>
            <w:noWrap/>
            <w:vAlign w:val="bottom"/>
            <w:hideMark/>
          </w:tcPr>
          <w:p w14:paraId="778A2793"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c>
          <w:tcPr>
            <w:tcW w:w="1349" w:type="dxa"/>
            <w:noWrap/>
            <w:vAlign w:val="bottom"/>
            <w:hideMark/>
          </w:tcPr>
          <w:p w14:paraId="0A1D23D9"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 </w:t>
            </w:r>
          </w:p>
        </w:tc>
      </w:tr>
      <w:tr w:rsidR="003D161E" w:rsidRPr="003D161E" w14:paraId="4277D4AC" w14:textId="77777777" w:rsidTr="009A221B">
        <w:trPr>
          <w:trHeight w:val="50"/>
        </w:trPr>
        <w:tc>
          <w:tcPr>
            <w:tcW w:w="6400" w:type="dxa"/>
            <w:noWrap/>
            <w:vAlign w:val="bottom"/>
            <w:hideMark/>
          </w:tcPr>
          <w:p w14:paraId="4198FADB"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Underweight</w:t>
            </w:r>
          </w:p>
        </w:tc>
        <w:tc>
          <w:tcPr>
            <w:tcW w:w="1348" w:type="dxa"/>
            <w:noWrap/>
            <w:vAlign w:val="bottom"/>
            <w:hideMark/>
          </w:tcPr>
          <w:p w14:paraId="24DC6C77"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6</w:t>
            </w:r>
          </w:p>
        </w:tc>
        <w:tc>
          <w:tcPr>
            <w:tcW w:w="1349" w:type="dxa"/>
            <w:noWrap/>
            <w:vAlign w:val="bottom"/>
            <w:hideMark/>
          </w:tcPr>
          <w:p w14:paraId="3739E0F4"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3</w:t>
            </w:r>
          </w:p>
        </w:tc>
      </w:tr>
      <w:tr w:rsidR="003D161E" w:rsidRPr="003D161E" w14:paraId="30EA844D" w14:textId="77777777" w:rsidTr="009A221B">
        <w:trPr>
          <w:trHeight w:val="315"/>
        </w:trPr>
        <w:tc>
          <w:tcPr>
            <w:tcW w:w="6400" w:type="dxa"/>
            <w:noWrap/>
            <w:vAlign w:val="bottom"/>
            <w:hideMark/>
          </w:tcPr>
          <w:p w14:paraId="0A2690C5"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Normal</w:t>
            </w:r>
          </w:p>
        </w:tc>
        <w:tc>
          <w:tcPr>
            <w:tcW w:w="1348" w:type="dxa"/>
            <w:noWrap/>
            <w:vAlign w:val="bottom"/>
            <w:hideMark/>
          </w:tcPr>
          <w:p w14:paraId="048C9795"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91</w:t>
            </w:r>
          </w:p>
        </w:tc>
        <w:tc>
          <w:tcPr>
            <w:tcW w:w="1349" w:type="dxa"/>
            <w:noWrap/>
            <w:vAlign w:val="bottom"/>
            <w:hideMark/>
          </w:tcPr>
          <w:p w14:paraId="209FE395"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45.3</w:t>
            </w:r>
          </w:p>
        </w:tc>
      </w:tr>
      <w:tr w:rsidR="003D161E" w:rsidRPr="003D161E" w14:paraId="0955F84A" w14:textId="77777777" w:rsidTr="009A221B">
        <w:trPr>
          <w:trHeight w:val="315"/>
        </w:trPr>
        <w:tc>
          <w:tcPr>
            <w:tcW w:w="6400" w:type="dxa"/>
            <w:noWrap/>
            <w:vAlign w:val="bottom"/>
            <w:hideMark/>
          </w:tcPr>
          <w:p w14:paraId="2FE24827"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Overweight</w:t>
            </w:r>
          </w:p>
        </w:tc>
        <w:tc>
          <w:tcPr>
            <w:tcW w:w="1348" w:type="dxa"/>
            <w:noWrap/>
            <w:vAlign w:val="bottom"/>
            <w:hideMark/>
          </w:tcPr>
          <w:p w14:paraId="16F6D344"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78</w:t>
            </w:r>
          </w:p>
        </w:tc>
        <w:tc>
          <w:tcPr>
            <w:tcW w:w="1349" w:type="dxa"/>
            <w:noWrap/>
            <w:vAlign w:val="bottom"/>
            <w:hideMark/>
          </w:tcPr>
          <w:p w14:paraId="16139C0A"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38.8</w:t>
            </w:r>
          </w:p>
        </w:tc>
      </w:tr>
      <w:tr w:rsidR="003D161E" w:rsidRPr="003D161E" w14:paraId="10CE648B" w14:textId="77777777" w:rsidTr="009A221B">
        <w:trPr>
          <w:trHeight w:val="60"/>
        </w:trPr>
        <w:tc>
          <w:tcPr>
            <w:tcW w:w="6400" w:type="dxa"/>
            <w:tcBorders>
              <w:bottom w:val="single" w:sz="4" w:space="0" w:color="auto"/>
            </w:tcBorders>
            <w:noWrap/>
            <w:vAlign w:val="bottom"/>
            <w:hideMark/>
          </w:tcPr>
          <w:p w14:paraId="4222DB64"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lastRenderedPageBreak/>
              <w:t>Obese</w:t>
            </w:r>
          </w:p>
        </w:tc>
        <w:tc>
          <w:tcPr>
            <w:tcW w:w="1348" w:type="dxa"/>
            <w:tcBorders>
              <w:bottom w:val="single" w:sz="4" w:space="0" w:color="auto"/>
            </w:tcBorders>
            <w:noWrap/>
            <w:vAlign w:val="bottom"/>
            <w:hideMark/>
          </w:tcPr>
          <w:p w14:paraId="4E47611F"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26</w:t>
            </w:r>
          </w:p>
        </w:tc>
        <w:tc>
          <w:tcPr>
            <w:tcW w:w="1349" w:type="dxa"/>
            <w:tcBorders>
              <w:bottom w:val="single" w:sz="4" w:space="0" w:color="auto"/>
            </w:tcBorders>
            <w:noWrap/>
            <w:vAlign w:val="bottom"/>
            <w:hideMark/>
          </w:tcPr>
          <w:p w14:paraId="2365BB47" w14:textId="77777777" w:rsidR="003D161E" w:rsidRPr="003D161E" w:rsidRDefault="003D161E" w:rsidP="003D161E">
            <w:pPr>
              <w:pStyle w:val="BodyText3"/>
              <w:tabs>
                <w:tab w:val="left" w:pos="1080"/>
              </w:tabs>
              <w:ind w:left="1080" w:hanging="1080"/>
              <w:jc w:val="both"/>
              <w:rPr>
                <w:rFonts w:ascii="Arial" w:hAnsi="Arial"/>
                <w:b/>
              </w:rPr>
            </w:pPr>
            <w:r w:rsidRPr="003D161E">
              <w:rPr>
                <w:rFonts w:ascii="Arial" w:hAnsi="Arial"/>
                <w:b/>
              </w:rPr>
              <w:t>12.9</w:t>
            </w:r>
          </w:p>
        </w:tc>
      </w:tr>
    </w:tbl>
    <w:p w14:paraId="58F3E27D" w14:textId="77777777" w:rsidR="003D161E" w:rsidRPr="003D161E" w:rsidRDefault="003D161E" w:rsidP="003D161E">
      <w:pPr>
        <w:pStyle w:val="BodyText3"/>
        <w:tabs>
          <w:tab w:val="left" w:pos="1080"/>
        </w:tabs>
        <w:ind w:left="1080" w:hanging="1080"/>
        <w:jc w:val="both"/>
        <w:rPr>
          <w:rFonts w:ascii="Arial" w:hAnsi="Arial"/>
          <w:b/>
        </w:rPr>
      </w:pPr>
    </w:p>
    <w:p w14:paraId="1F44C5E1" w14:textId="77777777" w:rsidR="002B395B" w:rsidRDefault="002B395B" w:rsidP="003D161E">
      <w:pPr>
        <w:pStyle w:val="BodyText3"/>
        <w:tabs>
          <w:tab w:val="left" w:pos="1080"/>
        </w:tabs>
        <w:ind w:left="1080" w:hanging="1080"/>
        <w:jc w:val="both"/>
        <w:rPr>
          <w:rFonts w:ascii="Arial" w:hAnsi="Arial"/>
          <w:b/>
          <w:bCs/>
          <w:i/>
          <w:sz w:val="18"/>
        </w:rPr>
      </w:pPr>
    </w:p>
    <w:p w14:paraId="2C6814DE" w14:textId="77777777" w:rsidR="008974F7" w:rsidRDefault="008974F7" w:rsidP="003D161E">
      <w:pPr>
        <w:pStyle w:val="BodyText3"/>
        <w:tabs>
          <w:tab w:val="left" w:pos="1080"/>
        </w:tabs>
        <w:ind w:left="1080" w:hanging="1080"/>
        <w:jc w:val="both"/>
        <w:rPr>
          <w:rFonts w:ascii="Arial" w:hAnsi="Arial"/>
          <w:b/>
          <w:bCs/>
          <w:i/>
          <w:sz w:val="18"/>
        </w:rPr>
      </w:pPr>
    </w:p>
    <w:p w14:paraId="2FF5511B"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
          <w:bCs/>
          <w:i/>
          <w:sz w:val="18"/>
        </w:rPr>
        <w:t>Table 2</w:t>
      </w:r>
      <w:r w:rsidRPr="003D161E">
        <w:rPr>
          <w:rFonts w:ascii="Arial" w:hAnsi="Arial"/>
          <w:bCs/>
          <w:i/>
          <w:sz w:val="18"/>
        </w:rPr>
        <w:t xml:space="preserve">: </w:t>
      </w:r>
      <w:r w:rsidRPr="003D161E">
        <w:rPr>
          <w:rFonts w:ascii="Arial" w:hAnsi="Arial"/>
          <w:b/>
          <w:bCs/>
          <w:i/>
          <w:sz w:val="18"/>
        </w:rPr>
        <w:t>Participant Laboratory findings</w:t>
      </w:r>
    </w:p>
    <w:tbl>
      <w:tblPr>
        <w:tblW w:w="9059" w:type="dxa"/>
        <w:tblBorders>
          <w:bottom w:val="single" w:sz="4" w:space="0" w:color="auto"/>
        </w:tblBorders>
        <w:tblLook w:val="04A0" w:firstRow="1" w:lastRow="0" w:firstColumn="1" w:lastColumn="0" w:noHBand="0" w:noVBand="1"/>
      </w:tblPr>
      <w:tblGrid>
        <w:gridCol w:w="5760"/>
        <w:gridCol w:w="1950"/>
        <w:gridCol w:w="1349"/>
      </w:tblGrid>
      <w:tr w:rsidR="003D161E" w:rsidRPr="003D161E" w14:paraId="46A9B403" w14:textId="77777777" w:rsidTr="009A221B">
        <w:trPr>
          <w:trHeight w:val="315"/>
        </w:trPr>
        <w:tc>
          <w:tcPr>
            <w:tcW w:w="5760" w:type="dxa"/>
            <w:tcBorders>
              <w:top w:val="single" w:sz="4" w:space="0" w:color="auto"/>
              <w:bottom w:val="single" w:sz="4" w:space="0" w:color="auto"/>
            </w:tcBorders>
            <w:noWrap/>
            <w:vAlign w:val="bottom"/>
            <w:hideMark/>
          </w:tcPr>
          <w:p w14:paraId="71354515"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
                <w:bCs/>
                <w:i/>
                <w:sz w:val="18"/>
              </w:rPr>
              <w:t>Characteristics</w:t>
            </w:r>
          </w:p>
        </w:tc>
        <w:tc>
          <w:tcPr>
            <w:tcW w:w="1950" w:type="dxa"/>
            <w:tcBorders>
              <w:top w:val="single" w:sz="4" w:space="0" w:color="auto"/>
              <w:bottom w:val="single" w:sz="4" w:space="0" w:color="auto"/>
            </w:tcBorders>
            <w:noWrap/>
            <w:vAlign w:val="bottom"/>
            <w:hideMark/>
          </w:tcPr>
          <w:p w14:paraId="23A83363"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
                <w:bCs/>
                <w:i/>
                <w:sz w:val="18"/>
              </w:rPr>
              <w:t>Frequency</w:t>
            </w:r>
          </w:p>
        </w:tc>
        <w:tc>
          <w:tcPr>
            <w:tcW w:w="1349" w:type="dxa"/>
            <w:tcBorders>
              <w:top w:val="single" w:sz="4" w:space="0" w:color="auto"/>
              <w:bottom w:val="single" w:sz="4" w:space="0" w:color="auto"/>
            </w:tcBorders>
            <w:noWrap/>
            <w:vAlign w:val="bottom"/>
            <w:hideMark/>
          </w:tcPr>
          <w:p w14:paraId="06C82114"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
                <w:bCs/>
                <w:i/>
                <w:sz w:val="18"/>
              </w:rPr>
              <w:t>Percentage</w:t>
            </w:r>
          </w:p>
        </w:tc>
      </w:tr>
      <w:tr w:rsidR="003D161E" w:rsidRPr="003D161E" w14:paraId="3727EEAA" w14:textId="77777777" w:rsidTr="009A221B">
        <w:trPr>
          <w:trHeight w:val="315"/>
        </w:trPr>
        <w:tc>
          <w:tcPr>
            <w:tcW w:w="5760" w:type="dxa"/>
            <w:tcBorders>
              <w:top w:val="single" w:sz="4" w:space="0" w:color="auto"/>
            </w:tcBorders>
            <w:noWrap/>
            <w:vAlign w:val="bottom"/>
            <w:hideMark/>
          </w:tcPr>
          <w:p w14:paraId="776BB652" w14:textId="77777777" w:rsidR="003D161E" w:rsidRPr="003D161E" w:rsidRDefault="003D161E" w:rsidP="003D161E">
            <w:pPr>
              <w:pStyle w:val="BodyText3"/>
              <w:tabs>
                <w:tab w:val="left" w:pos="1080"/>
              </w:tabs>
              <w:ind w:left="1080" w:hanging="1080"/>
              <w:jc w:val="both"/>
              <w:rPr>
                <w:rFonts w:ascii="Arial" w:hAnsi="Arial"/>
                <w:b/>
                <w:bCs/>
                <w:i/>
                <w:sz w:val="18"/>
              </w:rPr>
            </w:pPr>
            <w:r w:rsidRPr="003D161E">
              <w:rPr>
                <w:rFonts w:ascii="Arial" w:hAnsi="Arial"/>
                <w:b/>
                <w:bCs/>
                <w:i/>
                <w:sz w:val="18"/>
              </w:rPr>
              <w:t xml:space="preserve">Serum Magnesium level </w:t>
            </w:r>
          </w:p>
        </w:tc>
        <w:tc>
          <w:tcPr>
            <w:tcW w:w="1950" w:type="dxa"/>
            <w:tcBorders>
              <w:top w:val="single" w:sz="4" w:space="0" w:color="auto"/>
            </w:tcBorders>
            <w:noWrap/>
            <w:vAlign w:val="bottom"/>
            <w:hideMark/>
          </w:tcPr>
          <w:p w14:paraId="7A3E62D1"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 </w:t>
            </w:r>
          </w:p>
        </w:tc>
        <w:tc>
          <w:tcPr>
            <w:tcW w:w="1349" w:type="dxa"/>
            <w:tcBorders>
              <w:top w:val="single" w:sz="4" w:space="0" w:color="auto"/>
            </w:tcBorders>
            <w:noWrap/>
            <w:vAlign w:val="bottom"/>
            <w:hideMark/>
          </w:tcPr>
          <w:p w14:paraId="4661F605"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 </w:t>
            </w:r>
          </w:p>
        </w:tc>
      </w:tr>
      <w:tr w:rsidR="003D161E" w:rsidRPr="003D161E" w14:paraId="2A352294" w14:textId="77777777" w:rsidTr="009A221B">
        <w:trPr>
          <w:trHeight w:val="315"/>
        </w:trPr>
        <w:tc>
          <w:tcPr>
            <w:tcW w:w="5760" w:type="dxa"/>
            <w:noWrap/>
            <w:vAlign w:val="bottom"/>
            <w:hideMark/>
          </w:tcPr>
          <w:p w14:paraId="11FBC93A"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Normal</w:t>
            </w:r>
          </w:p>
        </w:tc>
        <w:tc>
          <w:tcPr>
            <w:tcW w:w="1950" w:type="dxa"/>
            <w:noWrap/>
            <w:vAlign w:val="bottom"/>
            <w:hideMark/>
          </w:tcPr>
          <w:p w14:paraId="036364E8"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172</w:t>
            </w:r>
          </w:p>
        </w:tc>
        <w:tc>
          <w:tcPr>
            <w:tcW w:w="1349" w:type="dxa"/>
            <w:noWrap/>
            <w:vAlign w:val="bottom"/>
            <w:hideMark/>
          </w:tcPr>
          <w:p w14:paraId="1722B98D"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85.6</w:t>
            </w:r>
          </w:p>
        </w:tc>
      </w:tr>
      <w:tr w:rsidR="003D161E" w:rsidRPr="003D161E" w14:paraId="5CFF8D57" w14:textId="77777777" w:rsidTr="009A221B">
        <w:trPr>
          <w:trHeight w:val="315"/>
        </w:trPr>
        <w:tc>
          <w:tcPr>
            <w:tcW w:w="5760" w:type="dxa"/>
            <w:noWrap/>
            <w:vAlign w:val="bottom"/>
            <w:hideMark/>
          </w:tcPr>
          <w:p w14:paraId="537C3EC3" w14:textId="77777777" w:rsidR="003D161E" w:rsidRPr="003D161E" w:rsidRDefault="004677D8" w:rsidP="003D161E">
            <w:pPr>
              <w:pStyle w:val="BodyText3"/>
              <w:tabs>
                <w:tab w:val="left" w:pos="1080"/>
              </w:tabs>
              <w:ind w:left="1080" w:hanging="1080"/>
              <w:jc w:val="both"/>
              <w:rPr>
                <w:rFonts w:ascii="Arial" w:hAnsi="Arial"/>
                <w:bCs/>
                <w:i/>
                <w:sz w:val="18"/>
              </w:rPr>
            </w:pPr>
            <w:r w:rsidRPr="004677D8">
              <w:rPr>
                <w:rFonts w:ascii="Arial" w:hAnsi="Arial"/>
                <w:bCs/>
                <w:i/>
                <w:sz w:val="18"/>
              </w:rPr>
              <w:t>Hypomagnesemia</w:t>
            </w:r>
          </w:p>
        </w:tc>
        <w:tc>
          <w:tcPr>
            <w:tcW w:w="1950" w:type="dxa"/>
            <w:noWrap/>
            <w:vAlign w:val="bottom"/>
            <w:hideMark/>
          </w:tcPr>
          <w:p w14:paraId="6080A51E"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29</w:t>
            </w:r>
          </w:p>
        </w:tc>
        <w:tc>
          <w:tcPr>
            <w:tcW w:w="1349" w:type="dxa"/>
            <w:noWrap/>
            <w:vAlign w:val="bottom"/>
            <w:hideMark/>
          </w:tcPr>
          <w:p w14:paraId="424B476A"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14.4</w:t>
            </w:r>
          </w:p>
        </w:tc>
      </w:tr>
      <w:tr w:rsidR="003D161E" w:rsidRPr="003D161E" w14:paraId="5E49EAE0" w14:textId="77777777" w:rsidTr="009A221B">
        <w:trPr>
          <w:trHeight w:val="315"/>
        </w:trPr>
        <w:tc>
          <w:tcPr>
            <w:tcW w:w="5760" w:type="dxa"/>
            <w:noWrap/>
            <w:vAlign w:val="bottom"/>
          </w:tcPr>
          <w:p w14:paraId="52DE28A8" w14:textId="77777777" w:rsidR="003D161E" w:rsidRPr="003D161E" w:rsidRDefault="003D161E" w:rsidP="003D161E">
            <w:pPr>
              <w:pStyle w:val="BodyText3"/>
              <w:tabs>
                <w:tab w:val="left" w:pos="1080"/>
              </w:tabs>
              <w:ind w:left="1080" w:hanging="1080"/>
              <w:jc w:val="both"/>
              <w:rPr>
                <w:rFonts w:ascii="Arial" w:hAnsi="Arial"/>
                <w:bCs/>
                <w:i/>
                <w:iCs/>
                <w:sz w:val="18"/>
              </w:rPr>
            </w:pPr>
            <w:r w:rsidRPr="003D161E">
              <w:rPr>
                <w:rFonts w:ascii="Arial" w:hAnsi="Arial"/>
                <w:bCs/>
                <w:i/>
                <w:iCs/>
                <w:sz w:val="18"/>
              </w:rPr>
              <w:t>Mean (SD)</w:t>
            </w:r>
          </w:p>
        </w:tc>
        <w:tc>
          <w:tcPr>
            <w:tcW w:w="1950" w:type="dxa"/>
            <w:noWrap/>
            <w:vAlign w:val="bottom"/>
          </w:tcPr>
          <w:p w14:paraId="2FCA9E02" w14:textId="77777777" w:rsidR="003D161E" w:rsidRPr="003D161E" w:rsidRDefault="003D161E" w:rsidP="003D161E">
            <w:pPr>
              <w:pStyle w:val="BodyText3"/>
              <w:tabs>
                <w:tab w:val="left" w:pos="1080"/>
              </w:tabs>
              <w:ind w:left="1080" w:hanging="1080"/>
              <w:jc w:val="both"/>
              <w:rPr>
                <w:rFonts w:ascii="Arial" w:hAnsi="Arial"/>
                <w:bCs/>
                <w:i/>
                <w:iCs/>
                <w:sz w:val="18"/>
              </w:rPr>
            </w:pPr>
            <w:r w:rsidRPr="003D161E">
              <w:rPr>
                <w:rFonts w:ascii="Arial" w:hAnsi="Arial"/>
                <w:bCs/>
                <w:i/>
                <w:iCs/>
                <w:sz w:val="18"/>
              </w:rPr>
              <w:t>0.8(±0.18)</w:t>
            </w:r>
          </w:p>
        </w:tc>
        <w:tc>
          <w:tcPr>
            <w:tcW w:w="1349" w:type="dxa"/>
            <w:noWrap/>
            <w:vAlign w:val="bottom"/>
          </w:tcPr>
          <w:p w14:paraId="0B1C7890" w14:textId="77777777" w:rsidR="003D161E" w:rsidRPr="003D161E" w:rsidRDefault="003D161E" w:rsidP="003D161E">
            <w:pPr>
              <w:pStyle w:val="BodyText3"/>
              <w:tabs>
                <w:tab w:val="left" w:pos="1080"/>
              </w:tabs>
              <w:ind w:left="1080" w:hanging="1080"/>
              <w:jc w:val="both"/>
              <w:rPr>
                <w:rFonts w:ascii="Arial" w:hAnsi="Arial"/>
                <w:bCs/>
                <w:i/>
                <w:sz w:val="18"/>
              </w:rPr>
            </w:pPr>
          </w:p>
        </w:tc>
      </w:tr>
      <w:tr w:rsidR="003D161E" w:rsidRPr="003D161E" w14:paraId="76EACB38" w14:textId="77777777" w:rsidTr="009A221B">
        <w:trPr>
          <w:trHeight w:val="315"/>
        </w:trPr>
        <w:tc>
          <w:tcPr>
            <w:tcW w:w="5760" w:type="dxa"/>
            <w:noWrap/>
            <w:vAlign w:val="bottom"/>
            <w:hideMark/>
          </w:tcPr>
          <w:p w14:paraId="54C486EA" w14:textId="77777777" w:rsidR="003D161E" w:rsidRPr="003D161E" w:rsidRDefault="003D161E" w:rsidP="003D161E">
            <w:pPr>
              <w:pStyle w:val="BodyText3"/>
              <w:tabs>
                <w:tab w:val="left" w:pos="1080"/>
              </w:tabs>
              <w:ind w:left="1080" w:hanging="1080"/>
              <w:jc w:val="both"/>
              <w:rPr>
                <w:rFonts w:ascii="Arial" w:hAnsi="Arial"/>
                <w:b/>
                <w:bCs/>
                <w:i/>
                <w:sz w:val="18"/>
              </w:rPr>
            </w:pPr>
            <w:r w:rsidRPr="003D161E">
              <w:rPr>
                <w:rFonts w:ascii="Arial" w:hAnsi="Arial"/>
                <w:b/>
                <w:bCs/>
                <w:i/>
                <w:sz w:val="18"/>
              </w:rPr>
              <w:t>Serum Cholesterol level</w:t>
            </w:r>
          </w:p>
        </w:tc>
        <w:tc>
          <w:tcPr>
            <w:tcW w:w="1950" w:type="dxa"/>
            <w:noWrap/>
            <w:vAlign w:val="bottom"/>
            <w:hideMark/>
          </w:tcPr>
          <w:p w14:paraId="12789C4C"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 </w:t>
            </w:r>
          </w:p>
        </w:tc>
        <w:tc>
          <w:tcPr>
            <w:tcW w:w="1349" w:type="dxa"/>
            <w:noWrap/>
            <w:vAlign w:val="bottom"/>
            <w:hideMark/>
          </w:tcPr>
          <w:p w14:paraId="3810C88E"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 </w:t>
            </w:r>
          </w:p>
        </w:tc>
      </w:tr>
      <w:tr w:rsidR="003D161E" w:rsidRPr="003D161E" w14:paraId="44CEA053" w14:textId="77777777" w:rsidTr="009A221B">
        <w:trPr>
          <w:trHeight w:val="315"/>
        </w:trPr>
        <w:tc>
          <w:tcPr>
            <w:tcW w:w="5760" w:type="dxa"/>
            <w:noWrap/>
            <w:vAlign w:val="bottom"/>
            <w:hideMark/>
          </w:tcPr>
          <w:p w14:paraId="2883292B"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Normal</w:t>
            </w:r>
          </w:p>
        </w:tc>
        <w:tc>
          <w:tcPr>
            <w:tcW w:w="1950" w:type="dxa"/>
            <w:noWrap/>
            <w:vAlign w:val="bottom"/>
            <w:hideMark/>
          </w:tcPr>
          <w:p w14:paraId="4ACF19FB"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112</w:t>
            </w:r>
          </w:p>
        </w:tc>
        <w:tc>
          <w:tcPr>
            <w:tcW w:w="1349" w:type="dxa"/>
            <w:noWrap/>
            <w:vAlign w:val="bottom"/>
            <w:hideMark/>
          </w:tcPr>
          <w:p w14:paraId="06249757"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55.7</w:t>
            </w:r>
          </w:p>
        </w:tc>
      </w:tr>
      <w:tr w:rsidR="003D161E" w:rsidRPr="003D161E" w14:paraId="4A6B756E" w14:textId="77777777" w:rsidTr="009A221B">
        <w:trPr>
          <w:trHeight w:val="315"/>
        </w:trPr>
        <w:tc>
          <w:tcPr>
            <w:tcW w:w="5760" w:type="dxa"/>
            <w:noWrap/>
            <w:vAlign w:val="bottom"/>
            <w:hideMark/>
          </w:tcPr>
          <w:p w14:paraId="45E96113" w14:textId="77777777" w:rsidR="003D161E" w:rsidRPr="003D161E" w:rsidRDefault="004677D8" w:rsidP="003D161E">
            <w:pPr>
              <w:pStyle w:val="BodyText3"/>
              <w:tabs>
                <w:tab w:val="left" w:pos="1080"/>
              </w:tabs>
              <w:ind w:left="1080" w:hanging="1080"/>
              <w:jc w:val="both"/>
              <w:rPr>
                <w:rFonts w:ascii="Arial" w:hAnsi="Arial"/>
                <w:bCs/>
                <w:i/>
                <w:sz w:val="18"/>
              </w:rPr>
            </w:pPr>
            <w:r>
              <w:rPr>
                <w:rFonts w:ascii="Arial" w:hAnsi="Arial"/>
                <w:bCs/>
                <w:i/>
                <w:sz w:val="18"/>
              </w:rPr>
              <w:t>High Cholesterol</w:t>
            </w:r>
          </w:p>
        </w:tc>
        <w:tc>
          <w:tcPr>
            <w:tcW w:w="1950" w:type="dxa"/>
            <w:noWrap/>
            <w:vAlign w:val="bottom"/>
            <w:hideMark/>
          </w:tcPr>
          <w:p w14:paraId="253DF656"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89</w:t>
            </w:r>
          </w:p>
        </w:tc>
        <w:tc>
          <w:tcPr>
            <w:tcW w:w="1349" w:type="dxa"/>
            <w:noWrap/>
            <w:vAlign w:val="bottom"/>
            <w:hideMark/>
          </w:tcPr>
          <w:p w14:paraId="55201250"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44.3</w:t>
            </w:r>
          </w:p>
        </w:tc>
      </w:tr>
      <w:tr w:rsidR="003D161E" w:rsidRPr="003D161E" w14:paraId="6681DF64" w14:textId="77777777" w:rsidTr="009A221B">
        <w:trPr>
          <w:trHeight w:val="315"/>
        </w:trPr>
        <w:tc>
          <w:tcPr>
            <w:tcW w:w="5760" w:type="dxa"/>
            <w:noWrap/>
            <w:vAlign w:val="bottom"/>
          </w:tcPr>
          <w:p w14:paraId="1784EC28"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iCs/>
                <w:sz w:val="18"/>
              </w:rPr>
              <w:t>Mean (SD)</w:t>
            </w:r>
          </w:p>
        </w:tc>
        <w:tc>
          <w:tcPr>
            <w:tcW w:w="1950" w:type="dxa"/>
            <w:noWrap/>
            <w:vAlign w:val="bottom"/>
          </w:tcPr>
          <w:p w14:paraId="61648349" w14:textId="77777777" w:rsidR="003D161E" w:rsidRPr="003D161E" w:rsidRDefault="003D161E" w:rsidP="003D161E">
            <w:pPr>
              <w:pStyle w:val="BodyText3"/>
              <w:tabs>
                <w:tab w:val="left" w:pos="1080"/>
              </w:tabs>
              <w:ind w:left="1080" w:hanging="1080"/>
              <w:jc w:val="both"/>
              <w:rPr>
                <w:rFonts w:ascii="Arial" w:hAnsi="Arial"/>
                <w:bCs/>
                <w:i/>
                <w:iCs/>
                <w:sz w:val="18"/>
              </w:rPr>
            </w:pPr>
            <w:r w:rsidRPr="003D161E">
              <w:rPr>
                <w:rFonts w:ascii="Arial" w:hAnsi="Arial"/>
                <w:bCs/>
                <w:i/>
                <w:iCs/>
                <w:sz w:val="18"/>
              </w:rPr>
              <w:t>5.1(±1.51)</w:t>
            </w:r>
          </w:p>
        </w:tc>
        <w:tc>
          <w:tcPr>
            <w:tcW w:w="1349" w:type="dxa"/>
            <w:noWrap/>
            <w:vAlign w:val="bottom"/>
          </w:tcPr>
          <w:p w14:paraId="680D6FAB" w14:textId="77777777" w:rsidR="003D161E" w:rsidRPr="003D161E" w:rsidRDefault="003D161E" w:rsidP="003D161E">
            <w:pPr>
              <w:pStyle w:val="BodyText3"/>
              <w:tabs>
                <w:tab w:val="left" w:pos="1080"/>
              </w:tabs>
              <w:ind w:left="1080" w:hanging="1080"/>
              <w:jc w:val="both"/>
              <w:rPr>
                <w:rFonts w:ascii="Arial" w:hAnsi="Arial"/>
                <w:bCs/>
                <w:i/>
                <w:sz w:val="18"/>
              </w:rPr>
            </w:pPr>
          </w:p>
        </w:tc>
      </w:tr>
      <w:tr w:rsidR="003D161E" w:rsidRPr="003D161E" w14:paraId="1212924F" w14:textId="77777777" w:rsidTr="009A221B">
        <w:trPr>
          <w:trHeight w:val="315"/>
        </w:trPr>
        <w:tc>
          <w:tcPr>
            <w:tcW w:w="5760" w:type="dxa"/>
            <w:noWrap/>
            <w:vAlign w:val="bottom"/>
            <w:hideMark/>
          </w:tcPr>
          <w:p w14:paraId="1F63EB3A" w14:textId="77777777" w:rsidR="003D161E" w:rsidRPr="003D161E" w:rsidRDefault="003D161E" w:rsidP="003D161E">
            <w:pPr>
              <w:pStyle w:val="BodyText3"/>
              <w:tabs>
                <w:tab w:val="left" w:pos="1080"/>
              </w:tabs>
              <w:ind w:left="1080" w:hanging="1080"/>
              <w:jc w:val="both"/>
              <w:rPr>
                <w:rFonts w:ascii="Arial" w:hAnsi="Arial"/>
                <w:b/>
                <w:bCs/>
                <w:i/>
                <w:sz w:val="18"/>
              </w:rPr>
            </w:pPr>
            <w:r w:rsidRPr="003D161E">
              <w:rPr>
                <w:rFonts w:ascii="Arial" w:hAnsi="Arial"/>
                <w:b/>
                <w:bCs/>
                <w:i/>
                <w:sz w:val="18"/>
              </w:rPr>
              <w:t>Serum HDL level</w:t>
            </w:r>
          </w:p>
        </w:tc>
        <w:tc>
          <w:tcPr>
            <w:tcW w:w="1950" w:type="dxa"/>
            <w:noWrap/>
            <w:vAlign w:val="bottom"/>
            <w:hideMark/>
          </w:tcPr>
          <w:p w14:paraId="5743D920"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 </w:t>
            </w:r>
          </w:p>
        </w:tc>
        <w:tc>
          <w:tcPr>
            <w:tcW w:w="1349" w:type="dxa"/>
            <w:noWrap/>
            <w:vAlign w:val="bottom"/>
            <w:hideMark/>
          </w:tcPr>
          <w:p w14:paraId="60ED7E49"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 </w:t>
            </w:r>
          </w:p>
        </w:tc>
      </w:tr>
      <w:tr w:rsidR="003D161E" w:rsidRPr="003D161E" w14:paraId="5F69ED58" w14:textId="77777777" w:rsidTr="009A221B">
        <w:trPr>
          <w:trHeight w:val="315"/>
        </w:trPr>
        <w:tc>
          <w:tcPr>
            <w:tcW w:w="5760" w:type="dxa"/>
            <w:noWrap/>
            <w:vAlign w:val="bottom"/>
            <w:hideMark/>
          </w:tcPr>
          <w:p w14:paraId="6D83A7BB"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Normal</w:t>
            </w:r>
          </w:p>
        </w:tc>
        <w:tc>
          <w:tcPr>
            <w:tcW w:w="1950" w:type="dxa"/>
            <w:noWrap/>
            <w:vAlign w:val="bottom"/>
            <w:hideMark/>
          </w:tcPr>
          <w:p w14:paraId="6EC69243"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80</w:t>
            </w:r>
          </w:p>
        </w:tc>
        <w:tc>
          <w:tcPr>
            <w:tcW w:w="1349" w:type="dxa"/>
            <w:noWrap/>
            <w:vAlign w:val="bottom"/>
            <w:hideMark/>
          </w:tcPr>
          <w:p w14:paraId="52E612BE"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39.8</w:t>
            </w:r>
          </w:p>
        </w:tc>
      </w:tr>
      <w:tr w:rsidR="003D161E" w:rsidRPr="003D161E" w14:paraId="11FA7F2D" w14:textId="77777777" w:rsidTr="009A221B">
        <w:trPr>
          <w:trHeight w:val="315"/>
        </w:trPr>
        <w:tc>
          <w:tcPr>
            <w:tcW w:w="5760" w:type="dxa"/>
            <w:noWrap/>
            <w:vAlign w:val="bottom"/>
            <w:hideMark/>
          </w:tcPr>
          <w:p w14:paraId="7DC33F80" w14:textId="77777777" w:rsidR="003D161E" w:rsidRPr="003D161E" w:rsidRDefault="004677D8" w:rsidP="003D161E">
            <w:pPr>
              <w:pStyle w:val="BodyText3"/>
              <w:tabs>
                <w:tab w:val="left" w:pos="1080"/>
              </w:tabs>
              <w:ind w:left="1080" w:hanging="1080"/>
              <w:jc w:val="both"/>
              <w:rPr>
                <w:rFonts w:ascii="Arial" w:hAnsi="Arial"/>
                <w:bCs/>
                <w:i/>
                <w:sz w:val="18"/>
              </w:rPr>
            </w:pPr>
            <w:r>
              <w:rPr>
                <w:rFonts w:ascii="Arial" w:hAnsi="Arial"/>
                <w:bCs/>
                <w:i/>
                <w:sz w:val="18"/>
              </w:rPr>
              <w:t>Low HDL</w:t>
            </w:r>
          </w:p>
        </w:tc>
        <w:tc>
          <w:tcPr>
            <w:tcW w:w="1950" w:type="dxa"/>
            <w:noWrap/>
            <w:vAlign w:val="bottom"/>
            <w:hideMark/>
          </w:tcPr>
          <w:p w14:paraId="46681F57"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121</w:t>
            </w:r>
          </w:p>
        </w:tc>
        <w:tc>
          <w:tcPr>
            <w:tcW w:w="1349" w:type="dxa"/>
            <w:noWrap/>
            <w:vAlign w:val="bottom"/>
            <w:hideMark/>
          </w:tcPr>
          <w:p w14:paraId="2387209A"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60.2</w:t>
            </w:r>
          </w:p>
        </w:tc>
      </w:tr>
      <w:tr w:rsidR="003D161E" w:rsidRPr="003D161E" w14:paraId="0609E1D8" w14:textId="77777777" w:rsidTr="009A221B">
        <w:trPr>
          <w:trHeight w:val="315"/>
        </w:trPr>
        <w:tc>
          <w:tcPr>
            <w:tcW w:w="5760" w:type="dxa"/>
            <w:noWrap/>
            <w:vAlign w:val="bottom"/>
          </w:tcPr>
          <w:p w14:paraId="51EDA2E9" w14:textId="77777777" w:rsidR="003D161E" w:rsidRPr="003D161E" w:rsidRDefault="003D161E" w:rsidP="003D161E">
            <w:pPr>
              <w:pStyle w:val="BodyText3"/>
              <w:tabs>
                <w:tab w:val="left" w:pos="1080"/>
              </w:tabs>
              <w:ind w:left="1080" w:hanging="1080"/>
              <w:jc w:val="both"/>
              <w:rPr>
                <w:rFonts w:ascii="Arial" w:hAnsi="Arial"/>
                <w:bCs/>
                <w:i/>
                <w:iCs/>
                <w:sz w:val="18"/>
              </w:rPr>
            </w:pPr>
            <w:r w:rsidRPr="003D161E">
              <w:rPr>
                <w:rFonts w:ascii="Arial" w:hAnsi="Arial"/>
                <w:bCs/>
                <w:i/>
                <w:iCs/>
                <w:sz w:val="18"/>
              </w:rPr>
              <w:t>Median (IQR)</w:t>
            </w:r>
          </w:p>
        </w:tc>
        <w:tc>
          <w:tcPr>
            <w:tcW w:w="1950" w:type="dxa"/>
            <w:noWrap/>
            <w:vAlign w:val="bottom"/>
          </w:tcPr>
          <w:p w14:paraId="248F9C03" w14:textId="77777777" w:rsidR="003D161E" w:rsidRPr="003D161E" w:rsidRDefault="003D161E" w:rsidP="003D161E">
            <w:pPr>
              <w:pStyle w:val="BodyText3"/>
              <w:tabs>
                <w:tab w:val="left" w:pos="1080"/>
              </w:tabs>
              <w:ind w:left="1080" w:hanging="1080"/>
              <w:jc w:val="both"/>
              <w:rPr>
                <w:rFonts w:ascii="Arial" w:hAnsi="Arial"/>
                <w:bCs/>
                <w:i/>
                <w:iCs/>
                <w:sz w:val="18"/>
              </w:rPr>
            </w:pPr>
            <w:r w:rsidRPr="003D161E">
              <w:rPr>
                <w:rFonts w:ascii="Arial" w:hAnsi="Arial"/>
                <w:bCs/>
                <w:i/>
                <w:iCs/>
                <w:sz w:val="18"/>
              </w:rPr>
              <w:t>1.24(1.02-1.60)</w:t>
            </w:r>
          </w:p>
        </w:tc>
        <w:tc>
          <w:tcPr>
            <w:tcW w:w="1349" w:type="dxa"/>
            <w:noWrap/>
            <w:vAlign w:val="bottom"/>
          </w:tcPr>
          <w:p w14:paraId="3460F0FD" w14:textId="77777777" w:rsidR="003D161E" w:rsidRPr="003D161E" w:rsidRDefault="003D161E" w:rsidP="003D161E">
            <w:pPr>
              <w:pStyle w:val="BodyText3"/>
              <w:tabs>
                <w:tab w:val="left" w:pos="1080"/>
              </w:tabs>
              <w:ind w:left="1080" w:hanging="1080"/>
              <w:jc w:val="both"/>
              <w:rPr>
                <w:rFonts w:ascii="Arial" w:hAnsi="Arial"/>
                <w:bCs/>
                <w:i/>
                <w:sz w:val="18"/>
              </w:rPr>
            </w:pPr>
          </w:p>
        </w:tc>
      </w:tr>
      <w:tr w:rsidR="003D161E" w:rsidRPr="003D161E" w14:paraId="375D7D42" w14:textId="77777777" w:rsidTr="009A221B">
        <w:trPr>
          <w:trHeight w:val="315"/>
        </w:trPr>
        <w:tc>
          <w:tcPr>
            <w:tcW w:w="5760" w:type="dxa"/>
            <w:noWrap/>
            <w:vAlign w:val="bottom"/>
            <w:hideMark/>
          </w:tcPr>
          <w:p w14:paraId="4429DD55" w14:textId="77777777" w:rsidR="003D161E" w:rsidRPr="003D161E" w:rsidRDefault="003D161E" w:rsidP="003D161E">
            <w:pPr>
              <w:pStyle w:val="BodyText3"/>
              <w:tabs>
                <w:tab w:val="left" w:pos="1080"/>
              </w:tabs>
              <w:ind w:left="1080" w:hanging="1080"/>
              <w:jc w:val="both"/>
              <w:rPr>
                <w:rFonts w:ascii="Arial" w:hAnsi="Arial"/>
                <w:b/>
                <w:bCs/>
                <w:i/>
                <w:sz w:val="18"/>
              </w:rPr>
            </w:pPr>
            <w:r w:rsidRPr="003D161E">
              <w:rPr>
                <w:rFonts w:ascii="Arial" w:hAnsi="Arial"/>
                <w:b/>
                <w:bCs/>
                <w:i/>
                <w:sz w:val="18"/>
              </w:rPr>
              <w:t>Serum Triglyceride level</w:t>
            </w:r>
          </w:p>
        </w:tc>
        <w:tc>
          <w:tcPr>
            <w:tcW w:w="1950" w:type="dxa"/>
            <w:noWrap/>
            <w:vAlign w:val="bottom"/>
            <w:hideMark/>
          </w:tcPr>
          <w:p w14:paraId="151CD2C2"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 </w:t>
            </w:r>
          </w:p>
        </w:tc>
        <w:tc>
          <w:tcPr>
            <w:tcW w:w="1349" w:type="dxa"/>
            <w:noWrap/>
            <w:vAlign w:val="bottom"/>
            <w:hideMark/>
          </w:tcPr>
          <w:p w14:paraId="0DCE1DE4"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 </w:t>
            </w:r>
          </w:p>
        </w:tc>
      </w:tr>
      <w:tr w:rsidR="003D161E" w:rsidRPr="003D161E" w14:paraId="5EFC867E" w14:textId="77777777" w:rsidTr="009A221B">
        <w:trPr>
          <w:trHeight w:val="315"/>
        </w:trPr>
        <w:tc>
          <w:tcPr>
            <w:tcW w:w="5760" w:type="dxa"/>
            <w:noWrap/>
            <w:vAlign w:val="bottom"/>
            <w:hideMark/>
          </w:tcPr>
          <w:p w14:paraId="189B271E"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Normal</w:t>
            </w:r>
          </w:p>
        </w:tc>
        <w:tc>
          <w:tcPr>
            <w:tcW w:w="1950" w:type="dxa"/>
            <w:noWrap/>
            <w:vAlign w:val="bottom"/>
            <w:hideMark/>
          </w:tcPr>
          <w:p w14:paraId="13387115"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152</w:t>
            </w:r>
          </w:p>
        </w:tc>
        <w:tc>
          <w:tcPr>
            <w:tcW w:w="1349" w:type="dxa"/>
            <w:noWrap/>
            <w:vAlign w:val="bottom"/>
            <w:hideMark/>
          </w:tcPr>
          <w:p w14:paraId="7756FB88"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75.6</w:t>
            </w:r>
          </w:p>
        </w:tc>
      </w:tr>
      <w:tr w:rsidR="003D161E" w:rsidRPr="003D161E" w14:paraId="4D638F3E" w14:textId="77777777" w:rsidTr="009A221B">
        <w:trPr>
          <w:trHeight w:val="315"/>
        </w:trPr>
        <w:tc>
          <w:tcPr>
            <w:tcW w:w="5760" w:type="dxa"/>
            <w:noWrap/>
            <w:vAlign w:val="bottom"/>
            <w:hideMark/>
          </w:tcPr>
          <w:p w14:paraId="18C073CE" w14:textId="77777777" w:rsidR="003D161E" w:rsidRPr="003D161E" w:rsidRDefault="004677D8" w:rsidP="003D161E">
            <w:pPr>
              <w:pStyle w:val="BodyText3"/>
              <w:tabs>
                <w:tab w:val="left" w:pos="1080"/>
              </w:tabs>
              <w:ind w:left="1080" w:hanging="1080"/>
              <w:jc w:val="both"/>
              <w:rPr>
                <w:rFonts w:ascii="Arial" w:hAnsi="Arial"/>
                <w:bCs/>
                <w:i/>
                <w:sz w:val="18"/>
              </w:rPr>
            </w:pPr>
            <w:r>
              <w:rPr>
                <w:rFonts w:ascii="Arial" w:hAnsi="Arial"/>
                <w:bCs/>
                <w:i/>
                <w:sz w:val="18"/>
              </w:rPr>
              <w:t>High Triglyceride</w:t>
            </w:r>
          </w:p>
        </w:tc>
        <w:tc>
          <w:tcPr>
            <w:tcW w:w="1950" w:type="dxa"/>
            <w:noWrap/>
            <w:vAlign w:val="bottom"/>
            <w:hideMark/>
          </w:tcPr>
          <w:p w14:paraId="2A276C1F"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49</w:t>
            </w:r>
          </w:p>
        </w:tc>
        <w:tc>
          <w:tcPr>
            <w:tcW w:w="1349" w:type="dxa"/>
            <w:noWrap/>
            <w:vAlign w:val="bottom"/>
            <w:hideMark/>
          </w:tcPr>
          <w:p w14:paraId="456BA346"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sz w:val="18"/>
              </w:rPr>
              <w:t>24.4</w:t>
            </w:r>
          </w:p>
        </w:tc>
      </w:tr>
      <w:tr w:rsidR="003D161E" w:rsidRPr="003D161E" w14:paraId="1629E792" w14:textId="77777777" w:rsidTr="009A221B">
        <w:trPr>
          <w:trHeight w:val="315"/>
        </w:trPr>
        <w:tc>
          <w:tcPr>
            <w:tcW w:w="5760" w:type="dxa"/>
            <w:noWrap/>
            <w:vAlign w:val="bottom"/>
          </w:tcPr>
          <w:p w14:paraId="7F7B1D0E" w14:textId="77777777" w:rsidR="003D161E" w:rsidRPr="003D161E" w:rsidRDefault="003D161E" w:rsidP="003D161E">
            <w:pPr>
              <w:pStyle w:val="BodyText3"/>
              <w:tabs>
                <w:tab w:val="left" w:pos="1080"/>
              </w:tabs>
              <w:ind w:left="1080" w:hanging="1080"/>
              <w:jc w:val="both"/>
              <w:rPr>
                <w:rFonts w:ascii="Arial" w:hAnsi="Arial"/>
                <w:bCs/>
                <w:i/>
                <w:sz w:val="18"/>
              </w:rPr>
            </w:pPr>
            <w:r w:rsidRPr="003D161E">
              <w:rPr>
                <w:rFonts w:ascii="Arial" w:hAnsi="Arial"/>
                <w:bCs/>
                <w:i/>
                <w:iCs/>
                <w:sz w:val="18"/>
              </w:rPr>
              <w:t>Median (IQR)</w:t>
            </w:r>
          </w:p>
        </w:tc>
        <w:tc>
          <w:tcPr>
            <w:tcW w:w="1950" w:type="dxa"/>
            <w:noWrap/>
            <w:vAlign w:val="bottom"/>
          </w:tcPr>
          <w:p w14:paraId="311692A1" w14:textId="77777777" w:rsidR="003D161E" w:rsidRPr="003D161E" w:rsidRDefault="003D161E" w:rsidP="003D161E">
            <w:pPr>
              <w:pStyle w:val="BodyText3"/>
              <w:tabs>
                <w:tab w:val="left" w:pos="1080"/>
              </w:tabs>
              <w:ind w:left="1080" w:hanging="1080"/>
              <w:jc w:val="both"/>
              <w:rPr>
                <w:rFonts w:ascii="Arial" w:hAnsi="Arial"/>
                <w:bCs/>
                <w:i/>
                <w:iCs/>
                <w:sz w:val="18"/>
              </w:rPr>
            </w:pPr>
            <w:r w:rsidRPr="003D161E">
              <w:rPr>
                <w:rFonts w:ascii="Arial" w:hAnsi="Arial"/>
                <w:bCs/>
                <w:i/>
                <w:iCs/>
                <w:sz w:val="18"/>
              </w:rPr>
              <w:t>1.4 (1.01-2.21)</w:t>
            </w:r>
          </w:p>
        </w:tc>
        <w:tc>
          <w:tcPr>
            <w:tcW w:w="1349" w:type="dxa"/>
            <w:noWrap/>
            <w:vAlign w:val="bottom"/>
          </w:tcPr>
          <w:p w14:paraId="4A03FDBC" w14:textId="77777777" w:rsidR="003D161E" w:rsidRPr="003D161E" w:rsidRDefault="003D161E" w:rsidP="003D161E">
            <w:pPr>
              <w:pStyle w:val="BodyText3"/>
              <w:tabs>
                <w:tab w:val="left" w:pos="1080"/>
              </w:tabs>
              <w:ind w:left="1080" w:hanging="1080"/>
              <w:jc w:val="both"/>
              <w:rPr>
                <w:rFonts w:ascii="Arial" w:hAnsi="Arial"/>
                <w:bCs/>
                <w:i/>
                <w:sz w:val="18"/>
              </w:rPr>
            </w:pPr>
          </w:p>
        </w:tc>
      </w:tr>
    </w:tbl>
    <w:p w14:paraId="60A59072" w14:textId="77777777" w:rsidR="003D161E" w:rsidRDefault="003D161E" w:rsidP="00441B6F">
      <w:pPr>
        <w:pStyle w:val="BodyText3"/>
        <w:tabs>
          <w:tab w:val="left" w:pos="1080"/>
        </w:tabs>
        <w:spacing w:after="0"/>
        <w:ind w:left="1080" w:hanging="1080"/>
        <w:jc w:val="both"/>
        <w:rPr>
          <w:rFonts w:ascii="Arial" w:hAnsi="Arial"/>
          <w:bCs/>
          <w:i/>
          <w:sz w:val="18"/>
        </w:rPr>
      </w:pPr>
    </w:p>
    <w:p w14:paraId="4AA35F66" w14:textId="77777777" w:rsidR="009A221B" w:rsidRDefault="009A221B" w:rsidP="00441B6F">
      <w:pPr>
        <w:pStyle w:val="BodyText3"/>
        <w:tabs>
          <w:tab w:val="left" w:pos="1080"/>
        </w:tabs>
        <w:spacing w:after="0"/>
        <w:ind w:left="1080" w:hanging="1080"/>
        <w:jc w:val="both"/>
        <w:rPr>
          <w:rFonts w:ascii="Arial" w:hAnsi="Arial"/>
          <w:bCs/>
          <w:i/>
          <w:sz w:val="18"/>
        </w:rPr>
      </w:pPr>
    </w:p>
    <w:p w14:paraId="788F9ACD" w14:textId="77777777" w:rsidR="009A221B" w:rsidRDefault="009A221B" w:rsidP="00441B6F">
      <w:pPr>
        <w:pStyle w:val="BodyText3"/>
        <w:tabs>
          <w:tab w:val="left" w:pos="1080"/>
        </w:tabs>
        <w:spacing w:after="0"/>
        <w:ind w:left="1080" w:hanging="1080"/>
        <w:jc w:val="both"/>
        <w:rPr>
          <w:rFonts w:ascii="Arial" w:hAnsi="Arial"/>
          <w:bCs/>
          <w:i/>
          <w:sz w:val="18"/>
        </w:rPr>
      </w:pPr>
    </w:p>
    <w:p w14:paraId="3832A701" w14:textId="77777777" w:rsidR="009A221B" w:rsidRDefault="009A221B" w:rsidP="00441B6F">
      <w:pPr>
        <w:pStyle w:val="BodyText3"/>
        <w:tabs>
          <w:tab w:val="left" w:pos="1080"/>
        </w:tabs>
        <w:spacing w:after="0"/>
        <w:ind w:left="1080" w:hanging="1080"/>
        <w:jc w:val="both"/>
        <w:rPr>
          <w:rFonts w:ascii="Arial" w:hAnsi="Arial"/>
          <w:bCs/>
          <w:i/>
          <w:sz w:val="18"/>
        </w:rPr>
      </w:pPr>
    </w:p>
    <w:p w14:paraId="0A3DA703"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7A3CC2CD" w14:textId="3FAAC75A" w:rsidR="009A221B" w:rsidRDefault="002B395B" w:rsidP="009A221B">
      <w:pPr>
        <w:pStyle w:val="Body"/>
        <w:rPr>
          <w:rFonts w:ascii="Arial" w:hAnsi="Arial" w:cs="Arial"/>
          <w:bCs/>
        </w:rPr>
      </w:pPr>
      <w:r w:rsidRPr="009A221B">
        <w:rPr>
          <w:rFonts w:ascii="Arial" w:hAnsi="Arial" w:cs="Arial"/>
          <w:b/>
          <w:bCs/>
        </w:rPr>
        <w:t>(Figure 1</w:t>
      </w:r>
      <w:r>
        <w:rPr>
          <w:rFonts w:ascii="Arial" w:hAnsi="Arial" w:cs="Arial"/>
          <w:bCs/>
        </w:rPr>
        <w:t>)</w:t>
      </w:r>
      <w:r w:rsidRPr="009A221B">
        <w:rPr>
          <w:rFonts w:ascii="Arial" w:hAnsi="Arial" w:cs="Arial"/>
          <w:bCs/>
        </w:rPr>
        <w:t xml:space="preserve">   </w:t>
      </w:r>
      <w:r w:rsidR="009A221B" w:rsidRPr="009A221B">
        <w:rPr>
          <w:rFonts w:ascii="Arial" w:hAnsi="Arial" w:cs="Arial"/>
          <w:bCs/>
        </w:rPr>
        <w:t>Illustrates the distribution of diabetic retinopathy severity among participants. A total of 66.7% of participant had diabetic retinopathy,</w:t>
      </w:r>
      <w:r w:rsidR="00526A9E">
        <w:rPr>
          <w:rFonts w:ascii="Arial" w:hAnsi="Arial" w:cs="Arial"/>
          <w:bCs/>
        </w:rPr>
        <w:t xml:space="preserve"> with 37.8% presenting with </w:t>
      </w:r>
      <w:proofErr w:type="spellStart"/>
      <w:r w:rsidR="00526A9E">
        <w:rPr>
          <w:rFonts w:ascii="Arial" w:hAnsi="Arial" w:cs="Arial"/>
          <w:bCs/>
        </w:rPr>
        <w:t xml:space="preserve">non </w:t>
      </w:r>
      <w:r w:rsidR="009A221B" w:rsidRPr="009A221B">
        <w:rPr>
          <w:rFonts w:ascii="Arial" w:hAnsi="Arial" w:cs="Arial"/>
          <w:bCs/>
        </w:rPr>
        <w:t>proliferative</w:t>
      </w:r>
      <w:proofErr w:type="spellEnd"/>
      <w:r w:rsidR="009A221B" w:rsidRPr="009A221B">
        <w:rPr>
          <w:rFonts w:ascii="Arial" w:hAnsi="Arial" w:cs="Arial"/>
          <w:bCs/>
        </w:rPr>
        <w:t xml:space="preserve"> diabetic retinopathy (NPDR) and 28.9% with proliferative diabetic retinopathy (PDR), while 33.3% had no diabetic retinopathy (NDR). This demonstrate a substantial proportion of the study population was affected by moderate to severe stage of retinopathy</w:t>
      </w:r>
      <w:r>
        <w:rPr>
          <w:rFonts w:ascii="Arial" w:hAnsi="Arial" w:cs="Arial"/>
          <w:bCs/>
        </w:rPr>
        <w:t>.</w:t>
      </w:r>
    </w:p>
    <w:p w14:paraId="66B4B8D8" w14:textId="1DE8999F" w:rsidR="00D971FD" w:rsidRDefault="00D971FD" w:rsidP="009A221B">
      <w:pPr>
        <w:pStyle w:val="Body"/>
        <w:rPr>
          <w:rFonts w:ascii="Arial" w:hAnsi="Arial" w:cs="Arial"/>
          <w:bCs/>
        </w:rPr>
      </w:pPr>
      <w:r w:rsidRPr="00D971FD">
        <w:rPr>
          <w:rFonts w:ascii="Arial" w:hAnsi="Arial" w:cs="Arial"/>
          <w:bCs/>
        </w:rPr>
        <w:t>Figure 1: Distribution of DR Severity among DM patients (N=201)</w:t>
      </w:r>
    </w:p>
    <w:p w14:paraId="080A32D4" w14:textId="77777777" w:rsidR="009A221B" w:rsidRPr="009A221B" w:rsidRDefault="009A221B" w:rsidP="009A221B">
      <w:pPr>
        <w:pStyle w:val="Body"/>
        <w:rPr>
          <w:rFonts w:ascii="Arial" w:hAnsi="Arial" w:cs="Arial"/>
          <w:bCs/>
        </w:rPr>
      </w:pPr>
      <w:r w:rsidRPr="00A62C44">
        <w:rPr>
          <w:rFonts w:ascii="Times New Roman" w:hAnsi="Times New Roman"/>
          <w:noProof/>
          <w:sz w:val="24"/>
          <w:szCs w:val="24"/>
        </w:rPr>
        <w:lastRenderedPageBreak/>
        <w:drawing>
          <wp:inline distT="0" distB="0" distL="0" distR="0" wp14:anchorId="573F3F74" wp14:editId="30722A12">
            <wp:extent cx="4572000" cy="3130062"/>
            <wp:effectExtent l="0" t="0" r="0" b="13335"/>
            <wp:docPr id="1" name="Chart 1">
              <a:extLst xmlns:a="http://schemas.openxmlformats.org/drawingml/2006/main">
                <a:ext uri="{FF2B5EF4-FFF2-40B4-BE49-F238E27FC236}">
                  <a16:creationId xmlns:a16="http://schemas.microsoft.com/office/drawing/2014/main" id="{26349855-ABAE-3B05-6914-F9B3370CA0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A4CA857" w14:textId="77777777" w:rsidR="009A221B" w:rsidRDefault="009A221B" w:rsidP="00441B6F">
      <w:pPr>
        <w:pStyle w:val="Body"/>
        <w:spacing w:after="0"/>
        <w:rPr>
          <w:rFonts w:ascii="Arial" w:hAnsi="Arial" w:cs="Arial"/>
        </w:rPr>
      </w:pPr>
    </w:p>
    <w:p w14:paraId="4B6D6B46" w14:textId="7F5A1C75" w:rsidR="009A221B" w:rsidRDefault="009A221B" w:rsidP="00441B6F">
      <w:pPr>
        <w:pStyle w:val="Body"/>
        <w:spacing w:after="0"/>
        <w:rPr>
          <w:rFonts w:ascii="Arial" w:hAnsi="Arial" w:cs="Arial"/>
        </w:rPr>
      </w:pPr>
    </w:p>
    <w:p w14:paraId="3FB947E1" w14:textId="77777777" w:rsidR="009A221B" w:rsidRPr="009A221B" w:rsidRDefault="009A221B" w:rsidP="009A221B">
      <w:pPr>
        <w:pStyle w:val="Body"/>
        <w:rPr>
          <w:rFonts w:ascii="Arial" w:hAnsi="Arial" w:cs="Arial"/>
        </w:rPr>
      </w:pPr>
      <w:r>
        <w:rPr>
          <w:rFonts w:ascii="Arial" w:hAnsi="Arial" w:cs="Arial"/>
        </w:rPr>
        <w:t xml:space="preserve"> </w:t>
      </w:r>
      <w:r w:rsidRPr="009A221B">
        <w:rPr>
          <w:rFonts w:ascii="Arial" w:hAnsi="Arial" w:cs="Arial"/>
        </w:rPr>
        <w:t>In crude analysis, severity of DR among DM patients was significant associated with Serum magnesium, Duration of Diabetes Mellitus and Serum Cholesterol. Participants with abnormal Serum Magnesium had 2 times significant higher odds of being NPDR and PDR (COR=2.24; 95%CI: 1.12-4.47; p=0.023) compared to participants with normal Serum Magnesium, while participants with DM duration &gt;5 years had 3 times significant higher odds of being NPDR and PDR compared to those with DM duration ≤5 years (COR=3.31; 95%CI: 1.52-7.24; p=0.003). Participants with abnormal Serum Cholesterol had 79% significant higher odds of being NPDR and PDR (COR=1.79; 95%CI: 1.07-2.99; p=0.023) compared to participants with normal Serum Cholesterol.</w:t>
      </w:r>
    </w:p>
    <w:p w14:paraId="42074859" w14:textId="77777777" w:rsidR="009A221B" w:rsidRPr="009A221B" w:rsidRDefault="009A221B" w:rsidP="009A221B">
      <w:pPr>
        <w:pStyle w:val="Body"/>
        <w:spacing w:after="0"/>
        <w:rPr>
          <w:rFonts w:ascii="Arial" w:hAnsi="Arial" w:cs="Arial"/>
        </w:rPr>
      </w:pPr>
      <w:r w:rsidRPr="009A221B">
        <w:rPr>
          <w:rFonts w:ascii="Arial" w:hAnsi="Arial" w:cs="Arial"/>
        </w:rPr>
        <w:t>In adjusted analysis, severity of DR among DM patients was significant associated with Serum magnesium, Duration of Diabetes Mellitus and Serum Cholesterol. Participants with abnormal Serum Magnesium had 2 times significant higher odds of being NPDR and PDR (AOR=2.25; 95%CI: 1.08-4.71; p=0.031) compared to participants with normal Serum Magnesium, while participants with DM duration &gt;5 years had 3 times significant higher odds of being NPDR and PDR compared to those with DM duration ≤5 years (AOR=3.05; 95%CI: 1.37-6.77; p=0.006). Participants with abnormal Serum Cholesterol had 2 times significant higher odds of being NPDR and PDR (AOR=2.01; 95%CI: 1.18-3.42; p=0.011) compared to participants with norm Serum Magnesium. (</w:t>
      </w:r>
      <w:r w:rsidRPr="009A221B">
        <w:rPr>
          <w:rFonts w:ascii="Arial" w:hAnsi="Arial" w:cs="Arial"/>
          <w:b/>
          <w:bCs/>
        </w:rPr>
        <w:t>Table 3</w:t>
      </w:r>
      <w:r w:rsidRPr="009A221B">
        <w:rPr>
          <w:rFonts w:ascii="Arial" w:hAnsi="Arial" w:cs="Arial"/>
        </w:rPr>
        <w:t>)</w:t>
      </w:r>
    </w:p>
    <w:p w14:paraId="2C6F4E5B" w14:textId="77777777" w:rsidR="00376BBE" w:rsidRDefault="009A221B" w:rsidP="00441B6F">
      <w:pPr>
        <w:pStyle w:val="Body"/>
        <w:spacing w:after="0"/>
        <w:rPr>
          <w:rFonts w:ascii="Arial" w:hAnsi="Arial" w:cs="Arial"/>
        </w:rPr>
      </w:pPr>
      <w:r>
        <w:rPr>
          <w:rFonts w:ascii="Arial" w:hAnsi="Arial" w:cs="Arial"/>
        </w:rPr>
        <w:t xml:space="preserve"> </w:t>
      </w:r>
    </w:p>
    <w:p w14:paraId="451DD299" w14:textId="77777777" w:rsidR="009A221B" w:rsidRDefault="009A221B" w:rsidP="00441B6F">
      <w:pPr>
        <w:pStyle w:val="Body"/>
        <w:spacing w:after="0"/>
        <w:rPr>
          <w:rFonts w:ascii="Arial" w:hAnsi="Arial" w:cs="Arial"/>
        </w:rPr>
      </w:pPr>
    </w:p>
    <w:p w14:paraId="242513BF" w14:textId="77777777" w:rsidR="009A221B" w:rsidRPr="008974F7" w:rsidRDefault="009A221B" w:rsidP="009A221B">
      <w:pPr>
        <w:pStyle w:val="Body"/>
        <w:rPr>
          <w:rFonts w:ascii="Arial" w:hAnsi="Arial" w:cs="Arial"/>
          <w:b/>
          <w:bCs/>
        </w:rPr>
      </w:pPr>
      <w:r w:rsidRPr="008974F7">
        <w:rPr>
          <w:rFonts w:ascii="Arial" w:hAnsi="Arial" w:cs="Arial"/>
          <w:b/>
          <w:bCs/>
        </w:rPr>
        <w:t xml:space="preserve">Table 3: </w:t>
      </w:r>
      <w:r w:rsidRPr="008974F7">
        <w:rPr>
          <w:rFonts w:ascii="Arial" w:hAnsi="Arial" w:cs="Arial"/>
        </w:rPr>
        <w:t>Factors associated with DR severity among DM patients</w:t>
      </w:r>
    </w:p>
    <w:tbl>
      <w:tblPr>
        <w:tblW w:w="9175" w:type="dxa"/>
        <w:tblLook w:val="04A0" w:firstRow="1" w:lastRow="0" w:firstColumn="1" w:lastColumn="0" w:noHBand="0" w:noVBand="1"/>
      </w:tblPr>
      <w:tblGrid>
        <w:gridCol w:w="3145"/>
        <w:gridCol w:w="2070"/>
        <w:gridCol w:w="1080"/>
        <w:gridCol w:w="1890"/>
        <w:gridCol w:w="990"/>
      </w:tblGrid>
      <w:tr w:rsidR="009A221B" w:rsidRPr="008974F7" w14:paraId="5638C094" w14:textId="77777777" w:rsidTr="009A221B">
        <w:trPr>
          <w:trHeight w:val="315"/>
        </w:trPr>
        <w:tc>
          <w:tcPr>
            <w:tcW w:w="3145" w:type="dxa"/>
            <w:tcBorders>
              <w:top w:val="single" w:sz="12" w:space="0" w:color="auto"/>
              <w:bottom w:val="single" w:sz="12" w:space="0" w:color="auto"/>
            </w:tcBorders>
            <w:noWrap/>
            <w:vAlign w:val="bottom"/>
            <w:hideMark/>
          </w:tcPr>
          <w:p w14:paraId="3D7349E6" w14:textId="77777777" w:rsidR="009A221B" w:rsidRPr="008974F7" w:rsidRDefault="009A221B" w:rsidP="009A221B">
            <w:pPr>
              <w:pStyle w:val="Body"/>
              <w:rPr>
                <w:rFonts w:ascii="Arial" w:hAnsi="Arial" w:cs="Arial"/>
                <w:b/>
                <w:bCs/>
              </w:rPr>
            </w:pPr>
            <w:r w:rsidRPr="008974F7">
              <w:rPr>
                <w:rFonts w:ascii="Arial" w:hAnsi="Arial" w:cs="Arial"/>
                <w:b/>
                <w:bCs/>
              </w:rPr>
              <w:t>Variable</w:t>
            </w:r>
          </w:p>
        </w:tc>
        <w:tc>
          <w:tcPr>
            <w:tcW w:w="2070" w:type="dxa"/>
            <w:tcBorders>
              <w:top w:val="single" w:sz="12" w:space="0" w:color="auto"/>
              <w:bottom w:val="single" w:sz="12" w:space="0" w:color="auto"/>
            </w:tcBorders>
            <w:noWrap/>
            <w:vAlign w:val="bottom"/>
            <w:hideMark/>
          </w:tcPr>
          <w:p w14:paraId="0AE6C949" w14:textId="77777777" w:rsidR="009A221B" w:rsidRPr="008974F7" w:rsidRDefault="009A221B" w:rsidP="009A221B">
            <w:pPr>
              <w:pStyle w:val="Body"/>
              <w:rPr>
                <w:rFonts w:ascii="Arial" w:hAnsi="Arial" w:cs="Arial"/>
                <w:b/>
                <w:bCs/>
              </w:rPr>
            </w:pPr>
            <w:r w:rsidRPr="008974F7">
              <w:rPr>
                <w:rFonts w:ascii="Arial" w:hAnsi="Arial" w:cs="Arial"/>
                <w:b/>
                <w:bCs/>
              </w:rPr>
              <w:t>COR</w:t>
            </w:r>
          </w:p>
        </w:tc>
        <w:tc>
          <w:tcPr>
            <w:tcW w:w="1080" w:type="dxa"/>
            <w:tcBorders>
              <w:top w:val="single" w:sz="12" w:space="0" w:color="auto"/>
              <w:bottom w:val="single" w:sz="12" w:space="0" w:color="auto"/>
            </w:tcBorders>
            <w:noWrap/>
            <w:vAlign w:val="bottom"/>
            <w:hideMark/>
          </w:tcPr>
          <w:p w14:paraId="52C4A8FF" w14:textId="77777777" w:rsidR="009A221B" w:rsidRPr="008974F7" w:rsidRDefault="009A221B" w:rsidP="009A221B">
            <w:pPr>
              <w:pStyle w:val="Body"/>
              <w:rPr>
                <w:rFonts w:ascii="Arial" w:hAnsi="Arial" w:cs="Arial"/>
                <w:b/>
                <w:bCs/>
              </w:rPr>
            </w:pPr>
            <w:r w:rsidRPr="008974F7">
              <w:rPr>
                <w:rFonts w:ascii="Arial" w:hAnsi="Arial" w:cs="Arial"/>
                <w:b/>
                <w:bCs/>
              </w:rPr>
              <w:t>P-value</w:t>
            </w:r>
          </w:p>
        </w:tc>
        <w:tc>
          <w:tcPr>
            <w:tcW w:w="1890" w:type="dxa"/>
            <w:tcBorders>
              <w:top w:val="single" w:sz="12" w:space="0" w:color="auto"/>
              <w:bottom w:val="single" w:sz="12" w:space="0" w:color="auto"/>
            </w:tcBorders>
            <w:noWrap/>
            <w:vAlign w:val="bottom"/>
            <w:hideMark/>
          </w:tcPr>
          <w:p w14:paraId="5D94104F" w14:textId="77777777" w:rsidR="009A221B" w:rsidRPr="008974F7" w:rsidRDefault="009A221B" w:rsidP="009A221B">
            <w:pPr>
              <w:pStyle w:val="Body"/>
              <w:rPr>
                <w:rFonts w:ascii="Arial" w:hAnsi="Arial" w:cs="Arial"/>
                <w:b/>
                <w:bCs/>
              </w:rPr>
            </w:pPr>
            <w:r w:rsidRPr="008974F7">
              <w:rPr>
                <w:rFonts w:ascii="Arial" w:hAnsi="Arial" w:cs="Arial"/>
                <w:b/>
                <w:bCs/>
              </w:rPr>
              <w:t>AOR</w:t>
            </w:r>
          </w:p>
        </w:tc>
        <w:tc>
          <w:tcPr>
            <w:tcW w:w="990" w:type="dxa"/>
            <w:tcBorders>
              <w:top w:val="single" w:sz="12" w:space="0" w:color="auto"/>
              <w:bottom w:val="single" w:sz="12" w:space="0" w:color="auto"/>
            </w:tcBorders>
            <w:noWrap/>
            <w:vAlign w:val="bottom"/>
            <w:hideMark/>
          </w:tcPr>
          <w:p w14:paraId="14428017" w14:textId="77777777" w:rsidR="009A221B" w:rsidRPr="008974F7" w:rsidRDefault="009A221B" w:rsidP="009A221B">
            <w:pPr>
              <w:pStyle w:val="Body"/>
              <w:rPr>
                <w:rFonts w:ascii="Arial" w:hAnsi="Arial" w:cs="Arial"/>
                <w:b/>
                <w:bCs/>
              </w:rPr>
            </w:pPr>
            <w:r w:rsidRPr="008974F7">
              <w:rPr>
                <w:rFonts w:ascii="Arial" w:hAnsi="Arial" w:cs="Arial"/>
                <w:b/>
                <w:bCs/>
              </w:rPr>
              <w:t>P-value</w:t>
            </w:r>
          </w:p>
        </w:tc>
      </w:tr>
      <w:tr w:rsidR="009A221B" w:rsidRPr="008974F7" w14:paraId="25B14131" w14:textId="77777777" w:rsidTr="009A221B">
        <w:trPr>
          <w:trHeight w:val="315"/>
        </w:trPr>
        <w:tc>
          <w:tcPr>
            <w:tcW w:w="3145" w:type="dxa"/>
            <w:tcBorders>
              <w:top w:val="single" w:sz="12" w:space="0" w:color="auto"/>
            </w:tcBorders>
            <w:noWrap/>
            <w:vAlign w:val="bottom"/>
            <w:hideMark/>
          </w:tcPr>
          <w:p w14:paraId="5A40DFE1" w14:textId="77777777" w:rsidR="009A221B" w:rsidRPr="008974F7" w:rsidRDefault="009A221B" w:rsidP="009A221B">
            <w:pPr>
              <w:pStyle w:val="Body"/>
              <w:rPr>
                <w:rFonts w:ascii="Arial" w:hAnsi="Arial" w:cs="Arial"/>
              </w:rPr>
            </w:pPr>
            <w:r w:rsidRPr="008974F7">
              <w:rPr>
                <w:rFonts w:ascii="Arial" w:hAnsi="Arial" w:cs="Arial"/>
                <w:b/>
                <w:bCs/>
              </w:rPr>
              <w:t xml:space="preserve">Serum Magnesium </w:t>
            </w:r>
          </w:p>
        </w:tc>
        <w:tc>
          <w:tcPr>
            <w:tcW w:w="2070" w:type="dxa"/>
            <w:tcBorders>
              <w:top w:val="single" w:sz="12" w:space="0" w:color="auto"/>
            </w:tcBorders>
            <w:noWrap/>
            <w:vAlign w:val="bottom"/>
            <w:hideMark/>
          </w:tcPr>
          <w:p w14:paraId="05D9AD15" w14:textId="77777777" w:rsidR="009A221B" w:rsidRPr="008974F7" w:rsidRDefault="009A221B" w:rsidP="009A221B">
            <w:pPr>
              <w:pStyle w:val="Body"/>
              <w:rPr>
                <w:rFonts w:ascii="Arial" w:hAnsi="Arial" w:cs="Arial"/>
              </w:rPr>
            </w:pPr>
          </w:p>
        </w:tc>
        <w:tc>
          <w:tcPr>
            <w:tcW w:w="1080" w:type="dxa"/>
            <w:tcBorders>
              <w:top w:val="single" w:sz="12" w:space="0" w:color="auto"/>
            </w:tcBorders>
            <w:noWrap/>
            <w:vAlign w:val="bottom"/>
            <w:hideMark/>
          </w:tcPr>
          <w:p w14:paraId="0AD1B927" w14:textId="77777777" w:rsidR="009A221B" w:rsidRPr="008974F7" w:rsidRDefault="009A221B" w:rsidP="009A221B">
            <w:pPr>
              <w:pStyle w:val="Body"/>
              <w:rPr>
                <w:rFonts w:ascii="Arial" w:hAnsi="Arial" w:cs="Arial"/>
              </w:rPr>
            </w:pPr>
          </w:p>
        </w:tc>
        <w:tc>
          <w:tcPr>
            <w:tcW w:w="1890" w:type="dxa"/>
            <w:tcBorders>
              <w:top w:val="single" w:sz="12" w:space="0" w:color="auto"/>
            </w:tcBorders>
            <w:noWrap/>
            <w:vAlign w:val="bottom"/>
            <w:hideMark/>
          </w:tcPr>
          <w:p w14:paraId="2AB8BB53" w14:textId="77777777" w:rsidR="009A221B" w:rsidRPr="008974F7" w:rsidRDefault="009A221B" w:rsidP="009A221B">
            <w:pPr>
              <w:pStyle w:val="Body"/>
              <w:rPr>
                <w:rFonts w:ascii="Arial" w:hAnsi="Arial" w:cs="Arial"/>
              </w:rPr>
            </w:pPr>
          </w:p>
        </w:tc>
        <w:tc>
          <w:tcPr>
            <w:tcW w:w="990" w:type="dxa"/>
            <w:tcBorders>
              <w:top w:val="single" w:sz="12" w:space="0" w:color="auto"/>
            </w:tcBorders>
            <w:noWrap/>
            <w:vAlign w:val="bottom"/>
            <w:hideMark/>
          </w:tcPr>
          <w:p w14:paraId="0BF734CD" w14:textId="77777777" w:rsidR="009A221B" w:rsidRPr="008974F7" w:rsidRDefault="009A221B" w:rsidP="009A221B">
            <w:pPr>
              <w:pStyle w:val="Body"/>
              <w:rPr>
                <w:rFonts w:ascii="Arial" w:hAnsi="Arial" w:cs="Arial"/>
              </w:rPr>
            </w:pPr>
          </w:p>
        </w:tc>
      </w:tr>
      <w:tr w:rsidR="009A221B" w:rsidRPr="008974F7" w14:paraId="6160688C" w14:textId="77777777" w:rsidTr="009A221B">
        <w:trPr>
          <w:trHeight w:val="315"/>
        </w:trPr>
        <w:tc>
          <w:tcPr>
            <w:tcW w:w="3145" w:type="dxa"/>
            <w:noWrap/>
            <w:vAlign w:val="bottom"/>
            <w:hideMark/>
          </w:tcPr>
          <w:p w14:paraId="1C1EA86E" w14:textId="77777777" w:rsidR="009A221B" w:rsidRPr="008974F7" w:rsidRDefault="009A221B" w:rsidP="009A221B">
            <w:pPr>
              <w:pStyle w:val="Body"/>
              <w:rPr>
                <w:rFonts w:ascii="Arial" w:hAnsi="Arial" w:cs="Arial"/>
              </w:rPr>
            </w:pPr>
            <w:r w:rsidRPr="008974F7">
              <w:rPr>
                <w:rFonts w:ascii="Arial" w:hAnsi="Arial" w:cs="Arial"/>
              </w:rPr>
              <w:t>Normal</w:t>
            </w:r>
          </w:p>
        </w:tc>
        <w:tc>
          <w:tcPr>
            <w:tcW w:w="2070" w:type="dxa"/>
            <w:noWrap/>
            <w:vAlign w:val="bottom"/>
            <w:hideMark/>
          </w:tcPr>
          <w:p w14:paraId="5F303D34" w14:textId="77777777" w:rsidR="009A221B" w:rsidRPr="008974F7" w:rsidRDefault="009A221B" w:rsidP="009A221B">
            <w:pPr>
              <w:pStyle w:val="Body"/>
              <w:rPr>
                <w:rFonts w:ascii="Arial" w:hAnsi="Arial" w:cs="Arial"/>
              </w:rPr>
            </w:pPr>
            <w:r w:rsidRPr="008974F7">
              <w:rPr>
                <w:rFonts w:ascii="Arial" w:hAnsi="Arial" w:cs="Arial"/>
              </w:rPr>
              <w:t>Ref</w:t>
            </w:r>
          </w:p>
        </w:tc>
        <w:tc>
          <w:tcPr>
            <w:tcW w:w="1080" w:type="dxa"/>
            <w:noWrap/>
            <w:vAlign w:val="bottom"/>
            <w:hideMark/>
          </w:tcPr>
          <w:p w14:paraId="58A8EB66" w14:textId="77777777" w:rsidR="009A221B" w:rsidRPr="008974F7" w:rsidRDefault="009A221B" w:rsidP="009A221B">
            <w:pPr>
              <w:pStyle w:val="Body"/>
              <w:rPr>
                <w:rFonts w:ascii="Arial" w:hAnsi="Arial" w:cs="Arial"/>
              </w:rPr>
            </w:pPr>
          </w:p>
        </w:tc>
        <w:tc>
          <w:tcPr>
            <w:tcW w:w="1890" w:type="dxa"/>
            <w:noWrap/>
            <w:vAlign w:val="bottom"/>
            <w:hideMark/>
          </w:tcPr>
          <w:p w14:paraId="635B9D64" w14:textId="77777777" w:rsidR="009A221B" w:rsidRPr="008974F7" w:rsidRDefault="009A221B" w:rsidP="009A221B">
            <w:pPr>
              <w:pStyle w:val="Body"/>
              <w:rPr>
                <w:rFonts w:ascii="Arial" w:hAnsi="Arial" w:cs="Arial"/>
              </w:rPr>
            </w:pPr>
            <w:r w:rsidRPr="008974F7">
              <w:rPr>
                <w:rFonts w:ascii="Arial" w:hAnsi="Arial" w:cs="Arial"/>
              </w:rPr>
              <w:t>Ref</w:t>
            </w:r>
          </w:p>
        </w:tc>
        <w:tc>
          <w:tcPr>
            <w:tcW w:w="990" w:type="dxa"/>
            <w:noWrap/>
            <w:vAlign w:val="bottom"/>
            <w:hideMark/>
          </w:tcPr>
          <w:p w14:paraId="4CB1F066" w14:textId="77777777" w:rsidR="009A221B" w:rsidRPr="008974F7" w:rsidRDefault="009A221B" w:rsidP="009A221B">
            <w:pPr>
              <w:pStyle w:val="Body"/>
              <w:rPr>
                <w:rFonts w:ascii="Arial" w:hAnsi="Arial" w:cs="Arial"/>
              </w:rPr>
            </w:pPr>
          </w:p>
        </w:tc>
      </w:tr>
      <w:tr w:rsidR="009A221B" w:rsidRPr="008974F7" w14:paraId="70FB1D3F" w14:textId="77777777" w:rsidTr="009A221B">
        <w:trPr>
          <w:trHeight w:val="315"/>
        </w:trPr>
        <w:tc>
          <w:tcPr>
            <w:tcW w:w="3145" w:type="dxa"/>
            <w:noWrap/>
            <w:vAlign w:val="bottom"/>
            <w:hideMark/>
          </w:tcPr>
          <w:p w14:paraId="4A97A77D" w14:textId="77777777" w:rsidR="009A221B" w:rsidRPr="008974F7" w:rsidRDefault="0046694A" w:rsidP="009A221B">
            <w:pPr>
              <w:pStyle w:val="Body"/>
              <w:rPr>
                <w:rFonts w:ascii="Arial" w:hAnsi="Arial" w:cs="Arial"/>
              </w:rPr>
            </w:pPr>
            <w:r w:rsidRPr="008974F7">
              <w:rPr>
                <w:rFonts w:ascii="Arial" w:hAnsi="Arial" w:cs="Arial"/>
              </w:rPr>
              <w:t xml:space="preserve">Hypomagnesemia </w:t>
            </w:r>
          </w:p>
        </w:tc>
        <w:tc>
          <w:tcPr>
            <w:tcW w:w="2070" w:type="dxa"/>
            <w:noWrap/>
            <w:vAlign w:val="bottom"/>
            <w:hideMark/>
          </w:tcPr>
          <w:p w14:paraId="37013E14" w14:textId="77777777" w:rsidR="009A221B" w:rsidRPr="008974F7" w:rsidRDefault="009A221B" w:rsidP="009A221B">
            <w:pPr>
              <w:pStyle w:val="Body"/>
              <w:rPr>
                <w:rFonts w:ascii="Arial" w:hAnsi="Arial" w:cs="Arial"/>
              </w:rPr>
            </w:pPr>
            <w:r w:rsidRPr="008974F7">
              <w:rPr>
                <w:rFonts w:ascii="Arial" w:hAnsi="Arial" w:cs="Arial"/>
              </w:rPr>
              <w:t>2.24(1.12-4.47)</w:t>
            </w:r>
          </w:p>
        </w:tc>
        <w:tc>
          <w:tcPr>
            <w:tcW w:w="1080" w:type="dxa"/>
            <w:noWrap/>
            <w:vAlign w:val="bottom"/>
            <w:hideMark/>
          </w:tcPr>
          <w:p w14:paraId="45B74CAC" w14:textId="77777777" w:rsidR="009A221B" w:rsidRPr="008974F7" w:rsidRDefault="009A221B" w:rsidP="009A221B">
            <w:pPr>
              <w:pStyle w:val="Body"/>
              <w:rPr>
                <w:rFonts w:ascii="Arial" w:hAnsi="Arial" w:cs="Arial"/>
              </w:rPr>
            </w:pPr>
            <w:r w:rsidRPr="008974F7">
              <w:rPr>
                <w:rFonts w:ascii="Arial" w:hAnsi="Arial" w:cs="Arial"/>
              </w:rPr>
              <w:t>0.023</w:t>
            </w:r>
          </w:p>
        </w:tc>
        <w:tc>
          <w:tcPr>
            <w:tcW w:w="1890" w:type="dxa"/>
            <w:noWrap/>
            <w:vAlign w:val="bottom"/>
            <w:hideMark/>
          </w:tcPr>
          <w:p w14:paraId="2405404C" w14:textId="77777777" w:rsidR="009A221B" w:rsidRPr="008974F7" w:rsidRDefault="009A221B" w:rsidP="009A221B">
            <w:pPr>
              <w:pStyle w:val="Body"/>
              <w:rPr>
                <w:rFonts w:ascii="Arial" w:hAnsi="Arial" w:cs="Arial"/>
              </w:rPr>
            </w:pPr>
            <w:r w:rsidRPr="008974F7">
              <w:rPr>
                <w:rFonts w:ascii="Arial" w:hAnsi="Arial" w:cs="Arial"/>
              </w:rPr>
              <w:t>2.25(1.08-4.71)</w:t>
            </w:r>
          </w:p>
        </w:tc>
        <w:tc>
          <w:tcPr>
            <w:tcW w:w="990" w:type="dxa"/>
            <w:noWrap/>
            <w:vAlign w:val="bottom"/>
            <w:hideMark/>
          </w:tcPr>
          <w:p w14:paraId="788066F7" w14:textId="77777777" w:rsidR="009A221B" w:rsidRPr="008974F7" w:rsidRDefault="009A221B" w:rsidP="009A221B">
            <w:pPr>
              <w:pStyle w:val="Body"/>
              <w:rPr>
                <w:rFonts w:ascii="Arial" w:hAnsi="Arial" w:cs="Arial"/>
              </w:rPr>
            </w:pPr>
            <w:r w:rsidRPr="008974F7">
              <w:rPr>
                <w:rFonts w:ascii="Arial" w:hAnsi="Arial" w:cs="Arial"/>
              </w:rPr>
              <w:t>0.031</w:t>
            </w:r>
          </w:p>
        </w:tc>
      </w:tr>
      <w:tr w:rsidR="009A221B" w:rsidRPr="008974F7" w14:paraId="1A55470F" w14:textId="77777777" w:rsidTr="009A221B">
        <w:trPr>
          <w:trHeight w:val="315"/>
        </w:trPr>
        <w:tc>
          <w:tcPr>
            <w:tcW w:w="3145" w:type="dxa"/>
            <w:noWrap/>
            <w:vAlign w:val="bottom"/>
            <w:hideMark/>
          </w:tcPr>
          <w:p w14:paraId="6C9DDC1E" w14:textId="77777777" w:rsidR="009A221B" w:rsidRPr="008974F7" w:rsidRDefault="009A221B" w:rsidP="009A221B">
            <w:pPr>
              <w:pStyle w:val="Body"/>
              <w:rPr>
                <w:rFonts w:ascii="Arial" w:hAnsi="Arial" w:cs="Arial"/>
              </w:rPr>
            </w:pPr>
            <w:r w:rsidRPr="008974F7">
              <w:rPr>
                <w:rFonts w:ascii="Arial" w:hAnsi="Arial" w:cs="Arial"/>
                <w:b/>
                <w:bCs/>
              </w:rPr>
              <w:t>Age of participant (In years)</w:t>
            </w:r>
          </w:p>
        </w:tc>
        <w:tc>
          <w:tcPr>
            <w:tcW w:w="2070" w:type="dxa"/>
            <w:noWrap/>
            <w:vAlign w:val="bottom"/>
            <w:hideMark/>
          </w:tcPr>
          <w:p w14:paraId="7F1249D4" w14:textId="77777777" w:rsidR="009A221B" w:rsidRPr="008974F7" w:rsidRDefault="009A221B" w:rsidP="009A221B">
            <w:pPr>
              <w:pStyle w:val="Body"/>
              <w:rPr>
                <w:rFonts w:ascii="Arial" w:hAnsi="Arial" w:cs="Arial"/>
              </w:rPr>
            </w:pPr>
          </w:p>
        </w:tc>
        <w:tc>
          <w:tcPr>
            <w:tcW w:w="1080" w:type="dxa"/>
            <w:noWrap/>
            <w:vAlign w:val="bottom"/>
            <w:hideMark/>
          </w:tcPr>
          <w:p w14:paraId="7BA74F9C" w14:textId="77777777" w:rsidR="009A221B" w:rsidRPr="008974F7" w:rsidRDefault="009A221B" w:rsidP="009A221B">
            <w:pPr>
              <w:pStyle w:val="Body"/>
              <w:rPr>
                <w:rFonts w:ascii="Arial" w:hAnsi="Arial" w:cs="Arial"/>
              </w:rPr>
            </w:pPr>
          </w:p>
        </w:tc>
        <w:tc>
          <w:tcPr>
            <w:tcW w:w="1890" w:type="dxa"/>
            <w:noWrap/>
            <w:vAlign w:val="bottom"/>
            <w:hideMark/>
          </w:tcPr>
          <w:p w14:paraId="5CA60EC7" w14:textId="77777777" w:rsidR="009A221B" w:rsidRPr="008974F7" w:rsidRDefault="009A221B" w:rsidP="009A221B">
            <w:pPr>
              <w:pStyle w:val="Body"/>
              <w:rPr>
                <w:rFonts w:ascii="Arial" w:hAnsi="Arial" w:cs="Arial"/>
              </w:rPr>
            </w:pPr>
          </w:p>
        </w:tc>
        <w:tc>
          <w:tcPr>
            <w:tcW w:w="990" w:type="dxa"/>
            <w:noWrap/>
            <w:vAlign w:val="bottom"/>
            <w:hideMark/>
          </w:tcPr>
          <w:p w14:paraId="6991D2EA" w14:textId="77777777" w:rsidR="009A221B" w:rsidRPr="008974F7" w:rsidRDefault="009A221B" w:rsidP="009A221B">
            <w:pPr>
              <w:pStyle w:val="Body"/>
              <w:rPr>
                <w:rFonts w:ascii="Arial" w:hAnsi="Arial" w:cs="Arial"/>
              </w:rPr>
            </w:pPr>
          </w:p>
        </w:tc>
      </w:tr>
      <w:tr w:rsidR="009A221B" w:rsidRPr="008974F7" w14:paraId="2E84E6F9" w14:textId="77777777" w:rsidTr="009A221B">
        <w:trPr>
          <w:trHeight w:val="315"/>
        </w:trPr>
        <w:tc>
          <w:tcPr>
            <w:tcW w:w="3145" w:type="dxa"/>
            <w:noWrap/>
            <w:vAlign w:val="bottom"/>
            <w:hideMark/>
          </w:tcPr>
          <w:p w14:paraId="5493BB14" w14:textId="77777777" w:rsidR="009A221B" w:rsidRPr="008974F7" w:rsidRDefault="009A221B" w:rsidP="009A221B">
            <w:pPr>
              <w:pStyle w:val="Body"/>
              <w:rPr>
                <w:rFonts w:ascii="Arial" w:hAnsi="Arial" w:cs="Arial"/>
              </w:rPr>
            </w:pPr>
            <w:r w:rsidRPr="008974F7">
              <w:rPr>
                <w:rFonts w:ascii="Arial" w:hAnsi="Arial" w:cs="Arial"/>
              </w:rPr>
              <w:t>≤60</w:t>
            </w:r>
          </w:p>
        </w:tc>
        <w:tc>
          <w:tcPr>
            <w:tcW w:w="2070" w:type="dxa"/>
            <w:noWrap/>
            <w:vAlign w:val="bottom"/>
            <w:hideMark/>
          </w:tcPr>
          <w:p w14:paraId="427CC3AF" w14:textId="77777777" w:rsidR="009A221B" w:rsidRPr="008974F7" w:rsidRDefault="009A221B" w:rsidP="009A221B">
            <w:pPr>
              <w:pStyle w:val="Body"/>
              <w:rPr>
                <w:rFonts w:ascii="Arial" w:hAnsi="Arial" w:cs="Arial"/>
              </w:rPr>
            </w:pPr>
            <w:r w:rsidRPr="008974F7">
              <w:rPr>
                <w:rFonts w:ascii="Arial" w:hAnsi="Arial" w:cs="Arial"/>
              </w:rPr>
              <w:t>Ref</w:t>
            </w:r>
          </w:p>
        </w:tc>
        <w:tc>
          <w:tcPr>
            <w:tcW w:w="1080" w:type="dxa"/>
            <w:noWrap/>
            <w:vAlign w:val="bottom"/>
            <w:hideMark/>
          </w:tcPr>
          <w:p w14:paraId="476BED1C" w14:textId="77777777" w:rsidR="009A221B" w:rsidRPr="008974F7" w:rsidRDefault="009A221B" w:rsidP="009A221B">
            <w:pPr>
              <w:pStyle w:val="Body"/>
              <w:rPr>
                <w:rFonts w:ascii="Arial" w:hAnsi="Arial" w:cs="Arial"/>
              </w:rPr>
            </w:pPr>
          </w:p>
        </w:tc>
        <w:tc>
          <w:tcPr>
            <w:tcW w:w="1890" w:type="dxa"/>
            <w:noWrap/>
            <w:vAlign w:val="bottom"/>
            <w:hideMark/>
          </w:tcPr>
          <w:p w14:paraId="12743187" w14:textId="77777777" w:rsidR="009A221B" w:rsidRPr="008974F7" w:rsidRDefault="009A221B" w:rsidP="009A221B">
            <w:pPr>
              <w:pStyle w:val="Body"/>
              <w:rPr>
                <w:rFonts w:ascii="Arial" w:hAnsi="Arial" w:cs="Arial"/>
              </w:rPr>
            </w:pPr>
            <w:r w:rsidRPr="008974F7">
              <w:rPr>
                <w:rFonts w:ascii="Arial" w:hAnsi="Arial" w:cs="Arial"/>
              </w:rPr>
              <w:t>Ref</w:t>
            </w:r>
          </w:p>
        </w:tc>
        <w:tc>
          <w:tcPr>
            <w:tcW w:w="990" w:type="dxa"/>
            <w:noWrap/>
            <w:vAlign w:val="bottom"/>
            <w:hideMark/>
          </w:tcPr>
          <w:p w14:paraId="0E9CC02B" w14:textId="77777777" w:rsidR="009A221B" w:rsidRPr="008974F7" w:rsidRDefault="009A221B" w:rsidP="009A221B">
            <w:pPr>
              <w:pStyle w:val="Body"/>
              <w:rPr>
                <w:rFonts w:ascii="Arial" w:hAnsi="Arial" w:cs="Arial"/>
              </w:rPr>
            </w:pPr>
          </w:p>
        </w:tc>
      </w:tr>
      <w:tr w:rsidR="009A221B" w:rsidRPr="008974F7" w14:paraId="27F57B8D" w14:textId="77777777" w:rsidTr="009A221B">
        <w:trPr>
          <w:trHeight w:val="315"/>
        </w:trPr>
        <w:tc>
          <w:tcPr>
            <w:tcW w:w="3145" w:type="dxa"/>
            <w:noWrap/>
            <w:vAlign w:val="bottom"/>
            <w:hideMark/>
          </w:tcPr>
          <w:p w14:paraId="3B9D9E85" w14:textId="77777777" w:rsidR="009A221B" w:rsidRPr="008974F7" w:rsidRDefault="009A221B" w:rsidP="009A221B">
            <w:pPr>
              <w:pStyle w:val="Body"/>
              <w:rPr>
                <w:rFonts w:ascii="Arial" w:hAnsi="Arial" w:cs="Arial"/>
              </w:rPr>
            </w:pPr>
            <w:r w:rsidRPr="008974F7">
              <w:rPr>
                <w:rFonts w:ascii="Arial" w:hAnsi="Arial" w:cs="Arial"/>
              </w:rPr>
              <w:t>&gt;60</w:t>
            </w:r>
          </w:p>
        </w:tc>
        <w:tc>
          <w:tcPr>
            <w:tcW w:w="2070" w:type="dxa"/>
            <w:noWrap/>
            <w:vAlign w:val="bottom"/>
            <w:hideMark/>
          </w:tcPr>
          <w:p w14:paraId="28D739C5" w14:textId="77777777" w:rsidR="009A221B" w:rsidRPr="008974F7" w:rsidRDefault="009A221B" w:rsidP="009A221B">
            <w:pPr>
              <w:pStyle w:val="Body"/>
              <w:rPr>
                <w:rFonts w:ascii="Arial" w:hAnsi="Arial" w:cs="Arial"/>
              </w:rPr>
            </w:pPr>
            <w:r w:rsidRPr="008974F7">
              <w:rPr>
                <w:rFonts w:ascii="Arial" w:hAnsi="Arial" w:cs="Arial"/>
              </w:rPr>
              <w:t>0.62(0.37-1.06)</w:t>
            </w:r>
          </w:p>
        </w:tc>
        <w:tc>
          <w:tcPr>
            <w:tcW w:w="1080" w:type="dxa"/>
            <w:noWrap/>
            <w:vAlign w:val="bottom"/>
            <w:hideMark/>
          </w:tcPr>
          <w:p w14:paraId="63D01228" w14:textId="77777777" w:rsidR="009A221B" w:rsidRPr="008974F7" w:rsidRDefault="009A221B" w:rsidP="009A221B">
            <w:pPr>
              <w:pStyle w:val="Body"/>
              <w:rPr>
                <w:rFonts w:ascii="Arial" w:hAnsi="Arial" w:cs="Arial"/>
              </w:rPr>
            </w:pPr>
            <w:r w:rsidRPr="008974F7">
              <w:rPr>
                <w:rFonts w:ascii="Arial" w:hAnsi="Arial" w:cs="Arial"/>
              </w:rPr>
              <w:t>0.079</w:t>
            </w:r>
          </w:p>
        </w:tc>
        <w:tc>
          <w:tcPr>
            <w:tcW w:w="1890" w:type="dxa"/>
            <w:noWrap/>
            <w:vAlign w:val="bottom"/>
            <w:hideMark/>
          </w:tcPr>
          <w:p w14:paraId="40556F55" w14:textId="77777777" w:rsidR="009A221B" w:rsidRPr="008974F7" w:rsidRDefault="009A221B" w:rsidP="009A221B">
            <w:pPr>
              <w:pStyle w:val="Body"/>
              <w:rPr>
                <w:rFonts w:ascii="Arial" w:hAnsi="Arial" w:cs="Arial"/>
              </w:rPr>
            </w:pPr>
            <w:r w:rsidRPr="008974F7">
              <w:rPr>
                <w:rFonts w:ascii="Arial" w:hAnsi="Arial" w:cs="Arial"/>
              </w:rPr>
              <w:t>0.60(0.35-1.04)</w:t>
            </w:r>
          </w:p>
        </w:tc>
        <w:tc>
          <w:tcPr>
            <w:tcW w:w="990" w:type="dxa"/>
            <w:noWrap/>
            <w:vAlign w:val="bottom"/>
            <w:hideMark/>
          </w:tcPr>
          <w:p w14:paraId="289CF1D0" w14:textId="77777777" w:rsidR="009A221B" w:rsidRPr="008974F7" w:rsidRDefault="009A221B" w:rsidP="009A221B">
            <w:pPr>
              <w:pStyle w:val="Body"/>
              <w:rPr>
                <w:rFonts w:ascii="Arial" w:hAnsi="Arial" w:cs="Arial"/>
              </w:rPr>
            </w:pPr>
            <w:r w:rsidRPr="008974F7">
              <w:rPr>
                <w:rFonts w:ascii="Arial" w:hAnsi="Arial" w:cs="Arial"/>
              </w:rPr>
              <w:t>0.067</w:t>
            </w:r>
          </w:p>
        </w:tc>
      </w:tr>
      <w:tr w:rsidR="009A221B" w:rsidRPr="008974F7" w14:paraId="198C1533" w14:textId="77777777" w:rsidTr="009A221B">
        <w:trPr>
          <w:trHeight w:val="315"/>
        </w:trPr>
        <w:tc>
          <w:tcPr>
            <w:tcW w:w="3145" w:type="dxa"/>
            <w:noWrap/>
            <w:vAlign w:val="bottom"/>
            <w:hideMark/>
          </w:tcPr>
          <w:p w14:paraId="0F91928A" w14:textId="77777777" w:rsidR="009A221B" w:rsidRPr="008974F7" w:rsidRDefault="009A221B" w:rsidP="009A221B">
            <w:pPr>
              <w:pStyle w:val="Body"/>
              <w:rPr>
                <w:rFonts w:ascii="Arial" w:hAnsi="Arial" w:cs="Arial"/>
              </w:rPr>
            </w:pPr>
            <w:r w:rsidRPr="008974F7">
              <w:rPr>
                <w:rFonts w:ascii="Arial" w:hAnsi="Arial" w:cs="Arial"/>
                <w:b/>
                <w:bCs/>
              </w:rPr>
              <w:t>Sex of the participant</w:t>
            </w:r>
          </w:p>
        </w:tc>
        <w:tc>
          <w:tcPr>
            <w:tcW w:w="2070" w:type="dxa"/>
            <w:noWrap/>
            <w:vAlign w:val="bottom"/>
            <w:hideMark/>
          </w:tcPr>
          <w:p w14:paraId="5EAF6217" w14:textId="77777777" w:rsidR="009A221B" w:rsidRPr="008974F7" w:rsidRDefault="009A221B" w:rsidP="009A221B">
            <w:pPr>
              <w:pStyle w:val="Body"/>
              <w:rPr>
                <w:rFonts w:ascii="Arial" w:hAnsi="Arial" w:cs="Arial"/>
              </w:rPr>
            </w:pPr>
          </w:p>
        </w:tc>
        <w:tc>
          <w:tcPr>
            <w:tcW w:w="1080" w:type="dxa"/>
            <w:noWrap/>
            <w:vAlign w:val="bottom"/>
            <w:hideMark/>
          </w:tcPr>
          <w:p w14:paraId="095301C6" w14:textId="77777777" w:rsidR="009A221B" w:rsidRPr="008974F7" w:rsidRDefault="009A221B" w:rsidP="009A221B">
            <w:pPr>
              <w:pStyle w:val="Body"/>
              <w:rPr>
                <w:rFonts w:ascii="Arial" w:hAnsi="Arial" w:cs="Arial"/>
              </w:rPr>
            </w:pPr>
          </w:p>
        </w:tc>
        <w:tc>
          <w:tcPr>
            <w:tcW w:w="1890" w:type="dxa"/>
            <w:noWrap/>
            <w:vAlign w:val="bottom"/>
            <w:hideMark/>
          </w:tcPr>
          <w:p w14:paraId="5077AE3E" w14:textId="77777777" w:rsidR="009A221B" w:rsidRPr="008974F7" w:rsidRDefault="009A221B" w:rsidP="009A221B">
            <w:pPr>
              <w:pStyle w:val="Body"/>
              <w:rPr>
                <w:rFonts w:ascii="Arial" w:hAnsi="Arial" w:cs="Arial"/>
              </w:rPr>
            </w:pPr>
          </w:p>
        </w:tc>
        <w:tc>
          <w:tcPr>
            <w:tcW w:w="990" w:type="dxa"/>
            <w:noWrap/>
            <w:vAlign w:val="bottom"/>
            <w:hideMark/>
          </w:tcPr>
          <w:p w14:paraId="1A646BE6" w14:textId="77777777" w:rsidR="009A221B" w:rsidRPr="008974F7" w:rsidRDefault="009A221B" w:rsidP="009A221B">
            <w:pPr>
              <w:pStyle w:val="Body"/>
              <w:rPr>
                <w:rFonts w:ascii="Arial" w:hAnsi="Arial" w:cs="Arial"/>
              </w:rPr>
            </w:pPr>
          </w:p>
        </w:tc>
      </w:tr>
      <w:tr w:rsidR="009A221B" w:rsidRPr="008974F7" w14:paraId="2BE25A0B" w14:textId="77777777" w:rsidTr="009A221B">
        <w:trPr>
          <w:trHeight w:val="315"/>
        </w:trPr>
        <w:tc>
          <w:tcPr>
            <w:tcW w:w="3145" w:type="dxa"/>
            <w:noWrap/>
            <w:vAlign w:val="bottom"/>
            <w:hideMark/>
          </w:tcPr>
          <w:p w14:paraId="2E15F34F" w14:textId="77777777" w:rsidR="009A221B" w:rsidRPr="008974F7" w:rsidRDefault="009A221B" w:rsidP="009A221B">
            <w:pPr>
              <w:pStyle w:val="Body"/>
              <w:rPr>
                <w:rFonts w:ascii="Arial" w:hAnsi="Arial" w:cs="Arial"/>
              </w:rPr>
            </w:pPr>
            <w:r w:rsidRPr="008974F7">
              <w:rPr>
                <w:rFonts w:ascii="Arial" w:hAnsi="Arial" w:cs="Arial"/>
              </w:rPr>
              <w:lastRenderedPageBreak/>
              <w:t>Male</w:t>
            </w:r>
          </w:p>
        </w:tc>
        <w:tc>
          <w:tcPr>
            <w:tcW w:w="2070" w:type="dxa"/>
            <w:noWrap/>
            <w:vAlign w:val="bottom"/>
            <w:hideMark/>
          </w:tcPr>
          <w:p w14:paraId="1B23F6DE" w14:textId="77777777" w:rsidR="009A221B" w:rsidRPr="008974F7" w:rsidRDefault="009A221B" w:rsidP="009A221B">
            <w:pPr>
              <w:pStyle w:val="Body"/>
              <w:rPr>
                <w:rFonts w:ascii="Arial" w:hAnsi="Arial" w:cs="Arial"/>
              </w:rPr>
            </w:pPr>
            <w:r w:rsidRPr="008974F7">
              <w:rPr>
                <w:rFonts w:ascii="Arial" w:hAnsi="Arial" w:cs="Arial"/>
              </w:rPr>
              <w:t>Ref</w:t>
            </w:r>
          </w:p>
        </w:tc>
        <w:tc>
          <w:tcPr>
            <w:tcW w:w="1080" w:type="dxa"/>
            <w:noWrap/>
            <w:vAlign w:val="bottom"/>
            <w:hideMark/>
          </w:tcPr>
          <w:p w14:paraId="4DC25BF8" w14:textId="77777777" w:rsidR="009A221B" w:rsidRPr="008974F7" w:rsidRDefault="009A221B" w:rsidP="009A221B">
            <w:pPr>
              <w:pStyle w:val="Body"/>
              <w:rPr>
                <w:rFonts w:ascii="Arial" w:hAnsi="Arial" w:cs="Arial"/>
              </w:rPr>
            </w:pPr>
          </w:p>
        </w:tc>
        <w:tc>
          <w:tcPr>
            <w:tcW w:w="1890" w:type="dxa"/>
            <w:noWrap/>
            <w:vAlign w:val="bottom"/>
            <w:hideMark/>
          </w:tcPr>
          <w:p w14:paraId="344F1136" w14:textId="77777777" w:rsidR="009A221B" w:rsidRPr="008974F7" w:rsidRDefault="009A221B" w:rsidP="009A221B">
            <w:pPr>
              <w:pStyle w:val="Body"/>
              <w:rPr>
                <w:rFonts w:ascii="Arial" w:hAnsi="Arial" w:cs="Arial"/>
              </w:rPr>
            </w:pPr>
            <w:r w:rsidRPr="008974F7">
              <w:rPr>
                <w:rFonts w:ascii="Arial" w:hAnsi="Arial" w:cs="Arial"/>
              </w:rPr>
              <w:t>Ref</w:t>
            </w:r>
          </w:p>
        </w:tc>
        <w:tc>
          <w:tcPr>
            <w:tcW w:w="990" w:type="dxa"/>
            <w:noWrap/>
            <w:vAlign w:val="bottom"/>
            <w:hideMark/>
          </w:tcPr>
          <w:p w14:paraId="58540F78" w14:textId="77777777" w:rsidR="009A221B" w:rsidRPr="008974F7" w:rsidRDefault="009A221B" w:rsidP="009A221B">
            <w:pPr>
              <w:pStyle w:val="Body"/>
              <w:rPr>
                <w:rFonts w:ascii="Arial" w:hAnsi="Arial" w:cs="Arial"/>
              </w:rPr>
            </w:pPr>
          </w:p>
        </w:tc>
      </w:tr>
      <w:tr w:rsidR="009A221B" w:rsidRPr="008974F7" w14:paraId="617DAF62" w14:textId="77777777" w:rsidTr="009A221B">
        <w:trPr>
          <w:trHeight w:val="315"/>
        </w:trPr>
        <w:tc>
          <w:tcPr>
            <w:tcW w:w="3145" w:type="dxa"/>
            <w:noWrap/>
            <w:vAlign w:val="bottom"/>
            <w:hideMark/>
          </w:tcPr>
          <w:p w14:paraId="25A51D9B" w14:textId="77777777" w:rsidR="009A221B" w:rsidRPr="008974F7" w:rsidRDefault="009A221B" w:rsidP="009A221B">
            <w:pPr>
              <w:pStyle w:val="Body"/>
              <w:rPr>
                <w:rFonts w:ascii="Arial" w:hAnsi="Arial" w:cs="Arial"/>
              </w:rPr>
            </w:pPr>
            <w:r w:rsidRPr="008974F7">
              <w:rPr>
                <w:rFonts w:ascii="Arial" w:hAnsi="Arial" w:cs="Arial"/>
              </w:rPr>
              <w:t>Female</w:t>
            </w:r>
          </w:p>
        </w:tc>
        <w:tc>
          <w:tcPr>
            <w:tcW w:w="2070" w:type="dxa"/>
            <w:noWrap/>
            <w:vAlign w:val="bottom"/>
            <w:hideMark/>
          </w:tcPr>
          <w:p w14:paraId="4A6D9355" w14:textId="77777777" w:rsidR="009A221B" w:rsidRPr="008974F7" w:rsidRDefault="009A221B" w:rsidP="009A221B">
            <w:pPr>
              <w:pStyle w:val="Body"/>
              <w:rPr>
                <w:rFonts w:ascii="Arial" w:hAnsi="Arial" w:cs="Arial"/>
              </w:rPr>
            </w:pPr>
            <w:r w:rsidRPr="008974F7">
              <w:rPr>
                <w:rFonts w:ascii="Arial" w:hAnsi="Arial" w:cs="Arial"/>
              </w:rPr>
              <w:t>0.79(0.47-1.33)</w:t>
            </w:r>
          </w:p>
        </w:tc>
        <w:tc>
          <w:tcPr>
            <w:tcW w:w="1080" w:type="dxa"/>
            <w:noWrap/>
            <w:vAlign w:val="bottom"/>
            <w:hideMark/>
          </w:tcPr>
          <w:p w14:paraId="68B9FD6B" w14:textId="77777777" w:rsidR="009A221B" w:rsidRPr="008974F7" w:rsidRDefault="009A221B" w:rsidP="009A221B">
            <w:pPr>
              <w:pStyle w:val="Body"/>
              <w:rPr>
                <w:rFonts w:ascii="Arial" w:hAnsi="Arial" w:cs="Arial"/>
              </w:rPr>
            </w:pPr>
            <w:r w:rsidRPr="008974F7">
              <w:rPr>
                <w:rFonts w:ascii="Arial" w:hAnsi="Arial" w:cs="Arial"/>
              </w:rPr>
              <w:t>0.379</w:t>
            </w:r>
          </w:p>
        </w:tc>
        <w:tc>
          <w:tcPr>
            <w:tcW w:w="1890" w:type="dxa"/>
            <w:noWrap/>
            <w:vAlign w:val="bottom"/>
            <w:hideMark/>
          </w:tcPr>
          <w:p w14:paraId="423BCE08" w14:textId="77777777" w:rsidR="009A221B" w:rsidRPr="008974F7" w:rsidRDefault="009A221B" w:rsidP="009A221B">
            <w:pPr>
              <w:pStyle w:val="Body"/>
              <w:rPr>
                <w:rFonts w:ascii="Arial" w:hAnsi="Arial" w:cs="Arial"/>
              </w:rPr>
            </w:pPr>
            <w:r w:rsidRPr="008974F7">
              <w:rPr>
                <w:rFonts w:ascii="Arial" w:hAnsi="Arial" w:cs="Arial"/>
              </w:rPr>
              <w:t>0.80(0.47-1.36)</w:t>
            </w:r>
          </w:p>
        </w:tc>
        <w:tc>
          <w:tcPr>
            <w:tcW w:w="990" w:type="dxa"/>
            <w:noWrap/>
            <w:vAlign w:val="bottom"/>
            <w:hideMark/>
          </w:tcPr>
          <w:p w14:paraId="0B5BF2C9" w14:textId="77777777" w:rsidR="009A221B" w:rsidRPr="008974F7" w:rsidRDefault="009A221B" w:rsidP="009A221B">
            <w:pPr>
              <w:pStyle w:val="Body"/>
              <w:rPr>
                <w:rFonts w:ascii="Arial" w:hAnsi="Arial" w:cs="Arial"/>
              </w:rPr>
            </w:pPr>
            <w:r w:rsidRPr="008974F7">
              <w:rPr>
                <w:rFonts w:ascii="Arial" w:hAnsi="Arial" w:cs="Arial"/>
              </w:rPr>
              <w:t>0.405</w:t>
            </w:r>
          </w:p>
        </w:tc>
      </w:tr>
      <w:tr w:rsidR="009A221B" w:rsidRPr="008974F7" w14:paraId="4753AF82" w14:textId="77777777" w:rsidTr="009A221B">
        <w:trPr>
          <w:trHeight w:val="315"/>
        </w:trPr>
        <w:tc>
          <w:tcPr>
            <w:tcW w:w="3145" w:type="dxa"/>
            <w:noWrap/>
            <w:vAlign w:val="bottom"/>
            <w:hideMark/>
          </w:tcPr>
          <w:p w14:paraId="2DBE1C71" w14:textId="77777777" w:rsidR="009A221B" w:rsidRPr="008974F7" w:rsidRDefault="009A221B" w:rsidP="009A221B">
            <w:pPr>
              <w:pStyle w:val="Body"/>
              <w:rPr>
                <w:rFonts w:ascii="Arial" w:hAnsi="Arial" w:cs="Arial"/>
              </w:rPr>
            </w:pPr>
            <w:r w:rsidRPr="008974F7">
              <w:rPr>
                <w:rFonts w:ascii="Arial" w:hAnsi="Arial" w:cs="Arial"/>
                <w:b/>
                <w:bCs/>
              </w:rPr>
              <w:t>Duration of Diabetes Mellitus (In years)</w:t>
            </w:r>
          </w:p>
        </w:tc>
        <w:tc>
          <w:tcPr>
            <w:tcW w:w="2070" w:type="dxa"/>
            <w:noWrap/>
            <w:vAlign w:val="bottom"/>
            <w:hideMark/>
          </w:tcPr>
          <w:p w14:paraId="7155ECB8" w14:textId="77777777" w:rsidR="009A221B" w:rsidRPr="008974F7" w:rsidRDefault="009A221B" w:rsidP="009A221B">
            <w:pPr>
              <w:pStyle w:val="Body"/>
              <w:rPr>
                <w:rFonts w:ascii="Arial" w:hAnsi="Arial" w:cs="Arial"/>
              </w:rPr>
            </w:pPr>
          </w:p>
        </w:tc>
        <w:tc>
          <w:tcPr>
            <w:tcW w:w="1080" w:type="dxa"/>
            <w:noWrap/>
            <w:vAlign w:val="bottom"/>
            <w:hideMark/>
          </w:tcPr>
          <w:p w14:paraId="08674E9A" w14:textId="77777777" w:rsidR="009A221B" w:rsidRPr="008974F7" w:rsidRDefault="009A221B" w:rsidP="009A221B">
            <w:pPr>
              <w:pStyle w:val="Body"/>
              <w:rPr>
                <w:rFonts w:ascii="Arial" w:hAnsi="Arial" w:cs="Arial"/>
              </w:rPr>
            </w:pPr>
          </w:p>
        </w:tc>
        <w:tc>
          <w:tcPr>
            <w:tcW w:w="1890" w:type="dxa"/>
            <w:noWrap/>
            <w:vAlign w:val="bottom"/>
            <w:hideMark/>
          </w:tcPr>
          <w:p w14:paraId="7E3F11E1" w14:textId="77777777" w:rsidR="009A221B" w:rsidRPr="008974F7" w:rsidRDefault="009A221B" w:rsidP="009A221B">
            <w:pPr>
              <w:pStyle w:val="Body"/>
              <w:rPr>
                <w:rFonts w:ascii="Arial" w:hAnsi="Arial" w:cs="Arial"/>
              </w:rPr>
            </w:pPr>
          </w:p>
        </w:tc>
        <w:tc>
          <w:tcPr>
            <w:tcW w:w="990" w:type="dxa"/>
            <w:noWrap/>
            <w:vAlign w:val="bottom"/>
            <w:hideMark/>
          </w:tcPr>
          <w:p w14:paraId="549DDDD2" w14:textId="77777777" w:rsidR="009A221B" w:rsidRPr="008974F7" w:rsidRDefault="009A221B" w:rsidP="009A221B">
            <w:pPr>
              <w:pStyle w:val="Body"/>
              <w:rPr>
                <w:rFonts w:ascii="Arial" w:hAnsi="Arial" w:cs="Arial"/>
              </w:rPr>
            </w:pPr>
          </w:p>
        </w:tc>
      </w:tr>
      <w:tr w:rsidR="009A221B" w:rsidRPr="008974F7" w14:paraId="3E8578AF" w14:textId="77777777" w:rsidTr="009A221B">
        <w:trPr>
          <w:trHeight w:val="315"/>
        </w:trPr>
        <w:tc>
          <w:tcPr>
            <w:tcW w:w="3145" w:type="dxa"/>
            <w:noWrap/>
            <w:vAlign w:val="bottom"/>
            <w:hideMark/>
          </w:tcPr>
          <w:p w14:paraId="7080EF7B" w14:textId="77777777" w:rsidR="009A221B" w:rsidRPr="008974F7" w:rsidRDefault="009A221B" w:rsidP="009A221B">
            <w:pPr>
              <w:pStyle w:val="Body"/>
              <w:rPr>
                <w:rFonts w:ascii="Arial" w:hAnsi="Arial" w:cs="Arial"/>
              </w:rPr>
            </w:pPr>
            <w:r w:rsidRPr="008974F7">
              <w:rPr>
                <w:rFonts w:ascii="Arial" w:hAnsi="Arial" w:cs="Arial"/>
              </w:rPr>
              <w:t>≤5</w:t>
            </w:r>
          </w:p>
        </w:tc>
        <w:tc>
          <w:tcPr>
            <w:tcW w:w="2070" w:type="dxa"/>
            <w:noWrap/>
            <w:vAlign w:val="bottom"/>
            <w:hideMark/>
          </w:tcPr>
          <w:p w14:paraId="1D70390C" w14:textId="77777777" w:rsidR="009A221B" w:rsidRPr="008974F7" w:rsidRDefault="009A221B" w:rsidP="009A221B">
            <w:pPr>
              <w:pStyle w:val="Body"/>
              <w:rPr>
                <w:rFonts w:ascii="Arial" w:hAnsi="Arial" w:cs="Arial"/>
              </w:rPr>
            </w:pPr>
            <w:r w:rsidRPr="008974F7">
              <w:rPr>
                <w:rFonts w:ascii="Arial" w:hAnsi="Arial" w:cs="Arial"/>
              </w:rPr>
              <w:t>Ref</w:t>
            </w:r>
          </w:p>
        </w:tc>
        <w:tc>
          <w:tcPr>
            <w:tcW w:w="1080" w:type="dxa"/>
            <w:noWrap/>
            <w:vAlign w:val="bottom"/>
            <w:hideMark/>
          </w:tcPr>
          <w:p w14:paraId="75494278" w14:textId="77777777" w:rsidR="009A221B" w:rsidRPr="008974F7" w:rsidRDefault="009A221B" w:rsidP="009A221B">
            <w:pPr>
              <w:pStyle w:val="Body"/>
              <w:rPr>
                <w:rFonts w:ascii="Arial" w:hAnsi="Arial" w:cs="Arial"/>
              </w:rPr>
            </w:pPr>
          </w:p>
        </w:tc>
        <w:tc>
          <w:tcPr>
            <w:tcW w:w="1890" w:type="dxa"/>
            <w:noWrap/>
            <w:vAlign w:val="bottom"/>
            <w:hideMark/>
          </w:tcPr>
          <w:p w14:paraId="1687EFE1" w14:textId="77777777" w:rsidR="009A221B" w:rsidRPr="008974F7" w:rsidRDefault="009A221B" w:rsidP="009A221B">
            <w:pPr>
              <w:pStyle w:val="Body"/>
              <w:rPr>
                <w:rFonts w:ascii="Arial" w:hAnsi="Arial" w:cs="Arial"/>
              </w:rPr>
            </w:pPr>
            <w:r w:rsidRPr="008974F7">
              <w:rPr>
                <w:rFonts w:ascii="Arial" w:hAnsi="Arial" w:cs="Arial"/>
              </w:rPr>
              <w:t>Ref</w:t>
            </w:r>
          </w:p>
        </w:tc>
        <w:tc>
          <w:tcPr>
            <w:tcW w:w="990" w:type="dxa"/>
            <w:noWrap/>
            <w:vAlign w:val="bottom"/>
            <w:hideMark/>
          </w:tcPr>
          <w:p w14:paraId="780A4EFF" w14:textId="77777777" w:rsidR="009A221B" w:rsidRPr="008974F7" w:rsidRDefault="009A221B" w:rsidP="009A221B">
            <w:pPr>
              <w:pStyle w:val="Body"/>
              <w:rPr>
                <w:rFonts w:ascii="Arial" w:hAnsi="Arial" w:cs="Arial"/>
              </w:rPr>
            </w:pPr>
          </w:p>
        </w:tc>
      </w:tr>
      <w:tr w:rsidR="009A221B" w:rsidRPr="008974F7" w14:paraId="73475F44" w14:textId="77777777" w:rsidTr="009A221B">
        <w:trPr>
          <w:trHeight w:val="315"/>
        </w:trPr>
        <w:tc>
          <w:tcPr>
            <w:tcW w:w="3145" w:type="dxa"/>
            <w:noWrap/>
            <w:vAlign w:val="bottom"/>
            <w:hideMark/>
          </w:tcPr>
          <w:p w14:paraId="2173A8B8" w14:textId="77777777" w:rsidR="009A221B" w:rsidRPr="008974F7" w:rsidRDefault="009A221B" w:rsidP="009A221B">
            <w:pPr>
              <w:pStyle w:val="Body"/>
              <w:rPr>
                <w:rFonts w:ascii="Arial" w:hAnsi="Arial" w:cs="Arial"/>
              </w:rPr>
            </w:pPr>
            <w:r w:rsidRPr="008974F7">
              <w:rPr>
                <w:rFonts w:ascii="Arial" w:hAnsi="Arial" w:cs="Arial"/>
              </w:rPr>
              <w:t>&gt;5</w:t>
            </w:r>
          </w:p>
        </w:tc>
        <w:tc>
          <w:tcPr>
            <w:tcW w:w="2070" w:type="dxa"/>
            <w:noWrap/>
            <w:vAlign w:val="bottom"/>
            <w:hideMark/>
          </w:tcPr>
          <w:p w14:paraId="6D1C57D5" w14:textId="77777777" w:rsidR="009A221B" w:rsidRPr="008974F7" w:rsidRDefault="009A221B" w:rsidP="009A221B">
            <w:pPr>
              <w:pStyle w:val="Body"/>
              <w:rPr>
                <w:rFonts w:ascii="Arial" w:hAnsi="Arial" w:cs="Arial"/>
              </w:rPr>
            </w:pPr>
            <w:r w:rsidRPr="008974F7">
              <w:rPr>
                <w:rFonts w:ascii="Arial" w:hAnsi="Arial" w:cs="Arial"/>
              </w:rPr>
              <w:t>3.31(1.52-7.24)</w:t>
            </w:r>
          </w:p>
        </w:tc>
        <w:tc>
          <w:tcPr>
            <w:tcW w:w="1080" w:type="dxa"/>
            <w:noWrap/>
            <w:vAlign w:val="bottom"/>
            <w:hideMark/>
          </w:tcPr>
          <w:p w14:paraId="73628109" w14:textId="77777777" w:rsidR="009A221B" w:rsidRPr="008974F7" w:rsidRDefault="009A221B" w:rsidP="009A221B">
            <w:pPr>
              <w:pStyle w:val="Body"/>
              <w:rPr>
                <w:rFonts w:ascii="Arial" w:hAnsi="Arial" w:cs="Arial"/>
              </w:rPr>
            </w:pPr>
            <w:r w:rsidRPr="008974F7">
              <w:rPr>
                <w:rFonts w:ascii="Arial" w:hAnsi="Arial" w:cs="Arial"/>
              </w:rPr>
              <w:t>0.003</w:t>
            </w:r>
          </w:p>
        </w:tc>
        <w:tc>
          <w:tcPr>
            <w:tcW w:w="1890" w:type="dxa"/>
            <w:noWrap/>
            <w:vAlign w:val="bottom"/>
            <w:hideMark/>
          </w:tcPr>
          <w:p w14:paraId="24FD1D73" w14:textId="77777777" w:rsidR="009A221B" w:rsidRPr="008974F7" w:rsidRDefault="009A221B" w:rsidP="009A221B">
            <w:pPr>
              <w:pStyle w:val="Body"/>
              <w:rPr>
                <w:rFonts w:ascii="Arial" w:hAnsi="Arial" w:cs="Arial"/>
              </w:rPr>
            </w:pPr>
            <w:r w:rsidRPr="008974F7">
              <w:rPr>
                <w:rFonts w:ascii="Arial" w:hAnsi="Arial" w:cs="Arial"/>
              </w:rPr>
              <w:t>3.05(1.37-6.77)</w:t>
            </w:r>
          </w:p>
        </w:tc>
        <w:tc>
          <w:tcPr>
            <w:tcW w:w="990" w:type="dxa"/>
            <w:noWrap/>
            <w:vAlign w:val="bottom"/>
            <w:hideMark/>
          </w:tcPr>
          <w:p w14:paraId="1D5F7CE7" w14:textId="77777777" w:rsidR="009A221B" w:rsidRPr="008974F7" w:rsidRDefault="009A221B" w:rsidP="009A221B">
            <w:pPr>
              <w:pStyle w:val="Body"/>
              <w:rPr>
                <w:rFonts w:ascii="Arial" w:hAnsi="Arial" w:cs="Arial"/>
              </w:rPr>
            </w:pPr>
            <w:r w:rsidRPr="008974F7">
              <w:rPr>
                <w:rFonts w:ascii="Arial" w:hAnsi="Arial" w:cs="Arial"/>
              </w:rPr>
              <w:t>0.006</w:t>
            </w:r>
          </w:p>
        </w:tc>
      </w:tr>
      <w:tr w:rsidR="009A221B" w:rsidRPr="008974F7" w14:paraId="535AA61F" w14:textId="77777777" w:rsidTr="009A221B">
        <w:trPr>
          <w:trHeight w:val="315"/>
        </w:trPr>
        <w:tc>
          <w:tcPr>
            <w:tcW w:w="3145" w:type="dxa"/>
            <w:noWrap/>
            <w:vAlign w:val="bottom"/>
            <w:hideMark/>
          </w:tcPr>
          <w:p w14:paraId="141E9A22" w14:textId="77777777" w:rsidR="009A221B" w:rsidRPr="008974F7" w:rsidRDefault="009A221B" w:rsidP="009A221B">
            <w:pPr>
              <w:pStyle w:val="Body"/>
              <w:rPr>
                <w:rFonts w:ascii="Arial" w:hAnsi="Arial" w:cs="Arial"/>
              </w:rPr>
            </w:pPr>
            <w:r w:rsidRPr="008974F7">
              <w:rPr>
                <w:rFonts w:ascii="Arial" w:hAnsi="Arial" w:cs="Arial"/>
                <w:b/>
                <w:bCs/>
              </w:rPr>
              <w:t>Hypertension</w:t>
            </w:r>
          </w:p>
        </w:tc>
        <w:tc>
          <w:tcPr>
            <w:tcW w:w="2070" w:type="dxa"/>
            <w:noWrap/>
            <w:vAlign w:val="bottom"/>
            <w:hideMark/>
          </w:tcPr>
          <w:p w14:paraId="750BC983" w14:textId="77777777" w:rsidR="009A221B" w:rsidRPr="008974F7" w:rsidRDefault="009A221B" w:rsidP="009A221B">
            <w:pPr>
              <w:pStyle w:val="Body"/>
              <w:rPr>
                <w:rFonts w:ascii="Arial" w:hAnsi="Arial" w:cs="Arial"/>
              </w:rPr>
            </w:pPr>
          </w:p>
        </w:tc>
        <w:tc>
          <w:tcPr>
            <w:tcW w:w="1080" w:type="dxa"/>
            <w:noWrap/>
            <w:vAlign w:val="bottom"/>
            <w:hideMark/>
          </w:tcPr>
          <w:p w14:paraId="603EAB83" w14:textId="77777777" w:rsidR="009A221B" w:rsidRPr="008974F7" w:rsidRDefault="009A221B" w:rsidP="009A221B">
            <w:pPr>
              <w:pStyle w:val="Body"/>
              <w:rPr>
                <w:rFonts w:ascii="Arial" w:hAnsi="Arial" w:cs="Arial"/>
              </w:rPr>
            </w:pPr>
          </w:p>
        </w:tc>
        <w:tc>
          <w:tcPr>
            <w:tcW w:w="1890" w:type="dxa"/>
            <w:noWrap/>
            <w:vAlign w:val="bottom"/>
            <w:hideMark/>
          </w:tcPr>
          <w:p w14:paraId="5F46A36B" w14:textId="77777777" w:rsidR="009A221B" w:rsidRPr="008974F7" w:rsidRDefault="009A221B" w:rsidP="009A221B">
            <w:pPr>
              <w:pStyle w:val="Body"/>
              <w:rPr>
                <w:rFonts w:ascii="Arial" w:hAnsi="Arial" w:cs="Arial"/>
              </w:rPr>
            </w:pPr>
          </w:p>
        </w:tc>
        <w:tc>
          <w:tcPr>
            <w:tcW w:w="990" w:type="dxa"/>
            <w:noWrap/>
            <w:vAlign w:val="bottom"/>
            <w:hideMark/>
          </w:tcPr>
          <w:p w14:paraId="33F8301D" w14:textId="77777777" w:rsidR="009A221B" w:rsidRPr="008974F7" w:rsidRDefault="009A221B" w:rsidP="009A221B">
            <w:pPr>
              <w:pStyle w:val="Body"/>
              <w:rPr>
                <w:rFonts w:ascii="Arial" w:hAnsi="Arial" w:cs="Arial"/>
              </w:rPr>
            </w:pPr>
          </w:p>
        </w:tc>
      </w:tr>
      <w:tr w:rsidR="009A221B" w:rsidRPr="008974F7" w14:paraId="59886B58" w14:textId="77777777" w:rsidTr="009A221B">
        <w:trPr>
          <w:trHeight w:val="315"/>
        </w:trPr>
        <w:tc>
          <w:tcPr>
            <w:tcW w:w="3145" w:type="dxa"/>
            <w:noWrap/>
            <w:vAlign w:val="bottom"/>
            <w:hideMark/>
          </w:tcPr>
          <w:p w14:paraId="57A3C814" w14:textId="77777777" w:rsidR="009A221B" w:rsidRPr="008974F7" w:rsidRDefault="009A221B" w:rsidP="009A221B">
            <w:pPr>
              <w:pStyle w:val="Body"/>
              <w:rPr>
                <w:rFonts w:ascii="Arial" w:hAnsi="Arial" w:cs="Arial"/>
              </w:rPr>
            </w:pPr>
            <w:r w:rsidRPr="008974F7">
              <w:rPr>
                <w:rFonts w:ascii="Arial" w:hAnsi="Arial" w:cs="Arial"/>
              </w:rPr>
              <w:t>No</w:t>
            </w:r>
          </w:p>
        </w:tc>
        <w:tc>
          <w:tcPr>
            <w:tcW w:w="2070" w:type="dxa"/>
            <w:noWrap/>
            <w:vAlign w:val="bottom"/>
            <w:hideMark/>
          </w:tcPr>
          <w:p w14:paraId="413F98C8" w14:textId="77777777" w:rsidR="009A221B" w:rsidRPr="008974F7" w:rsidRDefault="009A221B" w:rsidP="009A221B">
            <w:pPr>
              <w:pStyle w:val="Body"/>
              <w:rPr>
                <w:rFonts w:ascii="Arial" w:hAnsi="Arial" w:cs="Arial"/>
              </w:rPr>
            </w:pPr>
            <w:r w:rsidRPr="008974F7">
              <w:rPr>
                <w:rFonts w:ascii="Arial" w:hAnsi="Arial" w:cs="Arial"/>
              </w:rPr>
              <w:t>Ref</w:t>
            </w:r>
          </w:p>
        </w:tc>
        <w:tc>
          <w:tcPr>
            <w:tcW w:w="1080" w:type="dxa"/>
            <w:noWrap/>
            <w:vAlign w:val="bottom"/>
            <w:hideMark/>
          </w:tcPr>
          <w:p w14:paraId="3FD5119D" w14:textId="77777777" w:rsidR="009A221B" w:rsidRPr="008974F7" w:rsidRDefault="009A221B" w:rsidP="009A221B">
            <w:pPr>
              <w:pStyle w:val="Body"/>
              <w:rPr>
                <w:rFonts w:ascii="Arial" w:hAnsi="Arial" w:cs="Arial"/>
              </w:rPr>
            </w:pPr>
          </w:p>
        </w:tc>
        <w:tc>
          <w:tcPr>
            <w:tcW w:w="1890" w:type="dxa"/>
            <w:noWrap/>
            <w:vAlign w:val="bottom"/>
            <w:hideMark/>
          </w:tcPr>
          <w:p w14:paraId="6C118F85" w14:textId="77777777" w:rsidR="009A221B" w:rsidRPr="008974F7" w:rsidRDefault="009A221B" w:rsidP="009A221B">
            <w:pPr>
              <w:pStyle w:val="Body"/>
              <w:rPr>
                <w:rFonts w:ascii="Arial" w:hAnsi="Arial" w:cs="Arial"/>
              </w:rPr>
            </w:pPr>
          </w:p>
        </w:tc>
        <w:tc>
          <w:tcPr>
            <w:tcW w:w="990" w:type="dxa"/>
            <w:noWrap/>
            <w:vAlign w:val="bottom"/>
            <w:hideMark/>
          </w:tcPr>
          <w:p w14:paraId="78BBD933" w14:textId="77777777" w:rsidR="009A221B" w:rsidRPr="008974F7" w:rsidRDefault="009A221B" w:rsidP="009A221B">
            <w:pPr>
              <w:pStyle w:val="Body"/>
              <w:rPr>
                <w:rFonts w:ascii="Arial" w:hAnsi="Arial" w:cs="Arial"/>
              </w:rPr>
            </w:pPr>
          </w:p>
        </w:tc>
      </w:tr>
      <w:tr w:rsidR="009A221B" w:rsidRPr="008974F7" w14:paraId="080C00C3" w14:textId="77777777" w:rsidTr="009A221B">
        <w:trPr>
          <w:trHeight w:val="315"/>
        </w:trPr>
        <w:tc>
          <w:tcPr>
            <w:tcW w:w="3145" w:type="dxa"/>
            <w:noWrap/>
            <w:vAlign w:val="bottom"/>
            <w:hideMark/>
          </w:tcPr>
          <w:p w14:paraId="618AE582" w14:textId="77777777" w:rsidR="009A221B" w:rsidRPr="008974F7" w:rsidRDefault="009A221B" w:rsidP="009A221B">
            <w:pPr>
              <w:pStyle w:val="Body"/>
              <w:rPr>
                <w:rFonts w:ascii="Arial" w:hAnsi="Arial" w:cs="Arial"/>
              </w:rPr>
            </w:pPr>
            <w:r w:rsidRPr="008974F7">
              <w:rPr>
                <w:rFonts w:ascii="Arial" w:hAnsi="Arial" w:cs="Arial"/>
              </w:rPr>
              <w:t>Yes</w:t>
            </w:r>
          </w:p>
        </w:tc>
        <w:tc>
          <w:tcPr>
            <w:tcW w:w="2070" w:type="dxa"/>
            <w:noWrap/>
            <w:vAlign w:val="bottom"/>
            <w:hideMark/>
          </w:tcPr>
          <w:p w14:paraId="2893A490" w14:textId="77777777" w:rsidR="009A221B" w:rsidRPr="008974F7" w:rsidRDefault="009A221B" w:rsidP="009A221B">
            <w:pPr>
              <w:pStyle w:val="Body"/>
              <w:rPr>
                <w:rFonts w:ascii="Arial" w:hAnsi="Arial" w:cs="Arial"/>
              </w:rPr>
            </w:pPr>
            <w:r w:rsidRPr="008974F7">
              <w:rPr>
                <w:rFonts w:ascii="Arial" w:hAnsi="Arial" w:cs="Arial"/>
              </w:rPr>
              <w:t>1.48(0.88-2.49)</w:t>
            </w:r>
          </w:p>
        </w:tc>
        <w:tc>
          <w:tcPr>
            <w:tcW w:w="1080" w:type="dxa"/>
            <w:noWrap/>
            <w:vAlign w:val="bottom"/>
            <w:hideMark/>
          </w:tcPr>
          <w:p w14:paraId="431CF736" w14:textId="77777777" w:rsidR="009A221B" w:rsidRPr="008974F7" w:rsidRDefault="009A221B" w:rsidP="009A221B">
            <w:pPr>
              <w:pStyle w:val="Body"/>
              <w:rPr>
                <w:rFonts w:ascii="Arial" w:hAnsi="Arial" w:cs="Arial"/>
              </w:rPr>
            </w:pPr>
            <w:r w:rsidRPr="008974F7">
              <w:rPr>
                <w:rFonts w:ascii="Arial" w:hAnsi="Arial" w:cs="Arial"/>
              </w:rPr>
              <w:t>0.136</w:t>
            </w:r>
          </w:p>
        </w:tc>
        <w:tc>
          <w:tcPr>
            <w:tcW w:w="1890" w:type="dxa"/>
            <w:noWrap/>
            <w:vAlign w:val="bottom"/>
            <w:hideMark/>
          </w:tcPr>
          <w:p w14:paraId="4944B6B9" w14:textId="77777777" w:rsidR="009A221B" w:rsidRPr="008974F7" w:rsidRDefault="009A221B" w:rsidP="009A221B">
            <w:pPr>
              <w:pStyle w:val="Body"/>
              <w:rPr>
                <w:rFonts w:ascii="Arial" w:hAnsi="Arial" w:cs="Arial"/>
              </w:rPr>
            </w:pPr>
          </w:p>
        </w:tc>
        <w:tc>
          <w:tcPr>
            <w:tcW w:w="990" w:type="dxa"/>
            <w:noWrap/>
            <w:vAlign w:val="bottom"/>
            <w:hideMark/>
          </w:tcPr>
          <w:p w14:paraId="6C22A475" w14:textId="77777777" w:rsidR="009A221B" w:rsidRPr="008974F7" w:rsidRDefault="009A221B" w:rsidP="009A221B">
            <w:pPr>
              <w:pStyle w:val="Body"/>
              <w:rPr>
                <w:rFonts w:ascii="Arial" w:hAnsi="Arial" w:cs="Arial"/>
              </w:rPr>
            </w:pPr>
          </w:p>
        </w:tc>
      </w:tr>
      <w:tr w:rsidR="009A221B" w:rsidRPr="008974F7" w14:paraId="2DEE7220" w14:textId="77777777" w:rsidTr="009A221B">
        <w:trPr>
          <w:trHeight w:val="315"/>
        </w:trPr>
        <w:tc>
          <w:tcPr>
            <w:tcW w:w="3145" w:type="dxa"/>
            <w:noWrap/>
            <w:vAlign w:val="bottom"/>
            <w:hideMark/>
          </w:tcPr>
          <w:p w14:paraId="4F85EDD0" w14:textId="77777777" w:rsidR="009A221B" w:rsidRPr="008974F7" w:rsidRDefault="009A221B" w:rsidP="009A221B">
            <w:pPr>
              <w:pStyle w:val="Body"/>
              <w:rPr>
                <w:rFonts w:ascii="Arial" w:hAnsi="Arial" w:cs="Arial"/>
              </w:rPr>
            </w:pPr>
            <w:r w:rsidRPr="008974F7">
              <w:rPr>
                <w:rFonts w:ascii="Arial" w:hAnsi="Arial" w:cs="Arial"/>
                <w:b/>
                <w:bCs/>
              </w:rPr>
              <w:t>Participant BMI</w:t>
            </w:r>
          </w:p>
        </w:tc>
        <w:tc>
          <w:tcPr>
            <w:tcW w:w="2070" w:type="dxa"/>
            <w:noWrap/>
            <w:vAlign w:val="bottom"/>
            <w:hideMark/>
          </w:tcPr>
          <w:p w14:paraId="60012E82" w14:textId="77777777" w:rsidR="009A221B" w:rsidRPr="008974F7" w:rsidRDefault="009A221B" w:rsidP="009A221B">
            <w:pPr>
              <w:pStyle w:val="Body"/>
              <w:rPr>
                <w:rFonts w:ascii="Arial" w:hAnsi="Arial" w:cs="Arial"/>
              </w:rPr>
            </w:pPr>
          </w:p>
        </w:tc>
        <w:tc>
          <w:tcPr>
            <w:tcW w:w="1080" w:type="dxa"/>
            <w:noWrap/>
            <w:vAlign w:val="bottom"/>
            <w:hideMark/>
          </w:tcPr>
          <w:p w14:paraId="28622B49" w14:textId="77777777" w:rsidR="009A221B" w:rsidRPr="008974F7" w:rsidRDefault="009A221B" w:rsidP="009A221B">
            <w:pPr>
              <w:pStyle w:val="Body"/>
              <w:rPr>
                <w:rFonts w:ascii="Arial" w:hAnsi="Arial" w:cs="Arial"/>
              </w:rPr>
            </w:pPr>
          </w:p>
        </w:tc>
        <w:tc>
          <w:tcPr>
            <w:tcW w:w="1890" w:type="dxa"/>
            <w:noWrap/>
            <w:vAlign w:val="bottom"/>
            <w:hideMark/>
          </w:tcPr>
          <w:p w14:paraId="5923653C" w14:textId="77777777" w:rsidR="009A221B" w:rsidRPr="008974F7" w:rsidRDefault="009A221B" w:rsidP="009A221B">
            <w:pPr>
              <w:pStyle w:val="Body"/>
              <w:rPr>
                <w:rFonts w:ascii="Arial" w:hAnsi="Arial" w:cs="Arial"/>
              </w:rPr>
            </w:pPr>
          </w:p>
        </w:tc>
        <w:tc>
          <w:tcPr>
            <w:tcW w:w="990" w:type="dxa"/>
            <w:noWrap/>
            <w:vAlign w:val="bottom"/>
            <w:hideMark/>
          </w:tcPr>
          <w:p w14:paraId="3DEFA735" w14:textId="77777777" w:rsidR="009A221B" w:rsidRPr="008974F7" w:rsidRDefault="009A221B" w:rsidP="009A221B">
            <w:pPr>
              <w:pStyle w:val="Body"/>
              <w:rPr>
                <w:rFonts w:ascii="Arial" w:hAnsi="Arial" w:cs="Arial"/>
              </w:rPr>
            </w:pPr>
          </w:p>
        </w:tc>
      </w:tr>
      <w:tr w:rsidR="009A221B" w:rsidRPr="008974F7" w14:paraId="673C4867" w14:textId="77777777" w:rsidTr="009A221B">
        <w:trPr>
          <w:trHeight w:val="315"/>
        </w:trPr>
        <w:tc>
          <w:tcPr>
            <w:tcW w:w="3145" w:type="dxa"/>
            <w:noWrap/>
            <w:vAlign w:val="bottom"/>
            <w:hideMark/>
          </w:tcPr>
          <w:p w14:paraId="2F9CEF3F" w14:textId="77777777" w:rsidR="009A221B" w:rsidRPr="008974F7" w:rsidRDefault="009A221B" w:rsidP="009A221B">
            <w:pPr>
              <w:pStyle w:val="Body"/>
              <w:rPr>
                <w:rFonts w:ascii="Arial" w:hAnsi="Arial" w:cs="Arial"/>
              </w:rPr>
            </w:pPr>
            <w:r w:rsidRPr="008974F7">
              <w:rPr>
                <w:rFonts w:ascii="Arial" w:hAnsi="Arial" w:cs="Arial"/>
              </w:rPr>
              <w:t>Normal</w:t>
            </w:r>
          </w:p>
        </w:tc>
        <w:tc>
          <w:tcPr>
            <w:tcW w:w="2070" w:type="dxa"/>
            <w:noWrap/>
            <w:vAlign w:val="bottom"/>
            <w:hideMark/>
          </w:tcPr>
          <w:p w14:paraId="32931183" w14:textId="77777777" w:rsidR="009A221B" w:rsidRPr="008974F7" w:rsidRDefault="009A221B" w:rsidP="009A221B">
            <w:pPr>
              <w:pStyle w:val="Body"/>
              <w:rPr>
                <w:rFonts w:ascii="Arial" w:hAnsi="Arial" w:cs="Arial"/>
              </w:rPr>
            </w:pPr>
            <w:r w:rsidRPr="008974F7">
              <w:rPr>
                <w:rFonts w:ascii="Arial" w:hAnsi="Arial" w:cs="Arial"/>
              </w:rPr>
              <w:t>Ref</w:t>
            </w:r>
          </w:p>
        </w:tc>
        <w:tc>
          <w:tcPr>
            <w:tcW w:w="1080" w:type="dxa"/>
            <w:noWrap/>
            <w:vAlign w:val="bottom"/>
            <w:hideMark/>
          </w:tcPr>
          <w:p w14:paraId="4F13AF52" w14:textId="77777777" w:rsidR="009A221B" w:rsidRPr="008974F7" w:rsidRDefault="009A221B" w:rsidP="009A221B">
            <w:pPr>
              <w:pStyle w:val="Body"/>
              <w:rPr>
                <w:rFonts w:ascii="Arial" w:hAnsi="Arial" w:cs="Arial"/>
              </w:rPr>
            </w:pPr>
          </w:p>
        </w:tc>
        <w:tc>
          <w:tcPr>
            <w:tcW w:w="1890" w:type="dxa"/>
            <w:noWrap/>
            <w:vAlign w:val="bottom"/>
            <w:hideMark/>
          </w:tcPr>
          <w:p w14:paraId="4139C9BC" w14:textId="77777777" w:rsidR="009A221B" w:rsidRPr="008974F7" w:rsidRDefault="009A221B" w:rsidP="009A221B">
            <w:pPr>
              <w:pStyle w:val="Body"/>
              <w:rPr>
                <w:rFonts w:ascii="Arial" w:hAnsi="Arial" w:cs="Arial"/>
              </w:rPr>
            </w:pPr>
          </w:p>
        </w:tc>
        <w:tc>
          <w:tcPr>
            <w:tcW w:w="990" w:type="dxa"/>
            <w:noWrap/>
            <w:vAlign w:val="bottom"/>
            <w:hideMark/>
          </w:tcPr>
          <w:p w14:paraId="60FD0F2E" w14:textId="77777777" w:rsidR="009A221B" w:rsidRPr="008974F7" w:rsidRDefault="009A221B" w:rsidP="009A221B">
            <w:pPr>
              <w:pStyle w:val="Body"/>
              <w:rPr>
                <w:rFonts w:ascii="Arial" w:hAnsi="Arial" w:cs="Arial"/>
              </w:rPr>
            </w:pPr>
          </w:p>
        </w:tc>
      </w:tr>
      <w:tr w:rsidR="009A221B" w:rsidRPr="008974F7" w14:paraId="5536C804" w14:textId="77777777" w:rsidTr="009A221B">
        <w:trPr>
          <w:trHeight w:val="315"/>
        </w:trPr>
        <w:tc>
          <w:tcPr>
            <w:tcW w:w="3145" w:type="dxa"/>
            <w:noWrap/>
            <w:vAlign w:val="bottom"/>
            <w:hideMark/>
          </w:tcPr>
          <w:p w14:paraId="0EB27874" w14:textId="77777777" w:rsidR="009A221B" w:rsidRPr="008974F7" w:rsidRDefault="009A221B" w:rsidP="009A221B">
            <w:pPr>
              <w:pStyle w:val="Body"/>
              <w:rPr>
                <w:rFonts w:ascii="Arial" w:hAnsi="Arial" w:cs="Arial"/>
              </w:rPr>
            </w:pPr>
            <w:r w:rsidRPr="008974F7">
              <w:rPr>
                <w:rFonts w:ascii="Arial" w:hAnsi="Arial" w:cs="Arial"/>
              </w:rPr>
              <w:t>Abnormal</w:t>
            </w:r>
          </w:p>
        </w:tc>
        <w:tc>
          <w:tcPr>
            <w:tcW w:w="2070" w:type="dxa"/>
            <w:noWrap/>
            <w:vAlign w:val="bottom"/>
            <w:hideMark/>
          </w:tcPr>
          <w:p w14:paraId="6FC3B63B" w14:textId="77777777" w:rsidR="009A221B" w:rsidRPr="008974F7" w:rsidRDefault="009A221B" w:rsidP="009A221B">
            <w:pPr>
              <w:pStyle w:val="Body"/>
              <w:rPr>
                <w:rFonts w:ascii="Arial" w:hAnsi="Arial" w:cs="Arial"/>
              </w:rPr>
            </w:pPr>
            <w:r w:rsidRPr="008974F7">
              <w:rPr>
                <w:rFonts w:ascii="Arial" w:hAnsi="Arial" w:cs="Arial"/>
              </w:rPr>
              <w:t>1.60(0.96-2.68)</w:t>
            </w:r>
          </w:p>
        </w:tc>
        <w:tc>
          <w:tcPr>
            <w:tcW w:w="1080" w:type="dxa"/>
            <w:noWrap/>
            <w:vAlign w:val="bottom"/>
            <w:hideMark/>
          </w:tcPr>
          <w:p w14:paraId="4232E933" w14:textId="77777777" w:rsidR="009A221B" w:rsidRPr="008974F7" w:rsidRDefault="009A221B" w:rsidP="009A221B">
            <w:pPr>
              <w:pStyle w:val="Body"/>
              <w:rPr>
                <w:rFonts w:ascii="Arial" w:hAnsi="Arial" w:cs="Arial"/>
              </w:rPr>
            </w:pPr>
            <w:r w:rsidRPr="008974F7">
              <w:rPr>
                <w:rFonts w:ascii="Arial" w:hAnsi="Arial" w:cs="Arial"/>
              </w:rPr>
              <w:t>0.073</w:t>
            </w:r>
          </w:p>
        </w:tc>
        <w:tc>
          <w:tcPr>
            <w:tcW w:w="1890" w:type="dxa"/>
            <w:noWrap/>
            <w:vAlign w:val="bottom"/>
            <w:hideMark/>
          </w:tcPr>
          <w:p w14:paraId="3629156E" w14:textId="77777777" w:rsidR="009A221B" w:rsidRPr="008974F7" w:rsidRDefault="009A221B" w:rsidP="009A221B">
            <w:pPr>
              <w:pStyle w:val="Body"/>
              <w:rPr>
                <w:rFonts w:ascii="Arial" w:hAnsi="Arial" w:cs="Arial"/>
              </w:rPr>
            </w:pPr>
          </w:p>
        </w:tc>
        <w:tc>
          <w:tcPr>
            <w:tcW w:w="990" w:type="dxa"/>
            <w:noWrap/>
            <w:vAlign w:val="bottom"/>
            <w:hideMark/>
          </w:tcPr>
          <w:p w14:paraId="6127F6E0" w14:textId="77777777" w:rsidR="009A221B" w:rsidRPr="008974F7" w:rsidRDefault="009A221B" w:rsidP="009A221B">
            <w:pPr>
              <w:pStyle w:val="Body"/>
              <w:rPr>
                <w:rFonts w:ascii="Arial" w:hAnsi="Arial" w:cs="Arial"/>
              </w:rPr>
            </w:pPr>
          </w:p>
        </w:tc>
      </w:tr>
      <w:tr w:rsidR="009A221B" w:rsidRPr="008974F7" w14:paraId="2DF05C26" w14:textId="77777777" w:rsidTr="009A221B">
        <w:trPr>
          <w:trHeight w:val="315"/>
        </w:trPr>
        <w:tc>
          <w:tcPr>
            <w:tcW w:w="3145" w:type="dxa"/>
            <w:noWrap/>
            <w:vAlign w:val="bottom"/>
            <w:hideMark/>
          </w:tcPr>
          <w:p w14:paraId="31A416B9" w14:textId="77777777" w:rsidR="009A221B" w:rsidRPr="008974F7" w:rsidRDefault="009A221B" w:rsidP="009A221B">
            <w:pPr>
              <w:pStyle w:val="Body"/>
              <w:rPr>
                <w:rFonts w:ascii="Arial" w:hAnsi="Arial" w:cs="Arial"/>
              </w:rPr>
            </w:pPr>
            <w:r w:rsidRPr="008974F7">
              <w:rPr>
                <w:rFonts w:ascii="Arial" w:hAnsi="Arial" w:cs="Arial"/>
                <w:b/>
                <w:bCs/>
              </w:rPr>
              <w:t>Serum Cholesterol level</w:t>
            </w:r>
          </w:p>
        </w:tc>
        <w:tc>
          <w:tcPr>
            <w:tcW w:w="2070" w:type="dxa"/>
            <w:noWrap/>
            <w:vAlign w:val="bottom"/>
            <w:hideMark/>
          </w:tcPr>
          <w:p w14:paraId="7F0885CE" w14:textId="77777777" w:rsidR="009A221B" w:rsidRPr="008974F7" w:rsidRDefault="009A221B" w:rsidP="009A221B">
            <w:pPr>
              <w:pStyle w:val="Body"/>
              <w:rPr>
                <w:rFonts w:ascii="Arial" w:hAnsi="Arial" w:cs="Arial"/>
              </w:rPr>
            </w:pPr>
          </w:p>
        </w:tc>
        <w:tc>
          <w:tcPr>
            <w:tcW w:w="1080" w:type="dxa"/>
            <w:noWrap/>
            <w:vAlign w:val="bottom"/>
            <w:hideMark/>
          </w:tcPr>
          <w:p w14:paraId="05021E6F" w14:textId="77777777" w:rsidR="009A221B" w:rsidRPr="008974F7" w:rsidRDefault="009A221B" w:rsidP="009A221B">
            <w:pPr>
              <w:pStyle w:val="Body"/>
              <w:rPr>
                <w:rFonts w:ascii="Arial" w:hAnsi="Arial" w:cs="Arial"/>
              </w:rPr>
            </w:pPr>
          </w:p>
        </w:tc>
        <w:tc>
          <w:tcPr>
            <w:tcW w:w="1890" w:type="dxa"/>
            <w:noWrap/>
            <w:vAlign w:val="bottom"/>
            <w:hideMark/>
          </w:tcPr>
          <w:p w14:paraId="3D563FB2" w14:textId="77777777" w:rsidR="009A221B" w:rsidRPr="008974F7" w:rsidRDefault="009A221B" w:rsidP="009A221B">
            <w:pPr>
              <w:pStyle w:val="Body"/>
              <w:rPr>
                <w:rFonts w:ascii="Arial" w:hAnsi="Arial" w:cs="Arial"/>
              </w:rPr>
            </w:pPr>
          </w:p>
        </w:tc>
        <w:tc>
          <w:tcPr>
            <w:tcW w:w="990" w:type="dxa"/>
            <w:noWrap/>
            <w:vAlign w:val="bottom"/>
            <w:hideMark/>
          </w:tcPr>
          <w:p w14:paraId="30D6726C" w14:textId="77777777" w:rsidR="009A221B" w:rsidRPr="008974F7" w:rsidRDefault="009A221B" w:rsidP="009A221B">
            <w:pPr>
              <w:pStyle w:val="Body"/>
              <w:rPr>
                <w:rFonts w:ascii="Arial" w:hAnsi="Arial" w:cs="Arial"/>
              </w:rPr>
            </w:pPr>
          </w:p>
        </w:tc>
      </w:tr>
      <w:tr w:rsidR="009A221B" w:rsidRPr="008974F7" w14:paraId="572B560A" w14:textId="77777777" w:rsidTr="009A221B">
        <w:trPr>
          <w:trHeight w:val="315"/>
        </w:trPr>
        <w:tc>
          <w:tcPr>
            <w:tcW w:w="3145" w:type="dxa"/>
            <w:noWrap/>
            <w:vAlign w:val="bottom"/>
            <w:hideMark/>
          </w:tcPr>
          <w:p w14:paraId="790BD925" w14:textId="77777777" w:rsidR="009A221B" w:rsidRPr="008974F7" w:rsidRDefault="009A221B" w:rsidP="009A221B">
            <w:pPr>
              <w:pStyle w:val="Body"/>
              <w:rPr>
                <w:rFonts w:ascii="Arial" w:hAnsi="Arial" w:cs="Arial"/>
              </w:rPr>
            </w:pPr>
            <w:r w:rsidRPr="008974F7">
              <w:rPr>
                <w:rFonts w:ascii="Arial" w:hAnsi="Arial" w:cs="Arial"/>
              </w:rPr>
              <w:t>Normal</w:t>
            </w:r>
          </w:p>
        </w:tc>
        <w:tc>
          <w:tcPr>
            <w:tcW w:w="2070" w:type="dxa"/>
            <w:noWrap/>
            <w:vAlign w:val="bottom"/>
            <w:hideMark/>
          </w:tcPr>
          <w:p w14:paraId="56965B3F" w14:textId="77777777" w:rsidR="009A221B" w:rsidRPr="008974F7" w:rsidRDefault="009A221B" w:rsidP="009A221B">
            <w:pPr>
              <w:pStyle w:val="Body"/>
              <w:rPr>
                <w:rFonts w:ascii="Arial" w:hAnsi="Arial" w:cs="Arial"/>
              </w:rPr>
            </w:pPr>
            <w:r w:rsidRPr="008974F7">
              <w:rPr>
                <w:rFonts w:ascii="Arial" w:hAnsi="Arial" w:cs="Arial"/>
              </w:rPr>
              <w:t>Ref</w:t>
            </w:r>
          </w:p>
        </w:tc>
        <w:tc>
          <w:tcPr>
            <w:tcW w:w="1080" w:type="dxa"/>
            <w:noWrap/>
            <w:vAlign w:val="bottom"/>
            <w:hideMark/>
          </w:tcPr>
          <w:p w14:paraId="613774FF" w14:textId="77777777" w:rsidR="009A221B" w:rsidRPr="008974F7" w:rsidRDefault="009A221B" w:rsidP="009A221B">
            <w:pPr>
              <w:pStyle w:val="Body"/>
              <w:rPr>
                <w:rFonts w:ascii="Arial" w:hAnsi="Arial" w:cs="Arial"/>
              </w:rPr>
            </w:pPr>
          </w:p>
        </w:tc>
        <w:tc>
          <w:tcPr>
            <w:tcW w:w="1890" w:type="dxa"/>
            <w:noWrap/>
            <w:vAlign w:val="bottom"/>
            <w:hideMark/>
          </w:tcPr>
          <w:p w14:paraId="2790572B" w14:textId="77777777" w:rsidR="009A221B" w:rsidRPr="008974F7" w:rsidRDefault="009A221B" w:rsidP="009A221B">
            <w:pPr>
              <w:pStyle w:val="Body"/>
              <w:rPr>
                <w:rFonts w:ascii="Arial" w:hAnsi="Arial" w:cs="Arial"/>
              </w:rPr>
            </w:pPr>
            <w:r w:rsidRPr="008974F7">
              <w:rPr>
                <w:rFonts w:ascii="Arial" w:hAnsi="Arial" w:cs="Arial"/>
              </w:rPr>
              <w:t>Ref</w:t>
            </w:r>
          </w:p>
        </w:tc>
        <w:tc>
          <w:tcPr>
            <w:tcW w:w="990" w:type="dxa"/>
            <w:noWrap/>
            <w:vAlign w:val="bottom"/>
            <w:hideMark/>
          </w:tcPr>
          <w:p w14:paraId="676CE21D" w14:textId="77777777" w:rsidR="009A221B" w:rsidRPr="008974F7" w:rsidRDefault="009A221B" w:rsidP="009A221B">
            <w:pPr>
              <w:pStyle w:val="Body"/>
              <w:rPr>
                <w:rFonts w:ascii="Arial" w:hAnsi="Arial" w:cs="Arial"/>
              </w:rPr>
            </w:pPr>
          </w:p>
        </w:tc>
      </w:tr>
      <w:tr w:rsidR="009A221B" w:rsidRPr="008974F7" w14:paraId="1070518C" w14:textId="77777777" w:rsidTr="009A221B">
        <w:trPr>
          <w:trHeight w:val="315"/>
        </w:trPr>
        <w:tc>
          <w:tcPr>
            <w:tcW w:w="3145" w:type="dxa"/>
            <w:noWrap/>
            <w:vAlign w:val="bottom"/>
            <w:hideMark/>
          </w:tcPr>
          <w:p w14:paraId="34909FDD" w14:textId="77777777" w:rsidR="009A221B" w:rsidRPr="008974F7" w:rsidRDefault="0046694A" w:rsidP="009A221B">
            <w:pPr>
              <w:pStyle w:val="Body"/>
              <w:rPr>
                <w:rFonts w:ascii="Arial" w:hAnsi="Arial" w:cs="Arial"/>
              </w:rPr>
            </w:pPr>
            <w:r w:rsidRPr="008974F7">
              <w:rPr>
                <w:rFonts w:ascii="Arial" w:hAnsi="Arial" w:cs="Arial"/>
              </w:rPr>
              <w:t>High Cholesterol</w:t>
            </w:r>
          </w:p>
        </w:tc>
        <w:tc>
          <w:tcPr>
            <w:tcW w:w="2070" w:type="dxa"/>
            <w:noWrap/>
            <w:vAlign w:val="bottom"/>
            <w:hideMark/>
          </w:tcPr>
          <w:p w14:paraId="2B51C025" w14:textId="77777777" w:rsidR="009A221B" w:rsidRPr="008974F7" w:rsidRDefault="009A221B" w:rsidP="009A221B">
            <w:pPr>
              <w:pStyle w:val="Body"/>
              <w:rPr>
                <w:rFonts w:ascii="Arial" w:hAnsi="Arial" w:cs="Arial"/>
              </w:rPr>
            </w:pPr>
            <w:r w:rsidRPr="008974F7">
              <w:rPr>
                <w:rFonts w:ascii="Arial" w:hAnsi="Arial" w:cs="Arial"/>
              </w:rPr>
              <w:t>1.79(1.07-2.99)</w:t>
            </w:r>
          </w:p>
        </w:tc>
        <w:tc>
          <w:tcPr>
            <w:tcW w:w="1080" w:type="dxa"/>
            <w:noWrap/>
            <w:vAlign w:val="bottom"/>
            <w:hideMark/>
          </w:tcPr>
          <w:p w14:paraId="7A4523A1" w14:textId="77777777" w:rsidR="009A221B" w:rsidRPr="008974F7" w:rsidRDefault="009A221B" w:rsidP="009A221B">
            <w:pPr>
              <w:pStyle w:val="Body"/>
              <w:rPr>
                <w:rFonts w:ascii="Arial" w:hAnsi="Arial" w:cs="Arial"/>
              </w:rPr>
            </w:pPr>
            <w:r w:rsidRPr="008974F7">
              <w:rPr>
                <w:rFonts w:ascii="Arial" w:hAnsi="Arial" w:cs="Arial"/>
              </w:rPr>
              <w:t>0.027</w:t>
            </w:r>
          </w:p>
        </w:tc>
        <w:tc>
          <w:tcPr>
            <w:tcW w:w="1890" w:type="dxa"/>
            <w:noWrap/>
            <w:vAlign w:val="bottom"/>
            <w:hideMark/>
          </w:tcPr>
          <w:p w14:paraId="4974CFAC" w14:textId="77777777" w:rsidR="009A221B" w:rsidRPr="008974F7" w:rsidRDefault="009A221B" w:rsidP="009A221B">
            <w:pPr>
              <w:pStyle w:val="Body"/>
              <w:rPr>
                <w:rFonts w:ascii="Arial" w:hAnsi="Arial" w:cs="Arial"/>
              </w:rPr>
            </w:pPr>
            <w:r w:rsidRPr="008974F7">
              <w:rPr>
                <w:rFonts w:ascii="Arial" w:hAnsi="Arial" w:cs="Arial"/>
              </w:rPr>
              <w:t>2.01(1.18-3.42)</w:t>
            </w:r>
          </w:p>
        </w:tc>
        <w:tc>
          <w:tcPr>
            <w:tcW w:w="990" w:type="dxa"/>
            <w:noWrap/>
            <w:vAlign w:val="bottom"/>
            <w:hideMark/>
          </w:tcPr>
          <w:p w14:paraId="214FE0D0" w14:textId="77777777" w:rsidR="009A221B" w:rsidRPr="008974F7" w:rsidRDefault="009A221B" w:rsidP="009A221B">
            <w:pPr>
              <w:pStyle w:val="Body"/>
              <w:rPr>
                <w:rFonts w:ascii="Arial" w:hAnsi="Arial" w:cs="Arial"/>
              </w:rPr>
            </w:pPr>
            <w:r w:rsidRPr="008974F7">
              <w:rPr>
                <w:rFonts w:ascii="Arial" w:hAnsi="Arial" w:cs="Arial"/>
              </w:rPr>
              <w:t>0.011</w:t>
            </w:r>
          </w:p>
        </w:tc>
      </w:tr>
      <w:tr w:rsidR="009A221B" w:rsidRPr="008974F7" w14:paraId="733E7630" w14:textId="77777777" w:rsidTr="009A221B">
        <w:trPr>
          <w:trHeight w:val="315"/>
        </w:trPr>
        <w:tc>
          <w:tcPr>
            <w:tcW w:w="3145" w:type="dxa"/>
            <w:noWrap/>
            <w:vAlign w:val="bottom"/>
            <w:hideMark/>
          </w:tcPr>
          <w:p w14:paraId="3FF5345D" w14:textId="77777777" w:rsidR="009A221B" w:rsidRPr="008974F7" w:rsidRDefault="009A221B" w:rsidP="009A221B">
            <w:pPr>
              <w:pStyle w:val="Body"/>
              <w:rPr>
                <w:rFonts w:ascii="Arial" w:hAnsi="Arial" w:cs="Arial"/>
              </w:rPr>
            </w:pPr>
            <w:r w:rsidRPr="008974F7">
              <w:rPr>
                <w:rFonts w:ascii="Arial" w:hAnsi="Arial" w:cs="Arial"/>
                <w:b/>
                <w:bCs/>
              </w:rPr>
              <w:t>Serum HDL level</w:t>
            </w:r>
          </w:p>
        </w:tc>
        <w:tc>
          <w:tcPr>
            <w:tcW w:w="2070" w:type="dxa"/>
            <w:noWrap/>
            <w:vAlign w:val="bottom"/>
            <w:hideMark/>
          </w:tcPr>
          <w:p w14:paraId="3CE698B8" w14:textId="77777777" w:rsidR="009A221B" w:rsidRPr="008974F7" w:rsidRDefault="009A221B" w:rsidP="009A221B">
            <w:pPr>
              <w:pStyle w:val="Body"/>
              <w:rPr>
                <w:rFonts w:ascii="Arial" w:hAnsi="Arial" w:cs="Arial"/>
              </w:rPr>
            </w:pPr>
          </w:p>
        </w:tc>
        <w:tc>
          <w:tcPr>
            <w:tcW w:w="1080" w:type="dxa"/>
            <w:noWrap/>
            <w:vAlign w:val="bottom"/>
            <w:hideMark/>
          </w:tcPr>
          <w:p w14:paraId="757DA8E0" w14:textId="77777777" w:rsidR="009A221B" w:rsidRPr="008974F7" w:rsidRDefault="009A221B" w:rsidP="009A221B">
            <w:pPr>
              <w:pStyle w:val="Body"/>
              <w:rPr>
                <w:rFonts w:ascii="Arial" w:hAnsi="Arial" w:cs="Arial"/>
              </w:rPr>
            </w:pPr>
          </w:p>
        </w:tc>
        <w:tc>
          <w:tcPr>
            <w:tcW w:w="1890" w:type="dxa"/>
            <w:noWrap/>
            <w:vAlign w:val="bottom"/>
            <w:hideMark/>
          </w:tcPr>
          <w:p w14:paraId="70C49800" w14:textId="77777777" w:rsidR="009A221B" w:rsidRPr="008974F7" w:rsidRDefault="009A221B" w:rsidP="009A221B">
            <w:pPr>
              <w:pStyle w:val="Body"/>
              <w:rPr>
                <w:rFonts w:ascii="Arial" w:hAnsi="Arial" w:cs="Arial"/>
              </w:rPr>
            </w:pPr>
          </w:p>
        </w:tc>
        <w:tc>
          <w:tcPr>
            <w:tcW w:w="990" w:type="dxa"/>
            <w:noWrap/>
            <w:vAlign w:val="bottom"/>
            <w:hideMark/>
          </w:tcPr>
          <w:p w14:paraId="4108374E" w14:textId="77777777" w:rsidR="009A221B" w:rsidRPr="008974F7" w:rsidRDefault="009A221B" w:rsidP="009A221B">
            <w:pPr>
              <w:pStyle w:val="Body"/>
              <w:rPr>
                <w:rFonts w:ascii="Arial" w:hAnsi="Arial" w:cs="Arial"/>
              </w:rPr>
            </w:pPr>
          </w:p>
        </w:tc>
      </w:tr>
      <w:tr w:rsidR="009A221B" w:rsidRPr="008974F7" w14:paraId="2A8F297D" w14:textId="77777777" w:rsidTr="009A221B">
        <w:trPr>
          <w:trHeight w:val="315"/>
        </w:trPr>
        <w:tc>
          <w:tcPr>
            <w:tcW w:w="3145" w:type="dxa"/>
            <w:noWrap/>
            <w:vAlign w:val="bottom"/>
            <w:hideMark/>
          </w:tcPr>
          <w:p w14:paraId="3E48FAE3" w14:textId="77777777" w:rsidR="009A221B" w:rsidRPr="008974F7" w:rsidRDefault="009A221B" w:rsidP="009A221B">
            <w:pPr>
              <w:pStyle w:val="Body"/>
              <w:rPr>
                <w:rFonts w:ascii="Arial" w:hAnsi="Arial" w:cs="Arial"/>
              </w:rPr>
            </w:pPr>
            <w:r w:rsidRPr="008974F7">
              <w:rPr>
                <w:rFonts w:ascii="Arial" w:hAnsi="Arial" w:cs="Arial"/>
              </w:rPr>
              <w:t>Normal</w:t>
            </w:r>
          </w:p>
        </w:tc>
        <w:tc>
          <w:tcPr>
            <w:tcW w:w="2070" w:type="dxa"/>
            <w:noWrap/>
            <w:vAlign w:val="bottom"/>
            <w:hideMark/>
          </w:tcPr>
          <w:p w14:paraId="10CD9C3A" w14:textId="77777777" w:rsidR="009A221B" w:rsidRPr="008974F7" w:rsidRDefault="009A221B" w:rsidP="009A221B">
            <w:pPr>
              <w:pStyle w:val="Body"/>
              <w:rPr>
                <w:rFonts w:ascii="Arial" w:hAnsi="Arial" w:cs="Arial"/>
              </w:rPr>
            </w:pPr>
            <w:r w:rsidRPr="008974F7">
              <w:rPr>
                <w:rFonts w:ascii="Arial" w:hAnsi="Arial" w:cs="Arial"/>
              </w:rPr>
              <w:t>Ref</w:t>
            </w:r>
          </w:p>
        </w:tc>
        <w:tc>
          <w:tcPr>
            <w:tcW w:w="1080" w:type="dxa"/>
            <w:noWrap/>
            <w:vAlign w:val="bottom"/>
            <w:hideMark/>
          </w:tcPr>
          <w:p w14:paraId="3AEF14AB" w14:textId="77777777" w:rsidR="009A221B" w:rsidRPr="008974F7" w:rsidRDefault="009A221B" w:rsidP="009A221B">
            <w:pPr>
              <w:pStyle w:val="Body"/>
              <w:rPr>
                <w:rFonts w:ascii="Arial" w:hAnsi="Arial" w:cs="Arial"/>
              </w:rPr>
            </w:pPr>
          </w:p>
        </w:tc>
        <w:tc>
          <w:tcPr>
            <w:tcW w:w="1890" w:type="dxa"/>
            <w:noWrap/>
            <w:vAlign w:val="bottom"/>
            <w:hideMark/>
          </w:tcPr>
          <w:p w14:paraId="00F8B56C" w14:textId="77777777" w:rsidR="009A221B" w:rsidRPr="008974F7" w:rsidRDefault="009A221B" w:rsidP="009A221B">
            <w:pPr>
              <w:pStyle w:val="Body"/>
              <w:rPr>
                <w:rFonts w:ascii="Arial" w:hAnsi="Arial" w:cs="Arial"/>
              </w:rPr>
            </w:pPr>
          </w:p>
        </w:tc>
        <w:tc>
          <w:tcPr>
            <w:tcW w:w="990" w:type="dxa"/>
            <w:noWrap/>
            <w:vAlign w:val="bottom"/>
            <w:hideMark/>
          </w:tcPr>
          <w:p w14:paraId="6054A6C8" w14:textId="77777777" w:rsidR="009A221B" w:rsidRPr="008974F7" w:rsidRDefault="009A221B" w:rsidP="009A221B">
            <w:pPr>
              <w:pStyle w:val="Body"/>
              <w:rPr>
                <w:rFonts w:ascii="Arial" w:hAnsi="Arial" w:cs="Arial"/>
              </w:rPr>
            </w:pPr>
          </w:p>
        </w:tc>
      </w:tr>
      <w:tr w:rsidR="009A221B" w:rsidRPr="008974F7" w14:paraId="2B0773DF" w14:textId="77777777" w:rsidTr="009A221B">
        <w:trPr>
          <w:trHeight w:val="315"/>
        </w:trPr>
        <w:tc>
          <w:tcPr>
            <w:tcW w:w="3145" w:type="dxa"/>
            <w:noWrap/>
            <w:vAlign w:val="bottom"/>
            <w:hideMark/>
          </w:tcPr>
          <w:p w14:paraId="513775C1" w14:textId="77777777" w:rsidR="009A221B" w:rsidRPr="008974F7" w:rsidRDefault="0046694A" w:rsidP="009A221B">
            <w:pPr>
              <w:pStyle w:val="Body"/>
              <w:rPr>
                <w:rFonts w:ascii="Arial" w:hAnsi="Arial" w:cs="Arial"/>
              </w:rPr>
            </w:pPr>
            <w:r w:rsidRPr="008974F7">
              <w:rPr>
                <w:rFonts w:ascii="Arial" w:hAnsi="Arial" w:cs="Arial"/>
              </w:rPr>
              <w:t>Low HDL</w:t>
            </w:r>
          </w:p>
        </w:tc>
        <w:tc>
          <w:tcPr>
            <w:tcW w:w="2070" w:type="dxa"/>
            <w:noWrap/>
            <w:vAlign w:val="bottom"/>
            <w:hideMark/>
          </w:tcPr>
          <w:p w14:paraId="57AD42AE" w14:textId="77777777" w:rsidR="009A221B" w:rsidRPr="008974F7" w:rsidRDefault="009A221B" w:rsidP="009A221B">
            <w:pPr>
              <w:pStyle w:val="Body"/>
              <w:rPr>
                <w:rFonts w:ascii="Arial" w:hAnsi="Arial" w:cs="Arial"/>
              </w:rPr>
            </w:pPr>
            <w:r w:rsidRPr="008974F7">
              <w:rPr>
                <w:rFonts w:ascii="Arial" w:hAnsi="Arial" w:cs="Arial"/>
              </w:rPr>
              <w:t>1.17(0.70-1.97)</w:t>
            </w:r>
          </w:p>
        </w:tc>
        <w:tc>
          <w:tcPr>
            <w:tcW w:w="1080" w:type="dxa"/>
            <w:noWrap/>
            <w:vAlign w:val="bottom"/>
            <w:hideMark/>
          </w:tcPr>
          <w:p w14:paraId="2CE3F7AF" w14:textId="77777777" w:rsidR="009A221B" w:rsidRPr="008974F7" w:rsidRDefault="009A221B" w:rsidP="009A221B">
            <w:pPr>
              <w:pStyle w:val="Body"/>
              <w:rPr>
                <w:rFonts w:ascii="Arial" w:hAnsi="Arial" w:cs="Arial"/>
              </w:rPr>
            </w:pPr>
            <w:r w:rsidRPr="008974F7">
              <w:rPr>
                <w:rFonts w:ascii="Arial" w:hAnsi="Arial" w:cs="Arial"/>
              </w:rPr>
              <w:t>0.545</w:t>
            </w:r>
          </w:p>
        </w:tc>
        <w:tc>
          <w:tcPr>
            <w:tcW w:w="1890" w:type="dxa"/>
            <w:noWrap/>
            <w:vAlign w:val="bottom"/>
            <w:hideMark/>
          </w:tcPr>
          <w:p w14:paraId="40A1D2AF" w14:textId="77777777" w:rsidR="009A221B" w:rsidRPr="008974F7" w:rsidRDefault="009A221B" w:rsidP="009A221B">
            <w:pPr>
              <w:pStyle w:val="Body"/>
              <w:rPr>
                <w:rFonts w:ascii="Arial" w:hAnsi="Arial" w:cs="Arial"/>
              </w:rPr>
            </w:pPr>
          </w:p>
        </w:tc>
        <w:tc>
          <w:tcPr>
            <w:tcW w:w="990" w:type="dxa"/>
            <w:noWrap/>
            <w:vAlign w:val="bottom"/>
            <w:hideMark/>
          </w:tcPr>
          <w:p w14:paraId="1B1C62D0" w14:textId="77777777" w:rsidR="009A221B" w:rsidRPr="008974F7" w:rsidRDefault="009A221B" w:rsidP="009A221B">
            <w:pPr>
              <w:pStyle w:val="Body"/>
              <w:rPr>
                <w:rFonts w:ascii="Arial" w:hAnsi="Arial" w:cs="Arial"/>
              </w:rPr>
            </w:pPr>
          </w:p>
        </w:tc>
      </w:tr>
      <w:tr w:rsidR="009A221B" w:rsidRPr="008974F7" w14:paraId="1F802F91" w14:textId="77777777" w:rsidTr="009A221B">
        <w:trPr>
          <w:trHeight w:val="315"/>
        </w:trPr>
        <w:tc>
          <w:tcPr>
            <w:tcW w:w="3145" w:type="dxa"/>
            <w:noWrap/>
            <w:vAlign w:val="bottom"/>
            <w:hideMark/>
          </w:tcPr>
          <w:p w14:paraId="57F4EF3A" w14:textId="77777777" w:rsidR="009A221B" w:rsidRPr="008974F7" w:rsidRDefault="009A221B" w:rsidP="009A221B">
            <w:pPr>
              <w:pStyle w:val="Body"/>
              <w:rPr>
                <w:rFonts w:ascii="Arial" w:hAnsi="Arial" w:cs="Arial"/>
              </w:rPr>
            </w:pPr>
            <w:r w:rsidRPr="008974F7">
              <w:rPr>
                <w:rFonts w:ascii="Arial" w:hAnsi="Arial" w:cs="Arial"/>
                <w:b/>
                <w:bCs/>
              </w:rPr>
              <w:t>Serum Triglyceride level</w:t>
            </w:r>
          </w:p>
        </w:tc>
        <w:tc>
          <w:tcPr>
            <w:tcW w:w="2070" w:type="dxa"/>
            <w:noWrap/>
            <w:vAlign w:val="bottom"/>
            <w:hideMark/>
          </w:tcPr>
          <w:p w14:paraId="6A8A6D44" w14:textId="77777777" w:rsidR="009A221B" w:rsidRPr="008974F7" w:rsidRDefault="009A221B" w:rsidP="009A221B">
            <w:pPr>
              <w:pStyle w:val="Body"/>
              <w:rPr>
                <w:rFonts w:ascii="Arial" w:hAnsi="Arial" w:cs="Arial"/>
              </w:rPr>
            </w:pPr>
          </w:p>
        </w:tc>
        <w:tc>
          <w:tcPr>
            <w:tcW w:w="1080" w:type="dxa"/>
            <w:noWrap/>
            <w:vAlign w:val="bottom"/>
            <w:hideMark/>
          </w:tcPr>
          <w:p w14:paraId="5B8ECACE" w14:textId="77777777" w:rsidR="009A221B" w:rsidRPr="008974F7" w:rsidRDefault="009A221B" w:rsidP="009A221B">
            <w:pPr>
              <w:pStyle w:val="Body"/>
              <w:rPr>
                <w:rFonts w:ascii="Arial" w:hAnsi="Arial" w:cs="Arial"/>
              </w:rPr>
            </w:pPr>
          </w:p>
        </w:tc>
        <w:tc>
          <w:tcPr>
            <w:tcW w:w="1890" w:type="dxa"/>
            <w:noWrap/>
            <w:vAlign w:val="bottom"/>
            <w:hideMark/>
          </w:tcPr>
          <w:p w14:paraId="10071968" w14:textId="77777777" w:rsidR="009A221B" w:rsidRPr="008974F7" w:rsidRDefault="009A221B" w:rsidP="009A221B">
            <w:pPr>
              <w:pStyle w:val="Body"/>
              <w:rPr>
                <w:rFonts w:ascii="Arial" w:hAnsi="Arial" w:cs="Arial"/>
              </w:rPr>
            </w:pPr>
          </w:p>
        </w:tc>
        <w:tc>
          <w:tcPr>
            <w:tcW w:w="990" w:type="dxa"/>
            <w:noWrap/>
            <w:vAlign w:val="bottom"/>
            <w:hideMark/>
          </w:tcPr>
          <w:p w14:paraId="7B6652B7" w14:textId="77777777" w:rsidR="009A221B" w:rsidRPr="008974F7" w:rsidRDefault="009A221B" w:rsidP="009A221B">
            <w:pPr>
              <w:pStyle w:val="Body"/>
              <w:rPr>
                <w:rFonts w:ascii="Arial" w:hAnsi="Arial" w:cs="Arial"/>
              </w:rPr>
            </w:pPr>
          </w:p>
        </w:tc>
      </w:tr>
      <w:tr w:rsidR="009A221B" w:rsidRPr="008974F7" w14:paraId="1BFE40AA" w14:textId="77777777" w:rsidTr="009A221B">
        <w:trPr>
          <w:trHeight w:val="315"/>
        </w:trPr>
        <w:tc>
          <w:tcPr>
            <w:tcW w:w="3145" w:type="dxa"/>
            <w:noWrap/>
            <w:vAlign w:val="bottom"/>
            <w:hideMark/>
          </w:tcPr>
          <w:p w14:paraId="13AD9589" w14:textId="77777777" w:rsidR="009A221B" w:rsidRPr="008974F7" w:rsidRDefault="009A221B" w:rsidP="009A221B">
            <w:pPr>
              <w:pStyle w:val="Body"/>
              <w:rPr>
                <w:rFonts w:ascii="Arial" w:hAnsi="Arial" w:cs="Arial"/>
              </w:rPr>
            </w:pPr>
            <w:r w:rsidRPr="008974F7">
              <w:rPr>
                <w:rFonts w:ascii="Arial" w:hAnsi="Arial" w:cs="Arial"/>
              </w:rPr>
              <w:t>Normal</w:t>
            </w:r>
          </w:p>
        </w:tc>
        <w:tc>
          <w:tcPr>
            <w:tcW w:w="2070" w:type="dxa"/>
            <w:noWrap/>
            <w:vAlign w:val="bottom"/>
            <w:hideMark/>
          </w:tcPr>
          <w:p w14:paraId="054E63AB" w14:textId="77777777" w:rsidR="009A221B" w:rsidRPr="008974F7" w:rsidRDefault="009A221B" w:rsidP="009A221B">
            <w:pPr>
              <w:pStyle w:val="Body"/>
              <w:rPr>
                <w:rFonts w:ascii="Arial" w:hAnsi="Arial" w:cs="Arial"/>
              </w:rPr>
            </w:pPr>
            <w:r w:rsidRPr="008974F7">
              <w:rPr>
                <w:rFonts w:ascii="Arial" w:hAnsi="Arial" w:cs="Arial"/>
              </w:rPr>
              <w:t>Ref</w:t>
            </w:r>
          </w:p>
        </w:tc>
        <w:tc>
          <w:tcPr>
            <w:tcW w:w="1080" w:type="dxa"/>
            <w:noWrap/>
            <w:vAlign w:val="bottom"/>
            <w:hideMark/>
          </w:tcPr>
          <w:p w14:paraId="2B5241C2" w14:textId="77777777" w:rsidR="009A221B" w:rsidRPr="008974F7" w:rsidRDefault="009A221B" w:rsidP="009A221B">
            <w:pPr>
              <w:pStyle w:val="Body"/>
              <w:rPr>
                <w:rFonts w:ascii="Arial" w:hAnsi="Arial" w:cs="Arial"/>
              </w:rPr>
            </w:pPr>
          </w:p>
        </w:tc>
        <w:tc>
          <w:tcPr>
            <w:tcW w:w="1890" w:type="dxa"/>
            <w:noWrap/>
            <w:vAlign w:val="bottom"/>
            <w:hideMark/>
          </w:tcPr>
          <w:p w14:paraId="0DB17085" w14:textId="77777777" w:rsidR="009A221B" w:rsidRPr="008974F7" w:rsidRDefault="009A221B" w:rsidP="009A221B">
            <w:pPr>
              <w:pStyle w:val="Body"/>
              <w:rPr>
                <w:rFonts w:ascii="Arial" w:hAnsi="Arial" w:cs="Arial"/>
              </w:rPr>
            </w:pPr>
          </w:p>
        </w:tc>
        <w:tc>
          <w:tcPr>
            <w:tcW w:w="990" w:type="dxa"/>
            <w:noWrap/>
            <w:vAlign w:val="bottom"/>
            <w:hideMark/>
          </w:tcPr>
          <w:p w14:paraId="6B3644E7" w14:textId="77777777" w:rsidR="009A221B" w:rsidRPr="008974F7" w:rsidRDefault="009A221B" w:rsidP="009A221B">
            <w:pPr>
              <w:pStyle w:val="Body"/>
              <w:rPr>
                <w:rFonts w:ascii="Arial" w:hAnsi="Arial" w:cs="Arial"/>
              </w:rPr>
            </w:pPr>
          </w:p>
        </w:tc>
      </w:tr>
      <w:tr w:rsidR="009A221B" w:rsidRPr="008974F7" w14:paraId="7366DF18" w14:textId="77777777" w:rsidTr="009A221B">
        <w:trPr>
          <w:trHeight w:val="315"/>
        </w:trPr>
        <w:tc>
          <w:tcPr>
            <w:tcW w:w="3145" w:type="dxa"/>
            <w:tcBorders>
              <w:bottom w:val="single" w:sz="18" w:space="0" w:color="auto"/>
            </w:tcBorders>
            <w:noWrap/>
            <w:vAlign w:val="bottom"/>
            <w:hideMark/>
          </w:tcPr>
          <w:p w14:paraId="04037F38" w14:textId="77777777" w:rsidR="009A221B" w:rsidRPr="008974F7" w:rsidRDefault="009A221B" w:rsidP="009A221B">
            <w:pPr>
              <w:pStyle w:val="Body"/>
              <w:rPr>
                <w:rFonts w:ascii="Arial" w:hAnsi="Arial" w:cs="Arial"/>
              </w:rPr>
            </w:pPr>
            <w:r w:rsidRPr="008974F7">
              <w:rPr>
                <w:rFonts w:ascii="Arial" w:hAnsi="Arial" w:cs="Arial"/>
              </w:rPr>
              <w:t>Abnormal</w:t>
            </w:r>
          </w:p>
        </w:tc>
        <w:tc>
          <w:tcPr>
            <w:tcW w:w="2070" w:type="dxa"/>
            <w:tcBorders>
              <w:bottom w:val="single" w:sz="18" w:space="0" w:color="auto"/>
            </w:tcBorders>
            <w:noWrap/>
            <w:vAlign w:val="bottom"/>
            <w:hideMark/>
          </w:tcPr>
          <w:p w14:paraId="1534496F" w14:textId="77777777" w:rsidR="009A221B" w:rsidRPr="008974F7" w:rsidRDefault="009A221B" w:rsidP="009A221B">
            <w:pPr>
              <w:pStyle w:val="Body"/>
              <w:rPr>
                <w:rFonts w:ascii="Arial" w:hAnsi="Arial" w:cs="Arial"/>
              </w:rPr>
            </w:pPr>
            <w:r w:rsidRPr="008974F7">
              <w:rPr>
                <w:rFonts w:ascii="Arial" w:hAnsi="Arial" w:cs="Arial"/>
              </w:rPr>
              <w:t>1.38(0.77-2.48)</w:t>
            </w:r>
          </w:p>
        </w:tc>
        <w:tc>
          <w:tcPr>
            <w:tcW w:w="1080" w:type="dxa"/>
            <w:tcBorders>
              <w:bottom w:val="single" w:sz="18" w:space="0" w:color="auto"/>
            </w:tcBorders>
            <w:noWrap/>
            <w:vAlign w:val="bottom"/>
            <w:hideMark/>
          </w:tcPr>
          <w:p w14:paraId="11F1E2BF" w14:textId="77777777" w:rsidR="009A221B" w:rsidRPr="008974F7" w:rsidRDefault="009A221B" w:rsidP="009A221B">
            <w:pPr>
              <w:pStyle w:val="Body"/>
              <w:rPr>
                <w:rFonts w:ascii="Arial" w:hAnsi="Arial" w:cs="Arial"/>
              </w:rPr>
            </w:pPr>
            <w:r w:rsidRPr="008974F7">
              <w:rPr>
                <w:rFonts w:ascii="Arial" w:hAnsi="Arial" w:cs="Arial"/>
              </w:rPr>
              <w:t>0.277</w:t>
            </w:r>
          </w:p>
        </w:tc>
        <w:tc>
          <w:tcPr>
            <w:tcW w:w="1890" w:type="dxa"/>
            <w:tcBorders>
              <w:bottom w:val="single" w:sz="18" w:space="0" w:color="auto"/>
            </w:tcBorders>
            <w:noWrap/>
            <w:vAlign w:val="bottom"/>
            <w:hideMark/>
          </w:tcPr>
          <w:p w14:paraId="07946E71" w14:textId="77777777" w:rsidR="009A221B" w:rsidRPr="008974F7" w:rsidRDefault="009A221B" w:rsidP="009A221B">
            <w:pPr>
              <w:pStyle w:val="Body"/>
              <w:rPr>
                <w:rFonts w:ascii="Arial" w:hAnsi="Arial" w:cs="Arial"/>
              </w:rPr>
            </w:pPr>
          </w:p>
        </w:tc>
        <w:tc>
          <w:tcPr>
            <w:tcW w:w="990" w:type="dxa"/>
            <w:tcBorders>
              <w:bottom w:val="single" w:sz="18" w:space="0" w:color="auto"/>
            </w:tcBorders>
            <w:noWrap/>
            <w:vAlign w:val="bottom"/>
            <w:hideMark/>
          </w:tcPr>
          <w:p w14:paraId="645D893D" w14:textId="77777777" w:rsidR="009A221B" w:rsidRPr="008974F7" w:rsidRDefault="009A221B" w:rsidP="009A221B">
            <w:pPr>
              <w:pStyle w:val="Body"/>
              <w:rPr>
                <w:rFonts w:ascii="Arial" w:hAnsi="Arial" w:cs="Arial"/>
              </w:rPr>
            </w:pPr>
          </w:p>
        </w:tc>
      </w:tr>
    </w:tbl>
    <w:p w14:paraId="4C89982D" w14:textId="77777777" w:rsidR="00376BBE" w:rsidRPr="008974F7" w:rsidRDefault="00376BBE" w:rsidP="00441B6F">
      <w:pPr>
        <w:pStyle w:val="Body"/>
        <w:spacing w:after="0"/>
        <w:rPr>
          <w:rFonts w:ascii="Arial" w:hAnsi="Arial" w:cs="Arial"/>
        </w:rPr>
      </w:pPr>
    </w:p>
    <w:p w14:paraId="559FC4F2" w14:textId="77777777" w:rsidR="009A221B" w:rsidRPr="002B395B" w:rsidRDefault="009A221B" w:rsidP="00441B6F">
      <w:pPr>
        <w:autoSpaceDE w:val="0"/>
        <w:autoSpaceDN w:val="0"/>
        <w:adjustRightInd w:val="0"/>
        <w:jc w:val="both"/>
        <w:rPr>
          <w:rFonts w:ascii="Arial" w:hAnsi="Arial" w:cs="Arial"/>
          <w:b/>
          <w:bCs/>
          <w:noProof/>
          <w:sz w:val="22"/>
          <w:szCs w:val="22"/>
        </w:rPr>
      </w:pPr>
    </w:p>
    <w:p w14:paraId="6D536681" w14:textId="77777777" w:rsidR="009A221B" w:rsidRPr="002B395B" w:rsidRDefault="0046694A" w:rsidP="00441B6F">
      <w:pPr>
        <w:autoSpaceDE w:val="0"/>
        <w:autoSpaceDN w:val="0"/>
        <w:adjustRightInd w:val="0"/>
        <w:jc w:val="both"/>
        <w:rPr>
          <w:rFonts w:ascii="Arial" w:hAnsi="Arial" w:cs="Arial"/>
          <w:b/>
          <w:bCs/>
          <w:noProof/>
          <w:sz w:val="22"/>
          <w:szCs w:val="22"/>
        </w:rPr>
      </w:pPr>
      <w:r w:rsidRPr="002B395B">
        <w:rPr>
          <w:rFonts w:ascii="Arial" w:hAnsi="Arial" w:cs="Arial"/>
          <w:b/>
          <w:bCs/>
          <w:noProof/>
          <w:sz w:val="22"/>
          <w:szCs w:val="22"/>
        </w:rPr>
        <w:t xml:space="preserve">4.DISCUSSION </w:t>
      </w:r>
    </w:p>
    <w:p w14:paraId="339066F7" w14:textId="77777777" w:rsidR="009A221B" w:rsidRDefault="009A221B" w:rsidP="00441B6F">
      <w:pPr>
        <w:autoSpaceDE w:val="0"/>
        <w:autoSpaceDN w:val="0"/>
        <w:adjustRightInd w:val="0"/>
        <w:jc w:val="both"/>
        <w:rPr>
          <w:rFonts w:ascii="Arial" w:hAnsi="Arial" w:cs="Arial"/>
          <w:b/>
          <w:bCs/>
          <w:noProof/>
          <w:sz w:val="22"/>
          <w:szCs w:val="22"/>
        </w:rPr>
      </w:pPr>
    </w:p>
    <w:p w14:paraId="45CACE33" w14:textId="77777777" w:rsidR="0046694A" w:rsidRPr="0046694A" w:rsidRDefault="0046694A" w:rsidP="0046694A">
      <w:pPr>
        <w:autoSpaceDE w:val="0"/>
        <w:autoSpaceDN w:val="0"/>
        <w:adjustRightInd w:val="0"/>
        <w:jc w:val="both"/>
        <w:rPr>
          <w:rFonts w:ascii="Arial" w:hAnsi="Arial" w:cs="Arial"/>
          <w:bCs/>
          <w:noProof/>
          <w:sz w:val="22"/>
          <w:szCs w:val="22"/>
        </w:rPr>
      </w:pPr>
      <w:r w:rsidRPr="0046694A">
        <w:rPr>
          <w:rFonts w:ascii="Arial" w:hAnsi="Arial" w:cs="Arial"/>
          <w:bCs/>
          <w:noProof/>
          <w:sz w:val="22"/>
          <w:szCs w:val="22"/>
        </w:rPr>
        <w:t xml:space="preserve">In this study findings, diabetic retinopathy (DR) severity was found to be significantly associated with several clinical and biochemical factors. Remarkably, low serum magnesium levels were observed more often among patients with progressive DR, signifying a potential role of magnesium in the pathogenesis of microvascular retinal damage. This association continued to be significant even after adjusting for other variables, supporting the hypothesis that magnesium deficiency contributes to oxidative stress and endothelial dysfunction. These findings are similar to those reported by </w:t>
      </w:r>
      <w:r w:rsidRPr="0046694A">
        <w:rPr>
          <w:rFonts w:ascii="Arial" w:hAnsi="Arial" w:cs="Arial"/>
          <w:bCs/>
          <w:noProof/>
          <w:sz w:val="22"/>
          <w:szCs w:val="22"/>
        </w:rPr>
        <w:fldChar w:fldCharType="begin" w:fldLock="1"/>
      </w:r>
      <w:r w:rsidRPr="0046694A">
        <w:rPr>
          <w:rFonts w:ascii="Arial" w:hAnsi="Arial" w:cs="Arial"/>
          <w:bCs/>
          <w:noProof/>
          <w:sz w:val="22"/>
          <w:szCs w:val="22"/>
        </w:rPr>
        <w:instrText>ADDIN CSL_CITATION {"citationItems":[{"id":"ITEM-1","itemData":{"DOI":"10.1155/2016/1260141","ISSN":"23146753","PMID":"27547762","abstract":"Aim. To investigate the association between serum magnesium levels and microvascular complications among patients with diabetes. Methods. Patients with diabetes were recruited between April 2012 and January 2015. All patients received an assay of serum magnesium concentration, were screened for 24 h albumin excretion rate, and underwent nonmydriatic fundus photography. Albuminuria and retinopathy were defined accordingly. A total of 3,100 patients with normal serum magnesium levels were included in this study. Results. Patients with albuminuria and/or retinopathy had lower levels of serum magnesium than patients without these complications (P &lt; 0.001). The prevalence of isolated albuminuria, isolated retinopathy, and combined albuminuria and retinopathy decreased as the concentration of serum magnesium increased. Multiple logistic regression analysis indicated that the odds ratio for isolated albuminuria, isolated retinopathy, and concomitant albuminuria and retinopathy decreased by approximately 20% for every 0.1 mmol/L increase in serum magnesium concentration. Conclusion. Serum magnesium levels were negatively associated with the risk of diabetic microvascular complications among patients with serum magnesium levels within the normal range.","author":[{"dropping-particle":"","family":"Lu","given":"Jun","non-dropping-particle":"","parse-names":false,"suffix":""},{"dropping-particle":"","family":"Gu","given":"Yuying","non-dropping-particle":"","parse-names":false,"suffix":""},{"dropping-particle":"","family":"Guo","given":"Meixiang","non-dropping-particle":"","parse-names":false,"suffix":""},{"dropping-particle":"","family":"Chen","given":"Peihong","non-dropping-particle":"","parse-names":false,"suffix":""},{"dropping-particle":"","family":"Wang","given":"Hongtao","non-dropping-particle":"","parse-names":false,"suffix":""},{"dropping-particle":"","family":"Yu","given":"Xuemei","non-dropping-particle":"","parse-names":false,"suffix":""}],"container-title":"Journal of Diabetes Research","id":"ITEM-1","issued":{"date-parts":[["2016"]]},"publisher":"Hindawi Limited","title":"Serum Magnesium Concentration Is Inversely Associated with Albuminuria and Retinopathy among Patients with Diabetes","type":"article-journal","volume":"2016"},"uris":["http://www.mendeley.com/documents/?uuid=e0d55338-05ac-3ab6-864a-eb529b184808"]}],"mendeley":{"formattedCitation":"(Lu &lt;i&gt;et al.&lt;/i&gt;, 2016)","plainTextFormattedCitation":"(Lu et al., 2016)","previouslyFormattedCitation":"(9)"},"properties":{"noteIndex":0},"schema":"https://github.com/citation-style-language/schema/raw/master/csl-citation.json"}</w:instrText>
      </w:r>
      <w:r w:rsidRPr="0046694A">
        <w:rPr>
          <w:rFonts w:ascii="Arial" w:hAnsi="Arial" w:cs="Arial"/>
          <w:bCs/>
          <w:noProof/>
          <w:sz w:val="22"/>
          <w:szCs w:val="22"/>
        </w:rPr>
        <w:fldChar w:fldCharType="separate"/>
      </w:r>
      <w:r w:rsidRPr="0046694A">
        <w:rPr>
          <w:rFonts w:ascii="Arial" w:hAnsi="Arial" w:cs="Arial"/>
          <w:bCs/>
          <w:noProof/>
          <w:sz w:val="22"/>
          <w:szCs w:val="22"/>
        </w:rPr>
        <w:t xml:space="preserve">(Lu </w:t>
      </w:r>
      <w:r w:rsidRPr="0046694A">
        <w:rPr>
          <w:rFonts w:ascii="Arial" w:hAnsi="Arial" w:cs="Arial"/>
          <w:bCs/>
          <w:i/>
          <w:noProof/>
          <w:sz w:val="22"/>
          <w:szCs w:val="22"/>
        </w:rPr>
        <w:t>et al.</w:t>
      </w:r>
      <w:r w:rsidRPr="0046694A">
        <w:rPr>
          <w:rFonts w:ascii="Arial" w:hAnsi="Arial" w:cs="Arial"/>
          <w:bCs/>
          <w:noProof/>
          <w:sz w:val="22"/>
          <w:szCs w:val="22"/>
        </w:rPr>
        <w:t>, 2016)</w:t>
      </w:r>
      <w:r w:rsidRPr="0046694A">
        <w:rPr>
          <w:rFonts w:ascii="Arial" w:hAnsi="Arial" w:cs="Arial"/>
          <w:bCs/>
          <w:noProof/>
          <w:sz w:val="22"/>
          <w:szCs w:val="22"/>
        </w:rPr>
        <w:fldChar w:fldCharType="end"/>
      </w:r>
      <w:r w:rsidRPr="0046694A">
        <w:rPr>
          <w:rFonts w:ascii="Arial" w:hAnsi="Arial" w:cs="Arial"/>
          <w:bCs/>
          <w:noProof/>
          <w:sz w:val="22"/>
          <w:szCs w:val="22"/>
        </w:rPr>
        <w:t xml:space="preserve">), </w:t>
      </w:r>
      <w:r w:rsidRPr="0046694A">
        <w:rPr>
          <w:rFonts w:ascii="Arial" w:hAnsi="Arial" w:cs="Arial"/>
          <w:bCs/>
          <w:noProof/>
          <w:sz w:val="22"/>
          <w:szCs w:val="22"/>
        </w:rPr>
        <w:fldChar w:fldCharType="begin" w:fldLock="1"/>
      </w:r>
      <w:r w:rsidRPr="0046694A">
        <w:rPr>
          <w:rFonts w:ascii="Arial" w:hAnsi="Arial" w:cs="Arial"/>
          <w:bCs/>
          <w:noProof/>
          <w:sz w:val="22"/>
          <w:szCs w:val="22"/>
        </w:rPr>
        <w:instrText>ADDIN CSL_CITATION {"citationItems":[{"id":"ITEM-1","itemData":{"DOI":"10.4274/haseki.galenos.2021.7188","ISSN":"1302-0072","abstract":"Aim: Uncontrolled diabetes can lead to complications which are related to high blood sugar and insulin resistance (IR). A decrease in serum magnesium (Mg) levels can cause an increase in IR and a worsening of glycaemic control. In this study, we aimed to investigate the relationship between diabetic retinopathy (DR) and serum Mg levels.\n   Methods: The study was designed as a cross-sectional study in the internal medicine department of a tertiary referral center (Adana Numune Training and Research Hospital) in Turkey. A total of 554 subjects, including 176 patients with DR patients, 209 patients without DR, and 169 healthy individuals were included in this study. Serum fasting glucose levels, insulin levels, homeostasis model assessment of insulin resistance (HOMA-IR), HbA1c percentages, and Mg levels were measured for all subjects.\n   Results: Serum Mg level was lower in patients with DR (p&lt;0.001). Furthermore; HOMA-IR, HbA1c and fasting glucose levels were higher in patients with DR (p&lt;0.001, respectively). Incidence of DR was associated with serum Mg levels (odds ratio: 2.1, confidence interval: 95% 1.2-3.6, p=0.005).\n   Conclusion: Low Mg level can lead to retinopathy by impairing glucose homeostasis. In patients with diabetes, Mg levels should be checked since Mg may be a supporting treatment.","author":[{"dropping-particle":"","family":"Bankir","given":"Mehmet","non-dropping-particle":"","parse-names":false,"suffix":""},{"dropping-particle":"","family":"Sahinoglu Keskek","given":"Nedime","non-dropping-particle":"","parse-names":false,"suffix":""},{"dropping-particle":"","family":"Saler","given":"Tayyibe","non-dropping-particle":"","parse-names":false,"suffix":""},{"dropping-particle":"","family":"Keskek","given":"Sakir Ozgur","non-dropping-particle":"","parse-names":false,"suffix":""},{"dropping-particle":"","family":"Cevher","given":"Selim","non-dropping-particle":"","parse-names":false,"suffix":""}],"container-title":"Medical Bulletin of Haseki","id":"ITEM-1","issue":"4","issued":{"date-parts":[["2021","9","1"]]},"page":"340-344","publisher":"Galenos Yayinevi","title":"Low Serum Magnesium Level Can be a Risk Factor for Retinopathy in Diabetic Patients: A Cross-Sectional Controlled Study","type":"article-journal","volume":"59"},"uris":["http://www.mendeley.com/documents/?uuid=0674d1d4-7ba4-3dad-ad94-facf902a0c9f"]}],"mendeley":{"formattedCitation":"(Bankir &lt;i&gt;et al.&lt;/i&gt;, 2021)","plainTextFormattedCitation":"(Bankir et al., 2021)","previouslyFormattedCitation":"(10)"},"properties":{"noteIndex":0},"schema":"https://github.com/citation-style-language/schema/raw/master/csl-citation.json"}</w:instrText>
      </w:r>
      <w:r w:rsidRPr="0046694A">
        <w:rPr>
          <w:rFonts w:ascii="Arial" w:hAnsi="Arial" w:cs="Arial"/>
          <w:bCs/>
          <w:noProof/>
          <w:sz w:val="22"/>
          <w:szCs w:val="22"/>
        </w:rPr>
        <w:fldChar w:fldCharType="separate"/>
      </w:r>
      <w:r w:rsidRPr="0046694A">
        <w:rPr>
          <w:rFonts w:ascii="Arial" w:hAnsi="Arial" w:cs="Arial"/>
          <w:bCs/>
          <w:noProof/>
          <w:sz w:val="22"/>
          <w:szCs w:val="22"/>
        </w:rPr>
        <w:t xml:space="preserve">(Bankir </w:t>
      </w:r>
      <w:r w:rsidRPr="0046694A">
        <w:rPr>
          <w:rFonts w:ascii="Arial" w:hAnsi="Arial" w:cs="Arial"/>
          <w:bCs/>
          <w:i/>
          <w:noProof/>
          <w:sz w:val="22"/>
          <w:szCs w:val="22"/>
        </w:rPr>
        <w:t>et al.</w:t>
      </w:r>
      <w:r w:rsidRPr="0046694A">
        <w:rPr>
          <w:rFonts w:ascii="Arial" w:hAnsi="Arial" w:cs="Arial"/>
          <w:bCs/>
          <w:noProof/>
          <w:sz w:val="22"/>
          <w:szCs w:val="22"/>
        </w:rPr>
        <w:t>, 2021)</w:t>
      </w:r>
      <w:r w:rsidRPr="0046694A">
        <w:rPr>
          <w:rFonts w:ascii="Arial" w:hAnsi="Arial" w:cs="Arial"/>
          <w:bCs/>
          <w:noProof/>
          <w:sz w:val="22"/>
          <w:szCs w:val="22"/>
        </w:rPr>
        <w:fldChar w:fldCharType="end"/>
      </w:r>
      <w:r w:rsidRPr="0046694A">
        <w:rPr>
          <w:rFonts w:ascii="Arial" w:hAnsi="Arial" w:cs="Arial"/>
          <w:bCs/>
          <w:noProof/>
          <w:sz w:val="22"/>
          <w:szCs w:val="22"/>
        </w:rPr>
        <w:t xml:space="preserve">,and </w:t>
      </w:r>
      <w:r w:rsidRPr="0046694A">
        <w:rPr>
          <w:rFonts w:ascii="Arial" w:hAnsi="Arial" w:cs="Arial"/>
          <w:bCs/>
          <w:noProof/>
          <w:sz w:val="22"/>
          <w:szCs w:val="22"/>
        </w:rPr>
        <w:fldChar w:fldCharType="begin" w:fldLock="1"/>
      </w:r>
      <w:r w:rsidRPr="0046694A">
        <w:rPr>
          <w:rFonts w:ascii="Arial" w:hAnsi="Arial" w:cs="Arial"/>
          <w:bCs/>
          <w:noProof/>
          <w:sz w:val="22"/>
          <w:szCs w:val="22"/>
        </w:rPr>
        <w:instrText>ADDIN CSL_CITATION {"citationItems":[{"id":"ITEM-1","itemData":{"DOI":"10.18203/2349-3933.ijam20170123","ISSN":"2349-3925","abstract":"Background: Diabetes mellitus is a heterogeneous group of metabolic disorders characterized by chronic hyperglycemia with disturbance of carbohydrate, fat and protein metabolism resulting from defects in insulin secretion, insulin action or both. The aim of this study was to estimate serum magnesium levels in patients with type 2 diabetes mellitus and correlate it with complications of type 2 diabetes mellitus - glycemic control and retinopathy.Methods: A cross-sectional study of 100 patients with type 2 diabetes, attending Government Medical College and associated Hospital, Jammu over a period of one year from 1st November, 2014 to 30th October, 2015. Detailed history including duration of diabetes, treatment mode, symptoms suggestive of retinopathy and associated diseases such as hypertension and ischemic heart disease were obtained, as per the proforma, followed by physical examination.Results: Majority of patients (38%) of type-2 diabetes mellitus were in the age group of 51-60 years. Males constituting 71% with male to female ratio of 2.45:1. Complications were observed in 48 cases, which mainly included retinopathy 60.42% (all non-proliferative). Maximum patients (79%) had abnormal (&gt;6.5%) glycosylated hemoglobin levels ranging from 6.5 to 12%. Patients with diabetic retinopathy had significantly higher prevalence of hypomagnesaemia compared to patients without retinopathy (58.62 % vs 18.31%).Conclusions: Prevalence of hypomagnesaemia in type 2 diabetes was 30% in the present study. The present study illustrates that as the magnesium level decreases in type 2 diabetes mellitus patients, prevalence of retinopathy increases.","author":[{"dropping-particle":"","family":"Saproo","given":"Nipun","non-dropping-particle":"","parse-names":false,"suffix":""},{"dropping-particle":"","family":"Singh","given":"Roma","non-dropping-particle":"","parse-names":false,"suffix":""}],"container-title":"International Journal of Advances in Medicine","id":"ITEM-1","issue":"1","issued":{"date-parts":[["2017","1","23"]]},"page":"263","publisher":"Medip Academy","title":"Study of serum magnesium levels in diabetes mellitus and its correlation with complications (retinopathy and HbA1c) a cross-sectional study of one year","type":"article-journal","volume":"4"},"uris":["http://www.mendeley.com/documents/?uuid=1d6c6eac-7cfa-3fb4-b871-6adac2d0c402"]}],"mendeley":{"formattedCitation":"(Saproo and Singh, 2017)","plainTextFormattedCitation":"(Saproo and Singh, 2017)","previouslyFormattedCitation":"(8)"},"properties":{"noteIndex":0},"schema":"https://github.com/citation-style-language/schema/raw/master/csl-citation.json"}</w:instrText>
      </w:r>
      <w:r w:rsidRPr="0046694A">
        <w:rPr>
          <w:rFonts w:ascii="Arial" w:hAnsi="Arial" w:cs="Arial"/>
          <w:bCs/>
          <w:noProof/>
          <w:sz w:val="22"/>
          <w:szCs w:val="22"/>
        </w:rPr>
        <w:fldChar w:fldCharType="separate"/>
      </w:r>
      <w:r w:rsidRPr="0046694A">
        <w:rPr>
          <w:rFonts w:ascii="Arial" w:hAnsi="Arial" w:cs="Arial"/>
          <w:bCs/>
          <w:noProof/>
          <w:sz w:val="22"/>
          <w:szCs w:val="22"/>
        </w:rPr>
        <w:t>(Saproo and Singh, 2017)</w:t>
      </w:r>
      <w:r w:rsidRPr="0046694A">
        <w:rPr>
          <w:rFonts w:ascii="Arial" w:hAnsi="Arial" w:cs="Arial"/>
          <w:bCs/>
          <w:noProof/>
          <w:sz w:val="22"/>
          <w:szCs w:val="22"/>
        </w:rPr>
        <w:fldChar w:fldCharType="end"/>
      </w:r>
      <w:r w:rsidRPr="0046694A">
        <w:rPr>
          <w:rFonts w:ascii="Arial" w:hAnsi="Arial" w:cs="Arial"/>
          <w:bCs/>
          <w:noProof/>
          <w:sz w:val="22"/>
          <w:szCs w:val="22"/>
        </w:rPr>
        <w:t xml:space="preserve">, India), who used similar multivariable models and clinical DR staging. The similarities may be attributed to shared hospital-based populations and comparable methods of assessing biochemical and clinical parameters. On the contrary, </w:t>
      </w:r>
      <w:r w:rsidRPr="0046694A">
        <w:rPr>
          <w:rFonts w:ascii="Arial" w:hAnsi="Arial" w:cs="Arial"/>
          <w:bCs/>
          <w:noProof/>
          <w:sz w:val="22"/>
          <w:szCs w:val="22"/>
        </w:rPr>
        <w:fldChar w:fldCharType="begin" w:fldLock="1"/>
      </w:r>
      <w:r w:rsidRPr="0046694A">
        <w:rPr>
          <w:rFonts w:ascii="Arial" w:hAnsi="Arial" w:cs="Arial"/>
          <w:bCs/>
          <w:noProof/>
          <w:sz w:val="22"/>
          <w:szCs w:val="22"/>
        </w:rPr>
        <w:instrText>ADDIN CSL_CITATION {"citationItems":[{"id":"ITEM-1","itemData":{"DOI":"10.1177/25158414211056385","ISSN":"25158414","abstract":"Background: Magnesium has an essential role in glucose metabolism, and hypomagnesaemia is common in diabetes mellitus. However, the relationship between serum magnesium and diabetic retinopathy is poorly understood. Aim: To determine the association between serum magnesium levels and retinopathy in type 2 diabetic patients with normal renal function and to correlate it with severity of retinopathy. Methods: This cross-sectional observational study was conducted in a semi-urban tertiary-care teaching hospital. Clinicodemographic profile and serum magnesium levels were determined in patients with type 2 diabetes mellitus (DM) with (group 1) and without (group 2) retinopathy. Serum magnesium levels were correlated with the presence and severity of retinopathy. Results: Of 104 type 2 DM patients, 50 had retinopathy. Younger age, longer duration of disease and poorer glycaemic control (p &lt; 0.05) were found to be associated with retinopathy. The mean serum magnesium levels in patients with retinopathy and those without retinopathy were 1.63 ± 0.30 mg/dL and 1.76 ± 0.22 mg/dL, respectively (p = 0.029). Reduced serum magnesium was associated with elevated fasting sugars (p = 0.019) and female gender (p = 0.037). On comparative analysis of patients with sight-threatening diabetic retinopathy (STDR), non-STDR and no retinopathy by ANOVA test, patients with STDR had significantly lower serum magnesium (1.55 ± 0.33 mg/dL) (p = 0.031). Conclusion: Serum magnesium levels were lower in patients with diabetic retinopathy. Patients with STDR had lower serum magnesium compared with those without STDR. Summary: Serum magnesium, studied extensively for its role in glucose metabolism, was found to be lower in patients with diabetic retinopathy compared with those without retinopathy. Sight-threatening diabetic retinopathy had significantly lower levels of serum magnesium.","author":[{"dropping-particle":"","family":"Shivakumar","given":"Koushik","non-dropping-particle":"","parse-names":false,"suffix":""},{"dropping-particle":"","family":"Rajalakshmi","given":"A. R.","non-dropping-particle":"","parse-names":false,"suffix":""},{"dropping-particle":"","family":"Jha","given":"Kirti Nath","non-dropping-particle":"","parse-names":false,"suffix":""},{"dropping-particle":"","family":"Nagarajan","given":"Swathi","non-dropping-particle":"","parse-names":false,"suffix":""},{"dropping-particle":"","family":"Srinivasan","given":"A. R.","non-dropping-particle":"","parse-names":false,"suffix":""},{"dropping-particle":"","family":"Lokesh Maran","given":"A.","non-dropping-particle":"","parse-names":false,"suffix":""}],"container-title":"Therapeutic Advances in Ophthalmology","id":"ITEM-1","issued":{"date-parts":[["2021","1","1"]]},"publisher":"SAGE Publications Ltd","title":"Serum magnesium in diabetic retinopathy: the association needs investigation","type":"article-journal","volume":"13"},"uris":["http://www.mendeley.com/documents/?uuid=f3caa9b8-0192-39b0-94b1-412b684ff88a"]}],"mendeley":{"formattedCitation":"(Shivakumar &lt;i&gt;et al.&lt;/i&gt;, 2021)","plainTextFormattedCitation":"(Shivakumar et al., 2021)","previouslyFormattedCitation":"(11)"},"properties":{"noteIndex":0},"schema":"https://github.com/citation-style-language/schema/raw/master/csl-citation.json"}</w:instrText>
      </w:r>
      <w:r w:rsidRPr="0046694A">
        <w:rPr>
          <w:rFonts w:ascii="Arial" w:hAnsi="Arial" w:cs="Arial"/>
          <w:bCs/>
          <w:noProof/>
          <w:sz w:val="22"/>
          <w:szCs w:val="22"/>
        </w:rPr>
        <w:fldChar w:fldCharType="separate"/>
      </w:r>
      <w:r w:rsidRPr="0046694A">
        <w:rPr>
          <w:rFonts w:ascii="Arial" w:hAnsi="Arial" w:cs="Arial"/>
          <w:bCs/>
          <w:noProof/>
          <w:sz w:val="22"/>
          <w:szCs w:val="22"/>
        </w:rPr>
        <w:t xml:space="preserve">(Shivakumar </w:t>
      </w:r>
      <w:r w:rsidRPr="0046694A">
        <w:rPr>
          <w:rFonts w:ascii="Arial" w:hAnsi="Arial" w:cs="Arial"/>
          <w:bCs/>
          <w:i/>
          <w:noProof/>
          <w:sz w:val="22"/>
          <w:szCs w:val="22"/>
        </w:rPr>
        <w:t>et al.</w:t>
      </w:r>
      <w:r w:rsidRPr="0046694A">
        <w:rPr>
          <w:rFonts w:ascii="Arial" w:hAnsi="Arial" w:cs="Arial"/>
          <w:bCs/>
          <w:noProof/>
          <w:sz w:val="22"/>
          <w:szCs w:val="22"/>
        </w:rPr>
        <w:t>, 2021)</w:t>
      </w:r>
      <w:r w:rsidRPr="0046694A">
        <w:rPr>
          <w:rFonts w:ascii="Arial" w:hAnsi="Arial" w:cs="Arial"/>
          <w:bCs/>
          <w:noProof/>
          <w:sz w:val="22"/>
          <w:szCs w:val="22"/>
        </w:rPr>
        <w:fldChar w:fldCharType="end"/>
      </w:r>
      <w:r w:rsidRPr="0046694A">
        <w:rPr>
          <w:rFonts w:ascii="Arial" w:hAnsi="Arial" w:cs="Arial"/>
          <w:bCs/>
          <w:noProof/>
          <w:sz w:val="22"/>
          <w:szCs w:val="22"/>
        </w:rPr>
        <w:t xml:space="preserve"> India did not find a significant association, probably due to a smaller sample size and absence of stratification for serum magnesium or other dietary factors.</w:t>
      </w:r>
    </w:p>
    <w:p w14:paraId="10554469" w14:textId="77777777" w:rsidR="0046694A" w:rsidRPr="0046694A" w:rsidRDefault="0046694A" w:rsidP="0046694A">
      <w:pPr>
        <w:autoSpaceDE w:val="0"/>
        <w:autoSpaceDN w:val="0"/>
        <w:adjustRightInd w:val="0"/>
        <w:jc w:val="both"/>
        <w:rPr>
          <w:rFonts w:ascii="Arial" w:hAnsi="Arial" w:cs="Arial"/>
          <w:bCs/>
          <w:noProof/>
          <w:sz w:val="22"/>
          <w:szCs w:val="22"/>
        </w:rPr>
      </w:pPr>
      <w:r w:rsidRPr="0046694A">
        <w:rPr>
          <w:rFonts w:ascii="Arial" w:hAnsi="Arial" w:cs="Arial"/>
          <w:bCs/>
          <w:noProof/>
          <w:sz w:val="22"/>
          <w:szCs w:val="22"/>
        </w:rPr>
        <w:t xml:space="preserve">Duration of diabetes emerged as another strong determinant of DR severity. The longer the duration of diabetes, the higher the chance of presenting with more severe stages of retinopathy. This trend bring into line </w:t>
      </w:r>
      <w:r w:rsidRPr="0046694A">
        <w:rPr>
          <w:rFonts w:ascii="Arial" w:hAnsi="Arial" w:cs="Arial"/>
          <w:bCs/>
          <w:noProof/>
          <w:sz w:val="22"/>
          <w:szCs w:val="22"/>
        </w:rPr>
        <w:lastRenderedPageBreak/>
        <w:t xml:space="preserve">with existing literature, including studies by </w:t>
      </w:r>
      <w:r w:rsidRPr="0046694A">
        <w:rPr>
          <w:rFonts w:ascii="Arial" w:hAnsi="Arial" w:cs="Arial"/>
          <w:bCs/>
          <w:noProof/>
          <w:sz w:val="22"/>
          <w:szCs w:val="22"/>
        </w:rPr>
        <w:fldChar w:fldCharType="begin" w:fldLock="1"/>
      </w:r>
      <w:r w:rsidRPr="0046694A">
        <w:rPr>
          <w:rFonts w:ascii="Arial" w:hAnsi="Arial" w:cs="Arial"/>
          <w:bCs/>
          <w:noProof/>
          <w:sz w:val="22"/>
          <w:szCs w:val="22"/>
        </w:rPr>
        <w:instrText>ADDIN CSL_CITATION {"citationItems":[{"id":"ITEM-1","itemData":{"DOI":"10.1016/j.mcpsp.2023.100371","ISSN":"26039249","abstract":"Background: Retinopathy is one of the most common microvascular complications caused by diabetes, which occurs due to changes in blood capillaries. One of the most important factors to determine the progression of retinopathy is measuring HbA1C. This study aimed to investigate the relationship between glycosylated hemoglobin levels, blood pressure (systolic and diastolic), and triglycerides with DRP in the population of diabetic patients. Methods: This descriptive and analytical study was conducted on 80 diabetic patients referred to Hafiz Sabzevar Diabetes Clinic in 1400. Based on fundoscopic examination, patients were divided into three general categories: patients without retinopathy, patients with proliferative diabetic retinopathy, and patients with non-proliferative retinopathy. Patient information was collected through a demographic questionnaire (including age, sex, insulin or oral drug use, and fasting blood sugar level) and a researcher-made checklist (including HbA1C, systolic blood pressure, diastolic blood pressure and triglycerides). Data were analyzed with spss 28. Descriptive statistical tests, ANOVA and Bonferroni's post hoc test were used for analysis. Results: The results of the study showed that there is a significant difference in HbA1C, SBP and DBP levels between the three groups (P = 0.000). Post Hoc (Bonferroni) test was used to accurately determine this significant difference. The data showed that both retinopathy groups (NPDR and PDR) had higher levels of HbA1C and blood pressure (SBP and DBP) compared to the non-retinopathy group and this difference was statistically significant (P = 0.000). However, there was no significant difference between the three groups in terms of triglyceride levels (P = 0.96). Conclusion: High levels of glycosylated hemoglobin, systolic and diastolic blood pressure play an important role in the occurrence of diabetic retinopathy. Therefore, it is recommended to carefully control blood sugar and blood pressure of diabetic patients in order to prevent the occurrence of retinopathy.","author":[{"dropping-particle":"","family":"Poshtchaman","given":"Faeze","non-dropping-particle":"","parse-names":false,"suffix":""},{"dropping-particle":"","family":"Dehnabi","given":"Alemeh","non-dropping-particle":"","parse-names":false,"suffix":""},{"dropping-particle":"","family":"Poshtchaman","given":"Zahra","non-dropping-particle":"","parse-names":false,"suffix":""},{"dropping-particle":"","family":"Birjandi","given":"Batul","non-dropping-particle":"","parse-names":false,"suffix":""}],"container-title":"Medicina Clinica Practica","id":"ITEM-1","issue":"3","issued":{"date-parts":[["2023"]]},"title":", proliferative and non-proliferative retinopathy in diabetic patientHbA1Cs","type":"article-journal","volume":"6"},"uris":["http://www.mendeley.com/documents/?uuid=4ca71ffa-db44-34f1-ae1d-be5105a7e8b9"]}],"mendeley":{"formattedCitation":"(Poshtchaman &lt;i&gt;et al.&lt;/i&gt;, 2023)","plainTextFormattedCitation":"(Poshtchaman et al., 2023)","previouslyFormattedCitation":"(2)"},"properties":{"noteIndex":0},"schema":"https://github.com/citation-style-language/schema/raw/master/csl-citation.json"}</w:instrText>
      </w:r>
      <w:r w:rsidRPr="0046694A">
        <w:rPr>
          <w:rFonts w:ascii="Arial" w:hAnsi="Arial" w:cs="Arial"/>
          <w:bCs/>
          <w:noProof/>
          <w:sz w:val="22"/>
          <w:szCs w:val="22"/>
        </w:rPr>
        <w:fldChar w:fldCharType="separate"/>
      </w:r>
      <w:r w:rsidRPr="0046694A">
        <w:rPr>
          <w:rFonts w:ascii="Arial" w:hAnsi="Arial" w:cs="Arial"/>
          <w:bCs/>
          <w:noProof/>
          <w:sz w:val="22"/>
          <w:szCs w:val="22"/>
        </w:rPr>
        <w:t xml:space="preserve">(Poshtchaman </w:t>
      </w:r>
      <w:r w:rsidRPr="0046694A">
        <w:rPr>
          <w:rFonts w:ascii="Arial" w:hAnsi="Arial" w:cs="Arial"/>
          <w:bCs/>
          <w:i/>
          <w:noProof/>
          <w:sz w:val="22"/>
          <w:szCs w:val="22"/>
        </w:rPr>
        <w:t>et al.</w:t>
      </w:r>
      <w:r w:rsidRPr="0046694A">
        <w:rPr>
          <w:rFonts w:ascii="Arial" w:hAnsi="Arial" w:cs="Arial"/>
          <w:bCs/>
          <w:noProof/>
          <w:sz w:val="22"/>
          <w:szCs w:val="22"/>
        </w:rPr>
        <w:t>, 2023)</w:t>
      </w:r>
      <w:r w:rsidRPr="0046694A">
        <w:rPr>
          <w:rFonts w:ascii="Arial" w:hAnsi="Arial" w:cs="Arial"/>
          <w:bCs/>
          <w:noProof/>
          <w:sz w:val="22"/>
          <w:szCs w:val="22"/>
        </w:rPr>
        <w:fldChar w:fldCharType="end"/>
      </w:r>
      <w:r w:rsidRPr="0046694A">
        <w:rPr>
          <w:rFonts w:ascii="Arial" w:hAnsi="Arial" w:cs="Arial"/>
          <w:bCs/>
          <w:noProof/>
          <w:sz w:val="22"/>
          <w:szCs w:val="22"/>
        </w:rPr>
        <w:t xml:space="preserve">Iran and </w:t>
      </w:r>
      <w:r w:rsidRPr="0046694A">
        <w:rPr>
          <w:rFonts w:ascii="Arial" w:hAnsi="Arial" w:cs="Arial"/>
          <w:bCs/>
          <w:noProof/>
          <w:sz w:val="22"/>
          <w:szCs w:val="22"/>
        </w:rPr>
        <w:fldChar w:fldCharType="begin" w:fldLock="1"/>
      </w:r>
      <w:r w:rsidRPr="0046694A">
        <w:rPr>
          <w:rFonts w:ascii="Arial" w:hAnsi="Arial" w:cs="Arial"/>
          <w:bCs/>
          <w:noProof/>
          <w:sz w:val="22"/>
          <w:szCs w:val="22"/>
        </w:rPr>
        <w:instrText>ADDIN CSL_CITATION {"citationItems":[{"id":"ITEM-1","itemData":{"DOI":"10.1155/2016/1260141","ISSN":"23146753","PMID":"27547762","abstract":"Aim. To investigate the association between serum magnesium levels and microvascular complications among patients with diabetes. Methods. Patients with diabetes were recruited between April 2012 and January 2015. All patients received an assay of serum magnesium concentration, were screened for 24 h albumin excretion rate, and underwent nonmydriatic fundus photography. Albuminuria and retinopathy were defined accordingly. A total of 3,100 patients with normal serum magnesium levels were included in this study. Results. Patients with albuminuria and/or retinopathy had lower levels of serum magnesium than patients without these complications (P &lt; 0.001). The prevalence of isolated albuminuria, isolated retinopathy, and combined albuminuria and retinopathy decreased as the concentration of serum magnesium increased. Multiple logistic regression analysis indicated that the odds ratio for isolated albuminuria, isolated retinopathy, and concomitant albuminuria and retinopathy decreased by approximately 20% for every 0.1 mmol/L increase in serum magnesium concentration. Conclusion. Serum magnesium levels were negatively associated with the risk of diabetic microvascular complications among patients with serum magnesium levels within the normal range.","author":[{"dropping-particle":"","family":"Lu","given":"Jun","non-dropping-particle":"","parse-names":false,"suffix":""},{"dropping-particle":"","family":"Gu","given":"Yuying","non-dropping-particle":"","parse-names":false,"suffix":""},{"dropping-particle":"","family":"Guo","given":"Meixiang","non-dropping-particle":"","parse-names":false,"suffix":""},{"dropping-particle":"","family":"Chen","given":"Peihong","non-dropping-particle":"","parse-names":false,"suffix":""},{"dropping-particle":"","family":"Wang","given":"Hongtao","non-dropping-particle":"","parse-names":false,"suffix":""},{"dropping-particle":"","family":"Yu","given":"Xuemei","non-dropping-particle":"","parse-names":false,"suffix":""}],"container-title":"Journal of Diabetes Research","id":"ITEM-1","issued":{"date-parts":[["2016"]]},"publisher":"Hindawi Limited","title":"Serum Magnesium Concentration Is Inversely Associated with Albuminuria and Retinopathy among Patients with Diabetes","type":"article-journal","volume":"2016"},"uris":["http://www.mendeley.com/documents/?uuid=e0d55338-05ac-3ab6-864a-eb529b184808"]}],"mendeley":{"formattedCitation":"(Lu &lt;i&gt;et al.&lt;/i&gt;, 2016)","plainTextFormattedCitation":"(Lu et al., 2016)","previouslyFormattedCitation":"(9)"},"properties":{"noteIndex":0},"schema":"https://github.com/citation-style-language/schema/raw/master/csl-citation.json"}</w:instrText>
      </w:r>
      <w:r w:rsidRPr="0046694A">
        <w:rPr>
          <w:rFonts w:ascii="Arial" w:hAnsi="Arial" w:cs="Arial"/>
          <w:bCs/>
          <w:noProof/>
          <w:sz w:val="22"/>
          <w:szCs w:val="22"/>
        </w:rPr>
        <w:fldChar w:fldCharType="separate"/>
      </w:r>
      <w:r w:rsidRPr="0046694A">
        <w:rPr>
          <w:rFonts w:ascii="Arial" w:hAnsi="Arial" w:cs="Arial"/>
          <w:bCs/>
          <w:noProof/>
          <w:sz w:val="22"/>
          <w:szCs w:val="22"/>
        </w:rPr>
        <w:t xml:space="preserve">(Lu </w:t>
      </w:r>
      <w:r w:rsidRPr="0046694A">
        <w:rPr>
          <w:rFonts w:ascii="Arial" w:hAnsi="Arial" w:cs="Arial"/>
          <w:bCs/>
          <w:i/>
          <w:noProof/>
          <w:sz w:val="22"/>
          <w:szCs w:val="22"/>
        </w:rPr>
        <w:t>et al.</w:t>
      </w:r>
      <w:r w:rsidRPr="0046694A">
        <w:rPr>
          <w:rFonts w:ascii="Arial" w:hAnsi="Arial" w:cs="Arial"/>
          <w:bCs/>
          <w:noProof/>
          <w:sz w:val="22"/>
          <w:szCs w:val="22"/>
        </w:rPr>
        <w:t>, 2016)</w:t>
      </w:r>
      <w:r w:rsidRPr="0046694A">
        <w:rPr>
          <w:rFonts w:ascii="Arial" w:hAnsi="Arial" w:cs="Arial"/>
          <w:bCs/>
          <w:noProof/>
          <w:sz w:val="22"/>
          <w:szCs w:val="22"/>
        </w:rPr>
        <w:fldChar w:fldCharType="end"/>
      </w:r>
      <w:r w:rsidRPr="0046694A">
        <w:rPr>
          <w:rFonts w:ascii="Arial" w:hAnsi="Arial" w:cs="Arial"/>
          <w:bCs/>
          <w:noProof/>
          <w:sz w:val="22"/>
          <w:szCs w:val="22"/>
        </w:rPr>
        <w:t xml:space="preserve">, China, which similarly described that DR severity increased with disease duration. The observed consistency is probable due to the use of similar thresholds for disease duration (five years or more) and comparable grading systems. Fascinatingly, serum cholesterol was also found to be significantly associated with DR severity in our analysis, suggesting dyslipidemia interrupts endothelial function and aggravates capillary leakage in the retina. Similar associations with DR severity were described by </w:t>
      </w:r>
      <w:r w:rsidRPr="0046694A">
        <w:rPr>
          <w:rFonts w:ascii="Arial" w:hAnsi="Arial" w:cs="Arial"/>
          <w:bCs/>
          <w:noProof/>
          <w:sz w:val="22"/>
          <w:szCs w:val="22"/>
        </w:rPr>
        <w:fldChar w:fldCharType="begin" w:fldLock="1"/>
      </w:r>
      <w:r w:rsidRPr="0046694A">
        <w:rPr>
          <w:rFonts w:ascii="Arial" w:hAnsi="Arial" w:cs="Arial"/>
          <w:bCs/>
          <w:noProof/>
          <w:sz w:val="22"/>
          <w:szCs w:val="22"/>
        </w:rPr>
        <w:instrText>ADDIN CSL_CITATION {"citationItems":[{"id":"ITEM-1","itemData":{"DOI":"10.4103/0976-9668.107270","ISSN":"09769668","abstract":"Background: Diabetic retinopathy is one of the leading causes of blindness in the world. Hypomagnesemia has been reported to occur at an increased frequency among patients with type 2 diabetes compared with their counterparts without diabetes. Hypomagnesemia has been linked to poor glycemic control. Many studies have been undergone to find out the precipitated factors of retinopathy such as duration and type of diabetes, hyperglycemia, hypomagnesemia and increased urinary total protein levels. Aim: This study was carried out to study the correlation between serum magnesium levels, glycosylated hemoglobin and urinary total protein levels in diabetic patients with retinopathy. Materials and Methods: The study population comprised of 30 type 2 diabetic patients without retinopathy as Group 2, 30 type 2 diabetic patients with retinopathy as Group 3 in the age group 45-75 years as cases and 60 age and sex matched healthy individuals as controls (Group 1). Determination of Serum Magnesium (photometric xylidyl blue method), glycosylated hemoglobin, HbA 1C (IFCC), fasting blood glucose, postprandial blood glucose (glucose oxidase method) and urine total protein (Pyrogallol red method) was carried out. The statistical software SPSS 11.0 and Systat 8.0 were used for the analysis of the data. Results: Hypomagnesemia was observed in cases compared with both Group 2 and Group 3. FBS, PPBS, HbA1c, Urine total protein levels were increased in cases (without retinopathy and with retinopathy) compared with controls. Conclusion: Hypomagnesemia and albuminuria individually or in conjunction serve as indicators for dysglycemia and could be used as marker for the risk of development of diabetic retinopathy.","author":[{"dropping-particle":"","family":"Kundu","given":"Dipankar","non-dropping-particle":"","parse-names":false,"suffix":""},{"dropping-particle":"","family":"Osta","given":"Manish","non-dropping-particle":"","parse-names":false,"suffix":""},{"dropping-particle":"","family":"Mandal","given":"Tridibeswar","non-dropping-particle":"","parse-names":false,"suffix":""},{"dropping-particle":"","family":"Bandyopadhyay","given":"Ujjwal","non-dropping-particle":"","parse-names":false,"suffix":""},{"dropping-particle":"","family":"Ray","given":"Debes","non-dropping-particle":"","parse-names":false,"suffix":""},{"dropping-particle":"","family":"Gautam","given":"Divyendu","non-dropping-particle":"","parse-names":false,"suffix":""}],"container-title":"Journal of Natural Science, Biology and Medicine","id":"ITEM-1","issue":"1","issued":{"date-parts":[["2013","1"]]},"page":"113-116","title":"Serum magnesium levels in patients with diabetic retinopathy","type":"article-journal","volume":"4"},"uris":["http://www.mendeley.com/documents/?uuid=3ea7bf20-ee9c-3f62-bc45-420f1d54d268"]}],"mendeley":{"formattedCitation":"(Kundu &lt;i&gt;et al.&lt;/i&gt;, 2013)","plainTextFormattedCitation":"(Kundu et al., 2013)","previouslyFormattedCitation":"(12)"},"properties":{"noteIndex":0},"schema":"https://github.com/citation-style-language/schema/raw/master/csl-citation.json"}</w:instrText>
      </w:r>
      <w:r w:rsidRPr="0046694A">
        <w:rPr>
          <w:rFonts w:ascii="Arial" w:hAnsi="Arial" w:cs="Arial"/>
          <w:bCs/>
          <w:noProof/>
          <w:sz w:val="22"/>
          <w:szCs w:val="22"/>
        </w:rPr>
        <w:fldChar w:fldCharType="separate"/>
      </w:r>
      <w:r w:rsidRPr="0046694A">
        <w:rPr>
          <w:rFonts w:ascii="Arial" w:hAnsi="Arial" w:cs="Arial"/>
          <w:bCs/>
          <w:noProof/>
          <w:sz w:val="22"/>
          <w:szCs w:val="22"/>
        </w:rPr>
        <w:t xml:space="preserve">(Kundu </w:t>
      </w:r>
      <w:r w:rsidRPr="0046694A">
        <w:rPr>
          <w:rFonts w:ascii="Arial" w:hAnsi="Arial" w:cs="Arial"/>
          <w:bCs/>
          <w:i/>
          <w:noProof/>
          <w:sz w:val="22"/>
          <w:szCs w:val="22"/>
        </w:rPr>
        <w:t>et al.</w:t>
      </w:r>
      <w:r w:rsidRPr="0046694A">
        <w:rPr>
          <w:rFonts w:ascii="Arial" w:hAnsi="Arial" w:cs="Arial"/>
          <w:bCs/>
          <w:noProof/>
          <w:sz w:val="22"/>
          <w:szCs w:val="22"/>
        </w:rPr>
        <w:t>, 2013)</w:t>
      </w:r>
      <w:r w:rsidRPr="0046694A">
        <w:rPr>
          <w:rFonts w:ascii="Arial" w:hAnsi="Arial" w:cs="Arial"/>
          <w:bCs/>
          <w:noProof/>
          <w:sz w:val="22"/>
          <w:szCs w:val="22"/>
        </w:rPr>
        <w:fldChar w:fldCharType="end"/>
      </w:r>
      <w:r w:rsidRPr="0046694A">
        <w:rPr>
          <w:rFonts w:ascii="Arial" w:hAnsi="Arial" w:cs="Arial"/>
          <w:bCs/>
          <w:noProof/>
          <w:sz w:val="22"/>
          <w:szCs w:val="22"/>
        </w:rPr>
        <w:t xml:space="preserve">, India and </w:t>
      </w:r>
      <w:r w:rsidRPr="0046694A">
        <w:rPr>
          <w:rFonts w:ascii="Arial" w:hAnsi="Arial" w:cs="Arial"/>
          <w:bCs/>
          <w:noProof/>
          <w:sz w:val="22"/>
          <w:szCs w:val="22"/>
        </w:rPr>
        <w:fldChar w:fldCharType="begin" w:fldLock="1"/>
      </w:r>
      <w:r w:rsidRPr="0046694A">
        <w:rPr>
          <w:rFonts w:ascii="Arial" w:hAnsi="Arial" w:cs="Arial"/>
          <w:bCs/>
          <w:noProof/>
          <w:sz w:val="22"/>
          <w:szCs w:val="22"/>
        </w:rPr>
        <w:instrText>ADDIN CSL_CITATION {"citationItems":[{"id":"ITEM-1","itemData":{"DOI":"10.4274/haseki.galenos.2021.7188","ISSN":"1302-0072","abstract":"Aim: Uncontrolled diabetes can lead to complications which are related to high blood sugar and insulin resistance (IR). A decrease in serum magnesium (Mg) levels can cause an increase in IR and a worsening of glycaemic control. In this study, we aimed to investigate the relationship between diabetic retinopathy (DR) and serum Mg levels.\n   Methods: The study was designed as a cross-sectional study in the internal medicine department of a tertiary referral center (Adana Numune Training and Research Hospital) in Turkey. A total of 554 subjects, including 176 patients with DR patients, 209 patients without DR, and 169 healthy individuals were included in this study. Serum fasting glucose levels, insulin levels, homeostasis model assessment of insulin resistance (HOMA-IR), HbA1c percentages, and Mg levels were measured for all subjects.\n   Results: Serum Mg level was lower in patients with DR (p&lt;0.001). Furthermore; HOMA-IR, HbA1c and fasting glucose levels were higher in patients with DR (p&lt;0.001, respectively). Incidence of DR was associated with serum Mg levels (odds ratio: 2.1, confidence interval: 95% 1.2-3.6, p=0.005).\n   Conclusion: Low Mg level can lead to retinopathy by impairing glucose homeostasis. In patients with diabetes, Mg levels should be checked since Mg may be a supporting treatment.","author":[{"dropping-particle":"","family":"Bankir","given":"Mehmet","non-dropping-particle":"","parse-names":false,"suffix":""},{"dropping-particle":"","family":"Sahinoglu Keskek","given":"Nedime","non-dropping-particle":"","parse-names":false,"suffix":""},{"dropping-particle":"","family":"Saler","given":"Tayyibe","non-dropping-particle":"","parse-names":false,"suffix":""},{"dropping-particle":"","family":"Keskek","given":"Sakir Ozgur","non-dropping-particle":"","parse-names":false,"suffix":""},{"dropping-particle":"","family":"Cevher","given":"Selim","non-dropping-particle":"","parse-names":false,"suffix":""}],"container-title":"Medical Bulletin of Haseki","id":"ITEM-1","issue":"4","issued":{"date-parts":[["2021","9","1"]]},"page":"340-344","publisher":"Galenos Yayinevi","title":"Low Serum Magnesium Level Can be a Risk Factor for Retinopathy in Diabetic Patients: A Cross-Sectional Controlled Study","type":"article-journal","volume":"59"},"uris":["http://www.mendeley.com/documents/?uuid=0674d1d4-7ba4-3dad-ad94-facf902a0c9f"]}],"mendeley":{"formattedCitation":"(Bankir &lt;i&gt;et al.&lt;/i&gt;, 2021)","plainTextFormattedCitation":"(Bankir et al., 2021)","previouslyFormattedCitation":"(10)"},"properties":{"noteIndex":0},"schema":"https://github.com/citation-style-language/schema/raw/master/csl-citation.json"}</w:instrText>
      </w:r>
      <w:r w:rsidRPr="0046694A">
        <w:rPr>
          <w:rFonts w:ascii="Arial" w:hAnsi="Arial" w:cs="Arial"/>
          <w:bCs/>
          <w:noProof/>
          <w:sz w:val="22"/>
          <w:szCs w:val="22"/>
        </w:rPr>
        <w:fldChar w:fldCharType="separate"/>
      </w:r>
      <w:r w:rsidRPr="0046694A">
        <w:rPr>
          <w:rFonts w:ascii="Arial" w:hAnsi="Arial" w:cs="Arial"/>
          <w:bCs/>
          <w:noProof/>
          <w:sz w:val="22"/>
          <w:szCs w:val="22"/>
        </w:rPr>
        <w:t xml:space="preserve">(Bankir </w:t>
      </w:r>
      <w:r w:rsidRPr="0046694A">
        <w:rPr>
          <w:rFonts w:ascii="Arial" w:hAnsi="Arial" w:cs="Arial"/>
          <w:bCs/>
          <w:i/>
          <w:noProof/>
          <w:sz w:val="22"/>
          <w:szCs w:val="22"/>
        </w:rPr>
        <w:t>et al.</w:t>
      </w:r>
      <w:r w:rsidRPr="0046694A">
        <w:rPr>
          <w:rFonts w:ascii="Arial" w:hAnsi="Arial" w:cs="Arial"/>
          <w:bCs/>
          <w:noProof/>
          <w:sz w:val="22"/>
          <w:szCs w:val="22"/>
        </w:rPr>
        <w:t>, 2021)</w:t>
      </w:r>
      <w:r w:rsidRPr="0046694A">
        <w:rPr>
          <w:rFonts w:ascii="Arial" w:hAnsi="Arial" w:cs="Arial"/>
          <w:bCs/>
          <w:noProof/>
          <w:sz w:val="22"/>
          <w:szCs w:val="22"/>
        </w:rPr>
        <w:fldChar w:fldCharType="end"/>
      </w:r>
      <w:r w:rsidRPr="0046694A">
        <w:rPr>
          <w:rFonts w:ascii="Arial" w:hAnsi="Arial" w:cs="Arial"/>
          <w:bCs/>
          <w:noProof/>
          <w:sz w:val="22"/>
          <w:szCs w:val="22"/>
        </w:rPr>
        <w:t xml:space="preserve">, turkey, possibly due to the use of biochemical data, and adjusted analysis, while studies like </w:t>
      </w:r>
      <w:r w:rsidRPr="0046694A">
        <w:rPr>
          <w:rFonts w:ascii="Arial" w:hAnsi="Arial" w:cs="Arial"/>
          <w:bCs/>
          <w:noProof/>
          <w:sz w:val="22"/>
          <w:szCs w:val="22"/>
        </w:rPr>
        <w:fldChar w:fldCharType="begin" w:fldLock="1"/>
      </w:r>
      <w:r w:rsidRPr="0046694A">
        <w:rPr>
          <w:rFonts w:ascii="Arial" w:hAnsi="Arial" w:cs="Arial"/>
          <w:bCs/>
          <w:noProof/>
          <w:sz w:val="22"/>
          <w:szCs w:val="22"/>
        </w:rPr>
        <w:instrText>ADDIN CSL_CITATION {"citationItems":[{"id":"ITEM-1","itemData":{"DOI":"10.18203/2349-3933.ijam20170123","ISSN":"2349-3925","abstract":"Background: Diabetes mellitus is a heterogeneous group of metabolic disorders characterized by chronic hyperglycemia with disturbance of carbohydrate, fat and protein metabolism resulting from defects in insulin secretion, insulin action or both. The aim of this study was to estimate serum magnesium levels in patients with type 2 diabetes mellitus and correlate it with complications of type 2 diabetes mellitus - glycemic control and retinopathy.Methods: A cross-sectional study of 100 patients with type 2 diabetes, attending Government Medical College and associated Hospital, Jammu over a period of one year from 1st November, 2014 to 30th October, 2015. Detailed history including duration of diabetes, treatment mode, symptoms suggestive of retinopathy and associated diseases such as hypertension and ischemic heart disease were obtained, as per the proforma, followed by physical examination.Results: Majority of patients (38%) of type-2 diabetes mellitus were in the age group of 51-60 years. Males constituting 71% with male to female ratio of 2.45:1. Complications were observed in 48 cases, which mainly included retinopathy 60.42% (all non-proliferative). Maximum patients (79%) had abnormal (&gt;6.5%) glycosylated hemoglobin levels ranging from 6.5 to 12%. Patients with diabetic retinopathy had significantly higher prevalence of hypomagnesaemia compared to patients without retinopathy (58.62 % vs 18.31%).Conclusions: Prevalence of hypomagnesaemia in type 2 diabetes was 30% in the present study. The present study illustrates that as the magnesium level decreases in type 2 diabetes mellitus patients, prevalence of retinopathy increases.","author":[{"dropping-particle":"","family":"Saproo","given":"Nipun","non-dropping-particle":"","parse-names":false,"suffix":""},{"dropping-particle":"","family":"Singh","given":"Roma","non-dropping-particle":"","parse-names":false,"suffix":""}],"container-title":"International Journal of Advances in Medicine","id":"ITEM-1","issue":"1","issued":{"date-parts":[["2017","1","23"]]},"page":"263","publisher":"Medip Academy","title":"Study of serum magnesium levels in diabetes mellitus and its correlation with complications (retinopathy and HbA1c) a cross-sectional study of one year","type":"article-journal","volume":"4"},"uris":["http://www.mendeley.com/documents/?uuid=1d6c6eac-7cfa-3fb4-b871-6adac2d0c402"]}],"mendeley":{"formattedCitation":"(Saproo and Singh, 2017)","plainTextFormattedCitation":"(Saproo and Singh, 2017)","previouslyFormattedCitation":"(8)"},"properties":{"noteIndex":0},"schema":"https://github.com/citation-style-language/schema/raw/master/csl-citation.json"}</w:instrText>
      </w:r>
      <w:r w:rsidRPr="0046694A">
        <w:rPr>
          <w:rFonts w:ascii="Arial" w:hAnsi="Arial" w:cs="Arial"/>
          <w:bCs/>
          <w:noProof/>
          <w:sz w:val="22"/>
          <w:szCs w:val="22"/>
        </w:rPr>
        <w:fldChar w:fldCharType="separate"/>
      </w:r>
      <w:r w:rsidRPr="0046694A">
        <w:rPr>
          <w:rFonts w:ascii="Arial" w:hAnsi="Arial" w:cs="Arial"/>
          <w:bCs/>
          <w:noProof/>
          <w:sz w:val="22"/>
          <w:szCs w:val="22"/>
        </w:rPr>
        <w:t>(Saproo and Singh, 2017)</w:t>
      </w:r>
      <w:r w:rsidRPr="0046694A">
        <w:rPr>
          <w:rFonts w:ascii="Arial" w:hAnsi="Arial" w:cs="Arial"/>
          <w:bCs/>
          <w:noProof/>
          <w:sz w:val="22"/>
          <w:szCs w:val="22"/>
        </w:rPr>
        <w:fldChar w:fldCharType="end"/>
      </w:r>
      <w:r w:rsidRPr="0046694A">
        <w:rPr>
          <w:rFonts w:ascii="Arial" w:hAnsi="Arial" w:cs="Arial"/>
          <w:bCs/>
          <w:noProof/>
          <w:sz w:val="22"/>
          <w:szCs w:val="22"/>
        </w:rPr>
        <w:t>, India did not observe the same, possibly due to a lack of detailed lipid profiling or dietary context.</w:t>
      </w:r>
    </w:p>
    <w:p w14:paraId="322E275E" w14:textId="77777777" w:rsidR="0046694A" w:rsidRPr="0046694A" w:rsidRDefault="0046694A" w:rsidP="0046694A">
      <w:pPr>
        <w:autoSpaceDE w:val="0"/>
        <w:autoSpaceDN w:val="0"/>
        <w:adjustRightInd w:val="0"/>
        <w:jc w:val="both"/>
        <w:rPr>
          <w:rFonts w:ascii="Arial" w:hAnsi="Arial" w:cs="Arial"/>
          <w:bCs/>
          <w:noProof/>
          <w:sz w:val="22"/>
          <w:szCs w:val="22"/>
        </w:rPr>
      </w:pPr>
      <w:r w:rsidRPr="0046694A">
        <w:rPr>
          <w:rFonts w:ascii="Arial" w:hAnsi="Arial" w:cs="Arial"/>
          <w:bCs/>
          <w:noProof/>
          <w:sz w:val="22"/>
          <w:szCs w:val="22"/>
        </w:rPr>
        <w:t xml:space="preserve">In contrast, demographic characteristics such as age and sex did not show the independent associations with DR severity in our adjusted models. These results bring into line with findings from </w:t>
      </w:r>
      <w:r w:rsidRPr="0046694A">
        <w:rPr>
          <w:rFonts w:ascii="Arial" w:hAnsi="Arial" w:cs="Arial"/>
          <w:bCs/>
          <w:noProof/>
          <w:sz w:val="22"/>
          <w:szCs w:val="22"/>
        </w:rPr>
        <w:fldChar w:fldCharType="begin" w:fldLock="1"/>
      </w:r>
      <w:r w:rsidRPr="0046694A">
        <w:rPr>
          <w:rFonts w:ascii="Arial" w:hAnsi="Arial" w:cs="Arial"/>
          <w:bCs/>
          <w:noProof/>
          <w:sz w:val="22"/>
          <w:szCs w:val="22"/>
        </w:rPr>
        <w:instrText>ADDIN CSL_CITATION {"citationItems":[{"id":"ITEM-1","itemData":{"DOI":"10.4103/0976-9668.107270","ISSN":"09769668","abstract":"Background: Diabetic retinopathy is one of the leading causes of blindness in the world. Hypomagnesemia has been reported to occur at an increased frequency among patients with type 2 diabetes compared with their counterparts without diabetes. Hypomagnesemia has been linked to poor glycemic control. Many studies have been undergone to find out the precipitated factors of retinopathy such as duration and type of diabetes, hyperglycemia, hypomagnesemia and increased urinary total protein levels. Aim: This study was carried out to study the correlation between serum magnesium levels, glycosylated hemoglobin and urinary total protein levels in diabetic patients with retinopathy. Materials and Methods: The study population comprised of 30 type 2 diabetic patients without retinopathy as Group 2, 30 type 2 diabetic patients with retinopathy as Group 3 in the age group 45-75 years as cases and 60 age and sex matched healthy individuals as controls (Group 1). Determination of Serum Magnesium (photometric xylidyl blue method), glycosylated hemoglobin, HbA 1C (IFCC), fasting blood glucose, postprandial blood glucose (glucose oxidase method) and urine total protein (Pyrogallol red method) was carried out. The statistical software SPSS 11.0 and Systat 8.0 were used for the analysis of the data. Results: Hypomagnesemia was observed in cases compared with both Group 2 and Group 3. FBS, PPBS, HbA1c, Urine total protein levels were increased in cases (without retinopathy and with retinopathy) compared with controls. Conclusion: Hypomagnesemia and albuminuria individually or in conjunction serve as indicators for dysglycemia and could be used as marker for the risk of development of diabetic retinopathy.","author":[{"dropping-particle":"","family":"Kundu","given":"Dipankar","non-dropping-particle":"","parse-names":false,"suffix":""},{"dropping-particle":"","family":"Osta","given":"Manish","non-dropping-particle":"","parse-names":false,"suffix":""},{"dropping-particle":"","family":"Mandal","given":"Tridibeswar","non-dropping-particle":"","parse-names":false,"suffix":""},{"dropping-particle":"","family":"Bandyopadhyay","given":"Ujjwal","non-dropping-particle":"","parse-names":false,"suffix":""},{"dropping-particle":"","family":"Ray","given":"Debes","non-dropping-particle":"","parse-names":false,"suffix":""},{"dropping-particle":"","family":"Gautam","given":"Divyendu","non-dropping-particle":"","parse-names":false,"suffix":""}],"container-title":"Journal of Natural Science, Biology and Medicine","id":"ITEM-1","issue":"1","issued":{"date-parts":[["2013","1"]]},"page":"113-116","title":"Serum magnesium levels in patients with diabetic retinopathy","type":"article-journal","volume":"4"},"uris":["http://www.mendeley.com/documents/?uuid=3ea7bf20-ee9c-3f62-bc45-420f1d54d268"]}],"mendeley":{"formattedCitation":"(Kundu &lt;i&gt;et al.&lt;/i&gt;, 2013)","plainTextFormattedCitation":"(Kundu et al., 2013)","previouslyFormattedCitation":"(12)"},"properties":{"noteIndex":0},"schema":"https://github.com/citation-style-language/schema/raw/master/csl-citation.json"}</w:instrText>
      </w:r>
      <w:r w:rsidRPr="0046694A">
        <w:rPr>
          <w:rFonts w:ascii="Arial" w:hAnsi="Arial" w:cs="Arial"/>
          <w:bCs/>
          <w:noProof/>
          <w:sz w:val="22"/>
          <w:szCs w:val="22"/>
        </w:rPr>
        <w:fldChar w:fldCharType="separate"/>
      </w:r>
      <w:r w:rsidRPr="0046694A">
        <w:rPr>
          <w:rFonts w:ascii="Arial" w:hAnsi="Arial" w:cs="Arial"/>
          <w:bCs/>
          <w:noProof/>
          <w:sz w:val="22"/>
          <w:szCs w:val="22"/>
        </w:rPr>
        <w:t xml:space="preserve">(Kundu </w:t>
      </w:r>
      <w:r w:rsidRPr="0046694A">
        <w:rPr>
          <w:rFonts w:ascii="Arial" w:hAnsi="Arial" w:cs="Arial"/>
          <w:bCs/>
          <w:i/>
          <w:noProof/>
          <w:sz w:val="22"/>
          <w:szCs w:val="22"/>
        </w:rPr>
        <w:t>et al.</w:t>
      </w:r>
      <w:r w:rsidRPr="0046694A">
        <w:rPr>
          <w:rFonts w:ascii="Arial" w:hAnsi="Arial" w:cs="Arial"/>
          <w:bCs/>
          <w:noProof/>
          <w:sz w:val="22"/>
          <w:szCs w:val="22"/>
        </w:rPr>
        <w:t>, 2013)</w:t>
      </w:r>
      <w:r w:rsidRPr="0046694A">
        <w:rPr>
          <w:rFonts w:ascii="Arial" w:hAnsi="Arial" w:cs="Arial"/>
          <w:bCs/>
          <w:noProof/>
          <w:sz w:val="22"/>
          <w:szCs w:val="22"/>
        </w:rPr>
        <w:fldChar w:fldCharType="end"/>
      </w:r>
      <w:r w:rsidRPr="0046694A">
        <w:rPr>
          <w:rFonts w:ascii="Arial" w:hAnsi="Arial" w:cs="Arial"/>
          <w:bCs/>
          <w:noProof/>
          <w:sz w:val="22"/>
          <w:szCs w:val="22"/>
        </w:rPr>
        <w:t xml:space="preserve">,India and </w:t>
      </w:r>
      <w:r w:rsidRPr="0046694A">
        <w:rPr>
          <w:rFonts w:ascii="Arial" w:hAnsi="Arial" w:cs="Arial"/>
          <w:bCs/>
          <w:noProof/>
          <w:sz w:val="22"/>
          <w:szCs w:val="22"/>
        </w:rPr>
        <w:fldChar w:fldCharType="begin" w:fldLock="1"/>
      </w:r>
      <w:r w:rsidRPr="0046694A">
        <w:rPr>
          <w:rFonts w:ascii="Arial" w:hAnsi="Arial" w:cs="Arial"/>
          <w:bCs/>
          <w:noProof/>
          <w:sz w:val="22"/>
          <w:szCs w:val="22"/>
        </w:rPr>
        <w:instrText>ADDIN CSL_CITATION {"citationItems":[{"id":"ITEM-1","itemData":{"DOI":"10.1186/s40942-022-00390-4","ISSN":"20569920","abstract":"Background: To assess the association of lipid and lipid-derived toxic molecules in pathogenesis and severity of diabetic retinopathy (DR) in type 2 diabetes mellitus (T2DM). Methods: The present cross-sectional study included 14 healthy individuals (HC) without T2DM, 22 T2DM subjects without DR (DNR), 24 T2DM subjects with mild non-proliferative DR (MNPDR), and 24 T2DM subjects with high-risk proliferative DR (HRPDR). All subjects underwent plasma and vitreous analysis for estimation of total lipid (TL), free fatty acid (FFA), lipid peroxides (LPOs) like malondialdehyde (MDA), 4-Hydroxy-noneal (HNE), the advanced lipoxidation end product (ALE) like Hexanoyl-lysine (HLY) and vascular endothelial growth factor (VEGF) following standard spectrophotometric and enzyme-linked immunosorbent assay (ELISA) methods respectively. Results: The concentration of TL, FFA, markers of lipid peroxidation and lipoxidation as well as VEGF in plasma and vitreous were found to be significantly elevated stepwise inT2DM subjects (HRPDR &gt; MNPDR &gt; DNR) compared to healthy controls (HC).Further, plasma conventional lipid components like total cholesterol (TCH), low density lipoprotein cholesterol (LDL-C) and triglycerides (TG), FFA and TL showed their significant positive correlations with vitreous level of different LPOs, ALE and VEGF in the DR group. Conclusion: Total lipid and lipid-derived detrimental biomolecules ultimately result in increased secretion of VEGF and thus not only add as associated mediators in the pathogenesis of DR, these also accelerate the severity of microangiopathy in T2DM.","author":[{"dropping-particle":"","family":"Mondal","given":"Lakshmi Kanta","non-dropping-particle":"","parse-names":false,"suffix":""},{"dropping-particle":"","family":"Pramanik","given":"Subhasish","non-dropping-particle":"","parse-names":false,"suffix":""},{"dropping-particle":"","family":"Chowdhury","given":"Subhankar","non-dropping-particle":"","parse-names":false,"suffix":""},{"dropping-particle":"","family":"Bose","given":"Chiranjit","non-dropping-particle":"","parse-names":false,"suffix":""},{"dropping-particle":"","family":"Bera","given":"Debgopal","non-dropping-particle":"","parse-names":false,"suffix":""},{"dropping-particle":"","family":"Saha","given":"Ayindrila","non-dropping-particle":"","parse-names":false,"suffix":""},{"dropping-particle":"","family":"Bhattacharjee","given":"Koena","non-dropping-particle":"","parse-names":false,"suffix":""}],"container-title":"International Journal of Retina and Vitreous","id":"ITEM-1","issue":"1","issued":{"date-parts":[["2022"]]},"page":"1-10","publisher":"BioMed Central","title":"Do different lipid components accelerate the pathogenesis and severity of Diabetic Retinopathy?","type":"article-journal","volume":"8"},"uris":["http://www.mendeley.com/documents/?uuid=9db0c55b-1b20-49c0-a803-796be20007a6"]}],"mendeley":{"formattedCitation":"(Mondal &lt;i&gt;et al.&lt;/i&gt;, 2022)","plainTextFormattedCitation":"(Mondal et al., 2022)","previouslyFormattedCitation":"(13)"},"properties":{"noteIndex":0},"schema":"https://github.com/citation-style-language/schema/raw/master/csl-citation.json"}</w:instrText>
      </w:r>
      <w:r w:rsidRPr="0046694A">
        <w:rPr>
          <w:rFonts w:ascii="Arial" w:hAnsi="Arial" w:cs="Arial"/>
          <w:bCs/>
          <w:noProof/>
          <w:sz w:val="22"/>
          <w:szCs w:val="22"/>
        </w:rPr>
        <w:fldChar w:fldCharType="separate"/>
      </w:r>
      <w:r w:rsidRPr="0046694A">
        <w:rPr>
          <w:rFonts w:ascii="Arial" w:hAnsi="Arial" w:cs="Arial"/>
          <w:bCs/>
          <w:noProof/>
          <w:sz w:val="22"/>
          <w:szCs w:val="22"/>
        </w:rPr>
        <w:t xml:space="preserve">(Mondal </w:t>
      </w:r>
      <w:r w:rsidRPr="0046694A">
        <w:rPr>
          <w:rFonts w:ascii="Arial" w:hAnsi="Arial" w:cs="Arial"/>
          <w:bCs/>
          <w:i/>
          <w:noProof/>
          <w:sz w:val="22"/>
          <w:szCs w:val="22"/>
        </w:rPr>
        <w:t>et al.</w:t>
      </w:r>
      <w:r w:rsidRPr="0046694A">
        <w:rPr>
          <w:rFonts w:ascii="Arial" w:hAnsi="Arial" w:cs="Arial"/>
          <w:bCs/>
          <w:noProof/>
          <w:sz w:val="22"/>
          <w:szCs w:val="22"/>
        </w:rPr>
        <w:t>, 2022)</w:t>
      </w:r>
      <w:r w:rsidRPr="0046694A">
        <w:rPr>
          <w:rFonts w:ascii="Arial" w:hAnsi="Arial" w:cs="Arial"/>
          <w:bCs/>
          <w:noProof/>
          <w:sz w:val="22"/>
          <w:szCs w:val="22"/>
        </w:rPr>
        <w:fldChar w:fldCharType="end"/>
      </w:r>
      <w:r w:rsidRPr="0046694A">
        <w:rPr>
          <w:rFonts w:ascii="Arial" w:hAnsi="Arial" w:cs="Arial"/>
          <w:bCs/>
          <w:noProof/>
          <w:sz w:val="22"/>
          <w:szCs w:val="22"/>
        </w:rPr>
        <w:t xml:space="preserve"> India, where age and sex lost significance when other clinical variables were involved. Though, studies such as </w:t>
      </w:r>
      <w:r w:rsidRPr="0046694A">
        <w:rPr>
          <w:rFonts w:ascii="Arial" w:hAnsi="Arial" w:cs="Arial"/>
          <w:bCs/>
          <w:noProof/>
          <w:sz w:val="22"/>
          <w:szCs w:val="22"/>
        </w:rPr>
        <w:fldChar w:fldCharType="begin" w:fldLock="1"/>
      </w:r>
      <w:r w:rsidRPr="0046694A">
        <w:rPr>
          <w:rFonts w:ascii="Arial" w:hAnsi="Arial" w:cs="Arial"/>
          <w:bCs/>
          <w:noProof/>
          <w:sz w:val="22"/>
          <w:szCs w:val="22"/>
        </w:rPr>
        <w:instrText>ADDIN CSL_CITATION {"citationItems":[{"id":"ITEM-1","itemData":{"DOI":"10.1155/2016/1260141","ISSN":"23146753","PMID":"27547762","abstract":"Aim. To investigate the association between serum magnesium levels and microvascular complications among patients with diabetes. Methods. Patients with diabetes were recruited between April 2012 and January 2015. All patients received an assay of serum magnesium concentration, were screened for 24 h albumin excretion rate, and underwent nonmydriatic fundus photography. Albuminuria and retinopathy were defined accordingly. A total of 3,100 patients with normal serum magnesium levels were included in this study. Results. Patients with albuminuria and/or retinopathy had lower levels of serum magnesium than patients without these complications (P &lt; 0.001). The prevalence of isolated albuminuria, isolated retinopathy, and combined albuminuria and retinopathy decreased as the concentration of serum magnesium increased. Multiple logistic regression analysis indicated that the odds ratio for isolated albuminuria, isolated retinopathy, and concomitant albuminuria and retinopathy decreased by approximately 20% for every 0.1 mmol/L increase in serum magnesium concentration. Conclusion. Serum magnesium levels were negatively associated with the risk of diabetic microvascular complications among patients with serum magnesium levels within the normal range.","author":[{"dropping-particle":"","family":"Lu","given":"Jun","non-dropping-particle":"","parse-names":false,"suffix":""},{"dropping-particle":"","family":"Gu","given":"Yuying","non-dropping-particle":"","parse-names":false,"suffix":""},{"dropping-particle":"","family":"Guo","given":"Meixiang","non-dropping-particle":"","parse-names":false,"suffix":""},{"dropping-particle":"","family":"Chen","given":"Peihong","non-dropping-particle":"","parse-names":false,"suffix":""},{"dropping-particle":"","family":"Wang","given":"Hongtao","non-dropping-particle":"","parse-names":false,"suffix":""},{"dropping-particle":"","family":"Yu","given":"Xuemei","non-dropping-particle":"","parse-names":false,"suffix":""}],"container-title":"Journal of Diabetes Research","id":"ITEM-1","issued":{"date-parts":[["2016"]]},"publisher":"Hindawi Limited","title":"Serum Magnesium Concentration Is Inversely Associated with Albuminuria and Retinopathy among Patients with Diabetes","type":"article-journal","volume":"2016"},"uris":["http://www.mendeley.com/documents/?uuid=e0d55338-05ac-3ab6-864a-eb529b184808"]}],"mendeley":{"formattedCitation":"(Lu &lt;i&gt;et al.&lt;/i&gt;, 2016)","plainTextFormattedCitation":"(Lu et al., 2016)","previouslyFormattedCitation":"(9)"},"properties":{"noteIndex":0},"schema":"https://github.com/citation-style-language/schema/raw/master/csl-citation.json"}</w:instrText>
      </w:r>
      <w:r w:rsidRPr="0046694A">
        <w:rPr>
          <w:rFonts w:ascii="Arial" w:hAnsi="Arial" w:cs="Arial"/>
          <w:bCs/>
          <w:noProof/>
          <w:sz w:val="22"/>
          <w:szCs w:val="22"/>
        </w:rPr>
        <w:fldChar w:fldCharType="separate"/>
      </w:r>
      <w:r w:rsidRPr="0046694A">
        <w:rPr>
          <w:rFonts w:ascii="Arial" w:hAnsi="Arial" w:cs="Arial"/>
          <w:bCs/>
          <w:noProof/>
          <w:sz w:val="22"/>
          <w:szCs w:val="22"/>
        </w:rPr>
        <w:t xml:space="preserve">(Lu </w:t>
      </w:r>
      <w:r w:rsidRPr="0046694A">
        <w:rPr>
          <w:rFonts w:ascii="Arial" w:hAnsi="Arial" w:cs="Arial"/>
          <w:bCs/>
          <w:i/>
          <w:noProof/>
          <w:sz w:val="22"/>
          <w:szCs w:val="22"/>
        </w:rPr>
        <w:t>et al.</w:t>
      </w:r>
      <w:r w:rsidRPr="0046694A">
        <w:rPr>
          <w:rFonts w:ascii="Arial" w:hAnsi="Arial" w:cs="Arial"/>
          <w:bCs/>
          <w:noProof/>
          <w:sz w:val="22"/>
          <w:szCs w:val="22"/>
        </w:rPr>
        <w:t>, 2016)</w:t>
      </w:r>
      <w:r w:rsidRPr="0046694A">
        <w:rPr>
          <w:rFonts w:ascii="Arial" w:hAnsi="Arial" w:cs="Arial"/>
          <w:bCs/>
          <w:noProof/>
          <w:sz w:val="22"/>
          <w:szCs w:val="22"/>
        </w:rPr>
        <w:fldChar w:fldCharType="end"/>
      </w:r>
      <w:r w:rsidRPr="0046694A">
        <w:rPr>
          <w:rFonts w:ascii="Arial" w:hAnsi="Arial" w:cs="Arial"/>
          <w:bCs/>
          <w:noProof/>
          <w:sz w:val="22"/>
          <w:szCs w:val="22"/>
        </w:rPr>
        <w:t>, China found age to be significant factor, possibly due to a greater proportional of elderly participants or differences in lifestyle and cormobities.</w:t>
      </w:r>
    </w:p>
    <w:p w14:paraId="2FA915F8" w14:textId="77777777" w:rsidR="009A221B" w:rsidRPr="0046694A" w:rsidRDefault="009A221B" w:rsidP="00441B6F">
      <w:pPr>
        <w:autoSpaceDE w:val="0"/>
        <w:autoSpaceDN w:val="0"/>
        <w:adjustRightInd w:val="0"/>
        <w:jc w:val="both"/>
        <w:rPr>
          <w:rFonts w:ascii="Arial" w:hAnsi="Arial" w:cs="Arial"/>
          <w:bCs/>
          <w:noProof/>
          <w:sz w:val="22"/>
          <w:szCs w:val="22"/>
        </w:rPr>
      </w:pPr>
    </w:p>
    <w:p w14:paraId="04BC9640" w14:textId="77777777" w:rsidR="009A221B" w:rsidRDefault="009A221B" w:rsidP="00441B6F">
      <w:pPr>
        <w:autoSpaceDE w:val="0"/>
        <w:autoSpaceDN w:val="0"/>
        <w:adjustRightInd w:val="0"/>
        <w:jc w:val="both"/>
        <w:rPr>
          <w:rFonts w:ascii="Arial" w:hAnsi="Arial" w:cs="Arial"/>
          <w:b/>
          <w:bCs/>
          <w:noProof/>
          <w:sz w:val="22"/>
          <w:szCs w:val="22"/>
        </w:rPr>
      </w:pPr>
    </w:p>
    <w:p w14:paraId="51DCCFD8" w14:textId="77777777" w:rsidR="009A221B" w:rsidRDefault="009A221B" w:rsidP="00441B6F">
      <w:pPr>
        <w:autoSpaceDE w:val="0"/>
        <w:autoSpaceDN w:val="0"/>
        <w:adjustRightInd w:val="0"/>
        <w:jc w:val="both"/>
        <w:rPr>
          <w:rFonts w:ascii="Arial" w:hAnsi="Arial" w:cs="Arial"/>
          <w:b/>
          <w:bCs/>
          <w:noProof/>
          <w:sz w:val="22"/>
          <w:szCs w:val="22"/>
        </w:rPr>
      </w:pPr>
    </w:p>
    <w:p w14:paraId="1F1E6CF5" w14:textId="77777777" w:rsidR="009A221B" w:rsidRDefault="009A221B" w:rsidP="00441B6F">
      <w:pPr>
        <w:autoSpaceDE w:val="0"/>
        <w:autoSpaceDN w:val="0"/>
        <w:adjustRightInd w:val="0"/>
        <w:jc w:val="both"/>
        <w:rPr>
          <w:rFonts w:ascii="Arial" w:hAnsi="Arial" w:cs="Arial"/>
          <w:b/>
          <w:bCs/>
          <w:noProof/>
          <w:sz w:val="22"/>
          <w:szCs w:val="22"/>
        </w:rPr>
      </w:pPr>
    </w:p>
    <w:p w14:paraId="6D46C486" w14:textId="77777777" w:rsidR="00927834" w:rsidRDefault="00927834" w:rsidP="00441B6F">
      <w:pPr>
        <w:autoSpaceDE w:val="0"/>
        <w:autoSpaceDN w:val="0"/>
        <w:adjustRightInd w:val="0"/>
        <w:jc w:val="both"/>
        <w:rPr>
          <w:rFonts w:ascii="Arial" w:hAnsi="Arial" w:cs="Arial"/>
          <w:b/>
          <w:bCs/>
          <w:szCs w:val="22"/>
        </w:rPr>
      </w:pPr>
    </w:p>
    <w:p w14:paraId="4EEE3A7F" w14:textId="77777777" w:rsidR="006A1671" w:rsidRDefault="006A1671" w:rsidP="00441B6F">
      <w:pPr>
        <w:autoSpaceDE w:val="0"/>
        <w:autoSpaceDN w:val="0"/>
        <w:adjustRightInd w:val="0"/>
        <w:jc w:val="both"/>
        <w:rPr>
          <w:rFonts w:ascii="Arial" w:hAnsi="Arial" w:cs="Arial"/>
          <w:b/>
          <w:bCs/>
          <w:szCs w:val="22"/>
        </w:rPr>
      </w:pPr>
    </w:p>
    <w:p w14:paraId="2446F0AE" w14:textId="77777777" w:rsidR="006A1671" w:rsidRPr="006A1671" w:rsidRDefault="006A1671" w:rsidP="00441B6F">
      <w:pPr>
        <w:autoSpaceDE w:val="0"/>
        <w:autoSpaceDN w:val="0"/>
        <w:adjustRightInd w:val="0"/>
        <w:jc w:val="both"/>
        <w:rPr>
          <w:rFonts w:ascii="Arial" w:hAnsi="Arial" w:cs="Arial"/>
          <w:b/>
          <w:bCs/>
          <w:sz w:val="22"/>
          <w:szCs w:val="22"/>
        </w:rPr>
      </w:pPr>
      <w:r w:rsidRPr="006A1671">
        <w:rPr>
          <w:rFonts w:ascii="Arial" w:hAnsi="Arial" w:cs="Arial"/>
          <w:b/>
          <w:bCs/>
          <w:sz w:val="22"/>
          <w:szCs w:val="22"/>
        </w:rPr>
        <w:t>5. CONCLUSION</w:t>
      </w:r>
    </w:p>
    <w:p w14:paraId="508C152F" w14:textId="77777777" w:rsidR="006A1671" w:rsidRDefault="006A1671" w:rsidP="00441B6F">
      <w:pPr>
        <w:autoSpaceDE w:val="0"/>
        <w:autoSpaceDN w:val="0"/>
        <w:adjustRightInd w:val="0"/>
        <w:jc w:val="both"/>
        <w:rPr>
          <w:rFonts w:ascii="Arial" w:hAnsi="Arial" w:cs="Arial"/>
          <w:b/>
          <w:bCs/>
          <w:szCs w:val="22"/>
        </w:rPr>
      </w:pPr>
    </w:p>
    <w:p w14:paraId="29157AFA" w14:textId="77777777" w:rsidR="006A1671" w:rsidRDefault="006A1671" w:rsidP="006A1671">
      <w:pPr>
        <w:autoSpaceDE w:val="0"/>
        <w:autoSpaceDN w:val="0"/>
        <w:adjustRightInd w:val="0"/>
        <w:jc w:val="both"/>
        <w:rPr>
          <w:rFonts w:ascii="Arial" w:hAnsi="Arial" w:cs="Arial"/>
          <w:bCs/>
          <w:sz w:val="22"/>
          <w:szCs w:val="22"/>
        </w:rPr>
      </w:pPr>
      <w:r w:rsidRPr="006A1671">
        <w:rPr>
          <w:rFonts w:ascii="Arial" w:hAnsi="Arial" w:cs="Arial"/>
          <w:bCs/>
          <w:sz w:val="22"/>
          <w:szCs w:val="22"/>
        </w:rPr>
        <w:t>This study established that low level of serum magnesium was present in 14.4% of patients with Type 2 diabetes mellitus, described a notable subgroup at increased risk of developing diabetic retinopathy. Low serum magnesium showed statistical significant association with diabetic retinopathy severity, suggesting it may serve as an independent predictor of retinopathy progression.</w:t>
      </w:r>
    </w:p>
    <w:p w14:paraId="381B8690" w14:textId="77777777" w:rsidR="006A1671" w:rsidRDefault="006A1671" w:rsidP="006A1671">
      <w:pPr>
        <w:autoSpaceDE w:val="0"/>
        <w:autoSpaceDN w:val="0"/>
        <w:adjustRightInd w:val="0"/>
        <w:jc w:val="both"/>
        <w:rPr>
          <w:rFonts w:ascii="Arial" w:hAnsi="Arial" w:cs="Arial"/>
          <w:bCs/>
          <w:sz w:val="22"/>
          <w:szCs w:val="22"/>
        </w:rPr>
      </w:pPr>
    </w:p>
    <w:p w14:paraId="13060F91" w14:textId="77777777" w:rsidR="006A1671" w:rsidRDefault="006A1671" w:rsidP="006A1671">
      <w:pPr>
        <w:autoSpaceDE w:val="0"/>
        <w:autoSpaceDN w:val="0"/>
        <w:adjustRightInd w:val="0"/>
        <w:jc w:val="both"/>
        <w:rPr>
          <w:rFonts w:ascii="Arial" w:hAnsi="Arial" w:cs="Arial"/>
          <w:b/>
          <w:bCs/>
          <w:sz w:val="22"/>
          <w:szCs w:val="22"/>
        </w:rPr>
      </w:pPr>
      <w:r w:rsidRPr="006A1671">
        <w:rPr>
          <w:rFonts w:ascii="Arial" w:hAnsi="Arial" w:cs="Arial"/>
          <w:b/>
          <w:bCs/>
          <w:sz w:val="22"/>
          <w:szCs w:val="22"/>
        </w:rPr>
        <w:t>6.</w:t>
      </w:r>
      <w:r>
        <w:rPr>
          <w:rFonts w:ascii="Arial" w:hAnsi="Arial" w:cs="Arial"/>
          <w:b/>
          <w:bCs/>
          <w:sz w:val="22"/>
          <w:szCs w:val="22"/>
        </w:rPr>
        <w:t xml:space="preserve"> RECOMMENDATION</w:t>
      </w:r>
    </w:p>
    <w:p w14:paraId="6A8FEB90" w14:textId="77777777" w:rsidR="000246E3" w:rsidRDefault="000246E3" w:rsidP="006A1671">
      <w:pPr>
        <w:autoSpaceDE w:val="0"/>
        <w:autoSpaceDN w:val="0"/>
        <w:adjustRightInd w:val="0"/>
        <w:jc w:val="both"/>
        <w:rPr>
          <w:rFonts w:ascii="Arial" w:hAnsi="Arial" w:cs="Arial"/>
          <w:b/>
          <w:bCs/>
          <w:sz w:val="22"/>
          <w:szCs w:val="22"/>
        </w:rPr>
      </w:pPr>
    </w:p>
    <w:p w14:paraId="2E4CF4DD" w14:textId="1B2E77AA" w:rsidR="000246E3" w:rsidRDefault="000246E3" w:rsidP="006A1671">
      <w:pPr>
        <w:autoSpaceDE w:val="0"/>
        <w:autoSpaceDN w:val="0"/>
        <w:adjustRightInd w:val="0"/>
        <w:jc w:val="both"/>
        <w:rPr>
          <w:rFonts w:ascii="Arial" w:hAnsi="Arial" w:cs="Arial"/>
          <w:bCs/>
          <w:sz w:val="22"/>
          <w:szCs w:val="22"/>
        </w:rPr>
      </w:pPr>
      <w:r w:rsidRPr="000246E3">
        <w:rPr>
          <w:rFonts w:ascii="Arial" w:hAnsi="Arial" w:cs="Arial"/>
          <w:bCs/>
          <w:sz w:val="22"/>
          <w:szCs w:val="22"/>
        </w:rPr>
        <w:t xml:space="preserve">Serum magnesium monitoring should be integrated into Type 2 DM management, especially for high-risk patients, to help identify those at risk of complications. Magnesium supplementation </w:t>
      </w:r>
      <w:r w:rsidR="00D971FD">
        <w:rPr>
          <w:rFonts w:ascii="Arial" w:hAnsi="Arial" w:cs="Arial"/>
          <w:bCs/>
          <w:sz w:val="22"/>
          <w:szCs w:val="22"/>
          <w:lang w:val="en-IN"/>
        </w:rPr>
        <w:t>may be beneficial and should be investigated in trials</w:t>
      </w:r>
      <w:r w:rsidRPr="000246E3">
        <w:rPr>
          <w:rFonts w:ascii="Arial" w:hAnsi="Arial" w:cs="Arial"/>
          <w:bCs/>
          <w:sz w:val="22"/>
          <w:szCs w:val="22"/>
        </w:rPr>
        <w:t xml:space="preserve"> in patients with low </w:t>
      </w:r>
      <w:r w:rsidR="00D971FD">
        <w:rPr>
          <w:rFonts w:ascii="Arial" w:hAnsi="Arial" w:cs="Arial"/>
          <w:bCs/>
          <w:sz w:val="22"/>
          <w:szCs w:val="22"/>
        </w:rPr>
        <w:t xml:space="preserve">serum magnesium </w:t>
      </w:r>
      <w:r w:rsidRPr="000246E3">
        <w:rPr>
          <w:rFonts w:ascii="Arial" w:hAnsi="Arial" w:cs="Arial"/>
          <w:bCs/>
          <w:sz w:val="22"/>
          <w:szCs w:val="22"/>
        </w:rPr>
        <w:t>levels. National guidelines should include micronutrient monitoring, and investment in point-of-care testing is needed. Patient education should highlight magnesium-rich diets, and further research is recommended to confirm causality and guide treatment strategies</w:t>
      </w:r>
    </w:p>
    <w:p w14:paraId="595A9E4C" w14:textId="77777777" w:rsidR="000246E3" w:rsidRPr="000246E3" w:rsidRDefault="000246E3" w:rsidP="006A1671">
      <w:pPr>
        <w:autoSpaceDE w:val="0"/>
        <w:autoSpaceDN w:val="0"/>
        <w:adjustRightInd w:val="0"/>
        <w:jc w:val="both"/>
        <w:rPr>
          <w:rFonts w:ascii="Arial" w:hAnsi="Arial" w:cs="Arial"/>
          <w:bCs/>
          <w:sz w:val="22"/>
          <w:szCs w:val="22"/>
        </w:rPr>
      </w:pPr>
    </w:p>
    <w:p w14:paraId="0477A58D" w14:textId="77777777" w:rsidR="006A1671" w:rsidRDefault="000246E3" w:rsidP="006A1671">
      <w:pPr>
        <w:autoSpaceDE w:val="0"/>
        <w:autoSpaceDN w:val="0"/>
        <w:adjustRightInd w:val="0"/>
        <w:jc w:val="both"/>
        <w:rPr>
          <w:rFonts w:ascii="Arial" w:hAnsi="Arial" w:cs="Arial"/>
          <w:b/>
          <w:bCs/>
          <w:sz w:val="22"/>
          <w:szCs w:val="22"/>
        </w:rPr>
      </w:pPr>
      <w:r w:rsidRPr="000246E3">
        <w:rPr>
          <w:rFonts w:ascii="Arial" w:hAnsi="Arial" w:cs="Arial"/>
          <w:b/>
          <w:bCs/>
          <w:sz w:val="22"/>
          <w:szCs w:val="22"/>
        </w:rPr>
        <w:t>ETHICAL APPROVAL AND CONSENT</w:t>
      </w:r>
    </w:p>
    <w:p w14:paraId="7D16C0D3" w14:textId="625472A8" w:rsidR="000246E3" w:rsidRDefault="000246E3" w:rsidP="006A1671">
      <w:pPr>
        <w:autoSpaceDE w:val="0"/>
        <w:autoSpaceDN w:val="0"/>
        <w:adjustRightInd w:val="0"/>
        <w:jc w:val="both"/>
        <w:rPr>
          <w:rFonts w:ascii="Arial" w:hAnsi="Arial" w:cs="Arial"/>
          <w:bCs/>
          <w:sz w:val="22"/>
          <w:szCs w:val="22"/>
        </w:rPr>
      </w:pPr>
      <w:r w:rsidRPr="000246E3">
        <w:rPr>
          <w:rFonts w:ascii="Arial" w:hAnsi="Arial" w:cs="Arial"/>
          <w:bCs/>
          <w:sz w:val="22"/>
          <w:szCs w:val="22"/>
        </w:rPr>
        <w:t>Ethical approval was obtained from KCMC University Research Ethics and Review Committee</w:t>
      </w:r>
      <w:r w:rsidRPr="000246E3">
        <w:rPr>
          <w:rFonts w:ascii="Arial" w:hAnsi="Arial" w:cs="Arial"/>
          <w:color w:val="000000"/>
        </w:rPr>
        <w:t xml:space="preserve"> </w:t>
      </w:r>
      <w:r w:rsidRPr="000246E3">
        <w:rPr>
          <w:rFonts w:ascii="Arial" w:hAnsi="Arial" w:cs="Arial"/>
          <w:bCs/>
          <w:sz w:val="22"/>
          <w:szCs w:val="22"/>
        </w:rPr>
        <w:t>(KCMC-RERC) (PG 97/2024</w:t>
      </w:r>
      <w:r>
        <w:rPr>
          <w:rFonts w:ascii="Arial" w:hAnsi="Arial" w:cs="Arial"/>
          <w:bCs/>
          <w:sz w:val="22"/>
          <w:szCs w:val="22"/>
        </w:rPr>
        <w:t>).</w:t>
      </w:r>
      <w:r w:rsidRPr="000246E3">
        <w:t xml:space="preserve"> </w:t>
      </w:r>
      <w:r w:rsidRPr="000246E3">
        <w:rPr>
          <w:rFonts w:ascii="Arial" w:hAnsi="Arial" w:cs="Arial"/>
          <w:bCs/>
          <w:sz w:val="22"/>
          <w:szCs w:val="22"/>
        </w:rPr>
        <w:t>All participants were clearly informed about the objectives of the study, and written informed consent was obtained prior to enrollment. Confidentiality of participant information and data security were strictly upheld throughout the study</w:t>
      </w:r>
      <w:r>
        <w:rPr>
          <w:rFonts w:ascii="Arial" w:hAnsi="Arial" w:cs="Arial"/>
          <w:bCs/>
          <w:sz w:val="22"/>
          <w:szCs w:val="22"/>
        </w:rPr>
        <w:t>.</w:t>
      </w:r>
    </w:p>
    <w:p w14:paraId="5CBF71FE" w14:textId="37850ABF" w:rsidR="004C62C6" w:rsidRDefault="004C62C6" w:rsidP="006A1671">
      <w:pPr>
        <w:autoSpaceDE w:val="0"/>
        <w:autoSpaceDN w:val="0"/>
        <w:adjustRightInd w:val="0"/>
        <w:jc w:val="both"/>
        <w:rPr>
          <w:rFonts w:ascii="Arial" w:hAnsi="Arial" w:cs="Arial"/>
          <w:bCs/>
          <w:sz w:val="22"/>
          <w:szCs w:val="22"/>
        </w:rPr>
      </w:pPr>
    </w:p>
    <w:p w14:paraId="05FA0354" w14:textId="635E5AFF" w:rsidR="004C62C6" w:rsidRDefault="004C62C6" w:rsidP="006A1671">
      <w:pPr>
        <w:autoSpaceDE w:val="0"/>
        <w:autoSpaceDN w:val="0"/>
        <w:adjustRightInd w:val="0"/>
        <w:jc w:val="both"/>
        <w:rPr>
          <w:rFonts w:ascii="Arial" w:hAnsi="Arial" w:cs="Arial"/>
          <w:bCs/>
          <w:sz w:val="22"/>
          <w:szCs w:val="22"/>
        </w:rPr>
      </w:pPr>
    </w:p>
    <w:p w14:paraId="35D5CC4B" w14:textId="660B230C" w:rsidR="004C62C6" w:rsidRDefault="004C62C6">
      <w:pPr>
        <w:rPr>
          <w:rFonts w:ascii="Arial" w:hAnsi="Arial" w:cs="Arial"/>
          <w:bCs/>
          <w:sz w:val="22"/>
          <w:szCs w:val="22"/>
        </w:rPr>
      </w:pPr>
      <w:r>
        <w:rPr>
          <w:rFonts w:ascii="Arial" w:hAnsi="Arial" w:cs="Arial"/>
          <w:bCs/>
          <w:sz w:val="22"/>
          <w:szCs w:val="22"/>
        </w:rPr>
        <w:br w:type="page"/>
      </w:r>
    </w:p>
    <w:p w14:paraId="0EEEC510" w14:textId="77777777" w:rsidR="004C62C6" w:rsidRPr="0049178D" w:rsidRDefault="004C62C6" w:rsidP="004C62C6">
      <w:pPr>
        <w:pStyle w:val="NoSpacing"/>
        <w:rPr>
          <w:rFonts w:ascii="Arial" w:hAnsi="Arial" w:cs="Arial"/>
        </w:rPr>
      </w:pPr>
      <w:bookmarkStart w:id="1" w:name="_Hlk198031404"/>
      <w:r w:rsidRPr="0049178D">
        <w:rPr>
          <w:rFonts w:ascii="Arial" w:hAnsi="Arial" w:cs="Arial"/>
        </w:rPr>
        <w:lastRenderedPageBreak/>
        <w:t>Disclaimer (Artificial intelligence)</w:t>
      </w:r>
    </w:p>
    <w:p w14:paraId="790A9E72" w14:textId="77777777" w:rsidR="004C62C6" w:rsidRPr="0049178D" w:rsidRDefault="004C62C6" w:rsidP="004C62C6">
      <w:pPr>
        <w:pStyle w:val="NoSpacing"/>
        <w:rPr>
          <w:rFonts w:ascii="Arial" w:hAnsi="Arial" w:cs="Arial"/>
        </w:rPr>
      </w:pPr>
    </w:p>
    <w:p w14:paraId="276D7EFD" w14:textId="77777777" w:rsidR="004C62C6" w:rsidRPr="0049178D" w:rsidRDefault="004C62C6" w:rsidP="004C62C6">
      <w:pPr>
        <w:pStyle w:val="NoSpacing"/>
        <w:rPr>
          <w:rFonts w:ascii="Arial" w:hAnsi="Arial" w:cs="Arial"/>
        </w:rPr>
      </w:pPr>
      <w:r w:rsidRPr="0049178D">
        <w:rPr>
          <w:rFonts w:ascii="Arial" w:hAnsi="Arial" w:cs="Arial"/>
        </w:rPr>
        <w:t>Author(s) hereby declare that NO generative AI technologies such as Large Language Models (</w:t>
      </w:r>
      <w:proofErr w:type="spellStart"/>
      <w:r w:rsidRPr="0049178D">
        <w:rPr>
          <w:rFonts w:ascii="Arial" w:hAnsi="Arial" w:cs="Arial"/>
        </w:rPr>
        <w:t>ChatGPT</w:t>
      </w:r>
      <w:proofErr w:type="spellEnd"/>
      <w:r w:rsidRPr="0049178D">
        <w:rPr>
          <w:rFonts w:ascii="Arial" w:hAnsi="Arial" w:cs="Arial"/>
        </w:rPr>
        <w:t xml:space="preserve">, COPILOT, etc.) and text-to-image generators have been used during the writing or editing of this manuscript. </w:t>
      </w:r>
    </w:p>
    <w:bookmarkEnd w:id="1"/>
    <w:p w14:paraId="2EAD8841" w14:textId="77777777" w:rsidR="004C62C6" w:rsidRDefault="004C62C6" w:rsidP="004C62C6">
      <w:pPr>
        <w:pStyle w:val="NoSpacing"/>
        <w:rPr>
          <w:rFonts w:ascii="Arial" w:hAnsi="Arial" w:cs="Arial"/>
        </w:rPr>
      </w:pPr>
    </w:p>
    <w:p w14:paraId="5250DF02" w14:textId="77777777" w:rsidR="004C62C6" w:rsidRDefault="004C62C6" w:rsidP="004C62C6">
      <w:pPr>
        <w:pStyle w:val="NoSpacing"/>
        <w:rPr>
          <w:rFonts w:ascii="Arial" w:hAnsi="Arial" w:cs="Arial"/>
        </w:rPr>
      </w:pPr>
    </w:p>
    <w:p w14:paraId="03882ED1" w14:textId="77777777" w:rsidR="004C62C6" w:rsidRPr="00005ED1" w:rsidRDefault="004C62C6" w:rsidP="004C62C6">
      <w:pPr>
        <w:pStyle w:val="NoSpacing"/>
        <w:rPr>
          <w:rFonts w:ascii="Arial" w:hAnsi="Arial" w:cs="Arial"/>
        </w:rPr>
      </w:pPr>
    </w:p>
    <w:p w14:paraId="544C8057" w14:textId="77777777" w:rsidR="004C62C6" w:rsidRDefault="004C62C6" w:rsidP="006A1671">
      <w:pPr>
        <w:autoSpaceDE w:val="0"/>
        <w:autoSpaceDN w:val="0"/>
        <w:adjustRightInd w:val="0"/>
        <w:jc w:val="both"/>
        <w:rPr>
          <w:rFonts w:ascii="Arial" w:hAnsi="Arial" w:cs="Arial"/>
          <w:bCs/>
          <w:sz w:val="22"/>
          <w:szCs w:val="22"/>
        </w:rPr>
      </w:pPr>
    </w:p>
    <w:p w14:paraId="6CF05E1A" w14:textId="77777777" w:rsidR="000246E3" w:rsidRDefault="000246E3" w:rsidP="006A1671">
      <w:pPr>
        <w:autoSpaceDE w:val="0"/>
        <w:autoSpaceDN w:val="0"/>
        <w:adjustRightInd w:val="0"/>
        <w:jc w:val="both"/>
        <w:rPr>
          <w:rFonts w:ascii="Arial" w:hAnsi="Arial" w:cs="Arial"/>
          <w:bCs/>
          <w:sz w:val="22"/>
          <w:szCs w:val="22"/>
        </w:rPr>
      </w:pPr>
    </w:p>
    <w:p w14:paraId="685CDFD3" w14:textId="77777777" w:rsidR="00A224E3" w:rsidRDefault="00A224E3" w:rsidP="006A1671">
      <w:pPr>
        <w:autoSpaceDE w:val="0"/>
        <w:autoSpaceDN w:val="0"/>
        <w:adjustRightInd w:val="0"/>
        <w:jc w:val="both"/>
        <w:rPr>
          <w:rFonts w:ascii="Arial" w:hAnsi="Arial" w:cs="Arial"/>
          <w:bCs/>
          <w:sz w:val="22"/>
          <w:szCs w:val="22"/>
        </w:rPr>
      </w:pPr>
    </w:p>
    <w:p w14:paraId="4E03986A" w14:textId="77777777" w:rsidR="000246E3" w:rsidRDefault="00A224E3" w:rsidP="006A1671">
      <w:pPr>
        <w:autoSpaceDE w:val="0"/>
        <w:autoSpaceDN w:val="0"/>
        <w:adjustRightInd w:val="0"/>
        <w:jc w:val="both"/>
        <w:rPr>
          <w:rFonts w:ascii="Arial" w:hAnsi="Arial" w:cs="Arial"/>
          <w:b/>
          <w:bCs/>
          <w:sz w:val="22"/>
          <w:szCs w:val="22"/>
        </w:rPr>
      </w:pPr>
      <w:r w:rsidRPr="00A224E3">
        <w:rPr>
          <w:rFonts w:ascii="Arial" w:hAnsi="Arial" w:cs="Arial"/>
          <w:b/>
          <w:bCs/>
          <w:sz w:val="22"/>
          <w:szCs w:val="22"/>
        </w:rPr>
        <w:t>REFERENCES</w:t>
      </w:r>
    </w:p>
    <w:p w14:paraId="7AFAF086" w14:textId="77777777" w:rsidR="00A224E3" w:rsidRDefault="00A224E3" w:rsidP="006A1671">
      <w:pPr>
        <w:autoSpaceDE w:val="0"/>
        <w:autoSpaceDN w:val="0"/>
        <w:adjustRightInd w:val="0"/>
        <w:jc w:val="both"/>
        <w:rPr>
          <w:rFonts w:ascii="Arial" w:hAnsi="Arial" w:cs="Arial"/>
          <w:bCs/>
          <w:sz w:val="22"/>
          <w:szCs w:val="22"/>
        </w:rPr>
      </w:pPr>
    </w:p>
    <w:p w14:paraId="07EA329A" w14:textId="77777777" w:rsidR="00A224E3" w:rsidRPr="00CC6F51" w:rsidRDefault="00A224E3" w:rsidP="00CC6F51">
      <w:pPr>
        <w:pStyle w:val="ListParagraph"/>
        <w:numPr>
          <w:ilvl w:val="0"/>
          <w:numId w:val="31"/>
        </w:numPr>
        <w:autoSpaceDE w:val="0"/>
        <w:autoSpaceDN w:val="0"/>
        <w:adjustRightInd w:val="0"/>
        <w:jc w:val="both"/>
        <w:rPr>
          <w:rFonts w:ascii="Arial" w:hAnsi="Arial" w:cs="Arial"/>
          <w:bCs/>
        </w:rPr>
      </w:pPr>
      <w:r w:rsidRPr="00A224E3">
        <w:rPr>
          <w:rFonts w:ascii="Arial" w:hAnsi="Arial" w:cs="Arial"/>
          <w:bCs/>
        </w:rPr>
        <w:fldChar w:fldCharType="begin" w:fldLock="1"/>
      </w:r>
      <w:r w:rsidRPr="00CC6F51">
        <w:rPr>
          <w:rFonts w:ascii="Arial" w:hAnsi="Arial" w:cs="Arial"/>
          <w:bCs/>
        </w:rPr>
        <w:instrText xml:space="preserve">ADDIN Mendeley Bibliography CSL_BIBLIOGRAPHY </w:instrText>
      </w:r>
      <w:r w:rsidRPr="00A224E3">
        <w:rPr>
          <w:rFonts w:ascii="Arial" w:hAnsi="Arial" w:cs="Arial"/>
          <w:bCs/>
        </w:rPr>
        <w:fldChar w:fldCharType="separate"/>
      </w:r>
      <w:r w:rsidRPr="00CC6F51">
        <w:rPr>
          <w:rFonts w:ascii="Arial" w:hAnsi="Arial" w:cs="Arial"/>
          <w:bCs/>
        </w:rPr>
        <w:t xml:space="preserve">Ahmed, T.S. </w:t>
      </w:r>
      <w:r w:rsidRPr="00CC6F51">
        <w:rPr>
          <w:rFonts w:ascii="Arial" w:hAnsi="Arial" w:cs="Arial"/>
          <w:bCs/>
          <w:i/>
          <w:iCs/>
        </w:rPr>
        <w:t>et al.</w:t>
      </w:r>
      <w:r w:rsidRPr="00CC6F51">
        <w:rPr>
          <w:rFonts w:ascii="Arial" w:hAnsi="Arial" w:cs="Arial"/>
          <w:bCs/>
        </w:rPr>
        <w:t xml:space="preserve"> (2024) ‘Ocular microvascular complications in diabetic retinopathy: insights from machine learning’, </w:t>
      </w:r>
      <w:r w:rsidRPr="00CC6F51">
        <w:rPr>
          <w:rFonts w:ascii="Arial" w:hAnsi="Arial" w:cs="Arial"/>
          <w:bCs/>
          <w:i/>
          <w:iCs/>
        </w:rPr>
        <w:t>BMJ Open Diabetes Research and Care</w:t>
      </w:r>
      <w:r w:rsidRPr="00CC6F51">
        <w:rPr>
          <w:rFonts w:ascii="Arial" w:hAnsi="Arial" w:cs="Arial"/>
          <w:bCs/>
        </w:rPr>
        <w:t>, 12(1). Available at: https://doi.org/10.1136/bmjdrc-2023-003758.</w:t>
      </w:r>
    </w:p>
    <w:p w14:paraId="3EA40367" w14:textId="77777777" w:rsidR="00A224E3" w:rsidRPr="00CC6F51" w:rsidRDefault="00A224E3" w:rsidP="00CC6F51">
      <w:pPr>
        <w:pStyle w:val="ListParagraph"/>
        <w:numPr>
          <w:ilvl w:val="0"/>
          <w:numId w:val="31"/>
        </w:numPr>
        <w:autoSpaceDE w:val="0"/>
        <w:autoSpaceDN w:val="0"/>
        <w:adjustRightInd w:val="0"/>
        <w:jc w:val="both"/>
        <w:rPr>
          <w:rFonts w:ascii="Arial" w:hAnsi="Arial" w:cs="Arial"/>
          <w:bCs/>
        </w:rPr>
      </w:pPr>
      <w:r w:rsidRPr="00CC6F51">
        <w:rPr>
          <w:rFonts w:ascii="Arial" w:hAnsi="Arial" w:cs="Arial"/>
          <w:bCs/>
        </w:rPr>
        <w:t xml:space="preserve">Bankir, M. </w:t>
      </w:r>
      <w:r w:rsidRPr="00CC6F51">
        <w:rPr>
          <w:rFonts w:ascii="Arial" w:hAnsi="Arial" w:cs="Arial"/>
          <w:bCs/>
          <w:i/>
          <w:iCs/>
        </w:rPr>
        <w:t>et al.</w:t>
      </w:r>
      <w:r w:rsidRPr="00CC6F51">
        <w:rPr>
          <w:rFonts w:ascii="Arial" w:hAnsi="Arial" w:cs="Arial"/>
          <w:bCs/>
        </w:rPr>
        <w:t xml:space="preserve"> (2021) ‘Low Serum Magnesium Level Can be a Risk Factor for Retinopathy in Diabetic Patients: A Cross-Sectional Controlled Study’, </w:t>
      </w:r>
      <w:r w:rsidRPr="00CC6F51">
        <w:rPr>
          <w:rFonts w:ascii="Arial" w:hAnsi="Arial" w:cs="Arial"/>
          <w:bCs/>
          <w:i/>
          <w:iCs/>
        </w:rPr>
        <w:t>Medical Bulletin of Haseki</w:t>
      </w:r>
      <w:r w:rsidRPr="00CC6F51">
        <w:rPr>
          <w:rFonts w:ascii="Arial" w:hAnsi="Arial" w:cs="Arial"/>
          <w:bCs/>
        </w:rPr>
        <w:t>, 59(4), pp. 340–344. Available at: https://doi.org/10.4274/haseki.galenos.2021.7188.</w:t>
      </w:r>
    </w:p>
    <w:p w14:paraId="35236EDE" w14:textId="77777777" w:rsidR="00A224E3" w:rsidRPr="00CC6F51" w:rsidRDefault="00A224E3" w:rsidP="00CC6F51">
      <w:pPr>
        <w:pStyle w:val="ListParagraph"/>
        <w:numPr>
          <w:ilvl w:val="0"/>
          <w:numId w:val="31"/>
        </w:numPr>
        <w:autoSpaceDE w:val="0"/>
        <w:autoSpaceDN w:val="0"/>
        <w:adjustRightInd w:val="0"/>
        <w:jc w:val="both"/>
        <w:rPr>
          <w:rFonts w:ascii="Arial" w:hAnsi="Arial" w:cs="Arial"/>
          <w:bCs/>
        </w:rPr>
      </w:pPr>
      <w:r w:rsidRPr="00CC6F51">
        <w:rPr>
          <w:rFonts w:ascii="Arial" w:hAnsi="Arial" w:cs="Arial"/>
          <w:bCs/>
        </w:rPr>
        <w:t xml:space="preserve">Dika, H. </w:t>
      </w:r>
      <w:r w:rsidRPr="00CC6F51">
        <w:rPr>
          <w:rFonts w:ascii="Arial" w:hAnsi="Arial" w:cs="Arial"/>
          <w:bCs/>
          <w:i/>
          <w:iCs/>
        </w:rPr>
        <w:t>et al.</w:t>
      </w:r>
      <w:r w:rsidRPr="00CC6F51">
        <w:rPr>
          <w:rFonts w:ascii="Arial" w:hAnsi="Arial" w:cs="Arial"/>
          <w:bCs/>
        </w:rPr>
        <w:t xml:space="preserve"> (no date) </w:t>
      </w:r>
      <w:r w:rsidRPr="00CC6F51">
        <w:rPr>
          <w:rFonts w:ascii="Arial" w:hAnsi="Arial" w:cs="Arial"/>
          <w:bCs/>
          <w:i/>
          <w:iCs/>
        </w:rPr>
        <w:t>Practice and Knowledge on Type 2 Diabetes Mellitus Risk Factors Among Office Workers in Mwanza City, Tanzania</w:t>
      </w:r>
      <w:r w:rsidRPr="00CC6F51">
        <w:rPr>
          <w:rFonts w:ascii="Arial" w:hAnsi="Arial" w:cs="Arial"/>
          <w:bCs/>
        </w:rPr>
        <w:t>. Available at: www.eahealth.org.</w:t>
      </w:r>
    </w:p>
    <w:p w14:paraId="2B611C6E" w14:textId="77777777" w:rsidR="00A224E3" w:rsidRPr="00CC6F51" w:rsidRDefault="00A224E3" w:rsidP="00CC6F51">
      <w:pPr>
        <w:pStyle w:val="ListParagraph"/>
        <w:numPr>
          <w:ilvl w:val="0"/>
          <w:numId w:val="31"/>
        </w:numPr>
        <w:autoSpaceDE w:val="0"/>
        <w:autoSpaceDN w:val="0"/>
        <w:adjustRightInd w:val="0"/>
        <w:jc w:val="both"/>
        <w:rPr>
          <w:rFonts w:ascii="Arial" w:hAnsi="Arial" w:cs="Arial"/>
          <w:bCs/>
        </w:rPr>
      </w:pPr>
      <w:r w:rsidRPr="00CC6F51">
        <w:rPr>
          <w:rFonts w:ascii="Arial" w:hAnsi="Arial" w:cs="Arial"/>
          <w:bCs/>
        </w:rPr>
        <w:t xml:space="preserve">Korkmaz, Ş. </w:t>
      </w:r>
      <w:r w:rsidRPr="00CC6F51">
        <w:rPr>
          <w:rFonts w:ascii="Arial" w:hAnsi="Arial" w:cs="Arial"/>
          <w:bCs/>
          <w:i/>
          <w:iCs/>
        </w:rPr>
        <w:t>et al.</w:t>
      </w:r>
      <w:r w:rsidRPr="00CC6F51">
        <w:rPr>
          <w:rFonts w:ascii="Arial" w:hAnsi="Arial" w:cs="Arial"/>
          <w:bCs/>
        </w:rPr>
        <w:t xml:space="preserve"> (2014) ‘Magnesium: Effect on ocular health as a calcium channel antagonist’, </w:t>
      </w:r>
      <w:r w:rsidRPr="00CC6F51">
        <w:rPr>
          <w:rFonts w:ascii="Arial" w:hAnsi="Arial" w:cs="Arial"/>
          <w:bCs/>
          <w:i/>
          <w:iCs/>
        </w:rPr>
        <w:t>Journal of Clinical and Experimental Investigations</w:t>
      </w:r>
      <w:r w:rsidRPr="00CC6F51">
        <w:rPr>
          <w:rFonts w:ascii="Arial" w:hAnsi="Arial" w:cs="Arial"/>
          <w:bCs/>
        </w:rPr>
        <w:t>, 4(2), pp. 244–251. Available at: https://doi.org/10.5799/ahinjs.01.2013.02.0277.</w:t>
      </w:r>
    </w:p>
    <w:p w14:paraId="478C8360" w14:textId="77777777" w:rsidR="00A224E3" w:rsidRPr="00CC6F51" w:rsidRDefault="00A224E3" w:rsidP="00CC6F51">
      <w:pPr>
        <w:pStyle w:val="ListParagraph"/>
        <w:numPr>
          <w:ilvl w:val="0"/>
          <w:numId w:val="31"/>
        </w:numPr>
        <w:autoSpaceDE w:val="0"/>
        <w:autoSpaceDN w:val="0"/>
        <w:adjustRightInd w:val="0"/>
        <w:jc w:val="both"/>
        <w:rPr>
          <w:rFonts w:ascii="Arial" w:hAnsi="Arial" w:cs="Arial"/>
          <w:bCs/>
        </w:rPr>
      </w:pPr>
      <w:r w:rsidRPr="00CC6F51">
        <w:rPr>
          <w:rFonts w:ascii="Arial" w:hAnsi="Arial" w:cs="Arial"/>
          <w:bCs/>
        </w:rPr>
        <w:t xml:space="preserve">Kundu, D. </w:t>
      </w:r>
      <w:r w:rsidRPr="00CC6F51">
        <w:rPr>
          <w:rFonts w:ascii="Arial" w:hAnsi="Arial" w:cs="Arial"/>
          <w:bCs/>
          <w:i/>
          <w:iCs/>
        </w:rPr>
        <w:t>et al.</w:t>
      </w:r>
      <w:r w:rsidRPr="00CC6F51">
        <w:rPr>
          <w:rFonts w:ascii="Arial" w:hAnsi="Arial" w:cs="Arial"/>
          <w:bCs/>
        </w:rPr>
        <w:t xml:space="preserve"> (2013) ‘Serum magnesium levels in patients with diabetic retinopathy’, </w:t>
      </w:r>
      <w:r w:rsidRPr="00CC6F51">
        <w:rPr>
          <w:rFonts w:ascii="Arial" w:hAnsi="Arial" w:cs="Arial"/>
          <w:bCs/>
          <w:i/>
          <w:iCs/>
        </w:rPr>
        <w:t>Journal of Natural Science, Biology and Medicine</w:t>
      </w:r>
      <w:r w:rsidRPr="00CC6F51">
        <w:rPr>
          <w:rFonts w:ascii="Arial" w:hAnsi="Arial" w:cs="Arial"/>
          <w:bCs/>
        </w:rPr>
        <w:t>, 4(1), pp. 113–116. Available at: https://doi.org/10.4103/0976-9668.107270.</w:t>
      </w:r>
    </w:p>
    <w:p w14:paraId="7498C46D" w14:textId="77777777" w:rsidR="00A224E3" w:rsidRPr="00CC6F51" w:rsidRDefault="00A224E3" w:rsidP="00CC6F51">
      <w:pPr>
        <w:pStyle w:val="ListParagraph"/>
        <w:numPr>
          <w:ilvl w:val="0"/>
          <w:numId w:val="31"/>
        </w:numPr>
        <w:autoSpaceDE w:val="0"/>
        <w:autoSpaceDN w:val="0"/>
        <w:adjustRightInd w:val="0"/>
        <w:jc w:val="both"/>
        <w:rPr>
          <w:rFonts w:ascii="Arial" w:hAnsi="Arial" w:cs="Arial"/>
          <w:bCs/>
        </w:rPr>
      </w:pPr>
      <w:r w:rsidRPr="00CC6F51">
        <w:rPr>
          <w:rFonts w:ascii="Arial" w:hAnsi="Arial" w:cs="Arial"/>
          <w:bCs/>
        </w:rPr>
        <w:t xml:space="preserve">Lu, J. </w:t>
      </w:r>
      <w:r w:rsidRPr="00CC6F51">
        <w:rPr>
          <w:rFonts w:ascii="Arial" w:hAnsi="Arial" w:cs="Arial"/>
          <w:bCs/>
          <w:i/>
          <w:iCs/>
        </w:rPr>
        <w:t>et al.</w:t>
      </w:r>
      <w:r w:rsidRPr="00CC6F51">
        <w:rPr>
          <w:rFonts w:ascii="Arial" w:hAnsi="Arial" w:cs="Arial"/>
          <w:bCs/>
        </w:rPr>
        <w:t xml:space="preserve"> (2016) ‘Serum Magnesium Concentration Is Inversely Associated with Albuminuria and Retinopathy among Patients with Diabetes’, </w:t>
      </w:r>
      <w:r w:rsidRPr="00CC6F51">
        <w:rPr>
          <w:rFonts w:ascii="Arial" w:hAnsi="Arial" w:cs="Arial"/>
          <w:bCs/>
          <w:i/>
          <w:iCs/>
        </w:rPr>
        <w:t>Journal of Diabetes Research</w:t>
      </w:r>
      <w:r w:rsidRPr="00CC6F51">
        <w:rPr>
          <w:rFonts w:ascii="Arial" w:hAnsi="Arial" w:cs="Arial"/>
          <w:bCs/>
        </w:rPr>
        <w:t>, 2016. Available at: https://doi.org/10.1155/2016/1260141.</w:t>
      </w:r>
    </w:p>
    <w:p w14:paraId="23B47F89" w14:textId="77777777" w:rsidR="00A224E3" w:rsidRPr="00CC6F51" w:rsidRDefault="00A224E3" w:rsidP="00CC6F51">
      <w:pPr>
        <w:pStyle w:val="ListParagraph"/>
        <w:numPr>
          <w:ilvl w:val="0"/>
          <w:numId w:val="31"/>
        </w:numPr>
        <w:autoSpaceDE w:val="0"/>
        <w:autoSpaceDN w:val="0"/>
        <w:adjustRightInd w:val="0"/>
        <w:jc w:val="both"/>
        <w:rPr>
          <w:rFonts w:ascii="Arial" w:hAnsi="Arial" w:cs="Arial"/>
          <w:bCs/>
        </w:rPr>
      </w:pPr>
      <w:r w:rsidRPr="00CC6F51">
        <w:rPr>
          <w:rFonts w:ascii="Arial" w:hAnsi="Arial" w:cs="Arial"/>
          <w:bCs/>
        </w:rPr>
        <w:t xml:space="preserve">Mondal, L.K. </w:t>
      </w:r>
      <w:r w:rsidRPr="00CC6F51">
        <w:rPr>
          <w:rFonts w:ascii="Arial" w:hAnsi="Arial" w:cs="Arial"/>
          <w:bCs/>
          <w:i/>
          <w:iCs/>
        </w:rPr>
        <w:t>et al.</w:t>
      </w:r>
      <w:r w:rsidRPr="00CC6F51">
        <w:rPr>
          <w:rFonts w:ascii="Arial" w:hAnsi="Arial" w:cs="Arial"/>
          <w:bCs/>
        </w:rPr>
        <w:t xml:space="preserve"> (2022) ‘Do different lipid components accelerate the pathogenesis and severity of Diabetic Retinopathy?’, </w:t>
      </w:r>
      <w:r w:rsidRPr="00CC6F51">
        <w:rPr>
          <w:rFonts w:ascii="Arial" w:hAnsi="Arial" w:cs="Arial"/>
          <w:bCs/>
          <w:i/>
          <w:iCs/>
        </w:rPr>
        <w:t>International Journal of Retina and Vitreous</w:t>
      </w:r>
      <w:r w:rsidRPr="00CC6F51">
        <w:rPr>
          <w:rFonts w:ascii="Arial" w:hAnsi="Arial" w:cs="Arial"/>
          <w:bCs/>
        </w:rPr>
        <w:t>, 8(1), pp. 1–10. Available at: https://doi.org/10.1186/s40942-022-00390-4.</w:t>
      </w:r>
    </w:p>
    <w:p w14:paraId="5E8D8103" w14:textId="77777777" w:rsidR="00A224E3" w:rsidRPr="00CC6F51" w:rsidRDefault="00A224E3" w:rsidP="00CC6F51">
      <w:pPr>
        <w:pStyle w:val="ListParagraph"/>
        <w:numPr>
          <w:ilvl w:val="0"/>
          <w:numId w:val="31"/>
        </w:numPr>
        <w:autoSpaceDE w:val="0"/>
        <w:autoSpaceDN w:val="0"/>
        <w:adjustRightInd w:val="0"/>
        <w:jc w:val="both"/>
        <w:rPr>
          <w:rFonts w:ascii="Arial" w:hAnsi="Arial" w:cs="Arial"/>
          <w:bCs/>
        </w:rPr>
      </w:pPr>
      <w:r w:rsidRPr="00CC6F51">
        <w:rPr>
          <w:rFonts w:ascii="Arial" w:hAnsi="Arial" w:cs="Arial"/>
          <w:bCs/>
        </w:rPr>
        <w:t xml:space="preserve">Poshtchaman, F. </w:t>
      </w:r>
      <w:r w:rsidRPr="00CC6F51">
        <w:rPr>
          <w:rFonts w:ascii="Arial" w:hAnsi="Arial" w:cs="Arial"/>
          <w:bCs/>
          <w:i/>
          <w:iCs/>
        </w:rPr>
        <w:t>et al.</w:t>
      </w:r>
      <w:r w:rsidRPr="00CC6F51">
        <w:rPr>
          <w:rFonts w:ascii="Arial" w:hAnsi="Arial" w:cs="Arial"/>
          <w:bCs/>
        </w:rPr>
        <w:t xml:space="preserve"> (2023) ‘, proliferative and non-proliferative retinopathy in diabetic patientHbA1Cs’, </w:t>
      </w:r>
      <w:r w:rsidRPr="00CC6F51">
        <w:rPr>
          <w:rFonts w:ascii="Arial" w:hAnsi="Arial" w:cs="Arial"/>
          <w:bCs/>
          <w:i/>
          <w:iCs/>
        </w:rPr>
        <w:t>Medicina Clinica Practica</w:t>
      </w:r>
      <w:r w:rsidRPr="00CC6F51">
        <w:rPr>
          <w:rFonts w:ascii="Arial" w:hAnsi="Arial" w:cs="Arial"/>
          <w:bCs/>
        </w:rPr>
        <w:t>, 6(3). Available at: https://doi.org/10.1016/j.mcpsp.2023.100371.</w:t>
      </w:r>
    </w:p>
    <w:p w14:paraId="759B2C8C" w14:textId="77777777" w:rsidR="00A224E3" w:rsidRPr="00CC6F51" w:rsidRDefault="00A224E3" w:rsidP="00CC6F51">
      <w:pPr>
        <w:pStyle w:val="ListParagraph"/>
        <w:numPr>
          <w:ilvl w:val="0"/>
          <w:numId w:val="31"/>
        </w:numPr>
        <w:autoSpaceDE w:val="0"/>
        <w:autoSpaceDN w:val="0"/>
        <w:adjustRightInd w:val="0"/>
        <w:jc w:val="both"/>
        <w:rPr>
          <w:rFonts w:ascii="Arial" w:hAnsi="Arial" w:cs="Arial"/>
          <w:bCs/>
        </w:rPr>
      </w:pPr>
      <w:r w:rsidRPr="00CC6F51">
        <w:rPr>
          <w:rFonts w:ascii="Arial" w:hAnsi="Arial" w:cs="Arial"/>
          <w:bCs/>
        </w:rPr>
        <w:t xml:space="preserve">Saproo, N. and Singh, R. (2017) ‘Study of serum magnesium levels in diabetes mellitus and its correlation with complications (retinopathy and HbA1c) a cross-sectional study of one year’, </w:t>
      </w:r>
      <w:r w:rsidRPr="00CC6F51">
        <w:rPr>
          <w:rFonts w:ascii="Arial" w:hAnsi="Arial" w:cs="Arial"/>
          <w:bCs/>
          <w:i/>
          <w:iCs/>
        </w:rPr>
        <w:t>International Journal of Advances in Medicine</w:t>
      </w:r>
      <w:r w:rsidRPr="00CC6F51">
        <w:rPr>
          <w:rFonts w:ascii="Arial" w:hAnsi="Arial" w:cs="Arial"/>
          <w:bCs/>
        </w:rPr>
        <w:t>, 4(1), p. 263. Available at: https://doi.org/10.18203/2349-3933.ijam20170123.</w:t>
      </w:r>
    </w:p>
    <w:p w14:paraId="5D08FC9B" w14:textId="77777777" w:rsidR="00A224E3" w:rsidRPr="00CC6F51" w:rsidRDefault="00A224E3" w:rsidP="00CC6F51">
      <w:pPr>
        <w:pStyle w:val="ListParagraph"/>
        <w:numPr>
          <w:ilvl w:val="0"/>
          <w:numId w:val="31"/>
        </w:numPr>
        <w:autoSpaceDE w:val="0"/>
        <w:autoSpaceDN w:val="0"/>
        <w:adjustRightInd w:val="0"/>
        <w:jc w:val="both"/>
        <w:rPr>
          <w:rFonts w:ascii="Arial" w:hAnsi="Arial" w:cs="Arial"/>
          <w:bCs/>
        </w:rPr>
      </w:pPr>
      <w:r w:rsidRPr="00CC6F51">
        <w:rPr>
          <w:rFonts w:ascii="Arial" w:hAnsi="Arial" w:cs="Arial"/>
          <w:bCs/>
        </w:rPr>
        <w:t xml:space="preserve">Shivakumar, K. </w:t>
      </w:r>
      <w:r w:rsidRPr="00CC6F51">
        <w:rPr>
          <w:rFonts w:ascii="Arial" w:hAnsi="Arial" w:cs="Arial"/>
          <w:bCs/>
          <w:i/>
          <w:iCs/>
        </w:rPr>
        <w:t>et al.</w:t>
      </w:r>
      <w:r w:rsidRPr="00CC6F51">
        <w:rPr>
          <w:rFonts w:ascii="Arial" w:hAnsi="Arial" w:cs="Arial"/>
          <w:bCs/>
        </w:rPr>
        <w:t xml:space="preserve"> (2021) ‘Serum magnesium in diabetic retinopathy: the association needs investigation’, </w:t>
      </w:r>
      <w:r w:rsidRPr="00CC6F51">
        <w:rPr>
          <w:rFonts w:ascii="Arial" w:hAnsi="Arial" w:cs="Arial"/>
          <w:bCs/>
          <w:i/>
          <w:iCs/>
        </w:rPr>
        <w:t>Therapeutic Advances in Ophthalmology</w:t>
      </w:r>
      <w:r w:rsidRPr="00CC6F51">
        <w:rPr>
          <w:rFonts w:ascii="Arial" w:hAnsi="Arial" w:cs="Arial"/>
          <w:bCs/>
        </w:rPr>
        <w:t>, 13. Available at: https://doi.org/10.1177/25158414211056385.</w:t>
      </w:r>
    </w:p>
    <w:p w14:paraId="3CCFA8FD" w14:textId="77777777" w:rsidR="00A224E3" w:rsidRPr="00CC6F51" w:rsidRDefault="00A224E3" w:rsidP="00CC6F51">
      <w:pPr>
        <w:pStyle w:val="ListParagraph"/>
        <w:numPr>
          <w:ilvl w:val="0"/>
          <w:numId w:val="31"/>
        </w:numPr>
        <w:autoSpaceDE w:val="0"/>
        <w:autoSpaceDN w:val="0"/>
        <w:adjustRightInd w:val="0"/>
        <w:jc w:val="both"/>
        <w:rPr>
          <w:rFonts w:ascii="Arial" w:hAnsi="Arial" w:cs="Arial"/>
          <w:bCs/>
        </w:rPr>
      </w:pPr>
      <w:r w:rsidRPr="00CC6F51">
        <w:rPr>
          <w:rFonts w:ascii="Arial" w:hAnsi="Arial" w:cs="Arial"/>
          <w:bCs/>
        </w:rPr>
        <w:t xml:space="preserve">Wahid, A. </w:t>
      </w:r>
      <w:r w:rsidRPr="00CC6F51">
        <w:rPr>
          <w:rFonts w:ascii="Arial" w:hAnsi="Arial" w:cs="Arial"/>
          <w:bCs/>
          <w:i/>
          <w:iCs/>
        </w:rPr>
        <w:t>et al.</w:t>
      </w:r>
      <w:r w:rsidRPr="00CC6F51">
        <w:rPr>
          <w:rFonts w:ascii="Arial" w:hAnsi="Arial" w:cs="Arial"/>
          <w:bCs/>
        </w:rPr>
        <w:t xml:space="preserve"> (2017) ‘Study of serum magnesium level in patients with type 2 diabetes mellitus and it’s correlation with glycosylated hemoglobin and diabetic complications’, </w:t>
      </w:r>
      <w:r w:rsidRPr="00CC6F51">
        <w:rPr>
          <w:rFonts w:ascii="Arial" w:hAnsi="Arial" w:cs="Arial"/>
          <w:bCs/>
          <w:i/>
          <w:iCs/>
        </w:rPr>
        <w:t>International Journal of Advances in Medicine</w:t>
      </w:r>
      <w:r w:rsidRPr="00CC6F51">
        <w:rPr>
          <w:rFonts w:ascii="Arial" w:hAnsi="Arial" w:cs="Arial"/>
          <w:bCs/>
        </w:rPr>
        <w:t>, 4(2), p. 311. Available at: https://doi.org/10.18203/2349-3933.ijam20170614.</w:t>
      </w:r>
    </w:p>
    <w:p w14:paraId="0592D438" w14:textId="77777777" w:rsidR="00A224E3" w:rsidRPr="00CC6F51" w:rsidRDefault="00A224E3" w:rsidP="00CC6F51">
      <w:pPr>
        <w:pStyle w:val="ListParagraph"/>
        <w:numPr>
          <w:ilvl w:val="0"/>
          <w:numId w:val="31"/>
        </w:numPr>
        <w:autoSpaceDE w:val="0"/>
        <w:autoSpaceDN w:val="0"/>
        <w:adjustRightInd w:val="0"/>
        <w:jc w:val="both"/>
        <w:rPr>
          <w:rFonts w:ascii="Arial" w:hAnsi="Arial" w:cs="Arial"/>
          <w:bCs/>
        </w:rPr>
      </w:pPr>
      <w:r w:rsidRPr="00CC6F51">
        <w:rPr>
          <w:rFonts w:ascii="Arial" w:hAnsi="Arial" w:cs="Arial"/>
          <w:bCs/>
        </w:rPr>
        <w:t xml:space="preserve">Xiang, X. </w:t>
      </w:r>
      <w:r w:rsidRPr="00CC6F51">
        <w:rPr>
          <w:rFonts w:ascii="Arial" w:hAnsi="Arial" w:cs="Arial"/>
          <w:bCs/>
          <w:i/>
          <w:iCs/>
        </w:rPr>
        <w:t>et al.</w:t>
      </w:r>
      <w:r w:rsidRPr="00CC6F51">
        <w:rPr>
          <w:rFonts w:ascii="Arial" w:hAnsi="Arial" w:cs="Arial"/>
          <w:bCs/>
        </w:rPr>
        <w:t xml:space="preserve"> (2022) ‘Reduced serum magnesium is associated with the occurrence of diabetic macular edema in patients with diabetic retinopathy: A retrospective study’, </w:t>
      </w:r>
      <w:r w:rsidRPr="00CC6F51">
        <w:rPr>
          <w:rFonts w:ascii="Arial" w:hAnsi="Arial" w:cs="Arial"/>
          <w:bCs/>
          <w:i/>
          <w:iCs/>
        </w:rPr>
        <w:t>Frontiers in Medicine</w:t>
      </w:r>
      <w:r w:rsidRPr="00CC6F51">
        <w:rPr>
          <w:rFonts w:ascii="Arial" w:hAnsi="Arial" w:cs="Arial"/>
          <w:bCs/>
        </w:rPr>
        <w:t>, 9. Available at: https://doi.org/10.3389/fmed.2022.923282.</w:t>
      </w:r>
    </w:p>
    <w:p w14:paraId="6CE427CE" w14:textId="77777777" w:rsidR="00A224E3" w:rsidRPr="00CC6F51" w:rsidRDefault="00A224E3" w:rsidP="00CC6F51">
      <w:pPr>
        <w:pStyle w:val="ListParagraph"/>
        <w:numPr>
          <w:ilvl w:val="0"/>
          <w:numId w:val="31"/>
        </w:numPr>
        <w:autoSpaceDE w:val="0"/>
        <w:autoSpaceDN w:val="0"/>
        <w:adjustRightInd w:val="0"/>
        <w:jc w:val="both"/>
        <w:rPr>
          <w:rFonts w:ascii="Arial" w:hAnsi="Arial" w:cs="Arial"/>
          <w:bCs/>
        </w:rPr>
      </w:pPr>
      <w:r w:rsidRPr="00CC6F51">
        <w:rPr>
          <w:rFonts w:ascii="Arial" w:hAnsi="Arial" w:cs="Arial"/>
          <w:bCs/>
        </w:rPr>
        <w:t xml:space="preserve">Yang, Z. </w:t>
      </w:r>
      <w:r w:rsidRPr="00CC6F51">
        <w:rPr>
          <w:rFonts w:ascii="Arial" w:hAnsi="Arial" w:cs="Arial"/>
          <w:bCs/>
          <w:i/>
          <w:iCs/>
        </w:rPr>
        <w:t>et al.</w:t>
      </w:r>
      <w:r w:rsidRPr="00CC6F51">
        <w:rPr>
          <w:rFonts w:ascii="Arial" w:hAnsi="Arial" w:cs="Arial"/>
          <w:bCs/>
        </w:rPr>
        <w:t xml:space="preserve"> (2022) ‘Classification of diabetic retinopathy: Past, present and future’, </w:t>
      </w:r>
      <w:r w:rsidRPr="00CC6F51">
        <w:rPr>
          <w:rFonts w:ascii="Arial" w:hAnsi="Arial" w:cs="Arial"/>
          <w:bCs/>
          <w:i/>
          <w:iCs/>
        </w:rPr>
        <w:t>Frontiers in Endocrinology</w:t>
      </w:r>
      <w:r w:rsidRPr="00CC6F51">
        <w:rPr>
          <w:rFonts w:ascii="Arial" w:hAnsi="Arial" w:cs="Arial"/>
          <w:bCs/>
        </w:rPr>
        <w:t>. Frontiers Media S.A. Available at: https://doi.org/10.3389/fendo.2022.1079217.</w:t>
      </w:r>
    </w:p>
    <w:p w14:paraId="07D80446" w14:textId="77777777" w:rsidR="00A224E3" w:rsidRDefault="00A224E3" w:rsidP="00A224E3">
      <w:pPr>
        <w:autoSpaceDE w:val="0"/>
        <w:autoSpaceDN w:val="0"/>
        <w:adjustRightInd w:val="0"/>
        <w:jc w:val="both"/>
        <w:rPr>
          <w:rFonts w:ascii="Arial" w:hAnsi="Arial" w:cs="Arial"/>
          <w:bCs/>
          <w:sz w:val="22"/>
          <w:szCs w:val="22"/>
        </w:rPr>
      </w:pPr>
    </w:p>
    <w:p w14:paraId="05289D6B" w14:textId="77777777" w:rsidR="00A224E3" w:rsidRPr="00A224E3" w:rsidRDefault="00A224E3" w:rsidP="00A224E3">
      <w:pPr>
        <w:autoSpaceDE w:val="0"/>
        <w:autoSpaceDN w:val="0"/>
        <w:adjustRightInd w:val="0"/>
        <w:jc w:val="both"/>
        <w:rPr>
          <w:rFonts w:ascii="Arial" w:hAnsi="Arial" w:cs="Arial"/>
          <w:bCs/>
          <w:sz w:val="22"/>
          <w:szCs w:val="22"/>
        </w:rPr>
      </w:pPr>
    </w:p>
    <w:p w14:paraId="022BB6E4" w14:textId="77777777" w:rsidR="00A224E3" w:rsidRPr="00A224E3" w:rsidRDefault="00A224E3" w:rsidP="00A224E3">
      <w:pPr>
        <w:autoSpaceDE w:val="0"/>
        <w:autoSpaceDN w:val="0"/>
        <w:adjustRightInd w:val="0"/>
        <w:jc w:val="both"/>
        <w:rPr>
          <w:rFonts w:ascii="Arial" w:hAnsi="Arial" w:cs="Arial"/>
          <w:bCs/>
          <w:sz w:val="22"/>
          <w:szCs w:val="22"/>
        </w:rPr>
      </w:pPr>
      <w:r w:rsidRPr="00A224E3">
        <w:rPr>
          <w:rFonts w:ascii="Arial" w:hAnsi="Arial" w:cs="Arial"/>
          <w:bCs/>
          <w:sz w:val="22"/>
          <w:szCs w:val="22"/>
        </w:rPr>
        <w:fldChar w:fldCharType="end"/>
      </w:r>
    </w:p>
    <w:p w14:paraId="6213F1F6" w14:textId="77777777" w:rsidR="00A224E3" w:rsidRPr="00A224E3" w:rsidRDefault="00A224E3" w:rsidP="00A224E3">
      <w:pPr>
        <w:autoSpaceDE w:val="0"/>
        <w:autoSpaceDN w:val="0"/>
        <w:adjustRightInd w:val="0"/>
        <w:jc w:val="both"/>
        <w:rPr>
          <w:rFonts w:ascii="Arial" w:hAnsi="Arial" w:cs="Arial"/>
          <w:bCs/>
          <w:sz w:val="22"/>
          <w:szCs w:val="22"/>
        </w:rPr>
      </w:pPr>
    </w:p>
    <w:p w14:paraId="32365FDC" w14:textId="77777777" w:rsidR="000246E3" w:rsidRDefault="000246E3" w:rsidP="006A1671">
      <w:pPr>
        <w:autoSpaceDE w:val="0"/>
        <w:autoSpaceDN w:val="0"/>
        <w:adjustRightInd w:val="0"/>
        <w:jc w:val="both"/>
        <w:rPr>
          <w:rFonts w:ascii="Arial" w:hAnsi="Arial" w:cs="Arial"/>
          <w:bCs/>
          <w:sz w:val="22"/>
          <w:szCs w:val="22"/>
        </w:rPr>
      </w:pPr>
    </w:p>
    <w:p w14:paraId="6B083E35" w14:textId="77777777" w:rsidR="000246E3" w:rsidRDefault="000246E3" w:rsidP="006A1671">
      <w:pPr>
        <w:autoSpaceDE w:val="0"/>
        <w:autoSpaceDN w:val="0"/>
        <w:adjustRightInd w:val="0"/>
        <w:jc w:val="both"/>
        <w:rPr>
          <w:rFonts w:ascii="Arial" w:hAnsi="Arial" w:cs="Arial"/>
          <w:bCs/>
          <w:sz w:val="22"/>
          <w:szCs w:val="22"/>
        </w:rPr>
      </w:pPr>
    </w:p>
    <w:p w14:paraId="36475571" w14:textId="77777777" w:rsidR="000246E3" w:rsidRPr="000246E3" w:rsidRDefault="000246E3" w:rsidP="006A1671">
      <w:pPr>
        <w:autoSpaceDE w:val="0"/>
        <w:autoSpaceDN w:val="0"/>
        <w:adjustRightInd w:val="0"/>
        <w:jc w:val="both"/>
        <w:rPr>
          <w:rFonts w:ascii="Arial" w:hAnsi="Arial" w:cs="Arial"/>
          <w:bCs/>
          <w:sz w:val="22"/>
          <w:szCs w:val="22"/>
        </w:rPr>
      </w:pPr>
    </w:p>
    <w:p w14:paraId="69A58FF6" w14:textId="77777777" w:rsidR="006A1671" w:rsidRDefault="006A1671" w:rsidP="00441B6F">
      <w:pPr>
        <w:autoSpaceDE w:val="0"/>
        <w:autoSpaceDN w:val="0"/>
        <w:adjustRightInd w:val="0"/>
        <w:jc w:val="both"/>
        <w:rPr>
          <w:rFonts w:ascii="Arial" w:hAnsi="Arial" w:cs="Arial"/>
          <w:b/>
          <w:bCs/>
          <w:szCs w:val="22"/>
        </w:rPr>
      </w:pPr>
    </w:p>
    <w:p w14:paraId="0F90CE40" w14:textId="77777777" w:rsidR="005C784C" w:rsidRDefault="005C784C" w:rsidP="00441B6F">
      <w:pPr>
        <w:pStyle w:val="ReferHead"/>
        <w:spacing w:after="0"/>
        <w:jc w:val="both"/>
        <w:rPr>
          <w:rFonts w:ascii="Arial" w:hAnsi="Arial" w:cs="Arial"/>
          <w:b w:val="0"/>
          <w:caps w:val="0"/>
          <w:sz w:val="20"/>
        </w:rPr>
      </w:pPr>
    </w:p>
    <w:p w14:paraId="414526B8" w14:textId="77777777" w:rsidR="00B01FCD" w:rsidRPr="00FB3A86" w:rsidRDefault="00B01FCD" w:rsidP="00441B6F">
      <w:pPr>
        <w:pStyle w:val="Appendix"/>
        <w:spacing w:after="0"/>
        <w:jc w:val="both"/>
        <w:rPr>
          <w:rFonts w:ascii="Arial" w:hAnsi="Arial" w:cs="Arial"/>
          <w:b w:val="0"/>
        </w:rPr>
      </w:pPr>
    </w:p>
    <w:sectPr w:rsidR="00B01FCD" w:rsidRPr="00FB3A86" w:rsidSect="00B50572">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E8288" w14:textId="77777777" w:rsidR="0077393B" w:rsidRDefault="0077393B" w:rsidP="00C37E61">
      <w:r>
        <w:separator/>
      </w:r>
    </w:p>
  </w:endnote>
  <w:endnote w:type="continuationSeparator" w:id="0">
    <w:p w14:paraId="4732A265" w14:textId="77777777" w:rsidR="0077393B" w:rsidRDefault="0077393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A43C0" w14:textId="77777777" w:rsidR="00B50572" w:rsidRDefault="00B505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30B80" w14:textId="77777777" w:rsidR="00B50572" w:rsidRDefault="00B505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F3317" w14:textId="0E1932CA" w:rsidR="009A221B" w:rsidRPr="00B50572" w:rsidRDefault="009A221B" w:rsidP="00B505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E013D" w14:textId="77777777" w:rsidR="009A221B" w:rsidRPr="00C37E61" w:rsidRDefault="009A221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B9289" w14:textId="77777777" w:rsidR="0077393B" w:rsidRDefault="0077393B" w:rsidP="00C37E61">
      <w:r>
        <w:separator/>
      </w:r>
    </w:p>
  </w:footnote>
  <w:footnote w:type="continuationSeparator" w:id="0">
    <w:p w14:paraId="08829C27" w14:textId="77777777" w:rsidR="0077393B" w:rsidRDefault="0077393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95383" w14:textId="5E8E8EB5" w:rsidR="00B50572" w:rsidRDefault="0077393B">
    <w:pPr>
      <w:pStyle w:val="Header"/>
    </w:pPr>
    <w:r>
      <w:rPr>
        <w:noProof/>
      </w:rPr>
      <w:pict w14:anchorId="7C6F8D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0AD44" w14:textId="0EB82BB4" w:rsidR="00B50572" w:rsidRDefault="0077393B">
    <w:pPr>
      <w:pStyle w:val="Header"/>
    </w:pPr>
    <w:r>
      <w:rPr>
        <w:noProof/>
      </w:rPr>
      <w:pict w14:anchorId="15C3AC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7E133" w14:textId="0EADE2F0" w:rsidR="009A221B" w:rsidRPr="00296529" w:rsidRDefault="0077393B" w:rsidP="00296529">
    <w:pPr>
      <w:ind w:left="2160"/>
      <w:jc w:val="center"/>
      <w:rPr>
        <w:rFonts w:ascii="Times New Roman" w:eastAsia="Calibri" w:hAnsi="Times New Roman"/>
        <w:i/>
        <w:sz w:val="18"/>
        <w:szCs w:val="22"/>
      </w:rPr>
    </w:pPr>
    <w:r>
      <w:rPr>
        <w:noProof/>
      </w:rPr>
      <w:pict w14:anchorId="360C3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0D757D8" w14:textId="77777777" w:rsidR="009A221B" w:rsidRPr="00296529" w:rsidRDefault="009A221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051A5C1" w14:textId="77777777" w:rsidR="009A221B" w:rsidRPr="00296529" w:rsidRDefault="009A221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509E00" w14:textId="77777777" w:rsidR="009A221B" w:rsidRPr="00296529" w:rsidRDefault="009A221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CA4B60" w14:textId="77777777" w:rsidR="009A221B" w:rsidRDefault="009A221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DBA98DD" w14:textId="77777777" w:rsidR="009A221B" w:rsidRDefault="009A221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A871AD8" w14:textId="77777777" w:rsidR="009A221B" w:rsidRDefault="009A221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3C573" w14:textId="4D492A5B" w:rsidR="00B50572" w:rsidRDefault="0077393B">
    <w:pPr>
      <w:pStyle w:val="Header"/>
    </w:pPr>
    <w:r>
      <w:rPr>
        <w:noProof/>
      </w:rPr>
      <w:pict w14:anchorId="0966F1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FFE69" w14:textId="2B2D90D0" w:rsidR="00B50572" w:rsidRDefault="0077393B">
    <w:pPr>
      <w:pStyle w:val="Header"/>
    </w:pPr>
    <w:r>
      <w:rPr>
        <w:noProof/>
      </w:rPr>
      <w:pict w14:anchorId="3C47D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3954" w14:textId="058465F2" w:rsidR="00B50572" w:rsidRDefault="0077393B">
    <w:pPr>
      <w:pStyle w:val="Header"/>
    </w:pPr>
    <w:r>
      <w:rPr>
        <w:noProof/>
      </w:rPr>
      <w:pict w14:anchorId="370994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085C4B"/>
    <w:multiLevelType w:val="hybridMultilevel"/>
    <w:tmpl w:val="CAD265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46E3"/>
    <w:rsid w:val="00030174"/>
    <w:rsid w:val="0004579C"/>
    <w:rsid w:val="00083AB8"/>
    <w:rsid w:val="000A47FA"/>
    <w:rsid w:val="000A65D3"/>
    <w:rsid w:val="000B1E33"/>
    <w:rsid w:val="000C698F"/>
    <w:rsid w:val="000D689F"/>
    <w:rsid w:val="000E7B7B"/>
    <w:rsid w:val="000E7D62"/>
    <w:rsid w:val="00103357"/>
    <w:rsid w:val="001121F0"/>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309D"/>
    <w:rsid w:val="00240D6A"/>
    <w:rsid w:val="0024282C"/>
    <w:rsid w:val="002460DC"/>
    <w:rsid w:val="00250985"/>
    <w:rsid w:val="002556F6"/>
    <w:rsid w:val="00283105"/>
    <w:rsid w:val="00284C4C"/>
    <w:rsid w:val="00287E68"/>
    <w:rsid w:val="00296529"/>
    <w:rsid w:val="002B27FB"/>
    <w:rsid w:val="002B2912"/>
    <w:rsid w:val="002B395B"/>
    <w:rsid w:val="002B685A"/>
    <w:rsid w:val="002C57D2"/>
    <w:rsid w:val="002E0D56"/>
    <w:rsid w:val="00315186"/>
    <w:rsid w:val="0033343E"/>
    <w:rsid w:val="00345807"/>
    <w:rsid w:val="0034628C"/>
    <w:rsid w:val="003512C2"/>
    <w:rsid w:val="00367FC1"/>
    <w:rsid w:val="00371FB6"/>
    <w:rsid w:val="003763C1"/>
    <w:rsid w:val="00376951"/>
    <w:rsid w:val="00376BBE"/>
    <w:rsid w:val="0039224F"/>
    <w:rsid w:val="003A43A4"/>
    <w:rsid w:val="003A7E18"/>
    <w:rsid w:val="003C4C86"/>
    <w:rsid w:val="003C6258"/>
    <w:rsid w:val="003D161E"/>
    <w:rsid w:val="003E2904"/>
    <w:rsid w:val="00401927"/>
    <w:rsid w:val="0041027F"/>
    <w:rsid w:val="0041106D"/>
    <w:rsid w:val="00412475"/>
    <w:rsid w:val="00423789"/>
    <w:rsid w:val="0042683B"/>
    <w:rsid w:val="0042780B"/>
    <w:rsid w:val="00440F43"/>
    <w:rsid w:val="00441B6F"/>
    <w:rsid w:val="00446221"/>
    <w:rsid w:val="00450E62"/>
    <w:rsid w:val="004539DB"/>
    <w:rsid w:val="0046694A"/>
    <w:rsid w:val="004677D8"/>
    <w:rsid w:val="00471A80"/>
    <w:rsid w:val="0049178D"/>
    <w:rsid w:val="004A69B6"/>
    <w:rsid w:val="004C62C6"/>
    <w:rsid w:val="004D305E"/>
    <w:rsid w:val="004D4277"/>
    <w:rsid w:val="004E63CC"/>
    <w:rsid w:val="00502516"/>
    <w:rsid w:val="00505F06"/>
    <w:rsid w:val="00506828"/>
    <w:rsid w:val="00526A9E"/>
    <w:rsid w:val="0053056E"/>
    <w:rsid w:val="00554FDA"/>
    <w:rsid w:val="0058731E"/>
    <w:rsid w:val="005C784C"/>
    <w:rsid w:val="005D17F6"/>
    <w:rsid w:val="005E5539"/>
    <w:rsid w:val="005F0914"/>
    <w:rsid w:val="00602BF5"/>
    <w:rsid w:val="00617FDD"/>
    <w:rsid w:val="00633614"/>
    <w:rsid w:val="00633F68"/>
    <w:rsid w:val="00636EB2"/>
    <w:rsid w:val="006375B8"/>
    <w:rsid w:val="0066510A"/>
    <w:rsid w:val="00667429"/>
    <w:rsid w:val="00673F9F"/>
    <w:rsid w:val="00686953"/>
    <w:rsid w:val="00687DEA"/>
    <w:rsid w:val="00687E67"/>
    <w:rsid w:val="006967F7"/>
    <w:rsid w:val="006A1671"/>
    <w:rsid w:val="006A250C"/>
    <w:rsid w:val="006B21D3"/>
    <w:rsid w:val="006B57D0"/>
    <w:rsid w:val="006D30FF"/>
    <w:rsid w:val="006D6940"/>
    <w:rsid w:val="006F11EC"/>
    <w:rsid w:val="0070082C"/>
    <w:rsid w:val="007369E6"/>
    <w:rsid w:val="00746E59"/>
    <w:rsid w:val="007471E5"/>
    <w:rsid w:val="00750C8D"/>
    <w:rsid w:val="00751078"/>
    <w:rsid w:val="00754C9A"/>
    <w:rsid w:val="0075599A"/>
    <w:rsid w:val="00761D52"/>
    <w:rsid w:val="0077393B"/>
    <w:rsid w:val="0077749E"/>
    <w:rsid w:val="00782152"/>
    <w:rsid w:val="00790ADA"/>
    <w:rsid w:val="007B2AEE"/>
    <w:rsid w:val="007D2288"/>
    <w:rsid w:val="007E088F"/>
    <w:rsid w:val="007F7B32"/>
    <w:rsid w:val="00804BC2"/>
    <w:rsid w:val="0081431A"/>
    <w:rsid w:val="0083216F"/>
    <w:rsid w:val="0084784D"/>
    <w:rsid w:val="00856BC6"/>
    <w:rsid w:val="00860000"/>
    <w:rsid w:val="00863BD3"/>
    <w:rsid w:val="008641ED"/>
    <w:rsid w:val="00866D66"/>
    <w:rsid w:val="008671C6"/>
    <w:rsid w:val="0087036C"/>
    <w:rsid w:val="00875803"/>
    <w:rsid w:val="00877CA7"/>
    <w:rsid w:val="008974F7"/>
    <w:rsid w:val="008B459E"/>
    <w:rsid w:val="008E13AE"/>
    <w:rsid w:val="008E1506"/>
    <w:rsid w:val="008E710C"/>
    <w:rsid w:val="008F69D6"/>
    <w:rsid w:val="00902823"/>
    <w:rsid w:val="00915CA6"/>
    <w:rsid w:val="00926DAB"/>
    <w:rsid w:val="00927834"/>
    <w:rsid w:val="009500A6"/>
    <w:rsid w:val="00957C18"/>
    <w:rsid w:val="009659BA"/>
    <w:rsid w:val="00983040"/>
    <w:rsid w:val="009A221B"/>
    <w:rsid w:val="009B3FB9"/>
    <w:rsid w:val="009C2465"/>
    <w:rsid w:val="009C5DFA"/>
    <w:rsid w:val="009D35A0"/>
    <w:rsid w:val="009D7EB7"/>
    <w:rsid w:val="009E048A"/>
    <w:rsid w:val="009E08E9"/>
    <w:rsid w:val="009E3DB9"/>
    <w:rsid w:val="009E6E35"/>
    <w:rsid w:val="009F0EDA"/>
    <w:rsid w:val="00A03B96"/>
    <w:rsid w:val="00A05B19"/>
    <w:rsid w:val="00A1134E"/>
    <w:rsid w:val="00A16A84"/>
    <w:rsid w:val="00A224E3"/>
    <w:rsid w:val="00A24E7E"/>
    <w:rsid w:val="00A258C3"/>
    <w:rsid w:val="00A347C0"/>
    <w:rsid w:val="00A51431"/>
    <w:rsid w:val="00A539AD"/>
    <w:rsid w:val="00A94063"/>
    <w:rsid w:val="00AA6219"/>
    <w:rsid w:val="00AA74E0"/>
    <w:rsid w:val="00AB703F"/>
    <w:rsid w:val="00AC6BB8"/>
    <w:rsid w:val="00AE008F"/>
    <w:rsid w:val="00B01FCD"/>
    <w:rsid w:val="00B1776C"/>
    <w:rsid w:val="00B50572"/>
    <w:rsid w:val="00B52583"/>
    <w:rsid w:val="00B52896"/>
    <w:rsid w:val="00B927F9"/>
    <w:rsid w:val="00B95236"/>
    <w:rsid w:val="00B96BD9"/>
    <w:rsid w:val="00BA1B01"/>
    <w:rsid w:val="00BA2641"/>
    <w:rsid w:val="00BB37AA"/>
    <w:rsid w:val="00BC53A0"/>
    <w:rsid w:val="00BD15E9"/>
    <w:rsid w:val="00BE62AD"/>
    <w:rsid w:val="00BF121F"/>
    <w:rsid w:val="00BF1F80"/>
    <w:rsid w:val="00C166EF"/>
    <w:rsid w:val="00C17EB0"/>
    <w:rsid w:val="00C23A78"/>
    <w:rsid w:val="00C27F5F"/>
    <w:rsid w:val="00C30A0F"/>
    <w:rsid w:val="00C37E61"/>
    <w:rsid w:val="00C4715F"/>
    <w:rsid w:val="00C70F1B"/>
    <w:rsid w:val="00C71A47"/>
    <w:rsid w:val="00C7464C"/>
    <w:rsid w:val="00C85588"/>
    <w:rsid w:val="00CC6F51"/>
    <w:rsid w:val="00CD6755"/>
    <w:rsid w:val="00CD6856"/>
    <w:rsid w:val="00CE0089"/>
    <w:rsid w:val="00CE793C"/>
    <w:rsid w:val="00CF193C"/>
    <w:rsid w:val="00D173F1"/>
    <w:rsid w:val="00D61A35"/>
    <w:rsid w:val="00D67D63"/>
    <w:rsid w:val="00D74CB0"/>
    <w:rsid w:val="00D8295D"/>
    <w:rsid w:val="00D82EA8"/>
    <w:rsid w:val="00D971FD"/>
    <w:rsid w:val="00DC2A65"/>
    <w:rsid w:val="00DC4EC1"/>
    <w:rsid w:val="00DD762A"/>
    <w:rsid w:val="00DE15F0"/>
    <w:rsid w:val="00DE5663"/>
    <w:rsid w:val="00DE78AA"/>
    <w:rsid w:val="00E053D0"/>
    <w:rsid w:val="00E15994"/>
    <w:rsid w:val="00E22C90"/>
    <w:rsid w:val="00E3114E"/>
    <w:rsid w:val="00E31A70"/>
    <w:rsid w:val="00E35B02"/>
    <w:rsid w:val="00E66496"/>
    <w:rsid w:val="00E66B35"/>
    <w:rsid w:val="00E66E10"/>
    <w:rsid w:val="00E769F6"/>
    <w:rsid w:val="00E8407C"/>
    <w:rsid w:val="00E84F3C"/>
    <w:rsid w:val="00EA012C"/>
    <w:rsid w:val="00EC6A55"/>
    <w:rsid w:val="00ED0288"/>
    <w:rsid w:val="00ED0510"/>
    <w:rsid w:val="00EE52CB"/>
    <w:rsid w:val="00EF581D"/>
    <w:rsid w:val="00EF7FD8"/>
    <w:rsid w:val="00F06F59"/>
    <w:rsid w:val="00F17988"/>
    <w:rsid w:val="00F469F0"/>
    <w:rsid w:val="00F53273"/>
    <w:rsid w:val="00F755E4"/>
    <w:rsid w:val="00F77D02"/>
    <w:rsid w:val="00F91884"/>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364D7A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67429"/>
    <w:pPr>
      <w:spacing w:after="160" w:line="259" w:lineRule="auto"/>
      <w:ind w:left="720"/>
      <w:contextualSpacing/>
    </w:pPr>
    <w:rPr>
      <w:rFonts w:asciiTheme="minorHAnsi" w:eastAsiaTheme="minorHAnsi" w:hAnsiTheme="minorHAnsi" w:cstheme="minorBidi"/>
      <w:sz w:val="22"/>
      <w:szCs w:val="22"/>
    </w:rPr>
  </w:style>
  <w:style w:type="character" w:customStyle="1" w:styleId="UnresolvedMention2">
    <w:name w:val="Unresolved Mention2"/>
    <w:basedOn w:val="DefaultParagraphFont"/>
    <w:uiPriority w:val="99"/>
    <w:semiHidden/>
    <w:unhideWhenUsed/>
    <w:rsid w:val="002B2912"/>
    <w:rPr>
      <w:color w:val="605E5C"/>
      <w:shd w:val="clear" w:color="auto" w:fill="E1DFDD"/>
    </w:rPr>
  </w:style>
  <w:style w:type="paragraph" w:styleId="NoSpacing">
    <w:name w:val="No Spacing"/>
    <w:uiPriority w:val="1"/>
    <w:qFormat/>
    <w:rsid w:val="004C62C6"/>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3A5E-44A8-B4E5-18ECB798E0F0}"/>
              </c:ext>
            </c:extLst>
          </c:dPt>
          <c:dPt>
            <c:idx val="1"/>
            <c:bubble3D val="0"/>
            <c:spPr>
              <a:solidFill>
                <a:schemeClr val="bg2">
                  <a:lumMod val="75000"/>
                </a:schemeClr>
              </a:solidFill>
              <a:ln>
                <a:noFill/>
              </a:ln>
              <a:effectLst/>
            </c:spPr>
            <c:extLst>
              <c:ext xmlns:c16="http://schemas.microsoft.com/office/drawing/2014/chart" uri="{C3380CC4-5D6E-409C-BE32-E72D297353CC}">
                <c16:uniqueId val="{00000003-3A5E-44A8-B4E5-18ECB798E0F0}"/>
              </c:ext>
            </c:extLst>
          </c:dPt>
          <c:dPt>
            <c:idx val="2"/>
            <c:bubble3D val="0"/>
            <c:spPr>
              <a:solidFill>
                <a:srgbClr val="FF0000"/>
              </a:solidFill>
              <a:ln>
                <a:noFill/>
              </a:ln>
              <a:effectLst/>
            </c:spPr>
            <c:extLst>
              <c:ext xmlns:c16="http://schemas.microsoft.com/office/drawing/2014/chart" uri="{C3380CC4-5D6E-409C-BE32-E72D297353CC}">
                <c16:uniqueId val="{00000005-3A5E-44A8-B4E5-18ECB798E0F0}"/>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SEVERITY!$B$2:$B$4</c:f>
              <c:strCache>
                <c:ptCount val="3"/>
                <c:pt idx="0">
                  <c:v>NDR</c:v>
                </c:pt>
                <c:pt idx="1">
                  <c:v>NPDR</c:v>
                </c:pt>
                <c:pt idx="2">
                  <c:v>PDR</c:v>
                </c:pt>
              </c:strCache>
            </c:strRef>
          </c:cat>
          <c:val>
            <c:numRef>
              <c:f>SEVERITY!$C$2:$C$4</c:f>
              <c:numCache>
                <c:formatCode>General</c:formatCode>
                <c:ptCount val="3"/>
                <c:pt idx="0">
                  <c:v>33.299999999999997</c:v>
                </c:pt>
                <c:pt idx="1">
                  <c:v>37.799999999999997</c:v>
                </c:pt>
                <c:pt idx="2">
                  <c:v>28.9</c:v>
                </c:pt>
              </c:numCache>
            </c:numRef>
          </c:val>
          <c:extLst>
            <c:ext xmlns:c16="http://schemas.microsoft.com/office/drawing/2014/chart" uri="{C3380CC4-5D6E-409C-BE32-E72D297353CC}">
              <c16:uniqueId val="{00000006-3A5E-44A8-B4E5-18ECB798E0F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BFC21-915B-4181-A3DB-D15C1AA9D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27301</TotalTime>
  <Pages>10</Pages>
  <Words>13394</Words>
  <Characters>76348</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89563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39</cp:revision>
  <cp:lastPrinted>1999-07-06T11:00:00Z</cp:lastPrinted>
  <dcterms:created xsi:type="dcterms:W3CDTF">2014-10-25T14:34:00Z</dcterms:created>
  <dcterms:modified xsi:type="dcterms:W3CDTF">2026-02-11T04:11:00Z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