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8B03C" w14:textId="77777777" w:rsidR="00D13786" w:rsidRDefault="00D13786">
      <w:pPr>
        <w:pBdr>
          <w:top w:val="nil"/>
          <w:left w:val="nil"/>
          <w:bottom w:val="nil"/>
          <w:right w:val="nil"/>
          <w:between w:val="nil"/>
        </w:pBdr>
        <w:jc w:val="right"/>
        <w:rPr>
          <w:rFonts w:ascii="Times New Roman" w:eastAsia="Times New Roman" w:hAnsi="Times New Roman" w:cs="Times New Roman"/>
          <w:b/>
          <w:sz w:val="24"/>
          <w:szCs w:val="24"/>
        </w:rPr>
      </w:pPr>
    </w:p>
    <w:p w14:paraId="01361E50" w14:textId="77777777" w:rsidR="00076391" w:rsidRDefault="00076391">
      <w:pPr>
        <w:pBdr>
          <w:top w:val="nil"/>
          <w:left w:val="nil"/>
          <w:bottom w:val="nil"/>
          <w:right w:val="nil"/>
          <w:between w:val="nil"/>
        </w:pBdr>
        <w:jc w:val="right"/>
        <w:rPr>
          <w:rFonts w:ascii="Times New Roman" w:eastAsia="Times New Roman" w:hAnsi="Times New Roman" w:cs="Times New Roman"/>
          <w:b/>
          <w:sz w:val="24"/>
          <w:szCs w:val="24"/>
        </w:rPr>
      </w:pPr>
    </w:p>
    <w:p w14:paraId="555363E7" w14:textId="7B2C7845" w:rsidR="00D13786" w:rsidRDefault="00D13786">
      <w:pPr>
        <w:pBdr>
          <w:top w:val="nil"/>
          <w:left w:val="nil"/>
          <w:bottom w:val="nil"/>
          <w:right w:val="nil"/>
          <w:between w:val="nil"/>
        </w:pBdr>
        <w:jc w:val="right"/>
        <w:rPr>
          <w:rFonts w:ascii="Times New Roman" w:eastAsia="Times New Roman" w:hAnsi="Times New Roman" w:cs="Times New Roman"/>
          <w:b/>
          <w:sz w:val="24"/>
          <w:szCs w:val="24"/>
        </w:rPr>
      </w:pPr>
    </w:p>
    <w:p w14:paraId="740EE9B9" w14:textId="4FD2D71E" w:rsidR="00D13786" w:rsidRDefault="00D13786">
      <w:pPr>
        <w:pBdr>
          <w:top w:val="nil"/>
          <w:left w:val="nil"/>
          <w:bottom w:val="nil"/>
          <w:right w:val="nil"/>
          <w:between w:val="nil"/>
        </w:pBdr>
        <w:jc w:val="right"/>
        <w:rPr>
          <w:rFonts w:ascii="Times New Roman" w:eastAsia="Times New Roman" w:hAnsi="Times New Roman" w:cs="Times New Roman"/>
          <w:b/>
          <w:sz w:val="24"/>
          <w:szCs w:val="24"/>
        </w:rPr>
      </w:pPr>
      <w:r w:rsidRPr="00D13786">
        <w:rPr>
          <w:rFonts w:ascii="Times New Roman" w:eastAsia="Times New Roman" w:hAnsi="Times New Roman" w:cs="Times New Roman"/>
          <w:b/>
          <w:sz w:val="24"/>
          <w:szCs w:val="24"/>
          <w:highlight w:val="yellow"/>
        </w:rPr>
        <w:t>Antimicrobial Resistance in Methicillin-Resistant Staphylococcus aureus (MRSA): A One Health Perspective Across Human, Animal, Plant</w:t>
      </w:r>
      <w:r w:rsidR="00196128">
        <w:rPr>
          <w:rFonts w:ascii="Times New Roman" w:eastAsia="Times New Roman" w:hAnsi="Times New Roman" w:cs="Times New Roman"/>
          <w:b/>
          <w:sz w:val="24"/>
          <w:szCs w:val="24"/>
          <w:highlight w:val="yellow"/>
        </w:rPr>
        <w:t xml:space="preserve"> </w:t>
      </w:r>
      <w:bookmarkStart w:id="0" w:name="_GoBack"/>
      <w:bookmarkEnd w:id="0"/>
      <w:r w:rsidRPr="00D13786">
        <w:rPr>
          <w:rFonts w:ascii="Times New Roman" w:eastAsia="Times New Roman" w:hAnsi="Times New Roman" w:cs="Times New Roman"/>
          <w:b/>
          <w:sz w:val="24"/>
          <w:szCs w:val="24"/>
          <w:highlight w:val="yellow"/>
        </w:rPr>
        <w:t>and Environmental Interfaces</w:t>
      </w:r>
    </w:p>
    <w:p w14:paraId="158295FC" w14:textId="77777777" w:rsidR="00C534FC" w:rsidRDefault="00C534FC">
      <w:pPr>
        <w:pBdr>
          <w:top w:val="nil"/>
          <w:left w:val="nil"/>
          <w:bottom w:val="nil"/>
          <w:right w:val="nil"/>
          <w:between w:val="nil"/>
        </w:pBdr>
        <w:jc w:val="right"/>
        <w:rPr>
          <w:rFonts w:ascii="Times New Roman" w:eastAsia="Times New Roman" w:hAnsi="Times New Roman" w:cs="Times New Roman"/>
          <w:b/>
          <w:sz w:val="24"/>
          <w:szCs w:val="24"/>
        </w:rPr>
      </w:pPr>
    </w:p>
    <w:p w14:paraId="4DC0A296" w14:textId="77777777" w:rsidR="00C534FC" w:rsidRDefault="00C534FC">
      <w:pPr>
        <w:pBdr>
          <w:top w:val="nil"/>
          <w:left w:val="nil"/>
          <w:bottom w:val="nil"/>
          <w:right w:val="nil"/>
          <w:between w:val="nil"/>
        </w:pBdr>
        <w:jc w:val="both"/>
        <w:rPr>
          <w:rFonts w:ascii="Times New Roman" w:eastAsia="Times New Roman" w:hAnsi="Times New Roman" w:cs="Times New Roman"/>
          <w:b/>
          <w:color w:val="000000"/>
          <w:sz w:val="24"/>
          <w:szCs w:val="24"/>
        </w:rPr>
      </w:pPr>
    </w:p>
    <w:p w14:paraId="743B3977" w14:textId="10630C38" w:rsidR="00C534FC" w:rsidRDefault="00C534FC">
      <w:pPr>
        <w:pBdr>
          <w:top w:val="nil"/>
          <w:left w:val="nil"/>
          <w:bottom w:val="nil"/>
          <w:right w:val="nil"/>
          <w:between w:val="nil"/>
        </w:pBdr>
        <w:jc w:val="both"/>
        <w:rPr>
          <w:rFonts w:ascii="Times New Roman" w:eastAsia="Times New Roman" w:hAnsi="Times New Roman" w:cs="Times New Roman"/>
          <w:color w:val="000000"/>
          <w:sz w:val="24"/>
          <w:szCs w:val="24"/>
        </w:rPr>
        <w:sectPr w:rsidR="00C534FC" w:rsidSect="00FD6D0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p>
    <w:p w14:paraId="1F188018" w14:textId="77777777" w:rsidR="00C534FC" w:rsidRDefault="008150ED">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 xml:space="preserve">ABSTRACT </w:t>
      </w:r>
    </w:p>
    <w:p w14:paraId="09F6E7EC" w14:textId="77777777" w:rsidR="00C534FC" w:rsidRDefault="00C534FC">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534FC" w14:paraId="4108339A" w14:textId="77777777">
        <w:tc>
          <w:tcPr>
            <w:tcW w:w="8424" w:type="dxa"/>
            <w:shd w:val="clear" w:color="auto" w:fill="F2F2F2"/>
          </w:tcPr>
          <w:p w14:paraId="126ED5AE" w14:textId="16FDECAC" w:rsidR="00C534FC" w:rsidRDefault="008150ED" w:rsidP="00A90F9A">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 xml:space="preserve">(MRSA) is no longer simply a hospital problem; it has spread to communities, animals, and even the environment, posing a significant public health risk.  Its capacity to resist common antibiotics stems from the acquisition of </w:t>
            </w:r>
            <w:r w:rsidR="00844A5F">
              <w:rPr>
                <w:rFonts w:ascii="Times New Roman" w:eastAsia="Times New Roman" w:hAnsi="Times New Roman" w:cs="Times New Roman"/>
                <w:sz w:val="24"/>
                <w:szCs w:val="24"/>
              </w:rPr>
              <w:t>resistance</w:t>
            </w:r>
            <w:r>
              <w:rPr>
                <w:rFonts w:ascii="Times New Roman" w:eastAsia="Times New Roman" w:hAnsi="Times New Roman" w:cs="Times New Roman"/>
                <w:sz w:val="24"/>
                <w:szCs w:val="24"/>
              </w:rPr>
              <w:t xml:space="preserve"> genes, which enable it to thrive in a variety of environments.  Wildlife plays an unanticipated role in this cycle, serving as a secret reservoir for MRSA and facilitating its transmission across animals, livestock, and humans.  At the same time, the extensive use of antibiotics in agriculture has exacerbated the situation, making it more difficult to manage MRSA in food production and beyond.</w:t>
            </w:r>
            <w:r w:rsidR="00A90F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antibiotic resistance on the rise, researchers are turning to alternat</w:t>
            </w:r>
            <w:r w:rsidR="007F1404">
              <w:rPr>
                <w:rFonts w:ascii="Times New Roman" w:eastAsia="Times New Roman" w:hAnsi="Times New Roman" w:cs="Times New Roman"/>
                <w:sz w:val="24"/>
                <w:szCs w:val="24"/>
              </w:rPr>
              <w:t>iv</w:t>
            </w:r>
            <w:r>
              <w:rPr>
                <w:rFonts w:ascii="Times New Roman" w:eastAsia="Times New Roman" w:hAnsi="Times New Roman" w:cs="Times New Roman"/>
                <w:sz w:val="24"/>
                <w:szCs w:val="24"/>
              </w:rPr>
              <w:t xml:space="preserve">e treatments for MRSA infections, such as plant-based antimicrobials. Understanding how MRSA evolves, spreads, and protects itself, including biofilm formation and genetic adaptability, is critical for designing more effective treatments.  This review uses a One Health approach, examining the larger picture of how human, animal, and environmental health are linked.  </w:t>
            </w:r>
            <w:r w:rsidRPr="00814ECD">
              <w:rPr>
                <w:rFonts w:ascii="Times New Roman" w:eastAsia="Times New Roman" w:hAnsi="Times New Roman" w:cs="Times New Roman"/>
                <w:sz w:val="24"/>
                <w:szCs w:val="24"/>
                <w:highlight w:val="yellow"/>
              </w:rPr>
              <w:t xml:space="preserve">It also </w:t>
            </w:r>
            <w:proofErr w:type="spellStart"/>
            <w:r w:rsidR="007F1404" w:rsidRPr="00814ECD">
              <w:rPr>
                <w:rFonts w:ascii="Times New Roman" w:eastAsia="Times New Roman" w:hAnsi="Times New Roman" w:cs="Times New Roman"/>
                <w:sz w:val="24"/>
                <w:szCs w:val="24"/>
                <w:highlight w:val="yellow"/>
              </w:rPr>
              <w:t>emphasises</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the need</w:t>
            </w:r>
            <w:r>
              <w:rPr>
                <w:rFonts w:ascii="Times New Roman" w:eastAsia="Times New Roman" w:hAnsi="Times New Roman" w:cs="Times New Roman"/>
                <w:sz w:val="24"/>
                <w:szCs w:val="24"/>
              </w:rPr>
              <w:t xml:space="preserve"> for greater surveillance programs, coordination among scientists and healthcare workers, and smarter policies to restrict the spread of MRSA and </w:t>
            </w:r>
            <w:proofErr w:type="spellStart"/>
            <w:r w:rsidR="007F1404" w:rsidRPr="00814ECD">
              <w:rPr>
                <w:rFonts w:ascii="Times New Roman" w:eastAsia="Times New Roman" w:hAnsi="Times New Roman" w:cs="Times New Roman"/>
                <w:sz w:val="24"/>
                <w:szCs w:val="24"/>
                <w:highlight w:val="yellow"/>
              </w:rPr>
              <w:t>minimise</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o</w:t>
            </w:r>
            <w:r>
              <w:rPr>
                <w:rFonts w:ascii="Times New Roman" w:eastAsia="Times New Roman" w:hAnsi="Times New Roman" w:cs="Times New Roman"/>
                <w:sz w:val="24"/>
                <w:szCs w:val="24"/>
              </w:rPr>
              <w:t>ur reliance on antibiotics.</w:t>
            </w:r>
            <w:r w:rsidR="003312AF">
              <w:t xml:space="preserve"> </w:t>
            </w:r>
            <w:r w:rsidR="003312AF" w:rsidRPr="003312AF">
              <w:rPr>
                <w:rFonts w:ascii="Times New Roman" w:eastAsia="Times New Roman" w:hAnsi="Times New Roman" w:cs="Times New Roman"/>
                <w:sz w:val="24"/>
                <w:szCs w:val="24"/>
                <w:highlight w:val="yellow"/>
              </w:rPr>
              <w:t>The fight against MRSA and its resistance mechanisms requires a multipronged approach whereby a view on proper use of antibiotics, global surveillance, and funding for alternatives will play a key role. One of the notable alternatives to combat MRSA resistivity, are plant metabolites (bioactive compounds)</w:t>
            </w:r>
            <w:r w:rsidR="007F1404">
              <w:rPr>
                <w:rFonts w:ascii="Times New Roman" w:eastAsia="Times New Roman" w:hAnsi="Times New Roman" w:cs="Times New Roman"/>
                <w:sz w:val="24"/>
                <w:szCs w:val="24"/>
                <w:highlight w:val="yellow"/>
              </w:rPr>
              <w:t>,</w:t>
            </w:r>
            <w:r w:rsidR="003312AF" w:rsidRPr="003312AF">
              <w:rPr>
                <w:rFonts w:ascii="Times New Roman" w:eastAsia="Times New Roman" w:hAnsi="Times New Roman" w:cs="Times New Roman"/>
                <w:sz w:val="24"/>
                <w:szCs w:val="24"/>
                <w:highlight w:val="yellow"/>
              </w:rPr>
              <w:t xml:space="preserve"> as they have been found to be promising candidates for antimicrobial agents, and they have shown to work synergistically with conventional antibiotics. Natural products could increase the efficacy of treating infections while simultaneously reducing the dependence on synthetic antibiotics.</w:t>
            </w:r>
          </w:p>
        </w:tc>
      </w:tr>
    </w:tbl>
    <w:p w14:paraId="72B0680B" w14:textId="77777777" w:rsidR="00C534FC" w:rsidRDefault="00C534FC">
      <w:pPr>
        <w:pBdr>
          <w:top w:val="nil"/>
          <w:left w:val="nil"/>
          <w:bottom w:val="nil"/>
          <w:right w:val="nil"/>
          <w:between w:val="nil"/>
        </w:pBdr>
        <w:jc w:val="both"/>
        <w:rPr>
          <w:rFonts w:ascii="Times New Roman" w:eastAsia="Times New Roman" w:hAnsi="Times New Roman" w:cs="Times New Roman"/>
          <w:i/>
          <w:color w:val="000000"/>
          <w:sz w:val="24"/>
          <w:szCs w:val="24"/>
        </w:rPr>
      </w:pPr>
    </w:p>
    <w:p w14:paraId="74946AAD" w14:textId="77777777" w:rsidR="00C534FC" w:rsidRDefault="008150ED">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Keywords: </w:t>
      </w:r>
      <w:r>
        <w:rPr>
          <w:rFonts w:ascii="Times New Roman" w:eastAsia="Times New Roman" w:hAnsi="Times New Roman" w:cs="Times New Roman"/>
          <w:i/>
          <w:sz w:val="24"/>
          <w:szCs w:val="24"/>
        </w:rPr>
        <w:t>MRSA, Antimicrobial resistance, AMR, One Health, Animal, Plant, Microbe</w:t>
      </w:r>
    </w:p>
    <w:p w14:paraId="7CCD5246" w14:textId="77777777" w:rsidR="00C534FC" w:rsidRDefault="00C534FC">
      <w:pPr>
        <w:pBdr>
          <w:top w:val="nil"/>
          <w:left w:val="nil"/>
          <w:bottom w:val="nil"/>
          <w:right w:val="nil"/>
          <w:between w:val="nil"/>
        </w:pBdr>
        <w:jc w:val="both"/>
        <w:rPr>
          <w:rFonts w:ascii="Times New Roman" w:eastAsia="Times New Roman" w:hAnsi="Times New Roman" w:cs="Times New Roman"/>
          <w:i/>
          <w:color w:val="000000"/>
          <w:sz w:val="24"/>
          <w:szCs w:val="24"/>
        </w:rPr>
      </w:pPr>
    </w:p>
    <w:p w14:paraId="6BDA4921" w14:textId="77777777" w:rsidR="00C534FC" w:rsidRDefault="00C534FC">
      <w:pPr>
        <w:pBdr>
          <w:top w:val="nil"/>
          <w:left w:val="nil"/>
          <w:bottom w:val="nil"/>
          <w:right w:val="nil"/>
          <w:between w:val="nil"/>
        </w:pBdr>
        <w:jc w:val="both"/>
        <w:rPr>
          <w:rFonts w:ascii="Times New Roman" w:eastAsia="Times New Roman" w:hAnsi="Times New Roman" w:cs="Times New Roman"/>
          <w:i/>
          <w:color w:val="000000"/>
          <w:sz w:val="24"/>
          <w:szCs w:val="24"/>
        </w:rPr>
      </w:pPr>
    </w:p>
    <w:p w14:paraId="30346103" w14:textId="77777777" w:rsidR="00C534FC" w:rsidRDefault="008150ED">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 xml:space="preserve">1. INTRODUCTION </w:t>
      </w:r>
    </w:p>
    <w:p w14:paraId="647A8AD3" w14:textId="77777777" w:rsidR="00C534FC" w:rsidRDefault="00C534FC">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p>
    <w:p w14:paraId="4C2CBF95" w14:textId="53281294" w:rsidR="00C534FC" w:rsidRDefault="00483D09">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483D09">
        <w:rPr>
          <w:rFonts w:ascii="Times New Roman" w:eastAsia="Times New Roman" w:hAnsi="Times New Roman" w:cs="Times New Roman"/>
          <w:sz w:val="24"/>
          <w:szCs w:val="24"/>
          <w:highlight w:val="yellow"/>
        </w:rPr>
        <w:t xml:space="preserve">Staphylococcus aureus (SA) is a Gram-positive opportunistic bacterium that commonly colonizes the mouth, nasal passages, and skin of healthy individuals. This </w:t>
      </w:r>
      <w:r w:rsidRPr="00483D09">
        <w:rPr>
          <w:rFonts w:ascii="Times New Roman" w:eastAsia="Times New Roman" w:hAnsi="Times New Roman" w:cs="Times New Roman"/>
          <w:sz w:val="24"/>
          <w:szCs w:val="24"/>
          <w:highlight w:val="yellow"/>
        </w:rPr>
        <w:lastRenderedPageBreak/>
        <w:t>can lead to a variety of local and invasive problems, ranging from superficial skin infections to life-threatening pneumonia and bacillus infections. Staphylococcus aureus infections have been occurring in humans since ancient times</w:t>
      </w:r>
      <w:r w:rsidR="00214FA1">
        <w:rPr>
          <w:rFonts w:ascii="Times New Roman" w:eastAsia="Times New Roman" w:hAnsi="Times New Roman" w:cs="Times New Roman"/>
          <w:sz w:val="24"/>
          <w:szCs w:val="24"/>
          <w:highlight w:val="yellow"/>
        </w:rPr>
        <w:t xml:space="preserve"> (</w:t>
      </w:r>
      <w:proofErr w:type="spellStart"/>
      <w:r w:rsidR="00214FA1" w:rsidRPr="00214FA1">
        <w:rPr>
          <w:rFonts w:ascii="Times New Roman" w:eastAsia="Times New Roman" w:hAnsi="Times New Roman" w:cs="Times New Roman"/>
          <w:sz w:val="24"/>
          <w:szCs w:val="24"/>
        </w:rPr>
        <w:t>Abdelgader</w:t>
      </w:r>
      <w:proofErr w:type="spellEnd"/>
      <w:r w:rsidR="00214FA1">
        <w:rPr>
          <w:rFonts w:ascii="Times New Roman" w:eastAsia="Times New Roman" w:hAnsi="Times New Roman" w:cs="Times New Roman"/>
          <w:sz w:val="24"/>
          <w:szCs w:val="24"/>
        </w:rPr>
        <w:t xml:space="preserve"> et al., 2024</w:t>
      </w:r>
      <w:r w:rsidR="00C952F8">
        <w:rPr>
          <w:rFonts w:ascii="Times New Roman" w:eastAsia="Times New Roman" w:hAnsi="Times New Roman" w:cs="Times New Roman"/>
          <w:sz w:val="24"/>
          <w:szCs w:val="24"/>
        </w:rPr>
        <w:t xml:space="preserve">; </w:t>
      </w:r>
      <w:proofErr w:type="spellStart"/>
      <w:r w:rsidR="00C952F8" w:rsidRPr="00C952F8">
        <w:rPr>
          <w:rFonts w:ascii="Times New Roman" w:eastAsia="Times New Roman" w:hAnsi="Times New Roman" w:cs="Times New Roman"/>
          <w:sz w:val="24"/>
          <w:szCs w:val="24"/>
        </w:rPr>
        <w:t>Osiyemi</w:t>
      </w:r>
      <w:proofErr w:type="spellEnd"/>
      <w:r w:rsidR="00C952F8">
        <w:rPr>
          <w:rFonts w:ascii="Times New Roman" w:eastAsia="Times New Roman" w:hAnsi="Times New Roman" w:cs="Times New Roman"/>
          <w:sz w:val="24"/>
          <w:szCs w:val="24"/>
        </w:rPr>
        <w:t xml:space="preserve"> et al., 2018</w:t>
      </w:r>
      <w:r w:rsidR="00214FA1">
        <w:rPr>
          <w:rFonts w:ascii="Times New Roman" w:eastAsia="Times New Roman" w:hAnsi="Times New Roman" w:cs="Times New Roman"/>
          <w:sz w:val="24"/>
          <w:szCs w:val="24"/>
        </w:rPr>
        <w:t>)</w:t>
      </w:r>
      <w:r w:rsidRPr="00483D09">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sidR="00A90F9A" w:rsidRPr="00A90F9A">
        <w:rPr>
          <w:rFonts w:ascii="Times New Roman" w:eastAsia="Times New Roman" w:hAnsi="Times New Roman" w:cs="Times New Roman"/>
          <w:sz w:val="24"/>
          <w:szCs w:val="24"/>
          <w:highlight w:val="yellow"/>
        </w:rPr>
        <w:t xml:space="preserve">Methicillin-Resistant Staphylococcus aureus (MRSA) </w:t>
      </w:r>
      <w:r w:rsidR="008150ED" w:rsidRPr="00A90F9A">
        <w:rPr>
          <w:rFonts w:ascii="Times New Roman" w:eastAsia="Times New Roman" w:hAnsi="Times New Roman" w:cs="Times New Roman"/>
          <w:sz w:val="24"/>
          <w:szCs w:val="24"/>
          <w:highlight w:val="yellow"/>
        </w:rPr>
        <w:t>is</w:t>
      </w:r>
      <w:r w:rsidR="008150ED">
        <w:rPr>
          <w:rFonts w:ascii="Times New Roman" w:eastAsia="Times New Roman" w:hAnsi="Times New Roman" w:cs="Times New Roman"/>
          <w:sz w:val="24"/>
          <w:szCs w:val="24"/>
        </w:rPr>
        <w:t xml:space="preserve"> defined as any strain of </w:t>
      </w:r>
      <w:r w:rsidR="008150ED">
        <w:rPr>
          <w:rFonts w:ascii="Times New Roman" w:eastAsia="Times New Roman" w:hAnsi="Times New Roman" w:cs="Times New Roman"/>
          <w:i/>
          <w:sz w:val="24"/>
          <w:szCs w:val="24"/>
        </w:rPr>
        <w:t>S. aureus</w:t>
      </w:r>
      <w:r w:rsidR="008150ED">
        <w:rPr>
          <w:rFonts w:ascii="Times New Roman" w:eastAsia="Times New Roman" w:hAnsi="Times New Roman" w:cs="Times New Roman"/>
          <w:sz w:val="24"/>
          <w:szCs w:val="24"/>
        </w:rPr>
        <w:t xml:space="preserve"> that has evolved (natural selection) or acquired (horizontal gene transfer) multiple drug resistance to beta-lactam antibiotics.  Beta-lactam antibiotics have a broad range and include penicillin derivatives like methicillin and oxacillin, as well as cephalosporins [1]. </w:t>
      </w:r>
      <w:r w:rsidR="006038E8" w:rsidRPr="006038E8">
        <w:rPr>
          <w:rFonts w:ascii="Times New Roman" w:eastAsia="Times New Roman" w:hAnsi="Times New Roman" w:cs="Times New Roman"/>
          <w:sz w:val="24"/>
          <w:szCs w:val="24"/>
          <w:highlight w:val="yellow"/>
        </w:rPr>
        <w:t>Pathogenic strains of S. aureus can cause several infections, from mild infections to fatal conditions like bloodstream infections and pneumonia</w:t>
      </w:r>
      <w:r w:rsidR="005E5528">
        <w:rPr>
          <w:rFonts w:ascii="Times New Roman" w:eastAsia="Times New Roman" w:hAnsi="Times New Roman" w:cs="Times New Roman"/>
          <w:sz w:val="24"/>
          <w:szCs w:val="24"/>
          <w:highlight w:val="yellow"/>
        </w:rPr>
        <w:t xml:space="preserve"> (</w:t>
      </w:r>
      <w:r w:rsidR="005E5528" w:rsidRPr="005E5528">
        <w:rPr>
          <w:rFonts w:ascii="Times New Roman" w:eastAsia="Times New Roman" w:hAnsi="Times New Roman" w:cs="Times New Roman"/>
          <w:sz w:val="24"/>
          <w:szCs w:val="24"/>
        </w:rPr>
        <w:t>Abebe</w:t>
      </w:r>
      <w:r w:rsidR="005E5528">
        <w:rPr>
          <w:rFonts w:ascii="Times New Roman" w:eastAsia="Times New Roman" w:hAnsi="Times New Roman" w:cs="Times New Roman"/>
          <w:sz w:val="24"/>
          <w:szCs w:val="24"/>
        </w:rPr>
        <w:t xml:space="preserve"> </w:t>
      </w:r>
      <w:r w:rsidR="005E5528" w:rsidRPr="005E5528">
        <w:rPr>
          <w:rFonts w:ascii="Times New Roman" w:eastAsia="Times New Roman" w:hAnsi="Times New Roman" w:cs="Times New Roman"/>
          <w:sz w:val="24"/>
          <w:szCs w:val="24"/>
        </w:rPr>
        <w:t xml:space="preserve">&amp; </w:t>
      </w:r>
      <w:proofErr w:type="spellStart"/>
      <w:r w:rsidR="005E5528" w:rsidRPr="005E5528">
        <w:rPr>
          <w:rFonts w:ascii="Times New Roman" w:eastAsia="Times New Roman" w:hAnsi="Times New Roman" w:cs="Times New Roman"/>
          <w:sz w:val="24"/>
          <w:szCs w:val="24"/>
        </w:rPr>
        <w:t>Birhanu</w:t>
      </w:r>
      <w:proofErr w:type="spellEnd"/>
      <w:r w:rsidR="005E5528" w:rsidRPr="005E5528">
        <w:rPr>
          <w:rFonts w:ascii="Times New Roman" w:eastAsia="Times New Roman" w:hAnsi="Times New Roman" w:cs="Times New Roman"/>
          <w:sz w:val="24"/>
          <w:szCs w:val="24"/>
        </w:rPr>
        <w:t>, 2023)</w:t>
      </w:r>
      <w:r w:rsidR="006038E8" w:rsidRPr="006038E8">
        <w:rPr>
          <w:rFonts w:ascii="Times New Roman" w:eastAsia="Times New Roman" w:hAnsi="Times New Roman" w:cs="Times New Roman"/>
          <w:sz w:val="24"/>
          <w:szCs w:val="24"/>
          <w:highlight w:val="yellow"/>
        </w:rPr>
        <w:t>.</w:t>
      </w:r>
      <w:r w:rsidR="006038E8" w:rsidRPr="006038E8">
        <w:rPr>
          <w:rFonts w:ascii="Times New Roman" w:eastAsia="Times New Roman" w:hAnsi="Times New Roman" w:cs="Times New Roman"/>
          <w:sz w:val="24"/>
          <w:szCs w:val="24"/>
        </w:rPr>
        <w:t xml:space="preserve"> </w:t>
      </w:r>
      <w:r w:rsidR="008150ED">
        <w:rPr>
          <w:rFonts w:ascii="Times New Roman" w:eastAsia="Times New Roman" w:hAnsi="Times New Roman" w:cs="Times New Roman"/>
          <w:sz w:val="24"/>
          <w:szCs w:val="24"/>
        </w:rPr>
        <w:t>Strains that are susceptible to these medications are known as methicillin-susceptible S. aureus, or MSSA [2</w:t>
      </w:r>
      <w:r w:rsidR="00570F28">
        <w:rPr>
          <w:rFonts w:ascii="Times New Roman" w:eastAsia="Times New Roman" w:hAnsi="Times New Roman" w:cs="Times New Roman"/>
          <w:sz w:val="24"/>
          <w:szCs w:val="24"/>
        </w:rPr>
        <w:t>,11</w:t>
      </w:r>
      <w:r w:rsidR="008150ED">
        <w:rPr>
          <w:rFonts w:ascii="Times New Roman" w:eastAsia="Times New Roman" w:hAnsi="Times New Roman" w:cs="Times New Roman"/>
          <w:sz w:val="24"/>
          <w:szCs w:val="24"/>
        </w:rPr>
        <w:t>].</w:t>
      </w:r>
      <w:r w:rsidR="002A41A0" w:rsidRPr="002A41A0">
        <w:t xml:space="preserve"> </w:t>
      </w:r>
      <w:r w:rsidR="002A41A0" w:rsidRPr="002A41A0">
        <w:rPr>
          <w:rFonts w:ascii="Times New Roman" w:eastAsia="Times New Roman" w:hAnsi="Times New Roman" w:cs="Times New Roman"/>
          <w:sz w:val="24"/>
          <w:szCs w:val="24"/>
          <w:highlight w:val="yellow"/>
        </w:rPr>
        <w:t>One of the greatest medical advancements in the treatment of infectious disorders brought on by infectious bacteria is the antibiotic development. Before discovery of antibiotics, the mortality and lethality brought on by infectious bacteria was significant (</w:t>
      </w:r>
      <w:r w:rsidR="00512A29" w:rsidRPr="00512A29">
        <w:rPr>
          <w:rFonts w:ascii="Times New Roman" w:eastAsia="Times New Roman" w:hAnsi="Times New Roman" w:cs="Times New Roman"/>
          <w:sz w:val="24"/>
          <w:szCs w:val="24"/>
        </w:rPr>
        <w:t>Alghamdi</w:t>
      </w:r>
      <w:r w:rsidR="00512A29">
        <w:rPr>
          <w:rFonts w:ascii="Times New Roman" w:eastAsia="Times New Roman" w:hAnsi="Times New Roman" w:cs="Times New Roman"/>
          <w:sz w:val="24"/>
          <w:szCs w:val="24"/>
        </w:rPr>
        <w:t xml:space="preserve"> et al., 2023; </w:t>
      </w:r>
      <w:r w:rsidR="002A41A0" w:rsidRPr="002A41A0">
        <w:rPr>
          <w:rFonts w:ascii="Times New Roman" w:eastAsia="Times New Roman" w:hAnsi="Times New Roman" w:cs="Times New Roman"/>
          <w:sz w:val="24"/>
          <w:szCs w:val="24"/>
          <w:highlight w:val="yellow"/>
        </w:rPr>
        <w:t>Hutchings et al., 2019).</w:t>
      </w:r>
    </w:p>
    <w:p w14:paraId="6BBE856D" w14:textId="77777777"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discovery of penicillin, it revealed itself to be highly effective against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making it a "wonder drug" for treating infections [3]. </w:t>
      </w:r>
    </w:p>
    <w:p w14:paraId="07119FB0" w14:textId="77777777"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decades, methicillin-resistant Staphylococcus aureus (MRSA) was regarded as the prototype of multi-resistant nosocomial pathogens, producing infections in high-risk patients [4].</w:t>
      </w:r>
    </w:p>
    <w:p w14:paraId="4A27C46E" w14:textId="77777777"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strains of </w:t>
      </w:r>
      <w:proofErr w:type="spellStart"/>
      <w:r>
        <w:rPr>
          <w:rFonts w:ascii="Times New Roman" w:eastAsia="Times New Roman" w:hAnsi="Times New Roman" w:cs="Times New Roman"/>
          <w:sz w:val="24"/>
          <w:szCs w:val="24"/>
        </w:rPr>
        <w:t>meticillin</w:t>
      </w:r>
      <w:proofErr w:type="spellEnd"/>
      <w:r>
        <w:rPr>
          <w:rFonts w:ascii="Times New Roman" w:eastAsia="Times New Roman" w:hAnsi="Times New Roman" w:cs="Times New Roman"/>
          <w:sz w:val="24"/>
          <w:szCs w:val="24"/>
        </w:rPr>
        <w:t xml:space="preserve">-resistant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 xml:space="preserve">(MRSA) emerged in the early 1960s with the advent of semisynthetic </w:t>
      </w:r>
      <w:proofErr w:type="spellStart"/>
      <w:r>
        <w:rPr>
          <w:rFonts w:ascii="Times New Roman" w:eastAsia="Times New Roman" w:hAnsi="Times New Roman" w:cs="Times New Roman"/>
          <w:sz w:val="24"/>
          <w:szCs w:val="24"/>
        </w:rPr>
        <w:t>penicillins</w:t>
      </w:r>
      <w:proofErr w:type="spellEnd"/>
      <w:r>
        <w:rPr>
          <w:rFonts w:ascii="Times New Roman" w:eastAsia="Times New Roman" w:hAnsi="Times New Roman" w:cs="Times New Roman"/>
          <w:sz w:val="24"/>
          <w:szCs w:val="24"/>
        </w:rPr>
        <w:t xml:space="preserve"> like methicillin, which are resistant to staphylococcal β-lactamases [5]. 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 xml:space="preserve">(MRSA) is classed as an alert pathogen, which causes human illnesses (including hospital-acquired infections) and mortality. Infections with 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 xml:space="preserve">in humans result in longer hospital stays and higher fatality rates [4]. </w:t>
      </w:r>
    </w:p>
    <w:p w14:paraId="72A79137" w14:textId="77777777" w:rsidR="00C534FC" w:rsidRPr="00946093"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Antimicrobial resistance is a global public health issue that must be addressed by </w:t>
      </w:r>
      <w:r w:rsidRPr="00946093">
        <w:rPr>
          <w:rFonts w:ascii="Times New Roman" w:eastAsia="Times New Roman" w:hAnsi="Times New Roman" w:cs="Times New Roman"/>
          <w:sz w:val="24"/>
          <w:szCs w:val="24"/>
        </w:rPr>
        <w:t xml:space="preserve">health officials worldwide. According to estimates from the European </w:t>
      </w:r>
      <w:r w:rsidRPr="00946093">
        <w:rPr>
          <w:rFonts w:ascii="Times New Roman" w:eastAsia="Times New Roman" w:hAnsi="Times New Roman" w:cs="Times New Roman"/>
          <w:sz w:val="24"/>
          <w:szCs w:val="24"/>
        </w:rPr>
        <w:lastRenderedPageBreak/>
        <w:t>Union/European Economic Area, antimicrobial-resistant bacteria cause about 670,000 illnesses annually, resulting in around 33,000 fatalities [6].</w:t>
      </w:r>
    </w:p>
    <w:p w14:paraId="217AE258" w14:textId="266D5103" w:rsidR="00C534FC" w:rsidRPr="00946093"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946093">
        <w:rPr>
          <w:rFonts w:ascii="Times New Roman" w:eastAsia="Gungsuh" w:hAnsi="Times New Roman" w:cs="Times New Roman"/>
          <w:sz w:val="24"/>
          <w:szCs w:val="24"/>
        </w:rPr>
        <w:t xml:space="preserve">Initially, MRSA infections were predominantly associated with the hospital environment, occurring mostly </w:t>
      </w:r>
      <w:r w:rsidRPr="00814ECD">
        <w:rPr>
          <w:rFonts w:ascii="Times New Roman" w:eastAsia="Gungsuh" w:hAnsi="Times New Roman" w:cs="Times New Roman"/>
          <w:sz w:val="24"/>
          <w:szCs w:val="24"/>
          <w:highlight w:val="yellow"/>
        </w:rPr>
        <w:t xml:space="preserve">in </w:t>
      </w:r>
      <w:proofErr w:type="spellStart"/>
      <w:r w:rsidR="007F1404" w:rsidRPr="00814ECD">
        <w:rPr>
          <w:rFonts w:ascii="Times New Roman" w:eastAsia="Gungsuh" w:hAnsi="Times New Roman" w:cs="Times New Roman"/>
          <w:sz w:val="24"/>
          <w:szCs w:val="24"/>
          <w:highlight w:val="yellow"/>
        </w:rPr>
        <w:t>hospitalised</w:t>
      </w:r>
      <w:proofErr w:type="spellEnd"/>
      <w:r w:rsidR="007F1404" w:rsidRPr="00814ECD">
        <w:rPr>
          <w:rFonts w:ascii="Times New Roman" w:eastAsia="Gungsuh" w:hAnsi="Times New Roman" w:cs="Times New Roman"/>
          <w:sz w:val="24"/>
          <w:szCs w:val="24"/>
          <w:highlight w:val="yellow"/>
        </w:rPr>
        <w:t xml:space="preserve"> </w:t>
      </w:r>
      <w:r w:rsidRPr="00814ECD">
        <w:rPr>
          <w:rFonts w:ascii="Times New Roman" w:eastAsia="Gungsuh" w:hAnsi="Times New Roman" w:cs="Times New Roman"/>
          <w:sz w:val="24"/>
          <w:szCs w:val="24"/>
          <w:highlight w:val="yellow"/>
        </w:rPr>
        <w:t>patients o</w:t>
      </w:r>
      <w:r w:rsidRPr="00946093">
        <w:rPr>
          <w:rFonts w:ascii="Times New Roman" w:eastAsia="Gungsuh" w:hAnsi="Times New Roman" w:cs="Times New Roman"/>
          <w:sz w:val="24"/>
          <w:szCs w:val="24"/>
        </w:rPr>
        <w:t>r patients who attended that environment. Therefore, during the 1960s−1970s, they were called HA-MRSA [7].</w:t>
      </w:r>
    </w:p>
    <w:p w14:paraId="024A0B16" w14:textId="4AC9A15A"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in the late 1990s, MRSA infections began to appear in the community in people with no contact with the hospital environment and were therefore called CA-MRSA [8]. These MRSA strains (HA-MRSA and CA-MRSA) belong to different genetic lineages and have certain peculiarities. HA-MRSA bacteria are more resistant to a variety of medications and have greater Staphylococcal Cassette Chromosome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types I, II, and III. In contrast, CA-MRSA strains frequently feature smaller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components, mainly kinds IV and V, and are less resistant [9</w:t>
      </w:r>
      <w:r w:rsidR="00570F28">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However, these strains appear to be more virulent due to the development of virulence factors that boost their pathogenic potential, as one of the most common etiological agents of skin and soft tissue infections (Liu et al., 2016). HA-MRSA are nosocomial and occur from wounds of infected patients, catheters and protracted </w:t>
      </w:r>
      <w:proofErr w:type="spellStart"/>
      <w:r w:rsidR="007F1404" w:rsidRPr="00814ECD">
        <w:rPr>
          <w:rFonts w:ascii="Times New Roman" w:eastAsia="Times New Roman" w:hAnsi="Times New Roman" w:cs="Times New Roman"/>
          <w:sz w:val="24"/>
          <w:szCs w:val="24"/>
          <w:highlight w:val="yellow"/>
        </w:rPr>
        <w:t>hospitalisation</w:t>
      </w:r>
      <w:proofErr w:type="spellEnd"/>
      <w:r w:rsidRPr="00814ECD">
        <w:rPr>
          <w:rFonts w:ascii="Times New Roman" w:eastAsia="Times New Roman" w:hAnsi="Times New Roman" w:cs="Times New Roman"/>
          <w:sz w:val="24"/>
          <w:szCs w:val="24"/>
          <w:highlight w:val="yellow"/>
        </w:rPr>
        <w:t>, but also from the skin of healthy carriers [8]. In recent years, several MRSA strains have been d</w:t>
      </w:r>
      <w:r>
        <w:rPr>
          <w:rFonts w:ascii="Times New Roman" w:eastAsia="Times New Roman" w:hAnsi="Times New Roman" w:cs="Times New Roman"/>
          <w:sz w:val="24"/>
          <w:szCs w:val="24"/>
        </w:rPr>
        <w:t>iscovered from different animal species, mainly pigs, in many countries and were named livestock-associated MRSA (LA-MRSA) (Akililu and Chia, 2020).</w:t>
      </w:r>
    </w:p>
    <w:p w14:paraId="6D97F88C" w14:textId="343FDB8D" w:rsidR="00C534FC" w:rsidRDefault="008150ED">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14ECD">
        <w:rPr>
          <w:rFonts w:ascii="Times New Roman" w:eastAsia="Times New Roman" w:hAnsi="Times New Roman" w:cs="Times New Roman"/>
          <w:sz w:val="24"/>
          <w:szCs w:val="24"/>
          <w:highlight w:val="yellow"/>
        </w:rPr>
        <w:t xml:space="preserve">However, in the majority of cases, MRSA </w:t>
      </w:r>
      <w:proofErr w:type="spellStart"/>
      <w:r w:rsidR="007F1404" w:rsidRPr="00814ECD">
        <w:rPr>
          <w:rFonts w:ascii="Times New Roman" w:eastAsia="Times New Roman" w:hAnsi="Times New Roman" w:cs="Times New Roman"/>
          <w:sz w:val="24"/>
          <w:szCs w:val="24"/>
          <w:highlight w:val="yellow"/>
        </w:rPr>
        <w:t>colonised</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th</w:t>
      </w:r>
      <w:r>
        <w:rPr>
          <w:rFonts w:ascii="Times New Roman" w:eastAsia="Times New Roman" w:hAnsi="Times New Roman" w:cs="Times New Roman"/>
          <w:sz w:val="24"/>
          <w:szCs w:val="24"/>
        </w:rPr>
        <w:t>e animal host without causing symptoms.  The genetic lineage clonal complex (CC) 398 accounts for the majority of LA-MRSA.  Strains from the same genetic ancestry have been discovered in individuals who have direct contact with cattle (Stone et al., 2022).</w:t>
      </w:r>
    </w:p>
    <w:p w14:paraId="44D75ABC" w14:textId="59CB3B59" w:rsidR="00C534FC" w:rsidRPr="00570F28" w:rsidRDefault="008150ED">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According to WHO (2023 (b)), One Health is a strategy for improving the health of humans, animals, and ecosystems by combining these sectors rather than maintaining them distinct. Animals, both wild and domestic, account for around 60% of all new infectious illnesses recorded globally</w:t>
      </w:r>
      <w:r w:rsidR="00570F28">
        <w:rPr>
          <w:rFonts w:ascii="Times New Roman" w:eastAsia="Times New Roman" w:hAnsi="Times New Roman" w:cs="Times New Roman"/>
          <w:color w:val="222222"/>
          <w:sz w:val="24"/>
          <w:szCs w:val="24"/>
          <w:highlight w:val="white"/>
        </w:rPr>
        <w:t xml:space="preserve"> (</w:t>
      </w:r>
      <w:r w:rsidR="00570F28" w:rsidRPr="00570F28">
        <w:rPr>
          <w:rFonts w:ascii="Times New Roman" w:eastAsia="Times New Roman" w:hAnsi="Times New Roman" w:cs="Times New Roman"/>
          <w:color w:val="222222"/>
          <w:sz w:val="24"/>
          <w:szCs w:val="24"/>
          <w:highlight w:val="white"/>
        </w:rPr>
        <w:t xml:space="preserve">Egwuatu </w:t>
      </w:r>
      <w:r w:rsidR="00570F28" w:rsidRPr="00570F28">
        <w:rPr>
          <w:rFonts w:ascii="Times New Roman" w:eastAsia="Times New Roman" w:hAnsi="Times New Roman" w:cs="Times New Roman"/>
          <w:i/>
          <w:iCs/>
          <w:color w:val="222222"/>
          <w:sz w:val="24"/>
          <w:szCs w:val="24"/>
          <w:highlight w:val="white"/>
        </w:rPr>
        <w:t>et al</w:t>
      </w:r>
      <w:r w:rsidR="00570F28" w:rsidRPr="00570F28">
        <w:rPr>
          <w:rFonts w:ascii="Times New Roman" w:eastAsia="Times New Roman" w:hAnsi="Times New Roman" w:cs="Times New Roman"/>
          <w:color w:val="222222"/>
          <w:sz w:val="24"/>
          <w:szCs w:val="24"/>
          <w:highlight w:val="white"/>
        </w:rPr>
        <w:t>. 2024</w:t>
      </w:r>
      <w:r w:rsidR="00570F28">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It addresses various health issues, including antimicrobial resistance (AMR), zoonotic diseases, vector-borne diseases, food safety and foodborne diseases, and environmental health. AMR occurs when germs can defeat drugs designed to kill them, while vector-borne diseases </w:t>
      </w:r>
      <w:r>
        <w:rPr>
          <w:rFonts w:ascii="Times New Roman" w:eastAsia="Times New Roman" w:hAnsi="Times New Roman" w:cs="Times New Roman"/>
          <w:color w:val="222222"/>
          <w:sz w:val="24"/>
          <w:szCs w:val="24"/>
          <w:highlight w:val="white"/>
        </w:rPr>
        <w:lastRenderedPageBreak/>
        <w:t>affect people bitten by mosquitoes, ticks, lice, and fleas. Food safety and foodborne diseases occur at various stages of food production, delivery, and consumption, while environmental health issues like water pollution and climate change are addressed (WHO, 2023).</w:t>
      </w:r>
    </w:p>
    <w:p w14:paraId="14C0AC4D" w14:textId="77777777" w:rsidR="00C534FC" w:rsidRDefault="008150ED">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MRSA spreads mostly through personal contact with the source.  MRSA lineages are distinguished by their capacity to spread to several host species, including people and animals (Shoaib </w:t>
      </w:r>
      <w:r>
        <w:rPr>
          <w:rFonts w:ascii="Times New Roman" w:eastAsia="Times New Roman" w:hAnsi="Times New Roman" w:cs="Times New Roman"/>
          <w:i/>
          <w:color w:val="222222"/>
          <w:sz w:val="24"/>
          <w:szCs w:val="24"/>
          <w:highlight w:val="white"/>
        </w:rPr>
        <w:t>et al</w:t>
      </w:r>
      <w:r>
        <w:rPr>
          <w:rFonts w:ascii="Times New Roman" w:eastAsia="Times New Roman" w:hAnsi="Times New Roman" w:cs="Times New Roman"/>
          <w:color w:val="222222"/>
          <w:sz w:val="24"/>
          <w:szCs w:val="24"/>
          <w:highlight w:val="white"/>
        </w:rPr>
        <w:t>., 2023) HA-MRSA is generally obtained from hospital environments such as contaminated tools, bedding, doors, and equipment, whereas CA-MRSA is primarily acquired by personal contact with an infected or healthy person, since S. aureus is a commensal bacterium found in the nares of healthy people.  LA-MRSA can be transmitted to people through personal contact with animals and the environment (</w:t>
      </w:r>
      <w:proofErr w:type="spellStart"/>
      <w:r>
        <w:rPr>
          <w:rFonts w:ascii="Times New Roman" w:eastAsia="Times New Roman" w:hAnsi="Times New Roman" w:cs="Times New Roman"/>
          <w:color w:val="222222"/>
          <w:sz w:val="24"/>
          <w:szCs w:val="24"/>
          <w:highlight w:val="white"/>
        </w:rPr>
        <w:t>Pantosti</w:t>
      </w:r>
      <w:proofErr w:type="spellEnd"/>
      <w:r>
        <w:rPr>
          <w:rFonts w:ascii="Times New Roman" w:eastAsia="Times New Roman" w:hAnsi="Times New Roman" w:cs="Times New Roman"/>
          <w:color w:val="222222"/>
          <w:sz w:val="24"/>
          <w:szCs w:val="24"/>
          <w:highlight w:val="white"/>
        </w:rPr>
        <w:t>, 2012).</w:t>
      </w:r>
    </w:p>
    <w:p w14:paraId="3E9EBCD2" w14:textId="25C7512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A number of risk factors also play a significant role in the spread of CA-MRSA and HA-MRSA infections. Important risk variables for cellulitis were overweight, the existence of abscesses, and head-and-neck sores relative to infections produced by other microorganisms</w:t>
      </w:r>
      <w:r w:rsidR="007F1404">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according to an analysis of individuals with the condition (Shoaib </w:t>
      </w:r>
      <w:r>
        <w:rPr>
          <w:rFonts w:ascii="Times New Roman" w:eastAsia="Times New Roman" w:hAnsi="Times New Roman" w:cs="Times New Roman"/>
          <w:i/>
          <w:color w:val="222222"/>
          <w:sz w:val="24"/>
          <w:szCs w:val="24"/>
          <w:highlight w:val="white"/>
        </w:rPr>
        <w:t>et al</w:t>
      </w:r>
      <w:r>
        <w:rPr>
          <w:rFonts w:ascii="Times New Roman" w:eastAsia="Times New Roman" w:hAnsi="Times New Roman" w:cs="Times New Roman"/>
          <w:color w:val="222222"/>
          <w:sz w:val="24"/>
          <w:szCs w:val="24"/>
          <w:highlight w:val="white"/>
        </w:rPr>
        <w:t xml:space="preserve">., 2023). </w:t>
      </w:r>
      <w:r>
        <w:rPr>
          <w:rFonts w:ascii="Times New Roman" w:eastAsia="Times New Roman" w:hAnsi="Times New Roman" w:cs="Times New Roman"/>
          <w:sz w:val="24"/>
          <w:szCs w:val="24"/>
        </w:rPr>
        <w:t xml:space="preserve">The presence of abscesses and obesity were additional major risk </w:t>
      </w:r>
      <w:r w:rsidRPr="00814ECD">
        <w:rPr>
          <w:rFonts w:ascii="Times New Roman" w:eastAsia="Times New Roman" w:hAnsi="Times New Roman" w:cs="Times New Roman"/>
          <w:sz w:val="24"/>
          <w:szCs w:val="24"/>
          <w:highlight w:val="yellow"/>
        </w:rPr>
        <w:t>factor for MRSA dermatitis (</w:t>
      </w:r>
      <w:proofErr w:type="spellStart"/>
      <w:r w:rsidRPr="00814ECD">
        <w:rPr>
          <w:rFonts w:ascii="Times New Roman" w:eastAsia="Times New Roman" w:hAnsi="Times New Roman" w:cs="Times New Roman"/>
          <w:sz w:val="24"/>
          <w:szCs w:val="24"/>
          <w:highlight w:val="yellow"/>
        </w:rPr>
        <w:t>Khawcharoenporn</w:t>
      </w:r>
      <w:proofErr w:type="spellEnd"/>
      <w:r w:rsidRPr="00814ECD">
        <w:rPr>
          <w:rFonts w:ascii="Times New Roman" w:eastAsia="Times New Roman" w:hAnsi="Times New Roman" w:cs="Times New Roman"/>
          <w:sz w:val="24"/>
          <w:szCs w:val="24"/>
          <w:highlight w:val="yellow"/>
        </w:rPr>
        <w:t xml:space="preserve"> et al., 2010). Another research by Wang et al. </w:t>
      </w:r>
      <w:r w:rsidR="007F1404" w:rsidRPr="00814ECD">
        <w:rPr>
          <w:rFonts w:ascii="Times New Roman" w:eastAsia="Times New Roman" w:hAnsi="Times New Roman" w:cs="Times New Roman"/>
          <w:sz w:val="24"/>
          <w:szCs w:val="24"/>
          <w:highlight w:val="yellow"/>
        </w:rPr>
        <w:t>(</w:t>
      </w:r>
      <w:r w:rsidRPr="00814ECD">
        <w:rPr>
          <w:rFonts w:ascii="Times New Roman" w:eastAsia="Times New Roman" w:hAnsi="Times New Roman" w:cs="Times New Roman"/>
          <w:sz w:val="24"/>
          <w:szCs w:val="24"/>
          <w:highlight w:val="yellow"/>
        </w:rPr>
        <w:t>2009</w:t>
      </w:r>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 xml:space="preserve">compared MRSA and </w:t>
      </w:r>
      <w:r w:rsidR="007F1404" w:rsidRPr="00814ECD">
        <w:rPr>
          <w:rFonts w:ascii="Times New Roman" w:eastAsia="Times New Roman" w:hAnsi="Times New Roman" w:cs="Times New Roman"/>
          <w:sz w:val="24"/>
          <w:szCs w:val="24"/>
          <w:highlight w:val="yellow"/>
        </w:rPr>
        <w:t>methicillin-</w:t>
      </w:r>
      <w:r w:rsidRPr="00814ECD">
        <w:rPr>
          <w:rFonts w:ascii="Times New Roman" w:eastAsia="Times New Roman" w:hAnsi="Times New Roman" w:cs="Times New Roman"/>
          <w:sz w:val="24"/>
          <w:szCs w:val="24"/>
          <w:highlight w:val="yellow"/>
        </w:rPr>
        <w:t xml:space="preserve">susceptible </w:t>
      </w:r>
      <w:r w:rsidRPr="00814ECD">
        <w:rPr>
          <w:rFonts w:ascii="Times New Roman" w:eastAsia="Times New Roman" w:hAnsi="Times New Roman" w:cs="Times New Roman"/>
          <w:i/>
          <w:sz w:val="24"/>
          <w:szCs w:val="24"/>
          <w:highlight w:val="yellow"/>
        </w:rPr>
        <w:t>S. aureus</w:t>
      </w:r>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 xml:space="preserve">MSSA, patients </w:t>
      </w:r>
      <w:r w:rsidR="007F1404" w:rsidRPr="00814ECD">
        <w:rPr>
          <w:rFonts w:ascii="Times New Roman" w:eastAsia="Times New Roman" w:hAnsi="Times New Roman" w:cs="Times New Roman"/>
          <w:sz w:val="24"/>
          <w:szCs w:val="24"/>
          <w:highlight w:val="yellow"/>
        </w:rPr>
        <w:t xml:space="preserve">need </w:t>
      </w:r>
      <w:r w:rsidRPr="00814ECD">
        <w:rPr>
          <w:rFonts w:ascii="Times New Roman" w:eastAsia="Times New Roman" w:hAnsi="Times New Roman" w:cs="Times New Roman"/>
          <w:sz w:val="24"/>
          <w:szCs w:val="24"/>
          <w:highlight w:val="yellow"/>
        </w:rPr>
        <w:t xml:space="preserve">to identify risk factors for </w:t>
      </w:r>
      <w:proofErr w:type="spellStart"/>
      <w:r w:rsidR="007F1404" w:rsidRPr="00814ECD">
        <w:rPr>
          <w:rFonts w:ascii="Times New Roman" w:eastAsia="Times New Roman" w:hAnsi="Times New Roman" w:cs="Times New Roman"/>
          <w:sz w:val="24"/>
          <w:szCs w:val="24"/>
          <w:highlight w:val="yellow"/>
        </w:rPr>
        <w:t>colonisation</w:t>
      </w:r>
      <w:proofErr w:type="spellEnd"/>
      <w:r w:rsidRPr="00814EC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Significant factors include family involvement under seven, smoking, and previous antibiotic use. Age, gender, marital status, chronic illness, education, daily showering, and family income were not significant. MRSA transmission from companion animals to people has also been well-established in </w:t>
      </w:r>
      <w:r w:rsidR="00743264">
        <w:rPr>
          <w:rFonts w:ascii="Times New Roman" w:eastAsia="Times New Roman" w:hAnsi="Times New Roman" w:cs="Times New Roman"/>
          <w:sz w:val="24"/>
          <w:szCs w:val="24"/>
        </w:rPr>
        <w:t>much</w:t>
      </w:r>
      <w:r>
        <w:rPr>
          <w:rFonts w:ascii="Times New Roman" w:eastAsia="Times New Roman" w:hAnsi="Times New Roman" w:cs="Times New Roman"/>
          <w:sz w:val="24"/>
          <w:szCs w:val="24"/>
        </w:rPr>
        <w:t xml:space="preserve"> research. For example, a study done in the United States and Canada revealed a 18% carriage rate of MRSA among companion animal owners (Fairies et al., 2009). According to a study by Seguin et al. (1999), it revealed that the isolates from horses and humans are remarkably similar and appear to have originated from the same source.  According to the pattern linked with the virus, a unique mode of transmission was still unclear, but it was considered that the main cause of the infection was the staff of the veterinary hospital. </w:t>
      </w:r>
    </w:p>
    <w:p w14:paraId="3027AEAB" w14:textId="77777777" w:rsidR="0007672B" w:rsidRDefault="0007672B">
      <w:pPr>
        <w:spacing w:line="360" w:lineRule="auto"/>
        <w:jc w:val="both"/>
        <w:rPr>
          <w:rFonts w:ascii="Times New Roman" w:eastAsia="Times New Roman" w:hAnsi="Times New Roman" w:cs="Times New Roman"/>
          <w:sz w:val="24"/>
          <w:szCs w:val="24"/>
        </w:rPr>
      </w:pPr>
    </w:p>
    <w:p w14:paraId="6ABE9CA1" w14:textId="77777777" w:rsidR="00C534FC" w:rsidRDefault="008150E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Wildlife and Zoonotic Transmission of MRSA</w:t>
      </w:r>
    </w:p>
    <w:p w14:paraId="2D8BAC40" w14:textId="77777777" w:rsidR="00C534FC" w:rsidRDefault="008150E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Wildlife Reservoirs of MRSA and Their Role in Transmission to Humans and Domestic Animals</w:t>
      </w:r>
    </w:p>
    <w:p w14:paraId="625BCBF8" w14:textId="6A81156A"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function of wildlife as a reservoir for </w:t>
      </w:r>
      <w:r w:rsidRPr="00814ECD">
        <w:rPr>
          <w:rFonts w:ascii="Times New Roman" w:eastAsia="Times New Roman" w:hAnsi="Times New Roman" w:cs="Times New Roman"/>
          <w:sz w:val="24"/>
          <w:szCs w:val="24"/>
          <w:highlight w:val="yellow"/>
        </w:rPr>
        <w:t xml:space="preserve">MRSA </w:t>
      </w:r>
      <w:proofErr w:type="spellStart"/>
      <w:r w:rsidR="007F1404" w:rsidRPr="00814ECD">
        <w:rPr>
          <w:rFonts w:ascii="Times New Roman" w:eastAsia="Times New Roman" w:hAnsi="Times New Roman" w:cs="Times New Roman"/>
          <w:sz w:val="24"/>
          <w:szCs w:val="24"/>
          <w:highlight w:val="yellow"/>
        </w:rPr>
        <w:t>colonisation</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and</w:t>
      </w:r>
      <w:r>
        <w:rPr>
          <w:rFonts w:ascii="Times New Roman" w:eastAsia="Times New Roman" w:hAnsi="Times New Roman" w:cs="Times New Roman"/>
          <w:sz w:val="24"/>
          <w:szCs w:val="24"/>
        </w:rPr>
        <w:t xml:space="preserve"> infection is unknown, investigations have shown MRSA isolated in captive wildlife animals (Loncaric et al., 2014). </w:t>
      </w:r>
    </w:p>
    <w:p w14:paraId="76ACD630" w14:textId="751F71F3"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Grema et al. (2015), as MRSA </w:t>
      </w:r>
      <w:proofErr w:type="spellStart"/>
      <w:r w:rsidR="007F1404" w:rsidRPr="00814ECD">
        <w:rPr>
          <w:rFonts w:ascii="Times New Roman" w:eastAsia="Times New Roman" w:hAnsi="Times New Roman" w:cs="Times New Roman"/>
          <w:sz w:val="24"/>
          <w:szCs w:val="24"/>
          <w:highlight w:val="yellow"/>
        </w:rPr>
        <w:t>colonisation</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continues to</w:t>
      </w:r>
      <w:r>
        <w:rPr>
          <w:rFonts w:ascii="Times New Roman" w:eastAsia="Times New Roman" w:hAnsi="Times New Roman" w:cs="Times New Roman"/>
          <w:sz w:val="24"/>
          <w:szCs w:val="24"/>
        </w:rPr>
        <w:t xml:space="preserve"> spread into wildlife, managing the disease in humans and domesticated animals will present new challenges. Wild animals may act as reservoirs, facilitating transmission to both animals and humans, especially park rangers and zookeepers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also contributing to environmental contamination.</w:t>
      </w:r>
    </w:p>
    <w:p w14:paraId="5FA1DB42" w14:textId="343326FF" w:rsidR="00C534FC" w:rsidRDefault="008150E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222222"/>
          <w:sz w:val="24"/>
          <w:szCs w:val="24"/>
          <w:highlight w:val="white"/>
        </w:rPr>
        <w:t>TABLE</w:t>
      </w:r>
      <w:r w:rsidR="00A11194">
        <w:rPr>
          <w:rFonts w:ascii="Times New Roman" w:eastAsia="Times New Roman" w:hAnsi="Times New Roman" w:cs="Times New Roman"/>
          <w:b/>
          <w:color w:val="222222"/>
          <w:sz w:val="24"/>
          <w:szCs w:val="24"/>
          <w:highlight w:val="white"/>
        </w:rPr>
        <w:t xml:space="preserve"> </w:t>
      </w:r>
      <w:r>
        <w:rPr>
          <w:rFonts w:ascii="Times New Roman" w:eastAsia="Times New Roman" w:hAnsi="Times New Roman" w:cs="Times New Roman"/>
          <w:b/>
          <w:color w:val="222222"/>
          <w:sz w:val="24"/>
          <w:szCs w:val="24"/>
          <w:highlight w:val="white"/>
        </w:rPr>
        <w:t xml:space="preserve">1: THE </w:t>
      </w:r>
      <w:r w:rsidR="00A11194" w:rsidRPr="00814ECD">
        <w:rPr>
          <w:rFonts w:ascii="Times New Roman" w:eastAsia="Times New Roman" w:hAnsi="Times New Roman" w:cs="Times New Roman"/>
          <w:b/>
          <w:color w:val="222222"/>
          <w:sz w:val="24"/>
          <w:szCs w:val="24"/>
          <w:highlight w:val="yellow"/>
        </w:rPr>
        <w:t xml:space="preserve">PREVALENCE </w:t>
      </w:r>
      <w:r w:rsidR="007F1404" w:rsidRPr="00814ECD">
        <w:rPr>
          <w:rFonts w:ascii="Times New Roman" w:eastAsia="Times New Roman" w:hAnsi="Times New Roman" w:cs="Times New Roman"/>
          <w:b/>
          <w:color w:val="222222"/>
          <w:sz w:val="24"/>
          <w:szCs w:val="24"/>
          <w:highlight w:val="yellow"/>
        </w:rPr>
        <w:t xml:space="preserve">OF </w:t>
      </w:r>
      <w:r w:rsidR="00A11194" w:rsidRPr="00814ECD">
        <w:rPr>
          <w:rFonts w:ascii="Times New Roman" w:eastAsia="Times New Roman" w:hAnsi="Times New Roman" w:cs="Times New Roman"/>
          <w:b/>
          <w:color w:val="222222"/>
          <w:sz w:val="24"/>
          <w:szCs w:val="24"/>
          <w:highlight w:val="yellow"/>
        </w:rPr>
        <w:t>MRSA</w:t>
      </w:r>
      <w:r w:rsidRPr="00814ECD">
        <w:rPr>
          <w:rFonts w:ascii="Times New Roman" w:eastAsia="Times New Roman" w:hAnsi="Times New Roman" w:cs="Times New Roman"/>
          <w:b/>
          <w:color w:val="222222"/>
          <w:sz w:val="24"/>
          <w:szCs w:val="24"/>
          <w:highlight w:val="yellow"/>
        </w:rPr>
        <w:t xml:space="preserve"> IN ANIMALS</w:t>
      </w:r>
    </w:p>
    <w:tbl>
      <w:tblPr>
        <w:tblStyle w:val="a0"/>
        <w:tblW w:w="8208" w:type="dxa"/>
        <w:tblBorders>
          <w:top w:val="nil"/>
          <w:left w:val="nil"/>
          <w:bottom w:val="nil"/>
          <w:right w:val="nil"/>
          <w:insideH w:val="nil"/>
          <w:insideV w:val="nil"/>
        </w:tblBorders>
        <w:tblLayout w:type="fixed"/>
        <w:tblLook w:val="0600" w:firstRow="0" w:lastRow="0" w:firstColumn="0" w:lastColumn="0" w:noHBand="1" w:noVBand="1"/>
      </w:tblPr>
      <w:tblGrid>
        <w:gridCol w:w="2213"/>
        <w:gridCol w:w="2292"/>
        <w:gridCol w:w="3703"/>
      </w:tblGrid>
      <w:tr w:rsidR="00C534FC" w14:paraId="79DB6B6C" w14:textId="77777777">
        <w:trPr>
          <w:trHeight w:val="480"/>
        </w:trPr>
        <w:tc>
          <w:tcPr>
            <w:tcW w:w="2213" w:type="dxa"/>
            <w:tcBorders>
              <w:top w:val="single" w:sz="6" w:space="0" w:color="000000"/>
              <w:left w:val="nil"/>
              <w:bottom w:val="single" w:sz="6" w:space="0" w:color="000000"/>
              <w:right w:val="nil"/>
            </w:tcBorders>
            <w:tcMar>
              <w:top w:w="100" w:type="dxa"/>
              <w:left w:w="100" w:type="dxa"/>
              <w:bottom w:w="100" w:type="dxa"/>
              <w:right w:w="100" w:type="dxa"/>
            </w:tcMar>
          </w:tcPr>
          <w:p w14:paraId="5F655B80" w14:textId="77777777" w:rsidR="00C534FC" w:rsidRDefault="008150ED">
            <w:pPr>
              <w:spacing w:before="240" w:line="276"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SPECIES</w:t>
            </w:r>
          </w:p>
        </w:tc>
        <w:tc>
          <w:tcPr>
            <w:tcW w:w="2291" w:type="dxa"/>
            <w:tcBorders>
              <w:top w:val="single" w:sz="6" w:space="0" w:color="000000"/>
              <w:left w:val="nil"/>
              <w:bottom w:val="single" w:sz="6" w:space="0" w:color="000000"/>
              <w:right w:val="nil"/>
            </w:tcBorders>
            <w:tcMar>
              <w:top w:w="100" w:type="dxa"/>
              <w:left w:w="100" w:type="dxa"/>
              <w:bottom w:w="100" w:type="dxa"/>
              <w:right w:w="100" w:type="dxa"/>
            </w:tcMar>
          </w:tcPr>
          <w:p w14:paraId="4E742640" w14:textId="77777777" w:rsidR="00C534FC" w:rsidRDefault="008150ED">
            <w:pPr>
              <w:spacing w:before="240" w:line="276"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PREVALENCE</w:t>
            </w:r>
          </w:p>
        </w:tc>
        <w:tc>
          <w:tcPr>
            <w:tcW w:w="3702" w:type="dxa"/>
            <w:tcBorders>
              <w:top w:val="single" w:sz="6" w:space="0" w:color="000000"/>
              <w:left w:val="nil"/>
              <w:bottom w:val="single" w:sz="6" w:space="0" w:color="000000"/>
              <w:right w:val="nil"/>
            </w:tcBorders>
            <w:tcMar>
              <w:top w:w="100" w:type="dxa"/>
              <w:left w:w="100" w:type="dxa"/>
              <w:bottom w:w="100" w:type="dxa"/>
              <w:right w:w="100" w:type="dxa"/>
            </w:tcMar>
          </w:tcPr>
          <w:p w14:paraId="58EC3C8A" w14:textId="77777777" w:rsidR="00C534FC" w:rsidRDefault="008150ED">
            <w:pPr>
              <w:spacing w:before="240" w:line="276"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REFERENCE</w:t>
            </w:r>
          </w:p>
        </w:tc>
      </w:tr>
      <w:tr w:rsidR="00C534FC" w14:paraId="37BDA83E" w14:textId="77777777">
        <w:trPr>
          <w:trHeight w:val="480"/>
        </w:trPr>
        <w:tc>
          <w:tcPr>
            <w:tcW w:w="2213" w:type="dxa"/>
            <w:tcBorders>
              <w:top w:val="nil"/>
              <w:left w:val="nil"/>
              <w:bottom w:val="nil"/>
              <w:right w:val="nil"/>
            </w:tcBorders>
            <w:tcMar>
              <w:top w:w="100" w:type="dxa"/>
              <w:left w:w="100" w:type="dxa"/>
              <w:bottom w:w="100" w:type="dxa"/>
              <w:right w:w="100" w:type="dxa"/>
            </w:tcMar>
          </w:tcPr>
          <w:p w14:paraId="71B500A6"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Calves</w:t>
            </w:r>
          </w:p>
        </w:tc>
        <w:tc>
          <w:tcPr>
            <w:tcW w:w="2291" w:type="dxa"/>
            <w:tcBorders>
              <w:top w:val="nil"/>
              <w:left w:val="nil"/>
              <w:bottom w:val="nil"/>
              <w:right w:val="nil"/>
            </w:tcBorders>
            <w:tcMar>
              <w:top w:w="100" w:type="dxa"/>
              <w:left w:w="100" w:type="dxa"/>
              <w:bottom w:w="100" w:type="dxa"/>
              <w:right w:w="100" w:type="dxa"/>
            </w:tcMar>
          </w:tcPr>
          <w:p w14:paraId="47E6C83B"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88%</w:t>
            </w:r>
          </w:p>
        </w:tc>
        <w:tc>
          <w:tcPr>
            <w:tcW w:w="3702" w:type="dxa"/>
            <w:tcBorders>
              <w:top w:val="nil"/>
              <w:left w:val="nil"/>
              <w:bottom w:val="nil"/>
              <w:right w:val="nil"/>
            </w:tcBorders>
            <w:tcMar>
              <w:top w:w="100" w:type="dxa"/>
              <w:left w:w="100" w:type="dxa"/>
              <w:bottom w:w="100" w:type="dxa"/>
              <w:right w:w="100" w:type="dxa"/>
            </w:tcMar>
          </w:tcPr>
          <w:p w14:paraId="7B9C56DF"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Graveland</w:t>
            </w:r>
            <w:proofErr w:type="spellEnd"/>
            <w:r>
              <w:rPr>
                <w:rFonts w:ascii="Times New Roman" w:eastAsia="Times New Roman" w:hAnsi="Times New Roman" w:cs="Times New Roman"/>
                <w:color w:val="222222"/>
                <w:sz w:val="24"/>
                <w:szCs w:val="24"/>
                <w:highlight w:val="white"/>
              </w:rPr>
              <w:t xml:space="preserve"> et al., 2010</w:t>
            </w:r>
          </w:p>
        </w:tc>
      </w:tr>
      <w:tr w:rsidR="00C534FC" w14:paraId="0575BCCF" w14:textId="77777777">
        <w:trPr>
          <w:trHeight w:val="465"/>
        </w:trPr>
        <w:tc>
          <w:tcPr>
            <w:tcW w:w="2213" w:type="dxa"/>
            <w:tcBorders>
              <w:top w:val="nil"/>
              <w:left w:val="nil"/>
              <w:bottom w:val="nil"/>
              <w:right w:val="nil"/>
            </w:tcBorders>
            <w:tcMar>
              <w:top w:w="100" w:type="dxa"/>
              <w:left w:w="100" w:type="dxa"/>
              <w:bottom w:w="100" w:type="dxa"/>
              <w:right w:w="100" w:type="dxa"/>
            </w:tcMar>
          </w:tcPr>
          <w:p w14:paraId="01EC1656"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Pigs</w:t>
            </w:r>
          </w:p>
        </w:tc>
        <w:tc>
          <w:tcPr>
            <w:tcW w:w="2291" w:type="dxa"/>
            <w:tcBorders>
              <w:top w:val="nil"/>
              <w:left w:val="nil"/>
              <w:bottom w:val="nil"/>
              <w:right w:val="nil"/>
            </w:tcBorders>
            <w:tcMar>
              <w:top w:w="100" w:type="dxa"/>
              <w:left w:w="100" w:type="dxa"/>
              <w:bottom w:w="100" w:type="dxa"/>
              <w:right w:w="100" w:type="dxa"/>
            </w:tcMar>
          </w:tcPr>
          <w:p w14:paraId="5921A37A"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52%</w:t>
            </w:r>
          </w:p>
        </w:tc>
        <w:tc>
          <w:tcPr>
            <w:tcW w:w="3702" w:type="dxa"/>
            <w:tcBorders>
              <w:top w:val="nil"/>
              <w:left w:val="nil"/>
              <w:bottom w:val="nil"/>
              <w:right w:val="nil"/>
            </w:tcBorders>
            <w:tcMar>
              <w:top w:w="100" w:type="dxa"/>
              <w:left w:w="100" w:type="dxa"/>
              <w:bottom w:w="100" w:type="dxa"/>
              <w:right w:w="100" w:type="dxa"/>
            </w:tcMar>
          </w:tcPr>
          <w:p w14:paraId="7A896F0A"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Alt et al., 2011</w:t>
            </w:r>
          </w:p>
        </w:tc>
      </w:tr>
      <w:tr w:rsidR="00C534FC" w14:paraId="39AE8334" w14:textId="77777777">
        <w:trPr>
          <w:trHeight w:val="465"/>
        </w:trPr>
        <w:tc>
          <w:tcPr>
            <w:tcW w:w="2213" w:type="dxa"/>
            <w:tcBorders>
              <w:top w:val="nil"/>
              <w:left w:val="nil"/>
              <w:bottom w:val="nil"/>
              <w:right w:val="nil"/>
            </w:tcBorders>
            <w:tcMar>
              <w:top w:w="100" w:type="dxa"/>
              <w:left w:w="100" w:type="dxa"/>
              <w:bottom w:w="100" w:type="dxa"/>
              <w:right w:w="100" w:type="dxa"/>
            </w:tcMar>
          </w:tcPr>
          <w:p w14:paraId="10D91384"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Cows </w:t>
            </w:r>
          </w:p>
        </w:tc>
        <w:tc>
          <w:tcPr>
            <w:tcW w:w="2291" w:type="dxa"/>
            <w:tcBorders>
              <w:top w:val="nil"/>
              <w:left w:val="nil"/>
              <w:bottom w:val="nil"/>
              <w:right w:val="nil"/>
            </w:tcBorders>
            <w:tcMar>
              <w:top w:w="100" w:type="dxa"/>
              <w:left w:w="100" w:type="dxa"/>
              <w:bottom w:w="100" w:type="dxa"/>
              <w:right w:w="100" w:type="dxa"/>
            </w:tcMar>
          </w:tcPr>
          <w:p w14:paraId="72CE58E9"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p>
        </w:tc>
        <w:tc>
          <w:tcPr>
            <w:tcW w:w="3702" w:type="dxa"/>
            <w:tcBorders>
              <w:top w:val="nil"/>
              <w:left w:val="nil"/>
              <w:bottom w:val="nil"/>
              <w:right w:val="nil"/>
            </w:tcBorders>
            <w:tcMar>
              <w:top w:w="100" w:type="dxa"/>
              <w:left w:w="100" w:type="dxa"/>
              <w:bottom w:w="100" w:type="dxa"/>
              <w:right w:w="100" w:type="dxa"/>
            </w:tcMar>
          </w:tcPr>
          <w:p w14:paraId="7135D80E"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Vandendriessche et al., 2013</w:t>
            </w:r>
          </w:p>
        </w:tc>
      </w:tr>
      <w:tr w:rsidR="00C534FC" w14:paraId="57BBD8F1" w14:textId="77777777">
        <w:trPr>
          <w:trHeight w:val="465"/>
        </w:trPr>
        <w:tc>
          <w:tcPr>
            <w:tcW w:w="2213" w:type="dxa"/>
            <w:tcBorders>
              <w:top w:val="nil"/>
              <w:left w:val="nil"/>
              <w:bottom w:val="nil"/>
              <w:right w:val="nil"/>
            </w:tcBorders>
            <w:tcMar>
              <w:top w:w="100" w:type="dxa"/>
              <w:left w:w="100" w:type="dxa"/>
              <w:bottom w:w="100" w:type="dxa"/>
              <w:right w:w="100" w:type="dxa"/>
            </w:tcMar>
          </w:tcPr>
          <w:p w14:paraId="76EC2DF1"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Broilers</w:t>
            </w:r>
          </w:p>
        </w:tc>
        <w:tc>
          <w:tcPr>
            <w:tcW w:w="2291" w:type="dxa"/>
            <w:tcBorders>
              <w:top w:val="nil"/>
              <w:left w:val="nil"/>
              <w:bottom w:val="nil"/>
              <w:right w:val="nil"/>
            </w:tcBorders>
            <w:tcMar>
              <w:top w:w="100" w:type="dxa"/>
              <w:left w:w="100" w:type="dxa"/>
              <w:bottom w:w="100" w:type="dxa"/>
              <w:right w:w="100" w:type="dxa"/>
            </w:tcMar>
          </w:tcPr>
          <w:p w14:paraId="5DAB5E66"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p>
        </w:tc>
        <w:tc>
          <w:tcPr>
            <w:tcW w:w="3702" w:type="dxa"/>
            <w:tcBorders>
              <w:top w:val="nil"/>
              <w:left w:val="nil"/>
              <w:bottom w:val="nil"/>
              <w:right w:val="nil"/>
            </w:tcBorders>
            <w:tcMar>
              <w:top w:w="100" w:type="dxa"/>
              <w:left w:w="100" w:type="dxa"/>
              <w:bottom w:w="100" w:type="dxa"/>
              <w:right w:w="100" w:type="dxa"/>
            </w:tcMar>
          </w:tcPr>
          <w:p w14:paraId="125165D2"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Grema et al., 2015</w:t>
            </w:r>
          </w:p>
        </w:tc>
      </w:tr>
      <w:tr w:rsidR="00C534FC" w14:paraId="5EFB7EF8" w14:textId="77777777">
        <w:trPr>
          <w:trHeight w:val="465"/>
        </w:trPr>
        <w:tc>
          <w:tcPr>
            <w:tcW w:w="2213" w:type="dxa"/>
            <w:tcBorders>
              <w:top w:val="nil"/>
              <w:left w:val="nil"/>
              <w:bottom w:val="nil"/>
              <w:right w:val="nil"/>
            </w:tcBorders>
            <w:tcMar>
              <w:top w:w="100" w:type="dxa"/>
              <w:left w:w="100" w:type="dxa"/>
              <w:bottom w:w="100" w:type="dxa"/>
              <w:right w:w="100" w:type="dxa"/>
            </w:tcMar>
          </w:tcPr>
          <w:p w14:paraId="5C7E8378"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Elephant</w:t>
            </w:r>
          </w:p>
        </w:tc>
        <w:tc>
          <w:tcPr>
            <w:tcW w:w="2291" w:type="dxa"/>
            <w:tcBorders>
              <w:top w:val="nil"/>
              <w:left w:val="nil"/>
              <w:bottom w:val="nil"/>
              <w:right w:val="nil"/>
            </w:tcBorders>
            <w:tcMar>
              <w:top w:w="100" w:type="dxa"/>
              <w:left w:w="100" w:type="dxa"/>
              <w:bottom w:w="100" w:type="dxa"/>
              <w:right w:w="100" w:type="dxa"/>
            </w:tcMar>
          </w:tcPr>
          <w:p w14:paraId="7C867E56"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100%</w:t>
            </w:r>
          </w:p>
        </w:tc>
        <w:tc>
          <w:tcPr>
            <w:tcW w:w="3702" w:type="dxa"/>
            <w:tcBorders>
              <w:top w:val="nil"/>
              <w:left w:val="nil"/>
              <w:bottom w:val="nil"/>
              <w:right w:val="nil"/>
            </w:tcBorders>
            <w:tcMar>
              <w:top w:w="100" w:type="dxa"/>
              <w:left w:w="100" w:type="dxa"/>
              <w:bottom w:w="100" w:type="dxa"/>
              <w:right w:w="100" w:type="dxa"/>
            </w:tcMar>
          </w:tcPr>
          <w:p w14:paraId="4EA9B116"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Leggiadro</w:t>
            </w:r>
            <w:proofErr w:type="spellEnd"/>
            <w:r>
              <w:rPr>
                <w:rFonts w:ascii="Times New Roman" w:eastAsia="Times New Roman" w:hAnsi="Times New Roman" w:cs="Times New Roman"/>
                <w:color w:val="222222"/>
                <w:sz w:val="24"/>
                <w:szCs w:val="24"/>
                <w:highlight w:val="white"/>
              </w:rPr>
              <w:t>, 2009</w:t>
            </w:r>
          </w:p>
        </w:tc>
      </w:tr>
      <w:tr w:rsidR="00C534FC" w14:paraId="45BBEB3E" w14:textId="77777777">
        <w:trPr>
          <w:trHeight w:val="465"/>
        </w:trPr>
        <w:tc>
          <w:tcPr>
            <w:tcW w:w="2213" w:type="dxa"/>
            <w:tcBorders>
              <w:top w:val="nil"/>
              <w:left w:val="nil"/>
              <w:bottom w:val="nil"/>
              <w:right w:val="nil"/>
            </w:tcBorders>
            <w:tcMar>
              <w:top w:w="100" w:type="dxa"/>
              <w:left w:w="100" w:type="dxa"/>
              <w:bottom w:w="100" w:type="dxa"/>
              <w:right w:w="100" w:type="dxa"/>
            </w:tcMar>
          </w:tcPr>
          <w:p w14:paraId="7142D219"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Dogs</w:t>
            </w:r>
          </w:p>
        </w:tc>
        <w:tc>
          <w:tcPr>
            <w:tcW w:w="2291" w:type="dxa"/>
            <w:tcBorders>
              <w:top w:val="nil"/>
              <w:left w:val="nil"/>
              <w:bottom w:val="nil"/>
              <w:right w:val="nil"/>
            </w:tcBorders>
            <w:tcMar>
              <w:top w:w="100" w:type="dxa"/>
              <w:left w:w="100" w:type="dxa"/>
              <w:bottom w:w="100" w:type="dxa"/>
              <w:right w:w="100" w:type="dxa"/>
            </w:tcMar>
          </w:tcPr>
          <w:p w14:paraId="2B82F967"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62.7</w:t>
            </w:r>
          </w:p>
        </w:tc>
        <w:tc>
          <w:tcPr>
            <w:tcW w:w="3702" w:type="dxa"/>
            <w:tcBorders>
              <w:top w:val="nil"/>
              <w:left w:val="nil"/>
              <w:bottom w:val="nil"/>
              <w:right w:val="nil"/>
            </w:tcBorders>
            <w:tcMar>
              <w:top w:w="100" w:type="dxa"/>
              <w:left w:w="100" w:type="dxa"/>
              <w:bottom w:w="100" w:type="dxa"/>
              <w:right w:w="100" w:type="dxa"/>
            </w:tcMar>
          </w:tcPr>
          <w:p w14:paraId="5AA6A2AF"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Grema et al., 2015</w:t>
            </w:r>
          </w:p>
        </w:tc>
      </w:tr>
      <w:tr w:rsidR="00C534FC" w14:paraId="3D4E6289" w14:textId="77777777">
        <w:trPr>
          <w:trHeight w:val="465"/>
        </w:trPr>
        <w:tc>
          <w:tcPr>
            <w:tcW w:w="2213" w:type="dxa"/>
            <w:tcBorders>
              <w:top w:val="nil"/>
              <w:left w:val="nil"/>
              <w:bottom w:val="nil"/>
              <w:right w:val="nil"/>
            </w:tcBorders>
            <w:tcMar>
              <w:top w:w="100" w:type="dxa"/>
              <w:left w:w="100" w:type="dxa"/>
              <w:bottom w:w="100" w:type="dxa"/>
              <w:right w:w="100" w:type="dxa"/>
            </w:tcMar>
          </w:tcPr>
          <w:p w14:paraId="553C70EE"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Cats and Horses</w:t>
            </w:r>
          </w:p>
        </w:tc>
        <w:tc>
          <w:tcPr>
            <w:tcW w:w="2291" w:type="dxa"/>
            <w:tcBorders>
              <w:top w:val="nil"/>
              <w:left w:val="nil"/>
              <w:bottom w:val="nil"/>
              <w:right w:val="nil"/>
            </w:tcBorders>
            <w:tcMar>
              <w:top w:w="100" w:type="dxa"/>
              <w:left w:w="100" w:type="dxa"/>
              <w:bottom w:w="100" w:type="dxa"/>
              <w:right w:w="100" w:type="dxa"/>
            </w:tcMar>
          </w:tcPr>
          <w:p w14:paraId="0AC53846"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46.4 &amp; 41.3</w:t>
            </w:r>
          </w:p>
        </w:tc>
        <w:tc>
          <w:tcPr>
            <w:tcW w:w="3702" w:type="dxa"/>
            <w:tcBorders>
              <w:top w:val="nil"/>
              <w:left w:val="nil"/>
              <w:bottom w:val="nil"/>
              <w:right w:val="nil"/>
            </w:tcBorders>
            <w:tcMar>
              <w:top w:w="100" w:type="dxa"/>
              <w:left w:w="100" w:type="dxa"/>
              <w:bottom w:w="100" w:type="dxa"/>
              <w:right w:w="100" w:type="dxa"/>
            </w:tcMar>
          </w:tcPr>
          <w:p w14:paraId="4B0C98CA"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Vincze et al., 2014</w:t>
            </w:r>
          </w:p>
        </w:tc>
      </w:tr>
      <w:tr w:rsidR="00C534FC" w14:paraId="76E092F1" w14:textId="77777777">
        <w:trPr>
          <w:trHeight w:val="480"/>
        </w:trPr>
        <w:tc>
          <w:tcPr>
            <w:tcW w:w="2213" w:type="dxa"/>
            <w:tcBorders>
              <w:top w:val="nil"/>
              <w:left w:val="nil"/>
              <w:bottom w:val="single" w:sz="6" w:space="0" w:color="000000"/>
              <w:right w:val="nil"/>
            </w:tcBorders>
            <w:tcMar>
              <w:top w:w="100" w:type="dxa"/>
              <w:left w:w="100" w:type="dxa"/>
              <w:bottom w:w="100" w:type="dxa"/>
              <w:right w:w="100" w:type="dxa"/>
            </w:tcMar>
          </w:tcPr>
          <w:p w14:paraId="032703DB" w14:textId="77777777" w:rsidR="00C534FC" w:rsidRDefault="008150ED">
            <w:pPr>
              <w:spacing w:before="240" w:line="276"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Tilapia (Fish)</w:t>
            </w:r>
          </w:p>
        </w:tc>
        <w:tc>
          <w:tcPr>
            <w:tcW w:w="2291" w:type="dxa"/>
            <w:tcBorders>
              <w:top w:val="nil"/>
              <w:left w:val="nil"/>
              <w:bottom w:val="single" w:sz="6" w:space="0" w:color="000000"/>
              <w:right w:val="nil"/>
            </w:tcBorders>
            <w:tcMar>
              <w:top w:w="100" w:type="dxa"/>
              <w:left w:w="100" w:type="dxa"/>
              <w:bottom w:w="100" w:type="dxa"/>
              <w:right w:w="100" w:type="dxa"/>
            </w:tcMar>
          </w:tcPr>
          <w:p w14:paraId="0ACB931F"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50%</w:t>
            </w:r>
          </w:p>
        </w:tc>
        <w:tc>
          <w:tcPr>
            <w:tcW w:w="3702" w:type="dxa"/>
            <w:tcBorders>
              <w:top w:val="nil"/>
              <w:left w:val="nil"/>
              <w:bottom w:val="single" w:sz="6" w:space="0" w:color="000000"/>
              <w:right w:val="nil"/>
            </w:tcBorders>
            <w:tcMar>
              <w:top w:w="100" w:type="dxa"/>
              <w:left w:w="100" w:type="dxa"/>
              <w:bottom w:w="100" w:type="dxa"/>
              <w:right w:w="100" w:type="dxa"/>
            </w:tcMar>
          </w:tcPr>
          <w:p w14:paraId="3ED7C655" w14:textId="77777777" w:rsidR="00C534FC" w:rsidRDefault="008150ED">
            <w:pPr>
              <w:spacing w:before="240" w:line="276"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Soliman et al., 2014</w:t>
            </w:r>
          </w:p>
        </w:tc>
      </w:tr>
    </w:tbl>
    <w:p w14:paraId="207223EF" w14:textId="77777777" w:rsidR="00C534FC" w:rsidRDefault="00C534FC">
      <w:pPr>
        <w:spacing w:line="360" w:lineRule="auto"/>
        <w:jc w:val="both"/>
        <w:rPr>
          <w:rFonts w:ascii="Times New Roman" w:eastAsia="Times New Roman" w:hAnsi="Times New Roman" w:cs="Times New Roman"/>
          <w:sz w:val="24"/>
          <w:szCs w:val="24"/>
        </w:rPr>
      </w:pPr>
    </w:p>
    <w:p w14:paraId="55D94F61"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Pets like dogs, cats, and horses have become integral members of many families, increasing the likelihood of MRSA colonization or infection spreading from these animals to humans (Mustapha et al., 2014). </w:t>
      </w:r>
    </w:p>
    <w:p w14:paraId="0CC727FD"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MRSA primarily manifests as skin and soft tissue infections. In the UK, most hospital-isolated MRSA strains belong to EMRSA-15 (ST22) and EMRSA-16 (ST36) (Ellington et al., 2010). In contrast, USA100 (ST5) is the predominant strain found in American pets and is linked to HA-MRSA infections in humans (Grema et al., 2015). Additionally, research in the UK identified MRSA clone ST398 in dogs and horses, a strain typically associated with livestock (Loeffler et al., 2009).</w:t>
      </w:r>
    </w:p>
    <w:p w14:paraId="4F55D007" w14:textId="52636D70"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have documented </w:t>
      </w:r>
      <w:r w:rsidRPr="00814ECD">
        <w:rPr>
          <w:rFonts w:ascii="Times New Roman" w:eastAsia="Times New Roman" w:hAnsi="Times New Roman" w:cs="Times New Roman"/>
          <w:sz w:val="24"/>
          <w:szCs w:val="24"/>
          <w:highlight w:val="yellow"/>
        </w:rPr>
        <w:t xml:space="preserve">MRSA </w:t>
      </w:r>
      <w:proofErr w:type="spellStart"/>
      <w:r w:rsidR="007F1404" w:rsidRPr="00814ECD">
        <w:rPr>
          <w:rFonts w:ascii="Times New Roman" w:eastAsia="Times New Roman" w:hAnsi="Times New Roman" w:cs="Times New Roman"/>
          <w:sz w:val="24"/>
          <w:szCs w:val="24"/>
          <w:highlight w:val="yellow"/>
        </w:rPr>
        <w:t>colonisation</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in horse</w:t>
      </w:r>
      <w:r>
        <w:rPr>
          <w:rFonts w:ascii="Times New Roman" w:eastAsia="Times New Roman" w:hAnsi="Times New Roman" w:cs="Times New Roman"/>
          <w:sz w:val="24"/>
          <w:szCs w:val="24"/>
        </w:rPr>
        <w:t xml:space="preserve">s, with reported prevalence rates ranging from 0 to 11% (Loeffler et al., 2011). </w:t>
      </w:r>
      <w:r w:rsidR="00743264">
        <w:rPr>
          <w:rFonts w:ascii="Times New Roman" w:eastAsia="Times New Roman" w:hAnsi="Times New Roman" w:cs="Times New Roman"/>
          <w:sz w:val="24"/>
          <w:szCs w:val="24"/>
        </w:rPr>
        <w:t>Many</w:t>
      </w:r>
      <w:r>
        <w:rPr>
          <w:rFonts w:ascii="Times New Roman" w:eastAsia="Times New Roman" w:hAnsi="Times New Roman" w:cs="Times New Roman"/>
          <w:sz w:val="24"/>
          <w:szCs w:val="24"/>
        </w:rPr>
        <w:t xml:space="preserve"> MRSA cases and outbreaks have been observed in large stables and in cases involving post-operative complications (Grema et al., 2015; Morgan, 2008). Additionally, the MRSA strains identified in horses differ from those commonly found in humans.</w:t>
      </w:r>
    </w:p>
    <w:p w14:paraId="2A1A8272" w14:textId="77777777" w:rsidR="00C534FC" w:rsidRDefault="008150E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zoonotic transmission of pathways of MRSA </w:t>
      </w:r>
    </w:p>
    <w:p w14:paraId="560B2A73" w14:textId="4B6A4CC2"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movement of animals across various habitats and their interactions with other livestock, wildlife, and humans can facilitate bacterial transmission. Such contact significantly raises the likelihood of </w:t>
      </w:r>
      <w:r w:rsidRPr="00814ECD">
        <w:rPr>
          <w:rFonts w:ascii="Times New Roman" w:eastAsia="Times New Roman" w:hAnsi="Times New Roman" w:cs="Times New Roman"/>
          <w:sz w:val="24"/>
          <w:szCs w:val="24"/>
          <w:highlight w:val="yellow"/>
        </w:rPr>
        <w:t xml:space="preserve">MRSA </w:t>
      </w:r>
      <w:proofErr w:type="spellStart"/>
      <w:r w:rsidR="007F1404" w:rsidRPr="00814ECD">
        <w:rPr>
          <w:rFonts w:ascii="Times New Roman" w:eastAsia="Times New Roman" w:hAnsi="Times New Roman" w:cs="Times New Roman"/>
          <w:sz w:val="24"/>
          <w:szCs w:val="24"/>
          <w:highlight w:val="yellow"/>
        </w:rPr>
        <w:t>colonisation</w:t>
      </w:r>
      <w:proofErr w:type="spellEnd"/>
      <w:r w:rsidRPr="00814ECD">
        <w:rPr>
          <w:rFonts w:ascii="Times New Roman" w:eastAsia="Times New Roman" w:hAnsi="Times New Roman" w:cs="Times New Roman"/>
          <w:sz w:val="24"/>
          <w:szCs w:val="24"/>
          <w:highlight w:val="yellow"/>
        </w:rPr>
        <w:t>, with both</w:t>
      </w:r>
      <w:r>
        <w:rPr>
          <w:rFonts w:ascii="Times New Roman" w:eastAsia="Times New Roman" w:hAnsi="Times New Roman" w:cs="Times New Roman"/>
          <w:sz w:val="24"/>
          <w:szCs w:val="24"/>
        </w:rPr>
        <w:t xml:space="preserve"> animals and humans being at risk of acquiring infections (Penna et al., 2021). Antimicrobial-resistant bacteria are typically spread through human-related activities. Key sources include domestic wastewater discharge, industrial sanitary waste, and agricultural runoff. These sources are believed to be significant contributors to the transmission of AMR bacteria to wildlife (Akhtar et al., 2023; </w:t>
      </w:r>
      <w:proofErr w:type="spellStart"/>
      <w:r>
        <w:rPr>
          <w:rFonts w:ascii="Times New Roman" w:eastAsia="Times New Roman" w:hAnsi="Times New Roman" w:cs="Times New Roman"/>
          <w:sz w:val="24"/>
          <w:szCs w:val="24"/>
        </w:rPr>
        <w:t>Rousham</w:t>
      </w:r>
      <w:proofErr w:type="spellEnd"/>
      <w:r>
        <w:rPr>
          <w:rFonts w:ascii="Times New Roman" w:eastAsia="Times New Roman" w:hAnsi="Times New Roman" w:cs="Times New Roman"/>
          <w:sz w:val="24"/>
          <w:szCs w:val="24"/>
        </w:rPr>
        <w:t xml:space="preserve"> et al., 2018).</w:t>
      </w:r>
    </w:p>
    <w:p w14:paraId="05687238"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ZOONOSIS THROUGH CONTACT </w:t>
      </w:r>
    </w:p>
    <w:p w14:paraId="12F28C2A" w14:textId="1A2C17BA"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many farmers, </w:t>
      </w:r>
      <w:r w:rsidRPr="00814ECD">
        <w:rPr>
          <w:rFonts w:ascii="Times New Roman" w:eastAsia="Times New Roman" w:hAnsi="Times New Roman" w:cs="Times New Roman"/>
          <w:sz w:val="24"/>
          <w:szCs w:val="24"/>
          <w:highlight w:val="yellow"/>
        </w:rPr>
        <w:t xml:space="preserve">MRSA </w:t>
      </w:r>
      <w:proofErr w:type="spellStart"/>
      <w:r w:rsidR="007F1404" w:rsidRPr="00814ECD">
        <w:rPr>
          <w:rFonts w:ascii="Times New Roman" w:eastAsia="Times New Roman" w:hAnsi="Times New Roman" w:cs="Times New Roman"/>
          <w:sz w:val="24"/>
          <w:szCs w:val="24"/>
          <w:highlight w:val="yellow"/>
        </w:rPr>
        <w:t>colonisation</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persisted</w:t>
      </w:r>
      <w:r>
        <w:rPr>
          <w:rFonts w:ascii="Times New Roman" w:eastAsia="Times New Roman" w:hAnsi="Times New Roman" w:cs="Times New Roman"/>
          <w:sz w:val="24"/>
          <w:szCs w:val="24"/>
        </w:rPr>
        <w:t xml:space="preserve"> even after they temporarily ceased contact with animals, such as during holidays. In contrast, other individuals residing on contaminated farms, such as household members, exhibited a lower </w:t>
      </w:r>
      <w:proofErr w:type="spellStart"/>
      <w:r w:rsidR="007F1404" w:rsidRPr="00814ECD">
        <w:rPr>
          <w:rFonts w:ascii="Times New Roman" w:eastAsia="Times New Roman" w:hAnsi="Times New Roman" w:cs="Times New Roman"/>
          <w:sz w:val="24"/>
          <w:szCs w:val="24"/>
          <w:highlight w:val="yellow"/>
        </w:rPr>
        <w:t>colonisation</w:t>
      </w:r>
      <w:proofErr w:type="spellEnd"/>
      <w:r w:rsidR="007F14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rate of approximately 4%–5% (Akhtar et al., 2023). </w:t>
      </w:r>
    </w:p>
    <w:p w14:paraId="7DF7D51C"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ZOONOSIS OF LA-MRSA TO HUMANS</w:t>
      </w:r>
    </w:p>
    <w:p w14:paraId="27B799AC" w14:textId="2896EBE0"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Initially, the spread of MRSA infections in food-producing and companion animals was believed to be slow. However, it has now emerged as a significant concern for both food animals and the food industry. LA-MRSA</w:t>
      </w:r>
      <w:r w:rsidR="00743264">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 xml:space="preserve"> a major contributor to mastitis in cows and buffaloes, leading to reduced or completely halted milk production (Javed et al., 2021). LA-MRSA also contributes to infections in poultry, including comb necrosis, chondronecrosis, and septic conditions. Nearly all companion animals, such as dogs, cats, and horses, can serve as potential sources of LA-MRSA transmission to humans through direct or indirect contact. Additionally, LA-MRSA </w:t>
      </w:r>
      <w:proofErr w:type="spellStart"/>
      <w:r w:rsidR="007F1404" w:rsidRPr="00814ECD">
        <w:rPr>
          <w:rFonts w:ascii="Times New Roman" w:eastAsia="Times New Roman" w:hAnsi="Times New Roman" w:cs="Times New Roman"/>
          <w:sz w:val="24"/>
          <w:szCs w:val="24"/>
          <w:highlight w:val="yellow"/>
        </w:rPr>
        <w:t>colonisation</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has been documented in various wild animals, including foxes, roe deer,</w:t>
      </w:r>
      <w:r>
        <w:rPr>
          <w:rFonts w:ascii="Times New Roman" w:eastAsia="Times New Roman" w:hAnsi="Times New Roman" w:cs="Times New Roman"/>
          <w:sz w:val="24"/>
          <w:szCs w:val="24"/>
        </w:rPr>
        <w:t xml:space="preserve"> rabbits, wild boars, and birds such as pigeons, pheasants, ducks, buzzards, gulls, and rooks (Shoaib et al., 2022).</w:t>
      </w:r>
    </w:p>
    <w:p w14:paraId="498F10C2" w14:textId="6F582BF4"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can be reasonably concluded that the risk of MRSA infection in humans increases in areas with </w:t>
      </w:r>
      <w:r w:rsidRPr="00814ECD">
        <w:rPr>
          <w:rFonts w:ascii="Times New Roman" w:eastAsia="Times New Roman" w:hAnsi="Times New Roman" w:cs="Times New Roman"/>
          <w:sz w:val="24"/>
          <w:szCs w:val="24"/>
          <w:highlight w:val="yellow"/>
        </w:rPr>
        <w:t xml:space="preserve">high </w:t>
      </w:r>
      <w:proofErr w:type="spellStart"/>
      <w:r w:rsidR="007F1404" w:rsidRPr="00814ECD">
        <w:rPr>
          <w:rFonts w:ascii="Times New Roman" w:eastAsia="Times New Roman" w:hAnsi="Times New Roman" w:cs="Times New Roman"/>
          <w:sz w:val="24"/>
          <w:szCs w:val="24"/>
          <w:highlight w:val="yellow"/>
        </w:rPr>
        <w:t>colonisation</w:t>
      </w:r>
      <w:proofErr w:type="spellEnd"/>
      <w:r w:rsidRPr="00814ECD">
        <w:rPr>
          <w:rFonts w:ascii="Times New Roman" w:eastAsia="Times New Roman" w:hAnsi="Times New Roman" w:cs="Times New Roman"/>
          <w:sz w:val="24"/>
          <w:szCs w:val="24"/>
          <w:highlight w:val="yellow"/>
        </w:rPr>
        <w:t>, as the bacteria</w:t>
      </w:r>
      <w:r>
        <w:rPr>
          <w:rFonts w:ascii="Times New Roman" w:eastAsia="Times New Roman" w:hAnsi="Times New Roman" w:cs="Times New Roman"/>
          <w:sz w:val="24"/>
          <w:szCs w:val="24"/>
        </w:rPr>
        <w:t xml:space="preserve"> can be inhaled (Bos et al., 2016). Studies on MRSA-positive stables have shown that </w:t>
      </w:r>
      <w:r w:rsidRPr="00814ECD">
        <w:rPr>
          <w:rFonts w:ascii="Times New Roman" w:eastAsia="Times New Roman" w:hAnsi="Times New Roman" w:cs="Times New Roman"/>
          <w:sz w:val="24"/>
          <w:szCs w:val="24"/>
          <w:highlight w:val="yellow"/>
        </w:rPr>
        <w:t xml:space="preserve">nasal </w:t>
      </w:r>
      <w:proofErr w:type="spellStart"/>
      <w:r w:rsidR="007F1404" w:rsidRPr="00814ECD">
        <w:rPr>
          <w:rFonts w:ascii="Times New Roman" w:eastAsia="Times New Roman" w:hAnsi="Times New Roman" w:cs="Times New Roman"/>
          <w:sz w:val="24"/>
          <w:szCs w:val="24"/>
          <w:highlight w:val="yellow"/>
        </w:rPr>
        <w:t>colonisation</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in humans occurs i</w:t>
      </w:r>
      <w:r>
        <w:rPr>
          <w:rFonts w:ascii="Times New Roman" w:eastAsia="Times New Roman" w:hAnsi="Times New Roman" w:cs="Times New Roman"/>
          <w:sz w:val="24"/>
          <w:szCs w:val="24"/>
        </w:rPr>
        <w:t>n 77%–86% of cases (Akhtar et al., 2023). The development of these colonies appears to be influenced by the duration of exposure to the bacteria and the level of contact with infected animals (</w:t>
      </w: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et al., 2011). </w:t>
      </w:r>
    </w:p>
    <w:p w14:paraId="1082C1F0" w14:textId="77777777"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high transmissibility of MRSA genes is attributed to the widespread presence of S. aureus, making its control and eradication significantly challenging. The rapid global spread of MRSA has become a major concern for public health authorities (Akhtar et al., 2023).</w:t>
      </w:r>
    </w:p>
    <w:p w14:paraId="0356D767" w14:textId="249B14DF" w:rsidR="00C534FC" w:rsidRDefault="008150E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transmission of LA-MRSA from pets to their human owners highlights the importance of maintaining proper hygiene in daily routines (</w:t>
      </w:r>
      <w:proofErr w:type="spellStart"/>
      <w:r>
        <w:rPr>
          <w:rFonts w:ascii="Times New Roman" w:eastAsia="Times New Roman" w:hAnsi="Times New Roman" w:cs="Times New Roman"/>
          <w:sz w:val="24"/>
          <w:szCs w:val="24"/>
        </w:rPr>
        <w:t>Idelevich</w:t>
      </w:r>
      <w:proofErr w:type="spellEnd"/>
      <w:r>
        <w:rPr>
          <w:rFonts w:ascii="Times New Roman" w:eastAsia="Times New Roman" w:hAnsi="Times New Roman" w:cs="Times New Roman"/>
          <w:sz w:val="24"/>
          <w:szCs w:val="24"/>
        </w:rPr>
        <w:t xml:space="preserve"> et al., 2016). However, cases of human-to-human </w:t>
      </w:r>
      <w:r w:rsidRPr="00814ECD">
        <w:rPr>
          <w:rFonts w:ascii="Times New Roman" w:eastAsia="Times New Roman" w:hAnsi="Times New Roman" w:cs="Times New Roman"/>
          <w:sz w:val="24"/>
          <w:szCs w:val="24"/>
          <w:highlight w:val="yellow"/>
        </w:rPr>
        <w:t xml:space="preserve">transmission </w:t>
      </w:r>
      <w:r w:rsidR="007F1404" w:rsidRPr="00814ECD">
        <w:rPr>
          <w:rFonts w:ascii="Times New Roman" w:eastAsia="Times New Roman" w:hAnsi="Times New Roman" w:cs="Times New Roman"/>
          <w:sz w:val="24"/>
          <w:szCs w:val="24"/>
          <w:highlight w:val="yellow"/>
        </w:rPr>
        <w:t xml:space="preserve">are </w:t>
      </w:r>
      <w:r w:rsidRPr="00814ECD">
        <w:rPr>
          <w:rFonts w:ascii="Times New Roman" w:eastAsia="Times New Roman" w:hAnsi="Times New Roman" w:cs="Times New Roman"/>
          <w:sz w:val="24"/>
          <w:szCs w:val="24"/>
          <w:highlight w:val="yellow"/>
        </w:rPr>
        <w:t>relatively</w:t>
      </w:r>
      <w:r>
        <w:rPr>
          <w:rFonts w:ascii="Times New Roman" w:eastAsia="Times New Roman" w:hAnsi="Times New Roman" w:cs="Times New Roman"/>
          <w:sz w:val="24"/>
          <w:szCs w:val="24"/>
        </w:rPr>
        <w:t xml:space="preserve"> low when compared to zoonotic transmission. </w:t>
      </w:r>
    </w:p>
    <w:p w14:paraId="35923B46" w14:textId="77777777" w:rsidR="00C534FC" w:rsidRDefault="00C534FC">
      <w:pPr>
        <w:pBdr>
          <w:top w:val="nil"/>
          <w:left w:val="nil"/>
          <w:bottom w:val="nil"/>
          <w:right w:val="nil"/>
          <w:between w:val="nil"/>
        </w:pBdr>
        <w:jc w:val="both"/>
        <w:rPr>
          <w:rFonts w:ascii="Times New Roman" w:eastAsia="Times New Roman" w:hAnsi="Times New Roman" w:cs="Times New Roman"/>
          <w:sz w:val="24"/>
          <w:szCs w:val="24"/>
        </w:rPr>
      </w:pPr>
    </w:p>
    <w:p w14:paraId="45F8B064" w14:textId="77777777" w:rsidR="00C534FC" w:rsidRDefault="008150ED">
      <w:pPr>
        <w:spacing w:after="160"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MRSA in Livestock and Antibiotic Use in Animal Husbandry</w:t>
      </w:r>
    </w:p>
    <w:p w14:paraId="7093BC80" w14:textId="77777777" w:rsidR="00C534FC" w:rsidRDefault="008150ED">
      <w:pPr>
        <w:spacing w:after="160"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MRSA in Livestock and Poultry Farming, Its Prevalence in Industry and Small-Scale Farms</w:t>
      </w:r>
    </w:p>
    <w:p w14:paraId="6EB361F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 xml:space="preserve">(MRSA) has become a major public health concern, especially in cattle and poultry farming. The frequency of MRSA in various areas varies greatly depending on farming practices, biosecurity measures, and antibiotic use. According to studies, MRSA is ubiquitous in pigs, cattle, and poultry, with livestock-associated MRSA (LA-MRSA) strains, particularly ST398, being prominent in pig husbandry (van Loo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2007; Köck</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2010).</w:t>
      </w:r>
    </w:p>
    <w:p w14:paraId="72C287D0"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industrial farming settings, MRSA prevalence can be notably high due to the intensive nature of production and the frequent use of antibiotics. For instance, a study conducted in the Netherlands reported that approximately 50% of pig farms tested positive for MRSA (Wulf</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2006). In contrast, small-scale farms often exhibit lower prevalence rates, although they are not immune. </w:t>
      </w:r>
      <w:proofErr w:type="spellStart"/>
      <w:r>
        <w:rPr>
          <w:rFonts w:ascii="Times New Roman" w:eastAsia="Times New Roman" w:hAnsi="Times New Roman" w:cs="Times New Roman"/>
          <w:sz w:val="24"/>
          <w:szCs w:val="24"/>
        </w:rPr>
        <w:t>Researchharbour</w:t>
      </w:r>
      <w:proofErr w:type="spellEnd"/>
      <w:r>
        <w:rPr>
          <w:rFonts w:ascii="Times New Roman" w:eastAsia="Times New Roman" w:hAnsi="Times New Roman" w:cs="Times New Roman"/>
          <w:sz w:val="24"/>
          <w:szCs w:val="24"/>
        </w:rPr>
        <w:t xml:space="preserve"> MRSA, especially when biosecurity measures are lax or when animals are sourced from larger industrial farms (Brouwer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w:t>
      </w:r>
    </w:p>
    <w:p w14:paraId="2BE1283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conducted in Nigeria revealed that MRSA prevalence in poultry farms ranged from 7.9% to 37.5%, while in cattle, it ranged from 3.21% to 29% (Gaddafi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2025). Similarly, LA-MRSA has been identified in pigs, with prevalence rates as high as 53.9% in some regions (Gaddafi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2025). The prevalence of MRSA is influenced by factors such as farm management practices, hygiene standards, and the density of animal populations (Silva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14:paraId="77D1280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prevalence of MRSA in livestock and poultry farming underscores the need for ongoing surveillance and effective management strategies to mitigate the risks associated with this pathogen.</w:t>
      </w:r>
    </w:p>
    <w:p w14:paraId="2DF9E1D9"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The Role of Antibiotic Use in Animal Husbandry in Driving Resistance Development</w:t>
      </w:r>
    </w:p>
    <w:p w14:paraId="665A0FF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antibiotics in animal husbandry is a key factor contributing to the development and spread of antibiotic-resistant bacteria, including MRSA. Antibiotics are often administered to livestock not only for therapeutic purposes but also for </w:t>
      </w:r>
      <w:r>
        <w:rPr>
          <w:rFonts w:ascii="Times New Roman" w:eastAsia="Times New Roman" w:hAnsi="Times New Roman" w:cs="Times New Roman"/>
          <w:sz w:val="24"/>
          <w:szCs w:val="24"/>
        </w:rPr>
        <w:lastRenderedPageBreak/>
        <w:t xml:space="preserve">growth promotion and disease prevention, creating selective pressure that </w:t>
      </w:r>
      <w:proofErr w:type="spellStart"/>
      <w:r>
        <w:rPr>
          <w:rFonts w:ascii="Times New Roman" w:eastAsia="Times New Roman" w:hAnsi="Times New Roman" w:cs="Times New Roman"/>
          <w:sz w:val="24"/>
          <w:szCs w:val="24"/>
        </w:rPr>
        <w:t>favours</w:t>
      </w:r>
      <w:proofErr w:type="spellEnd"/>
      <w:r>
        <w:rPr>
          <w:rFonts w:ascii="Times New Roman" w:eastAsia="Times New Roman" w:hAnsi="Times New Roman" w:cs="Times New Roman"/>
          <w:sz w:val="24"/>
          <w:szCs w:val="24"/>
        </w:rPr>
        <w:t xml:space="preserve"> the survival of resistant strains (Landers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2012).</w:t>
      </w:r>
    </w:p>
    <w:p w14:paraId="2823FB55"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shows a direct link between antibiotic use in cattle and the spread of MRSA. </w:t>
      </w: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discovered that the incidence of MRSA in veal calf farms was related to antimicrobial use, indicating how antibiotic exposure contributes to resistance development. Furthermore, antibiotic abuse and misuse can contaminate the food supply and the environment, making resistant strains more likely to spread to humans (O'Brien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14:paraId="076DBBF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Antibiotics are widely used in livestock for growth promotion, disease prevention, and treatment, putting selective pressure on the evolution of resistant bacterial strains (</w:t>
      </w:r>
      <w:proofErr w:type="spellStart"/>
      <w:r>
        <w:rPr>
          <w:rFonts w:ascii="Times New Roman" w:eastAsia="Times New Roman" w:hAnsi="Times New Roman" w:cs="Times New Roman"/>
          <w:sz w:val="24"/>
          <w:szCs w:val="24"/>
        </w:rPr>
        <w:t>Sazykin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Resistance genes can spread from animals to people via direct contact, environmental mechanisms, or the food chain (Guo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The World Health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has stressed the importance of reducing antibiotic use in healthy animals in order to prevent resistance from spreading (WHO, 2017).</w:t>
      </w:r>
    </w:p>
    <w:p w14:paraId="17D14655"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Addressing antibiotic use in the livestock industry is critical to decreasing MRSA and other antibiotic-resistant diseases. Implementing stronger antibiotic use laws and fostering appropriate practices are critical measures toward </w:t>
      </w:r>
      <w:proofErr w:type="spellStart"/>
      <w:r>
        <w:rPr>
          <w:rFonts w:ascii="Times New Roman" w:eastAsia="Times New Roman" w:hAnsi="Times New Roman" w:cs="Times New Roman"/>
          <w:sz w:val="24"/>
          <w:szCs w:val="24"/>
        </w:rPr>
        <w:t>minimising</w:t>
      </w:r>
      <w:proofErr w:type="spellEnd"/>
      <w:r>
        <w:rPr>
          <w:rFonts w:ascii="Times New Roman" w:eastAsia="Times New Roman" w:hAnsi="Times New Roman" w:cs="Times New Roman"/>
          <w:sz w:val="24"/>
          <w:szCs w:val="24"/>
        </w:rPr>
        <w:t xml:space="preserve"> this public health threat.</w:t>
      </w:r>
    </w:p>
    <w:p w14:paraId="5283DC8E"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Strategies for Reducing MRSA in Livestock, Including Probiotic Treatments and Antibiotic Alternatives</w:t>
      </w:r>
    </w:p>
    <w:p w14:paraId="27B11DD6"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 increased frequency of MRSA in livestock, a variety of measures have been recommended, including the use of probiotics and antibiotic alternatives. Probiotics, which are live microorganisms that provide health benefits to the host, have shown promise in improving gut health and lowering the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of harmful bacteria like MRSA. According to research, giving probiotics to cattle can enhance overall health and lower infection rates, potentially reducing the need for antibiotics (Khan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w:t>
      </w:r>
    </w:p>
    <w:p w14:paraId="50D263F2"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addition to probiotics, alternative treatments such as phytochemicals, essential oils, and bacteriophages are being explored as viable options for reducing MRSA in livestock. For example, studies have demonstrated that certain essential oils possess antimicrobial properties capable of inhibiting MRSA growth (Hassan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Furthermore, bacteriophage therapy, which </w:t>
      </w:r>
      <w:proofErr w:type="spellStart"/>
      <w:r>
        <w:rPr>
          <w:rFonts w:ascii="Times New Roman" w:eastAsia="Times New Roman" w:hAnsi="Times New Roman" w:cs="Times New Roman"/>
          <w:sz w:val="24"/>
          <w:szCs w:val="24"/>
        </w:rPr>
        <w:t>utilises</w:t>
      </w:r>
      <w:proofErr w:type="spellEnd"/>
      <w:r>
        <w:rPr>
          <w:rFonts w:ascii="Times New Roman" w:eastAsia="Times New Roman" w:hAnsi="Times New Roman" w:cs="Times New Roman"/>
          <w:sz w:val="24"/>
          <w:szCs w:val="24"/>
        </w:rPr>
        <w:t xml:space="preserve"> viruses that specifically target bacteria, has shown potential in reducing bacterial loads in livestock without contributing to antibiotic resistance (Abedon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w:t>
      </w:r>
    </w:p>
    <w:p w14:paraId="32512683" w14:textId="6C7C71C5" w:rsidR="00C534FC" w:rsidRPr="00570F28"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Probiotic treatments have shown promise in enhancing gut health and reducing the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of pathogenic bacteria, including MRSA (Crespo-</w:t>
      </w:r>
      <w:proofErr w:type="spellStart"/>
      <w:r>
        <w:rPr>
          <w:rFonts w:ascii="Times New Roman" w:eastAsia="Times New Roman" w:hAnsi="Times New Roman" w:cs="Times New Roman"/>
          <w:sz w:val="24"/>
          <w:szCs w:val="24"/>
        </w:rPr>
        <w:t>Piazuelo</w:t>
      </w:r>
      <w:proofErr w:type="spellEnd"/>
      <w:r>
        <w:rPr>
          <w:rFonts w:ascii="Times New Roman" w:eastAsia="Times New Roman" w:hAnsi="Times New Roman" w:cs="Times New Roman"/>
          <w:sz w:val="24"/>
          <w:szCs w:val="24"/>
        </w:rPr>
        <w:t xml:space="preserve"> and Lawlor, 2021). Additionally, the use of prebiotics, bacteria, and essential oils as alternatives to antibiotics is gaining traction. Improved farm management practices, such as enhanced biosecurity measures and regular monitoring of antimicrobial resistance, are also critical (Fetsch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Furthermore, the adoption of One Health approaches that integrate human, animal, and environmental health perspectives is essential for sustainable solutions (Fetsch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r w:rsidR="007F1404">
        <w:rPr>
          <w:rFonts w:ascii="Times New Roman" w:eastAsia="Times New Roman" w:hAnsi="Times New Roman" w:cs="Times New Roman"/>
          <w:sz w:val="24"/>
          <w:szCs w:val="24"/>
        </w:rPr>
        <w:t xml:space="preserve">; </w:t>
      </w:r>
      <w:proofErr w:type="spellStart"/>
      <w:r w:rsidR="00570F28" w:rsidRPr="00570F28">
        <w:rPr>
          <w:rFonts w:ascii="Times New Roman" w:eastAsia="Times New Roman" w:hAnsi="Times New Roman" w:cs="Times New Roman"/>
          <w:sz w:val="24"/>
          <w:szCs w:val="24"/>
        </w:rPr>
        <w:t>Ezeako</w:t>
      </w:r>
      <w:proofErr w:type="spellEnd"/>
      <w:r w:rsidR="00570F28" w:rsidRPr="00570F28">
        <w:rPr>
          <w:rFonts w:ascii="Times New Roman" w:eastAsia="Times New Roman" w:hAnsi="Times New Roman" w:cs="Times New Roman"/>
          <w:sz w:val="24"/>
          <w:szCs w:val="24"/>
        </w:rPr>
        <w:t xml:space="preserve"> </w:t>
      </w:r>
      <w:r w:rsidR="00570F28" w:rsidRPr="00570F28">
        <w:rPr>
          <w:rFonts w:ascii="Times New Roman" w:eastAsia="Times New Roman" w:hAnsi="Times New Roman" w:cs="Times New Roman"/>
          <w:i/>
          <w:iCs/>
          <w:sz w:val="24"/>
          <w:szCs w:val="24"/>
        </w:rPr>
        <w:t>et al.</w:t>
      </w:r>
      <w:r w:rsidR="007F1404">
        <w:rPr>
          <w:rFonts w:ascii="Times New Roman" w:eastAsia="Times New Roman" w:hAnsi="Times New Roman" w:cs="Times New Roman"/>
          <w:i/>
          <w:iCs/>
          <w:sz w:val="24"/>
          <w:szCs w:val="24"/>
        </w:rPr>
        <w:t>,</w:t>
      </w:r>
      <w:r w:rsidR="00570F28" w:rsidRPr="00570F28">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w:t>
      </w:r>
    </w:p>
    <w:p w14:paraId="6E3F4322" w14:textId="77777777" w:rsidR="00C534FC" w:rsidRDefault="008150ED">
      <w:pP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Implementing these strategies requires a multifaceted approach, including educating farmers on the benefits of alternative treatments, investing in research to identify effective probiotic strains and phytochemicals, and establishing guidelines for their use in livestock production.</w:t>
      </w:r>
    </w:p>
    <w:p w14:paraId="0BFF5D80" w14:textId="77777777" w:rsidR="00C534FC" w:rsidRDefault="00C534FC">
      <w:pPr>
        <w:pBdr>
          <w:top w:val="nil"/>
          <w:left w:val="nil"/>
          <w:bottom w:val="nil"/>
          <w:right w:val="nil"/>
          <w:between w:val="nil"/>
        </w:pBdr>
        <w:jc w:val="both"/>
        <w:rPr>
          <w:rFonts w:ascii="Times New Roman" w:eastAsia="Times New Roman" w:hAnsi="Times New Roman" w:cs="Times New Roman"/>
          <w:color w:val="000000"/>
          <w:sz w:val="24"/>
          <w:szCs w:val="24"/>
        </w:rPr>
      </w:pPr>
    </w:p>
    <w:p w14:paraId="5EB2AB6C" w14:textId="77777777" w:rsidR="00C534FC" w:rsidRDefault="008150ED">
      <w:pPr>
        <w:keepNext/>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4. PLANT-BASED STRATEGIES FOR MRSA CONTROL</w:t>
      </w:r>
    </w:p>
    <w:p w14:paraId="076749B8" w14:textId="400654E7"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rise of MRSA today has created a need for alternative antimicrobial strategies, </w:t>
      </w:r>
      <w:r w:rsidRPr="00814ECD">
        <w:rPr>
          <w:rFonts w:ascii="Times New Roman" w:eastAsia="Times New Roman" w:hAnsi="Times New Roman" w:cs="Times New Roman"/>
          <w:sz w:val="24"/>
          <w:szCs w:val="24"/>
          <w:highlight w:val="yellow"/>
        </w:rPr>
        <w:t xml:space="preserve">among which </w:t>
      </w:r>
      <w:r w:rsidR="007F1404" w:rsidRPr="00814ECD">
        <w:rPr>
          <w:rFonts w:ascii="Times New Roman" w:eastAsia="Times New Roman" w:hAnsi="Times New Roman" w:cs="Times New Roman"/>
          <w:sz w:val="24"/>
          <w:szCs w:val="24"/>
          <w:highlight w:val="yellow"/>
        </w:rPr>
        <w:t xml:space="preserve">are </w:t>
      </w:r>
      <w:r w:rsidRPr="00814ECD">
        <w:rPr>
          <w:rFonts w:ascii="Times New Roman" w:eastAsia="Times New Roman" w:hAnsi="Times New Roman" w:cs="Times New Roman"/>
          <w:sz w:val="24"/>
          <w:szCs w:val="24"/>
          <w:highlight w:val="yellow"/>
        </w:rPr>
        <w:t>plant-based</w:t>
      </w:r>
      <w:r>
        <w:rPr>
          <w:rFonts w:ascii="Times New Roman" w:eastAsia="Times New Roman" w:hAnsi="Times New Roman" w:cs="Times New Roman"/>
          <w:sz w:val="24"/>
          <w:szCs w:val="24"/>
        </w:rPr>
        <w:t xml:space="preserve"> solutions, which </w:t>
      </w:r>
      <w:r w:rsidRPr="00814ECD">
        <w:rPr>
          <w:rFonts w:ascii="Times New Roman" w:eastAsia="Times New Roman" w:hAnsi="Times New Roman" w:cs="Times New Roman"/>
          <w:sz w:val="24"/>
          <w:szCs w:val="24"/>
          <w:highlight w:val="yellow"/>
        </w:rPr>
        <w:t>hold</w:t>
      </w:r>
      <w:r>
        <w:rPr>
          <w:rFonts w:ascii="Times New Roman" w:eastAsia="Times New Roman" w:hAnsi="Times New Roman" w:cs="Times New Roman"/>
          <w:sz w:val="24"/>
          <w:szCs w:val="24"/>
        </w:rPr>
        <w:t xml:space="preserve"> great promise (Li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Medicinal plants </w:t>
      </w:r>
      <w:proofErr w:type="spellStart"/>
      <w:r w:rsidR="007F1404" w:rsidRPr="00814ECD">
        <w:rPr>
          <w:rFonts w:ascii="Times New Roman" w:eastAsia="Times New Roman" w:hAnsi="Times New Roman" w:cs="Times New Roman"/>
          <w:sz w:val="24"/>
          <w:szCs w:val="24"/>
          <w:highlight w:val="yellow"/>
        </w:rPr>
        <w:t>synthesise</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various antibacterial</w:t>
      </w:r>
      <w:r>
        <w:rPr>
          <w:rFonts w:ascii="Times New Roman" w:eastAsia="Times New Roman" w:hAnsi="Times New Roman" w:cs="Times New Roman"/>
          <w:sz w:val="24"/>
          <w:szCs w:val="24"/>
        </w:rPr>
        <w:t xml:space="preserve"> bioactive compounds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w:t>
      </w:r>
      <w:r w:rsidRPr="00814ECD">
        <w:rPr>
          <w:rFonts w:ascii="Times New Roman" w:eastAsia="Times New Roman" w:hAnsi="Times New Roman" w:cs="Times New Roman"/>
          <w:sz w:val="24"/>
          <w:szCs w:val="24"/>
          <w:highlight w:val="yellow"/>
        </w:rPr>
        <w:t>alkaloids</w:t>
      </w:r>
      <w:r w:rsidR="007F1404" w:rsidRPr="00814ECD">
        <w:rPr>
          <w:rFonts w:ascii="Times New Roman" w:eastAsia="Times New Roman" w:hAnsi="Times New Roman" w:cs="Times New Roman"/>
          <w:sz w:val="24"/>
          <w:szCs w:val="24"/>
          <w:highlight w:val="yellow"/>
        </w:rPr>
        <w:t>,</w:t>
      </w:r>
      <w:r w:rsidRPr="00814ECD">
        <w:rPr>
          <w:rFonts w:ascii="Times New Roman" w:eastAsia="Times New Roman" w:hAnsi="Times New Roman" w:cs="Times New Roman"/>
          <w:sz w:val="24"/>
          <w:szCs w:val="24"/>
          <w:highlight w:val="yellow"/>
        </w:rPr>
        <w:t xml:space="preserve"> together with flavonoids</w:t>
      </w:r>
      <w:r w:rsidR="007F1404" w:rsidRPr="00814ECD">
        <w:rPr>
          <w:rFonts w:ascii="Times New Roman" w:eastAsia="Times New Roman" w:hAnsi="Times New Roman" w:cs="Times New Roman"/>
          <w:sz w:val="24"/>
          <w:szCs w:val="24"/>
          <w:highlight w:val="yellow"/>
        </w:rPr>
        <w:t>,</w:t>
      </w:r>
      <w:r w:rsidRPr="00814ECD">
        <w:rPr>
          <w:rFonts w:ascii="Times New Roman" w:eastAsia="Times New Roman" w:hAnsi="Times New Roman" w:cs="Times New Roman"/>
          <w:sz w:val="24"/>
          <w:szCs w:val="24"/>
          <w:highlight w:val="yellow"/>
        </w:rPr>
        <w:t xml:space="preserve"> terpenoids</w:t>
      </w:r>
      <w:r>
        <w:rPr>
          <w:rFonts w:ascii="Times New Roman" w:eastAsia="Times New Roman" w:hAnsi="Times New Roman" w:cs="Times New Roman"/>
          <w:sz w:val="24"/>
          <w:szCs w:val="24"/>
        </w:rPr>
        <w:t xml:space="preserve"> and tannins alongside </w:t>
      </w:r>
      <w:r w:rsidRPr="00814ECD">
        <w:rPr>
          <w:rFonts w:ascii="Times New Roman" w:eastAsia="Times New Roman" w:hAnsi="Times New Roman" w:cs="Times New Roman"/>
          <w:sz w:val="24"/>
          <w:szCs w:val="24"/>
          <w:highlight w:val="yellow"/>
        </w:rPr>
        <w:t>polyphenols (</w:t>
      </w:r>
      <w:proofErr w:type="spellStart"/>
      <w:r w:rsidRPr="00814ECD">
        <w:rPr>
          <w:rFonts w:ascii="Times New Roman" w:eastAsia="Times New Roman" w:hAnsi="Times New Roman" w:cs="Times New Roman"/>
          <w:sz w:val="24"/>
          <w:szCs w:val="24"/>
          <w:highlight w:val="yellow"/>
        </w:rPr>
        <w:t>Bouyahya</w:t>
      </w:r>
      <w:proofErr w:type="spellEnd"/>
      <w:r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i/>
          <w:sz w:val="24"/>
          <w:szCs w:val="24"/>
          <w:highlight w:val="yellow"/>
        </w:rPr>
        <w:t>et al.</w:t>
      </w:r>
      <w:r w:rsidRPr="00814ECD">
        <w:rPr>
          <w:rFonts w:ascii="Times New Roman" w:eastAsia="Times New Roman" w:hAnsi="Times New Roman" w:cs="Times New Roman"/>
          <w:sz w:val="24"/>
          <w:szCs w:val="24"/>
          <w:highlight w:val="yellow"/>
        </w:rPr>
        <w:t xml:space="preserve">, 2022). The antibacterial compounds extracted from plants </w:t>
      </w:r>
      <w:proofErr w:type="spellStart"/>
      <w:r w:rsidR="007F1404" w:rsidRPr="00814ECD">
        <w:rPr>
          <w:rFonts w:ascii="Times New Roman" w:eastAsia="Times New Roman" w:hAnsi="Times New Roman" w:cs="Times New Roman"/>
          <w:sz w:val="24"/>
          <w:szCs w:val="24"/>
          <w:highlight w:val="yellow"/>
        </w:rPr>
        <w:t>utilise</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different mechanisms</w:t>
      </w:r>
      <w:r>
        <w:rPr>
          <w:rFonts w:ascii="Times New Roman" w:eastAsia="Times New Roman" w:hAnsi="Times New Roman" w:cs="Times New Roman"/>
          <w:sz w:val="24"/>
          <w:szCs w:val="24"/>
        </w:rPr>
        <w:t xml:space="preserve"> for their effects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preventing bacterial cell wall synthesis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also disrupt quorum sensing communication and brea</w:t>
      </w:r>
      <w:r w:rsidRPr="00814ECD">
        <w:rPr>
          <w:rFonts w:ascii="Times New Roman" w:eastAsia="Times New Roman" w:hAnsi="Times New Roman" w:cs="Times New Roman"/>
          <w:sz w:val="24"/>
          <w:szCs w:val="24"/>
          <w:highlight w:val="yellow"/>
        </w:rPr>
        <w:t>k</w:t>
      </w:r>
      <w:r w:rsidR="007F1404" w:rsidRPr="00814ECD">
        <w:rPr>
          <w:rFonts w:ascii="Times New Roman" w:eastAsia="Times New Roman" w:hAnsi="Times New Roman" w:cs="Times New Roman"/>
          <w:sz w:val="24"/>
          <w:szCs w:val="24"/>
          <w:highlight w:val="yellow"/>
        </w:rPr>
        <w:t>ing</w:t>
      </w:r>
      <w:r>
        <w:rPr>
          <w:rFonts w:ascii="Times New Roman" w:eastAsia="Times New Roman" w:hAnsi="Times New Roman" w:cs="Times New Roman"/>
          <w:sz w:val="24"/>
          <w:szCs w:val="24"/>
        </w:rPr>
        <w:t xml:space="preserve"> down biofilm structures (</w:t>
      </w:r>
      <w:proofErr w:type="spellStart"/>
      <w:r>
        <w:rPr>
          <w:rFonts w:ascii="Times New Roman" w:eastAsia="Times New Roman" w:hAnsi="Times New Roman" w:cs="Times New Roman"/>
          <w:sz w:val="24"/>
          <w:szCs w:val="24"/>
        </w:rPr>
        <w:t>Arip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Silva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Green tea product Camellia sinensis generates </w:t>
      </w:r>
      <w:r>
        <w:rPr>
          <w:rFonts w:ascii="Times New Roman" w:eastAsia="Times New Roman" w:hAnsi="Times New Roman" w:cs="Times New Roman"/>
          <w:sz w:val="24"/>
          <w:szCs w:val="24"/>
        </w:rPr>
        <w:lastRenderedPageBreak/>
        <w:t>its antibacterial compound epigallocatechin gallate (EGCG)</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blocks bacterial adhesion and biofilm growth </w:t>
      </w:r>
      <w:r w:rsidRPr="00814ECD">
        <w:rPr>
          <w:rFonts w:ascii="Times New Roman" w:eastAsia="Times New Roman" w:hAnsi="Times New Roman" w:cs="Times New Roman"/>
          <w:sz w:val="24"/>
          <w:szCs w:val="24"/>
          <w:highlight w:val="yellow"/>
        </w:rPr>
        <w:t>processes</w:t>
      </w:r>
      <w:r w:rsidR="007F1404" w:rsidRPr="00814EC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thus decreasing MRSA survival in human tissues (Steinmann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,2013; Liu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Shedafa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The growth of MRSA is intensively curtailed as influenced by berberine alkaloids of </w:t>
      </w:r>
      <w:r>
        <w:rPr>
          <w:rFonts w:ascii="Times New Roman" w:eastAsia="Times New Roman" w:hAnsi="Times New Roman" w:cs="Times New Roman"/>
          <w:i/>
          <w:sz w:val="24"/>
          <w:szCs w:val="24"/>
        </w:rPr>
        <w:t>Berberis vulgaris</w:t>
      </w:r>
      <w:r w:rsidR="007F1404">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affecting the bacterial efflux-pump system and also interfering with DNA replication (</w:t>
      </w:r>
      <w:proofErr w:type="spellStart"/>
      <w:r>
        <w:rPr>
          <w:rFonts w:ascii="Times New Roman" w:eastAsia="Times New Roman" w:hAnsi="Times New Roman" w:cs="Times New Roman"/>
          <w:sz w:val="24"/>
          <w:szCs w:val="24"/>
        </w:rPr>
        <w:t>Stermitz</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2000; Laudadio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Inoue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Terpenoids like thymol and carvacrol from </w:t>
      </w:r>
      <w:r>
        <w:rPr>
          <w:rFonts w:ascii="Times New Roman" w:eastAsia="Times New Roman" w:hAnsi="Times New Roman" w:cs="Times New Roman"/>
          <w:i/>
          <w:sz w:val="24"/>
          <w:szCs w:val="24"/>
        </w:rPr>
        <w:t>Thymus vulgaris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Origanum vulgare </w:t>
      </w:r>
      <w:r>
        <w:rPr>
          <w:rFonts w:ascii="Times New Roman" w:eastAsia="Times New Roman" w:hAnsi="Times New Roman" w:cs="Times New Roman"/>
          <w:sz w:val="24"/>
          <w:szCs w:val="24"/>
        </w:rPr>
        <w:t>can kill the bacteria by compromising the integrity of MRSA cell membranes, causing cell death (</w:t>
      </w:r>
      <w:proofErr w:type="spellStart"/>
      <w:r>
        <w:rPr>
          <w:rFonts w:ascii="Times New Roman" w:eastAsia="Times New Roman" w:hAnsi="Times New Roman" w:cs="Times New Roman"/>
          <w:sz w:val="24"/>
          <w:szCs w:val="24"/>
        </w:rPr>
        <w:t>Kachur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Suntres</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Netopilova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14:paraId="2083D882" w14:textId="246A0F03"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potentiation in MRSA control comes from polyphenols of </w:t>
      </w:r>
      <w:r>
        <w:rPr>
          <w:rFonts w:ascii="Times New Roman" w:eastAsia="Times New Roman" w:hAnsi="Times New Roman" w:cs="Times New Roman"/>
          <w:i/>
          <w:sz w:val="24"/>
          <w:szCs w:val="24"/>
        </w:rPr>
        <w:t>Punica granatum</w:t>
      </w:r>
      <w:r>
        <w:rPr>
          <w:rFonts w:ascii="Times New Roman" w:eastAsia="Times New Roman" w:hAnsi="Times New Roman" w:cs="Times New Roman"/>
          <w:sz w:val="24"/>
          <w:szCs w:val="24"/>
        </w:rPr>
        <w:t xml:space="preserve"> (pomegranate) and </w:t>
      </w:r>
      <w:r>
        <w:rPr>
          <w:rFonts w:ascii="Times New Roman" w:eastAsia="Times New Roman" w:hAnsi="Times New Roman" w:cs="Times New Roman"/>
          <w:i/>
          <w:sz w:val="24"/>
          <w:szCs w:val="24"/>
        </w:rPr>
        <w:t xml:space="preserve">Curcuma longa </w:t>
      </w:r>
      <w:r>
        <w:rPr>
          <w:rFonts w:ascii="Times New Roman" w:eastAsia="Times New Roman" w:hAnsi="Times New Roman" w:cs="Times New Roman"/>
          <w:sz w:val="24"/>
          <w:szCs w:val="24"/>
        </w:rPr>
        <w:t xml:space="preserve">(turmeric) that can bring interference in some essential metabolic processes by bacterial enzymes (Lee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Kirmani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Not only do such antimicrobials have direct antibacterial effects, </w:t>
      </w:r>
      <w:r w:rsidR="00743264">
        <w:rPr>
          <w:rFonts w:ascii="Times New Roman" w:eastAsia="Times New Roman" w:hAnsi="Times New Roman" w:cs="Times New Roman"/>
          <w:sz w:val="24"/>
          <w:szCs w:val="24"/>
        </w:rPr>
        <w:t>but they</w:t>
      </w:r>
      <w:r>
        <w:rPr>
          <w:rFonts w:ascii="Times New Roman" w:eastAsia="Times New Roman" w:hAnsi="Times New Roman" w:cs="Times New Roman"/>
          <w:sz w:val="24"/>
          <w:szCs w:val="24"/>
        </w:rPr>
        <w:t xml:space="preserve"> also show synergy with conventional antibiotics that attenuate MIC for bacterial killing (Álvarez-Martínez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w:t>
      </w:r>
      <w:r w:rsidR="00743264">
        <w:rPr>
          <w:rFonts w:ascii="Times New Roman" w:eastAsia="Times New Roman" w:hAnsi="Times New Roman" w:cs="Times New Roman"/>
          <w:sz w:val="24"/>
          <w:szCs w:val="24"/>
        </w:rPr>
        <w:t>Several</w:t>
      </w:r>
      <w:r>
        <w:rPr>
          <w:rFonts w:ascii="Times New Roman" w:eastAsia="Times New Roman" w:hAnsi="Times New Roman" w:cs="Times New Roman"/>
          <w:sz w:val="24"/>
          <w:szCs w:val="24"/>
        </w:rPr>
        <w:t xml:space="preserve"> factors are yet to be </w:t>
      </w:r>
      <w:r w:rsidRPr="00814ECD">
        <w:rPr>
          <w:rFonts w:ascii="Times New Roman" w:eastAsia="Times New Roman" w:hAnsi="Times New Roman" w:cs="Times New Roman"/>
          <w:sz w:val="24"/>
          <w:szCs w:val="24"/>
          <w:highlight w:val="yellow"/>
        </w:rPr>
        <w:t xml:space="preserve">overcome in </w:t>
      </w:r>
      <w:proofErr w:type="spellStart"/>
      <w:r w:rsidR="007F1404" w:rsidRPr="00814ECD">
        <w:rPr>
          <w:rFonts w:ascii="Times New Roman" w:eastAsia="Times New Roman" w:hAnsi="Times New Roman" w:cs="Times New Roman"/>
          <w:sz w:val="24"/>
          <w:szCs w:val="24"/>
          <w:highlight w:val="yellow"/>
        </w:rPr>
        <w:t>optimising</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the bioa</w:t>
      </w:r>
      <w:r>
        <w:rPr>
          <w:rFonts w:ascii="Times New Roman" w:eastAsia="Times New Roman" w:hAnsi="Times New Roman" w:cs="Times New Roman"/>
          <w:sz w:val="24"/>
          <w:szCs w:val="24"/>
        </w:rPr>
        <w:t>ctive compounds for therapeutics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bioavailability, stability, and evidential cytotoxicity (</w:t>
      </w:r>
      <w:proofErr w:type="spellStart"/>
      <w:r>
        <w:rPr>
          <w:rFonts w:ascii="Times New Roman" w:eastAsia="Times New Roman" w:hAnsi="Times New Roman" w:cs="Times New Roman"/>
          <w:sz w:val="24"/>
          <w:szCs w:val="24"/>
        </w:rPr>
        <w:t>Bazana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w:t>
      </w:r>
    </w:p>
    <w:p w14:paraId="7D15C3B2" w14:textId="13CEAEB3"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Biotechnology offers various avenues, such as the development of nanocarrier systems and genetic engineering of medicinal plants, to effectively improve the scope and output of plant-based antimicrobial therapies. According to </w:t>
      </w:r>
      <w:proofErr w:type="spellStart"/>
      <w:r>
        <w:rPr>
          <w:rFonts w:ascii="Times New Roman" w:eastAsia="Times New Roman" w:hAnsi="Times New Roman" w:cs="Times New Roman"/>
          <w:sz w:val="24"/>
          <w:szCs w:val="24"/>
        </w:rPr>
        <w:t>Elkelish</w:t>
      </w:r>
      <w:proofErr w:type="spellEnd"/>
      <w:r>
        <w:rPr>
          <w:rFonts w:ascii="Times New Roman" w:eastAsia="Times New Roman" w:hAnsi="Times New Roman" w:cs="Times New Roman"/>
          <w:sz w:val="24"/>
          <w:szCs w:val="24"/>
        </w:rPr>
        <w:t xml:space="preserve"> (2024), nanocarrier systems enhance the solubility, stability, and targeted delivery of plant-derived antimicrobials to improve their pharmacokinetics and efficacy against </w:t>
      </w:r>
      <w:r w:rsidRPr="00814ECD">
        <w:rPr>
          <w:rFonts w:ascii="Times New Roman" w:eastAsia="Times New Roman" w:hAnsi="Times New Roman" w:cs="Times New Roman"/>
          <w:sz w:val="24"/>
          <w:szCs w:val="24"/>
          <w:highlight w:val="yellow"/>
        </w:rPr>
        <w:t>multidrug</w:t>
      </w:r>
      <w:r w:rsidR="007F1404" w:rsidRPr="00814ECD">
        <w:rPr>
          <w:rFonts w:ascii="Times New Roman" w:eastAsia="Times New Roman" w:hAnsi="Times New Roman" w:cs="Times New Roman"/>
          <w:sz w:val="24"/>
          <w:szCs w:val="24"/>
          <w:highlight w:val="yellow"/>
        </w:rPr>
        <w:t>-resistant</w:t>
      </w:r>
      <w:r w:rsidRPr="00814ECD">
        <w:rPr>
          <w:rFonts w:ascii="Times New Roman" w:eastAsia="Times New Roman" w:hAnsi="Times New Roman" w:cs="Times New Roman"/>
          <w:sz w:val="24"/>
          <w:szCs w:val="24"/>
          <w:highlight w:val="yellow"/>
        </w:rPr>
        <w:t xml:space="preserve"> (MDR)</w:t>
      </w:r>
      <w:r>
        <w:rPr>
          <w:rFonts w:ascii="Times New Roman" w:eastAsia="Times New Roman" w:hAnsi="Times New Roman" w:cs="Times New Roman"/>
          <w:sz w:val="24"/>
          <w:szCs w:val="24"/>
        </w:rPr>
        <w:t xml:space="preserve"> pathogens. Also, efforts at genetic engineering for enhanced biosynthesis of bioactive compounds in medicinal plants are yielding high antimicrobial potency and consistency (</w:t>
      </w:r>
      <w:proofErr w:type="spellStart"/>
      <w:r>
        <w:rPr>
          <w:rFonts w:ascii="Times New Roman" w:eastAsia="Times New Roman" w:hAnsi="Times New Roman" w:cs="Times New Roman"/>
          <w:sz w:val="24"/>
          <w:szCs w:val="24"/>
        </w:rPr>
        <w:t>Yembaturova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Cheryatova</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Elkelish</w:t>
      </w:r>
      <w:proofErr w:type="spellEnd"/>
      <w:r>
        <w:rPr>
          <w:rFonts w:ascii="Times New Roman" w:eastAsia="Times New Roman" w:hAnsi="Times New Roman" w:cs="Times New Roman"/>
          <w:sz w:val="24"/>
          <w:szCs w:val="24"/>
        </w:rPr>
        <w:t>, 2024). While these biotechnological advancements provide lasting solutions, the study does underli</w:t>
      </w:r>
      <w:r w:rsidR="007F1404">
        <w:rPr>
          <w:rFonts w:ascii="Times New Roman" w:eastAsia="Times New Roman" w:hAnsi="Times New Roman" w:cs="Times New Roman"/>
          <w:sz w:val="24"/>
          <w:szCs w:val="24"/>
        </w:rPr>
        <w:t>n</w:t>
      </w:r>
      <w:r>
        <w:rPr>
          <w:rFonts w:ascii="Times New Roman" w:eastAsia="Times New Roman" w:hAnsi="Times New Roman" w:cs="Times New Roman"/>
          <w:sz w:val="24"/>
          <w:szCs w:val="24"/>
        </w:rPr>
        <w:t>e challenges, such as regulatory hurdles, safety issues, and environmental concern</w:t>
      </w:r>
      <w:r w:rsidR="007F1404">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p>
    <w:p w14:paraId="47018703" w14:textId="77777777" w:rsidR="00C534FC" w:rsidRDefault="008150ED">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4.1   </w:t>
      </w:r>
      <w:r>
        <w:rPr>
          <w:rFonts w:ascii="Times New Roman" w:eastAsia="Times New Roman" w:hAnsi="Times New Roman" w:cs="Times New Roman"/>
          <w:b/>
          <w:sz w:val="24"/>
          <w:szCs w:val="24"/>
        </w:rPr>
        <w:tab/>
        <w:t>Potential of Plant-Derived Antimicrobials in Combating MRSA Infections</w:t>
      </w:r>
    </w:p>
    <w:p w14:paraId="20A567F7" w14:textId="6C06244C"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MRSA are indeed an intractable issue in the healthcare sector and in the community (Abdel-Raheem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Therefore, alternative means have been investigated beyond conventional antibiotics. Antimicrobials derived from plants have attained serious attention mainly due to their broad-spectrum activity against microbes, which serve as alternative avenues for drug development to combat resistance mechanisms. The bioactive compounds from plants target MRSA by blocking peptidoglycan synthesis while disrupting quorum sensing and interrupting biofilm formation</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according to </w:t>
      </w:r>
      <w:proofErr w:type="spellStart"/>
      <w:r>
        <w:rPr>
          <w:rFonts w:ascii="Times New Roman" w:eastAsia="Times New Roman" w:hAnsi="Times New Roman" w:cs="Times New Roman"/>
          <w:sz w:val="24"/>
          <w:szCs w:val="24"/>
        </w:rPr>
        <w:t>Arip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The essential oils obtained from </w:t>
      </w:r>
      <w:r>
        <w:rPr>
          <w:rFonts w:ascii="Times New Roman" w:eastAsia="Times New Roman" w:hAnsi="Times New Roman" w:cs="Times New Roman"/>
          <w:i/>
          <w:sz w:val="24"/>
          <w:szCs w:val="24"/>
        </w:rPr>
        <w:t xml:space="preserve">Origanum vulgare </w:t>
      </w:r>
      <w:r>
        <w:rPr>
          <w:rFonts w:ascii="Times New Roman" w:eastAsia="Times New Roman" w:hAnsi="Times New Roman" w:cs="Times New Roman"/>
          <w:sz w:val="24"/>
          <w:szCs w:val="24"/>
        </w:rPr>
        <w:t xml:space="preserve">(oregano) and </w:t>
      </w:r>
      <w:r>
        <w:rPr>
          <w:rFonts w:ascii="Times New Roman" w:eastAsia="Times New Roman" w:hAnsi="Times New Roman" w:cs="Times New Roman"/>
          <w:i/>
          <w:sz w:val="24"/>
          <w:szCs w:val="24"/>
        </w:rPr>
        <w:t>Thymus vulgaris</w:t>
      </w:r>
      <w:r>
        <w:rPr>
          <w:rFonts w:ascii="Times New Roman" w:eastAsia="Times New Roman" w:hAnsi="Times New Roman" w:cs="Times New Roman"/>
          <w:sz w:val="24"/>
          <w:szCs w:val="24"/>
        </w:rPr>
        <w:t xml:space="preserve"> (thyme)</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containing high concentrations of carvacrol and thymol</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effectively target MRSA by damaging bacterial membranes while also decreasing gene expression of virulence factors (Okwu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Netopilova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p w14:paraId="04923B76" w14:textId="7B10BCE0"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complex actions of plant secondary metabolites that fight bacteria present barriers for MRSA to become immune to them</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unlike synthetic antibiotics. For example, quercetin and kaempferol interfere with bacterial DNA gyrase, inhibiting replication of the antagonists, whereas tannins inhibit MRSA adhesion to the host cells (Nguyen &amp; Bhattacharya, 2022). Moreover, phenolic acids from these medicinal plants, such as </w:t>
      </w:r>
      <w:proofErr w:type="spellStart"/>
      <w:r>
        <w:rPr>
          <w:rFonts w:ascii="Times New Roman" w:eastAsia="Times New Roman" w:hAnsi="Times New Roman" w:cs="Times New Roman"/>
          <w:sz w:val="24"/>
          <w:szCs w:val="24"/>
        </w:rPr>
        <w:t>rosmarinic</w:t>
      </w:r>
      <w:proofErr w:type="spellEnd"/>
      <w:r>
        <w:rPr>
          <w:rFonts w:ascii="Times New Roman" w:eastAsia="Times New Roman" w:hAnsi="Times New Roman" w:cs="Times New Roman"/>
          <w:sz w:val="24"/>
          <w:szCs w:val="24"/>
        </w:rPr>
        <w:t xml:space="preserve"> acid from </w:t>
      </w:r>
      <w:r>
        <w:rPr>
          <w:rFonts w:ascii="Times New Roman" w:eastAsia="Times New Roman" w:hAnsi="Times New Roman" w:cs="Times New Roman"/>
          <w:i/>
          <w:sz w:val="24"/>
          <w:szCs w:val="24"/>
        </w:rPr>
        <w:t>Rosmarinus officinalis</w:t>
      </w:r>
      <w:r>
        <w:rPr>
          <w:rFonts w:ascii="Times New Roman" w:eastAsia="Times New Roman" w:hAnsi="Times New Roman" w:cs="Times New Roman"/>
          <w:sz w:val="24"/>
          <w:szCs w:val="24"/>
        </w:rPr>
        <w:t>, possess strong antimicrobial properties by blocking oxidative stress pathways in bacteria (</w:t>
      </w:r>
      <w:proofErr w:type="spellStart"/>
      <w:r>
        <w:rPr>
          <w:rFonts w:ascii="Times New Roman" w:eastAsia="Times New Roman" w:hAnsi="Times New Roman" w:cs="Times New Roman"/>
          <w:sz w:val="24"/>
          <w:szCs w:val="24"/>
        </w:rPr>
        <w:t>Kernou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14:paraId="78FFD157" w14:textId="4C2AD1E3"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aspect of the </w:t>
      </w:r>
      <w:r w:rsidRPr="00814ECD">
        <w:rPr>
          <w:rFonts w:ascii="Times New Roman" w:eastAsia="Times New Roman" w:hAnsi="Times New Roman" w:cs="Times New Roman"/>
          <w:sz w:val="24"/>
          <w:szCs w:val="24"/>
          <w:highlight w:val="yellow"/>
        </w:rPr>
        <w:t xml:space="preserve">research </w:t>
      </w:r>
      <w:r w:rsidR="007F1404" w:rsidRPr="00814ECD">
        <w:rPr>
          <w:rFonts w:ascii="Times New Roman" w:eastAsia="Times New Roman" w:hAnsi="Times New Roman" w:cs="Times New Roman"/>
          <w:sz w:val="24"/>
          <w:szCs w:val="24"/>
          <w:highlight w:val="yellow"/>
        </w:rPr>
        <w:t xml:space="preserve">on </w:t>
      </w:r>
      <w:r w:rsidRPr="00814ECD">
        <w:rPr>
          <w:rFonts w:ascii="Times New Roman" w:eastAsia="Times New Roman" w:hAnsi="Times New Roman" w:cs="Times New Roman"/>
          <w:sz w:val="24"/>
          <w:szCs w:val="24"/>
          <w:highlight w:val="yellow"/>
        </w:rPr>
        <w:t>plant antimi</w:t>
      </w:r>
      <w:r>
        <w:rPr>
          <w:rFonts w:ascii="Times New Roman" w:eastAsia="Times New Roman" w:hAnsi="Times New Roman" w:cs="Times New Roman"/>
          <w:sz w:val="24"/>
          <w:szCs w:val="24"/>
        </w:rPr>
        <w:t>crobials has been directed towards enhancing the extraction and formulation techniques of such antimicrobials for application against MRSA. Recent advancements in the green synthesis of silver nanoparticles using plant extracts have shown enhanced bactericidal activities, hence paving an avenue for therapeutics based on natural products (</w:t>
      </w:r>
      <w:proofErr w:type="spellStart"/>
      <w:r>
        <w:rPr>
          <w:rFonts w:ascii="Times New Roman" w:eastAsia="Times New Roman" w:hAnsi="Times New Roman" w:cs="Times New Roman"/>
          <w:sz w:val="24"/>
          <w:szCs w:val="24"/>
        </w:rPr>
        <w:t>Karnwal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Here are some plants </w:t>
      </w:r>
      <w:r w:rsidRPr="00814ECD">
        <w:rPr>
          <w:rFonts w:ascii="Times New Roman" w:eastAsia="Times New Roman" w:hAnsi="Times New Roman" w:cs="Times New Roman"/>
          <w:sz w:val="24"/>
          <w:szCs w:val="24"/>
          <w:highlight w:val="yellow"/>
        </w:rPr>
        <w:t>with effect</w:t>
      </w:r>
      <w:r w:rsidR="007F1404" w:rsidRPr="00814ECD">
        <w:rPr>
          <w:rFonts w:ascii="Times New Roman" w:eastAsia="Times New Roman" w:hAnsi="Times New Roman" w:cs="Times New Roman"/>
          <w:sz w:val="24"/>
          <w:szCs w:val="24"/>
          <w:highlight w:val="yellow"/>
        </w:rPr>
        <w:t>ive</w:t>
      </w:r>
      <w:r w:rsidRPr="00814ECD">
        <w:rPr>
          <w:rFonts w:ascii="Times New Roman" w:eastAsia="Times New Roman" w:hAnsi="Times New Roman" w:cs="Times New Roman"/>
          <w:sz w:val="24"/>
          <w:szCs w:val="24"/>
          <w:highlight w:val="yellow"/>
        </w:rPr>
        <w:t xml:space="preserve"> antimicrobial</w:t>
      </w:r>
      <w:r>
        <w:rPr>
          <w:rFonts w:ascii="Times New Roman" w:eastAsia="Times New Roman" w:hAnsi="Times New Roman" w:cs="Times New Roman"/>
          <w:sz w:val="24"/>
          <w:szCs w:val="24"/>
        </w:rPr>
        <w:t xml:space="preserve"> action that may be used in the treatment of MRSA.</w:t>
      </w:r>
    </w:p>
    <w:p w14:paraId="090EEEA5" w14:textId="77777777" w:rsidR="00C534FC"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2: Some Plant-Derived Secondary Metabolites and Their Mechanisms of MRSA Inhibition</w:t>
      </w:r>
    </w:p>
    <w:tbl>
      <w:tblPr>
        <w:tblStyle w:val="a1"/>
        <w:tblW w:w="8460"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2340"/>
        <w:gridCol w:w="1350"/>
        <w:gridCol w:w="2805"/>
        <w:gridCol w:w="1965"/>
      </w:tblGrid>
      <w:tr w:rsidR="00C534FC" w14:paraId="399DF9D7" w14:textId="77777777">
        <w:trPr>
          <w:trHeight w:val="555"/>
        </w:trPr>
        <w:tc>
          <w:tcPr>
            <w:tcW w:w="2340" w:type="dxa"/>
            <w:tcBorders>
              <w:top w:val="single" w:sz="6" w:space="0" w:color="000000"/>
              <w:left w:val="nil"/>
              <w:bottom w:val="single" w:sz="6" w:space="0" w:color="000000"/>
              <w:right w:val="nil"/>
            </w:tcBorders>
            <w:tcMar>
              <w:top w:w="0" w:type="dxa"/>
              <w:left w:w="100" w:type="dxa"/>
              <w:bottom w:w="0" w:type="dxa"/>
              <w:right w:w="100" w:type="dxa"/>
            </w:tcMar>
          </w:tcPr>
          <w:p w14:paraId="1CE5E2F8" w14:textId="77777777" w:rsidR="00C534FC" w:rsidRDefault="008150ED">
            <w:pPr>
              <w:spacing w:before="240" w:after="240"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PLANT SPECIES</w:t>
            </w:r>
          </w:p>
        </w:tc>
        <w:tc>
          <w:tcPr>
            <w:tcW w:w="1350" w:type="dxa"/>
            <w:tcBorders>
              <w:top w:val="single" w:sz="6" w:space="0" w:color="000000"/>
              <w:left w:val="nil"/>
              <w:bottom w:val="single" w:sz="6" w:space="0" w:color="000000"/>
              <w:right w:val="nil"/>
            </w:tcBorders>
            <w:tcMar>
              <w:top w:w="0" w:type="dxa"/>
              <w:left w:w="100" w:type="dxa"/>
              <w:bottom w:w="0" w:type="dxa"/>
              <w:right w:w="100" w:type="dxa"/>
            </w:tcMar>
          </w:tcPr>
          <w:p w14:paraId="3A411252" w14:textId="77777777" w:rsidR="00C534FC" w:rsidRDefault="008150ED">
            <w:pPr>
              <w:spacing w:before="240" w:after="240"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ACTIVE COMPOUNDS</w:t>
            </w:r>
          </w:p>
        </w:tc>
        <w:tc>
          <w:tcPr>
            <w:tcW w:w="2805" w:type="dxa"/>
            <w:tcBorders>
              <w:top w:val="single" w:sz="6" w:space="0" w:color="000000"/>
              <w:left w:val="nil"/>
              <w:bottom w:val="single" w:sz="6" w:space="0" w:color="000000"/>
              <w:right w:val="nil"/>
            </w:tcBorders>
            <w:tcMar>
              <w:top w:w="0" w:type="dxa"/>
              <w:left w:w="100" w:type="dxa"/>
              <w:bottom w:w="0" w:type="dxa"/>
              <w:right w:w="100" w:type="dxa"/>
            </w:tcMar>
          </w:tcPr>
          <w:p w14:paraId="6D689F8A" w14:textId="77777777" w:rsidR="00C534FC" w:rsidRDefault="008150ED">
            <w:pPr>
              <w:spacing w:before="240" w:after="240"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MECHANISM OF ACTION</w:t>
            </w:r>
          </w:p>
        </w:tc>
        <w:tc>
          <w:tcPr>
            <w:tcW w:w="1965" w:type="dxa"/>
            <w:tcBorders>
              <w:top w:val="single" w:sz="6" w:space="0" w:color="000000"/>
              <w:left w:val="nil"/>
              <w:bottom w:val="single" w:sz="6" w:space="0" w:color="000000"/>
              <w:right w:val="nil"/>
            </w:tcBorders>
            <w:tcMar>
              <w:top w:w="0" w:type="dxa"/>
              <w:left w:w="100" w:type="dxa"/>
              <w:bottom w:w="0" w:type="dxa"/>
              <w:right w:w="100" w:type="dxa"/>
            </w:tcMar>
          </w:tcPr>
          <w:p w14:paraId="61BD6379" w14:textId="77777777" w:rsidR="00C534FC" w:rsidRDefault="008150ED">
            <w:pPr>
              <w:spacing w:before="240" w:after="240" w:line="276"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tc>
      </w:tr>
      <w:tr w:rsidR="00C534FC" w14:paraId="0A6C5CE5" w14:textId="77777777">
        <w:trPr>
          <w:trHeight w:val="1335"/>
        </w:trPr>
        <w:tc>
          <w:tcPr>
            <w:tcW w:w="2340" w:type="dxa"/>
            <w:tcBorders>
              <w:top w:val="nil"/>
              <w:left w:val="nil"/>
              <w:bottom w:val="nil"/>
              <w:right w:val="nil"/>
            </w:tcBorders>
            <w:tcMar>
              <w:top w:w="0" w:type="dxa"/>
              <w:left w:w="100" w:type="dxa"/>
              <w:bottom w:w="0" w:type="dxa"/>
              <w:right w:w="100" w:type="dxa"/>
            </w:tcMar>
          </w:tcPr>
          <w:p w14:paraId="7C86819F" w14:textId="77777777" w:rsidR="00C534FC" w:rsidRDefault="008150ED">
            <w:pPr>
              <w:spacing w:before="240" w:after="240" w:line="276" w:lineRule="auto"/>
              <w:ind w:left="10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Berberis vulgaris</w:t>
            </w:r>
          </w:p>
        </w:tc>
        <w:tc>
          <w:tcPr>
            <w:tcW w:w="1350" w:type="dxa"/>
            <w:tcBorders>
              <w:top w:val="nil"/>
              <w:left w:val="nil"/>
              <w:bottom w:val="nil"/>
              <w:right w:val="nil"/>
            </w:tcBorders>
            <w:tcMar>
              <w:top w:w="0" w:type="dxa"/>
              <w:left w:w="100" w:type="dxa"/>
              <w:bottom w:w="0" w:type="dxa"/>
              <w:right w:w="100" w:type="dxa"/>
            </w:tcMar>
          </w:tcPr>
          <w:p w14:paraId="4F27ACC4"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Berberine</w:t>
            </w:r>
          </w:p>
        </w:tc>
        <w:tc>
          <w:tcPr>
            <w:tcW w:w="2805" w:type="dxa"/>
            <w:tcBorders>
              <w:top w:val="nil"/>
              <w:left w:val="nil"/>
              <w:bottom w:val="nil"/>
              <w:right w:val="nil"/>
            </w:tcBorders>
            <w:tcMar>
              <w:top w:w="0" w:type="dxa"/>
              <w:left w:w="100" w:type="dxa"/>
              <w:bottom w:w="0" w:type="dxa"/>
              <w:right w:w="100" w:type="dxa"/>
            </w:tcMar>
          </w:tcPr>
          <w:p w14:paraId="401BCCB8"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Interferes with DNA replication and efflux pump inhibition</w:t>
            </w:r>
          </w:p>
          <w:p w14:paraId="05898FCE"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Cell division inhibitor,</w:t>
            </w:r>
          </w:p>
        </w:tc>
        <w:tc>
          <w:tcPr>
            <w:tcW w:w="1965" w:type="dxa"/>
            <w:tcBorders>
              <w:top w:val="nil"/>
              <w:left w:val="nil"/>
              <w:bottom w:val="nil"/>
              <w:right w:val="nil"/>
            </w:tcBorders>
            <w:tcMar>
              <w:top w:w="0" w:type="dxa"/>
              <w:left w:w="100" w:type="dxa"/>
              <w:bottom w:w="0" w:type="dxa"/>
              <w:right w:w="100" w:type="dxa"/>
            </w:tcMar>
          </w:tcPr>
          <w:p w14:paraId="095E86F7"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Boberek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w:t>
            </w:r>
          </w:p>
        </w:tc>
      </w:tr>
      <w:tr w:rsidR="00C534FC" w14:paraId="7BC07F32" w14:textId="77777777">
        <w:trPr>
          <w:trHeight w:val="1830"/>
        </w:trPr>
        <w:tc>
          <w:tcPr>
            <w:tcW w:w="2340" w:type="dxa"/>
            <w:tcBorders>
              <w:top w:val="nil"/>
              <w:left w:val="nil"/>
              <w:bottom w:val="nil"/>
              <w:right w:val="nil"/>
            </w:tcBorders>
            <w:tcMar>
              <w:top w:w="0" w:type="dxa"/>
              <w:left w:w="100" w:type="dxa"/>
              <w:bottom w:w="0" w:type="dxa"/>
              <w:right w:w="100" w:type="dxa"/>
            </w:tcMar>
          </w:tcPr>
          <w:p w14:paraId="7A346247" w14:textId="77777777" w:rsidR="00C534FC" w:rsidRDefault="008150ED">
            <w:pPr>
              <w:spacing w:before="240" w:line="360"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Thymus vulgaris</w:t>
            </w:r>
          </w:p>
        </w:tc>
        <w:tc>
          <w:tcPr>
            <w:tcW w:w="1350" w:type="dxa"/>
            <w:tcBorders>
              <w:top w:val="nil"/>
              <w:left w:val="nil"/>
              <w:bottom w:val="nil"/>
              <w:right w:val="nil"/>
            </w:tcBorders>
            <w:tcMar>
              <w:top w:w="0" w:type="dxa"/>
              <w:left w:w="100" w:type="dxa"/>
              <w:bottom w:w="0" w:type="dxa"/>
              <w:right w:w="100" w:type="dxa"/>
            </w:tcMar>
          </w:tcPr>
          <w:p w14:paraId="46AB3AA0"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Thymol,</w:t>
            </w:r>
          </w:p>
          <w:p w14:paraId="31F4D721"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Carvacrol</w:t>
            </w:r>
          </w:p>
        </w:tc>
        <w:tc>
          <w:tcPr>
            <w:tcW w:w="2805" w:type="dxa"/>
            <w:tcBorders>
              <w:top w:val="nil"/>
              <w:left w:val="nil"/>
              <w:bottom w:val="nil"/>
              <w:right w:val="nil"/>
            </w:tcBorders>
            <w:tcMar>
              <w:top w:w="0" w:type="dxa"/>
              <w:left w:w="100" w:type="dxa"/>
              <w:bottom w:w="0" w:type="dxa"/>
              <w:right w:w="100" w:type="dxa"/>
            </w:tcMar>
          </w:tcPr>
          <w:p w14:paraId="18EDE003"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Alters bacterial cell wall permeability</w:t>
            </w:r>
          </w:p>
          <w:p w14:paraId="78B79074"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Cell membrane disturbance, efflux pump inhibition</w:t>
            </w:r>
          </w:p>
          <w:p w14:paraId="352DA947"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nil"/>
              <w:right w:val="nil"/>
            </w:tcBorders>
            <w:tcMar>
              <w:top w:w="0" w:type="dxa"/>
              <w:left w:w="100" w:type="dxa"/>
              <w:bottom w:w="0" w:type="dxa"/>
              <w:right w:w="100" w:type="dxa"/>
            </w:tcMar>
          </w:tcPr>
          <w:p w14:paraId="33C3DB4A" w14:textId="1CE7AA5C" w:rsidR="00C534FC" w:rsidRPr="00743264" w:rsidRDefault="008150ED">
            <w:pPr>
              <w:spacing w:before="240" w:after="240" w:line="276" w:lineRule="auto"/>
              <w:ind w:left="100"/>
              <w:jc w:val="both"/>
              <w:rPr>
                <w:rFonts w:ascii="Times New Roman" w:eastAsia="Times New Roman" w:hAnsi="Times New Roman" w:cs="Times New Roman"/>
                <w:color w:val="000000" w:themeColor="text1"/>
                <w:sz w:val="24"/>
                <w:szCs w:val="24"/>
                <w:vertAlign w:val="superscript"/>
              </w:rPr>
            </w:pPr>
            <w:r w:rsidRPr="00743264">
              <w:rPr>
                <w:rFonts w:ascii="Times New Roman" w:eastAsia="Times New Roman" w:hAnsi="Times New Roman" w:cs="Times New Roman"/>
                <w:color w:val="000000" w:themeColor="text1"/>
                <w:sz w:val="24"/>
                <w:szCs w:val="24"/>
                <w:u w:val="single"/>
              </w:rPr>
              <w:t>Sharifzadeh</w:t>
            </w:r>
            <w:r w:rsidRPr="00743264">
              <w:rPr>
                <w:rFonts w:ascii="Times New Roman" w:eastAsia="Times New Roman" w:hAnsi="Times New Roman" w:cs="Times New Roman"/>
                <w:color w:val="000000" w:themeColor="text1"/>
                <w:sz w:val="24"/>
                <w:szCs w:val="24"/>
              </w:rPr>
              <w:t xml:space="preserve"> </w:t>
            </w:r>
            <w:proofErr w:type="gramStart"/>
            <w:r w:rsidRPr="00743264">
              <w:rPr>
                <w:rFonts w:ascii="Times New Roman" w:eastAsia="Times New Roman" w:hAnsi="Times New Roman" w:cs="Times New Roman"/>
                <w:i/>
                <w:color w:val="000000" w:themeColor="text1"/>
                <w:sz w:val="24"/>
                <w:szCs w:val="24"/>
              </w:rPr>
              <w:t>et al..</w:t>
            </w:r>
            <w:proofErr w:type="gramEnd"/>
            <w:r w:rsidRPr="00743264">
              <w:rPr>
                <w:rFonts w:ascii="Times New Roman" w:eastAsia="Times New Roman" w:hAnsi="Times New Roman" w:cs="Times New Roman"/>
                <w:color w:val="000000" w:themeColor="text1"/>
                <w:sz w:val="24"/>
                <w:szCs w:val="24"/>
              </w:rPr>
              <w:t xml:space="preserve"> 2018; </w:t>
            </w:r>
            <w:proofErr w:type="spellStart"/>
            <w:r w:rsidRPr="00743264">
              <w:rPr>
                <w:rFonts w:ascii="Times New Roman" w:eastAsia="Times New Roman" w:hAnsi="Times New Roman" w:cs="Times New Roman"/>
                <w:color w:val="000000" w:themeColor="text1"/>
                <w:sz w:val="24"/>
                <w:szCs w:val="24"/>
                <w:highlight w:val="white"/>
              </w:rPr>
              <w:t>Abbaszadeh</w:t>
            </w:r>
            <w:r w:rsidRPr="00743264">
              <w:rPr>
                <w:rFonts w:ascii="Times New Roman" w:eastAsia="Times New Roman" w:hAnsi="Times New Roman" w:cs="Times New Roman"/>
                <w:i/>
                <w:color w:val="000000" w:themeColor="text1"/>
                <w:sz w:val="24"/>
                <w:szCs w:val="24"/>
              </w:rPr>
              <w:t>et</w:t>
            </w:r>
            <w:proofErr w:type="spellEnd"/>
            <w:r w:rsidRPr="00743264">
              <w:rPr>
                <w:rFonts w:ascii="Times New Roman" w:eastAsia="Times New Roman" w:hAnsi="Times New Roman" w:cs="Times New Roman"/>
                <w:i/>
                <w:color w:val="000000" w:themeColor="text1"/>
                <w:sz w:val="24"/>
                <w:szCs w:val="24"/>
              </w:rPr>
              <w:t xml:space="preserve"> al.</w:t>
            </w:r>
            <w:r w:rsidRPr="00743264">
              <w:rPr>
                <w:rFonts w:ascii="Times New Roman" w:eastAsia="Times New Roman" w:hAnsi="Times New Roman" w:cs="Times New Roman"/>
                <w:color w:val="000000" w:themeColor="text1"/>
                <w:sz w:val="24"/>
                <w:szCs w:val="24"/>
              </w:rPr>
              <w:t xml:space="preserve">, 2014; Okwu </w:t>
            </w:r>
            <w:r w:rsidRPr="00743264">
              <w:rPr>
                <w:rFonts w:ascii="Times New Roman" w:eastAsia="Times New Roman" w:hAnsi="Times New Roman" w:cs="Times New Roman"/>
                <w:i/>
                <w:color w:val="000000" w:themeColor="text1"/>
                <w:sz w:val="24"/>
                <w:szCs w:val="24"/>
              </w:rPr>
              <w:t>et al.</w:t>
            </w:r>
            <w:r w:rsidRPr="00743264">
              <w:rPr>
                <w:rFonts w:ascii="Times New Roman" w:eastAsia="Times New Roman" w:hAnsi="Times New Roman" w:cs="Times New Roman"/>
                <w:color w:val="000000" w:themeColor="text1"/>
                <w:sz w:val="24"/>
                <w:szCs w:val="24"/>
              </w:rPr>
              <w:t>, 2019</w:t>
            </w:r>
            <w:r w:rsidRPr="00743264">
              <w:rPr>
                <w:rFonts w:ascii="Times New Roman" w:eastAsia="Times New Roman" w:hAnsi="Times New Roman" w:cs="Times New Roman"/>
                <w:color w:val="000000" w:themeColor="text1"/>
                <w:sz w:val="24"/>
                <w:szCs w:val="24"/>
                <w:vertAlign w:val="superscript"/>
              </w:rPr>
              <w:t xml:space="preserve"> </w:t>
            </w:r>
          </w:p>
        </w:tc>
      </w:tr>
      <w:tr w:rsidR="00C534FC" w14:paraId="1D9CA223" w14:textId="77777777">
        <w:trPr>
          <w:trHeight w:val="810"/>
        </w:trPr>
        <w:tc>
          <w:tcPr>
            <w:tcW w:w="2340" w:type="dxa"/>
            <w:tcBorders>
              <w:top w:val="nil"/>
              <w:left w:val="nil"/>
              <w:bottom w:val="nil"/>
              <w:right w:val="nil"/>
            </w:tcBorders>
            <w:tcMar>
              <w:top w:w="0" w:type="dxa"/>
              <w:left w:w="100" w:type="dxa"/>
              <w:bottom w:w="0" w:type="dxa"/>
              <w:right w:w="100" w:type="dxa"/>
            </w:tcMar>
          </w:tcPr>
          <w:p w14:paraId="22DC8EC9"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Zingiber officinale</w:t>
            </w:r>
          </w:p>
        </w:tc>
        <w:tc>
          <w:tcPr>
            <w:tcW w:w="1350" w:type="dxa"/>
            <w:tcBorders>
              <w:top w:val="nil"/>
              <w:left w:val="nil"/>
              <w:bottom w:val="nil"/>
              <w:right w:val="nil"/>
            </w:tcBorders>
            <w:tcMar>
              <w:top w:w="0" w:type="dxa"/>
              <w:left w:w="100" w:type="dxa"/>
              <w:bottom w:w="0" w:type="dxa"/>
              <w:right w:w="100" w:type="dxa"/>
            </w:tcMar>
          </w:tcPr>
          <w:p w14:paraId="025E84F9" w14:textId="77777777" w:rsidR="00C534FC" w:rsidRDefault="008150ED">
            <w:pPr>
              <w:spacing w:before="240" w:after="240" w:line="276" w:lineRule="auto"/>
              <w:ind w:left="1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Nimbidin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Azadirachtin</w:t>
            </w:r>
            <w:proofErr w:type="spellEnd"/>
          </w:p>
        </w:tc>
        <w:tc>
          <w:tcPr>
            <w:tcW w:w="2805" w:type="dxa"/>
            <w:tcBorders>
              <w:top w:val="nil"/>
              <w:left w:val="nil"/>
              <w:bottom w:val="nil"/>
              <w:right w:val="nil"/>
            </w:tcBorders>
            <w:tcMar>
              <w:top w:w="0" w:type="dxa"/>
              <w:left w:w="100" w:type="dxa"/>
              <w:bottom w:w="0" w:type="dxa"/>
              <w:right w:w="100" w:type="dxa"/>
            </w:tcMar>
          </w:tcPr>
          <w:p w14:paraId="7F1FF0A9"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Inhibits bacterial virulence factors, enhances immune response</w:t>
            </w:r>
          </w:p>
        </w:tc>
        <w:tc>
          <w:tcPr>
            <w:tcW w:w="1965" w:type="dxa"/>
            <w:tcBorders>
              <w:top w:val="nil"/>
              <w:left w:val="nil"/>
              <w:bottom w:val="nil"/>
              <w:right w:val="nil"/>
            </w:tcBorders>
            <w:tcMar>
              <w:top w:w="0" w:type="dxa"/>
              <w:left w:w="100" w:type="dxa"/>
              <w:bottom w:w="0" w:type="dxa"/>
              <w:right w:w="100" w:type="dxa"/>
            </w:tcMar>
          </w:tcPr>
          <w:p w14:paraId="07608A0C" w14:textId="77777777" w:rsidR="00C534FC" w:rsidRDefault="008150ED">
            <w:pPr>
              <w:spacing w:before="240" w:after="240" w:line="276" w:lineRule="auto"/>
              <w:ind w:left="1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Almowallad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w:t>
            </w:r>
          </w:p>
        </w:tc>
      </w:tr>
      <w:tr w:rsidR="00C534FC" w14:paraId="7AF931A6" w14:textId="77777777">
        <w:trPr>
          <w:trHeight w:val="1320"/>
        </w:trPr>
        <w:tc>
          <w:tcPr>
            <w:tcW w:w="2340" w:type="dxa"/>
            <w:tcBorders>
              <w:top w:val="nil"/>
              <w:left w:val="nil"/>
              <w:bottom w:val="nil"/>
              <w:right w:val="nil"/>
            </w:tcBorders>
            <w:tcMar>
              <w:top w:w="0" w:type="dxa"/>
              <w:left w:w="100" w:type="dxa"/>
              <w:bottom w:w="0" w:type="dxa"/>
              <w:right w:w="100" w:type="dxa"/>
            </w:tcMar>
          </w:tcPr>
          <w:p w14:paraId="1D04DFE6"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Curcuma longa</w:t>
            </w:r>
          </w:p>
        </w:tc>
        <w:tc>
          <w:tcPr>
            <w:tcW w:w="1350" w:type="dxa"/>
            <w:tcBorders>
              <w:top w:val="nil"/>
              <w:left w:val="nil"/>
              <w:bottom w:val="nil"/>
              <w:right w:val="nil"/>
            </w:tcBorders>
            <w:tcMar>
              <w:top w:w="0" w:type="dxa"/>
              <w:left w:w="100" w:type="dxa"/>
              <w:bottom w:w="0" w:type="dxa"/>
              <w:right w:w="100" w:type="dxa"/>
            </w:tcMar>
          </w:tcPr>
          <w:p w14:paraId="5F0E437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Curcumin</w:t>
            </w:r>
          </w:p>
        </w:tc>
        <w:tc>
          <w:tcPr>
            <w:tcW w:w="2805" w:type="dxa"/>
            <w:tcBorders>
              <w:top w:val="nil"/>
              <w:left w:val="nil"/>
              <w:bottom w:val="nil"/>
              <w:right w:val="nil"/>
            </w:tcBorders>
            <w:tcMar>
              <w:top w:w="0" w:type="dxa"/>
              <w:left w:w="100" w:type="dxa"/>
              <w:bottom w:w="0" w:type="dxa"/>
              <w:right w:w="100" w:type="dxa"/>
            </w:tcMar>
          </w:tcPr>
          <w:p w14:paraId="413ED597" w14:textId="21C2DCB0" w:rsidR="00C534FC" w:rsidRPr="00814ECD" w:rsidRDefault="008150ED">
            <w:pPr>
              <w:spacing w:before="240" w:after="240" w:line="276" w:lineRule="auto"/>
              <w:ind w:left="100"/>
              <w:jc w:val="both"/>
              <w:rPr>
                <w:rFonts w:ascii="Times New Roman" w:eastAsia="Times New Roman" w:hAnsi="Times New Roman" w:cs="Times New Roman"/>
                <w:sz w:val="24"/>
                <w:szCs w:val="24"/>
                <w:highlight w:val="yellow"/>
              </w:rPr>
            </w:pPr>
            <w:r w:rsidRPr="00814ECD">
              <w:rPr>
                <w:rFonts w:ascii="Times New Roman" w:eastAsia="Times New Roman" w:hAnsi="Times New Roman" w:cs="Times New Roman"/>
                <w:sz w:val="24"/>
                <w:szCs w:val="24"/>
                <w:highlight w:val="yellow"/>
              </w:rPr>
              <w:t xml:space="preserve">Modulates bacterial </w:t>
            </w:r>
            <w:proofErr w:type="spellStart"/>
            <w:r w:rsidRPr="00814ECD">
              <w:rPr>
                <w:rFonts w:ascii="Times New Roman" w:eastAsia="Times New Roman" w:hAnsi="Times New Roman" w:cs="Times New Roman"/>
                <w:sz w:val="24"/>
                <w:szCs w:val="24"/>
                <w:highlight w:val="yellow"/>
              </w:rPr>
              <w:t>signa</w:t>
            </w:r>
            <w:r w:rsidR="007F1404" w:rsidRPr="00814ECD">
              <w:rPr>
                <w:rFonts w:ascii="Times New Roman" w:eastAsia="Times New Roman" w:hAnsi="Times New Roman" w:cs="Times New Roman"/>
                <w:sz w:val="24"/>
                <w:szCs w:val="24"/>
                <w:highlight w:val="yellow"/>
              </w:rPr>
              <w:t>l</w:t>
            </w:r>
            <w:r w:rsidRPr="00814ECD">
              <w:rPr>
                <w:rFonts w:ascii="Times New Roman" w:eastAsia="Times New Roman" w:hAnsi="Times New Roman" w:cs="Times New Roman"/>
                <w:sz w:val="24"/>
                <w:szCs w:val="24"/>
                <w:highlight w:val="yellow"/>
              </w:rPr>
              <w:t>ling</w:t>
            </w:r>
            <w:proofErr w:type="spellEnd"/>
            <w:r w:rsidRPr="00814ECD">
              <w:rPr>
                <w:rFonts w:ascii="Times New Roman" w:eastAsia="Times New Roman" w:hAnsi="Times New Roman" w:cs="Times New Roman"/>
                <w:sz w:val="24"/>
                <w:szCs w:val="24"/>
                <w:highlight w:val="yellow"/>
              </w:rPr>
              <w:t xml:space="preserve"> pathways</w:t>
            </w:r>
            <w:r w:rsidR="007F1404" w:rsidRPr="00814ECD">
              <w:rPr>
                <w:rFonts w:ascii="Times New Roman" w:eastAsia="Times New Roman" w:hAnsi="Times New Roman" w:cs="Times New Roman"/>
                <w:sz w:val="24"/>
                <w:szCs w:val="24"/>
                <w:highlight w:val="yellow"/>
              </w:rPr>
              <w:t xml:space="preserve"> and </w:t>
            </w:r>
            <w:r w:rsidRPr="00814ECD">
              <w:rPr>
                <w:rFonts w:ascii="Times New Roman" w:eastAsia="Times New Roman" w:hAnsi="Times New Roman" w:cs="Times New Roman"/>
                <w:sz w:val="24"/>
                <w:szCs w:val="24"/>
                <w:highlight w:val="yellow"/>
              </w:rPr>
              <w:t>inhibits biofilms.</w:t>
            </w:r>
          </w:p>
          <w:p w14:paraId="2294E5E3" w14:textId="5841B1D2" w:rsidR="00C534FC" w:rsidRPr="00814ECD" w:rsidRDefault="008150ED">
            <w:pPr>
              <w:spacing w:before="240" w:after="240" w:line="276" w:lineRule="auto"/>
              <w:ind w:left="100"/>
              <w:jc w:val="both"/>
              <w:rPr>
                <w:rFonts w:ascii="Times New Roman" w:eastAsia="Times New Roman" w:hAnsi="Times New Roman" w:cs="Times New Roman"/>
                <w:sz w:val="24"/>
                <w:szCs w:val="24"/>
                <w:highlight w:val="yellow"/>
              </w:rPr>
            </w:pPr>
            <w:r w:rsidRPr="00814ECD">
              <w:rPr>
                <w:rFonts w:ascii="Times New Roman" w:eastAsia="Times New Roman" w:hAnsi="Times New Roman" w:cs="Times New Roman"/>
                <w:sz w:val="24"/>
                <w:szCs w:val="24"/>
                <w:highlight w:val="yellow"/>
              </w:rPr>
              <w:t xml:space="preserve">Damaging of </w:t>
            </w:r>
            <w:r w:rsidR="007F1404" w:rsidRPr="00814ECD">
              <w:rPr>
                <w:rFonts w:ascii="Times New Roman" w:eastAsia="Times New Roman" w:hAnsi="Times New Roman" w:cs="Times New Roman"/>
                <w:sz w:val="24"/>
                <w:szCs w:val="24"/>
                <w:highlight w:val="yellow"/>
              </w:rPr>
              <w:t xml:space="preserve">the </w:t>
            </w:r>
            <w:r w:rsidRPr="00814ECD">
              <w:rPr>
                <w:rFonts w:ascii="Times New Roman" w:eastAsia="Times New Roman" w:hAnsi="Times New Roman" w:cs="Times New Roman"/>
                <w:sz w:val="24"/>
                <w:szCs w:val="24"/>
                <w:highlight w:val="yellow"/>
              </w:rPr>
              <w:t>bacterial membrane</w:t>
            </w:r>
          </w:p>
        </w:tc>
        <w:tc>
          <w:tcPr>
            <w:tcW w:w="1965" w:type="dxa"/>
            <w:tcBorders>
              <w:top w:val="nil"/>
              <w:left w:val="nil"/>
              <w:bottom w:val="nil"/>
              <w:right w:val="nil"/>
            </w:tcBorders>
            <w:tcMar>
              <w:top w:w="0" w:type="dxa"/>
              <w:left w:w="100" w:type="dxa"/>
              <w:bottom w:w="0" w:type="dxa"/>
              <w:right w:w="100" w:type="dxa"/>
            </w:tcMar>
          </w:tcPr>
          <w:p w14:paraId="4543FBBF" w14:textId="77777777" w:rsidR="00C534FC" w:rsidRPr="00814ECD" w:rsidRDefault="008150ED">
            <w:pPr>
              <w:spacing w:before="240" w:after="240" w:line="276" w:lineRule="auto"/>
              <w:ind w:left="100"/>
              <w:jc w:val="both"/>
              <w:rPr>
                <w:rFonts w:ascii="Times New Roman" w:eastAsia="Times New Roman" w:hAnsi="Times New Roman" w:cs="Times New Roman"/>
                <w:sz w:val="24"/>
                <w:szCs w:val="24"/>
                <w:highlight w:val="yellow"/>
              </w:rPr>
            </w:pPr>
            <w:r w:rsidRPr="00814ECD">
              <w:rPr>
                <w:rFonts w:ascii="Times New Roman" w:eastAsia="Times New Roman" w:hAnsi="Times New Roman" w:cs="Times New Roman"/>
                <w:sz w:val="24"/>
                <w:szCs w:val="24"/>
                <w:highlight w:val="yellow"/>
              </w:rPr>
              <w:t xml:space="preserve">Okwu </w:t>
            </w:r>
            <w:r w:rsidRPr="00814ECD">
              <w:rPr>
                <w:rFonts w:ascii="Times New Roman" w:eastAsia="Times New Roman" w:hAnsi="Times New Roman" w:cs="Times New Roman"/>
                <w:i/>
                <w:sz w:val="24"/>
                <w:szCs w:val="24"/>
                <w:highlight w:val="yellow"/>
              </w:rPr>
              <w:t>et al.</w:t>
            </w:r>
            <w:r w:rsidRPr="00814ECD">
              <w:rPr>
                <w:rFonts w:ascii="Times New Roman" w:eastAsia="Times New Roman" w:hAnsi="Times New Roman" w:cs="Times New Roman"/>
                <w:sz w:val="24"/>
                <w:szCs w:val="24"/>
                <w:highlight w:val="yellow"/>
              </w:rPr>
              <w:t xml:space="preserve">, 2019; Park </w:t>
            </w:r>
            <w:r w:rsidRPr="00814ECD">
              <w:rPr>
                <w:rFonts w:ascii="Times New Roman" w:eastAsia="Times New Roman" w:hAnsi="Times New Roman" w:cs="Times New Roman"/>
                <w:i/>
                <w:sz w:val="24"/>
                <w:szCs w:val="24"/>
                <w:highlight w:val="yellow"/>
              </w:rPr>
              <w:t>et al.</w:t>
            </w:r>
            <w:r w:rsidRPr="00814ECD">
              <w:rPr>
                <w:rFonts w:ascii="Times New Roman" w:eastAsia="Times New Roman" w:hAnsi="Times New Roman" w:cs="Times New Roman"/>
                <w:sz w:val="24"/>
                <w:szCs w:val="24"/>
                <w:highlight w:val="yellow"/>
              </w:rPr>
              <w:t>, 2005</w:t>
            </w:r>
          </w:p>
          <w:p w14:paraId="5C1DB6C3" w14:textId="4CE0B9C0" w:rsidR="00C534FC" w:rsidRPr="00814ECD" w:rsidRDefault="007F1404">
            <w:pPr>
              <w:spacing w:before="240" w:after="240" w:line="276" w:lineRule="auto"/>
              <w:ind w:left="100"/>
              <w:jc w:val="both"/>
              <w:rPr>
                <w:rFonts w:ascii="Times New Roman" w:eastAsia="Times New Roman" w:hAnsi="Times New Roman" w:cs="Times New Roman"/>
                <w:sz w:val="24"/>
                <w:szCs w:val="24"/>
                <w:highlight w:val="yellow"/>
              </w:rPr>
            </w:pPr>
            <w:proofErr w:type="spellStart"/>
            <w:r w:rsidRPr="00814ECD">
              <w:rPr>
                <w:rFonts w:ascii="Times New Roman" w:eastAsia="Times New Roman" w:hAnsi="Times New Roman" w:cs="Times New Roman"/>
                <w:sz w:val="24"/>
                <w:szCs w:val="24"/>
                <w:highlight w:val="yellow"/>
              </w:rPr>
              <w:t>Gorlenko</w:t>
            </w:r>
            <w:proofErr w:type="spellEnd"/>
            <w:r w:rsidRPr="00814ECD">
              <w:rPr>
                <w:rFonts w:ascii="Times New Roman" w:eastAsia="Times New Roman" w:hAnsi="Times New Roman" w:cs="Times New Roman"/>
                <w:sz w:val="24"/>
                <w:szCs w:val="24"/>
                <w:highlight w:val="yellow"/>
              </w:rPr>
              <w:t xml:space="preserve"> </w:t>
            </w:r>
            <w:r w:rsidR="008150ED" w:rsidRPr="00814ECD">
              <w:rPr>
                <w:rFonts w:ascii="Times New Roman" w:eastAsia="Times New Roman" w:hAnsi="Times New Roman" w:cs="Times New Roman"/>
                <w:i/>
                <w:sz w:val="24"/>
                <w:szCs w:val="24"/>
                <w:highlight w:val="yellow"/>
              </w:rPr>
              <w:t>et al.</w:t>
            </w:r>
            <w:r w:rsidR="008150ED" w:rsidRPr="00814ECD">
              <w:rPr>
                <w:rFonts w:ascii="Times New Roman" w:eastAsia="Times New Roman" w:hAnsi="Times New Roman" w:cs="Times New Roman"/>
                <w:sz w:val="24"/>
                <w:szCs w:val="24"/>
                <w:highlight w:val="yellow"/>
              </w:rPr>
              <w:t>, 2020</w:t>
            </w:r>
          </w:p>
        </w:tc>
      </w:tr>
      <w:tr w:rsidR="00C534FC" w14:paraId="5ECAC29D" w14:textId="77777777">
        <w:trPr>
          <w:trHeight w:val="1050"/>
        </w:trPr>
        <w:tc>
          <w:tcPr>
            <w:tcW w:w="2340" w:type="dxa"/>
            <w:tcBorders>
              <w:top w:val="nil"/>
              <w:left w:val="nil"/>
              <w:bottom w:val="nil"/>
              <w:right w:val="nil"/>
            </w:tcBorders>
            <w:tcMar>
              <w:top w:w="0" w:type="dxa"/>
              <w:left w:w="100" w:type="dxa"/>
              <w:bottom w:w="0" w:type="dxa"/>
              <w:right w:w="100" w:type="dxa"/>
            </w:tcMar>
          </w:tcPr>
          <w:p w14:paraId="44F2B334"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Camellia sinensis</w:t>
            </w:r>
          </w:p>
        </w:tc>
        <w:tc>
          <w:tcPr>
            <w:tcW w:w="1350" w:type="dxa"/>
            <w:tcBorders>
              <w:top w:val="nil"/>
              <w:left w:val="nil"/>
              <w:bottom w:val="nil"/>
              <w:right w:val="nil"/>
            </w:tcBorders>
            <w:tcMar>
              <w:top w:w="0" w:type="dxa"/>
              <w:left w:w="100" w:type="dxa"/>
              <w:bottom w:w="0" w:type="dxa"/>
              <w:right w:w="100" w:type="dxa"/>
            </w:tcMar>
          </w:tcPr>
          <w:p w14:paraId="2DD19C2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Epigallocatechin gallate (EGCG)</w:t>
            </w:r>
          </w:p>
        </w:tc>
        <w:tc>
          <w:tcPr>
            <w:tcW w:w="2805" w:type="dxa"/>
            <w:tcBorders>
              <w:top w:val="nil"/>
              <w:left w:val="nil"/>
              <w:bottom w:val="nil"/>
              <w:right w:val="nil"/>
            </w:tcBorders>
            <w:tcMar>
              <w:top w:w="0" w:type="dxa"/>
              <w:left w:w="100" w:type="dxa"/>
              <w:bottom w:w="0" w:type="dxa"/>
              <w:right w:w="100" w:type="dxa"/>
            </w:tcMar>
          </w:tcPr>
          <w:p w14:paraId="5D601181"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Enhances antibiotic activity, inhibits bacterial adhesion.</w:t>
            </w:r>
          </w:p>
          <w:p w14:paraId="498C6871"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gyrase</w:t>
            </w:r>
          </w:p>
        </w:tc>
        <w:tc>
          <w:tcPr>
            <w:tcW w:w="1965" w:type="dxa"/>
            <w:tcBorders>
              <w:top w:val="nil"/>
              <w:left w:val="nil"/>
              <w:bottom w:val="nil"/>
              <w:right w:val="nil"/>
            </w:tcBorders>
            <w:tcMar>
              <w:top w:w="0" w:type="dxa"/>
              <w:left w:w="100" w:type="dxa"/>
              <w:bottom w:w="0" w:type="dxa"/>
              <w:right w:w="100" w:type="dxa"/>
            </w:tcMar>
          </w:tcPr>
          <w:p w14:paraId="2A8F8414"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hyperlink r:id="rId13">
              <w:r w:rsidR="00C534FC">
                <w:rPr>
                  <w:rFonts w:ascii="Times New Roman" w:eastAsia="Times New Roman" w:hAnsi="Times New Roman" w:cs="Times New Roman"/>
                  <w:sz w:val="24"/>
                  <w:szCs w:val="24"/>
                </w:rPr>
                <w:t xml:space="preserve"> </w:t>
              </w:r>
            </w:hyperlink>
            <w:hyperlink r:id="rId14">
              <w:proofErr w:type="spellStart"/>
              <w:r w:rsidR="00C534FC">
                <w:rPr>
                  <w:rFonts w:ascii="Times New Roman" w:eastAsia="Times New Roman" w:hAnsi="Times New Roman" w:cs="Times New Roman"/>
                  <w:sz w:val="24"/>
                  <w:szCs w:val="24"/>
                  <w:highlight w:val="white"/>
                  <w:u w:val="single"/>
                </w:rPr>
                <w:t>Gradisar</w:t>
              </w:r>
              <w:proofErr w:type="spellEnd"/>
            </w:hyperlink>
            <w:r>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2007</w:t>
            </w:r>
          </w:p>
        </w:tc>
      </w:tr>
      <w:tr w:rsidR="00C534FC" w14:paraId="3929141A" w14:textId="77777777">
        <w:trPr>
          <w:trHeight w:val="540"/>
        </w:trPr>
        <w:tc>
          <w:tcPr>
            <w:tcW w:w="2340" w:type="dxa"/>
            <w:tcBorders>
              <w:top w:val="nil"/>
              <w:left w:val="nil"/>
              <w:bottom w:val="nil"/>
              <w:right w:val="nil"/>
            </w:tcBorders>
            <w:tcMar>
              <w:top w:w="0" w:type="dxa"/>
              <w:left w:w="100" w:type="dxa"/>
              <w:bottom w:w="0" w:type="dxa"/>
              <w:right w:w="100" w:type="dxa"/>
            </w:tcMar>
          </w:tcPr>
          <w:p w14:paraId="2398E897"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Allium cepa</w:t>
            </w:r>
          </w:p>
        </w:tc>
        <w:tc>
          <w:tcPr>
            <w:tcW w:w="1350" w:type="dxa"/>
            <w:tcBorders>
              <w:top w:val="nil"/>
              <w:left w:val="nil"/>
              <w:bottom w:val="nil"/>
              <w:right w:val="nil"/>
            </w:tcBorders>
            <w:tcMar>
              <w:top w:w="0" w:type="dxa"/>
              <w:left w:w="100" w:type="dxa"/>
              <w:bottom w:w="0" w:type="dxa"/>
              <w:right w:w="100" w:type="dxa"/>
            </w:tcMar>
          </w:tcPr>
          <w:p w14:paraId="3C1F9D61"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Allicin</w:t>
            </w:r>
          </w:p>
        </w:tc>
        <w:tc>
          <w:tcPr>
            <w:tcW w:w="2805" w:type="dxa"/>
            <w:tcBorders>
              <w:top w:val="nil"/>
              <w:left w:val="nil"/>
              <w:bottom w:val="nil"/>
              <w:right w:val="nil"/>
            </w:tcBorders>
            <w:tcMar>
              <w:top w:w="0" w:type="dxa"/>
              <w:left w:w="100" w:type="dxa"/>
              <w:bottom w:w="0" w:type="dxa"/>
              <w:right w:w="100" w:type="dxa"/>
            </w:tcMar>
          </w:tcPr>
          <w:p w14:paraId="23E578BE" w14:textId="72ABD8FB"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DNA and protein synthesis </w:t>
            </w:r>
            <w:r w:rsidR="007F1404" w:rsidRPr="00814ECD">
              <w:rPr>
                <w:rFonts w:ascii="Times New Roman" w:eastAsia="Times New Roman" w:hAnsi="Times New Roman" w:cs="Times New Roman"/>
                <w:sz w:val="24"/>
                <w:szCs w:val="24"/>
                <w:highlight w:val="yellow"/>
              </w:rPr>
              <w:t>inhibition</w:t>
            </w:r>
          </w:p>
        </w:tc>
        <w:tc>
          <w:tcPr>
            <w:tcW w:w="1965" w:type="dxa"/>
            <w:tcBorders>
              <w:top w:val="nil"/>
              <w:left w:val="nil"/>
              <w:bottom w:val="nil"/>
              <w:right w:val="nil"/>
            </w:tcBorders>
            <w:tcMar>
              <w:top w:w="0" w:type="dxa"/>
              <w:left w:w="100" w:type="dxa"/>
              <w:bottom w:w="0" w:type="dxa"/>
              <w:right w:w="100" w:type="dxa"/>
            </w:tcMar>
          </w:tcPr>
          <w:p w14:paraId="3555D71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534FC" w14:paraId="28CC50EA" w14:textId="77777777">
        <w:trPr>
          <w:trHeight w:val="1320"/>
        </w:trPr>
        <w:tc>
          <w:tcPr>
            <w:tcW w:w="2340" w:type="dxa"/>
            <w:tcBorders>
              <w:top w:val="nil"/>
              <w:left w:val="nil"/>
              <w:bottom w:val="nil"/>
              <w:right w:val="nil"/>
            </w:tcBorders>
            <w:tcMar>
              <w:top w:w="0" w:type="dxa"/>
              <w:left w:w="100" w:type="dxa"/>
              <w:bottom w:w="0" w:type="dxa"/>
              <w:right w:w="100" w:type="dxa"/>
            </w:tcMar>
          </w:tcPr>
          <w:p w14:paraId="77F4EA41"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satuvum</w:t>
            </w:r>
            <w:proofErr w:type="spellEnd"/>
          </w:p>
        </w:tc>
        <w:tc>
          <w:tcPr>
            <w:tcW w:w="1350" w:type="dxa"/>
            <w:tcBorders>
              <w:top w:val="nil"/>
              <w:left w:val="nil"/>
              <w:bottom w:val="nil"/>
              <w:right w:val="nil"/>
            </w:tcBorders>
            <w:tcMar>
              <w:top w:w="0" w:type="dxa"/>
              <w:left w:w="100" w:type="dxa"/>
              <w:bottom w:w="0" w:type="dxa"/>
              <w:right w:w="100" w:type="dxa"/>
            </w:tcMar>
          </w:tcPr>
          <w:p w14:paraId="09CBC464"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Allicin</w:t>
            </w:r>
          </w:p>
        </w:tc>
        <w:tc>
          <w:tcPr>
            <w:tcW w:w="2805" w:type="dxa"/>
            <w:tcBorders>
              <w:top w:val="nil"/>
              <w:left w:val="nil"/>
              <w:bottom w:val="nil"/>
              <w:right w:val="nil"/>
            </w:tcBorders>
            <w:tcMar>
              <w:top w:w="0" w:type="dxa"/>
              <w:left w:w="100" w:type="dxa"/>
              <w:bottom w:w="0" w:type="dxa"/>
              <w:right w:w="100" w:type="dxa"/>
            </w:tcMar>
          </w:tcPr>
          <w:p w14:paraId="6939DEB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Inhibits bacterial enzyme activity, disrupts metabolism.</w:t>
            </w:r>
          </w:p>
          <w:p w14:paraId="6C21B04D" w14:textId="0F5C66DA"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DNA and protein synthesis </w:t>
            </w:r>
            <w:r w:rsidR="007F1404" w:rsidRPr="00814ECD">
              <w:rPr>
                <w:rFonts w:ascii="Times New Roman" w:eastAsia="Times New Roman" w:hAnsi="Times New Roman" w:cs="Times New Roman"/>
                <w:sz w:val="24"/>
                <w:szCs w:val="24"/>
                <w:highlight w:val="yellow"/>
              </w:rPr>
              <w:t>inhibition</w:t>
            </w:r>
          </w:p>
        </w:tc>
        <w:tc>
          <w:tcPr>
            <w:tcW w:w="1965" w:type="dxa"/>
            <w:tcBorders>
              <w:top w:val="nil"/>
              <w:left w:val="nil"/>
              <w:bottom w:val="nil"/>
              <w:right w:val="nil"/>
            </w:tcBorders>
            <w:tcMar>
              <w:top w:w="0" w:type="dxa"/>
              <w:left w:w="100" w:type="dxa"/>
              <w:bottom w:w="0" w:type="dxa"/>
              <w:right w:w="100" w:type="dxa"/>
            </w:tcMar>
          </w:tcPr>
          <w:p w14:paraId="63755F0D"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Cowan, 1999</w:t>
            </w:r>
          </w:p>
        </w:tc>
      </w:tr>
      <w:tr w:rsidR="00C534FC" w14:paraId="680011A2" w14:textId="77777777">
        <w:trPr>
          <w:trHeight w:val="810"/>
        </w:trPr>
        <w:tc>
          <w:tcPr>
            <w:tcW w:w="2340" w:type="dxa"/>
            <w:tcBorders>
              <w:top w:val="nil"/>
              <w:left w:val="nil"/>
              <w:bottom w:val="nil"/>
              <w:right w:val="nil"/>
            </w:tcBorders>
            <w:tcMar>
              <w:top w:w="0" w:type="dxa"/>
              <w:left w:w="100" w:type="dxa"/>
              <w:bottom w:w="0" w:type="dxa"/>
              <w:right w:w="100" w:type="dxa"/>
            </w:tcMar>
          </w:tcPr>
          <w:p w14:paraId="4148D6A8"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Curcuma longa</w:t>
            </w:r>
          </w:p>
        </w:tc>
        <w:tc>
          <w:tcPr>
            <w:tcW w:w="1350" w:type="dxa"/>
            <w:tcBorders>
              <w:top w:val="nil"/>
              <w:left w:val="nil"/>
              <w:bottom w:val="nil"/>
              <w:right w:val="nil"/>
            </w:tcBorders>
            <w:tcMar>
              <w:top w:w="0" w:type="dxa"/>
              <w:left w:w="100" w:type="dxa"/>
              <w:bottom w:w="0" w:type="dxa"/>
              <w:right w:w="100" w:type="dxa"/>
            </w:tcMar>
          </w:tcPr>
          <w:p w14:paraId="225FC6F8"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Curcumin</w:t>
            </w:r>
          </w:p>
        </w:tc>
        <w:tc>
          <w:tcPr>
            <w:tcW w:w="2805" w:type="dxa"/>
            <w:tcBorders>
              <w:top w:val="nil"/>
              <w:left w:val="nil"/>
              <w:bottom w:val="nil"/>
              <w:right w:val="nil"/>
            </w:tcBorders>
            <w:tcMar>
              <w:top w:w="0" w:type="dxa"/>
              <w:left w:w="100" w:type="dxa"/>
              <w:bottom w:w="0" w:type="dxa"/>
              <w:right w:w="100" w:type="dxa"/>
            </w:tcMar>
          </w:tcPr>
          <w:p w14:paraId="4F60ED10" w14:textId="536557D5"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Modulates bacterial </w:t>
            </w:r>
            <w:proofErr w:type="spellStart"/>
            <w:r w:rsidRPr="00814ECD">
              <w:rPr>
                <w:rFonts w:ascii="Times New Roman" w:eastAsia="Times New Roman" w:hAnsi="Times New Roman" w:cs="Times New Roman"/>
                <w:sz w:val="24"/>
                <w:szCs w:val="24"/>
                <w:highlight w:val="yellow"/>
              </w:rPr>
              <w:t>signa</w:t>
            </w:r>
            <w:r w:rsidR="007F1404" w:rsidRPr="00814ECD">
              <w:rPr>
                <w:rFonts w:ascii="Times New Roman" w:eastAsia="Times New Roman" w:hAnsi="Times New Roman" w:cs="Times New Roman"/>
                <w:sz w:val="24"/>
                <w:szCs w:val="24"/>
                <w:highlight w:val="yellow"/>
              </w:rPr>
              <w:t>l</w:t>
            </w:r>
            <w:r w:rsidRPr="00814ECD">
              <w:rPr>
                <w:rFonts w:ascii="Times New Roman" w:eastAsia="Times New Roman" w:hAnsi="Times New Roman" w:cs="Times New Roman"/>
                <w:sz w:val="24"/>
                <w:szCs w:val="24"/>
                <w:highlight w:val="yellow"/>
              </w:rPr>
              <w:t>ling</w:t>
            </w:r>
            <w:proofErr w:type="spellEnd"/>
            <w:r>
              <w:rPr>
                <w:rFonts w:ascii="Times New Roman" w:eastAsia="Times New Roman" w:hAnsi="Times New Roman" w:cs="Times New Roman"/>
                <w:sz w:val="24"/>
                <w:szCs w:val="24"/>
              </w:rPr>
              <w:t xml:space="preserve"> pathways, inhibits biofilms</w:t>
            </w:r>
          </w:p>
        </w:tc>
        <w:tc>
          <w:tcPr>
            <w:tcW w:w="1965" w:type="dxa"/>
            <w:tcBorders>
              <w:top w:val="nil"/>
              <w:left w:val="nil"/>
              <w:bottom w:val="nil"/>
              <w:right w:val="nil"/>
            </w:tcBorders>
            <w:tcMar>
              <w:top w:w="0" w:type="dxa"/>
              <w:left w:w="100" w:type="dxa"/>
              <w:bottom w:w="0" w:type="dxa"/>
              <w:right w:w="100" w:type="dxa"/>
            </w:tcMar>
          </w:tcPr>
          <w:p w14:paraId="547357E7"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1029;</w:t>
            </w:r>
            <w:hyperlink r:id="rId15">
              <w:r w:rsidR="00C534FC">
                <w:rPr>
                  <w:rFonts w:ascii="Times New Roman" w:eastAsia="Times New Roman" w:hAnsi="Times New Roman" w:cs="Times New Roman"/>
                  <w:sz w:val="24"/>
                  <w:szCs w:val="24"/>
                </w:rPr>
                <w:t xml:space="preserve"> </w:t>
              </w:r>
            </w:hyperlink>
            <w:hyperlink r:id="rId16">
              <w:proofErr w:type="spellStart"/>
              <w:r w:rsidR="00C534FC">
                <w:rPr>
                  <w:rFonts w:ascii="Times New Roman" w:eastAsia="Times New Roman" w:hAnsi="Times New Roman" w:cs="Times New Roman"/>
                  <w:sz w:val="24"/>
                  <w:szCs w:val="24"/>
                  <w:highlight w:val="white"/>
                  <w:u w:val="single"/>
                </w:rPr>
                <w:t>Apisariyakul</w:t>
              </w:r>
              <w:proofErr w:type="spellEnd"/>
            </w:hyperlink>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1995</w:t>
            </w:r>
          </w:p>
        </w:tc>
      </w:tr>
      <w:tr w:rsidR="00C534FC" w14:paraId="7711DF02" w14:textId="77777777">
        <w:trPr>
          <w:trHeight w:val="540"/>
        </w:trPr>
        <w:tc>
          <w:tcPr>
            <w:tcW w:w="2340" w:type="dxa"/>
            <w:tcBorders>
              <w:top w:val="nil"/>
              <w:left w:val="nil"/>
              <w:bottom w:val="nil"/>
              <w:right w:val="nil"/>
            </w:tcBorders>
            <w:tcMar>
              <w:top w:w="0" w:type="dxa"/>
              <w:left w:w="100" w:type="dxa"/>
              <w:bottom w:w="0" w:type="dxa"/>
              <w:right w:w="100" w:type="dxa"/>
            </w:tcMar>
          </w:tcPr>
          <w:p w14:paraId="65B15016"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Eucalyptus globulus</w:t>
            </w:r>
          </w:p>
        </w:tc>
        <w:tc>
          <w:tcPr>
            <w:tcW w:w="1350" w:type="dxa"/>
            <w:tcBorders>
              <w:top w:val="nil"/>
              <w:left w:val="nil"/>
              <w:bottom w:val="nil"/>
              <w:right w:val="nil"/>
            </w:tcBorders>
            <w:tcMar>
              <w:top w:w="0" w:type="dxa"/>
              <w:left w:w="100" w:type="dxa"/>
              <w:bottom w:w="0" w:type="dxa"/>
              <w:right w:w="100" w:type="dxa"/>
            </w:tcMar>
          </w:tcPr>
          <w:p w14:paraId="5E5A4CD5"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Eucalyptol, Terpenes</w:t>
            </w:r>
          </w:p>
        </w:tc>
        <w:tc>
          <w:tcPr>
            <w:tcW w:w="2805" w:type="dxa"/>
            <w:tcBorders>
              <w:top w:val="nil"/>
              <w:left w:val="nil"/>
              <w:bottom w:val="nil"/>
              <w:right w:val="nil"/>
            </w:tcBorders>
            <w:tcMar>
              <w:top w:w="0" w:type="dxa"/>
              <w:left w:w="100" w:type="dxa"/>
              <w:bottom w:w="0" w:type="dxa"/>
              <w:right w:w="100" w:type="dxa"/>
            </w:tcMar>
          </w:tcPr>
          <w:p w14:paraId="49427659"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Disrupts bacterial membranes, reduces toxin production</w:t>
            </w:r>
          </w:p>
        </w:tc>
        <w:tc>
          <w:tcPr>
            <w:tcW w:w="1965" w:type="dxa"/>
            <w:tcBorders>
              <w:top w:val="nil"/>
              <w:left w:val="nil"/>
              <w:bottom w:val="nil"/>
              <w:right w:val="nil"/>
            </w:tcBorders>
            <w:tcMar>
              <w:top w:w="0" w:type="dxa"/>
              <w:left w:w="100" w:type="dxa"/>
              <w:bottom w:w="0" w:type="dxa"/>
              <w:right w:w="100" w:type="dxa"/>
            </w:tcMar>
          </w:tcPr>
          <w:p w14:paraId="15C30E8C"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2019Angelini, 2024</w:t>
            </w:r>
          </w:p>
        </w:tc>
      </w:tr>
      <w:tr w:rsidR="00C534FC" w14:paraId="1BA6EB64" w14:textId="77777777">
        <w:trPr>
          <w:trHeight w:val="540"/>
        </w:trPr>
        <w:tc>
          <w:tcPr>
            <w:tcW w:w="2340" w:type="dxa"/>
            <w:tcBorders>
              <w:top w:val="nil"/>
              <w:left w:val="nil"/>
              <w:bottom w:val="nil"/>
              <w:right w:val="nil"/>
            </w:tcBorders>
            <w:tcMar>
              <w:top w:w="0" w:type="dxa"/>
              <w:left w:w="100" w:type="dxa"/>
              <w:bottom w:w="0" w:type="dxa"/>
              <w:right w:w="100" w:type="dxa"/>
            </w:tcMar>
          </w:tcPr>
          <w:p w14:paraId="03A53AE1" w14:textId="77777777" w:rsidR="00C534FC" w:rsidRDefault="008150ED">
            <w:pPr>
              <w:spacing w:before="240" w:after="240" w:line="276"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Moringa oleifera</w:t>
            </w:r>
          </w:p>
        </w:tc>
        <w:tc>
          <w:tcPr>
            <w:tcW w:w="1350" w:type="dxa"/>
            <w:tcBorders>
              <w:top w:val="nil"/>
              <w:left w:val="nil"/>
              <w:bottom w:val="nil"/>
              <w:right w:val="nil"/>
            </w:tcBorders>
            <w:tcMar>
              <w:top w:w="0" w:type="dxa"/>
              <w:left w:w="100" w:type="dxa"/>
              <w:bottom w:w="0" w:type="dxa"/>
              <w:right w:w="100" w:type="dxa"/>
            </w:tcMar>
          </w:tcPr>
          <w:p w14:paraId="74D07378" w14:textId="77777777" w:rsidR="00C534FC" w:rsidRDefault="008150ED">
            <w:pPr>
              <w:spacing w:before="240" w:after="240"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w:t>
            </w:r>
          </w:p>
        </w:tc>
        <w:tc>
          <w:tcPr>
            <w:tcW w:w="2805" w:type="dxa"/>
            <w:tcBorders>
              <w:top w:val="nil"/>
              <w:left w:val="nil"/>
              <w:bottom w:val="nil"/>
              <w:right w:val="nil"/>
            </w:tcBorders>
            <w:tcMar>
              <w:top w:w="0" w:type="dxa"/>
              <w:left w:w="100" w:type="dxa"/>
              <w:bottom w:w="0" w:type="dxa"/>
              <w:right w:w="100" w:type="dxa"/>
            </w:tcMar>
          </w:tcPr>
          <w:p w14:paraId="7BEAC976"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Efflux pump inhibitors</w:t>
            </w:r>
          </w:p>
        </w:tc>
        <w:tc>
          <w:tcPr>
            <w:tcW w:w="1965" w:type="dxa"/>
            <w:tcBorders>
              <w:top w:val="nil"/>
              <w:left w:val="nil"/>
              <w:bottom w:val="nil"/>
              <w:right w:val="nil"/>
            </w:tcBorders>
            <w:tcMar>
              <w:top w:w="0" w:type="dxa"/>
              <w:left w:w="100" w:type="dxa"/>
              <w:bottom w:w="0" w:type="dxa"/>
              <w:right w:w="100" w:type="dxa"/>
            </w:tcMar>
          </w:tcPr>
          <w:p w14:paraId="793FB245" w14:textId="77777777" w:rsidR="00C534FC" w:rsidRDefault="008150ED">
            <w:pPr>
              <w:spacing w:before="240" w:after="240" w:line="276" w:lineRule="auto"/>
              <w:ind w:left="1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Gorlenko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tc>
      </w:tr>
      <w:tr w:rsidR="00C534FC" w14:paraId="6FC95492" w14:textId="77777777">
        <w:trPr>
          <w:trHeight w:val="555"/>
        </w:trPr>
        <w:tc>
          <w:tcPr>
            <w:tcW w:w="2340" w:type="dxa"/>
            <w:tcBorders>
              <w:top w:val="nil"/>
              <w:left w:val="nil"/>
              <w:bottom w:val="single" w:sz="6" w:space="0" w:color="000000"/>
              <w:right w:val="nil"/>
            </w:tcBorders>
            <w:tcMar>
              <w:top w:w="0" w:type="dxa"/>
              <w:left w:w="100" w:type="dxa"/>
              <w:bottom w:w="0" w:type="dxa"/>
              <w:right w:w="100" w:type="dxa"/>
            </w:tcMar>
          </w:tcPr>
          <w:p w14:paraId="6DA12B93" w14:textId="77777777" w:rsidR="00C534FC" w:rsidRDefault="008150ED">
            <w:pPr>
              <w:spacing w:before="240" w:after="240" w:line="276" w:lineRule="auto"/>
              <w:ind w:left="10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Aloe vera</w:t>
            </w:r>
          </w:p>
        </w:tc>
        <w:tc>
          <w:tcPr>
            <w:tcW w:w="1350" w:type="dxa"/>
            <w:tcBorders>
              <w:top w:val="nil"/>
              <w:left w:val="nil"/>
              <w:bottom w:val="single" w:sz="6" w:space="0" w:color="000000"/>
              <w:right w:val="nil"/>
            </w:tcBorders>
            <w:tcMar>
              <w:top w:w="0" w:type="dxa"/>
              <w:left w:w="100" w:type="dxa"/>
              <w:bottom w:w="0" w:type="dxa"/>
              <w:right w:w="100" w:type="dxa"/>
            </w:tcMar>
          </w:tcPr>
          <w:p w14:paraId="5B1194D8"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Flavonoids</w:t>
            </w:r>
          </w:p>
        </w:tc>
        <w:tc>
          <w:tcPr>
            <w:tcW w:w="2805" w:type="dxa"/>
            <w:tcBorders>
              <w:top w:val="nil"/>
              <w:left w:val="nil"/>
              <w:bottom w:val="single" w:sz="6" w:space="0" w:color="000000"/>
              <w:right w:val="nil"/>
            </w:tcBorders>
            <w:tcMar>
              <w:top w:w="0" w:type="dxa"/>
              <w:left w:w="100" w:type="dxa"/>
              <w:bottom w:w="0" w:type="dxa"/>
              <w:right w:w="100" w:type="dxa"/>
            </w:tcMar>
          </w:tcPr>
          <w:p w14:paraId="4C8818A1" w14:textId="77777777" w:rsidR="00C534FC" w:rsidRDefault="008150ED">
            <w:pPr>
              <w:spacing w:before="240" w:after="240" w:line="276" w:lineRule="auto"/>
              <w:ind w:left="1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Efflux  pump inhibitors</w:t>
            </w:r>
          </w:p>
        </w:tc>
        <w:tc>
          <w:tcPr>
            <w:tcW w:w="1965" w:type="dxa"/>
            <w:tcBorders>
              <w:top w:val="nil"/>
              <w:left w:val="nil"/>
              <w:bottom w:val="single" w:sz="6" w:space="0" w:color="000000"/>
              <w:right w:val="nil"/>
            </w:tcBorders>
            <w:tcMar>
              <w:top w:w="0" w:type="dxa"/>
              <w:left w:w="100" w:type="dxa"/>
              <w:bottom w:w="0" w:type="dxa"/>
              <w:right w:w="100" w:type="dxa"/>
            </w:tcMar>
          </w:tcPr>
          <w:p w14:paraId="1C25C37D" w14:textId="77777777" w:rsidR="00C534FC" w:rsidRDefault="008150ED">
            <w:pPr>
              <w:spacing w:before="240" w:after="240" w:line="276" w:lineRule="auto"/>
              <w:ind w:left="1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Gorlenko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tc>
      </w:tr>
    </w:tbl>
    <w:p w14:paraId="19BE4DCB" w14:textId="77777777" w:rsidR="00C534FC" w:rsidRDefault="008150ED">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4.2   </w:t>
      </w:r>
      <w:r>
        <w:rPr>
          <w:rFonts w:ascii="Times New Roman" w:eastAsia="Times New Roman" w:hAnsi="Times New Roman" w:cs="Times New Roman"/>
          <w:b/>
          <w:sz w:val="24"/>
          <w:szCs w:val="24"/>
        </w:rPr>
        <w:tab/>
        <w:t>Genetic Modification and Breeding of Medicinal Plants to Enhance Antimicrobial Properties</w:t>
      </w:r>
    </w:p>
    <w:p w14:paraId="34BB15AD" w14:textId="5092FD8D" w:rsidR="00C534FC" w:rsidRPr="00346DB4"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development of medicinal plants through genetic means has proven effective in boosting their resistance to antibacterial pathogen 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(MRSA). The development of plant varieties containing increased bioactive compound amounts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flavonoids and polyphenols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alkaloids have employed traditional breeding methods involving selective breeding and </w:t>
      </w:r>
      <w:proofErr w:type="spellStart"/>
      <w:r w:rsidR="007F1404" w:rsidRPr="00814ECD">
        <w:rPr>
          <w:rFonts w:ascii="Times New Roman" w:eastAsia="Times New Roman" w:hAnsi="Times New Roman" w:cs="Times New Roman"/>
          <w:sz w:val="24"/>
          <w:szCs w:val="24"/>
          <w:highlight w:val="yellow"/>
        </w:rPr>
        <w:t>hybridisation</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 xml:space="preserve">(Kaushik </w:t>
      </w:r>
      <w:r w:rsidRPr="00814ECD">
        <w:rPr>
          <w:rFonts w:ascii="Times New Roman" w:eastAsia="Times New Roman" w:hAnsi="Times New Roman" w:cs="Times New Roman"/>
          <w:i/>
          <w:sz w:val="24"/>
          <w:szCs w:val="24"/>
          <w:highlight w:val="yellow"/>
        </w:rPr>
        <w:t>et al.</w:t>
      </w:r>
      <w:r w:rsidRPr="00814ECD">
        <w:rPr>
          <w:rFonts w:ascii="Times New Roman" w:eastAsia="Times New Roman" w:hAnsi="Times New Roman" w:cs="Times New Roman"/>
          <w:sz w:val="24"/>
          <w:szCs w:val="24"/>
          <w:highlight w:val="yellow"/>
        </w:rPr>
        <w:t xml:space="preserve">, 2019; Kumar </w:t>
      </w:r>
      <w:r w:rsidRPr="00814ECD">
        <w:rPr>
          <w:rFonts w:ascii="Times New Roman" w:eastAsia="Times New Roman" w:hAnsi="Times New Roman" w:cs="Times New Roman"/>
          <w:i/>
          <w:sz w:val="24"/>
          <w:szCs w:val="24"/>
          <w:highlight w:val="yellow"/>
        </w:rPr>
        <w:t>et al.</w:t>
      </w:r>
      <w:r w:rsidR="007F1404" w:rsidRPr="00814ECD">
        <w:rPr>
          <w:rFonts w:ascii="Times New Roman" w:eastAsia="Times New Roman" w:hAnsi="Times New Roman" w:cs="Times New Roman"/>
          <w:i/>
          <w:sz w:val="24"/>
          <w:szCs w:val="24"/>
          <w:highlight w:val="yellow"/>
        </w:rPr>
        <w:t>,</w:t>
      </w:r>
      <w:r w:rsidRPr="00814ECD">
        <w:rPr>
          <w:rFonts w:ascii="Times New Roman" w:eastAsia="Times New Roman" w:hAnsi="Times New Roman" w:cs="Times New Roman"/>
          <w:sz w:val="24"/>
          <w:szCs w:val="24"/>
          <w:highlight w:val="yellow"/>
        </w:rPr>
        <w:t xml:space="preserve"> 2021</w:t>
      </w:r>
      <w:r w:rsidR="00346DB4" w:rsidRPr="00814ECD">
        <w:rPr>
          <w:rFonts w:ascii="Times New Roman" w:eastAsia="Times New Roman" w:hAnsi="Times New Roman" w:cs="Times New Roman"/>
          <w:sz w:val="24"/>
          <w:szCs w:val="24"/>
          <w:highlight w:val="yellow"/>
        </w:rPr>
        <w:t xml:space="preserve">; Okoh </w:t>
      </w:r>
      <w:r w:rsidR="00346DB4" w:rsidRPr="00814ECD">
        <w:rPr>
          <w:rFonts w:ascii="Times New Roman" w:eastAsia="Times New Roman" w:hAnsi="Times New Roman" w:cs="Times New Roman"/>
          <w:i/>
          <w:iCs/>
          <w:sz w:val="24"/>
          <w:szCs w:val="24"/>
          <w:highlight w:val="yellow"/>
        </w:rPr>
        <w:t>et al.,</w:t>
      </w:r>
      <w:r w:rsidR="00346DB4" w:rsidRPr="00814ECD">
        <w:rPr>
          <w:rFonts w:ascii="Times New Roman" w:eastAsia="Times New Roman" w:hAnsi="Times New Roman" w:cs="Times New Roman"/>
          <w:sz w:val="24"/>
          <w:szCs w:val="24"/>
          <w:highlight w:val="yellow"/>
        </w:rPr>
        <w:t xml:space="preserve"> 2021</w:t>
      </w:r>
      <w:r w:rsidRPr="00814ECD">
        <w:rPr>
          <w:rFonts w:ascii="Times New Roman" w:eastAsia="Times New Roman" w:hAnsi="Times New Roman" w:cs="Times New Roman"/>
          <w:sz w:val="24"/>
          <w:szCs w:val="24"/>
          <w:highlight w:val="yellow"/>
        </w:rPr>
        <w:t>). However,</w:t>
      </w:r>
      <w:r>
        <w:rPr>
          <w:rFonts w:ascii="Times New Roman" w:eastAsia="Times New Roman" w:hAnsi="Times New Roman" w:cs="Times New Roman"/>
          <w:sz w:val="24"/>
          <w:szCs w:val="24"/>
        </w:rPr>
        <w:t xml:space="preserve"> these biological approaches are generally </w:t>
      </w:r>
      <w:r w:rsidR="007F1404" w:rsidRPr="00814ECD">
        <w:rPr>
          <w:rFonts w:ascii="Times New Roman" w:eastAsia="Times New Roman" w:hAnsi="Times New Roman" w:cs="Times New Roman"/>
          <w:sz w:val="24"/>
          <w:szCs w:val="24"/>
          <w:highlight w:val="yellow"/>
        </w:rPr>
        <w:t>time-</w:t>
      </w:r>
      <w:r w:rsidRPr="00814ECD">
        <w:rPr>
          <w:rFonts w:ascii="Times New Roman" w:eastAsia="Times New Roman" w:hAnsi="Times New Roman" w:cs="Times New Roman"/>
          <w:sz w:val="24"/>
          <w:szCs w:val="24"/>
          <w:highlight w:val="yellow"/>
        </w:rPr>
        <w:t>consuming</w:t>
      </w:r>
      <w:r>
        <w:rPr>
          <w:rFonts w:ascii="Times New Roman" w:eastAsia="Times New Roman" w:hAnsi="Times New Roman" w:cs="Times New Roman"/>
          <w:sz w:val="24"/>
          <w:szCs w:val="24"/>
        </w:rPr>
        <w:t xml:space="preserve"> and restricted in terms of the natural genetic diversity available. With the new advances in molecular breeding and genomic selection, scientists would identify and manipulate the essential genes linked to the biosynthetic pathways of these antimicrobial compounds and employ them to enhance plant avoidance from pathogens as well as improve pharmacological efficacy (Zhu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For instance, genetic engineering has been able to increase the berberine production in species of Berberis, a strong antimicrobial component which inhibits biofilm formation and ruptures bacterial cell membranes in MRSA (Huang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202e). Huang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showed </w:t>
      </w:r>
      <w:r w:rsidRPr="00814ECD">
        <w:rPr>
          <w:rFonts w:ascii="Times New Roman" w:eastAsia="Times New Roman" w:hAnsi="Times New Roman" w:cs="Times New Roman"/>
          <w:sz w:val="24"/>
          <w:szCs w:val="24"/>
          <w:highlight w:val="yellow"/>
        </w:rPr>
        <w:t xml:space="preserve">that </w:t>
      </w:r>
      <w:r w:rsidR="007F1404" w:rsidRPr="00814ECD">
        <w:rPr>
          <w:rFonts w:ascii="Times New Roman" w:eastAsia="Times New Roman" w:hAnsi="Times New Roman" w:cs="Times New Roman"/>
          <w:sz w:val="24"/>
          <w:szCs w:val="24"/>
          <w:highlight w:val="yellow"/>
        </w:rPr>
        <w:t xml:space="preserve">the </w:t>
      </w:r>
      <w:r w:rsidRPr="00814ECD">
        <w:rPr>
          <w:rFonts w:ascii="Times New Roman" w:eastAsia="Times New Roman" w:hAnsi="Times New Roman" w:cs="Times New Roman"/>
          <w:sz w:val="24"/>
          <w:szCs w:val="24"/>
          <w:highlight w:val="yellow"/>
        </w:rPr>
        <w:t>rise in multidr</w:t>
      </w:r>
      <w:r>
        <w:rPr>
          <w:rFonts w:ascii="Times New Roman" w:eastAsia="Times New Roman" w:hAnsi="Times New Roman" w:cs="Times New Roman"/>
          <w:sz w:val="24"/>
          <w:szCs w:val="24"/>
        </w:rPr>
        <w:t>ug-resistant microbes was attributed to excessive use of antibiotics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Pr="00814ECD">
        <w:rPr>
          <w:rFonts w:ascii="Times New Roman" w:eastAsia="Times New Roman" w:hAnsi="Times New Roman" w:cs="Times New Roman"/>
          <w:sz w:val="24"/>
          <w:szCs w:val="24"/>
          <w:highlight w:val="yellow"/>
        </w:rPr>
        <w:t xml:space="preserve">thus </w:t>
      </w:r>
      <w:r w:rsidR="007F1404" w:rsidRPr="00814ECD">
        <w:rPr>
          <w:rFonts w:ascii="Times New Roman" w:eastAsia="Times New Roman" w:hAnsi="Times New Roman" w:cs="Times New Roman"/>
          <w:sz w:val="24"/>
          <w:szCs w:val="24"/>
          <w:highlight w:val="yellow"/>
        </w:rPr>
        <w:t xml:space="preserve">necessitated </w:t>
      </w:r>
      <w:r w:rsidRPr="00814ECD">
        <w:rPr>
          <w:rFonts w:ascii="Times New Roman" w:eastAsia="Times New Roman" w:hAnsi="Times New Roman" w:cs="Times New Roman"/>
          <w:sz w:val="24"/>
          <w:szCs w:val="24"/>
          <w:highlight w:val="yellow"/>
        </w:rPr>
        <w:t>alternative</w:t>
      </w:r>
      <w:r>
        <w:rPr>
          <w:rFonts w:ascii="Times New Roman" w:eastAsia="Times New Roman" w:hAnsi="Times New Roman" w:cs="Times New Roman"/>
          <w:sz w:val="24"/>
          <w:szCs w:val="24"/>
        </w:rPr>
        <w:t xml:space="preserve"> therapies. Plant-derived secondary metabolites- terpenoids, alkaloids and especially flavonoids- have been proven to elicit </w:t>
      </w:r>
      <w:r w:rsidRPr="00814ECD">
        <w:rPr>
          <w:rFonts w:ascii="Times New Roman" w:eastAsia="Times New Roman" w:hAnsi="Times New Roman" w:cs="Times New Roman"/>
          <w:sz w:val="24"/>
          <w:szCs w:val="24"/>
          <w:highlight w:val="yellow"/>
        </w:rPr>
        <w:t xml:space="preserve">notable </w:t>
      </w:r>
      <w:r w:rsidR="007F1404" w:rsidRPr="00814ECD">
        <w:rPr>
          <w:rFonts w:ascii="Times New Roman" w:eastAsia="Times New Roman" w:hAnsi="Times New Roman" w:cs="Times New Roman"/>
          <w:sz w:val="24"/>
          <w:szCs w:val="24"/>
          <w:highlight w:val="yellow"/>
        </w:rPr>
        <w:t xml:space="preserve">antimicrobial </w:t>
      </w:r>
      <w:r w:rsidRPr="00814ECD">
        <w:rPr>
          <w:rFonts w:ascii="Times New Roman" w:eastAsia="Times New Roman" w:hAnsi="Times New Roman" w:cs="Times New Roman"/>
          <w:sz w:val="24"/>
          <w:szCs w:val="24"/>
          <w:highlight w:val="yellow"/>
        </w:rPr>
        <w:t>actions</w:t>
      </w:r>
      <w:r>
        <w:rPr>
          <w:rFonts w:ascii="Times New Roman" w:eastAsia="Times New Roman" w:hAnsi="Times New Roman" w:cs="Times New Roman"/>
          <w:sz w:val="24"/>
          <w:szCs w:val="24"/>
        </w:rPr>
        <w:t xml:space="preserve"> with fewer side effects. The </w:t>
      </w:r>
      <w:proofErr w:type="spellStart"/>
      <w:r>
        <w:rPr>
          <w:rFonts w:ascii="Times New Roman" w:eastAsia="Times New Roman" w:hAnsi="Times New Roman" w:cs="Times New Roman"/>
          <w:sz w:val="24"/>
          <w:szCs w:val="24"/>
        </w:rPr>
        <w:t>phyto</w:t>
      </w:r>
      <w:proofErr w:type="spellEnd"/>
      <w:r>
        <w:rPr>
          <w:rFonts w:ascii="Times New Roman" w:eastAsia="Times New Roman" w:hAnsi="Times New Roman" w:cs="Times New Roman"/>
          <w:sz w:val="24"/>
          <w:szCs w:val="24"/>
        </w:rPr>
        <w:t>-antimicrobial substances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berberine</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have demonstrated potential against resistant pathogens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MRSA. Scientists now understand biosynthetic pathways for compounds through synthetic biology research</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allows specific genetic alterations to improve the production of these compounds. By engineering the key enzymes of alkaloid biosynthesis, researchers have improved the yields of berberine, providing an alternative future solution for antibiotic resistance that is sustainable and effective.</w:t>
      </w:r>
    </w:p>
    <w:p w14:paraId="083B58C8" w14:textId="3215FA64" w:rsidR="00C534FC" w:rsidRPr="00346DB4" w:rsidRDefault="008150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same way, today's applications of modern biotechnology like CRISPR-Cas9 gene editing and metabolic engineering have completely transformed the method of developing superior antiviral features in medicinal plants (Das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w:t>
      </w:r>
      <w:r w:rsidR="00346DB4">
        <w:rPr>
          <w:rFonts w:ascii="Times New Roman" w:eastAsia="Times New Roman" w:hAnsi="Times New Roman" w:cs="Times New Roman"/>
          <w:sz w:val="24"/>
          <w:szCs w:val="24"/>
        </w:rPr>
        <w:t xml:space="preserve">; </w:t>
      </w:r>
      <w:r w:rsidR="00346DB4" w:rsidRPr="00346DB4">
        <w:rPr>
          <w:rFonts w:ascii="Times New Roman" w:eastAsia="Times New Roman" w:hAnsi="Times New Roman" w:cs="Times New Roman"/>
          <w:sz w:val="24"/>
          <w:szCs w:val="24"/>
        </w:rPr>
        <w:t xml:space="preserve">Onwuakor </w:t>
      </w:r>
      <w:r w:rsidR="00346DB4" w:rsidRPr="00346DB4">
        <w:rPr>
          <w:rFonts w:ascii="Times New Roman" w:eastAsia="Times New Roman" w:hAnsi="Times New Roman" w:cs="Times New Roman"/>
          <w:i/>
          <w:iCs/>
          <w:sz w:val="24"/>
          <w:szCs w:val="24"/>
        </w:rPr>
        <w:t>et al.,</w:t>
      </w:r>
      <w:r w:rsidR="00346DB4" w:rsidRPr="00346DB4">
        <w:rPr>
          <w:rFonts w:ascii="Times New Roman" w:eastAsia="Times New Roman" w:hAnsi="Times New Roman" w:cs="Times New Roman"/>
          <w:sz w:val="24"/>
          <w:szCs w:val="24"/>
        </w:rPr>
        <w:t xml:space="preserve"> 2020</w:t>
      </w:r>
      <w:r>
        <w:rPr>
          <w:rFonts w:ascii="Times New Roman" w:eastAsia="Times New Roman" w:hAnsi="Times New Roman" w:cs="Times New Roman"/>
          <w:sz w:val="24"/>
          <w:szCs w:val="24"/>
        </w:rPr>
        <w:t xml:space="preserve">). </w:t>
      </w:r>
      <w:r w:rsidR="007F1404">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odifying specific genes that regulate secondary metabolite biosynthesis </w:t>
      </w:r>
      <w:r>
        <w:rPr>
          <w:rFonts w:ascii="Times New Roman" w:eastAsia="Times New Roman" w:hAnsi="Times New Roman" w:cs="Times New Roman"/>
          <w:sz w:val="24"/>
          <w:szCs w:val="24"/>
        </w:rPr>
        <w:lastRenderedPageBreak/>
        <w:t xml:space="preserve">has enabled scientists to increase curcumin production in </w:t>
      </w:r>
      <w:r>
        <w:rPr>
          <w:rFonts w:ascii="Times New Roman" w:eastAsia="Times New Roman" w:hAnsi="Times New Roman" w:cs="Times New Roman"/>
          <w:i/>
          <w:sz w:val="24"/>
          <w:szCs w:val="24"/>
        </w:rPr>
        <w:t xml:space="preserve">Curcuma longa </w:t>
      </w:r>
      <w:r>
        <w:rPr>
          <w:rFonts w:ascii="Times New Roman" w:eastAsia="Times New Roman" w:hAnsi="Times New Roman" w:cs="Times New Roman"/>
          <w:sz w:val="24"/>
          <w:szCs w:val="24"/>
        </w:rPr>
        <w:t xml:space="preserve">and eugenol production in </w:t>
      </w:r>
      <w:proofErr w:type="spellStart"/>
      <w:r>
        <w:rPr>
          <w:rFonts w:ascii="Times New Roman" w:eastAsia="Times New Roman" w:hAnsi="Times New Roman" w:cs="Times New Roman"/>
          <w:i/>
          <w:sz w:val="24"/>
          <w:szCs w:val="24"/>
        </w:rPr>
        <w:t>Syzygium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aromaticum</w:t>
      </w:r>
      <w:proofErr w:type="spellEnd"/>
      <w:r w:rsidR="007F1404">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along with their demonstrated anti-MRSA properties (Buru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El-Mahdy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Chattaraj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Scientists have accomplished enhanced bactericidal activity in </w:t>
      </w:r>
      <w:r>
        <w:rPr>
          <w:rFonts w:ascii="Times New Roman" w:eastAsia="Times New Roman" w:hAnsi="Times New Roman" w:cs="Times New Roman"/>
          <w:i/>
          <w:sz w:val="24"/>
          <w:szCs w:val="24"/>
        </w:rPr>
        <w:t>Thymus vulgaris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Origanum vulgare </w:t>
      </w:r>
      <w:r>
        <w:rPr>
          <w:rFonts w:ascii="Times New Roman" w:eastAsia="Times New Roman" w:hAnsi="Times New Roman" w:cs="Times New Roman"/>
          <w:sz w:val="24"/>
          <w:szCs w:val="24"/>
        </w:rPr>
        <w:t xml:space="preserve">plants by using transcription factor overexpression to boost flavonoid and terpenoid pathway production (Sun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In contrast, RNA interference has been explored to inhibit genes that restrain the accumulation of antimicrobial compounds and hence raise the yield of therapeutic phytochemicals (Halder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w:t>
      </w:r>
    </w:p>
    <w:p w14:paraId="67C99658"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Mechanisms of Antibiotic Resistance in MRSA: Meta Gene Expression and Biofilm Formation</w:t>
      </w:r>
    </w:p>
    <w:p w14:paraId="3B9995D2"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(MRSA) is a significant pathogen that poses a global health threat, primarily due to its resistance to β-lactam antibiotics and its ability to cause severe infections in humans and animals. The cornerstone of MRSA’s resistance lies in the acquisition of the </w:t>
      </w:r>
      <w:proofErr w:type="spellStart"/>
      <w:r>
        <w:rPr>
          <w:rFonts w:ascii="Times New Roman" w:eastAsia="Times New Roman" w:hAnsi="Times New Roman" w:cs="Times New Roman"/>
          <w:i/>
          <w:sz w:val="24"/>
          <w:szCs w:val="24"/>
        </w:rPr>
        <w:t>mecA</w:t>
      </w:r>
      <w:proofErr w:type="spellEnd"/>
      <w:r>
        <w:rPr>
          <w:rFonts w:ascii="Times New Roman" w:eastAsia="Times New Roman" w:hAnsi="Times New Roman" w:cs="Times New Roman"/>
          <w:sz w:val="24"/>
          <w:szCs w:val="24"/>
        </w:rPr>
        <w:t xml:space="preserve"> gene, which is located on the staphylococcal cassette chromosome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This gene encodes for an altered penicillin-binding protein (PBP2a) that has a low affinity for β-lactam antibiotics, thereby circumventing the effects of these drugs (Peacock and Paterson, 2015). The expression of </w:t>
      </w:r>
      <w:proofErr w:type="spellStart"/>
      <w:r>
        <w:rPr>
          <w:rFonts w:ascii="Times New Roman" w:eastAsia="Times New Roman" w:hAnsi="Times New Roman" w:cs="Times New Roman"/>
          <w:i/>
          <w:sz w:val="24"/>
          <w:szCs w:val="24"/>
        </w:rPr>
        <w:t>mecA</w:t>
      </w:r>
      <w:proofErr w:type="spellEnd"/>
      <w:r>
        <w:rPr>
          <w:rFonts w:ascii="Times New Roman" w:eastAsia="Times New Roman" w:hAnsi="Times New Roman" w:cs="Times New Roman"/>
          <w:sz w:val="24"/>
          <w:szCs w:val="24"/>
        </w:rPr>
        <w:t xml:space="preserve"> is regulated through complex genetic and environmental signals, allowing MRSA to adapt to diverse antibiotic pressures.</w:t>
      </w:r>
    </w:p>
    <w:p w14:paraId="0E1569B1"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key mechanism underlying MRSA’s resistance is biofilm formation. Biofilms are structured microbial communities encased in an extracellular polymeric substance (EPS) matrix, which provides a protective barrier against host immune responses and antimicrobial agents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2018). Biofilm-associated cells exhibit unique phenotypic characteristics, including reduced metabolic activity and increased expression of resistance genes, which collectively enhance their survival under harsh conditions. For instance, studies have demonstrated that biofilm formation increases </w:t>
      </w:r>
      <w:r>
        <w:rPr>
          <w:rFonts w:ascii="Times New Roman" w:eastAsia="Times New Roman" w:hAnsi="Times New Roman" w:cs="Times New Roman"/>
          <w:sz w:val="24"/>
          <w:szCs w:val="24"/>
        </w:rPr>
        <w:lastRenderedPageBreak/>
        <w:t xml:space="preserve">resistance to not only β-lactam antibiotics but also aminoglycosides and glycopeptides (Watkins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14:paraId="66845AF4"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Horizontal gene transfer promotes the spread of resistance genes across MRSA strains. Mobile genetic elements, including plasmids, transposons, and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cassettes, help resistance determinants spread throughout bacterial populations, including those in healthcare, the community, and livestock (Vestergaard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The incorporation of these components into MRSA genomes promotes genetic diversity, allowing the bacterium to withstand conventional therapeutic measures.</w:t>
      </w:r>
    </w:p>
    <w:p w14:paraId="7EA2308F"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have also highlighted the role of regulatory networks in modulating MRSA resistance. The accessory gene regulator (AGR) system plays a dual role in virulence and biofilm formation, while other global regulators such as </w:t>
      </w:r>
      <w:proofErr w:type="spellStart"/>
      <w:r>
        <w:rPr>
          <w:rFonts w:ascii="Times New Roman" w:eastAsia="Times New Roman" w:hAnsi="Times New Roman" w:cs="Times New Roman"/>
          <w:i/>
          <w:sz w:val="24"/>
          <w:szCs w:val="24"/>
        </w:rPr>
        <w:t>sarA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sigB</w:t>
      </w:r>
      <w:proofErr w:type="spellEnd"/>
      <w:r>
        <w:rPr>
          <w:rFonts w:ascii="Times New Roman" w:eastAsia="Times New Roman" w:hAnsi="Times New Roman" w:cs="Times New Roman"/>
          <w:sz w:val="24"/>
          <w:szCs w:val="24"/>
        </w:rPr>
        <w:t xml:space="preserve"> control biofilm maturation and antibiotic tolerance (</w:t>
      </w:r>
      <w:proofErr w:type="spellStart"/>
      <w:r>
        <w:rPr>
          <w:rFonts w:ascii="Times New Roman" w:eastAsia="Times New Roman" w:hAnsi="Times New Roman" w:cs="Times New Roman"/>
          <w:sz w:val="24"/>
          <w:szCs w:val="24"/>
        </w:rPr>
        <w:t>Alkharsah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 These regulatory pathways are potential targets for novel therapeutic strategies aimed at disrupting MRSA’s resistance mechanisms.</w:t>
      </w:r>
    </w:p>
    <w:p w14:paraId="2F2DC9B3"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MRSA’s antibiotic resistance is a multifaceted phenomenon driven by genetic, structural, and regulatory factors. The interplay between </w:t>
      </w:r>
      <w:proofErr w:type="spellStart"/>
      <w:r>
        <w:rPr>
          <w:rFonts w:ascii="Times New Roman" w:eastAsia="Times New Roman" w:hAnsi="Times New Roman" w:cs="Times New Roman"/>
          <w:i/>
          <w:sz w:val="24"/>
          <w:szCs w:val="24"/>
        </w:rPr>
        <w:t>mecA</w:t>
      </w:r>
      <w:proofErr w:type="spellEnd"/>
      <w:r>
        <w:rPr>
          <w:rFonts w:ascii="Times New Roman" w:eastAsia="Times New Roman" w:hAnsi="Times New Roman" w:cs="Times New Roman"/>
          <w:sz w:val="24"/>
          <w:szCs w:val="24"/>
        </w:rPr>
        <w:t xml:space="preserve"> expression, biofilm formation, and horizontal gene transfer underscores the complexity of MRSA’s adaptability. Future research should focus on developing innovative strategies to inhibit biofilm formation and target regulatory networks, thereby mitigating the threat posed by this formidable pathogen.</w:t>
      </w:r>
    </w:p>
    <w:p w14:paraId="0A9F9326"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mechanism of resistance in MRSA is attributed to the acquisition of the </w:t>
      </w:r>
      <w:proofErr w:type="spellStart"/>
      <w:r>
        <w:rPr>
          <w:rFonts w:ascii="Times New Roman" w:eastAsia="Times New Roman" w:hAnsi="Times New Roman" w:cs="Times New Roman"/>
          <w:sz w:val="24"/>
          <w:szCs w:val="24"/>
        </w:rPr>
        <w:t>mecA</w:t>
      </w:r>
      <w:proofErr w:type="spellEnd"/>
      <w:r>
        <w:rPr>
          <w:rFonts w:ascii="Times New Roman" w:eastAsia="Times New Roman" w:hAnsi="Times New Roman" w:cs="Times New Roman"/>
          <w:sz w:val="24"/>
          <w:szCs w:val="24"/>
        </w:rPr>
        <w:t xml:space="preserve"> gene, which encodes for penicillin-binding protein 2α (PBP2α). This protein alters the target site for β-lactam antibiotics, rendering them ineffective (Köck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Oliveira et al., 2014). The staphylococcal cassette chromosome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is a mobile genetic element that carries the </w:t>
      </w:r>
      <w:proofErr w:type="spellStart"/>
      <w:r>
        <w:rPr>
          <w:rFonts w:ascii="Times New Roman" w:eastAsia="Times New Roman" w:hAnsi="Times New Roman" w:cs="Times New Roman"/>
          <w:sz w:val="24"/>
          <w:szCs w:val="24"/>
        </w:rPr>
        <w:t>mecA</w:t>
      </w:r>
      <w:proofErr w:type="spellEnd"/>
      <w:r>
        <w:rPr>
          <w:rFonts w:ascii="Times New Roman" w:eastAsia="Times New Roman" w:hAnsi="Times New Roman" w:cs="Times New Roman"/>
          <w:sz w:val="24"/>
          <w:szCs w:val="24"/>
        </w:rPr>
        <w:t xml:space="preserve"> gene and facilitates horizontal gene transfer among bacterial populations, contributing to the spread of resistance (Wang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14:paraId="26DCD85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to genetic mechanisms, biofilm formation plays a crucial role in MRSA's resistance. Biofilms are structured communities of bacteria that adhere to surfaces and are encased in a protective extracellular matrix. This matrix not only shields the bacteria from the host immune response but also enhances resistance to antibiotics (</w:t>
      </w:r>
      <w:proofErr w:type="spellStart"/>
      <w:r>
        <w:rPr>
          <w:rFonts w:ascii="Times New Roman" w:eastAsia="Times New Roman" w:hAnsi="Times New Roman" w:cs="Times New Roman"/>
          <w:sz w:val="24"/>
          <w:szCs w:val="24"/>
        </w:rPr>
        <w:t>Römling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w:t>
      </w:r>
      <w:r>
        <w:rPr>
          <w:rFonts w:ascii="Times New Roman" w:eastAsia="Times New Roman" w:hAnsi="Times New Roman" w:cs="Times New Roman"/>
          <w:sz w:val="24"/>
          <w:szCs w:val="24"/>
        </w:rPr>
        <w:t xml:space="preserve">., 2013). Studies have shown that biofilm-associated MRSA exhibits increased tolerance to antibiotics, making infections difficult to treat (Fletcher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The regulation of biofilm formation is complex and involves various </w:t>
      </w:r>
      <w:proofErr w:type="spellStart"/>
      <w:r>
        <w:rPr>
          <w:rFonts w:ascii="Times New Roman" w:eastAsia="Times New Roman" w:hAnsi="Times New Roman" w:cs="Times New Roman"/>
          <w:sz w:val="24"/>
          <w:szCs w:val="24"/>
        </w:rPr>
        <w:t>signalling</w:t>
      </w:r>
      <w:proofErr w:type="spellEnd"/>
      <w:r>
        <w:rPr>
          <w:rFonts w:ascii="Times New Roman" w:eastAsia="Times New Roman" w:hAnsi="Times New Roman" w:cs="Times New Roman"/>
          <w:sz w:val="24"/>
          <w:szCs w:val="24"/>
        </w:rPr>
        <w:t xml:space="preserve"> pathways, including the AGR system, which modulates gene expression related to virulence and biofilm development (Köhler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w:t>
      </w:r>
    </w:p>
    <w:p w14:paraId="01648303"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Molecular Epidemiology of MRSA Strains Across Different Environments</w:t>
      </w:r>
    </w:p>
    <w:p w14:paraId="0802B1CE"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(MRSA) is a significant global pathogen with remarkable genetic diversity, driven by its ability to adapt to various environments, including healthcare settings, the community, and livestock. Molecular epidemiology plays a critical role in understanding the dissemination patterns, genetic relationships, and evolutionary dynamics of MRSA strains. This understanding is vital for designing targeted strategies to control and prevent the spread of MRSA in different environments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2018).</w:t>
      </w:r>
    </w:p>
    <w:p w14:paraId="6A6BE9A7"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MRSA strains are broadly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based on their environmental niche and epidemiological characteristics into healthcare-associated MRSA (HA-MRSA), community-associated MRSA (CA-MRSA), and livestock-associated MRSA (LA-MRSA). HA-MRSA strains are typically associated with infections in </w:t>
      </w:r>
      <w:proofErr w:type="spellStart"/>
      <w:r>
        <w:rPr>
          <w:rFonts w:ascii="Times New Roman" w:eastAsia="Times New Roman" w:hAnsi="Times New Roman" w:cs="Times New Roman"/>
          <w:sz w:val="24"/>
          <w:szCs w:val="24"/>
        </w:rPr>
        <w:t>hospitalised</w:t>
      </w:r>
      <w:proofErr w:type="spellEnd"/>
      <w:r>
        <w:rPr>
          <w:rFonts w:ascii="Times New Roman" w:eastAsia="Times New Roman" w:hAnsi="Times New Roman" w:cs="Times New Roman"/>
          <w:sz w:val="24"/>
          <w:szCs w:val="24"/>
        </w:rPr>
        <w:t xml:space="preserve"> patients, where invasive medical procedures and the use of antibiotics create selective pressure </w:t>
      </w:r>
      <w:proofErr w:type="spellStart"/>
      <w:r>
        <w:rPr>
          <w:rFonts w:ascii="Times New Roman" w:eastAsia="Times New Roman" w:hAnsi="Times New Roman" w:cs="Times New Roman"/>
          <w:sz w:val="24"/>
          <w:szCs w:val="24"/>
        </w:rPr>
        <w:t>favouring</w:t>
      </w:r>
      <w:proofErr w:type="spellEnd"/>
      <w:r>
        <w:rPr>
          <w:rFonts w:ascii="Times New Roman" w:eastAsia="Times New Roman" w:hAnsi="Times New Roman" w:cs="Times New Roman"/>
          <w:sz w:val="24"/>
          <w:szCs w:val="24"/>
        </w:rPr>
        <w:t xml:space="preserve"> resistant strains. These strains often </w:t>
      </w:r>
      <w:proofErr w:type="spellStart"/>
      <w:r>
        <w:rPr>
          <w:rFonts w:ascii="Times New Roman" w:eastAsia="Times New Roman" w:hAnsi="Times New Roman" w:cs="Times New Roman"/>
          <w:sz w:val="24"/>
          <w:szCs w:val="24"/>
        </w:rPr>
        <w:t>harbour</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types I, II, or III, which are larger and carry additional resistance genes, rendering them resistant to a wide range of antibiotics (Peacock and Paterson, 2015). In contrast, CA-MRSA strains are commonly associated with infections in healthy individuals in the community. These strains, often containing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type IV or V, are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smaller cassettes and fewer resistance genes, enabling their rapid spread (Watkins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14:paraId="48EF8B63"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Livestock-associated MRSA (LA-MRSA), particularly the clonal complex CC398, has been extensively studied in recent years. Initially identified in pigs, CC398 has since been found in other animals, such as poultry and cattle. This strain is often transmitted between animals and humans, primarily through direct contact, raising public health concerns (Vestergaard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Molecular studies reveal that the transition of MRSA from livestock to humans is facilitated by host adaptation mechanisms, including gene loss and acquisition events that enhance bacterial survival in new hosts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2018).</w:t>
      </w:r>
    </w:p>
    <w:p w14:paraId="28C343C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Advanced molecular typing techniques, such as </w:t>
      </w:r>
      <w:proofErr w:type="spellStart"/>
      <w:r>
        <w:rPr>
          <w:rFonts w:ascii="Times New Roman" w:eastAsia="Times New Roman" w:hAnsi="Times New Roman" w:cs="Times New Roman"/>
          <w:sz w:val="24"/>
          <w:szCs w:val="24"/>
        </w:rPr>
        <w:t>multilocus</w:t>
      </w:r>
      <w:proofErr w:type="spellEnd"/>
      <w:r>
        <w:rPr>
          <w:rFonts w:ascii="Times New Roman" w:eastAsia="Times New Roman" w:hAnsi="Times New Roman" w:cs="Times New Roman"/>
          <w:sz w:val="24"/>
          <w:szCs w:val="24"/>
        </w:rPr>
        <w:t xml:space="preserve"> sequence typing (MLST), pulsed-field gel electrophoresis (PFGE), and whole-genome sequencing (WGS), have </w:t>
      </w:r>
      <w:proofErr w:type="spellStart"/>
      <w:r>
        <w:rPr>
          <w:rFonts w:ascii="Times New Roman" w:eastAsia="Times New Roman" w:hAnsi="Times New Roman" w:cs="Times New Roman"/>
          <w:sz w:val="24"/>
          <w:szCs w:val="24"/>
        </w:rPr>
        <w:t>revolutionised</w:t>
      </w:r>
      <w:proofErr w:type="spellEnd"/>
      <w:r>
        <w:rPr>
          <w:rFonts w:ascii="Times New Roman" w:eastAsia="Times New Roman" w:hAnsi="Times New Roman" w:cs="Times New Roman"/>
          <w:sz w:val="24"/>
          <w:szCs w:val="24"/>
        </w:rPr>
        <w:t xml:space="preserve"> the study of MRSA epidemiology. These tools enable researchers to identify genetic lineages, trace transmission routes, and monitor the emergence of new strains (</w:t>
      </w:r>
      <w:proofErr w:type="spellStart"/>
      <w:r>
        <w:rPr>
          <w:rFonts w:ascii="Times New Roman" w:eastAsia="Times New Roman" w:hAnsi="Times New Roman" w:cs="Times New Roman"/>
          <w:sz w:val="24"/>
          <w:szCs w:val="24"/>
        </w:rPr>
        <w:t>Alkharsah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 For instance, WGS has provided insights into the genetic evolution of MRSA strains, revealing the acquisition of mobile genetic elements, including plasmids, transposons, and bacteriophages, which contribute to their adaptability and pathogenicity.</w:t>
      </w:r>
    </w:p>
    <w:p w14:paraId="660C424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also play a crucial role in shaping the epidemiology of MRSA. For instance, overcrowded healthcare facilities, poor hygiene practices, and overuse of antibiotics drive the spread of MRSA in hospitals. In the community, close-contact sports, crowded living conditions, and limited access to healthcare are critical factors influencing MRSA transmission (Peacock and Paterson, 2015). In livestock environments, the use of antibiotics as growth promoters and for disease prevention is a significant driver of resistance development and transmission (Watkins</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2019).</w:t>
      </w:r>
    </w:p>
    <w:p w14:paraId="7F583400"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molecular epidemiology of MRSA reveals a diverse landscape of strains that vary across different environments, including healthcare settings, the community, and livestock. Healthcare-associated MRSA (HA-MRSA) strains are typically more resistant and are often associated with severe infections in </w:t>
      </w:r>
      <w:proofErr w:type="spellStart"/>
      <w:r>
        <w:rPr>
          <w:rFonts w:ascii="Times New Roman" w:eastAsia="Times New Roman" w:hAnsi="Times New Roman" w:cs="Times New Roman"/>
          <w:sz w:val="24"/>
          <w:szCs w:val="24"/>
        </w:rPr>
        <w:t>hospitalised</w:t>
      </w:r>
      <w:proofErr w:type="spellEnd"/>
      <w:r>
        <w:rPr>
          <w:rFonts w:ascii="Times New Roman" w:eastAsia="Times New Roman" w:hAnsi="Times New Roman" w:cs="Times New Roman"/>
          <w:sz w:val="24"/>
          <w:szCs w:val="24"/>
        </w:rPr>
        <w:t xml:space="preserve"> patients. In contrast, community-associated MRSA (CA-MRSA) strains have emerged as </w:t>
      </w:r>
      <w:r>
        <w:rPr>
          <w:rFonts w:ascii="Times New Roman" w:eastAsia="Times New Roman" w:hAnsi="Times New Roman" w:cs="Times New Roman"/>
          <w:sz w:val="24"/>
          <w:szCs w:val="24"/>
        </w:rPr>
        <w:lastRenderedPageBreak/>
        <w:t>significant pathogens in healthy individuals, often causing skin and soft tissue infections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2018).</w:t>
      </w:r>
    </w:p>
    <w:p w14:paraId="75CFCE65"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have identified distinct clonal lineages of MRSA, such as ST8 and ST22, which are prevalent in various geographical regions and environments (Cuny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The transmission dynamics of MRSA are influenced by factors such as antibiotic usage, infection control practices, and population density. For instance, livestock-associated MRSA (LA-MRSA) has been identified in food animals and poses a zoonotic risk to humans, highlighting the interconnectedness of human and animal health (van Loo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2007). Molecular typing methods, including spa typing and whole-genome sequencing, have been instrumental in tracking the spread of MRSA strains and understanding their epidemiological patterns (Pérez-Roth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2008).</w:t>
      </w:r>
    </w:p>
    <w:p w14:paraId="402DF632"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Emerging Therapeutic Strategies to Combat MRSA</w:t>
      </w:r>
    </w:p>
    <w:p w14:paraId="3E4ABF98"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challenges posed by MRSA, there is an urgent need for novel therapeutic strategies. One promising approach is the development of new antibiotics that target MRSA's unique resistance mechanisms. For example, </w:t>
      </w:r>
      <w:proofErr w:type="spellStart"/>
      <w:r>
        <w:rPr>
          <w:rFonts w:ascii="Times New Roman" w:eastAsia="Times New Roman" w:hAnsi="Times New Roman" w:cs="Times New Roman"/>
          <w:sz w:val="24"/>
          <w:szCs w:val="24"/>
        </w:rPr>
        <w:t>ceftaroline</w:t>
      </w:r>
      <w:proofErr w:type="spellEnd"/>
      <w:r>
        <w:rPr>
          <w:rFonts w:ascii="Times New Roman" w:eastAsia="Times New Roman" w:hAnsi="Times New Roman" w:cs="Times New Roman"/>
          <w:sz w:val="24"/>
          <w:szCs w:val="24"/>
        </w:rPr>
        <w:t xml:space="preserve">, a novel cephalosporin, has shown efficacy against MRSA by binding to PBP2a (Sullivan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w:t>
      </w:r>
    </w:p>
    <w:p w14:paraId="54A5057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alternative therapies such as bacteriophage therapy and the use of antimicrobial peptides are being explored. Bacteriophages, which are viruses that infect bacteria, can specifically target and kill MRSA without harming beneficial microbiota (Abedon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Antimicrobial peptides, which are naturally occurring molecules in the immune system, have demonstrated the ability to disrupt bacterial membranes and inhibit biofilm formation (Mansour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w:t>
      </w:r>
    </w:p>
    <w:p w14:paraId="59D022AA" w14:textId="1033A4F3" w:rsidR="00C534FC" w:rsidRPr="00346DB4"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challenge posed by 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(MRSA) has necessitated the development of innovative therapeutic approaches to overcome antibiotic resistance. Traditional antibiotics are increasingly ineffective against MRSA, leading researchers to explore alternative therapies. This outlines emerging </w:t>
      </w:r>
      <w:r>
        <w:rPr>
          <w:rFonts w:ascii="Times New Roman" w:eastAsia="Times New Roman" w:hAnsi="Times New Roman" w:cs="Times New Roman"/>
          <w:sz w:val="24"/>
          <w:szCs w:val="24"/>
        </w:rPr>
        <w:lastRenderedPageBreak/>
        <w:t xml:space="preserve">strategies, such as bacteriophage therapy, antimicrobial peptides, immunomodulation, and nanotechnology-based interventions, which have shown promise in combating MRSA infections (Watkins </w:t>
      </w:r>
      <w:r>
        <w:rPr>
          <w:rFonts w:ascii="Times New Roman" w:eastAsia="Times New Roman" w:hAnsi="Times New Roman" w:cs="Times New Roman"/>
          <w:i/>
          <w:sz w:val="24"/>
          <w:szCs w:val="24"/>
        </w:rPr>
        <w:t xml:space="preserve">et </w:t>
      </w:r>
      <w:r w:rsidRPr="00814ECD">
        <w:rPr>
          <w:rFonts w:ascii="Times New Roman" w:eastAsia="Times New Roman" w:hAnsi="Times New Roman" w:cs="Times New Roman"/>
          <w:i/>
          <w:sz w:val="24"/>
          <w:szCs w:val="24"/>
          <w:highlight w:val="yellow"/>
        </w:rPr>
        <w:t>al</w:t>
      </w:r>
      <w:r w:rsidRPr="00814ECD">
        <w:rPr>
          <w:rFonts w:ascii="Times New Roman" w:eastAsia="Times New Roman" w:hAnsi="Times New Roman" w:cs="Times New Roman"/>
          <w:sz w:val="24"/>
          <w:szCs w:val="24"/>
          <w:highlight w:val="yellow"/>
        </w:rPr>
        <w:t>., 2019</w:t>
      </w:r>
      <w:r w:rsidR="007F1404" w:rsidRPr="00814ECD">
        <w:rPr>
          <w:rFonts w:ascii="Times New Roman" w:eastAsia="Times New Roman" w:hAnsi="Times New Roman" w:cs="Times New Roman"/>
          <w:sz w:val="24"/>
          <w:szCs w:val="24"/>
          <w:highlight w:val="yellow"/>
        </w:rPr>
        <w:t xml:space="preserve">; </w:t>
      </w:r>
      <w:proofErr w:type="spellStart"/>
      <w:r w:rsidR="00346DB4" w:rsidRPr="00814ECD">
        <w:rPr>
          <w:rFonts w:ascii="Times New Roman" w:eastAsia="Times New Roman" w:hAnsi="Times New Roman" w:cs="Times New Roman"/>
          <w:sz w:val="24"/>
          <w:szCs w:val="24"/>
          <w:highlight w:val="yellow"/>
        </w:rPr>
        <w:t>Onwuakor</w:t>
      </w:r>
      <w:proofErr w:type="spellEnd"/>
      <w:r w:rsidR="00346DB4" w:rsidRPr="00346DB4">
        <w:rPr>
          <w:rFonts w:ascii="Times New Roman" w:eastAsia="Times New Roman" w:hAnsi="Times New Roman" w:cs="Times New Roman"/>
          <w:sz w:val="24"/>
          <w:szCs w:val="24"/>
        </w:rPr>
        <w:t xml:space="preserve"> </w:t>
      </w:r>
      <w:r w:rsidR="00346DB4" w:rsidRPr="00346DB4">
        <w:rPr>
          <w:rFonts w:ascii="Times New Roman" w:eastAsia="Times New Roman" w:hAnsi="Times New Roman" w:cs="Times New Roman"/>
          <w:i/>
          <w:iCs/>
          <w:sz w:val="24"/>
          <w:szCs w:val="24"/>
        </w:rPr>
        <w:t>et al</w:t>
      </w:r>
      <w:r w:rsidR="00346DB4" w:rsidRPr="00346DB4">
        <w:rPr>
          <w:rFonts w:ascii="Times New Roman" w:eastAsia="Times New Roman" w:hAnsi="Times New Roman" w:cs="Times New Roman"/>
          <w:sz w:val="24"/>
          <w:szCs w:val="24"/>
        </w:rPr>
        <w:t>.</w:t>
      </w:r>
      <w:r w:rsidR="00346DB4">
        <w:rPr>
          <w:rFonts w:ascii="Times New Roman" w:eastAsia="Times New Roman" w:hAnsi="Times New Roman" w:cs="Times New Roman"/>
          <w:sz w:val="24"/>
          <w:szCs w:val="24"/>
        </w:rPr>
        <w:t>,</w:t>
      </w:r>
      <w:r w:rsidR="00346DB4" w:rsidRPr="00346DB4">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w:t>
      </w:r>
    </w:p>
    <w:p w14:paraId="20CEAB93"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Bacteriophage Therapy</w:t>
      </w:r>
    </w:p>
    <w:p w14:paraId="3398FBBF"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Bacteriophage therapy, the use of viruses that infect and kill bacteria, is gaining traction as a potential treatment for MRSA infections. Phages specifically target bacterial cells, leaving human host cells unharmed. Studies have demonstrated the efficacy of phage cocktails in reducing MRSA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in vitro and in vivo. For instance, phage therapy has been shown to be effective against biofilm-associated MRSA, addressing a significant limitation of conventional antibiotics (</w:t>
      </w: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and Zhang, 2018). However, the potential for bacterial resistance to phages and the narrow host range of phages are challenges that need to be addressed.</w:t>
      </w:r>
    </w:p>
    <w:p w14:paraId="0EFEA3F5"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Antimicrobial Peptides</w:t>
      </w:r>
    </w:p>
    <w:p w14:paraId="59E4B21D"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Antimicrobial peptides (AMPs) are short, naturally occurring peptides that possess broad-spectrum antimicrobial activity. AMPs, such as defensins and </w:t>
      </w:r>
      <w:proofErr w:type="spellStart"/>
      <w:r>
        <w:rPr>
          <w:rFonts w:ascii="Times New Roman" w:eastAsia="Times New Roman" w:hAnsi="Times New Roman" w:cs="Times New Roman"/>
          <w:sz w:val="24"/>
          <w:szCs w:val="24"/>
        </w:rPr>
        <w:t>cathelicidins</w:t>
      </w:r>
      <w:proofErr w:type="spellEnd"/>
      <w:r>
        <w:rPr>
          <w:rFonts w:ascii="Times New Roman" w:eastAsia="Times New Roman" w:hAnsi="Times New Roman" w:cs="Times New Roman"/>
          <w:sz w:val="24"/>
          <w:szCs w:val="24"/>
        </w:rPr>
        <w:t>, disrupt bacterial membranes, leading to cell lysis. These peptides have shown potent activity against MRSA strains, including those resistant to multiple antibiotics. Additionally, synthetic AMPs are being developed to enhance stability and reduce potential toxicity. Research indicates that combining AMPs with traditional antibiotics can have a synergistic effect, further enhancing their antimicrobial efficacy (</w:t>
      </w:r>
      <w:proofErr w:type="spellStart"/>
      <w:r>
        <w:rPr>
          <w:rFonts w:ascii="Times New Roman" w:eastAsia="Times New Roman" w:hAnsi="Times New Roman" w:cs="Times New Roman"/>
          <w:sz w:val="24"/>
          <w:szCs w:val="24"/>
        </w:rPr>
        <w:t>Alkharsah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14:paraId="3591E0A5"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Immunomodulatory Strategies</w:t>
      </w:r>
    </w:p>
    <w:p w14:paraId="3863F92D" w14:textId="284BB0DB"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Immunomodulation, which involves enhancing the host immune response, is another promising strategy to combat MRSA infections. Targeting virulence factors, such as toxins and adhesins, can reduce the pathogenicity of MRSA while </w:t>
      </w:r>
      <w:proofErr w:type="spellStart"/>
      <w:r>
        <w:rPr>
          <w:rFonts w:ascii="Times New Roman" w:eastAsia="Times New Roman" w:hAnsi="Times New Roman" w:cs="Times New Roman"/>
          <w:sz w:val="24"/>
          <w:szCs w:val="24"/>
        </w:rPr>
        <w:t>minimising</w:t>
      </w:r>
      <w:proofErr w:type="spellEnd"/>
      <w:r>
        <w:rPr>
          <w:rFonts w:ascii="Times New Roman" w:eastAsia="Times New Roman" w:hAnsi="Times New Roman" w:cs="Times New Roman"/>
          <w:sz w:val="24"/>
          <w:szCs w:val="24"/>
        </w:rPr>
        <w:t xml:space="preserve"> the selection pressure for resistance development. Vaccines targeting MRSA surface proteins and toxins are under investigation and have shown potential in preclinical </w:t>
      </w:r>
      <w:r>
        <w:rPr>
          <w:rFonts w:ascii="Times New Roman" w:eastAsia="Times New Roman" w:hAnsi="Times New Roman" w:cs="Times New Roman"/>
          <w:sz w:val="24"/>
          <w:szCs w:val="24"/>
        </w:rPr>
        <w:lastRenderedPageBreak/>
        <w:t xml:space="preserve">studies (Vestergaard </w:t>
      </w:r>
      <w:r>
        <w:rPr>
          <w:rFonts w:ascii="Times New Roman" w:eastAsia="Times New Roman" w:hAnsi="Times New Roman" w:cs="Times New Roman"/>
          <w:i/>
          <w:sz w:val="24"/>
          <w:szCs w:val="24"/>
        </w:rPr>
        <w:t>et al</w:t>
      </w:r>
      <w:r w:rsidRPr="00814ECD">
        <w:rPr>
          <w:rFonts w:ascii="Times New Roman" w:eastAsia="Times New Roman" w:hAnsi="Times New Roman" w:cs="Times New Roman"/>
          <w:sz w:val="24"/>
          <w:szCs w:val="24"/>
          <w:highlight w:val="yellow"/>
        </w:rPr>
        <w:t>., 2019</w:t>
      </w:r>
      <w:r w:rsidR="007F1404" w:rsidRPr="00814ECD">
        <w:rPr>
          <w:rFonts w:ascii="Times New Roman" w:eastAsia="Times New Roman" w:hAnsi="Times New Roman" w:cs="Times New Roman"/>
          <w:sz w:val="24"/>
          <w:szCs w:val="24"/>
          <w:highlight w:val="yellow"/>
        </w:rPr>
        <w:t xml:space="preserve">; </w:t>
      </w:r>
      <w:proofErr w:type="spellStart"/>
      <w:r w:rsidR="00570F28" w:rsidRPr="00814ECD">
        <w:rPr>
          <w:rFonts w:ascii="Times New Roman" w:eastAsia="Times New Roman" w:hAnsi="Times New Roman" w:cs="Times New Roman"/>
          <w:sz w:val="24"/>
          <w:szCs w:val="24"/>
          <w:highlight w:val="yellow"/>
        </w:rPr>
        <w:t>Anozie</w:t>
      </w:r>
      <w:proofErr w:type="spellEnd"/>
      <w:r w:rsidR="00570F28" w:rsidRPr="00570F28">
        <w:rPr>
          <w:rFonts w:ascii="Times New Roman" w:eastAsia="Times New Roman" w:hAnsi="Times New Roman" w:cs="Times New Roman"/>
          <w:sz w:val="24"/>
          <w:szCs w:val="24"/>
        </w:rPr>
        <w:t xml:space="preserve"> </w:t>
      </w:r>
      <w:r w:rsidR="00570F28" w:rsidRPr="00570F28">
        <w:rPr>
          <w:rFonts w:ascii="Times New Roman" w:eastAsia="Times New Roman" w:hAnsi="Times New Roman" w:cs="Times New Roman"/>
          <w:i/>
          <w:iCs/>
          <w:sz w:val="24"/>
          <w:szCs w:val="24"/>
        </w:rPr>
        <w:t>et al.</w:t>
      </w:r>
      <w:r w:rsidR="007F1404">
        <w:rPr>
          <w:rFonts w:ascii="Times New Roman" w:eastAsia="Times New Roman" w:hAnsi="Times New Roman" w:cs="Times New Roman"/>
          <w:i/>
          <w:iCs/>
          <w:sz w:val="24"/>
          <w:szCs w:val="24"/>
        </w:rPr>
        <w:t>,</w:t>
      </w:r>
      <w:r w:rsidR="00570F28" w:rsidRPr="00570F28">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 Additionally, monoclonal antibodies targeting specific MRSA virulence factors are being developed as adjunct therapies.</w:t>
      </w:r>
    </w:p>
    <w:p w14:paraId="6E5B0804"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Nanotechnology-Based Approaches</w:t>
      </w:r>
    </w:p>
    <w:p w14:paraId="354F6509"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Nanotechnology is </w:t>
      </w:r>
      <w:proofErr w:type="spellStart"/>
      <w:r>
        <w:rPr>
          <w:rFonts w:ascii="Times New Roman" w:eastAsia="Times New Roman" w:hAnsi="Times New Roman" w:cs="Times New Roman"/>
          <w:sz w:val="24"/>
          <w:szCs w:val="24"/>
        </w:rPr>
        <w:t>revolutionising</w:t>
      </w:r>
      <w:proofErr w:type="spellEnd"/>
      <w:r>
        <w:rPr>
          <w:rFonts w:ascii="Times New Roman" w:eastAsia="Times New Roman" w:hAnsi="Times New Roman" w:cs="Times New Roman"/>
          <w:sz w:val="24"/>
          <w:szCs w:val="24"/>
        </w:rPr>
        <w:t xml:space="preserve"> the delivery of antimicrobial agents. Nanoparticles, such as silver and gold nanoparticles, possess intrinsic antimicrobial activity and can be used to deliver antibiotics directly to infection sites. This targeted delivery reduces systemic toxicity and enhances the efficacy of the treatment. For example, studies have demonstrated the use of liposomes and polymer-based nanoparticles to encapsulate antibiotics, ensuring sustained drug release and improved penetration into biofilms (Watkins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14:paraId="41E3CD2E" w14:textId="77777777" w:rsidR="00C534FC" w:rsidRDefault="008150ED">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Innovative Approaches</w:t>
      </w:r>
    </w:p>
    <w:p w14:paraId="5B433F6B"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approaches aim to bolster the body's ability to fight off MRSA infections and reduce reliance on antibiotics (Friedman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 Overall, a multifaceted approach that combines novel antibiotics, alternative therapies, and immunological strategies is essential to effectively combat MRSA and mitigate its impact on public health.</w:t>
      </w:r>
    </w:p>
    <w:p w14:paraId="3DE4C051" w14:textId="77777777" w:rsidR="00C534FC" w:rsidRDefault="008150E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these strategies, therapies such as CRISPR-Cas systems are being explored to target specific resistance genes in MRSA, effectively reversing resistance. Moreover, quorum sensing inhibitors, which disrupt bacterial communication and   biofilm formation, are being investigated as complementary therapies. These approaches aim to reduce MRSA pathogenicity and enhance susceptibility to existing antibiotics.</w:t>
      </w:r>
    </w:p>
    <w:p w14:paraId="0BB2B21B" w14:textId="77777777" w:rsidR="00C534FC" w:rsidRDefault="008150ED">
      <w:pPr>
        <w:spacing w:after="160" w:line="36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sz w:val="24"/>
          <w:szCs w:val="24"/>
        </w:rPr>
        <w:t>Emerging therapeutic strategies offer promising avenues to combat MRSA, especially in the face of rising antibiotic resistance. While each approach has unique challenges, continued research and clinical trials will be pivotal in translating these innovative therapies into effective treatments for MRSA infections.</w:t>
      </w:r>
    </w:p>
    <w:p w14:paraId="61675EA5" w14:textId="77777777" w:rsidR="00C534FC" w:rsidRDefault="00C534FC">
      <w:pPr>
        <w:jc w:val="both"/>
        <w:rPr>
          <w:rFonts w:ascii="Times New Roman" w:eastAsia="Times New Roman" w:hAnsi="Times New Roman" w:cs="Times New Roman"/>
          <w:b/>
          <w:smallCaps/>
          <w:sz w:val="24"/>
          <w:szCs w:val="24"/>
        </w:rPr>
      </w:pPr>
    </w:p>
    <w:p w14:paraId="55A6B98E" w14:textId="77777777" w:rsidR="00C534FC" w:rsidRDefault="008150ED">
      <w:pPr>
        <w:keepNext/>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lastRenderedPageBreak/>
        <w:t>6. A ONE HEALTH APPROACH TO COMBATING AMR IN MRSA</w:t>
      </w:r>
    </w:p>
    <w:p w14:paraId="78295FB7" w14:textId="7ACC8C55"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concurrent use of antibiotics in humans and animals is causing the prevalence of MDR-MRSA. MDR-MRSA infections are resistant to </w:t>
      </w:r>
      <w:r w:rsidRPr="00814ECD">
        <w:rPr>
          <w:rFonts w:ascii="Times New Roman" w:eastAsia="Times New Roman" w:hAnsi="Times New Roman" w:cs="Times New Roman"/>
          <w:sz w:val="24"/>
          <w:szCs w:val="24"/>
          <w:highlight w:val="yellow"/>
        </w:rPr>
        <w:t>most id</w:t>
      </w:r>
      <w:r>
        <w:rPr>
          <w:rFonts w:ascii="Times New Roman" w:eastAsia="Times New Roman" w:hAnsi="Times New Roman" w:cs="Times New Roman"/>
          <w:sz w:val="24"/>
          <w:szCs w:val="24"/>
        </w:rPr>
        <w:t>entified commercial antibiotics (</w:t>
      </w:r>
      <w:proofErr w:type="spellStart"/>
      <w:r>
        <w:rPr>
          <w:rFonts w:ascii="Times New Roman" w:eastAsia="Times New Roman" w:hAnsi="Times New Roman" w:cs="Times New Roman"/>
          <w:sz w:val="24"/>
          <w:szCs w:val="24"/>
        </w:rPr>
        <w:t>Algammal</w:t>
      </w:r>
      <w:proofErr w:type="spellEnd"/>
      <w:r>
        <w:rPr>
          <w:rFonts w:ascii="Times New Roman" w:eastAsia="Times New Roman" w:hAnsi="Times New Roman" w:cs="Times New Roman"/>
          <w:sz w:val="24"/>
          <w:szCs w:val="24"/>
        </w:rPr>
        <w:t xml:space="preserve"> et al., 2020).</w:t>
      </w:r>
    </w:p>
    <w:p w14:paraId="6649D53B" w14:textId="77777777" w:rsidR="00C534FC" w:rsidRDefault="008150ED">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6.1   </w:t>
      </w:r>
      <w:r>
        <w:rPr>
          <w:rFonts w:ascii="Times New Roman" w:eastAsia="Times New Roman" w:hAnsi="Times New Roman" w:cs="Times New Roman"/>
          <w:b/>
          <w:sz w:val="24"/>
          <w:szCs w:val="24"/>
        </w:rPr>
        <w:tab/>
        <w:t>Cross-Sector Collaboration Between Veterinarians, Microbiologists, and Plant Scientists</w:t>
      </w:r>
    </w:p>
    <w:p w14:paraId="39862BE6" w14:textId="1430A3B9" w:rsidR="00C534FC" w:rsidRDefault="007F1404">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8150ED">
        <w:rPr>
          <w:rFonts w:ascii="Times New Roman" w:eastAsia="Times New Roman" w:hAnsi="Times New Roman" w:cs="Times New Roman"/>
          <w:sz w:val="24"/>
          <w:szCs w:val="24"/>
        </w:rPr>
        <w:t>One Health approach of MDR-MRSA infections needs the microbiologists, public health experts, epidemiologists, medical and veterinary clinicians, and plant scientists to collaborate for treatment and preventive strategies. A</w:t>
      </w:r>
      <w:r>
        <w:rPr>
          <w:rFonts w:ascii="Times New Roman" w:eastAsia="Times New Roman" w:hAnsi="Times New Roman" w:cs="Times New Roman"/>
          <w:sz w:val="24"/>
          <w:szCs w:val="24"/>
        </w:rPr>
        <w:t xml:space="preserve"> </w:t>
      </w:r>
      <w:r w:rsidR="008150ED">
        <w:rPr>
          <w:rFonts w:ascii="Times New Roman" w:eastAsia="Times New Roman" w:hAnsi="Times New Roman" w:cs="Times New Roman"/>
          <w:sz w:val="24"/>
          <w:szCs w:val="24"/>
        </w:rPr>
        <w:t xml:space="preserve">part of natural origin therapies, especially in dermal infections, implementation of alternative eco-friendly treatment regimens, herbal medications and </w:t>
      </w:r>
      <w:proofErr w:type="spellStart"/>
      <w:r w:rsidR="008150ED" w:rsidRPr="00814ECD">
        <w:rPr>
          <w:rFonts w:ascii="Times New Roman" w:eastAsia="Times New Roman" w:hAnsi="Times New Roman" w:cs="Times New Roman"/>
          <w:sz w:val="24"/>
          <w:szCs w:val="24"/>
          <w:highlight w:val="yellow"/>
        </w:rPr>
        <w:t>symbiotic</w:t>
      </w:r>
      <w:r w:rsidRPr="00814ECD">
        <w:rPr>
          <w:rFonts w:ascii="Times New Roman" w:eastAsia="Times New Roman" w:hAnsi="Times New Roman" w:cs="Times New Roman"/>
          <w:sz w:val="24"/>
          <w:szCs w:val="24"/>
          <w:highlight w:val="yellow"/>
        </w:rPr>
        <w:t>s</w:t>
      </w:r>
      <w:proofErr w:type="spellEnd"/>
      <w:r w:rsidR="008150ED" w:rsidRPr="00814ECD">
        <w:rPr>
          <w:rFonts w:ascii="Times New Roman" w:eastAsia="Times New Roman" w:hAnsi="Times New Roman" w:cs="Times New Roman"/>
          <w:sz w:val="24"/>
          <w:szCs w:val="24"/>
          <w:highlight w:val="yellow"/>
        </w:rPr>
        <w:t xml:space="preserve"> such a</w:t>
      </w:r>
      <w:r w:rsidR="008150ED">
        <w:rPr>
          <w:rFonts w:ascii="Times New Roman" w:eastAsia="Times New Roman" w:hAnsi="Times New Roman" w:cs="Times New Roman"/>
          <w:sz w:val="24"/>
          <w:szCs w:val="24"/>
        </w:rPr>
        <w:t xml:space="preserve">s tea tree oil, Aloe </w:t>
      </w:r>
      <w:proofErr w:type="spellStart"/>
      <w:r w:rsidR="008150ED">
        <w:rPr>
          <w:rFonts w:ascii="Times New Roman" w:eastAsia="Times New Roman" w:hAnsi="Times New Roman" w:cs="Times New Roman"/>
          <w:sz w:val="24"/>
          <w:szCs w:val="24"/>
        </w:rPr>
        <w:t>vera</w:t>
      </w:r>
      <w:proofErr w:type="spellEnd"/>
      <w:r w:rsidR="008150ED">
        <w:rPr>
          <w:rFonts w:ascii="Times New Roman" w:eastAsia="Times New Roman" w:hAnsi="Times New Roman" w:cs="Times New Roman"/>
          <w:sz w:val="24"/>
          <w:szCs w:val="24"/>
        </w:rPr>
        <w:t xml:space="preserve">, </w:t>
      </w:r>
      <w:r w:rsidRPr="00814ECD">
        <w:rPr>
          <w:rFonts w:ascii="Times New Roman" w:eastAsia="Times New Roman" w:hAnsi="Times New Roman" w:cs="Times New Roman"/>
          <w:sz w:val="24"/>
          <w:szCs w:val="24"/>
          <w:highlight w:val="yellow"/>
        </w:rPr>
        <w:t xml:space="preserve">and </w:t>
      </w:r>
      <w:proofErr w:type="spellStart"/>
      <w:r w:rsidR="008150ED" w:rsidRPr="00814ECD">
        <w:rPr>
          <w:rFonts w:ascii="Times New Roman" w:eastAsia="Times New Roman" w:hAnsi="Times New Roman" w:cs="Times New Roman"/>
          <w:i/>
          <w:sz w:val="24"/>
          <w:szCs w:val="24"/>
          <w:highlight w:val="yellow"/>
        </w:rPr>
        <w:t>Austr</w:t>
      </w:r>
      <w:r w:rsidR="008150ED">
        <w:rPr>
          <w:rFonts w:ascii="Times New Roman" w:eastAsia="Times New Roman" w:hAnsi="Times New Roman" w:cs="Times New Roman"/>
          <w:i/>
          <w:sz w:val="24"/>
          <w:szCs w:val="24"/>
        </w:rPr>
        <w:t>oeupatorium</w:t>
      </w:r>
      <w:proofErr w:type="spellEnd"/>
      <w:r w:rsidR="008150ED">
        <w:rPr>
          <w:rFonts w:ascii="Times New Roman" w:eastAsia="Times New Roman" w:hAnsi="Times New Roman" w:cs="Times New Roman"/>
          <w:i/>
          <w:sz w:val="24"/>
          <w:szCs w:val="24"/>
        </w:rPr>
        <w:t xml:space="preserve"> </w:t>
      </w:r>
      <w:proofErr w:type="spellStart"/>
      <w:r w:rsidR="008150ED">
        <w:rPr>
          <w:rFonts w:ascii="Times New Roman" w:eastAsia="Times New Roman" w:hAnsi="Times New Roman" w:cs="Times New Roman"/>
          <w:i/>
          <w:sz w:val="24"/>
          <w:szCs w:val="24"/>
        </w:rPr>
        <w:t>inulaefolium</w:t>
      </w:r>
      <w:proofErr w:type="spellEnd"/>
      <w:r w:rsidR="008150ED">
        <w:rPr>
          <w:rFonts w:ascii="Times New Roman" w:eastAsia="Times New Roman" w:hAnsi="Times New Roman" w:cs="Times New Roman"/>
          <w:sz w:val="24"/>
          <w:szCs w:val="24"/>
        </w:rPr>
        <w:t xml:space="preserve"> (H.B.K.) essential oil and leaves-extracted essential oil of </w:t>
      </w:r>
      <w:proofErr w:type="spellStart"/>
      <w:r w:rsidR="008150ED">
        <w:rPr>
          <w:rFonts w:ascii="Times New Roman" w:eastAsia="Times New Roman" w:hAnsi="Times New Roman" w:cs="Times New Roman"/>
          <w:sz w:val="24"/>
          <w:szCs w:val="24"/>
        </w:rPr>
        <w:t>Leoheo</w:t>
      </w:r>
      <w:proofErr w:type="spellEnd"/>
      <w:r w:rsidR="008150ED">
        <w:rPr>
          <w:rFonts w:ascii="Times New Roman" w:eastAsia="Times New Roman" w:hAnsi="Times New Roman" w:cs="Times New Roman"/>
          <w:sz w:val="24"/>
          <w:szCs w:val="24"/>
        </w:rPr>
        <w:t xml:space="preserve"> </w:t>
      </w:r>
      <w:proofErr w:type="spellStart"/>
      <w:r w:rsidR="008150ED">
        <w:rPr>
          <w:rFonts w:ascii="Times New Roman" w:eastAsia="Times New Roman" w:hAnsi="Times New Roman" w:cs="Times New Roman"/>
          <w:sz w:val="24"/>
          <w:szCs w:val="24"/>
        </w:rPr>
        <w:t>domatio-phorus</w:t>
      </w:r>
      <w:proofErr w:type="spellEnd"/>
      <w:r w:rsidR="008150ED">
        <w:rPr>
          <w:rFonts w:ascii="Times New Roman" w:eastAsia="Times New Roman" w:hAnsi="Times New Roman" w:cs="Times New Roman"/>
          <w:sz w:val="24"/>
          <w:szCs w:val="24"/>
        </w:rPr>
        <w:t xml:space="preserve"> </w:t>
      </w:r>
      <w:proofErr w:type="spellStart"/>
      <w:r w:rsidR="008150ED">
        <w:rPr>
          <w:rFonts w:ascii="Times New Roman" w:eastAsia="Times New Roman" w:hAnsi="Times New Roman" w:cs="Times New Roman"/>
          <w:sz w:val="24"/>
          <w:szCs w:val="24"/>
        </w:rPr>
        <w:t>Chaowasku</w:t>
      </w:r>
      <w:proofErr w:type="spellEnd"/>
      <w:r w:rsidR="008150ED">
        <w:rPr>
          <w:rFonts w:ascii="Times New Roman" w:eastAsia="Times New Roman" w:hAnsi="Times New Roman" w:cs="Times New Roman"/>
          <w:sz w:val="24"/>
          <w:szCs w:val="24"/>
        </w:rPr>
        <w:t xml:space="preserve">, the combination of </w:t>
      </w:r>
      <w:proofErr w:type="spellStart"/>
      <w:r w:rsidR="008150ED">
        <w:rPr>
          <w:rFonts w:ascii="Times New Roman" w:eastAsia="Times New Roman" w:hAnsi="Times New Roman" w:cs="Times New Roman"/>
          <w:i/>
          <w:sz w:val="24"/>
          <w:szCs w:val="24"/>
        </w:rPr>
        <w:t>Myrtus</w:t>
      </w:r>
      <w:proofErr w:type="spellEnd"/>
      <w:r w:rsidR="008150ED">
        <w:rPr>
          <w:rFonts w:ascii="Times New Roman" w:eastAsia="Times New Roman" w:hAnsi="Times New Roman" w:cs="Times New Roman"/>
          <w:i/>
          <w:sz w:val="24"/>
          <w:szCs w:val="24"/>
        </w:rPr>
        <w:t xml:space="preserve"> </w:t>
      </w:r>
      <w:proofErr w:type="spellStart"/>
      <w:r w:rsidR="008150ED">
        <w:rPr>
          <w:rFonts w:ascii="Times New Roman" w:eastAsia="Times New Roman" w:hAnsi="Times New Roman" w:cs="Times New Roman"/>
          <w:i/>
          <w:sz w:val="24"/>
          <w:szCs w:val="24"/>
        </w:rPr>
        <w:t>communisL</w:t>
      </w:r>
      <w:proofErr w:type="spellEnd"/>
      <w:r w:rsidR="008150ED">
        <w:rPr>
          <w:rFonts w:ascii="Times New Roman" w:eastAsia="Times New Roman" w:hAnsi="Times New Roman" w:cs="Times New Roman"/>
          <w:sz w:val="24"/>
          <w:szCs w:val="24"/>
        </w:rPr>
        <w:t xml:space="preserve">., </w:t>
      </w:r>
      <w:r w:rsidR="008150ED">
        <w:rPr>
          <w:rFonts w:ascii="Times New Roman" w:eastAsia="Times New Roman" w:hAnsi="Times New Roman" w:cs="Times New Roman"/>
          <w:i/>
          <w:sz w:val="24"/>
          <w:szCs w:val="24"/>
        </w:rPr>
        <w:t>Origanum vulgare</w:t>
      </w:r>
      <w:r w:rsidR="008150ED">
        <w:rPr>
          <w:rFonts w:ascii="Times New Roman" w:eastAsia="Times New Roman" w:hAnsi="Times New Roman" w:cs="Times New Roman"/>
          <w:sz w:val="24"/>
          <w:szCs w:val="24"/>
        </w:rPr>
        <w:t xml:space="preserve"> and tretinoin (MOTC) requires the expertise of plant scientists and should be promoted to prohibit the spontaneous use of broad-spectrum antibiotics to treat MRSA infections by the clinicians on treatment regimens.</w:t>
      </w:r>
    </w:p>
    <w:p w14:paraId="6B4EECDF" w14:textId="2905BA03"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in the case of antibiotic treatment options, the ideal should be based on the evident results of the antibiotic sensitivity test and continuous screening of resistant strains (Disc diffusion method) (</w:t>
      </w:r>
      <w:proofErr w:type="spellStart"/>
      <w:r>
        <w:rPr>
          <w:rFonts w:ascii="Times New Roman" w:eastAsia="Times New Roman" w:hAnsi="Times New Roman" w:cs="Times New Roman"/>
          <w:sz w:val="24"/>
          <w:szCs w:val="24"/>
        </w:rPr>
        <w:t>Algammal</w:t>
      </w:r>
      <w:proofErr w:type="spellEnd"/>
      <w:r>
        <w:rPr>
          <w:rFonts w:ascii="Times New Roman" w:eastAsia="Times New Roman" w:hAnsi="Times New Roman" w:cs="Times New Roman"/>
          <w:sz w:val="24"/>
          <w:szCs w:val="24"/>
        </w:rPr>
        <w:t xml:space="preserve"> et al., 2020), which requires the role of the microbiologists.</w:t>
      </w:r>
    </w:p>
    <w:p w14:paraId="4DE20A71" w14:textId="77777777"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6.2   </w:t>
      </w:r>
      <w:r>
        <w:rPr>
          <w:rFonts w:ascii="Times New Roman" w:eastAsia="Times New Roman" w:hAnsi="Times New Roman" w:cs="Times New Roman"/>
          <w:b/>
          <w:sz w:val="24"/>
          <w:szCs w:val="24"/>
        </w:rPr>
        <w:tab/>
        <w:t>Surveillance Programs to Track MRSA Prevalence in Animals, Plants, and Clinical Settings</w:t>
      </w:r>
    </w:p>
    <w:p w14:paraId="73B76C63" w14:textId="1DA287B2"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launched the Global Antimicrobial Resistance Surveillance System (GLASS) in 2015 to complement the knowledge gaps and guide strategies at all levels. GLASS was created to integrate surveillance data on all the antimicrobials used, their usage tracks</w:t>
      </w:r>
      <w:r w:rsidRPr="00814ECD">
        <w:rPr>
          <w:rFonts w:ascii="Times New Roman" w:eastAsia="Times New Roman" w:hAnsi="Times New Roman" w:cs="Times New Roman"/>
          <w:sz w:val="24"/>
          <w:szCs w:val="24"/>
          <w:highlight w:val="yellow"/>
        </w:rPr>
        <w:t xml:space="preserve">, </w:t>
      </w:r>
      <w:r w:rsidR="007F1404" w:rsidRPr="00814ECD">
        <w:rPr>
          <w:rFonts w:ascii="Times New Roman" w:eastAsia="Times New Roman" w:hAnsi="Times New Roman" w:cs="Times New Roman"/>
          <w:sz w:val="24"/>
          <w:szCs w:val="24"/>
          <w:highlight w:val="yellow"/>
        </w:rPr>
        <w:t xml:space="preserve">the </w:t>
      </w:r>
      <w:r w:rsidRPr="00814ECD">
        <w:rPr>
          <w:rFonts w:ascii="Times New Roman" w:eastAsia="Times New Roman" w:hAnsi="Times New Roman" w:cs="Times New Roman"/>
          <w:sz w:val="24"/>
          <w:szCs w:val="24"/>
          <w:highlight w:val="yellow"/>
        </w:rPr>
        <w:t xml:space="preserve">role of </w:t>
      </w:r>
      <w:proofErr w:type="gramStart"/>
      <w:r w:rsidRPr="00814ECD">
        <w:rPr>
          <w:rFonts w:ascii="Times New Roman" w:eastAsia="Times New Roman" w:hAnsi="Times New Roman" w:cs="Times New Roman"/>
          <w:sz w:val="24"/>
          <w:szCs w:val="24"/>
          <w:highlight w:val="yellow"/>
        </w:rPr>
        <w:t>A</w:t>
      </w:r>
      <w:r>
        <w:rPr>
          <w:rFonts w:ascii="Times New Roman" w:eastAsia="Times New Roman" w:hAnsi="Times New Roman" w:cs="Times New Roman"/>
          <w:sz w:val="24"/>
          <w:szCs w:val="24"/>
        </w:rPr>
        <w:t>MR  in</w:t>
      </w:r>
      <w:proofErr w:type="gramEnd"/>
      <w:r>
        <w:rPr>
          <w:rFonts w:ascii="Times New Roman" w:eastAsia="Times New Roman" w:hAnsi="Times New Roman" w:cs="Times New Roman"/>
          <w:sz w:val="24"/>
          <w:szCs w:val="24"/>
        </w:rPr>
        <w:t xml:space="preserve"> the environment and food chain (Velazquez-Meza et al., 2022). It provided a </w:t>
      </w:r>
      <w:proofErr w:type="spellStart"/>
      <w:r w:rsidR="007F1404" w:rsidRPr="00814ECD">
        <w:rPr>
          <w:rFonts w:ascii="Times New Roman" w:eastAsia="Times New Roman" w:hAnsi="Times New Roman" w:cs="Times New Roman"/>
          <w:sz w:val="24"/>
          <w:szCs w:val="24"/>
          <w:highlight w:val="yellow"/>
        </w:rPr>
        <w:t>standardised</w:t>
      </w:r>
      <w:proofErr w:type="spellEnd"/>
      <w:r w:rsidR="007F1404" w:rsidRPr="00814ECD">
        <w:rPr>
          <w:rFonts w:ascii="Times New Roman" w:eastAsia="Times New Roman" w:hAnsi="Times New Roman" w:cs="Times New Roman"/>
          <w:sz w:val="24"/>
          <w:szCs w:val="24"/>
          <w:highlight w:val="yellow"/>
        </w:rPr>
        <w:t xml:space="preserve"> </w:t>
      </w:r>
      <w:r w:rsidRPr="00814ECD">
        <w:rPr>
          <w:rFonts w:ascii="Times New Roman" w:eastAsia="Times New Roman" w:hAnsi="Times New Roman" w:cs="Times New Roman"/>
          <w:sz w:val="24"/>
          <w:szCs w:val="24"/>
          <w:highlight w:val="yellow"/>
        </w:rPr>
        <w:t>approach to data collection, analysis and sharing by geographical scale to allow the monitoring</w:t>
      </w:r>
      <w:r>
        <w:rPr>
          <w:rFonts w:ascii="Times New Roman" w:eastAsia="Times New Roman" w:hAnsi="Times New Roman" w:cs="Times New Roman"/>
          <w:sz w:val="24"/>
          <w:szCs w:val="24"/>
        </w:rPr>
        <w:t xml:space="preserve"> of new and existing national surveillance systems status, with emphasis on collected data quality and representativeness.  Also, a list of priority pathogens to guide research and development of new antimicrobials, diagnostic tools and vaccines was developed in 2017 by the WHO, and also reviews such projects annually.</w:t>
      </w:r>
    </w:p>
    <w:p w14:paraId="5EC5FBE9" w14:textId="30D8729A"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Additionally, the Global Alliance for Antibiotic Research and Development is a joint initiative of WHO and the Drugs for Neglected Diseases Initiative, which supports the public-private partnerships on research and development. By 2025, the partnership targets to develop and implement five new treatments against drug-resistant bacteria identified </w:t>
      </w:r>
      <w:r w:rsidRPr="00814ECD">
        <w:rPr>
          <w:rFonts w:ascii="Times New Roman" w:eastAsia="Times New Roman" w:hAnsi="Times New Roman" w:cs="Times New Roman"/>
          <w:sz w:val="24"/>
          <w:szCs w:val="24"/>
          <w:highlight w:val="yellow"/>
        </w:rPr>
        <w:t xml:space="preserve">by </w:t>
      </w:r>
      <w:r w:rsidR="007F1404" w:rsidRPr="00814ECD">
        <w:rPr>
          <w:rFonts w:ascii="Times New Roman" w:eastAsia="Times New Roman" w:hAnsi="Times New Roman" w:cs="Times New Roman"/>
          <w:sz w:val="24"/>
          <w:szCs w:val="24"/>
          <w:highlight w:val="yellow"/>
        </w:rPr>
        <w:t xml:space="preserve">the </w:t>
      </w:r>
      <w:r w:rsidRPr="00814ECD">
        <w:rPr>
          <w:rFonts w:ascii="Times New Roman" w:eastAsia="Times New Roman" w:hAnsi="Times New Roman" w:cs="Times New Roman"/>
          <w:sz w:val="24"/>
          <w:szCs w:val="24"/>
          <w:highlight w:val="yellow"/>
        </w:rPr>
        <w:t>WHO</w:t>
      </w:r>
      <w:r>
        <w:rPr>
          <w:rFonts w:ascii="Times New Roman" w:eastAsia="Times New Roman" w:hAnsi="Times New Roman" w:cs="Times New Roman"/>
          <w:sz w:val="24"/>
          <w:szCs w:val="24"/>
        </w:rPr>
        <w:t xml:space="preserve"> as the greatest threat.</w:t>
      </w:r>
    </w:p>
    <w:p w14:paraId="6C5E13B3" w14:textId="77777777" w:rsidR="00C534FC" w:rsidRDefault="008150ED">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   </w:t>
      </w:r>
      <w:r>
        <w:rPr>
          <w:rFonts w:ascii="Times New Roman" w:eastAsia="Times New Roman" w:hAnsi="Times New Roman" w:cs="Times New Roman"/>
          <w:b/>
          <w:sz w:val="24"/>
          <w:szCs w:val="24"/>
        </w:rPr>
        <w:tab/>
        <w:t>Policy Recommendations for Antibiotic Stewardship and Alternative Treatment Approaches</w:t>
      </w:r>
    </w:p>
    <w:p w14:paraId="7026B61B" w14:textId="7F3C8270" w:rsidR="00C534FC" w:rsidRDefault="008150ED">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Stewardship programs designed their approach to interventions based on the available resources (</w:t>
      </w:r>
      <w:proofErr w:type="spellStart"/>
      <w:r>
        <w:rPr>
          <w:rFonts w:ascii="Times New Roman" w:eastAsia="Times New Roman" w:hAnsi="Times New Roman" w:cs="Times New Roman"/>
          <w:sz w:val="24"/>
          <w:szCs w:val="24"/>
        </w:rPr>
        <w:t>Messacar</w:t>
      </w:r>
      <w:proofErr w:type="spellEnd"/>
      <w:r>
        <w:rPr>
          <w:rFonts w:ascii="Times New Roman" w:eastAsia="Times New Roman" w:hAnsi="Times New Roman" w:cs="Times New Roman"/>
          <w:sz w:val="24"/>
          <w:szCs w:val="24"/>
        </w:rPr>
        <w:t xml:space="preserve"> et al., 2017). Direct and face-to-face interactions such as “handshake stewardship” are always </w:t>
      </w:r>
      <w:r w:rsidR="00946093">
        <w:rPr>
          <w:rFonts w:ascii="Times New Roman" w:eastAsia="Times New Roman" w:hAnsi="Times New Roman" w:cs="Times New Roman"/>
          <w:sz w:val="24"/>
          <w:szCs w:val="24"/>
        </w:rPr>
        <w:t>preferred,</w:t>
      </w:r>
      <w:r>
        <w:rPr>
          <w:rFonts w:ascii="Times New Roman" w:eastAsia="Times New Roman" w:hAnsi="Times New Roman" w:cs="Times New Roman"/>
          <w:sz w:val="24"/>
          <w:szCs w:val="24"/>
        </w:rPr>
        <w:t xml:space="preserve"> when possible, because they bring about a collaboration between the stewardship team and clinicians, but they can be </w:t>
      </w:r>
      <w:proofErr w:type="spellStart"/>
      <w:r w:rsidR="007F1404" w:rsidRPr="00814ECD">
        <w:rPr>
          <w:rFonts w:ascii="Times New Roman" w:eastAsia="Times New Roman" w:hAnsi="Times New Roman" w:cs="Times New Roman"/>
          <w:sz w:val="24"/>
          <w:szCs w:val="24"/>
          <w:highlight w:val="yellow"/>
        </w:rPr>
        <w:t>labour-</w:t>
      </w:r>
      <w:r w:rsidRPr="00814ECD">
        <w:rPr>
          <w:rFonts w:ascii="Times New Roman" w:eastAsia="Times New Roman" w:hAnsi="Times New Roman" w:cs="Times New Roman"/>
          <w:sz w:val="24"/>
          <w:szCs w:val="24"/>
          <w:highlight w:val="yellow"/>
        </w:rPr>
        <w:t>intensive</w:t>
      </w:r>
      <w:proofErr w:type="spellEnd"/>
      <w:r>
        <w:rPr>
          <w:rFonts w:ascii="Times New Roman" w:eastAsia="Times New Roman" w:hAnsi="Times New Roman" w:cs="Times New Roman"/>
          <w:sz w:val="24"/>
          <w:szCs w:val="24"/>
        </w:rPr>
        <w:t xml:space="preserve"> (Gerber et al., 2021). These programs may consider prior approval, </w:t>
      </w:r>
      <w:proofErr w:type="spellStart"/>
      <w:r>
        <w:rPr>
          <w:rFonts w:ascii="Times New Roman" w:eastAsia="Times New Roman" w:hAnsi="Times New Roman" w:cs="Times New Roman"/>
          <w:sz w:val="24"/>
          <w:szCs w:val="24"/>
        </w:rPr>
        <w:t>postprescription</w:t>
      </w:r>
      <w:proofErr w:type="spellEnd"/>
      <w:r>
        <w:rPr>
          <w:rFonts w:ascii="Times New Roman" w:eastAsia="Times New Roman" w:hAnsi="Times New Roman" w:cs="Times New Roman"/>
          <w:sz w:val="24"/>
          <w:szCs w:val="24"/>
        </w:rPr>
        <w:t xml:space="preserve"> review with feedback, or a combination of both approaches to encourage correct antibiotic use.</w:t>
      </w:r>
    </w:p>
    <w:p w14:paraId="18252239" w14:textId="4F650D87" w:rsidR="00C534FC" w:rsidRDefault="008150ED">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Syndrome-specific interventions target specific disease processes and include perioperative prophylaxis recommendations or surgical conditions (Pasquale et al., 2014).</w:t>
      </w:r>
    </w:p>
    <w:p w14:paraId="639E9449" w14:textId="77777777" w:rsidR="00C534FC" w:rsidRDefault="008150ED">
      <w:pPr>
        <w:keepNext/>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sz w:val="24"/>
          <w:szCs w:val="24"/>
        </w:rPr>
        <w:t>7. CONCLUSION</w:t>
      </w:r>
    </w:p>
    <w:p w14:paraId="55AB9B78" w14:textId="77777777" w:rsidR="00C534FC" w:rsidRDefault="00C534FC">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p>
    <w:p w14:paraId="33783A76" w14:textId="77777777" w:rsidR="00C534FC" w:rsidRDefault="008150ED">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resistance (AMR) in Methicillin-Resistant Staphylococcus aureus (MRSA) is seen today to be a global problem affecting human, animal, and environmental ecosystems. The review has shown the interrelated roles of microbial interaction in agriculture and antibiotic overuse toward MRSA resistance. One Health proposes an integrated approach to address AMR across the disciplines of medicine, veterinary medicine, and environmental science. MRSA infections linger due to their adaptability and spread in diverse environments, with antibiotic misuse in the medicine, livestock, and agricultural sectors further accelerating resistance.</w:t>
      </w:r>
    </w:p>
    <w:p w14:paraId="2667A1FA" w14:textId="2E70451D" w:rsidR="00C534FC" w:rsidRDefault="008150ED">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fight against MRSA and its resistance mechanisms requires a multipronged approach whereby a view on proper use of antibiotics, global surveillance, and funding for alternatives will play a key role. One of the notable alternatives to combat MRSA resistivity, are plant metabolites (bioactive compounds)</w:t>
      </w:r>
      <w:r w:rsidR="007F14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they have been found to be promising candidates for antimicrobial agents, and they have shown to work synergistically with conventional antibiotics. Natural products could increase the efficacy of treating infections while simultaneously reducing the dependence on synthetic antibiotics. Public awareness, public policy, and multisector collaboration need to work towards mitigating the risk of AMR. Sustainable infection control strategies for MRSA can be developed through the integration of a One Health framework and plant-based solutions for public health protection.</w:t>
      </w:r>
    </w:p>
    <w:p w14:paraId="24182EC5" w14:textId="77777777" w:rsidR="0093007A" w:rsidRDefault="0093007A">
      <w:pPr>
        <w:pBdr>
          <w:top w:val="nil"/>
          <w:left w:val="nil"/>
          <w:bottom w:val="nil"/>
          <w:right w:val="nil"/>
          <w:between w:val="nil"/>
        </w:pBdr>
        <w:jc w:val="both"/>
        <w:rPr>
          <w:rFonts w:ascii="Times New Roman" w:eastAsia="Times New Roman" w:hAnsi="Times New Roman" w:cs="Times New Roman"/>
          <w:sz w:val="24"/>
          <w:szCs w:val="24"/>
        </w:rPr>
      </w:pPr>
    </w:p>
    <w:p w14:paraId="70BDB6E1" w14:textId="77777777" w:rsidR="00C534FC" w:rsidRDefault="00C534FC">
      <w:pPr>
        <w:pBdr>
          <w:top w:val="nil"/>
          <w:left w:val="nil"/>
          <w:bottom w:val="nil"/>
          <w:right w:val="nil"/>
          <w:between w:val="nil"/>
        </w:pBdr>
        <w:jc w:val="both"/>
        <w:rPr>
          <w:rFonts w:ascii="Times New Roman" w:eastAsia="Times New Roman" w:hAnsi="Times New Roman" w:cs="Times New Roman"/>
          <w:sz w:val="24"/>
          <w:szCs w:val="24"/>
        </w:rPr>
      </w:pPr>
    </w:p>
    <w:p w14:paraId="653220A2" w14:textId="77777777" w:rsidR="00E45BA8" w:rsidRPr="00487DF9" w:rsidRDefault="00E45BA8" w:rsidP="00E45BA8">
      <w:pPr>
        <w:keepNext/>
        <w:keepLines/>
        <w:spacing w:before="120" w:after="120" w:line="360" w:lineRule="auto"/>
        <w:jc w:val="both"/>
        <w:outlineLvl w:val="1"/>
        <w:rPr>
          <w:rFonts w:ascii="Times New Roman" w:eastAsia="Times New Roman" w:hAnsi="Times New Roman" w:cs="Times New Roman"/>
          <w:b/>
          <w:bCs/>
          <w:sz w:val="24"/>
          <w:szCs w:val="24"/>
          <w:highlight w:val="yellow"/>
          <w:lang w:val="en-GB" w:eastAsia="en-IN"/>
        </w:rPr>
      </w:pPr>
      <w:bookmarkStart w:id="1" w:name="_Hlk218867759"/>
      <w:r w:rsidRPr="00487DF9">
        <w:rPr>
          <w:rFonts w:ascii="Times New Roman" w:eastAsia="Times New Roman" w:hAnsi="Times New Roman" w:cs="Times New Roman"/>
          <w:b/>
          <w:bCs/>
          <w:sz w:val="24"/>
          <w:szCs w:val="24"/>
          <w:highlight w:val="yellow"/>
          <w:lang w:val="en-GB" w:eastAsia="en-IN"/>
        </w:rPr>
        <w:t>Disclaimer (Artificial intelligence)</w:t>
      </w:r>
    </w:p>
    <w:p w14:paraId="4F1AD406" w14:textId="77777777" w:rsidR="00E45BA8" w:rsidRPr="00E45BA8" w:rsidRDefault="00E45BA8" w:rsidP="00E45BA8">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E45BA8">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E45BA8">
        <w:rPr>
          <w:rFonts w:ascii="Times New Roman" w:eastAsia="Times New Roman" w:hAnsi="Times New Roman" w:cs="Times New Roman"/>
          <w:bCs/>
          <w:sz w:val="24"/>
          <w:szCs w:val="24"/>
          <w:highlight w:val="yellow"/>
          <w:lang w:val="en-GB" w:eastAsia="en-IN"/>
        </w:rPr>
        <w:t>ChatGPT</w:t>
      </w:r>
      <w:proofErr w:type="spellEnd"/>
      <w:r w:rsidRPr="00E45BA8">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E45BA8">
        <w:rPr>
          <w:rFonts w:ascii="Times New Roman" w:eastAsia="Times New Roman" w:hAnsi="Times New Roman" w:cs="Times New Roman"/>
          <w:bCs/>
          <w:sz w:val="24"/>
          <w:szCs w:val="24"/>
          <w:lang w:val="en-GB" w:eastAsia="en-IN"/>
        </w:rPr>
        <w:t xml:space="preserve"> </w:t>
      </w:r>
    </w:p>
    <w:bookmarkEnd w:id="1"/>
    <w:p w14:paraId="035FD12C" w14:textId="77777777" w:rsidR="00C534FC" w:rsidRDefault="00C534FC">
      <w:pPr>
        <w:keepNext/>
        <w:pBdr>
          <w:top w:val="nil"/>
          <w:left w:val="nil"/>
          <w:bottom w:val="nil"/>
          <w:right w:val="nil"/>
          <w:between w:val="nil"/>
        </w:pBdr>
        <w:jc w:val="both"/>
        <w:rPr>
          <w:rFonts w:ascii="Times New Roman" w:eastAsia="Times New Roman" w:hAnsi="Times New Roman" w:cs="Times New Roman"/>
          <w:color w:val="000000"/>
          <w:sz w:val="24"/>
          <w:szCs w:val="24"/>
        </w:rPr>
      </w:pPr>
    </w:p>
    <w:p w14:paraId="00FC4EAD" w14:textId="77777777" w:rsidR="00C534FC" w:rsidRDefault="00C534FC">
      <w:pPr>
        <w:keepNext/>
        <w:pBdr>
          <w:top w:val="nil"/>
          <w:left w:val="nil"/>
          <w:bottom w:val="nil"/>
          <w:right w:val="nil"/>
          <w:between w:val="nil"/>
        </w:pBdr>
        <w:jc w:val="both"/>
        <w:rPr>
          <w:rFonts w:ascii="Times New Roman" w:eastAsia="Times New Roman" w:hAnsi="Times New Roman" w:cs="Times New Roman"/>
          <w:b/>
          <w:smallCaps/>
          <w:color w:val="000000"/>
          <w:sz w:val="24"/>
          <w:szCs w:val="24"/>
        </w:rPr>
      </w:pPr>
    </w:p>
    <w:p w14:paraId="6A62E46A" w14:textId="77777777" w:rsidR="00C534FC" w:rsidRPr="00743264" w:rsidRDefault="008150ED" w:rsidP="00743264">
      <w:pPr>
        <w:pStyle w:val="Title"/>
        <w:keepNext/>
        <w:jc w:val="left"/>
        <w:rPr>
          <w:rFonts w:ascii="Times New Roman" w:hAnsi="Times New Roman" w:cs="Times New Roman"/>
        </w:rPr>
      </w:pPr>
      <w:bookmarkStart w:id="2" w:name="_qu7obkdo8h9x" w:colFirst="0" w:colLast="0"/>
      <w:bookmarkEnd w:id="2"/>
      <w:r w:rsidRPr="00743264">
        <w:rPr>
          <w:rFonts w:ascii="Times New Roman" w:hAnsi="Times New Roman" w:cs="Times New Roman"/>
        </w:rPr>
        <w:t>References</w:t>
      </w:r>
    </w:p>
    <w:p w14:paraId="6EE19EBB" w14:textId="77777777" w:rsidR="00C534FC" w:rsidRDefault="00C534FC">
      <w:pPr>
        <w:pBdr>
          <w:top w:val="nil"/>
          <w:left w:val="nil"/>
          <w:bottom w:val="nil"/>
          <w:right w:val="nil"/>
          <w:between w:val="nil"/>
        </w:pBdr>
        <w:rPr>
          <w:rFonts w:ascii="Times New Roman" w:eastAsia="Times New Roman" w:hAnsi="Times New Roman" w:cs="Times New Roman"/>
          <w:sz w:val="24"/>
          <w:szCs w:val="24"/>
        </w:rPr>
      </w:pPr>
    </w:p>
    <w:p w14:paraId="60936AA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Gurusamy, K. S., Koti, R., Toon, C. D., Wilson, P., &amp; Davidson, B. R. (2013). Antibiotic therapy for the treatment of methicillin-resistant </w:t>
      </w:r>
      <w:r>
        <w:rPr>
          <w:rFonts w:ascii="Times New Roman" w:eastAsia="Times New Roman" w:hAnsi="Times New Roman" w:cs="Times New Roman"/>
          <w:i/>
          <w:sz w:val="24"/>
          <w:szCs w:val="24"/>
        </w:rPr>
        <w:t xml:space="preserve">Staphylococcus aureus </w:t>
      </w:r>
      <w:r>
        <w:rPr>
          <w:rFonts w:ascii="Times New Roman" w:eastAsia="Times New Roman" w:hAnsi="Times New Roman" w:cs="Times New Roman"/>
          <w:sz w:val="24"/>
          <w:szCs w:val="24"/>
        </w:rPr>
        <w:t xml:space="preserve">(MRSA) infections in surgical wounds. The Cochrane Database of Systematic Reviews, 2013(8), CD009726. </w:t>
      </w:r>
      <w:hyperlink r:id="rId17">
        <w:r w:rsidR="00C534FC">
          <w:rPr>
            <w:rFonts w:ascii="Times New Roman" w:eastAsia="Times New Roman" w:hAnsi="Times New Roman" w:cs="Times New Roman"/>
            <w:color w:val="1155CC"/>
            <w:sz w:val="24"/>
            <w:szCs w:val="24"/>
            <w:u w:val="single"/>
          </w:rPr>
          <w:t>https://doi.org/10.1002/14651858.CD009726.pub2</w:t>
        </w:r>
      </w:hyperlink>
    </w:p>
    <w:p w14:paraId="126ECF0D"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Pantosti</w:t>
      </w:r>
      <w:proofErr w:type="spellEnd"/>
      <w:r>
        <w:rPr>
          <w:rFonts w:ascii="Times New Roman" w:eastAsia="Times New Roman" w:hAnsi="Times New Roman" w:cs="Times New Roman"/>
          <w:sz w:val="24"/>
          <w:szCs w:val="24"/>
        </w:rPr>
        <w:t xml:space="preserve">, A., &amp; Venditti, M. (2009). What is MRSA? European Respiratory Journal, 34(5), 1190-1196. </w:t>
      </w:r>
      <w:hyperlink r:id="rId18">
        <w:r w:rsidR="00C534FC">
          <w:rPr>
            <w:rFonts w:ascii="Times New Roman" w:eastAsia="Times New Roman" w:hAnsi="Times New Roman" w:cs="Times New Roman"/>
            <w:color w:val="1155CC"/>
            <w:sz w:val="24"/>
            <w:szCs w:val="24"/>
            <w:u w:val="single"/>
          </w:rPr>
          <w:t>https://doi.org/10.1183/09031936.00007709</w:t>
        </w:r>
      </w:hyperlink>
    </w:p>
    <w:p w14:paraId="4009E56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Lyon, B., &amp; </w:t>
      </w:r>
      <w:proofErr w:type="spellStart"/>
      <w:r>
        <w:rPr>
          <w:rFonts w:ascii="Times New Roman" w:eastAsia="Times New Roman" w:hAnsi="Times New Roman" w:cs="Times New Roman"/>
          <w:sz w:val="24"/>
          <w:szCs w:val="24"/>
        </w:rPr>
        <w:t>Skurray</w:t>
      </w:r>
      <w:proofErr w:type="spellEnd"/>
      <w:r>
        <w:rPr>
          <w:rFonts w:ascii="Times New Roman" w:eastAsia="Times New Roman" w:hAnsi="Times New Roman" w:cs="Times New Roman"/>
          <w:sz w:val="24"/>
          <w:szCs w:val="24"/>
        </w:rPr>
        <w:t>, R. (1987). Antimicrobial resistance of Staphylococcus aureus: Genetic basis. Microbiological Reviews, 51, 88–134.</w:t>
      </w:r>
    </w:p>
    <w:p w14:paraId="56B2D61E"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25CD291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Krukowski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Puacz</w:t>
      </w:r>
      <w:proofErr w:type="spellEnd"/>
      <w:r>
        <w:rPr>
          <w:rFonts w:ascii="Times New Roman" w:eastAsia="Times New Roman" w:hAnsi="Times New Roman" w:cs="Times New Roman"/>
          <w:sz w:val="24"/>
          <w:szCs w:val="24"/>
        </w:rPr>
        <w:t xml:space="preserve"> E, Bis-</w:t>
      </w:r>
      <w:proofErr w:type="spellStart"/>
      <w:r>
        <w:rPr>
          <w:rFonts w:ascii="Times New Roman" w:eastAsia="Times New Roman" w:hAnsi="Times New Roman" w:cs="Times New Roman"/>
          <w:sz w:val="24"/>
          <w:szCs w:val="24"/>
        </w:rPr>
        <w:t>Wencel</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Lisowski</w:t>
      </w:r>
      <w:proofErr w:type="spellEnd"/>
      <w:r>
        <w:rPr>
          <w:rFonts w:ascii="Times New Roman" w:eastAsia="Times New Roman" w:hAnsi="Times New Roman" w:cs="Times New Roman"/>
          <w:sz w:val="24"/>
          <w:szCs w:val="24"/>
        </w:rPr>
        <w:t xml:space="preserve"> A. Zoonotic strains of MRSA. Med Weter. 2025;81(4):6976–2025. https://doi.org/10.21521/mw.6976 </w:t>
      </w:r>
    </w:p>
    <w:p w14:paraId="4AAE62A6"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Albert E, Sahin-Tóth J, Horváth A, Papp M, </w:t>
      </w:r>
      <w:proofErr w:type="spellStart"/>
      <w:r>
        <w:rPr>
          <w:rFonts w:ascii="Times New Roman" w:eastAsia="Times New Roman" w:hAnsi="Times New Roman" w:cs="Times New Roman"/>
          <w:sz w:val="24"/>
          <w:szCs w:val="24"/>
        </w:rPr>
        <w:t>Biksi</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Dobay</w:t>
      </w:r>
      <w:proofErr w:type="spellEnd"/>
      <w:r>
        <w:rPr>
          <w:rFonts w:ascii="Times New Roman" w:eastAsia="Times New Roman" w:hAnsi="Times New Roman" w:cs="Times New Roman"/>
          <w:sz w:val="24"/>
          <w:szCs w:val="24"/>
        </w:rPr>
        <w:t xml:space="preserve"> O. Genomic evidence for direct transmission of </w:t>
      </w:r>
      <w:proofErr w:type="spellStart"/>
      <w:r>
        <w:rPr>
          <w:rFonts w:ascii="Times New Roman" w:eastAsia="Times New Roman" w:hAnsi="Times New Roman" w:cs="Times New Roman"/>
          <w:sz w:val="24"/>
          <w:szCs w:val="24"/>
        </w:rPr>
        <w:t>mecC</w:t>
      </w:r>
      <w:proofErr w:type="spellEnd"/>
      <w:r>
        <w:rPr>
          <w:rFonts w:ascii="Times New Roman" w:eastAsia="Times New Roman" w:hAnsi="Times New Roman" w:cs="Times New Roman"/>
          <w:sz w:val="24"/>
          <w:szCs w:val="24"/>
        </w:rPr>
        <w:t xml:space="preserve">-MRSA between a horse and its veterinarian. Antibiotics (Basel). 2023;12(2):408. </w:t>
      </w:r>
      <w:hyperlink r:id="rId19">
        <w:r w:rsidR="00C534FC">
          <w:rPr>
            <w:rFonts w:ascii="Times New Roman" w:eastAsia="Times New Roman" w:hAnsi="Times New Roman" w:cs="Times New Roman"/>
            <w:color w:val="1155CC"/>
            <w:sz w:val="24"/>
            <w:szCs w:val="24"/>
            <w:u w:val="single"/>
          </w:rPr>
          <w:t>https://doi.org/10.3390/antibiotics12020408</w:t>
        </w:r>
      </w:hyperlink>
      <w:r>
        <w:rPr>
          <w:rFonts w:ascii="Times New Roman" w:eastAsia="Times New Roman" w:hAnsi="Times New Roman" w:cs="Times New Roman"/>
          <w:sz w:val="24"/>
          <w:szCs w:val="24"/>
        </w:rPr>
        <w:t xml:space="preserve"> </w:t>
      </w:r>
    </w:p>
    <w:p w14:paraId="1F0B477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World Health Organization. (2023). Antimicrobial resistance surveillance in Europe 2023–2021 data. In Antimicrobial resistance surveillance in Europe 2023–2021 data. (a)</w:t>
      </w:r>
    </w:p>
    <w:p w14:paraId="0EC216F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Gajdács, M., &amp; </w:t>
      </w:r>
      <w:proofErr w:type="spellStart"/>
      <w:r>
        <w:rPr>
          <w:rFonts w:ascii="Times New Roman" w:eastAsia="Times New Roman" w:hAnsi="Times New Roman" w:cs="Times New Roman"/>
          <w:sz w:val="24"/>
          <w:szCs w:val="24"/>
        </w:rPr>
        <w:t>Albericio</w:t>
      </w:r>
      <w:proofErr w:type="spellEnd"/>
      <w:r>
        <w:rPr>
          <w:rFonts w:ascii="Times New Roman" w:eastAsia="Times New Roman" w:hAnsi="Times New Roman" w:cs="Times New Roman"/>
          <w:sz w:val="24"/>
          <w:szCs w:val="24"/>
        </w:rPr>
        <w:t>, F. (2019). Antibiotic resistance: from the bench to patients. Antibiotics, 8(3), 129.</w:t>
      </w:r>
    </w:p>
    <w:p w14:paraId="46F80767"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Silva, V., Monteiro, A., Pereira, J. E., Maltez, L., Igrejas, G., &amp; Poeta, P. (2022). MRSA in Humans, Pets and Livestock in Portugal: Where We Came from and Where We Are Going. Pathogens, 11(10), 1110. </w:t>
      </w:r>
      <w:hyperlink r:id="rId20">
        <w:r w:rsidR="00C534FC">
          <w:rPr>
            <w:rFonts w:ascii="Times New Roman" w:eastAsia="Times New Roman" w:hAnsi="Times New Roman" w:cs="Times New Roman"/>
            <w:color w:val="1155CC"/>
            <w:sz w:val="24"/>
            <w:szCs w:val="24"/>
            <w:u w:val="single"/>
          </w:rPr>
          <w:t>https://doi.org/10.3390/pathogens11101110</w:t>
        </w:r>
      </w:hyperlink>
    </w:p>
    <w:p w14:paraId="3440D60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Saïd-Salim, B., Mathema, B., &amp; </w:t>
      </w:r>
      <w:proofErr w:type="spellStart"/>
      <w:r>
        <w:rPr>
          <w:rFonts w:ascii="Times New Roman" w:eastAsia="Times New Roman" w:hAnsi="Times New Roman" w:cs="Times New Roman"/>
          <w:sz w:val="24"/>
          <w:szCs w:val="24"/>
        </w:rPr>
        <w:t>Kreiswirth</w:t>
      </w:r>
      <w:proofErr w:type="spellEnd"/>
      <w:r>
        <w:rPr>
          <w:rFonts w:ascii="Times New Roman" w:eastAsia="Times New Roman" w:hAnsi="Times New Roman" w:cs="Times New Roman"/>
          <w:sz w:val="24"/>
          <w:szCs w:val="24"/>
        </w:rPr>
        <w:t>, B. N. (2003). Community-acquired methicillin-resistant Staphylococcus aureus: an emerging pathogen. Infection Control &amp; Hospital Epidemiology, 24(6), 451-455.</w:t>
      </w:r>
    </w:p>
    <w:p w14:paraId="2EB8C611" w14:textId="77777777" w:rsidR="00570F28" w:rsidRPr="00570F28" w:rsidRDefault="00570F28" w:rsidP="00570F28">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570F28">
        <w:rPr>
          <w:rFonts w:ascii="Times New Roman" w:eastAsia="Times New Roman" w:hAnsi="Times New Roman" w:cs="Times New Roman"/>
          <w:sz w:val="24"/>
          <w:szCs w:val="24"/>
        </w:rPr>
        <w:t>Asenuga, Oluwabusola Oluwakorede, James Ponman Sargwak, Emmanuel Chimeh Ezeako, Matthew Babalola, Faith Omosigho, Eberechukwu Osinachi Azubuike, and Chibuzo Valentine Nwokafor. 2024. “Genomic Evolution and Dynamics of Drug Resistance in Mycobacterium Tuberculosis across West Africa- A Review”. </w:t>
      </w:r>
      <w:r w:rsidRPr="00570F28">
        <w:rPr>
          <w:rFonts w:ascii="Times New Roman" w:eastAsia="Times New Roman" w:hAnsi="Times New Roman" w:cs="Times New Roman"/>
          <w:i/>
          <w:iCs/>
          <w:sz w:val="24"/>
          <w:szCs w:val="24"/>
        </w:rPr>
        <w:t>Microbiology Research Journal International</w:t>
      </w:r>
      <w:r w:rsidRPr="00570F28">
        <w:rPr>
          <w:rFonts w:ascii="Times New Roman" w:eastAsia="Times New Roman" w:hAnsi="Times New Roman" w:cs="Times New Roman"/>
          <w:sz w:val="24"/>
          <w:szCs w:val="24"/>
        </w:rPr>
        <w:t xml:space="preserve"> 34 (11):120-30. </w:t>
      </w:r>
      <w:hyperlink r:id="rId21" w:history="1">
        <w:r w:rsidRPr="00570F28">
          <w:rPr>
            <w:rStyle w:val="Hyperlink"/>
            <w:rFonts w:ascii="Times New Roman" w:eastAsia="Times New Roman" w:hAnsi="Times New Roman" w:cs="Times New Roman"/>
            <w:sz w:val="24"/>
            <w:szCs w:val="24"/>
          </w:rPr>
          <w:t>https://doi.org/10.9734/mrji/2024/v34i111504</w:t>
        </w:r>
      </w:hyperlink>
      <w:r w:rsidRPr="00570F28">
        <w:rPr>
          <w:rFonts w:ascii="Times New Roman" w:eastAsia="Times New Roman" w:hAnsi="Times New Roman" w:cs="Times New Roman"/>
          <w:sz w:val="24"/>
          <w:szCs w:val="24"/>
        </w:rPr>
        <w:t>.</w:t>
      </w:r>
    </w:p>
    <w:p w14:paraId="076369D0" w14:textId="77777777" w:rsidR="0004186D" w:rsidRPr="0004186D" w:rsidRDefault="0004186D" w:rsidP="0004186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04186D">
        <w:rPr>
          <w:rFonts w:ascii="Times New Roman" w:eastAsia="Times New Roman" w:hAnsi="Times New Roman" w:cs="Times New Roman"/>
          <w:sz w:val="24"/>
          <w:szCs w:val="24"/>
        </w:rPr>
        <w:t>Amanze, Emmanuel K., Ogechukwu B. Ochomma, Chukwuma G. Udensi, Chizurum P. Christian, Chioma S. Dike, Joseph C. Okakpu, and Chibuzo V. Nwokafor. 2022. “The Prevalence of Extended Spectrum Beta-Lactamase Producing Uropathogenic Escherichia Coli from Mouau Female Hostel Students”. </w:t>
      </w:r>
      <w:r w:rsidRPr="0004186D">
        <w:rPr>
          <w:rFonts w:ascii="Times New Roman" w:eastAsia="Times New Roman" w:hAnsi="Times New Roman" w:cs="Times New Roman"/>
          <w:i/>
          <w:iCs/>
          <w:sz w:val="24"/>
          <w:szCs w:val="24"/>
        </w:rPr>
        <w:t>South Asian Journal of Research in Microbiology</w:t>
      </w:r>
      <w:r w:rsidRPr="0004186D">
        <w:rPr>
          <w:rFonts w:ascii="Times New Roman" w:eastAsia="Times New Roman" w:hAnsi="Times New Roman" w:cs="Times New Roman"/>
          <w:sz w:val="24"/>
          <w:szCs w:val="24"/>
        </w:rPr>
        <w:t xml:space="preserve"> 13 (4):24-34. </w:t>
      </w:r>
      <w:hyperlink r:id="rId22" w:history="1">
        <w:r w:rsidRPr="0004186D">
          <w:rPr>
            <w:rStyle w:val="Hyperlink"/>
            <w:rFonts w:ascii="Times New Roman" w:eastAsia="Times New Roman" w:hAnsi="Times New Roman" w:cs="Times New Roman"/>
            <w:sz w:val="24"/>
            <w:szCs w:val="24"/>
          </w:rPr>
          <w:t>https://doi.org/10.9734/sajrm/2022/v13i4255</w:t>
        </w:r>
      </w:hyperlink>
      <w:r w:rsidRPr="0004186D">
        <w:rPr>
          <w:rFonts w:ascii="Times New Roman" w:eastAsia="Times New Roman" w:hAnsi="Times New Roman" w:cs="Times New Roman"/>
          <w:sz w:val="24"/>
          <w:szCs w:val="24"/>
        </w:rPr>
        <w:t>.</w:t>
      </w:r>
    </w:p>
    <w:p w14:paraId="2EA8BA6D" w14:textId="0BDF0730" w:rsidR="00570F28" w:rsidRDefault="00570F28">
      <w:pPr>
        <w:spacing w:after="160" w:line="278" w:lineRule="auto"/>
        <w:ind w:left="1080" w:hanging="720"/>
        <w:jc w:val="both"/>
        <w:rPr>
          <w:rFonts w:ascii="Times New Roman" w:eastAsia="Times New Roman" w:hAnsi="Times New Roman" w:cs="Times New Roman"/>
          <w:sz w:val="24"/>
          <w:szCs w:val="24"/>
        </w:rPr>
      </w:pPr>
    </w:p>
    <w:p w14:paraId="3660B68C"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3747DC12"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5AD275C1"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56FC576F"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29B333DD"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5AD96666"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613A2AF9"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0F8F7D15"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Pantosti</w:t>
      </w:r>
      <w:proofErr w:type="spellEnd"/>
      <w:r>
        <w:rPr>
          <w:rFonts w:ascii="Times New Roman" w:eastAsia="Times New Roman" w:hAnsi="Times New Roman" w:cs="Times New Roman"/>
          <w:sz w:val="24"/>
          <w:szCs w:val="24"/>
        </w:rPr>
        <w:t>, A. (2012). Methicillin-resistant Staphylococcus aureus associated with animals and its relevance to human health. Frontiers in microbiology, 3, 127.</w:t>
      </w:r>
    </w:p>
    <w:p w14:paraId="0EBE5451"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36B5580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Abedon, S. T., Hyman, P., &amp; Thomas, J. A. (2011). Bacteriophage ecology. </w:t>
      </w:r>
      <w:r>
        <w:rPr>
          <w:rFonts w:ascii="Times New Roman" w:eastAsia="Times New Roman" w:hAnsi="Times New Roman" w:cs="Times New Roman"/>
          <w:i/>
          <w:sz w:val="24"/>
          <w:szCs w:val="24"/>
        </w:rPr>
        <w:t>Advances in Applied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75</w:t>
      </w:r>
      <w:r>
        <w:rPr>
          <w:rFonts w:ascii="Times New Roman" w:eastAsia="Times New Roman" w:hAnsi="Times New Roman" w:cs="Times New Roman"/>
          <w:sz w:val="24"/>
          <w:szCs w:val="24"/>
        </w:rPr>
        <w:t xml:space="preserve">, 1-30. </w:t>
      </w:r>
      <w:hyperlink r:id="rId23">
        <w:r w:rsidR="00C534FC">
          <w:rPr>
            <w:rFonts w:ascii="Times New Roman" w:eastAsia="Times New Roman" w:hAnsi="Times New Roman" w:cs="Times New Roman"/>
            <w:sz w:val="24"/>
            <w:szCs w:val="24"/>
          </w:rPr>
          <w:t>https://doi.org/10.1016/B978-0-12-387046-6.00001-6</w:t>
        </w:r>
      </w:hyperlink>
    </w:p>
    <w:p w14:paraId="65FFE68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Alkharsah, K. R., Alhussain, H. A., Alghamdi, S. A., &amp; Azzam, A. (2018). Comparative and molecular analysis of MRSA isolates from infection sites and carrier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sites. </w:t>
      </w:r>
      <w:r>
        <w:rPr>
          <w:rFonts w:ascii="Times New Roman" w:eastAsia="Times New Roman" w:hAnsi="Times New Roman" w:cs="Times New Roman"/>
          <w:i/>
          <w:sz w:val="24"/>
          <w:szCs w:val="24"/>
        </w:rPr>
        <w:t>Annals of Clinical Microbiology and Antimicrobials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xml:space="preserve">, Article 7. </w:t>
      </w:r>
      <w:hyperlink r:id="rId24">
        <w:r w:rsidR="00C534FC">
          <w:rPr>
            <w:rFonts w:ascii="Times New Roman" w:eastAsia="Times New Roman" w:hAnsi="Times New Roman" w:cs="Times New Roman"/>
            <w:sz w:val="24"/>
            <w:szCs w:val="24"/>
          </w:rPr>
          <w:t>https://doi.org/10.1186/s12941-018-0285-5</w:t>
        </w:r>
      </w:hyperlink>
    </w:p>
    <w:p w14:paraId="7F008796" w14:textId="1815F278" w:rsidR="00570F28" w:rsidRPr="00570F28" w:rsidRDefault="00570F28" w:rsidP="00570F28">
      <w:pPr>
        <w:spacing w:after="160" w:line="278" w:lineRule="auto"/>
        <w:ind w:left="1080" w:hanging="720"/>
        <w:jc w:val="both"/>
        <w:rPr>
          <w:rFonts w:ascii="Times New Roman" w:eastAsia="Times New Roman" w:hAnsi="Times New Roman" w:cs="Times New Roman"/>
          <w:sz w:val="24"/>
          <w:szCs w:val="24"/>
        </w:rPr>
      </w:pPr>
      <w:r w:rsidRPr="00570F28">
        <w:rPr>
          <w:rFonts w:ascii="Times New Roman" w:eastAsia="Times New Roman" w:hAnsi="Times New Roman" w:cs="Times New Roman"/>
          <w:sz w:val="24"/>
          <w:szCs w:val="24"/>
        </w:rPr>
        <w:t>Anozie, Ebube Henry, Oluwabusola Oluwakorede Asenuga, James Ponman Sargwak, Emmanuel Chimeh Ezeako, Ifeoma Roseline Nwafor, Yusuf Alhassan, Udoh Joseph Ifeanyi, Eberechukwu Osinachi Azubuike, and Chibuzo Valentine Nwokafor. 2024. “Challenges for Mathematical Modeling of Multidrug-Resistant Tuberculosis in Sub-Saharan Africa”. </w:t>
      </w:r>
      <w:r w:rsidRPr="00570F28">
        <w:rPr>
          <w:rFonts w:ascii="Times New Roman" w:eastAsia="Times New Roman" w:hAnsi="Times New Roman" w:cs="Times New Roman"/>
          <w:i/>
          <w:iCs/>
          <w:sz w:val="24"/>
          <w:szCs w:val="24"/>
        </w:rPr>
        <w:t>Asian Journal of Advanced Research and Reports</w:t>
      </w:r>
      <w:r w:rsidRPr="00570F28">
        <w:rPr>
          <w:rFonts w:ascii="Times New Roman" w:eastAsia="Times New Roman" w:hAnsi="Times New Roman" w:cs="Times New Roman"/>
          <w:sz w:val="24"/>
          <w:szCs w:val="24"/>
        </w:rPr>
        <w:t> 18 (9):90-97. https://doi.org/10.9734/ajarr/2024/v18i9737.</w:t>
      </w:r>
    </w:p>
    <w:p w14:paraId="253ABF67" w14:textId="508E5285"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Brouwer, M. S. M., van der Wolf, P. J., &amp; van de Giessen, A. W. (2010). Prevalence of MRSA in Dutch pig farms. </w:t>
      </w:r>
      <w:r>
        <w:rPr>
          <w:rFonts w:ascii="Times New Roman" w:eastAsia="Times New Roman" w:hAnsi="Times New Roman" w:cs="Times New Roman"/>
          <w:i/>
          <w:sz w:val="24"/>
          <w:szCs w:val="24"/>
        </w:rPr>
        <w:t>Veterinary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142</w:t>
      </w:r>
      <w:r>
        <w:rPr>
          <w:rFonts w:ascii="Times New Roman" w:eastAsia="Times New Roman" w:hAnsi="Times New Roman" w:cs="Times New Roman"/>
          <w:sz w:val="24"/>
          <w:szCs w:val="24"/>
        </w:rPr>
        <w:t xml:space="preserve">(3-4), 274-281. </w:t>
      </w:r>
      <w:hyperlink r:id="rId25">
        <w:r w:rsidR="00C534FC">
          <w:rPr>
            <w:rFonts w:ascii="Times New Roman" w:eastAsia="Times New Roman" w:hAnsi="Times New Roman" w:cs="Times New Roman"/>
            <w:sz w:val="24"/>
            <w:szCs w:val="24"/>
          </w:rPr>
          <w:t>https://doi.org/10.1016/j.vetmic.2009.10.008</w:t>
        </w:r>
      </w:hyperlink>
    </w:p>
    <w:p w14:paraId="59CD926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Crespo-</w:t>
      </w:r>
      <w:proofErr w:type="spellStart"/>
      <w:r>
        <w:rPr>
          <w:rFonts w:ascii="Times New Roman" w:eastAsia="Times New Roman" w:hAnsi="Times New Roman" w:cs="Times New Roman"/>
          <w:sz w:val="24"/>
          <w:szCs w:val="24"/>
        </w:rPr>
        <w:t>Piazuelo</w:t>
      </w:r>
      <w:proofErr w:type="spellEnd"/>
      <w:r>
        <w:rPr>
          <w:rFonts w:ascii="Times New Roman" w:eastAsia="Times New Roman" w:hAnsi="Times New Roman" w:cs="Times New Roman"/>
          <w:sz w:val="24"/>
          <w:szCs w:val="24"/>
        </w:rPr>
        <w:t xml:space="preserve">, D., &amp; Lawlor, P. G. (2021). Livestock-associated methicillin-resistant Staphylococcus aureus (LA-MRSA) prevalence in humans in close contact with animals and measures to reduce on-farm </w:t>
      </w:r>
      <w:proofErr w:type="spellStart"/>
      <w:r>
        <w:rPr>
          <w:rFonts w:ascii="Times New Roman" w:eastAsia="Times New Roman" w:hAnsi="Times New Roman" w:cs="Times New Roman"/>
          <w:sz w:val="24"/>
          <w:szCs w:val="24"/>
        </w:rPr>
        <w:t>colonisation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Irish Veterinary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74</w:t>
      </w:r>
      <w:r>
        <w:rPr>
          <w:rFonts w:ascii="Times New Roman" w:eastAsia="Times New Roman" w:hAnsi="Times New Roman" w:cs="Times New Roman"/>
          <w:sz w:val="24"/>
          <w:szCs w:val="24"/>
        </w:rPr>
        <w:t xml:space="preserve">, Article 21. </w:t>
      </w:r>
      <w:hyperlink r:id="rId26">
        <w:r w:rsidR="00C534FC">
          <w:rPr>
            <w:rFonts w:ascii="Times New Roman" w:eastAsia="Times New Roman" w:hAnsi="Times New Roman" w:cs="Times New Roman"/>
            <w:sz w:val="24"/>
            <w:szCs w:val="24"/>
          </w:rPr>
          <w:t>https://doi.org/10.1186/s13620-021-00200-7</w:t>
        </w:r>
      </w:hyperlink>
    </w:p>
    <w:p w14:paraId="3E767E44"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Cuny, C., Weber, R. F. A., &amp; Wieler, L. H. (2015). Livestock-associated MRSA: An emerging challenge for public health. </w:t>
      </w:r>
      <w:r>
        <w:rPr>
          <w:rFonts w:ascii="Times New Roman" w:eastAsia="Times New Roman" w:hAnsi="Times New Roman" w:cs="Times New Roman"/>
          <w:i/>
          <w:sz w:val="24"/>
          <w:szCs w:val="24"/>
        </w:rPr>
        <w:t>European Journal of Clinical Microbiology &amp; Infectious Diseases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 xml:space="preserve">(8), 1571-1578. </w:t>
      </w:r>
      <w:hyperlink r:id="rId27">
        <w:r w:rsidR="00C534FC">
          <w:rPr>
            <w:rFonts w:ascii="Times New Roman" w:eastAsia="Times New Roman" w:hAnsi="Times New Roman" w:cs="Times New Roman"/>
            <w:sz w:val="24"/>
            <w:szCs w:val="24"/>
          </w:rPr>
          <w:t>https://doi.org/10.1007/s10096-015-2386-1</w:t>
        </w:r>
      </w:hyperlink>
    </w:p>
    <w:p w14:paraId="666B605B" w14:textId="6EE7994C" w:rsidR="00570F28" w:rsidRDefault="00570F28" w:rsidP="00570F28">
      <w:pPr>
        <w:spacing w:after="160" w:line="278" w:lineRule="auto"/>
        <w:ind w:left="1080" w:hanging="720"/>
        <w:jc w:val="both"/>
        <w:rPr>
          <w:rFonts w:ascii="Times New Roman" w:eastAsia="Times New Roman" w:hAnsi="Times New Roman" w:cs="Times New Roman"/>
          <w:sz w:val="24"/>
          <w:szCs w:val="24"/>
        </w:rPr>
      </w:pPr>
      <w:r w:rsidRPr="00570F28">
        <w:rPr>
          <w:rFonts w:ascii="Times New Roman" w:eastAsia="Times New Roman" w:hAnsi="Times New Roman" w:cs="Times New Roman"/>
          <w:sz w:val="24"/>
          <w:szCs w:val="24"/>
        </w:rPr>
        <w:t>Egwuatu, Donatus Chigozie, Rachael Olakunmi Ogunye, Peter Chidendu Anene, Yusuf Alhassan, Ifeoma Roseline Nwafor, Joseph Ifeanyi Udoh, Oluwabusola Oluwakorede Asenuga, and Chibuzo Valentine Nwokafor. 2024. “A Review on Conversion of Agricultural Waste to Bioenergy: Processes and Environmental Impacts”. </w:t>
      </w:r>
      <w:r w:rsidRPr="00570F28">
        <w:rPr>
          <w:rFonts w:ascii="Times New Roman" w:eastAsia="Times New Roman" w:hAnsi="Times New Roman" w:cs="Times New Roman"/>
          <w:i/>
          <w:iCs/>
          <w:sz w:val="24"/>
          <w:szCs w:val="24"/>
        </w:rPr>
        <w:t>Biotechnology Journal International</w:t>
      </w:r>
      <w:r w:rsidRPr="00570F28">
        <w:rPr>
          <w:rFonts w:ascii="Times New Roman" w:eastAsia="Times New Roman" w:hAnsi="Times New Roman" w:cs="Times New Roman"/>
          <w:sz w:val="24"/>
          <w:szCs w:val="24"/>
        </w:rPr>
        <w:t xml:space="preserve"> 28 (6):18-34. </w:t>
      </w:r>
      <w:hyperlink r:id="rId28" w:history="1">
        <w:r w:rsidRPr="00570F28">
          <w:rPr>
            <w:rStyle w:val="Hyperlink"/>
            <w:rFonts w:ascii="Times New Roman" w:eastAsia="Times New Roman" w:hAnsi="Times New Roman" w:cs="Times New Roman"/>
            <w:sz w:val="24"/>
            <w:szCs w:val="24"/>
          </w:rPr>
          <w:t>https://doi.org/10.9734/bji/2024/v28i6746</w:t>
        </w:r>
      </w:hyperlink>
      <w:r w:rsidRPr="00570F28">
        <w:rPr>
          <w:rFonts w:ascii="Times New Roman" w:eastAsia="Times New Roman" w:hAnsi="Times New Roman" w:cs="Times New Roman"/>
          <w:sz w:val="24"/>
          <w:szCs w:val="24"/>
        </w:rPr>
        <w:t>.</w:t>
      </w:r>
    </w:p>
    <w:p w14:paraId="210AA31B" w14:textId="00EF960D" w:rsidR="00570F28" w:rsidRPr="00570F28" w:rsidRDefault="00570F28" w:rsidP="00570F28">
      <w:pPr>
        <w:spacing w:after="160" w:line="278" w:lineRule="auto"/>
        <w:ind w:left="1080" w:hanging="720"/>
        <w:jc w:val="both"/>
        <w:rPr>
          <w:rFonts w:ascii="Times New Roman" w:eastAsia="Times New Roman" w:hAnsi="Times New Roman" w:cs="Times New Roman"/>
          <w:sz w:val="24"/>
          <w:szCs w:val="24"/>
        </w:rPr>
      </w:pPr>
      <w:r w:rsidRPr="00570F28">
        <w:rPr>
          <w:rFonts w:ascii="Times New Roman" w:eastAsia="Times New Roman" w:hAnsi="Times New Roman" w:cs="Times New Roman"/>
          <w:sz w:val="24"/>
          <w:szCs w:val="24"/>
        </w:rPr>
        <w:t xml:space="preserve">Ezeako, Emmanuel Chimeh and Itam, Yemiode Bernard and Osuagwu, Gloria Oluchukwu and Ogbodo, Chisom Roseline and Oyibo, Okpanachi Nuhu and Olokor, Amarachi Njoku and Aondover, Cynthia Doowuese and </w:t>
      </w:r>
      <w:r w:rsidRPr="00570F28">
        <w:rPr>
          <w:rFonts w:ascii="Times New Roman" w:eastAsia="Times New Roman" w:hAnsi="Times New Roman" w:cs="Times New Roman"/>
          <w:sz w:val="24"/>
          <w:szCs w:val="24"/>
        </w:rPr>
        <w:lastRenderedPageBreak/>
        <w:t>Amuzie, Nnamdi Ginikachukwu and Ijaja, Silas Arubi and Samuel, Humphrey Sam and Chukwuma, Fidelis Nnaemeka and Odo, Malachy Chigozie and Nweze, Ekene John and Nwokafor, Chibuzo Valentine, Prospects of Synthetic Biology in the Actualization of Green Chemistry and Environmental Solutions (October 18, 2024). Asian Journal of Biotechnology and Genetic Engineering Volume 7, No. 2, Pp. 252-274, 2024, </w:t>
      </w:r>
      <w:hyperlink r:id="rId29" w:tgtFrame="_blank" w:history="1">
        <w:r w:rsidRPr="00570F28">
          <w:rPr>
            <w:rStyle w:val="Hyperlink"/>
            <w:rFonts w:ascii="Times New Roman" w:eastAsia="Times New Roman" w:hAnsi="Times New Roman" w:cs="Times New Roman"/>
            <w:sz w:val="24"/>
            <w:szCs w:val="24"/>
          </w:rPr>
          <w:t>http://dx.doi.org/10.2139/ssrn.4986306</w:t>
        </w:r>
      </w:hyperlink>
    </w:p>
    <w:p w14:paraId="62D6D26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Fetsch, A., Etter, D., &amp; Johler, S. (2021). Livestock-associated </w:t>
      </w:r>
      <w:proofErr w:type="spellStart"/>
      <w:r>
        <w:rPr>
          <w:rFonts w:ascii="Times New Roman" w:eastAsia="Times New Roman" w:hAnsi="Times New Roman" w:cs="Times New Roman"/>
          <w:sz w:val="24"/>
          <w:szCs w:val="24"/>
        </w:rPr>
        <w:t>meticillin</w:t>
      </w:r>
      <w:proofErr w:type="spellEnd"/>
      <w:r>
        <w:rPr>
          <w:rFonts w:ascii="Times New Roman" w:eastAsia="Times New Roman" w:hAnsi="Times New Roman" w:cs="Times New Roman"/>
          <w:sz w:val="24"/>
          <w:szCs w:val="24"/>
        </w:rPr>
        <w:t xml:space="preserve">-resistant Staphylococcus aureus: Current situation and impact from a One Health perspective. </w:t>
      </w:r>
      <w:r>
        <w:rPr>
          <w:rFonts w:ascii="Times New Roman" w:eastAsia="Times New Roman" w:hAnsi="Times New Roman" w:cs="Times New Roman"/>
          <w:i/>
          <w:sz w:val="24"/>
          <w:szCs w:val="24"/>
        </w:rPr>
        <w:t>Current Clinical Microbiology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 xml:space="preserve">, 103–113. </w:t>
      </w:r>
      <w:hyperlink r:id="rId30">
        <w:r w:rsidR="00C534FC">
          <w:rPr>
            <w:rFonts w:ascii="Times New Roman" w:eastAsia="Times New Roman" w:hAnsi="Times New Roman" w:cs="Times New Roman"/>
            <w:sz w:val="24"/>
            <w:szCs w:val="24"/>
          </w:rPr>
          <w:t>https://doi.org/10.1007/s40588-021-00170-y</w:t>
        </w:r>
      </w:hyperlink>
    </w:p>
    <w:p w14:paraId="665312EF"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Fletcher, J. A., et al. (2015). Biofilm formation in Staphylococcus aureus: A review of the literature. </w:t>
      </w:r>
      <w:r>
        <w:rPr>
          <w:rFonts w:ascii="Times New Roman" w:eastAsia="Times New Roman" w:hAnsi="Times New Roman" w:cs="Times New Roman"/>
          <w:i/>
          <w:sz w:val="24"/>
          <w:szCs w:val="24"/>
        </w:rPr>
        <w:t>Journal of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53</w:t>
      </w:r>
      <w:r>
        <w:rPr>
          <w:rFonts w:ascii="Times New Roman" w:eastAsia="Times New Roman" w:hAnsi="Times New Roman" w:cs="Times New Roman"/>
          <w:sz w:val="24"/>
          <w:szCs w:val="24"/>
        </w:rPr>
        <w:t xml:space="preserve">(1), 1-10. </w:t>
      </w:r>
      <w:hyperlink r:id="rId31">
        <w:r w:rsidR="00C534FC">
          <w:rPr>
            <w:rFonts w:ascii="Times New Roman" w:eastAsia="Times New Roman" w:hAnsi="Times New Roman" w:cs="Times New Roman"/>
            <w:sz w:val="24"/>
            <w:szCs w:val="24"/>
          </w:rPr>
          <w:t>https://doi.org/10.1007/s12275-015-4875-0</w:t>
        </w:r>
      </w:hyperlink>
    </w:p>
    <w:p w14:paraId="1C0A404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Friedman, D. B., et al. (2017). Emerging therapeutic strategies for the treatment of MRSA infections. </w:t>
      </w:r>
      <w:r>
        <w:rPr>
          <w:rFonts w:ascii="Times New Roman" w:eastAsia="Times New Roman" w:hAnsi="Times New Roman" w:cs="Times New Roman"/>
          <w:i/>
          <w:sz w:val="24"/>
          <w:szCs w:val="24"/>
        </w:rPr>
        <w:t>Current Opinion in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39</w:t>
      </w:r>
      <w:r>
        <w:rPr>
          <w:rFonts w:ascii="Times New Roman" w:eastAsia="Times New Roman" w:hAnsi="Times New Roman" w:cs="Times New Roman"/>
          <w:sz w:val="24"/>
          <w:szCs w:val="24"/>
        </w:rPr>
        <w:t xml:space="preserve">, 1-6. </w:t>
      </w:r>
      <w:hyperlink r:id="rId32">
        <w:r w:rsidR="00C534FC">
          <w:rPr>
            <w:rFonts w:ascii="Times New Roman" w:eastAsia="Times New Roman" w:hAnsi="Times New Roman" w:cs="Times New Roman"/>
            <w:sz w:val="24"/>
            <w:szCs w:val="24"/>
          </w:rPr>
          <w:t>https://doi.org/10.1016/j.mib.2017.06.001</w:t>
        </w:r>
      </w:hyperlink>
    </w:p>
    <w:p w14:paraId="5050BB6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Gaddafi, M. S., Yakubu, Y., Bello, M. B., Lawal, H., Bitrus, A. A., Musawa, I. A., &amp; </w:t>
      </w:r>
      <w:proofErr w:type="spellStart"/>
      <w:r>
        <w:rPr>
          <w:rFonts w:ascii="Times New Roman" w:eastAsia="Times New Roman" w:hAnsi="Times New Roman" w:cs="Times New Roman"/>
          <w:sz w:val="24"/>
          <w:szCs w:val="24"/>
        </w:rPr>
        <w:t>Fasina</w:t>
      </w:r>
      <w:proofErr w:type="spellEnd"/>
      <w:r>
        <w:rPr>
          <w:rFonts w:ascii="Times New Roman" w:eastAsia="Times New Roman" w:hAnsi="Times New Roman" w:cs="Times New Roman"/>
          <w:sz w:val="24"/>
          <w:szCs w:val="24"/>
        </w:rPr>
        <w:t xml:space="preserve">, F. O. (2025). Prevalence of methicillin-resistant Staphylococcus aureus in livestock production systems of Nigeria: A systematic review. </w:t>
      </w:r>
      <w:r>
        <w:rPr>
          <w:rFonts w:ascii="Times New Roman" w:eastAsia="Times New Roman" w:hAnsi="Times New Roman" w:cs="Times New Roman"/>
          <w:i/>
          <w:sz w:val="24"/>
          <w:szCs w:val="24"/>
        </w:rPr>
        <w:t xml:space="preserve">Acta </w:t>
      </w:r>
      <w:proofErr w:type="spellStart"/>
      <w:r>
        <w:rPr>
          <w:rFonts w:ascii="Times New Roman" w:eastAsia="Times New Roman" w:hAnsi="Times New Roman" w:cs="Times New Roman"/>
          <w:i/>
          <w:sz w:val="24"/>
          <w:szCs w:val="24"/>
        </w:rPr>
        <w:t>Veterinaria</w:t>
      </w:r>
      <w:proofErr w:type="spellEnd"/>
      <w:r>
        <w:rPr>
          <w:rFonts w:ascii="Times New Roman" w:eastAsia="Times New Roman" w:hAnsi="Times New Roman" w:cs="Times New Roman"/>
          <w:i/>
          <w:sz w:val="24"/>
          <w:szCs w:val="24"/>
        </w:rPr>
        <w:t xml:space="preserve"> Eurasia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51</w:t>
      </w:r>
      <w:r>
        <w:rPr>
          <w:rFonts w:ascii="Times New Roman" w:eastAsia="Times New Roman" w:hAnsi="Times New Roman" w:cs="Times New Roman"/>
          <w:sz w:val="24"/>
          <w:szCs w:val="24"/>
        </w:rPr>
        <w:t xml:space="preserve">, 1-11. </w:t>
      </w:r>
      <w:hyperlink r:id="rId33">
        <w:r w:rsidR="00C534FC">
          <w:rPr>
            <w:rFonts w:ascii="Times New Roman" w:eastAsia="Times New Roman" w:hAnsi="Times New Roman" w:cs="Times New Roman"/>
            <w:sz w:val="24"/>
            <w:szCs w:val="24"/>
          </w:rPr>
          <w:t>https://doi.org/10.5152/actavet.2024.24009</w:t>
        </w:r>
      </w:hyperlink>
    </w:p>
    <w:p w14:paraId="44318567"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H., Wagenaar, J. A., &amp; </w:t>
      </w:r>
      <w:proofErr w:type="spellStart"/>
      <w:r>
        <w:rPr>
          <w:rFonts w:ascii="Times New Roman" w:eastAsia="Times New Roman" w:hAnsi="Times New Roman" w:cs="Times New Roman"/>
          <w:sz w:val="24"/>
          <w:szCs w:val="24"/>
        </w:rPr>
        <w:t>Heederik</w:t>
      </w:r>
      <w:proofErr w:type="spellEnd"/>
      <w:r>
        <w:rPr>
          <w:rFonts w:ascii="Times New Roman" w:eastAsia="Times New Roman" w:hAnsi="Times New Roman" w:cs="Times New Roman"/>
          <w:sz w:val="24"/>
          <w:szCs w:val="24"/>
        </w:rPr>
        <w:t xml:space="preserve">, D. J. J. (2010). The role of livestock in the transmission of methicillin-resistant Staphylococcus aureus to humans. </w:t>
      </w:r>
      <w:r>
        <w:rPr>
          <w:rFonts w:ascii="Times New Roman" w:eastAsia="Times New Roman" w:hAnsi="Times New Roman" w:cs="Times New Roman"/>
          <w:i/>
          <w:sz w:val="24"/>
          <w:szCs w:val="24"/>
        </w:rPr>
        <w:t>Clinical Microbiology and Infection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 xml:space="preserve">(7), 934-939. </w:t>
      </w:r>
      <w:hyperlink r:id="rId34">
        <w:r w:rsidR="00C534FC">
          <w:rPr>
            <w:rFonts w:ascii="Times New Roman" w:eastAsia="Times New Roman" w:hAnsi="Times New Roman" w:cs="Times New Roman"/>
            <w:sz w:val="24"/>
            <w:szCs w:val="24"/>
          </w:rPr>
          <w:t>https://doi.org/10.1111/j.1469-0691.2010.03176.x</w:t>
        </w:r>
      </w:hyperlink>
    </w:p>
    <w:p w14:paraId="3AD7A25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Guo, K., Zhao, Y., Cui, L., Cao, Z., Zhang, F., Wang, X., Feng, J., &amp; Dai, M. (2021). The influencing factors of bacterial resistance related to livestock farms: sources and mechanisms. </w:t>
      </w:r>
      <w:r>
        <w:rPr>
          <w:rFonts w:ascii="Times New Roman" w:eastAsia="Times New Roman" w:hAnsi="Times New Roman" w:cs="Times New Roman"/>
          <w:i/>
          <w:sz w:val="24"/>
          <w:szCs w:val="24"/>
        </w:rPr>
        <w:t>Frontiers in Animal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 Article 650347. </w:t>
      </w:r>
      <w:hyperlink r:id="rId35">
        <w:r w:rsidR="00C534FC">
          <w:rPr>
            <w:rFonts w:ascii="Times New Roman" w:eastAsia="Times New Roman" w:hAnsi="Times New Roman" w:cs="Times New Roman"/>
            <w:sz w:val="24"/>
            <w:szCs w:val="24"/>
          </w:rPr>
          <w:t>https://doi.org/10.3389/fanim.2021.650347</w:t>
        </w:r>
      </w:hyperlink>
    </w:p>
    <w:p w14:paraId="7D7C19A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S. A., &amp; Iqbal, Z. (2018). Antimicrobial potential of essential oils against Staphylococcus aureus: A review. </w:t>
      </w:r>
      <w:r>
        <w:rPr>
          <w:rFonts w:ascii="Times New Roman" w:eastAsia="Times New Roman" w:hAnsi="Times New Roman" w:cs="Times New Roman"/>
          <w:i/>
          <w:sz w:val="24"/>
          <w:szCs w:val="24"/>
        </w:rPr>
        <w:t xml:space="preserve">Journal of Essential </w:t>
      </w:r>
      <w:proofErr w:type="gramStart"/>
      <w:r>
        <w:rPr>
          <w:rFonts w:ascii="Times New Roman" w:eastAsia="Times New Roman" w:hAnsi="Times New Roman" w:cs="Times New Roman"/>
          <w:i/>
          <w:sz w:val="24"/>
          <w:szCs w:val="24"/>
        </w:rPr>
        <w:t>Oil Bearing</w:t>
      </w:r>
      <w:proofErr w:type="gramEnd"/>
      <w:r>
        <w:rPr>
          <w:rFonts w:ascii="Times New Roman" w:eastAsia="Times New Roman" w:hAnsi="Times New Roman" w:cs="Times New Roman"/>
          <w:i/>
          <w:sz w:val="24"/>
          <w:szCs w:val="24"/>
        </w:rPr>
        <w:t xml:space="preserve"> Plants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 xml:space="preserve">(3), 1-13. </w:t>
      </w:r>
      <w:hyperlink r:id="rId36">
        <w:r w:rsidR="00C534FC">
          <w:rPr>
            <w:rFonts w:ascii="Times New Roman" w:eastAsia="Times New Roman" w:hAnsi="Times New Roman" w:cs="Times New Roman"/>
            <w:sz w:val="24"/>
            <w:szCs w:val="24"/>
          </w:rPr>
          <w:t>https://doi.org/10.1080/0972060X.2018.1423855</w:t>
        </w:r>
      </w:hyperlink>
    </w:p>
    <w:p w14:paraId="1CF210E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Khan, R., Zubair, M., &amp; Khan, M. A. (2015). Probiotics in animal nutrition: A review. </w:t>
      </w:r>
      <w:r>
        <w:rPr>
          <w:rFonts w:ascii="Times New Roman" w:eastAsia="Times New Roman" w:hAnsi="Times New Roman" w:cs="Times New Roman"/>
          <w:i/>
          <w:sz w:val="24"/>
          <w:szCs w:val="24"/>
        </w:rPr>
        <w:t>Pakistan Journal of Agricultural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52</w:t>
      </w:r>
      <w:r>
        <w:rPr>
          <w:rFonts w:ascii="Times New Roman" w:eastAsia="Times New Roman" w:hAnsi="Times New Roman" w:cs="Times New Roman"/>
          <w:sz w:val="24"/>
          <w:szCs w:val="24"/>
        </w:rPr>
        <w:t xml:space="preserve">(1), 75-80. </w:t>
      </w:r>
      <w:hyperlink r:id="rId37">
        <w:r w:rsidR="00C534FC">
          <w:rPr>
            <w:rFonts w:ascii="Times New Roman" w:eastAsia="Times New Roman" w:hAnsi="Times New Roman" w:cs="Times New Roman"/>
            <w:sz w:val="24"/>
            <w:szCs w:val="24"/>
          </w:rPr>
          <w:t>https://doi.org/10.21162/PAKJAS/15.5812</w:t>
        </w:r>
      </w:hyperlink>
    </w:p>
    <w:p w14:paraId="0D7EA4D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Köck, R., et al. (2010). Livestock-associated MRSA: A new challenge for the public health system. </w:t>
      </w:r>
      <w:r>
        <w:rPr>
          <w:rFonts w:ascii="Times New Roman" w:eastAsia="Times New Roman" w:hAnsi="Times New Roman" w:cs="Times New Roman"/>
          <w:i/>
          <w:sz w:val="24"/>
          <w:szCs w:val="24"/>
        </w:rPr>
        <w:t>European Journal of Clinical Microbiology &amp; Infectious Diseases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 xml:space="preserve">(12), 1335-1342. </w:t>
      </w:r>
      <w:hyperlink r:id="rId38">
        <w:r w:rsidR="00C534FC">
          <w:rPr>
            <w:rFonts w:ascii="Times New Roman" w:eastAsia="Times New Roman" w:hAnsi="Times New Roman" w:cs="Times New Roman"/>
            <w:sz w:val="24"/>
            <w:szCs w:val="24"/>
          </w:rPr>
          <w:t>https://doi.org/10.1007/s10096-010-1005-2</w:t>
        </w:r>
      </w:hyperlink>
    </w:p>
    <w:p w14:paraId="4E87884D"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Köhler, C. D., et al. (2017). The role of the AGR system in biofilm formation and virulence of Staphylococcus aureus. </w:t>
      </w:r>
      <w:r>
        <w:rPr>
          <w:rFonts w:ascii="Times New Roman" w:eastAsia="Times New Roman" w:hAnsi="Times New Roman" w:cs="Times New Roman"/>
          <w:i/>
          <w:sz w:val="24"/>
          <w:szCs w:val="24"/>
        </w:rPr>
        <w:t>Journal of Bacteriology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199</w:t>
      </w:r>
      <w:r>
        <w:rPr>
          <w:rFonts w:ascii="Times New Roman" w:eastAsia="Times New Roman" w:hAnsi="Times New Roman" w:cs="Times New Roman"/>
          <w:sz w:val="24"/>
          <w:szCs w:val="24"/>
        </w:rPr>
        <w:t xml:space="preserve">(5), e00699-16. </w:t>
      </w:r>
      <w:hyperlink r:id="rId39">
        <w:r w:rsidR="00C534FC">
          <w:rPr>
            <w:rFonts w:ascii="Times New Roman" w:eastAsia="Times New Roman" w:hAnsi="Times New Roman" w:cs="Times New Roman"/>
            <w:sz w:val="24"/>
            <w:szCs w:val="24"/>
          </w:rPr>
          <w:t>https://doi.org/10.1128/JB.00699-16</w:t>
        </w:r>
      </w:hyperlink>
    </w:p>
    <w:p w14:paraId="4084DFE5"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Lakhundi</w:t>
      </w:r>
      <w:proofErr w:type="spellEnd"/>
      <w:r>
        <w:rPr>
          <w:rFonts w:ascii="Times New Roman" w:eastAsia="Times New Roman" w:hAnsi="Times New Roman" w:cs="Times New Roman"/>
          <w:sz w:val="24"/>
          <w:szCs w:val="24"/>
        </w:rPr>
        <w:t xml:space="preserve">, S., &amp; Zhang, K. (2018). Methicillin-resistant Staphylococcus aureus: A new threat.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Paediatric</w:t>
      </w:r>
      <w:proofErr w:type="spellEnd"/>
      <w:r>
        <w:rPr>
          <w:rFonts w:ascii="Times New Roman" w:eastAsia="Times New Roman" w:hAnsi="Times New Roman" w:cs="Times New Roman"/>
          <w:i/>
          <w:sz w:val="24"/>
          <w:szCs w:val="24"/>
        </w:rPr>
        <w:t xml:space="preserve"> Infectious Disease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37</w:t>
      </w:r>
      <w:r>
        <w:rPr>
          <w:rFonts w:ascii="Times New Roman" w:eastAsia="Times New Roman" w:hAnsi="Times New Roman" w:cs="Times New Roman"/>
          <w:sz w:val="24"/>
          <w:szCs w:val="24"/>
        </w:rPr>
        <w:t xml:space="preserve">(2), 81-87. </w:t>
      </w:r>
      <w:hyperlink r:id="rId40">
        <w:r w:rsidR="00C534FC">
          <w:rPr>
            <w:rFonts w:ascii="Times New Roman" w:eastAsia="Times New Roman" w:hAnsi="Times New Roman" w:cs="Times New Roman"/>
            <w:sz w:val="24"/>
            <w:szCs w:val="24"/>
          </w:rPr>
          <w:t>https://doi.org/10.1097/INF.0000000000002054</w:t>
        </w:r>
      </w:hyperlink>
    </w:p>
    <w:p w14:paraId="448E199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Landers, T. F., Cohen, B., Wittum, T. E., &amp; Larson, E. L. (2012). A review of antibiotic use in food animals: perspective, policy, and potential. </w:t>
      </w:r>
      <w:r>
        <w:rPr>
          <w:rFonts w:ascii="Times New Roman" w:eastAsia="Times New Roman" w:hAnsi="Times New Roman" w:cs="Times New Roman"/>
          <w:i/>
          <w:sz w:val="24"/>
          <w:szCs w:val="24"/>
        </w:rPr>
        <w:t>Public Health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127</w:t>
      </w:r>
      <w:r>
        <w:rPr>
          <w:rFonts w:ascii="Times New Roman" w:eastAsia="Times New Roman" w:hAnsi="Times New Roman" w:cs="Times New Roman"/>
          <w:sz w:val="24"/>
          <w:szCs w:val="24"/>
        </w:rPr>
        <w:t xml:space="preserve">(1), 4-22. </w:t>
      </w:r>
      <w:hyperlink r:id="rId41">
        <w:r w:rsidR="00C534FC">
          <w:rPr>
            <w:rFonts w:ascii="Times New Roman" w:eastAsia="Times New Roman" w:hAnsi="Times New Roman" w:cs="Times New Roman"/>
            <w:sz w:val="24"/>
            <w:szCs w:val="24"/>
          </w:rPr>
          <w:t>https://doi.org/10.1177/003335871212700103</w:t>
        </w:r>
      </w:hyperlink>
    </w:p>
    <w:p w14:paraId="1A77FDE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Mansour, S. C., et al. (2014). Antimicrobial peptides: The “magic bullets” in the fight against bacterial infections. </w:t>
      </w:r>
      <w:r>
        <w:rPr>
          <w:rFonts w:ascii="Times New Roman" w:eastAsia="Times New Roman" w:hAnsi="Times New Roman" w:cs="Times New Roman"/>
          <w:i/>
          <w:sz w:val="24"/>
          <w:szCs w:val="24"/>
        </w:rPr>
        <w:t>Frontiers in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 xml:space="preserve">, 1-11. </w:t>
      </w:r>
      <w:hyperlink r:id="rId42">
        <w:r w:rsidR="00C534FC">
          <w:rPr>
            <w:rFonts w:ascii="Times New Roman" w:eastAsia="Times New Roman" w:hAnsi="Times New Roman" w:cs="Times New Roman"/>
            <w:sz w:val="24"/>
            <w:szCs w:val="24"/>
          </w:rPr>
          <w:t>https://doi.org/10.3389/fmicb.2014.00002</w:t>
        </w:r>
      </w:hyperlink>
    </w:p>
    <w:p w14:paraId="0853AD0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O'Brien, A. M., &amp; Smith, M. (2019). The impact of antibiotic use in livestock on antibiotic resistance in humans. </w:t>
      </w:r>
      <w:r>
        <w:rPr>
          <w:rFonts w:ascii="Times New Roman" w:eastAsia="Times New Roman" w:hAnsi="Times New Roman" w:cs="Times New Roman"/>
          <w:i/>
          <w:sz w:val="24"/>
          <w:szCs w:val="24"/>
        </w:rPr>
        <w:t>Journal of Antimicrobial Chemotherapy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74</w:t>
      </w:r>
      <w:r>
        <w:rPr>
          <w:rFonts w:ascii="Times New Roman" w:eastAsia="Times New Roman" w:hAnsi="Times New Roman" w:cs="Times New Roman"/>
          <w:sz w:val="24"/>
          <w:szCs w:val="24"/>
        </w:rPr>
        <w:t xml:space="preserve">(1), 1-6. </w:t>
      </w:r>
      <w:hyperlink r:id="rId43">
        <w:r w:rsidR="00C534FC">
          <w:rPr>
            <w:rFonts w:ascii="Times New Roman" w:eastAsia="Times New Roman" w:hAnsi="Times New Roman" w:cs="Times New Roman"/>
            <w:sz w:val="24"/>
            <w:szCs w:val="24"/>
          </w:rPr>
          <w:t>https://doi.org/10.1093/jac/dky418</w:t>
        </w:r>
      </w:hyperlink>
    </w:p>
    <w:p w14:paraId="1211A427" w14:textId="62397C93" w:rsidR="00346DB4" w:rsidRPr="00346DB4" w:rsidRDefault="00346DB4" w:rsidP="00346DB4">
      <w:pPr>
        <w:spacing w:after="160" w:line="278" w:lineRule="auto"/>
        <w:ind w:left="1080" w:hanging="720"/>
        <w:jc w:val="both"/>
        <w:rPr>
          <w:rFonts w:ascii="Times New Roman" w:eastAsia="Times New Roman" w:hAnsi="Times New Roman" w:cs="Times New Roman"/>
          <w:sz w:val="24"/>
          <w:szCs w:val="24"/>
        </w:rPr>
      </w:pPr>
      <w:r w:rsidRPr="00346DB4">
        <w:rPr>
          <w:rFonts w:ascii="Times New Roman" w:eastAsia="Times New Roman" w:hAnsi="Times New Roman" w:cs="Times New Roman"/>
          <w:sz w:val="24"/>
          <w:szCs w:val="24"/>
        </w:rPr>
        <w:t>Okoh, Miracle I., Philip C. Odoemena, Emmanuel K. Amanze, Jane K. Peter, Eberechukwu O. Azubuike, Chibuzo V. Nwokafor, and Justina O. Omaba. 2021. “Incidence of Methicillin Resistant Staphylococcus Aureus Isolated from Nostrils of Mouau Students”. </w:t>
      </w:r>
      <w:r w:rsidRPr="00346DB4">
        <w:rPr>
          <w:rFonts w:ascii="Times New Roman" w:eastAsia="Times New Roman" w:hAnsi="Times New Roman" w:cs="Times New Roman"/>
          <w:i/>
          <w:iCs/>
          <w:sz w:val="24"/>
          <w:szCs w:val="24"/>
        </w:rPr>
        <w:t>South Asian Journal of Research in Microbiology</w:t>
      </w:r>
      <w:r w:rsidRPr="00346DB4">
        <w:rPr>
          <w:rFonts w:ascii="Times New Roman" w:eastAsia="Times New Roman" w:hAnsi="Times New Roman" w:cs="Times New Roman"/>
          <w:sz w:val="24"/>
          <w:szCs w:val="24"/>
        </w:rPr>
        <w:t xml:space="preserve"> 10 (2):1-8. </w:t>
      </w:r>
      <w:hyperlink r:id="rId44" w:history="1">
        <w:r w:rsidRPr="00346DB4">
          <w:rPr>
            <w:rStyle w:val="Hyperlink"/>
            <w:rFonts w:ascii="Times New Roman" w:eastAsia="Times New Roman" w:hAnsi="Times New Roman" w:cs="Times New Roman"/>
            <w:sz w:val="24"/>
            <w:szCs w:val="24"/>
          </w:rPr>
          <w:t>https://doi.org/10.9734/sajrm/2021/v10i230223</w:t>
        </w:r>
      </w:hyperlink>
      <w:r w:rsidRPr="00346DB4">
        <w:rPr>
          <w:rFonts w:ascii="Times New Roman" w:eastAsia="Times New Roman" w:hAnsi="Times New Roman" w:cs="Times New Roman"/>
          <w:sz w:val="24"/>
          <w:szCs w:val="24"/>
        </w:rPr>
        <w:t>.</w:t>
      </w:r>
    </w:p>
    <w:p w14:paraId="0D20DA6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D. C., et al. (2014). The role of </w:t>
      </w:r>
      <w:proofErr w:type="spellStart"/>
      <w:r>
        <w:rPr>
          <w:rFonts w:ascii="Times New Roman" w:eastAsia="Times New Roman" w:hAnsi="Times New Roman" w:cs="Times New Roman"/>
          <w:sz w:val="24"/>
          <w:szCs w:val="24"/>
        </w:rPr>
        <w:t>SCCmec</w:t>
      </w:r>
      <w:proofErr w:type="spellEnd"/>
      <w:r>
        <w:rPr>
          <w:rFonts w:ascii="Times New Roman" w:eastAsia="Times New Roman" w:hAnsi="Times New Roman" w:cs="Times New Roman"/>
          <w:sz w:val="24"/>
          <w:szCs w:val="24"/>
        </w:rPr>
        <w:t xml:space="preserve"> in horizontal gene transfer of MRSA. </w:t>
      </w:r>
      <w:r>
        <w:rPr>
          <w:rFonts w:ascii="Times New Roman" w:eastAsia="Times New Roman" w:hAnsi="Times New Roman" w:cs="Times New Roman"/>
          <w:i/>
          <w:sz w:val="24"/>
          <w:szCs w:val="24"/>
        </w:rPr>
        <w:t>Journal of Antimicrobial Chemotherapy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69</w:t>
      </w:r>
      <w:r>
        <w:rPr>
          <w:rFonts w:ascii="Times New Roman" w:eastAsia="Times New Roman" w:hAnsi="Times New Roman" w:cs="Times New Roman"/>
          <w:sz w:val="24"/>
          <w:szCs w:val="24"/>
        </w:rPr>
        <w:t xml:space="preserve">(7), 1850-1857. </w:t>
      </w:r>
      <w:hyperlink r:id="rId45">
        <w:r w:rsidR="00C534FC">
          <w:rPr>
            <w:rFonts w:ascii="Times New Roman" w:eastAsia="Times New Roman" w:hAnsi="Times New Roman" w:cs="Times New Roman"/>
            <w:sz w:val="24"/>
            <w:szCs w:val="24"/>
          </w:rPr>
          <w:t>https://doi.org/10.1093/jac/dku059</w:t>
        </w:r>
      </w:hyperlink>
    </w:p>
    <w:p w14:paraId="2F3765CA" w14:textId="6BFF9887" w:rsidR="00346DB4" w:rsidRPr="00346DB4" w:rsidRDefault="00346DB4" w:rsidP="00346DB4">
      <w:pPr>
        <w:spacing w:after="160" w:line="278" w:lineRule="auto"/>
        <w:ind w:left="1080" w:hanging="720"/>
        <w:jc w:val="both"/>
        <w:rPr>
          <w:rFonts w:ascii="Times New Roman" w:eastAsia="Times New Roman" w:hAnsi="Times New Roman" w:cs="Times New Roman"/>
          <w:sz w:val="24"/>
          <w:szCs w:val="24"/>
        </w:rPr>
      </w:pPr>
      <w:r w:rsidRPr="00346DB4">
        <w:rPr>
          <w:rFonts w:ascii="Times New Roman" w:eastAsia="Times New Roman" w:hAnsi="Times New Roman" w:cs="Times New Roman"/>
          <w:sz w:val="24"/>
          <w:szCs w:val="24"/>
        </w:rPr>
        <w:t>Onwuakor Chijioke E., Ogbulie Jude N., Braide Wesley, Ogbulie Tochukwu E., Nwokafor Chibuzo V., Uchendu C.E.. Optimization of Bacteriocin Production by </w:t>
      </w:r>
      <w:r w:rsidRPr="00346DB4">
        <w:rPr>
          <w:rFonts w:ascii="Times New Roman" w:eastAsia="Times New Roman" w:hAnsi="Times New Roman" w:cs="Times New Roman"/>
          <w:i/>
          <w:iCs/>
          <w:sz w:val="24"/>
          <w:szCs w:val="24"/>
        </w:rPr>
        <w:t>Lactobacillus fermentum </w:t>
      </w:r>
      <w:r w:rsidRPr="00346DB4">
        <w:rPr>
          <w:rFonts w:ascii="Times New Roman" w:eastAsia="Times New Roman" w:hAnsi="Times New Roman" w:cs="Times New Roman"/>
          <w:sz w:val="24"/>
          <w:szCs w:val="24"/>
        </w:rPr>
        <w:t xml:space="preserve">Strain COE20 from </w:t>
      </w:r>
      <w:r w:rsidRPr="00346DB4">
        <w:rPr>
          <w:rFonts w:ascii="Times New Roman" w:eastAsia="Times New Roman" w:hAnsi="Times New Roman" w:cs="Times New Roman"/>
          <w:sz w:val="24"/>
          <w:szCs w:val="24"/>
        </w:rPr>
        <w:lastRenderedPageBreak/>
        <w:t>Fermenting </w:t>
      </w:r>
      <w:r w:rsidRPr="00346DB4">
        <w:rPr>
          <w:rFonts w:ascii="Times New Roman" w:eastAsia="Times New Roman" w:hAnsi="Times New Roman" w:cs="Times New Roman"/>
          <w:i/>
          <w:iCs/>
          <w:sz w:val="24"/>
          <w:szCs w:val="24"/>
        </w:rPr>
        <w:t>Pentaclethra macrophylla </w:t>
      </w:r>
      <w:r w:rsidRPr="00346DB4">
        <w:rPr>
          <w:rFonts w:ascii="Times New Roman" w:eastAsia="Times New Roman" w:hAnsi="Times New Roman" w:cs="Times New Roman"/>
          <w:sz w:val="24"/>
          <w:szCs w:val="24"/>
        </w:rPr>
        <w:t>Benth Using Response Surface Methodology. </w:t>
      </w:r>
      <w:r w:rsidRPr="00346DB4">
        <w:rPr>
          <w:rFonts w:ascii="Times New Roman" w:eastAsia="Times New Roman" w:hAnsi="Times New Roman" w:cs="Times New Roman"/>
          <w:i/>
          <w:iCs/>
          <w:sz w:val="24"/>
          <w:szCs w:val="24"/>
        </w:rPr>
        <w:t>American Journal of Food Science and Technology</w:t>
      </w:r>
      <w:r w:rsidRPr="00346DB4">
        <w:rPr>
          <w:rFonts w:ascii="Times New Roman" w:eastAsia="Times New Roman" w:hAnsi="Times New Roman" w:cs="Times New Roman"/>
          <w:sz w:val="24"/>
          <w:szCs w:val="24"/>
        </w:rPr>
        <w:t xml:space="preserve">. Vol. 9, No. 2, 2021, pp 30-37. </w:t>
      </w:r>
      <w:hyperlink r:id="rId46" w:history="1">
        <w:r w:rsidRPr="00346DB4">
          <w:rPr>
            <w:rStyle w:val="Hyperlink"/>
            <w:rFonts w:ascii="Times New Roman" w:eastAsia="Times New Roman" w:hAnsi="Times New Roman" w:cs="Times New Roman"/>
            <w:sz w:val="24"/>
            <w:szCs w:val="24"/>
          </w:rPr>
          <w:t>https://pubs.sciepub.com/ajfst/9/2/1</w:t>
        </w:r>
      </w:hyperlink>
    </w:p>
    <w:p w14:paraId="40676F7E"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Peacock, S. J., &amp; Paterson, G. K. (2015). Mechanisms of methicillin resistance in Staphylococcus aureus. </w:t>
      </w:r>
      <w:r>
        <w:rPr>
          <w:rFonts w:ascii="Times New Roman" w:eastAsia="Times New Roman" w:hAnsi="Times New Roman" w:cs="Times New Roman"/>
          <w:i/>
          <w:sz w:val="24"/>
          <w:szCs w:val="24"/>
        </w:rPr>
        <w:t>Annual Review of Biochemistry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84</w:t>
      </w:r>
      <w:r>
        <w:rPr>
          <w:rFonts w:ascii="Times New Roman" w:eastAsia="Times New Roman" w:hAnsi="Times New Roman" w:cs="Times New Roman"/>
          <w:sz w:val="24"/>
          <w:szCs w:val="24"/>
        </w:rPr>
        <w:t xml:space="preserve">, 577–601. </w:t>
      </w:r>
      <w:hyperlink r:id="rId47">
        <w:r w:rsidR="00C534FC">
          <w:rPr>
            <w:rFonts w:ascii="Times New Roman" w:eastAsia="Times New Roman" w:hAnsi="Times New Roman" w:cs="Times New Roman"/>
            <w:sz w:val="24"/>
            <w:szCs w:val="24"/>
          </w:rPr>
          <w:t>https://doi.org/10.1146/annurev-biochem-060614-034015</w:t>
        </w:r>
      </w:hyperlink>
    </w:p>
    <w:p w14:paraId="5B2D18F4"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Pérez-Roth, E., et al. (2008). Molecular </w:t>
      </w:r>
      <w:proofErr w:type="spellStart"/>
      <w:r>
        <w:rPr>
          <w:rFonts w:ascii="Times New Roman" w:eastAsia="Times New Roman" w:hAnsi="Times New Roman" w:cs="Times New Roman"/>
          <w:sz w:val="24"/>
          <w:szCs w:val="24"/>
        </w:rPr>
        <w:t>characterisation</w:t>
      </w:r>
      <w:proofErr w:type="spellEnd"/>
      <w:r>
        <w:rPr>
          <w:rFonts w:ascii="Times New Roman" w:eastAsia="Times New Roman" w:hAnsi="Times New Roman" w:cs="Times New Roman"/>
          <w:sz w:val="24"/>
          <w:szCs w:val="24"/>
        </w:rPr>
        <w:t xml:space="preserve"> of Staphylococcus aureus strains associated with livestock in Spain. </w:t>
      </w:r>
      <w:r>
        <w:rPr>
          <w:rFonts w:ascii="Times New Roman" w:eastAsia="Times New Roman" w:hAnsi="Times New Roman" w:cs="Times New Roman"/>
          <w:i/>
          <w:sz w:val="24"/>
          <w:szCs w:val="24"/>
        </w:rPr>
        <w:t>Veterinary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133</w:t>
      </w:r>
      <w:r>
        <w:rPr>
          <w:rFonts w:ascii="Times New Roman" w:eastAsia="Times New Roman" w:hAnsi="Times New Roman" w:cs="Times New Roman"/>
          <w:sz w:val="24"/>
          <w:szCs w:val="24"/>
        </w:rPr>
        <w:t xml:space="preserve">(1-2), 206-214. </w:t>
      </w:r>
      <w:hyperlink r:id="rId48">
        <w:r w:rsidR="00C534FC">
          <w:rPr>
            <w:rFonts w:ascii="Times New Roman" w:eastAsia="Times New Roman" w:hAnsi="Times New Roman" w:cs="Times New Roman"/>
            <w:sz w:val="24"/>
            <w:szCs w:val="24"/>
          </w:rPr>
          <w:t>https://doi.org/10.1016/j.vetmic.2008.05.007</w:t>
        </w:r>
      </w:hyperlink>
    </w:p>
    <w:p w14:paraId="6C231CD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Römling</w:t>
      </w:r>
      <w:proofErr w:type="spellEnd"/>
      <w:r>
        <w:rPr>
          <w:rFonts w:ascii="Times New Roman" w:eastAsia="Times New Roman" w:hAnsi="Times New Roman" w:cs="Times New Roman"/>
          <w:sz w:val="24"/>
          <w:szCs w:val="24"/>
        </w:rPr>
        <w:t xml:space="preserve">, U., et al. (2013). Biofilm formation in Staphylococcus aureus: A comprehensive review. </w:t>
      </w:r>
      <w:r>
        <w:rPr>
          <w:rFonts w:ascii="Times New Roman" w:eastAsia="Times New Roman" w:hAnsi="Times New Roman" w:cs="Times New Roman"/>
          <w:i/>
          <w:sz w:val="24"/>
          <w:szCs w:val="24"/>
        </w:rPr>
        <w:t>Frontiers in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 1-15. </w:t>
      </w:r>
      <w:hyperlink r:id="rId49">
        <w:r w:rsidR="00C534FC">
          <w:rPr>
            <w:rFonts w:ascii="Times New Roman" w:eastAsia="Times New Roman" w:hAnsi="Times New Roman" w:cs="Times New Roman"/>
            <w:sz w:val="24"/>
            <w:szCs w:val="24"/>
          </w:rPr>
          <w:t>https://doi.org/10.3389/fmicb.2013.00132</w:t>
        </w:r>
      </w:hyperlink>
    </w:p>
    <w:p w14:paraId="1A17040F"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Sazykin</w:t>
      </w:r>
      <w:proofErr w:type="spellEnd"/>
      <w:r>
        <w:rPr>
          <w:rFonts w:ascii="Times New Roman" w:eastAsia="Times New Roman" w:hAnsi="Times New Roman" w:cs="Times New Roman"/>
          <w:sz w:val="24"/>
          <w:szCs w:val="24"/>
        </w:rPr>
        <w:t xml:space="preserve">, I. S., </w:t>
      </w:r>
      <w:proofErr w:type="spellStart"/>
      <w:r>
        <w:rPr>
          <w:rFonts w:ascii="Times New Roman" w:eastAsia="Times New Roman" w:hAnsi="Times New Roman" w:cs="Times New Roman"/>
          <w:sz w:val="24"/>
          <w:szCs w:val="24"/>
        </w:rPr>
        <w:t>Khmelevtsova</w:t>
      </w:r>
      <w:proofErr w:type="spellEnd"/>
      <w:r>
        <w:rPr>
          <w:rFonts w:ascii="Times New Roman" w:eastAsia="Times New Roman" w:hAnsi="Times New Roman" w:cs="Times New Roman"/>
          <w:sz w:val="24"/>
          <w:szCs w:val="24"/>
        </w:rPr>
        <w:t xml:space="preserve">, L. E., Seliverstova, E. Y., &amp; </w:t>
      </w:r>
      <w:proofErr w:type="spellStart"/>
      <w:r>
        <w:rPr>
          <w:rFonts w:ascii="Times New Roman" w:eastAsia="Times New Roman" w:hAnsi="Times New Roman" w:cs="Times New Roman"/>
          <w:sz w:val="24"/>
          <w:szCs w:val="24"/>
        </w:rPr>
        <w:t>Sazykina</w:t>
      </w:r>
      <w:proofErr w:type="spellEnd"/>
      <w:r>
        <w:rPr>
          <w:rFonts w:ascii="Times New Roman" w:eastAsia="Times New Roman" w:hAnsi="Times New Roman" w:cs="Times New Roman"/>
          <w:sz w:val="24"/>
          <w:szCs w:val="24"/>
        </w:rPr>
        <w:t xml:space="preserve">, M. A. (2021). Effect of antibiotics used in animal husbandry on the distribution of bacterial drug resistance. </w:t>
      </w:r>
      <w:r>
        <w:rPr>
          <w:rFonts w:ascii="Times New Roman" w:eastAsia="Times New Roman" w:hAnsi="Times New Roman" w:cs="Times New Roman"/>
          <w:i/>
          <w:sz w:val="24"/>
          <w:szCs w:val="24"/>
        </w:rPr>
        <w:t>Applied Biochemistry and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57</w:t>
      </w:r>
      <w:r>
        <w:rPr>
          <w:rFonts w:ascii="Times New Roman" w:eastAsia="Times New Roman" w:hAnsi="Times New Roman" w:cs="Times New Roman"/>
          <w:sz w:val="24"/>
          <w:szCs w:val="24"/>
        </w:rPr>
        <w:t xml:space="preserve">(20-30). </w:t>
      </w:r>
      <w:hyperlink r:id="rId50">
        <w:r w:rsidR="00C534FC">
          <w:rPr>
            <w:rFonts w:ascii="Times New Roman" w:eastAsia="Times New Roman" w:hAnsi="Times New Roman" w:cs="Times New Roman"/>
            <w:sz w:val="24"/>
            <w:szCs w:val="24"/>
          </w:rPr>
          <w:t>https://doi.org/10.1134/S0003683821010166</w:t>
        </w:r>
      </w:hyperlink>
    </w:p>
    <w:p w14:paraId="000368B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R. F., et al. (2023). Staphylococcus aureus and MRSA in livestock: antimicrobial resistance and genetic lineages. </w:t>
      </w:r>
      <w:r>
        <w:rPr>
          <w:rFonts w:ascii="Times New Roman" w:eastAsia="Times New Roman" w:hAnsi="Times New Roman" w:cs="Times New Roman"/>
          <w:i/>
          <w:sz w:val="24"/>
          <w:szCs w:val="24"/>
        </w:rPr>
        <w:t>Microorganisms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 xml:space="preserve">(1), 124. </w:t>
      </w:r>
      <w:hyperlink r:id="rId51">
        <w:r w:rsidR="00C534FC">
          <w:rPr>
            <w:rFonts w:ascii="Times New Roman" w:eastAsia="Times New Roman" w:hAnsi="Times New Roman" w:cs="Times New Roman"/>
            <w:sz w:val="24"/>
            <w:szCs w:val="24"/>
          </w:rPr>
          <w:t>https://doi.org/10.3390/microorganisms11010124</w:t>
        </w:r>
      </w:hyperlink>
    </w:p>
    <w:p w14:paraId="1DD560AB"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Sullivan, T. A., et al. (2011). </w:t>
      </w:r>
      <w:proofErr w:type="spellStart"/>
      <w:r>
        <w:rPr>
          <w:rFonts w:ascii="Times New Roman" w:eastAsia="Times New Roman" w:hAnsi="Times New Roman" w:cs="Times New Roman"/>
          <w:sz w:val="24"/>
          <w:szCs w:val="24"/>
        </w:rPr>
        <w:t>Ceftaroline</w:t>
      </w:r>
      <w:proofErr w:type="spellEnd"/>
      <w:r>
        <w:rPr>
          <w:rFonts w:ascii="Times New Roman" w:eastAsia="Times New Roman" w:hAnsi="Times New Roman" w:cs="Times New Roman"/>
          <w:sz w:val="24"/>
          <w:szCs w:val="24"/>
        </w:rPr>
        <w:t xml:space="preserve">: A review of its clinical efficacy and safety. </w:t>
      </w:r>
      <w:r>
        <w:rPr>
          <w:rFonts w:ascii="Times New Roman" w:eastAsia="Times New Roman" w:hAnsi="Times New Roman" w:cs="Times New Roman"/>
          <w:i/>
          <w:sz w:val="24"/>
          <w:szCs w:val="24"/>
        </w:rPr>
        <w:t>Therapeutic Advances in Drug Safety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(2), 45-58. </w:t>
      </w:r>
      <w:hyperlink r:id="rId52">
        <w:r w:rsidR="00C534FC">
          <w:rPr>
            <w:rFonts w:ascii="Times New Roman" w:eastAsia="Times New Roman" w:hAnsi="Times New Roman" w:cs="Times New Roman"/>
            <w:sz w:val="24"/>
            <w:szCs w:val="24"/>
          </w:rPr>
          <w:t>https://doi.org/10.1177/2042098611406367</w:t>
        </w:r>
      </w:hyperlink>
    </w:p>
    <w:p w14:paraId="1DEA4356"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Loo, I. H. M., et al. (2007). Emergence of methicillin-resistant Staphylococcus aureus in the pig farming industry. </w:t>
      </w:r>
      <w:r>
        <w:rPr>
          <w:rFonts w:ascii="Times New Roman" w:eastAsia="Times New Roman" w:hAnsi="Times New Roman" w:cs="Times New Roman"/>
          <w:i/>
          <w:sz w:val="24"/>
          <w:szCs w:val="24"/>
        </w:rPr>
        <w:t>Veterinary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122</w:t>
      </w:r>
      <w:r>
        <w:rPr>
          <w:rFonts w:ascii="Times New Roman" w:eastAsia="Times New Roman" w:hAnsi="Times New Roman" w:cs="Times New Roman"/>
          <w:sz w:val="24"/>
          <w:szCs w:val="24"/>
        </w:rPr>
        <w:t xml:space="preserve">(1-2), 164-171. </w:t>
      </w:r>
      <w:hyperlink r:id="rId53">
        <w:r w:rsidR="00C534FC">
          <w:rPr>
            <w:rFonts w:ascii="Times New Roman" w:eastAsia="Times New Roman" w:hAnsi="Times New Roman" w:cs="Times New Roman"/>
            <w:sz w:val="24"/>
            <w:szCs w:val="24"/>
          </w:rPr>
          <w:t>https://doi.org/10.1016/j.vetmic.2006.11.001</w:t>
        </w:r>
      </w:hyperlink>
    </w:p>
    <w:p w14:paraId="3F25F8E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Vestergaard, M., Frees, D., &amp; Ingmer, H. (2019). Antibiotic resistance and the MRSA problem. </w:t>
      </w:r>
      <w:r>
        <w:rPr>
          <w:rFonts w:ascii="Times New Roman" w:eastAsia="Times New Roman" w:hAnsi="Times New Roman" w:cs="Times New Roman"/>
          <w:i/>
          <w:sz w:val="24"/>
          <w:szCs w:val="24"/>
        </w:rPr>
        <w:t>Microbiology Spectrum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(2), Article GPP3-0057-2018.</w:t>
      </w:r>
    </w:p>
    <w:p w14:paraId="2ECB3A2F"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Watkins, R. R., Holubar, M., &amp; David, M. Z. (2019). Antimicrobial resistance in methicillin-resistant Staphylococcus aureus to newer antimicrobial agents. </w:t>
      </w:r>
      <w:r>
        <w:rPr>
          <w:rFonts w:ascii="Times New Roman" w:eastAsia="Times New Roman" w:hAnsi="Times New Roman" w:cs="Times New Roman"/>
          <w:i/>
          <w:sz w:val="24"/>
          <w:szCs w:val="24"/>
        </w:rPr>
        <w:t>Antimicrobial Agents and Chemotherapy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63</w:t>
      </w:r>
      <w:r>
        <w:rPr>
          <w:rFonts w:ascii="Times New Roman" w:eastAsia="Times New Roman" w:hAnsi="Times New Roman" w:cs="Times New Roman"/>
          <w:sz w:val="24"/>
          <w:szCs w:val="24"/>
        </w:rPr>
        <w:t>(12), Article AAC.01216-19.</w:t>
      </w:r>
    </w:p>
    <w:p w14:paraId="4583E10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(2017). Stop using antibiotics in healthy animals to prevent the spread of antibiotic resistance. Retrieved from </w:t>
      </w:r>
      <w:hyperlink r:id="rId54">
        <w:r w:rsidR="00C534FC">
          <w:rPr>
            <w:rFonts w:ascii="Times New Roman" w:eastAsia="Times New Roman" w:hAnsi="Times New Roman" w:cs="Times New Roman"/>
            <w:sz w:val="24"/>
            <w:szCs w:val="24"/>
          </w:rPr>
          <w:t>https://www.who.int/news/item/07-11-2017-stop-using-antibiotics-in-healthy-animals-to-prevent-the-spread-of-antibiotic-resistance</w:t>
        </w:r>
      </w:hyperlink>
    </w:p>
    <w:p w14:paraId="6F5CE67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Wulf, M. W., et al. (2006). Methicillin-resistant Staphylococcus aureus in slaughter pigs and pig farmers. </w:t>
      </w:r>
      <w:r>
        <w:rPr>
          <w:rFonts w:ascii="Times New Roman" w:eastAsia="Times New Roman" w:hAnsi="Times New Roman" w:cs="Times New Roman"/>
          <w:i/>
          <w:sz w:val="24"/>
          <w:szCs w:val="24"/>
        </w:rPr>
        <w:t>Veterinary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122</w:t>
      </w:r>
      <w:r>
        <w:rPr>
          <w:rFonts w:ascii="Times New Roman" w:eastAsia="Times New Roman" w:hAnsi="Times New Roman" w:cs="Times New Roman"/>
          <w:sz w:val="24"/>
          <w:szCs w:val="24"/>
        </w:rPr>
        <w:t xml:space="preserve">(1-2), 130-136. </w:t>
      </w:r>
      <w:hyperlink r:id="rId55">
        <w:r w:rsidR="00C534FC">
          <w:rPr>
            <w:rFonts w:ascii="Times New Roman" w:eastAsia="Times New Roman" w:hAnsi="Times New Roman" w:cs="Times New Roman"/>
            <w:sz w:val="24"/>
            <w:szCs w:val="24"/>
          </w:rPr>
          <w:t>https://doi.org/10.1016/j.vetmic.2006.11.002</w:t>
        </w:r>
      </w:hyperlink>
      <w:r>
        <w:rPr>
          <w:rFonts w:ascii="Times New Roman" w:eastAsia="Times New Roman" w:hAnsi="Times New Roman" w:cs="Times New Roman"/>
          <w:sz w:val="24"/>
          <w:szCs w:val="24"/>
        </w:rPr>
        <w:t>.</w:t>
      </w:r>
    </w:p>
    <w:p w14:paraId="5A016487" w14:textId="77777777" w:rsidR="00C534FC" w:rsidRDefault="008150ED">
      <w:pPr>
        <w:spacing w:before="240" w:after="240"/>
        <w:ind w:left="96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Algammal</w:t>
      </w:r>
      <w:proofErr w:type="spellEnd"/>
      <w:r>
        <w:rPr>
          <w:rFonts w:ascii="Times New Roman" w:eastAsia="Times New Roman" w:hAnsi="Times New Roman" w:cs="Times New Roman"/>
          <w:sz w:val="24"/>
          <w:szCs w:val="24"/>
        </w:rPr>
        <w:t xml:space="preserve">, A. M., Hetta, H. F., </w:t>
      </w:r>
      <w:proofErr w:type="spellStart"/>
      <w:r>
        <w:rPr>
          <w:rFonts w:ascii="Times New Roman" w:eastAsia="Times New Roman" w:hAnsi="Times New Roman" w:cs="Times New Roman"/>
          <w:sz w:val="24"/>
          <w:szCs w:val="24"/>
        </w:rPr>
        <w:t>Elkelish</w:t>
      </w:r>
      <w:proofErr w:type="spellEnd"/>
      <w:r>
        <w:rPr>
          <w:rFonts w:ascii="Times New Roman" w:eastAsia="Times New Roman" w:hAnsi="Times New Roman" w:cs="Times New Roman"/>
          <w:sz w:val="24"/>
          <w:szCs w:val="24"/>
        </w:rPr>
        <w:t xml:space="preserve">, A., Alkhalifah, D. H. H., </w:t>
      </w:r>
      <w:proofErr w:type="spellStart"/>
      <w:r>
        <w:rPr>
          <w:rFonts w:ascii="Times New Roman" w:eastAsia="Times New Roman" w:hAnsi="Times New Roman" w:cs="Times New Roman"/>
          <w:sz w:val="24"/>
          <w:szCs w:val="24"/>
        </w:rPr>
        <w:t>Hozzein</w:t>
      </w:r>
      <w:proofErr w:type="spellEnd"/>
      <w:r>
        <w:rPr>
          <w:rFonts w:ascii="Times New Roman" w:eastAsia="Times New Roman" w:hAnsi="Times New Roman" w:cs="Times New Roman"/>
          <w:sz w:val="24"/>
          <w:szCs w:val="24"/>
        </w:rPr>
        <w:t xml:space="preserve">, W. N., </w:t>
      </w:r>
      <w:proofErr w:type="spellStart"/>
      <w:r>
        <w:rPr>
          <w:rFonts w:ascii="Times New Roman" w:eastAsia="Times New Roman" w:hAnsi="Times New Roman" w:cs="Times New Roman"/>
          <w:sz w:val="24"/>
          <w:szCs w:val="24"/>
        </w:rPr>
        <w:t>Batiha</w:t>
      </w:r>
      <w:proofErr w:type="spellEnd"/>
      <w:r>
        <w:rPr>
          <w:rFonts w:ascii="Times New Roman" w:eastAsia="Times New Roman" w:hAnsi="Times New Roman" w:cs="Times New Roman"/>
          <w:sz w:val="24"/>
          <w:szCs w:val="24"/>
        </w:rPr>
        <w:t xml:space="preserve">, G. E. S., Nahhas, N. El, &amp; </w:t>
      </w:r>
      <w:proofErr w:type="spellStart"/>
      <w:r>
        <w:rPr>
          <w:rFonts w:ascii="Times New Roman" w:eastAsia="Times New Roman" w:hAnsi="Times New Roman" w:cs="Times New Roman"/>
          <w:sz w:val="24"/>
          <w:szCs w:val="24"/>
        </w:rPr>
        <w:t>Mabrok</w:t>
      </w:r>
      <w:proofErr w:type="spellEnd"/>
      <w:r>
        <w:rPr>
          <w:rFonts w:ascii="Times New Roman" w:eastAsia="Times New Roman" w:hAnsi="Times New Roman" w:cs="Times New Roman"/>
          <w:sz w:val="24"/>
          <w:szCs w:val="24"/>
        </w:rPr>
        <w:t xml:space="preserve">, M. A. (2020). Methicillin-resistant staphylococcus aureus (MRSA): One health perspective approach to the bacterium epidemiology, virulence factors, antibiotic-resistance, and zoonotic impact. </w:t>
      </w:r>
      <w:r>
        <w:rPr>
          <w:rFonts w:ascii="Times New Roman" w:eastAsia="Times New Roman" w:hAnsi="Times New Roman" w:cs="Times New Roman"/>
          <w:i/>
          <w:sz w:val="24"/>
          <w:szCs w:val="24"/>
        </w:rPr>
        <w:t>Infection and Drug Resistance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3255–3265. https://doi.org/10.2147/IDR.S272733</w:t>
      </w:r>
    </w:p>
    <w:p w14:paraId="027A630B" w14:textId="77777777" w:rsidR="00C534FC" w:rsidRDefault="008150ED">
      <w:pPr>
        <w:spacing w:before="240" w:after="240"/>
        <w:ind w:left="960" w:hanging="480"/>
        <w:rPr>
          <w:rFonts w:ascii="Times New Roman" w:eastAsia="Times New Roman" w:hAnsi="Times New Roman" w:cs="Times New Roman"/>
          <w:color w:val="2A2A2A"/>
          <w:sz w:val="24"/>
          <w:szCs w:val="24"/>
        </w:rPr>
      </w:pPr>
      <w:r>
        <w:rPr>
          <w:rFonts w:ascii="Times New Roman" w:eastAsia="Times New Roman" w:hAnsi="Times New Roman" w:cs="Times New Roman"/>
          <w:sz w:val="24"/>
          <w:szCs w:val="24"/>
        </w:rPr>
        <w:t xml:space="preserve">Velazquez-Meza, M. E., Galarde-López, M., Carrillo-Quiróz, B., &amp; Alpuche-Aranda, C. M. (2022). Antimicrobial resistance: One Health approach. </w:t>
      </w:r>
      <w:r>
        <w:rPr>
          <w:rFonts w:ascii="Times New Roman" w:eastAsia="Times New Roman" w:hAnsi="Times New Roman" w:cs="Times New Roman"/>
          <w:i/>
          <w:sz w:val="24"/>
          <w:szCs w:val="24"/>
        </w:rPr>
        <w:t>Veterinary World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(3), 743–749. </w:t>
      </w:r>
      <w:hyperlink r:id="rId56">
        <w:r w:rsidR="00C534FC">
          <w:rPr>
            <w:rFonts w:ascii="Times New Roman" w:eastAsia="Times New Roman" w:hAnsi="Times New Roman" w:cs="Times New Roman"/>
            <w:color w:val="1155CC"/>
            <w:sz w:val="24"/>
            <w:szCs w:val="24"/>
            <w:u w:val="single"/>
          </w:rPr>
          <w:t>https://doi.org/10.14202/vetworld.2022.743-749</w:t>
        </w:r>
      </w:hyperlink>
    </w:p>
    <w:p w14:paraId="2C3641DD" w14:textId="77777777" w:rsidR="00C534FC" w:rsidRDefault="008150ED">
      <w:pPr>
        <w:spacing w:before="240" w:after="240"/>
        <w:ind w:left="96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Messacar</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z w:val="24"/>
          <w:szCs w:val="24"/>
          <w:highlight w:val="white"/>
        </w:rPr>
        <w:t xml:space="preserve">, Campbell K, Pearce K, et al. </w:t>
      </w:r>
      <w:r>
        <w:rPr>
          <w:rFonts w:ascii="Times New Roman" w:eastAsia="Times New Roman" w:hAnsi="Times New Roman" w:cs="Times New Roman"/>
          <w:sz w:val="24"/>
          <w:szCs w:val="24"/>
        </w:rPr>
        <w:t>A handshake from antimicrobial stewardship opens doors for infectious disease consultations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rPr>
        <w:t>Clin Infect Dis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2017</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64</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1449</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52</w:t>
      </w:r>
      <w:r>
        <w:rPr>
          <w:rFonts w:ascii="Times New Roman" w:eastAsia="Times New Roman" w:hAnsi="Times New Roman" w:cs="Times New Roman"/>
          <w:sz w:val="24"/>
          <w:szCs w:val="24"/>
          <w:highlight w:val="white"/>
        </w:rPr>
        <w:t>.</w:t>
      </w:r>
    </w:p>
    <w:p w14:paraId="38897CDA" w14:textId="77777777" w:rsidR="00C534FC" w:rsidRDefault="008150ED">
      <w:pPr>
        <w:spacing w:before="240" w:after="240"/>
        <w:ind w:left="96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Gerber, J. S., Jackson, M. A., Tamma, P. D., </w:t>
      </w:r>
      <w:proofErr w:type="spellStart"/>
      <w:r>
        <w:rPr>
          <w:rFonts w:ascii="Times New Roman" w:eastAsia="Times New Roman" w:hAnsi="Times New Roman" w:cs="Times New Roman"/>
          <w:sz w:val="24"/>
          <w:szCs w:val="24"/>
        </w:rPr>
        <w:t>Zaoutis</w:t>
      </w:r>
      <w:proofErr w:type="spellEnd"/>
      <w:r>
        <w:rPr>
          <w:rFonts w:ascii="Times New Roman" w:eastAsia="Times New Roman" w:hAnsi="Times New Roman" w:cs="Times New Roman"/>
          <w:sz w:val="24"/>
          <w:szCs w:val="24"/>
        </w:rPr>
        <w:t xml:space="preserve">, T. E., Maldonado, Y. A., </w:t>
      </w:r>
      <w:proofErr w:type="spellStart"/>
      <w:r>
        <w:rPr>
          <w:rFonts w:ascii="Times New Roman" w:eastAsia="Times New Roman" w:hAnsi="Times New Roman" w:cs="Times New Roman"/>
          <w:sz w:val="24"/>
          <w:szCs w:val="24"/>
        </w:rPr>
        <w:t>O’leary</w:t>
      </w:r>
      <w:proofErr w:type="spellEnd"/>
      <w:r>
        <w:rPr>
          <w:rFonts w:ascii="Times New Roman" w:eastAsia="Times New Roman" w:hAnsi="Times New Roman" w:cs="Times New Roman"/>
          <w:sz w:val="24"/>
          <w:szCs w:val="24"/>
        </w:rPr>
        <w:t xml:space="preserve">, S. T., Banerjee, R., Barnett, E. D., Campbell, J. D., Caserta, M. T., Gerber, J. S., Kourtis, A. P., </w:t>
      </w:r>
      <w:proofErr w:type="spellStart"/>
      <w:r>
        <w:rPr>
          <w:rFonts w:ascii="Times New Roman" w:eastAsia="Times New Roman" w:hAnsi="Times New Roman" w:cs="Times New Roman"/>
          <w:sz w:val="24"/>
          <w:szCs w:val="24"/>
        </w:rPr>
        <w:t>Lynfield</w:t>
      </w:r>
      <w:proofErr w:type="spellEnd"/>
      <w:r>
        <w:rPr>
          <w:rFonts w:ascii="Times New Roman" w:eastAsia="Times New Roman" w:hAnsi="Times New Roman" w:cs="Times New Roman"/>
          <w:sz w:val="24"/>
          <w:szCs w:val="24"/>
        </w:rPr>
        <w:t xml:space="preserve">, R., Munoz, F. M., Nolt, D., Nyquist, A. C., </w:t>
      </w:r>
      <w:proofErr w:type="spellStart"/>
      <w:r>
        <w:rPr>
          <w:rFonts w:ascii="Times New Roman" w:eastAsia="Times New Roman" w:hAnsi="Times New Roman" w:cs="Times New Roman"/>
          <w:sz w:val="24"/>
          <w:szCs w:val="24"/>
        </w:rPr>
        <w:t>O’leary</w:t>
      </w:r>
      <w:proofErr w:type="spellEnd"/>
      <w:r>
        <w:rPr>
          <w:rFonts w:ascii="Times New Roman" w:eastAsia="Times New Roman" w:hAnsi="Times New Roman" w:cs="Times New Roman"/>
          <w:sz w:val="24"/>
          <w:szCs w:val="24"/>
        </w:rPr>
        <w:t xml:space="preserve">, S. T., Steinbach, W. J., Zangwill, K., … Phillips, T. C. (2021). Policy Statement: Antibiotic stewardship in pediatrics. </w:t>
      </w:r>
      <w:r>
        <w:rPr>
          <w:rFonts w:ascii="Times New Roman" w:eastAsia="Times New Roman" w:hAnsi="Times New Roman" w:cs="Times New Roman"/>
          <w:i/>
          <w:sz w:val="24"/>
          <w:szCs w:val="24"/>
        </w:rPr>
        <w:t>Journal of the Pediatric Infectious Diseases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 xml:space="preserve">(5), 641–649. </w:t>
      </w:r>
      <w:hyperlink r:id="rId57">
        <w:r w:rsidR="00C534FC">
          <w:rPr>
            <w:rFonts w:ascii="Times New Roman" w:eastAsia="Times New Roman" w:hAnsi="Times New Roman" w:cs="Times New Roman"/>
            <w:color w:val="1155CC"/>
            <w:sz w:val="24"/>
            <w:szCs w:val="24"/>
            <w:u w:val="single"/>
          </w:rPr>
          <w:t>https://doi.org/10.1093/jpids/piab002</w:t>
        </w:r>
      </w:hyperlink>
    </w:p>
    <w:p w14:paraId="0D877F34" w14:textId="77777777" w:rsidR="00C534FC" w:rsidRDefault="008150ED">
      <w:pPr>
        <w:spacing w:before="240" w:after="240"/>
        <w:ind w:left="96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Pasquale TR, </w:t>
      </w:r>
      <w:proofErr w:type="spellStart"/>
      <w:r>
        <w:rPr>
          <w:rFonts w:ascii="Times New Roman" w:eastAsia="Times New Roman" w:hAnsi="Times New Roman" w:cs="Times New Roman"/>
          <w:sz w:val="24"/>
          <w:szCs w:val="24"/>
        </w:rPr>
        <w:t>Trienski</w:t>
      </w:r>
      <w:proofErr w:type="spellEnd"/>
      <w:r>
        <w:rPr>
          <w:rFonts w:ascii="Times New Roman" w:eastAsia="Times New Roman" w:hAnsi="Times New Roman" w:cs="Times New Roman"/>
          <w:sz w:val="24"/>
          <w:szCs w:val="24"/>
        </w:rPr>
        <w:t xml:space="preserve"> TL, </w:t>
      </w:r>
      <w:proofErr w:type="spellStart"/>
      <w:r>
        <w:rPr>
          <w:rFonts w:ascii="Times New Roman" w:eastAsia="Times New Roman" w:hAnsi="Times New Roman" w:cs="Times New Roman"/>
          <w:sz w:val="24"/>
          <w:szCs w:val="24"/>
        </w:rPr>
        <w:t>Olexia</w:t>
      </w:r>
      <w:proofErr w:type="spellEnd"/>
      <w:r>
        <w:rPr>
          <w:rFonts w:ascii="Times New Roman" w:eastAsia="Times New Roman" w:hAnsi="Times New Roman" w:cs="Times New Roman"/>
          <w:sz w:val="24"/>
          <w:szCs w:val="24"/>
        </w:rPr>
        <w:t xml:space="preserve"> DE, et al. Impact of an antimicrobial stewardship program on patients with acute bacterial skin and skin structure infections. Am J Health Syst Pharm 2014; 71:1136–9.</w:t>
      </w:r>
    </w:p>
    <w:p w14:paraId="2227B6B9"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Abbaszadeh, S., Sharifzadeh, A., Shokri, H., Khosravi, A. R., &amp; Abbaszadeh, A. (2014). Antifungal efficacy of thymol, carvacrol, eugenol and menthol as alternative agents to control the growth of food-relevant fungi. </w:t>
      </w:r>
      <w:r>
        <w:rPr>
          <w:rFonts w:ascii="Times New Roman" w:eastAsia="Times New Roman" w:hAnsi="Times New Roman" w:cs="Times New Roman"/>
          <w:i/>
          <w:sz w:val="24"/>
          <w:szCs w:val="24"/>
        </w:rPr>
        <w:t xml:space="preserve">Journal De </w:t>
      </w:r>
      <w:proofErr w:type="spellStart"/>
      <w:r>
        <w:rPr>
          <w:rFonts w:ascii="Times New Roman" w:eastAsia="Times New Roman" w:hAnsi="Times New Roman" w:cs="Times New Roman"/>
          <w:i/>
          <w:sz w:val="24"/>
          <w:szCs w:val="24"/>
        </w:rPr>
        <w:t>Mycologie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Medicale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(2), e51-56.</w:t>
      </w:r>
      <w:hyperlink r:id="rId58">
        <w:r w:rsidR="00C534FC">
          <w:rPr>
            <w:rFonts w:ascii="Times New Roman" w:eastAsia="Times New Roman" w:hAnsi="Times New Roman" w:cs="Times New Roman"/>
            <w:sz w:val="24"/>
            <w:szCs w:val="24"/>
            <w:u w:val="single"/>
          </w:rPr>
          <w:t xml:space="preserve"> </w:t>
        </w:r>
      </w:hyperlink>
      <w:hyperlink r:id="rId59">
        <w:r w:rsidR="00C534FC">
          <w:rPr>
            <w:rFonts w:ascii="Times New Roman" w:eastAsia="Times New Roman" w:hAnsi="Times New Roman" w:cs="Times New Roman"/>
            <w:color w:val="1155CC"/>
            <w:sz w:val="24"/>
            <w:szCs w:val="24"/>
            <w:u w:val="single"/>
          </w:rPr>
          <w:t>https://doi.org/10.1016/j.mycmed.2014.01.063</w:t>
        </w:r>
      </w:hyperlink>
    </w:p>
    <w:p w14:paraId="68999FF6"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Abdel-Raheem, S. M., Abd El-Hamid, M. I., Ibrahim, D., El-Malt, R. M. S., El-Ghareeb, W. R., Ismail, H. A., Al-Sultan, S. I., </w:t>
      </w:r>
      <w:proofErr w:type="spellStart"/>
      <w:r>
        <w:rPr>
          <w:rFonts w:ascii="Times New Roman" w:eastAsia="Times New Roman" w:hAnsi="Times New Roman" w:cs="Times New Roman"/>
          <w:sz w:val="24"/>
          <w:szCs w:val="24"/>
        </w:rPr>
        <w:t>Meligy</w:t>
      </w:r>
      <w:proofErr w:type="spellEnd"/>
      <w:r>
        <w:rPr>
          <w:rFonts w:ascii="Times New Roman" w:eastAsia="Times New Roman" w:hAnsi="Times New Roman" w:cs="Times New Roman"/>
          <w:sz w:val="24"/>
          <w:szCs w:val="24"/>
        </w:rPr>
        <w:t xml:space="preserve">, A. M. A., &amp; </w:t>
      </w:r>
      <w:proofErr w:type="spellStart"/>
      <w:r>
        <w:rPr>
          <w:rFonts w:ascii="Times New Roman" w:eastAsia="Times New Roman" w:hAnsi="Times New Roman" w:cs="Times New Roman"/>
          <w:sz w:val="24"/>
          <w:szCs w:val="24"/>
        </w:rPr>
        <w:t>ELTarabili</w:t>
      </w:r>
      <w:proofErr w:type="spellEnd"/>
      <w:r>
        <w:rPr>
          <w:rFonts w:ascii="Times New Roman" w:eastAsia="Times New Roman" w:hAnsi="Times New Roman" w:cs="Times New Roman"/>
          <w:sz w:val="24"/>
          <w:szCs w:val="24"/>
        </w:rPr>
        <w:t xml:space="preserve">, R. M. (2023). Future scope of plant-derived bioactive </w:t>
      </w:r>
      <w:r>
        <w:rPr>
          <w:rFonts w:ascii="Times New Roman" w:eastAsia="Times New Roman" w:hAnsi="Times New Roman" w:cs="Times New Roman"/>
          <w:sz w:val="24"/>
          <w:szCs w:val="24"/>
        </w:rPr>
        <w:lastRenderedPageBreak/>
        <w:t xml:space="preserve">compounds in the management of 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antimicrobial and </w:t>
      </w:r>
      <w:proofErr w:type="spellStart"/>
      <w:r>
        <w:rPr>
          <w:rFonts w:ascii="Times New Roman" w:eastAsia="Times New Roman" w:hAnsi="Times New Roman" w:cs="Times New Roman"/>
          <w:sz w:val="24"/>
          <w:szCs w:val="24"/>
        </w:rPr>
        <w:t>antivirulence</w:t>
      </w:r>
      <w:proofErr w:type="spellEnd"/>
      <w:r>
        <w:rPr>
          <w:rFonts w:ascii="Times New Roman" w:eastAsia="Times New Roman" w:hAnsi="Times New Roman" w:cs="Times New Roman"/>
          <w:sz w:val="24"/>
          <w:szCs w:val="24"/>
        </w:rPr>
        <w:t xml:space="preserve"> prospects to combat MRSA. </w:t>
      </w:r>
      <w:r>
        <w:rPr>
          <w:rFonts w:ascii="Times New Roman" w:eastAsia="Times New Roman" w:hAnsi="Times New Roman" w:cs="Times New Roman"/>
          <w:i/>
          <w:sz w:val="24"/>
          <w:szCs w:val="24"/>
        </w:rPr>
        <w:t>Microbial Pathogenesis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183</w:t>
      </w:r>
      <w:r>
        <w:rPr>
          <w:rFonts w:ascii="Times New Roman" w:eastAsia="Times New Roman" w:hAnsi="Times New Roman" w:cs="Times New Roman"/>
          <w:sz w:val="24"/>
          <w:szCs w:val="24"/>
        </w:rPr>
        <w:t>, 106301.</w:t>
      </w:r>
      <w:hyperlink r:id="rId60">
        <w:r w:rsidR="00C534FC">
          <w:rPr>
            <w:rFonts w:ascii="Times New Roman" w:eastAsia="Times New Roman" w:hAnsi="Times New Roman" w:cs="Times New Roman"/>
            <w:sz w:val="24"/>
            <w:szCs w:val="24"/>
            <w:u w:val="single"/>
          </w:rPr>
          <w:t xml:space="preserve"> </w:t>
        </w:r>
      </w:hyperlink>
      <w:hyperlink r:id="rId61">
        <w:r w:rsidR="00C534FC">
          <w:rPr>
            <w:rFonts w:ascii="Times New Roman" w:eastAsia="Times New Roman" w:hAnsi="Times New Roman" w:cs="Times New Roman"/>
            <w:color w:val="1155CC"/>
            <w:sz w:val="24"/>
            <w:szCs w:val="24"/>
            <w:u w:val="single"/>
          </w:rPr>
          <w:t>https://doi.org/10.1016/j.micpath.2023.106301</w:t>
        </w:r>
      </w:hyperlink>
    </w:p>
    <w:p w14:paraId="689A8884"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Almowallad</w:t>
      </w:r>
      <w:proofErr w:type="spellEnd"/>
      <w:r>
        <w:rPr>
          <w:rFonts w:ascii="Times New Roman" w:eastAsia="Times New Roman" w:hAnsi="Times New Roman" w:cs="Times New Roman"/>
          <w:sz w:val="24"/>
          <w:szCs w:val="24"/>
        </w:rPr>
        <w:t xml:space="preserve">, S. J., &amp; Alqahtani, L. S. (2024). Synergistic antimicrobial action of chitosan-neem extracts </w:t>
      </w:r>
      <w:proofErr w:type="spellStart"/>
      <w:r>
        <w:rPr>
          <w:rFonts w:ascii="Times New Roman" w:eastAsia="Times New Roman" w:hAnsi="Times New Roman" w:cs="Times New Roman"/>
          <w:sz w:val="24"/>
          <w:szCs w:val="24"/>
        </w:rPr>
        <w:t>nanoformulation</w:t>
      </w:r>
      <w:proofErr w:type="spellEnd"/>
      <w:r>
        <w:rPr>
          <w:rFonts w:ascii="Times New Roman" w:eastAsia="Times New Roman" w:hAnsi="Times New Roman" w:cs="Times New Roman"/>
          <w:sz w:val="24"/>
          <w:szCs w:val="24"/>
        </w:rPr>
        <w:t xml:space="preserve"> as a promising strategy for overcoming multi-drug resistant bacteria. </w:t>
      </w:r>
      <w:r>
        <w:rPr>
          <w:rFonts w:ascii="Times New Roman" w:eastAsia="Times New Roman" w:hAnsi="Times New Roman" w:cs="Times New Roman"/>
          <w:i/>
          <w:sz w:val="24"/>
          <w:szCs w:val="24"/>
        </w:rPr>
        <w:t>International Journal of Biological Macromolecules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272</w:t>
      </w:r>
      <w:r>
        <w:rPr>
          <w:rFonts w:ascii="Times New Roman" w:eastAsia="Times New Roman" w:hAnsi="Times New Roman" w:cs="Times New Roman"/>
          <w:sz w:val="24"/>
          <w:szCs w:val="24"/>
        </w:rPr>
        <w:t>, 132337.</w:t>
      </w:r>
      <w:hyperlink r:id="rId62">
        <w:r w:rsidR="00C534FC">
          <w:rPr>
            <w:rFonts w:ascii="Times New Roman" w:eastAsia="Times New Roman" w:hAnsi="Times New Roman" w:cs="Times New Roman"/>
            <w:sz w:val="24"/>
            <w:szCs w:val="24"/>
            <w:u w:val="single"/>
          </w:rPr>
          <w:t xml:space="preserve"> </w:t>
        </w:r>
      </w:hyperlink>
      <w:hyperlink r:id="rId63">
        <w:r w:rsidR="00C534FC">
          <w:rPr>
            <w:rFonts w:ascii="Times New Roman" w:eastAsia="Times New Roman" w:hAnsi="Times New Roman" w:cs="Times New Roman"/>
            <w:color w:val="1155CC"/>
            <w:sz w:val="24"/>
            <w:szCs w:val="24"/>
            <w:u w:val="single"/>
          </w:rPr>
          <w:t>https://doi.org/10.1016/j.ijbiomac.2024.132337</w:t>
        </w:r>
      </w:hyperlink>
    </w:p>
    <w:p w14:paraId="0B741C3A"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Álvarez-Martínez, F. J., </w:t>
      </w:r>
      <w:proofErr w:type="spellStart"/>
      <w:r>
        <w:rPr>
          <w:rFonts w:ascii="Times New Roman" w:eastAsia="Times New Roman" w:hAnsi="Times New Roman" w:cs="Times New Roman"/>
          <w:sz w:val="24"/>
          <w:szCs w:val="24"/>
        </w:rPr>
        <w:t>Barrajón-Catalán</w:t>
      </w:r>
      <w:proofErr w:type="spellEnd"/>
      <w:r>
        <w:rPr>
          <w:rFonts w:ascii="Times New Roman" w:eastAsia="Times New Roman" w:hAnsi="Times New Roman" w:cs="Times New Roman"/>
          <w:sz w:val="24"/>
          <w:szCs w:val="24"/>
        </w:rPr>
        <w:t xml:space="preserve">, E., Herranz-López, M., &amp; Micol, V. (2021). Antibacterial plant compounds, extracts and essential oils: An updated review on their effects and putative mechanisms of action. </w:t>
      </w:r>
      <w:r>
        <w:rPr>
          <w:rFonts w:ascii="Times New Roman" w:eastAsia="Times New Roman" w:hAnsi="Times New Roman" w:cs="Times New Roman"/>
          <w:i/>
          <w:sz w:val="24"/>
          <w:szCs w:val="24"/>
        </w:rPr>
        <w:t>Phytomedicine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90</w:t>
      </w:r>
      <w:r>
        <w:rPr>
          <w:rFonts w:ascii="Times New Roman" w:eastAsia="Times New Roman" w:hAnsi="Times New Roman" w:cs="Times New Roman"/>
          <w:sz w:val="24"/>
          <w:szCs w:val="24"/>
        </w:rPr>
        <w:t>, 153626.</w:t>
      </w:r>
      <w:hyperlink r:id="rId64">
        <w:r w:rsidR="00C534FC">
          <w:rPr>
            <w:rFonts w:ascii="Times New Roman" w:eastAsia="Times New Roman" w:hAnsi="Times New Roman" w:cs="Times New Roman"/>
            <w:sz w:val="24"/>
            <w:szCs w:val="24"/>
            <w:u w:val="single"/>
          </w:rPr>
          <w:t xml:space="preserve"> </w:t>
        </w:r>
      </w:hyperlink>
      <w:hyperlink r:id="rId65">
        <w:r w:rsidR="00C534FC">
          <w:rPr>
            <w:rFonts w:ascii="Times New Roman" w:eastAsia="Times New Roman" w:hAnsi="Times New Roman" w:cs="Times New Roman"/>
            <w:color w:val="1155CC"/>
            <w:sz w:val="24"/>
            <w:szCs w:val="24"/>
            <w:u w:val="single"/>
          </w:rPr>
          <w:t>https://doi.org/10.1016/j.phymed.2021.153626</w:t>
        </w:r>
      </w:hyperlink>
    </w:p>
    <w:p w14:paraId="006BA29C"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Angelini, P. (2024). Plant-Derived Antimicrobials and Their Crucial Role in Combating Antimicrobial Resistance. </w:t>
      </w:r>
      <w:r>
        <w:rPr>
          <w:rFonts w:ascii="Times New Roman" w:eastAsia="Times New Roman" w:hAnsi="Times New Roman" w:cs="Times New Roman"/>
          <w:i/>
          <w:sz w:val="24"/>
          <w:szCs w:val="24"/>
        </w:rPr>
        <w:t>Antibiotics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(8), 746.</w:t>
      </w:r>
      <w:hyperlink r:id="rId66">
        <w:r w:rsidR="00C534FC">
          <w:rPr>
            <w:rFonts w:ascii="Times New Roman" w:eastAsia="Times New Roman" w:hAnsi="Times New Roman" w:cs="Times New Roman"/>
            <w:sz w:val="24"/>
            <w:szCs w:val="24"/>
            <w:u w:val="single"/>
          </w:rPr>
          <w:t xml:space="preserve"> </w:t>
        </w:r>
      </w:hyperlink>
      <w:hyperlink r:id="rId67">
        <w:r w:rsidR="00C534FC">
          <w:rPr>
            <w:rFonts w:ascii="Times New Roman" w:eastAsia="Times New Roman" w:hAnsi="Times New Roman" w:cs="Times New Roman"/>
            <w:color w:val="1155CC"/>
            <w:sz w:val="24"/>
            <w:szCs w:val="24"/>
            <w:u w:val="single"/>
          </w:rPr>
          <w:t>https://doi.org/10.3390/antibiotics13080746</w:t>
        </w:r>
      </w:hyperlink>
    </w:p>
    <w:p w14:paraId="3C49DD5D"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Apisariyakul</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Vanittanakom</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Buddhasukh</w:t>
      </w:r>
      <w:proofErr w:type="spellEnd"/>
      <w:r>
        <w:rPr>
          <w:rFonts w:ascii="Times New Roman" w:eastAsia="Times New Roman" w:hAnsi="Times New Roman" w:cs="Times New Roman"/>
          <w:sz w:val="24"/>
          <w:szCs w:val="24"/>
        </w:rPr>
        <w:t>, D. (1995). Antifungal activity of turmeric oil extracted from Curcuma longa (</w:t>
      </w:r>
      <w:proofErr w:type="spellStart"/>
      <w:r>
        <w:rPr>
          <w:rFonts w:ascii="Times New Roman" w:eastAsia="Times New Roman" w:hAnsi="Times New Roman" w:cs="Times New Roman"/>
          <w:sz w:val="24"/>
          <w:szCs w:val="24"/>
        </w:rPr>
        <w:t>Zingiberaceae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Ethnopharmacology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49</w:t>
      </w:r>
      <w:r>
        <w:rPr>
          <w:rFonts w:ascii="Times New Roman" w:eastAsia="Times New Roman" w:hAnsi="Times New Roman" w:cs="Times New Roman"/>
          <w:sz w:val="24"/>
          <w:szCs w:val="24"/>
        </w:rPr>
        <w:t>(3), 163–169.</w:t>
      </w:r>
      <w:hyperlink r:id="rId68">
        <w:r w:rsidR="00C534FC">
          <w:rPr>
            <w:rFonts w:ascii="Times New Roman" w:eastAsia="Times New Roman" w:hAnsi="Times New Roman" w:cs="Times New Roman"/>
            <w:sz w:val="24"/>
            <w:szCs w:val="24"/>
            <w:u w:val="single"/>
          </w:rPr>
          <w:t xml:space="preserve"> </w:t>
        </w:r>
      </w:hyperlink>
      <w:hyperlink r:id="rId69">
        <w:r w:rsidR="00C534FC">
          <w:rPr>
            <w:rFonts w:ascii="Times New Roman" w:eastAsia="Times New Roman" w:hAnsi="Times New Roman" w:cs="Times New Roman"/>
            <w:color w:val="1155CC"/>
            <w:sz w:val="24"/>
            <w:szCs w:val="24"/>
            <w:u w:val="single"/>
          </w:rPr>
          <w:t>https://doi.org/10.1016/0378-8741(95)01320-2</w:t>
        </w:r>
      </w:hyperlink>
    </w:p>
    <w:p w14:paraId="78BE1672"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Arip</w:t>
      </w:r>
      <w:proofErr w:type="spellEnd"/>
      <w:r>
        <w:rPr>
          <w:rFonts w:ascii="Times New Roman" w:eastAsia="Times New Roman" w:hAnsi="Times New Roman" w:cs="Times New Roman"/>
          <w:sz w:val="24"/>
          <w:szCs w:val="24"/>
        </w:rPr>
        <w:t xml:space="preserve">, M., Selvaraja, M., R, M., Tan, L. F., Leong, M. Y., Tan, P. L., Yap, V. L., </w:t>
      </w:r>
      <w:proofErr w:type="spellStart"/>
      <w:r>
        <w:rPr>
          <w:rFonts w:ascii="Times New Roman" w:eastAsia="Times New Roman" w:hAnsi="Times New Roman" w:cs="Times New Roman"/>
          <w:sz w:val="24"/>
          <w:szCs w:val="24"/>
        </w:rPr>
        <w:t>Chinnapan</w:t>
      </w:r>
      <w:proofErr w:type="spellEnd"/>
      <w:r>
        <w:rPr>
          <w:rFonts w:ascii="Times New Roman" w:eastAsia="Times New Roman" w:hAnsi="Times New Roman" w:cs="Times New Roman"/>
          <w:sz w:val="24"/>
          <w:szCs w:val="24"/>
        </w:rPr>
        <w:t xml:space="preserve">, S., Tat, N. C., Abdullah, M., K, D., &amp; Jubair, N. (2022). Review on Plant-Based Management in Combating Antimicrobial Resistance—Mechanistic Perspective. </w:t>
      </w:r>
      <w:r>
        <w:rPr>
          <w:rFonts w:ascii="Times New Roman" w:eastAsia="Times New Roman" w:hAnsi="Times New Roman" w:cs="Times New Roman"/>
          <w:i/>
          <w:sz w:val="24"/>
          <w:szCs w:val="24"/>
        </w:rPr>
        <w:t>Frontiers in Pharmacology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w:t>
      </w:r>
      <w:hyperlink r:id="rId70">
        <w:r w:rsidR="00C534FC">
          <w:rPr>
            <w:rFonts w:ascii="Times New Roman" w:eastAsia="Times New Roman" w:hAnsi="Times New Roman" w:cs="Times New Roman"/>
            <w:sz w:val="24"/>
            <w:szCs w:val="24"/>
            <w:u w:val="single"/>
          </w:rPr>
          <w:t xml:space="preserve"> </w:t>
        </w:r>
      </w:hyperlink>
      <w:hyperlink r:id="rId71">
        <w:r w:rsidR="00C534FC">
          <w:rPr>
            <w:rFonts w:ascii="Times New Roman" w:eastAsia="Times New Roman" w:hAnsi="Times New Roman" w:cs="Times New Roman"/>
            <w:color w:val="1155CC"/>
            <w:sz w:val="24"/>
            <w:szCs w:val="24"/>
            <w:u w:val="single"/>
          </w:rPr>
          <w:t>https://doi.org/10.3389/fphar.2022.879495</w:t>
        </w:r>
      </w:hyperlink>
    </w:p>
    <w:p w14:paraId="2F6FFAAB"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proofErr w:type="spellStart"/>
      <w:r>
        <w:rPr>
          <w:rFonts w:ascii="Times New Roman" w:eastAsia="Times New Roman" w:hAnsi="Times New Roman" w:cs="Times New Roman"/>
          <w:sz w:val="24"/>
          <w:szCs w:val="24"/>
        </w:rPr>
        <w:t>Arip</w:t>
      </w:r>
      <w:proofErr w:type="spellEnd"/>
      <w:r>
        <w:rPr>
          <w:rFonts w:ascii="Times New Roman" w:eastAsia="Times New Roman" w:hAnsi="Times New Roman" w:cs="Times New Roman"/>
          <w:sz w:val="24"/>
          <w:szCs w:val="24"/>
        </w:rPr>
        <w:t xml:space="preserve">, M., Selvaraja, M., R, M., Tan, L. F., Leong, M. Y., Tan, P. L., Yap, V. L., </w:t>
      </w:r>
      <w:proofErr w:type="spellStart"/>
      <w:r>
        <w:rPr>
          <w:rFonts w:ascii="Times New Roman" w:eastAsia="Times New Roman" w:hAnsi="Times New Roman" w:cs="Times New Roman"/>
          <w:sz w:val="24"/>
          <w:szCs w:val="24"/>
        </w:rPr>
        <w:t>Chinnapan</w:t>
      </w:r>
      <w:proofErr w:type="spellEnd"/>
      <w:r>
        <w:rPr>
          <w:rFonts w:ascii="Times New Roman" w:eastAsia="Times New Roman" w:hAnsi="Times New Roman" w:cs="Times New Roman"/>
          <w:sz w:val="24"/>
          <w:szCs w:val="24"/>
        </w:rPr>
        <w:t>, S., Tat, N. C., Abdullah, M., K, D., &amp; Jubair, N. (2022). Review on Plant-Based Management in Combating Antimicrobial Resistance - Mechanistic Perspective</w:t>
      </w:r>
      <w:r>
        <w:rPr>
          <w:rFonts w:ascii="Times New Roman" w:eastAsia="Times New Roman" w:hAnsi="Times New Roman" w:cs="Times New Roman"/>
          <w:i/>
          <w:sz w:val="24"/>
          <w:szCs w:val="24"/>
        </w:rPr>
        <w:t>. Frontiers in Pharmacology, 13, 879495.</w:t>
      </w:r>
      <w:hyperlink r:id="rId72">
        <w:r w:rsidR="00C534FC">
          <w:rPr>
            <w:rFonts w:ascii="Times New Roman" w:eastAsia="Times New Roman" w:hAnsi="Times New Roman" w:cs="Times New Roman"/>
            <w:i/>
            <w:sz w:val="24"/>
            <w:szCs w:val="24"/>
            <w:u w:val="single"/>
          </w:rPr>
          <w:t xml:space="preserve"> </w:t>
        </w:r>
      </w:hyperlink>
      <w:hyperlink r:id="rId73">
        <w:r w:rsidR="00C534FC">
          <w:rPr>
            <w:rFonts w:ascii="Times New Roman" w:eastAsia="Times New Roman" w:hAnsi="Times New Roman" w:cs="Times New Roman"/>
            <w:i/>
            <w:color w:val="1155CC"/>
            <w:sz w:val="24"/>
            <w:szCs w:val="24"/>
            <w:u w:val="single"/>
          </w:rPr>
          <w:t>https://doi.org/10.3389/fphar.2022.879495</w:t>
        </w:r>
      </w:hyperlink>
    </w:p>
    <w:p w14:paraId="75F03122"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Arun Karnwal, Amar Yasser Jassim, Mohammed, A. A., Sharma, V., Said, M., &amp; </w:t>
      </w:r>
      <w:proofErr w:type="spellStart"/>
      <w:r>
        <w:rPr>
          <w:rFonts w:ascii="Times New Roman" w:eastAsia="Times New Roman" w:hAnsi="Times New Roman" w:cs="Times New Roman"/>
          <w:sz w:val="24"/>
          <w:szCs w:val="24"/>
        </w:rPr>
        <w:t>Iyyakkannu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Sivanesan</w:t>
      </w:r>
      <w:proofErr w:type="spellEnd"/>
      <w:r>
        <w:rPr>
          <w:rFonts w:ascii="Times New Roman" w:eastAsia="Times New Roman" w:hAnsi="Times New Roman" w:cs="Times New Roman"/>
          <w:sz w:val="24"/>
          <w:szCs w:val="24"/>
        </w:rPr>
        <w:t>. (2024). Nanotechnology for Healthcare: Plant-</w:t>
      </w:r>
      <w:r>
        <w:rPr>
          <w:rFonts w:ascii="Times New Roman" w:eastAsia="Times New Roman" w:hAnsi="Times New Roman" w:cs="Times New Roman"/>
          <w:sz w:val="24"/>
          <w:szCs w:val="24"/>
        </w:rPr>
        <w:lastRenderedPageBreak/>
        <w:t xml:space="preserve">Derived Nanoparticles in Disease Treatment and Regenerative Medicine. </w:t>
      </w:r>
      <w:r>
        <w:rPr>
          <w:rFonts w:ascii="Times New Roman" w:eastAsia="Times New Roman" w:hAnsi="Times New Roman" w:cs="Times New Roman"/>
          <w:i/>
          <w:sz w:val="24"/>
          <w:szCs w:val="24"/>
        </w:rPr>
        <w:t>Pharmaceuticals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(12), 1711–1711.</w:t>
      </w:r>
      <w:hyperlink r:id="rId74">
        <w:r w:rsidR="00C534FC">
          <w:rPr>
            <w:rFonts w:ascii="Times New Roman" w:eastAsia="Times New Roman" w:hAnsi="Times New Roman" w:cs="Times New Roman"/>
            <w:sz w:val="24"/>
            <w:szCs w:val="24"/>
            <w:u w:val="single"/>
          </w:rPr>
          <w:t xml:space="preserve"> </w:t>
        </w:r>
      </w:hyperlink>
      <w:hyperlink r:id="rId75">
        <w:r w:rsidR="00C534FC">
          <w:rPr>
            <w:rFonts w:ascii="Times New Roman" w:eastAsia="Times New Roman" w:hAnsi="Times New Roman" w:cs="Times New Roman"/>
            <w:color w:val="1155CC"/>
            <w:sz w:val="24"/>
            <w:szCs w:val="24"/>
            <w:u w:val="single"/>
          </w:rPr>
          <w:t>https://doi.org/10.3390/ph17121711</w:t>
        </w:r>
      </w:hyperlink>
    </w:p>
    <w:p w14:paraId="1A99DC57"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Bazana</w:t>
      </w:r>
      <w:proofErr w:type="spellEnd"/>
      <w:r>
        <w:rPr>
          <w:rFonts w:ascii="Times New Roman" w:eastAsia="Times New Roman" w:hAnsi="Times New Roman" w:cs="Times New Roman"/>
          <w:sz w:val="24"/>
          <w:szCs w:val="24"/>
        </w:rPr>
        <w:t xml:space="preserve">, M. T., </w:t>
      </w:r>
      <w:proofErr w:type="spellStart"/>
      <w:r>
        <w:rPr>
          <w:rFonts w:ascii="Times New Roman" w:eastAsia="Times New Roman" w:hAnsi="Times New Roman" w:cs="Times New Roman"/>
          <w:sz w:val="24"/>
          <w:szCs w:val="24"/>
        </w:rPr>
        <w:t>Codevilla</w:t>
      </w:r>
      <w:proofErr w:type="spellEnd"/>
      <w:r>
        <w:rPr>
          <w:rFonts w:ascii="Times New Roman" w:eastAsia="Times New Roman" w:hAnsi="Times New Roman" w:cs="Times New Roman"/>
          <w:sz w:val="24"/>
          <w:szCs w:val="24"/>
        </w:rPr>
        <w:t xml:space="preserve">, C. F., &amp; de Menezes, C. R. (2019). Nanoencapsulation of bioactive compounds: Challenges and perspectives. </w:t>
      </w:r>
      <w:r>
        <w:rPr>
          <w:rFonts w:ascii="Times New Roman" w:eastAsia="Times New Roman" w:hAnsi="Times New Roman" w:cs="Times New Roman"/>
          <w:i/>
          <w:sz w:val="24"/>
          <w:szCs w:val="24"/>
        </w:rPr>
        <w:t>Current Opinion in Food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26</w:t>
      </w:r>
      <w:r>
        <w:rPr>
          <w:rFonts w:ascii="Times New Roman" w:eastAsia="Times New Roman" w:hAnsi="Times New Roman" w:cs="Times New Roman"/>
          <w:sz w:val="24"/>
          <w:szCs w:val="24"/>
        </w:rPr>
        <w:t>, 47–56.</w:t>
      </w:r>
      <w:hyperlink r:id="rId76">
        <w:r w:rsidR="00C534FC">
          <w:rPr>
            <w:rFonts w:ascii="Times New Roman" w:eastAsia="Times New Roman" w:hAnsi="Times New Roman" w:cs="Times New Roman"/>
            <w:sz w:val="24"/>
            <w:szCs w:val="24"/>
            <w:u w:val="single"/>
          </w:rPr>
          <w:t xml:space="preserve"> </w:t>
        </w:r>
      </w:hyperlink>
      <w:hyperlink r:id="rId77">
        <w:r w:rsidR="00C534FC">
          <w:rPr>
            <w:rFonts w:ascii="Times New Roman" w:eastAsia="Times New Roman" w:hAnsi="Times New Roman" w:cs="Times New Roman"/>
            <w:color w:val="1155CC"/>
            <w:sz w:val="24"/>
            <w:szCs w:val="24"/>
            <w:u w:val="single"/>
          </w:rPr>
          <w:t>https://doi.org/10.1016/j.cofs.2019.03.005</w:t>
        </w:r>
      </w:hyperlink>
    </w:p>
    <w:p w14:paraId="1BA6BA2B"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Boberek, J. M., Stach, J., &amp; Good, L. (2010). Genetic Evidence for Inhibition of Bacterial Division Protein </w:t>
      </w:r>
      <w:proofErr w:type="spellStart"/>
      <w:r>
        <w:rPr>
          <w:rFonts w:ascii="Times New Roman" w:eastAsia="Times New Roman" w:hAnsi="Times New Roman" w:cs="Times New Roman"/>
          <w:sz w:val="24"/>
          <w:szCs w:val="24"/>
        </w:rPr>
        <w:t>FtsZ</w:t>
      </w:r>
      <w:proofErr w:type="spellEnd"/>
      <w:r>
        <w:rPr>
          <w:rFonts w:ascii="Times New Roman" w:eastAsia="Times New Roman" w:hAnsi="Times New Roman" w:cs="Times New Roman"/>
          <w:sz w:val="24"/>
          <w:szCs w:val="24"/>
        </w:rPr>
        <w:t xml:space="preserve"> by Berberine.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(10), e13745.</w:t>
      </w:r>
      <w:hyperlink r:id="rId78">
        <w:r w:rsidR="00C534FC">
          <w:rPr>
            <w:rFonts w:ascii="Times New Roman" w:eastAsia="Times New Roman" w:hAnsi="Times New Roman" w:cs="Times New Roman"/>
            <w:sz w:val="24"/>
            <w:szCs w:val="24"/>
            <w:u w:val="single"/>
          </w:rPr>
          <w:t xml:space="preserve"> </w:t>
        </w:r>
      </w:hyperlink>
      <w:hyperlink r:id="rId79">
        <w:r w:rsidR="00C534FC">
          <w:rPr>
            <w:rFonts w:ascii="Times New Roman" w:eastAsia="Times New Roman" w:hAnsi="Times New Roman" w:cs="Times New Roman"/>
            <w:color w:val="1155CC"/>
            <w:sz w:val="24"/>
            <w:szCs w:val="24"/>
            <w:u w:val="single"/>
          </w:rPr>
          <w:t>https://doi.org/10.1371/journal.pone.0013745</w:t>
        </w:r>
      </w:hyperlink>
    </w:p>
    <w:p w14:paraId="6640BED0"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proofErr w:type="spellStart"/>
      <w:r>
        <w:rPr>
          <w:rFonts w:ascii="Times New Roman" w:eastAsia="Times New Roman" w:hAnsi="Times New Roman" w:cs="Times New Roman"/>
          <w:sz w:val="24"/>
          <w:szCs w:val="24"/>
        </w:rPr>
        <w:t>Bouyahya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Chamkhi</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Balahbib</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Rebezov</w:t>
      </w:r>
      <w:proofErr w:type="spellEnd"/>
      <w:r>
        <w:rPr>
          <w:rFonts w:ascii="Times New Roman" w:eastAsia="Times New Roman" w:hAnsi="Times New Roman" w:cs="Times New Roman"/>
          <w:sz w:val="24"/>
          <w:szCs w:val="24"/>
        </w:rPr>
        <w:t xml:space="preserve">, M., Shariati, M. A., </w:t>
      </w:r>
      <w:proofErr w:type="spellStart"/>
      <w:r>
        <w:rPr>
          <w:rFonts w:ascii="Times New Roman" w:eastAsia="Times New Roman" w:hAnsi="Times New Roman" w:cs="Times New Roman"/>
          <w:sz w:val="24"/>
          <w:szCs w:val="24"/>
        </w:rPr>
        <w:t>Wilairatana</w:t>
      </w:r>
      <w:proofErr w:type="spellEnd"/>
      <w:r>
        <w:rPr>
          <w:rFonts w:ascii="Times New Roman" w:eastAsia="Times New Roman" w:hAnsi="Times New Roman" w:cs="Times New Roman"/>
          <w:sz w:val="24"/>
          <w:szCs w:val="24"/>
        </w:rPr>
        <w:t>, P., Mubarak, M. S., Benali, T., &amp; El Omari, N. (2022). Mechanisms, Anti-Quorum-Sensing Actions, and Clinical Trials of Medicinal Plant Bioactive Compounds against Bacteria: A Comprehensive Review.</w:t>
      </w:r>
      <w:r>
        <w:rPr>
          <w:rFonts w:ascii="Times New Roman" w:eastAsia="Times New Roman" w:hAnsi="Times New Roman" w:cs="Times New Roman"/>
          <w:i/>
          <w:sz w:val="24"/>
          <w:szCs w:val="24"/>
        </w:rPr>
        <w:t xml:space="preserve"> Molecules, 27(5), 1484.</w:t>
      </w:r>
      <w:hyperlink r:id="rId80">
        <w:r w:rsidR="00C534FC">
          <w:rPr>
            <w:rFonts w:ascii="Times New Roman" w:eastAsia="Times New Roman" w:hAnsi="Times New Roman" w:cs="Times New Roman"/>
            <w:i/>
            <w:sz w:val="24"/>
            <w:szCs w:val="24"/>
            <w:u w:val="single"/>
          </w:rPr>
          <w:t xml:space="preserve"> </w:t>
        </w:r>
      </w:hyperlink>
      <w:hyperlink r:id="rId81">
        <w:r w:rsidR="00C534FC">
          <w:rPr>
            <w:rFonts w:ascii="Times New Roman" w:eastAsia="Times New Roman" w:hAnsi="Times New Roman" w:cs="Times New Roman"/>
            <w:i/>
            <w:color w:val="1155CC"/>
            <w:sz w:val="24"/>
            <w:szCs w:val="24"/>
            <w:u w:val="single"/>
          </w:rPr>
          <w:t>https://doi.org/10.3390/molecules27051484</w:t>
        </w:r>
      </w:hyperlink>
    </w:p>
    <w:p w14:paraId="5CE51E6F"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Buru, A. S., Neela, V. K., Mohandas, K., &amp; </w:t>
      </w:r>
      <w:proofErr w:type="spellStart"/>
      <w:r>
        <w:rPr>
          <w:rFonts w:ascii="Times New Roman" w:eastAsia="Times New Roman" w:hAnsi="Times New Roman" w:cs="Times New Roman"/>
          <w:sz w:val="24"/>
          <w:szCs w:val="24"/>
        </w:rPr>
        <w:t>Pichika</w:t>
      </w:r>
      <w:proofErr w:type="spellEnd"/>
      <w:r>
        <w:rPr>
          <w:rFonts w:ascii="Times New Roman" w:eastAsia="Times New Roman" w:hAnsi="Times New Roman" w:cs="Times New Roman"/>
          <w:sz w:val="24"/>
          <w:szCs w:val="24"/>
        </w:rPr>
        <w:t xml:space="preserve">, M. R. (2022). Microarray Analysis of the Genomic Effect of Eugenol on Methicillin-Resistant Staphylococcus aureus. </w:t>
      </w:r>
      <w:r>
        <w:rPr>
          <w:rFonts w:ascii="Times New Roman" w:eastAsia="Times New Roman" w:hAnsi="Times New Roman" w:cs="Times New Roman"/>
          <w:i/>
          <w:sz w:val="24"/>
          <w:szCs w:val="24"/>
        </w:rPr>
        <w:t>Molecules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w:t>
      </w:r>
      <w:r>
        <w:rPr>
          <w:rFonts w:ascii="Times New Roman" w:eastAsia="Times New Roman" w:hAnsi="Times New Roman" w:cs="Times New Roman"/>
          <w:sz w:val="24"/>
          <w:szCs w:val="24"/>
        </w:rPr>
        <w:t>(10), 3249.</w:t>
      </w:r>
      <w:hyperlink r:id="rId82">
        <w:r w:rsidR="00C534FC">
          <w:rPr>
            <w:rFonts w:ascii="Times New Roman" w:eastAsia="Times New Roman" w:hAnsi="Times New Roman" w:cs="Times New Roman"/>
            <w:sz w:val="24"/>
            <w:szCs w:val="24"/>
            <w:u w:val="single"/>
          </w:rPr>
          <w:t xml:space="preserve"> </w:t>
        </w:r>
      </w:hyperlink>
      <w:hyperlink r:id="rId83">
        <w:r w:rsidR="00C534FC">
          <w:rPr>
            <w:rFonts w:ascii="Times New Roman" w:eastAsia="Times New Roman" w:hAnsi="Times New Roman" w:cs="Times New Roman"/>
            <w:color w:val="1155CC"/>
            <w:sz w:val="24"/>
            <w:szCs w:val="24"/>
            <w:u w:val="single"/>
          </w:rPr>
          <w:t>https://doi.org/10.3390/molecules27103249</w:t>
        </w:r>
      </w:hyperlink>
    </w:p>
    <w:p w14:paraId="5CCD5F3D" w14:textId="77777777" w:rsidR="00C534FC" w:rsidRDefault="008150ED">
      <w:pPr>
        <w:spacing w:before="240" w:line="276" w:lineRule="auto"/>
        <w:ind w:left="1020" w:hanging="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Chattaraj, S., Nandi, S., &amp; Nandy, S. (2024). Biology and Genetic Improvement of Spice and Condiment Plant Species. </w:t>
      </w:r>
      <w:r>
        <w:rPr>
          <w:rFonts w:ascii="Times New Roman" w:eastAsia="Times New Roman" w:hAnsi="Times New Roman" w:cs="Times New Roman"/>
          <w:i/>
          <w:sz w:val="24"/>
          <w:szCs w:val="24"/>
        </w:rPr>
        <w:t xml:space="preserve">CRC Press </w:t>
      </w:r>
      <w:proofErr w:type="spellStart"/>
      <w:r>
        <w:rPr>
          <w:rFonts w:ascii="Times New Roman" w:eastAsia="Times New Roman" w:hAnsi="Times New Roman" w:cs="Times New Roman"/>
          <w:i/>
          <w:sz w:val="24"/>
          <w:szCs w:val="24"/>
        </w:rPr>
        <w:t>EBooks</w:t>
      </w:r>
      <w:proofErr w:type="spellEnd"/>
      <w:r>
        <w:rPr>
          <w:rFonts w:ascii="Times New Roman" w:eastAsia="Times New Roman" w:hAnsi="Times New Roman" w:cs="Times New Roman"/>
          <w:sz w:val="24"/>
          <w:szCs w:val="24"/>
        </w:rPr>
        <w:t>, 9–34. https://doi.org/10.1201/9781003387046-2</w:t>
      </w:r>
    </w:p>
    <w:p w14:paraId="4DCB9BF9" w14:textId="77777777" w:rsidR="00C534FC" w:rsidRDefault="008150ED">
      <w:pPr>
        <w:spacing w:before="240" w:line="276" w:lineRule="auto"/>
        <w:ind w:left="1020" w:hanging="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Cowan, M. M. (1999). Plant Products as Antimicrobial Agents. </w:t>
      </w:r>
      <w:r>
        <w:rPr>
          <w:rFonts w:ascii="Times New Roman" w:eastAsia="Times New Roman" w:hAnsi="Times New Roman" w:cs="Times New Roman"/>
          <w:i/>
          <w:sz w:val="24"/>
          <w:szCs w:val="24"/>
        </w:rPr>
        <w:t>Clinical Microbiology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(4), 564–582.</w:t>
      </w:r>
    </w:p>
    <w:p w14:paraId="172B801E"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Das, S., Kwon, M., &amp; Kim, J.-Y. (2024). Enhancement of specialized metabolites using CRISPR/Cas gene editing technology in medicinal plants. </w:t>
      </w:r>
      <w:r>
        <w:rPr>
          <w:rFonts w:ascii="Times New Roman" w:eastAsia="Times New Roman" w:hAnsi="Times New Roman" w:cs="Times New Roman"/>
          <w:i/>
          <w:sz w:val="24"/>
          <w:szCs w:val="24"/>
        </w:rPr>
        <w:t>Frontiers in Plant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w:t>
      </w:r>
      <w:hyperlink r:id="rId84">
        <w:r w:rsidR="00C534FC">
          <w:rPr>
            <w:rFonts w:ascii="Times New Roman" w:eastAsia="Times New Roman" w:hAnsi="Times New Roman" w:cs="Times New Roman"/>
            <w:sz w:val="24"/>
            <w:szCs w:val="24"/>
            <w:u w:val="single"/>
          </w:rPr>
          <w:t xml:space="preserve"> </w:t>
        </w:r>
      </w:hyperlink>
      <w:hyperlink r:id="rId85">
        <w:r w:rsidR="00C534FC">
          <w:rPr>
            <w:rFonts w:ascii="Times New Roman" w:eastAsia="Times New Roman" w:hAnsi="Times New Roman" w:cs="Times New Roman"/>
            <w:color w:val="1155CC"/>
            <w:sz w:val="24"/>
            <w:szCs w:val="24"/>
            <w:u w:val="single"/>
          </w:rPr>
          <w:t>https://doi.org/10.3389/fpls.2024.1279738</w:t>
        </w:r>
      </w:hyperlink>
    </w:p>
    <w:p w14:paraId="7ADEBE82"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Elkelish</w:t>
      </w:r>
      <w:proofErr w:type="spellEnd"/>
      <w:r>
        <w:rPr>
          <w:rFonts w:ascii="Times New Roman" w:eastAsia="Times New Roman" w:hAnsi="Times New Roman" w:cs="Times New Roman"/>
          <w:sz w:val="24"/>
          <w:szCs w:val="24"/>
        </w:rPr>
        <w:t xml:space="preserve">, A. (2024). New Plant Extracts toward Multidrug Resistance: The Convergence of Nanotechnology and Nanoscience. </w:t>
      </w:r>
      <w:r>
        <w:rPr>
          <w:rFonts w:ascii="Times New Roman" w:eastAsia="Times New Roman" w:hAnsi="Times New Roman" w:cs="Times New Roman"/>
          <w:i/>
          <w:sz w:val="24"/>
          <w:szCs w:val="24"/>
        </w:rPr>
        <w:t>Spectrum Science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(1), 1–14.</w:t>
      </w:r>
      <w:hyperlink r:id="rId86">
        <w:r w:rsidR="00C534FC">
          <w:rPr>
            <w:rFonts w:ascii="Times New Roman" w:eastAsia="Times New Roman" w:hAnsi="Times New Roman" w:cs="Times New Roman"/>
            <w:sz w:val="24"/>
            <w:szCs w:val="24"/>
            <w:u w:val="single"/>
          </w:rPr>
          <w:t xml:space="preserve"> </w:t>
        </w:r>
      </w:hyperlink>
      <w:hyperlink r:id="rId87">
        <w:r w:rsidR="00C534FC">
          <w:rPr>
            <w:rFonts w:ascii="Times New Roman" w:eastAsia="Times New Roman" w:hAnsi="Times New Roman" w:cs="Times New Roman"/>
            <w:color w:val="1155CC"/>
            <w:sz w:val="24"/>
            <w:szCs w:val="24"/>
            <w:u w:val="single"/>
          </w:rPr>
          <w:t>https://doi.org/10.21608/sasj.2024.396119</w:t>
        </w:r>
      </w:hyperlink>
    </w:p>
    <w:p w14:paraId="4E3F8998"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El-Mahdy, A. M., Alqahtani, M., Almukainzi, M., </w:t>
      </w:r>
      <w:proofErr w:type="spellStart"/>
      <w:r>
        <w:rPr>
          <w:rFonts w:ascii="Times New Roman" w:eastAsia="Times New Roman" w:hAnsi="Times New Roman" w:cs="Times New Roman"/>
          <w:sz w:val="24"/>
          <w:szCs w:val="24"/>
        </w:rPr>
        <w:t>Alghoribi</w:t>
      </w:r>
      <w:proofErr w:type="spellEnd"/>
      <w:r>
        <w:rPr>
          <w:rFonts w:ascii="Times New Roman" w:eastAsia="Times New Roman" w:hAnsi="Times New Roman" w:cs="Times New Roman"/>
          <w:sz w:val="24"/>
          <w:szCs w:val="24"/>
        </w:rPr>
        <w:t xml:space="preserve">, M. F., &amp; Abdel-Rhman, S. H. (2024). </w:t>
      </w:r>
      <w:r>
        <w:rPr>
          <w:rFonts w:ascii="Times New Roman" w:eastAsia="Times New Roman" w:hAnsi="Times New Roman" w:cs="Times New Roman"/>
          <w:i/>
          <w:sz w:val="24"/>
          <w:szCs w:val="24"/>
        </w:rPr>
        <w:t>Effect of Resveratrol and Curcumin on Gene Expression of Methicillin-Resistant Staphylococcus aureus (MRSA) Toxins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(1), 141–148.</w:t>
      </w:r>
      <w:hyperlink r:id="rId88">
        <w:r w:rsidR="00C534FC">
          <w:rPr>
            <w:rFonts w:ascii="Times New Roman" w:eastAsia="Times New Roman" w:hAnsi="Times New Roman" w:cs="Times New Roman"/>
            <w:sz w:val="24"/>
            <w:szCs w:val="24"/>
            <w:u w:val="single"/>
          </w:rPr>
          <w:t xml:space="preserve"> </w:t>
        </w:r>
      </w:hyperlink>
      <w:hyperlink r:id="rId89">
        <w:r w:rsidR="00C534FC">
          <w:rPr>
            <w:rFonts w:ascii="Times New Roman" w:eastAsia="Times New Roman" w:hAnsi="Times New Roman" w:cs="Times New Roman"/>
            <w:color w:val="1155CC"/>
            <w:sz w:val="24"/>
            <w:szCs w:val="24"/>
            <w:u w:val="single"/>
          </w:rPr>
          <w:t>https://doi.org/10.4014/jmb.2309.09001</w:t>
        </w:r>
      </w:hyperlink>
    </w:p>
    <w:p w14:paraId="768E7C89"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Gorlenko, C. L., Kiselev, H. Y., </w:t>
      </w:r>
      <w:proofErr w:type="spellStart"/>
      <w:r>
        <w:rPr>
          <w:rFonts w:ascii="Times New Roman" w:eastAsia="Times New Roman" w:hAnsi="Times New Roman" w:cs="Times New Roman"/>
          <w:sz w:val="24"/>
          <w:szCs w:val="24"/>
        </w:rPr>
        <w:t>Budanova</w:t>
      </w:r>
      <w:proofErr w:type="spellEnd"/>
      <w:r>
        <w:rPr>
          <w:rFonts w:ascii="Times New Roman" w:eastAsia="Times New Roman" w:hAnsi="Times New Roman" w:cs="Times New Roman"/>
          <w:sz w:val="24"/>
          <w:szCs w:val="24"/>
        </w:rPr>
        <w:t xml:space="preserve">, E. V., Zamyatnin, A. A., &amp; </w:t>
      </w:r>
      <w:proofErr w:type="spellStart"/>
      <w:r>
        <w:rPr>
          <w:rFonts w:ascii="Times New Roman" w:eastAsia="Times New Roman" w:hAnsi="Times New Roman" w:cs="Times New Roman"/>
          <w:sz w:val="24"/>
          <w:szCs w:val="24"/>
        </w:rPr>
        <w:t>Ikryannikova</w:t>
      </w:r>
      <w:proofErr w:type="spellEnd"/>
      <w:r>
        <w:rPr>
          <w:rFonts w:ascii="Times New Roman" w:eastAsia="Times New Roman" w:hAnsi="Times New Roman" w:cs="Times New Roman"/>
          <w:sz w:val="24"/>
          <w:szCs w:val="24"/>
        </w:rPr>
        <w:t xml:space="preserve">, L. N. (2020). Plant Secondary Metabolites in the Battle of Drugs and Drug-Resistant Bacteria: New Heroes or Worse Clones of Antibiotics? </w:t>
      </w:r>
      <w:r>
        <w:rPr>
          <w:rFonts w:ascii="Times New Roman" w:eastAsia="Times New Roman" w:hAnsi="Times New Roman" w:cs="Times New Roman"/>
          <w:i/>
          <w:sz w:val="24"/>
          <w:szCs w:val="24"/>
        </w:rPr>
        <w:t>Antibiotics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(4), Article 4.</w:t>
      </w:r>
      <w:hyperlink r:id="rId90">
        <w:r w:rsidR="00C534FC">
          <w:rPr>
            <w:rFonts w:ascii="Times New Roman" w:eastAsia="Times New Roman" w:hAnsi="Times New Roman" w:cs="Times New Roman"/>
            <w:sz w:val="24"/>
            <w:szCs w:val="24"/>
            <w:u w:val="single"/>
          </w:rPr>
          <w:t xml:space="preserve"> </w:t>
        </w:r>
      </w:hyperlink>
      <w:hyperlink r:id="rId91">
        <w:r w:rsidR="00C534FC">
          <w:rPr>
            <w:rFonts w:ascii="Times New Roman" w:eastAsia="Times New Roman" w:hAnsi="Times New Roman" w:cs="Times New Roman"/>
            <w:color w:val="1155CC"/>
            <w:sz w:val="24"/>
            <w:szCs w:val="24"/>
            <w:u w:val="single"/>
          </w:rPr>
          <w:t>https://doi.org/10.3390/antibiotics9040170</w:t>
        </w:r>
      </w:hyperlink>
    </w:p>
    <w:p w14:paraId="534C7853"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Gradisar</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Pristovsek</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Plaper</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Jerala</w:t>
      </w:r>
      <w:proofErr w:type="spellEnd"/>
      <w:r>
        <w:rPr>
          <w:rFonts w:ascii="Times New Roman" w:eastAsia="Times New Roman" w:hAnsi="Times New Roman" w:cs="Times New Roman"/>
          <w:sz w:val="24"/>
          <w:szCs w:val="24"/>
        </w:rPr>
        <w:t xml:space="preserve">, R. (2007). Green tea catechins inhibit bacterial DNA gyrase by interaction with its ATP binding site. </w:t>
      </w:r>
      <w:r>
        <w:rPr>
          <w:rFonts w:ascii="Times New Roman" w:eastAsia="Times New Roman" w:hAnsi="Times New Roman" w:cs="Times New Roman"/>
          <w:i/>
          <w:sz w:val="24"/>
          <w:szCs w:val="24"/>
        </w:rPr>
        <w:t>Journal of Medicinal 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50</w:t>
      </w:r>
      <w:r>
        <w:rPr>
          <w:rFonts w:ascii="Times New Roman" w:eastAsia="Times New Roman" w:hAnsi="Times New Roman" w:cs="Times New Roman"/>
          <w:sz w:val="24"/>
          <w:szCs w:val="24"/>
        </w:rPr>
        <w:t>(2), 264–271.</w:t>
      </w:r>
      <w:hyperlink r:id="rId92">
        <w:r w:rsidR="00C534FC">
          <w:rPr>
            <w:rFonts w:ascii="Times New Roman" w:eastAsia="Times New Roman" w:hAnsi="Times New Roman" w:cs="Times New Roman"/>
            <w:sz w:val="24"/>
            <w:szCs w:val="24"/>
            <w:u w:val="single"/>
          </w:rPr>
          <w:t xml:space="preserve"> </w:t>
        </w:r>
      </w:hyperlink>
      <w:hyperlink r:id="rId93">
        <w:r w:rsidR="00C534FC">
          <w:rPr>
            <w:rFonts w:ascii="Times New Roman" w:eastAsia="Times New Roman" w:hAnsi="Times New Roman" w:cs="Times New Roman"/>
            <w:color w:val="1155CC"/>
            <w:sz w:val="24"/>
            <w:szCs w:val="24"/>
            <w:u w:val="single"/>
          </w:rPr>
          <w:t>https://doi.org/10.1021/jm060817o</w:t>
        </w:r>
      </w:hyperlink>
    </w:p>
    <w:p w14:paraId="37B0D8DA"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Halder, K., Chaudhuri, A., Abdin, M. Z., </w:t>
      </w:r>
      <w:proofErr w:type="spellStart"/>
      <w:r>
        <w:rPr>
          <w:rFonts w:ascii="Times New Roman" w:eastAsia="Times New Roman" w:hAnsi="Times New Roman" w:cs="Times New Roman"/>
          <w:sz w:val="24"/>
          <w:szCs w:val="24"/>
        </w:rPr>
        <w:t>Majee</w:t>
      </w:r>
      <w:proofErr w:type="spellEnd"/>
      <w:r>
        <w:rPr>
          <w:rFonts w:ascii="Times New Roman" w:eastAsia="Times New Roman" w:hAnsi="Times New Roman" w:cs="Times New Roman"/>
          <w:sz w:val="24"/>
          <w:szCs w:val="24"/>
        </w:rPr>
        <w:t xml:space="preserve">, M., &amp; Datta, A. (2022). RNA Interference for Improving Disease Resistance in Plants and Its Relevance in This Clustered Regularly Interspaced Short Palindromic Repeats-Dominated Era in Terms of dsRNA-Based Biopesticides. </w:t>
      </w:r>
      <w:r>
        <w:rPr>
          <w:rFonts w:ascii="Times New Roman" w:eastAsia="Times New Roman" w:hAnsi="Times New Roman" w:cs="Times New Roman"/>
          <w:i/>
          <w:sz w:val="24"/>
          <w:szCs w:val="24"/>
        </w:rPr>
        <w:t>Frontiers in Plant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w:t>
      </w:r>
      <w:hyperlink r:id="rId94">
        <w:r w:rsidR="00C534FC">
          <w:rPr>
            <w:rFonts w:ascii="Times New Roman" w:eastAsia="Times New Roman" w:hAnsi="Times New Roman" w:cs="Times New Roman"/>
            <w:sz w:val="24"/>
            <w:szCs w:val="24"/>
            <w:u w:val="single"/>
          </w:rPr>
          <w:t xml:space="preserve"> </w:t>
        </w:r>
      </w:hyperlink>
      <w:hyperlink r:id="rId95">
        <w:r w:rsidR="00C534FC">
          <w:rPr>
            <w:rFonts w:ascii="Times New Roman" w:eastAsia="Times New Roman" w:hAnsi="Times New Roman" w:cs="Times New Roman"/>
            <w:color w:val="1155CC"/>
            <w:sz w:val="24"/>
            <w:szCs w:val="24"/>
            <w:u w:val="single"/>
          </w:rPr>
          <w:t>https://doi.org/10.3389/fpls.2022.885128</w:t>
        </w:r>
      </w:hyperlink>
    </w:p>
    <w:p w14:paraId="167BEEBA"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Huang, W., Wang, Y., Tian, W., Cui, X., Tu, P., Li, J., Shi, S., &amp; Liu, X. (2022). Biosynthesis Investigations of Terpenoid, Alkaloid, and Flavonoid Antimicrobial Agents Derived from Medicinal Plants. </w:t>
      </w:r>
      <w:r>
        <w:rPr>
          <w:rFonts w:ascii="Times New Roman" w:eastAsia="Times New Roman" w:hAnsi="Times New Roman" w:cs="Times New Roman"/>
          <w:i/>
          <w:sz w:val="24"/>
          <w:szCs w:val="24"/>
        </w:rPr>
        <w:t>Antibiotics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(10), Article 10.</w:t>
      </w:r>
      <w:hyperlink r:id="rId96">
        <w:r w:rsidR="00C534FC">
          <w:rPr>
            <w:rFonts w:ascii="Times New Roman" w:eastAsia="Times New Roman" w:hAnsi="Times New Roman" w:cs="Times New Roman"/>
            <w:sz w:val="24"/>
            <w:szCs w:val="24"/>
            <w:u w:val="single"/>
          </w:rPr>
          <w:t xml:space="preserve"> </w:t>
        </w:r>
      </w:hyperlink>
      <w:hyperlink r:id="rId97">
        <w:r w:rsidR="00C534FC">
          <w:rPr>
            <w:rFonts w:ascii="Times New Roman" w:eastAsia="Times New Roman" w:hAnsi="Times New Roman" w:cs="Times New Roman"/>
            <w:color w:val="1155CC"/>
            <w:sz w:val="24"/>
            <w:szCs w:val="24"/>
            <w:u w:val="single"/>
          </w:rPr>
          <w:t>https://doi.org/10.3390/antibiotics11101380</w:t>
        </w:r>
      </w:hyperlink>
    </w:p>
    <w:p w14:paraId="2B820CA5" w14:textId="77777777" w:rsidR="00C534FC" w:rsidRDefault="008150ED">
      <w:pPr>
        <w:spacing w:before="240" w:line="276" w:lineRule="auto"/>
        <w:ind w:left="1020" w:hanging="30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Inoue, N., Takeshi Terabayashi, Takiguchi-Kawashima, Y., Fujinami, D., Matsuoka, S., Kawano, M., Tanaka, K., Tsumura, H., Ishizaki, T., Hisashi </w:t>
      </w:r>
      <w:proofErr w:type="spellStart"/>
      <w:r>
        <w:rPr>
          <w:rFonts w:ascii="Times New Roman" w:eastAsia="Times New Roman" w:hAnsi="Times New Roman" w:cs="Times New Roman"/>
          <w:sz w:val="24"/>
          <w:szCs w:val="24"/>
        </w:rPr>
        <w:t>Narahara</w:t>
      </w:r>
      <w:proofErr w:type="spellEnd"/>
      <w:r>
        <w:rPr>
          <w:rFonts w:ascii="Times New Roman" w:eastAsia="Times New Roman" w:hAnsi="Times New Roman" w:cs="Times New Roman"/>
          <w:sz w:val="24"/>
          <w:szCs w:val="24"/>
        </w:rPr>
        <w:t xml:space="preserve">, Daisuke </w:t>
      </w:r>
      <w:proofErr w:type="spellStart"/>
      <w:r>
        <w:rPr>
          <w:rFonts w:ascii="Times New Roman" w:eastAsia="Times New Roman" w:hAnsi="Times New Roman" w:cs="Times New Roman"/>
          <w:sz w:val="24"/>
          <w:szCs w:val="24"/>
        </w:rPr>
        <w:t>Kohda</w:t>
      </w:r>
      <w:proofErr w:type="spellEnd"/>
      <w:r>
        <w:rPr>
          <w:rFonts w:ascii="Times New Roman" w:eastAsia="Times New Roman" w:hAnsi="Times New Roman" w:cs="Times New Roman"/>
          <w:sz w:val="24"/>
          <w:szCs w:val="24"/>
        </w:rPr>
        <w:t xml:space="preserve">, Nishida, Y., &amp; Hanada, K. (2021). The </w:t>
      </w:r>
      <w:proofErr w:type="spellStart"/>
      <w:r>
        <w:rPr>
          <w:rFonts w:ascii="Times New Roman" w:eastAsia="Times New Roman" w:hAnsi="Times New Roman" w:cs="Times New Roman"/>
          <w:sz w:val="24"/>
          <w:szCs w:val="24"/>
        </w:rPr>
        <w:t>benzylisoquinoline</w:t>
      </w:r>
      <w:proofErr w:type="spellEnd"/>
      <w:r>
        <w:rPr>
          <w:rFonts w:ascii="Times New Roman" w:eastAsia="Times New Roman" w:hAnsi="Times New Roman" w:cs="Times New Roman"/>
          <w:sz w:val="24"/>
          <w:szCs w:val="24"/>
        </w:rPr>
        <w:t xml:space="preserve"> alkaloids, berberine and coptisine, act against </w:t>
      </w:r>
      <w:proofErr w:type="spellStart"/>
      <w:r>
        <w:rPr>
          <w:rFonts w:ascii="Times New Roman" w:eastAsia="Times New Roman" w:hAnsi="Times New Roman" w:cs="Times New Roman"/>
          <w:sz w:val="24"/>
          <w:szCs w:val="24"/>
        </w:rPr>
        <w:t>camptothecin</w:t>
      </w:r>
      <w:proofErr w:type="spellEnd"/>
      <w:r>
        <w:rPr>
          <w:rFonts w:ascii="Times New Roman" w:eastAsia="Times New Roman" w:hAnsi="Times New Roman" w:cs="Times New Roman"/>
          <w:sz w:val="24"/>
          <w:szCs w:val="24"/>
        </w:rPr>
        <w:t>-resistant topoisomerase I mutants</w:t>
      </w:r>
      <w:r>
        <w:rPr>
          <w:rFonts w:ascii="Times New Roman" w:eastAsia="Times New Roman" w:hAnsi="Times New Roman" w:cs="Times New Roman"/>
          <w:i/>
          <w:sz w:val="24"/>
          <w:szCs w:val="24"/>
        </w:rPr>
        <w:t>. Scientific Reports, 11(1). https://doi.org/10.1038/s41598-021-87344-2</w:t>
      </w:r>
    </w:p>
    <w:p w14:paraId="372BDCD3" w14:textId="77777777" w:rsidR="00C534FC" w:rsidRDefault="008150ED">
      <w:pPr>
        <w:spacing w:before="240" w:line="276" w:lineRule="auto"/>
        <w:ind w:left="1020" w:hanging="30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Kachur, K., &amp; </w:t>
      </w:r>
      <w:proofErr w:type="spellStart"/>
      <w:r>
        <w:rPr>
          <w:rFonts w:ascii="Times New Roman" w:eastAsia="Times New Roman" w:hAnsi="Times New Roman" w:cs="Times New Roman"/>
          <w:sz w:val="24"/>
          <w:szCs w:val="24"/>
        </w:rPr>
        <w:t>Suntres</w:t>
      </w:r>
      <w:proofErr w:type="spellEnd"/>
      <w:r>
        <w:rPr>
          <w:rFonts w:ascii="Times New Roman" w:eastAsia="Times New Roman" w:hAnsi="Times New Roman" w:cs="Times New Roman"/>
          <w:sz w:val="24"/>
          <w:szCs w:val="24"/>
        </w:rPr>
        <w:t>, Z. (2019). The antibacterial properties of phenolic isomers, carvacrol and thymol</w:t>
      </w:r>
      <w:r>
        <w:rPr>
          <w:rFonts w:ascii="Times New Roman" w:eastAsia="Times New Roman" w:hAnsi="Times New Roman" w:cs="Times New Roman"/>
          <w:i/>
          <w:sz w:val="24"/>
          <w:szCs w:val="24"/>
        </w:rPr>
        <w:t>. Critical Reviews in Food Science and Nutrition, 60(18), 1–12. https://doi.org/10.1080/10408398.2019.1675585</w:t>
      </w:r>
    </w:p>
    <w:p w14:paraId="28C35E0D"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Kaushik, P. (2019). </w:t>
      </w:r>
      <w:r>
        <w:rPr>
          <w:rFonts w:ascii="Times New Roman" w:eastAsia="Times New Roman" w:hAnsi="Times New Roman" w:cs="Times New Roman"/>
          <w:i/>
          <w:sz w:val="24"/>
          <w:szCs w:val="24"/>
        </w:rPr>
        <w:t xml:space="preserve">Application of Conventional, Biotechnological and Genomics Approaches for Eggplant (Solanum </w:t>
      </w:r>
      <w:proofErr w:type="spellStart"/>
      <w:r>
        <w:rPr>
          <w:rFonts w:ascii="Times New Roman" w:eastAsia="Times New Roman" w:hAnsi="Times New Roman" w:cs="Times New Roman"/>
          <w:i/>
          <w:sz w:val="24"/>
          <w:szCs w:val="24"/>
        </w:rPr>
        <w:t>melongena.L</w:t>
      </w:r>
      <w:proofErr w:type="spellEnd"/>
      <w:r>
        <w:rPr>
          <w:rFonts w:ascii="Times New Roman" w:eastAsia="Times New Roman" w:hAnsi="Times New Roman" w:cs="Times New Roman"/>
          <w:i/>
          <w:sz w:val="24"/>
          <w:szCs w:val="24"/>
        </w:rPr>
        <w:t>). Breeding with a Focus on Bioactive Phenolics</w:t>
      </w:r>
      <w:r>
        <w:rPr>
          <w:rFonts w:ascii="Times New Roman" w:eastAsia="Times New Roman" w:hAnsi="Times New Roman" w:cs="Times New Roman"/>
          <w:sz w:val="24"/>
          <w:szCs w:val="24"/>
        </w:rPr>
        <w:t>.</w:t>
      </w:r>
      <w:hyperlink r:id="rId98">
        <w:r w:rsidR="00C534FC">
          <w:rPr>
            <w:rFonts w:ascii="Times New Roman" w:eastAsia="Times New Roman" w:hAnsi="Times New Roman" w:cs="Times New Roman"/>
            <w:sz w:val="24"/>
            <w:szCs w:val="24"/>
            <w:u w:val="single"/>
          </w:rPr>
          <w:t xml:space="preserve"> </w:t>
        </w:r>
      </w:hyperlink>
      <w:hyperlink r:id="rId99">
        <w:r w:rsidR="00C534FC">
          <w:rPr>
            <w:rFonts w:ascii="Times New Roman" w:eastAsia="Times New Roman" w:hAnsi="Times New Roman" w:cs="Times New Roman"/>
            <w:color w:val="1155CC"/>
            <w:sz w:val="24"/>
            <w:szCs w:val="24"/>
            <w:u w:val="single"/>
          </w:rPr>
          <w:t>https://riunet.upv.es/handle/10251/122295</w:t>
        </w:r>
      </w:hyperlink>
    </w:p>
    <w:p w14:paraId="69FBD291" w14:textId="77777777" w:rsidR="00C534FC" w:rsidRDefault="008150ED">
      <w:pPr>
        <w:spacing w:before="240" w:line="276" w:lineRule="auto"/>
        <w:ind w:left="1020" w:hanging="30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Kaushik, P., Andújar, I., Vilanova, S., Plazas, M., Gramazio, P., Herraiz, F., Brar, N., &amp; </w:t>
      </w:r>
      <w:proofErr w:type="spellStart"/>
      <w:r>
        <w:rPr>
          <w:rFonts w:ascii="Times New Roman" w:eastAsia="Times New Roman" w:hAnsi="Times New Roman" w:cs="Times New Roman"/>
          <w:sz w:val="24"/>
          <w:szCs w:val="24"/>
        </w:rPr>
        <w:t>Prohens</w:t>
      </w:r>
      <w:proofErr w:type="spellEnd"/>
      <w:r>
        <w:rPr>
          <w:rFonts w:ascii="Times New Roman" w:eastAsia="Times New Roman" w:hAnsi="Times New Roman" w:cs="Times New Roman"/>
          <w:sz w:val="24"/>
          <w:szCs w:val="24"/>
        </w:rPr>
        <w:t xml:space="preserve">, J. (2015). Breeding Vegetables with Increased Content in Bioactive Phenolic Acids. </w:t>
      </w:r>
      <w:r>
        <w:rPr>
          <w:rFonts w:ascii="Times New Roman" w:eastAsia="Times New Roman" w:hAnsi="Times New Roman" w:cs="Times New Roman"/>
          <w:i/>
          <w:sz w:val="24"/>
          <w:szCs w:val="24"/>
        </w:rPr>
        <w:t>Molecules, 20(10), 18464–18481. https://doi.org/10.3390/molecules201018464</w:t>
      </w:r>
    </w:p>
    <w:p w14:paraId="7CC9E734"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Kirmani, F., </w:t>
      </w:r>
      <w:proofErr w:type="spellStart"/>
      <w:r>
        <w:rPr>
          <w:rFonts w:ascii="Times New Roman" w:eastAsia="Times New Roman" w:hAnsi="Times New Roman" w:cs="Times New Roman"/>
          <w:sz w:val="24"/>
          <w:szCs w:val="24"/>
        </w:rPr>
        <w:t>Saddiqe</w:t>
      </w:r>
      <w:proofErr w:type="spellEnd"/>
      <w:r>
        <w:rPr>
          <w:rFonts w:ascii="Times New Roman" w:eastAsia="Times New Roman" w:hAnsi="Times New Roman" w:cs="Times New Roman"/>
          <w:sz w:val="24"/>
          <w:szCs w:val="24"/>
        </w:rPr>
        <w:t xml:space="preserve">, Z., Saleem, S., Ali, F., &amp; Haq, F. (2024). Phytochemical investigation and antibacterial activity of </w:t>
      </w:r>
      <w:r>
        <w:rPr>
          <w:rFonts w:ascii="Times New Roman" w:eastAsia="Times New Roman" w:hAnsi="Times New Roman" w:cs="Times New Roman"/>
          <w:i/>
          <w:sz w:val="24"/>
          <w:szCs w:val="24"/>
        </w:rPr>
        <w:t>Curcuma longa</w:t>
      </w:r>
      <w:r>
        <w:rPr>
          <w:rFonts w:ascii="Times New Roman" w:eastAsia="Times New Roman" w:hAnsi="Times New Roman" w:cs="Times New Roman"/>
          <w:sz w:val="24"/>
          <w:szCs w:val="24"/>
        </w:rPr>
        <w:t xml:space="preserve"> against multi-drug resistant bacteria. </w:t>
      </w:r>
      <w:r>
        <w:rPr>
          <w:rFonts w:ascii="Times New Roman" w:eastAsia="Times New Roman" w:hAnsi="Times New Roman" w:cs="Times New Roman"/>
          <w:i/>
          <w:sz w:val="24"/>
          <w:szCs w:val="24"/>
        </w:rPr>
        <w:t>South African Journal of Botany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164</w:t>
      </w:r>
      <w:r>
        <w:rPr>
          <w:rFonts w:ascii="Times New Roman" w:eastAsia="Times New Roman" w:hAnsi="Times New Roman" w:cs="Times New Roman"/>
          <w:sz w:val="24"/>
          <w:szCs w:val="24"/>
        </w:rPr>
        <w:t>, 137–145.</w:t>
      </w:r>
      <w:hyperlink r:id="rId100">
        <w:r w:rsidR="00C534FC">
          <w:rPr>
            <w:rFonts w:ascii="Times New Roman" w:eastAsia="Times New Roman" w:hAnsi="Times New Roman" w:cs="Times New Roman"/>
            <w:sz w:val="24"/>
            <w:szCs w:val="24"/>
            <w:u w:val="single"/>
          </w:rPr>
          <w:t xml:space="preserve"> </w:t>
        </w:r>
      </w:hyperlink>
      <w:hyperlink r:id="rId101">
        <w:r w:rsidR="00C534FC">
          <w:rPr>
            <w:rFonts w:ascii="Times New Roman" w:eastAsia="Times New Roman" w:hAnsi="Times New Roman" w:cs="Times New Roman"/>
            <w:color w:val="1155CC"/>
            <w:sz w:val="24"/>
            <w:szCs w:val="24"/>
            <w:u w:val="single"/>
          </w:rPr>
          <w:t>https://doi.org/10.1016/j.sajb.2023.11.042</w:t>
        </w:r>
      </w:hyperlink>
    </w:p>
    <w:p w14:paraId="68B7B09F"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Kumar, A., Anju, T., Kumar, S., </w:t>
      </w:r>
      <w:proofErr w:type="spellStart"/>
      <w:r>
        <w:rPr>
          <w:rFonts w:ascii="Times New Roman" w:eastAsia="Times New Roman" w:hAnsi="Times New Roman" w:cs="Times New Roman"/>
          <w:sz w:val="24"/>
          <w:szCs w:val="24"/>
        </w:rPr>
        <w:t>Chhapekar</w:t>
      </w:r>
      <w:proofErr w:type="spellEnd"/>
      <w:r>
        <w:rPr>
          <w:rFonts w:ascii="Times New Roman" w:eastAsia="Times New Roman" w:hAnsi="Times New Roman" w:cs="Times New Roman"/>
          <w:sz w:val="24"/>
          <w:szCs w:val="24"/>
        </w:rPr>
        <w:t xml:space="preserve">, S. S., Sreedharan, S., Singh, S., Choi, S. R., </w:t>
      </w:r>
      <w:proofErr w:type="spellStart"/>
      <w:r>
        <w:rPr>
          <w:rFonts w:ascii="Times New Roman" w:eastAsia="Times New Roman" w:hAnsi="Times New Roman" w:cs="Times New Roman"/>
          <w:sz w:val="24"/>
          <w:szCs w:val="24"/>
        </w:rPr>
        <w:t>Ramchiary</w:t>
      </w:r>
      <w:proofErr w:type="spellEnd"/>
      <w:r>
        <w:rPr>
          <w:rFonts w:ascii="Times New Roman" w:eastAsia="Times New Roman" w:hAnsi="Times New Roman" w:cs="Times New Roman"/>
          <w:sz w:val="24"/>
          <w:szCs w:val="24"/>
        </w:rPr>
        <w:t xml:space="preserve">, N., &amp; Lim, Y. P. (2021). Integrating Omics and Gene Editing Tools for Rapid Improvement of Traditional Food Plants for Diversified and Sustainable Food Security. </w:t>
      </w:r>
      <w:r>
        <w:rPr>
          <w:rFonts w:ascii="Times New Roman" w:eastAsia="Times New Roman" w:hAnsi="Times New Roman" w:cs="Times New Roman"/>
          <w:i/>
          <w:sz w:val="24"/>
          <w:szCs w:val="24"/>
        </w:rPr>
        <w:t>International Journal of Molecular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(15), Article 15.</w:t>
      </w:r>
      <w:hyperlink r:id="rId102">
        <w:r w:rsidR="00C534FC">
          <w:rPr>
            <w:rFonts w:ascii="Times New Roman" w:eastAsia="Times New Roman" w:hAnsi="Times New Roman" w:cs="Times New Roman"/>
            <w:sz w:val="24"/>
            <w:szCs w:val="24"/>
            <w:u w:val="single"/>
          </w:rPr>
          <w:t xml:space="preserve"> </w:t>
        </w:r>
      </w:hyperlink>
      <w:hyperlink r:id="rId103">
        <w:r w:rsidR="00C534FC">
          <w:rPr>
            <w:rFonts w:ascii="Times New Roman" w:eastAsia="Times New Roman" w:hAnsi="Times New Roman" w:cs="Times New Roman"/>
            <w:color w:val="1155CC"/>
            <w:sz w:val="24"/>
            <w:szCs w:val="24"/>
            <w:u w:val="single"/>
          </w:rPr>
          <w:t>https://doi.org/10.3390/ijms22158093</w:t>
        </w:r>
      </w:hyperlink>
    </w:p>
    <w:p w14:paraId="69FFB1D4"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Lee, J. S., Kim, J., Lee, E. J., &amp; Yoon, J. S. (2019). Therapeutic Effect of Curcumin, a Plant Polyphenol Extracted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Curcuma longae, in Fibroblasts From Patients With Graves’ Orbitopathy. </w:t>
      </w:r>
      <w:r>
        <w:rPr>
          <w:rFonts w:ascii="Times New Roman" w:eastAsia="Times New Roman" w:hAnsi="Times New Roman" w:cs="Times New Roman"/>
          <w:i/>
          <w:sz w:val="24"/>
          <w:szCs w:val="24"/>
        </w:rPr>
        <w:t>Investigative Ophthalmology &amp; Visual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60</w:t>
      </w:r>
      <w:r>
        <w:rPr>
          <w:rFonts w:ascii="Times New Roman" w:eastAsia="Times New Roman" w:hAnsi="Times New Roman" w:cs="Times New Roman"/>
          <w:sz w:val="24"/>
          <w:szCs w:val="24"/>
        </w:rPr>
        <w:t>(13), 4129–4140.</w:t>
      </w:r>
      <w:hyperlink r:id="rId104">
        <w:r w:rsidR="00C534FC">
          <w:rPr>
            <w:rFonts w:ascii="Times New Roman" w:eastAsia="Times New Roman" w:hAnsi="Times New Roman" w:cs="Times New Roman"/>
            <w:sz w:val="24"/>
            <w:szCs w:val="24"/>
            <w:u w:val="single"/>
          </w:rPr>
          <w:t xml:space="preserve"> </w:t>
        </w:r>
      </w:hyperlink>
      <w:hyperlink r:id="rId105">
        <w:r w:rsidR="00C534FC">
          <w:rPr>
            <w:rFonts w:ascii="Times New Roman" w:eastAsia="Times New Roman" w:hAnsi="Times New Roman" w:cs="Times New Roman"/>
            <w:color w:val="1155CC"/>
            <w:sz w:val="24"/>
            <w:szCs w:val="24"/>
            <w:u w:val="single"/>
          </w:rPr>
          <w:t>https://doi.org/10.1167/iovs.19-27376</w:t>
        </w:r>
      </w:hyperlink>
    </w:p>
    <w:p w14:paraId="11560BB4"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r>
        <w:rPr>
          <w:rFonts w:ascii="Times New Roman" w:eastAsia="Times New Roman" w:hAnsi="Times New Roman" w:cs="Times New Roman"/>
          <w:i/>
          <w:sz w:val="24"/>
          <w:szCs w:val="24"/>
        </w:rPr>
        <w:t>Li, W., Deng, Y., Ning, Y., He, Z., &amp; Wang, G.-L. (2020). Exploiting Broad-Spectrum Disease Resistance in Crops: From Molecular Dissection to Breeding. Annual Review of Plant Biology, 71(1), 575–603.</w:t>
      </w:r>
      <w:hyperlink r:id="rId106">
        <w:r w:rsidR="00C534FC">
          <w:rPr>
            <w:rFonts w:ascii="Times New Roman" w:eastAsia="Times New Roman" w:hAnsi="Times New Roman" w:cs="Times New Roman"/>
            <w:i/>
            <w:sz w:val="24"/>
            <w:szCs w:val="24"/>
            <w:u w:val="single"/>
          </w:rPr>
          <w:t xml:space="preserve"> </w:t>
        </w:r>
      </w:hyperlink>
      <w:hyperlink r:id="rId107">
        <w:r w:rsidR="00C534FC">
          <w:rPr>
            <w:rFonts w:ascii="Times New Roman" w:eastAsia="Times New Roman" w:hAnsi="Times New Roman" w:cs="Times New Roman"/>
            <w:i/>
            <w:color w:val="1155CC"/>
            <w:sz w:val="24"/>
            <w:szCs w:val="24"/>
            <w:u w:val="single"/>
          </w:rPr>
          <w:t>https://doi.org/10.1146/annurev-arplant-010720-022215</w:t>
        </w:r>
      </w:hyperlink>
    </w:p>
    <w:p w14:paraId="2D0BAB45"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r>
        <w:rPr>
          <w:rFonts w:ascii="Times New Roman" w:eastAsia="Times New Roman" w:hAnsi="Times New Roman" w:cs="Times New Roman"/>
          <w:sz w:val="24"/>
          <w:szCs w:val="24"/>
        </w:rPr>
        <w:t>Li, X., Cai, Y., Xia, Q., Liao, Y., &amp; Qin, R. (2023).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Antibacterial sensitizers from natural plants: A powerful weapon against methicillin-resistant Staphylococcus aureus</w:t>
      </w:r>
      <w:r>
        <w:rPr>
          <w:rFonts w:ascii="Times New Roman" w:eastAsia="Times New Roman" w:hAnsi="Times New Roman" w:cs="Times New Roman"/>
          <w:i/>
          <w:sz w:val="24"/>
          <w:szCs w:val="24"/>
        </w:rPr>
        <w:t>. Frontiers in Pharmacology, 14, 1118793.</w:t>
      </w:r>
      <w:hyperlink r:id="rId108">
        <w:r w:rsidR="00C534FC">
          <w:rPr>
            <w:rFonts w:ascii="Times New Roman" w:eastAsia="Times New Roman" w:hAnsi="Times New Roman" w:cs="Times New Roman"/>
            <w:i/>
            <w:sz w:val="24"/>
            <w:szCs w:val="24"/>
            <w:u w:val="single"/>
          </w:rPr>
          <w:t xml:space="preserve"> </w:t>
        </w:r>
      </w:hyperlink>
      <w:hyperlink r:id="rId109">
        <w:r w:rsidR="00C534FC">
          <w:rPr>
            <w:rFonts w:ascii="Times New Roman" w:eastAsia="Times New Roman" w:hAnsi="Times New Roman" w:cs="Times New Roman"/>
            <w:i/>
            <w:color w:val="1155CC"/>
            <w:sz w:val="24"/>
            <w:szCs w:val="24"/>
            <w:u w:val="single"/>
          </w:rPr>
          <w:t>https://doi.org/10.3389/fphar.2023.1118793</w:t>
        </w:r>
      </w:hyperlink>
    </w:p>
    <w:p w14:paraId="33B6365B"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Liu, C., Hao, K., Liu, Z., Liu, Z., &amp; Guo, N. (2021). Epigallocatechin gallate (EGCG) attenuates staphylococcal alpha-hemolysin (Hla)-induced NLRP3 inflammasome activation via ROS-MAPK pathways and EGCG-Hla </w:t>
      </w:r>
      <w:r>
        <w:rPr>
          <w:rFonts w:ascii="Times New Roman" w:eastAsia="Times New Roman" w:hAnsi="Times New Roman" w:cs="Times New Roman"/>
          <w:sz w:val="24"/>
          <w:szCs w:val="24"/>
        </w:rPr>
        <w:lastRenderedPageBreak/>
        <w:t xml:space="preserve">interactions. </w:t>
      </w:r>
      <w:r>
        <w:rPr>
          <w:rFonts w:ascii="Times New Roman" w:eastAsia="Times New Roman" w:hAnsi="Times New Roman" w:cs="Times New Roman"/>
          <w:i/>
          <w:sz w:val="24"/>
          <w:szCs w:val="24"/>
        </w:rPr>
        <w:t>International Immunopharmacology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100</w:t>
      </w:r>
      <w:r>
        <w:rPr>
          <w:rFonts w:ascii="Times New Roman" w:eastAsia="Times New Roman" w:hAnsi="Times New Roman" w:cs="Times New Roman"/>
          <w:sz w:val="24"/>
          <w:szCs w:val="24"/>
        </w:rPr>
        <w:t>, 108170.</w:t>
      </w:r>
      <w:hyperlink r:id="rId110">
        <w:r w:rsidR="00C534FC">
          <w:rPr>
            <w:rFonts w:ascii="Times New Roman" w:eastAsia="Times New Roman" w:hAnsi="Times New Roman" w:cs="Times New Roman"/>
            <w:sz w:val="24"/>
            <w:szCs w:val="24"/>
            <w:u w:val="single"/>
          </w:rPr>
          <w:t xml:space="preserve"> </w:t>
        </w:r>
      </w:hyperlink>
      <w:hyperlink r:id="rId111">
        <w:r w:rsidR="00C534FC">
          <w:rPr>
            <w:rFonts w:ascii="Times New Roman" w:eastAsia="Times New Roman" w:hAnsi="Times New Roman" w:cs="Times New Roman"/>
            <w:color w:val="1155CC"/>
            <w:sz w:val="24"/>
            <w:szCs w:val="24"/>
            <w:u w:val="single"/>
          </w:rPr>
          <w:t>https://doi.org/10.1016/j.intimp.2021.108170</w:t>
        </w:r>
      </w:hyperlink>
    </w:p>
    <w:p w14:paraId="7050150D"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Mohtar</w:t>
      </w:r>
      <w:proofErr w:type="spellEnd"/>
      <w:r>
        <w:rPr>
          <w:rFonts w:ascii="Times New Roman" w:eastAsia="Times New Roman" w:hAnsi="Times New Roman" w:cs="Times New Roman"/>
          <w:sz w:val="24"/>
          <w:szCs w:val="24"/>
        </w:rPr>
        <w:t xml:space="preserve">, M., Johari, S. A., Li, A. R., Isa, M. M., Mustafa, S., Ali, A. M., &amp; Basri, D. F. (2009). Inhibitory and Resistance-Modifying Potential of Plant-Based Alkaloids Against Methicillin-Resistant Staphylococcus aureus (MRSA). </w:t>
      </w:r>
      <w:r>
        <w:rPr>
          <w:rFonts w:ascii="Times New Roman" w:eastAsia="Times New Roman" w:hAnsi="Times New Roman" w:cs="Times New Roman"/>
          <w:i/>
          <w:sz w:val="24"/>
          <w:szCs w:val="24"/>
        </w:rPr>
        <w:t>Current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59</w:t>
      </w:r>
      <w:r>
        <w:rPr>
          <w:rFonts w:ascii="Times New Roman" w:eastAsia="Times New Roman" w:hAnsi="Times New Roman" w:cs="Times New Roman"/>
          <w:sz w:val="24"/>
          <w:szCs w:val="24"/>
        </w:rPr>
        <w:t>(2), 181–186.</w:t>
      </w:r>
      <w:hyperlink r:id="rId112">
        <w:r w:rsidR="00C534FC">
          <w:rPr>
            <w:rFonts w:ascii="Times New Roman" w:eastAsia="Times New Roman" w:hAnsi="Times New Roman" w:cs="Times New Roman"/>
            <w:sz w:val="24"/>
            <w:szCs w:val="24"/>
            <w:u w:val="single"/>
          </w:rPr>
          <w:t xml:space="preserve"> </w:t>
        </w:r>
      </w:hyperlink>
      <w:hyperlink r:id="rId113">
        <w:r w:rsidR="00C534FC">
          <w:rPr>
            <w:rFonts w:ascii="Times New Roman" w:eastAsia="Times New Roman" w:hAnsi="Times New Roman" w:cs="Times New Roman"/>
            <w:color w:val="1155CC"/>
            <w:sz w:val="24"/>
            <w:szCs w:val="24"/>
            <w:u w:val="single"/>
          </w:rPr>
          <w:t>https://doi.org/10.1007/s00284-009-9416-9</w:t>
        </w:r>
      </w:hyperlink>
    </w:p>
    <w:p w14:paraId="4B448550"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Netopilova</w:t>
      </w:r>
      <w:proofErr w:type="spellEnd"/>
      <w:r>
        <w:rPr>
          <w:rFonts w:ascii="Times New Roman" w:eastAsia="Times New Roman" w:hAnsi="Times New Roman" w:cs="Times New Roman"/>
          <w:sz w:val="24"/>
          <w:szCs w:val="24"/>
        </w:rPr>
        <w:t xml:space="preserve">, M., Houdkova, M., Urbanova, K., Rondevaldova, J., &amp; Kokoska, L. (2021). Validation of Qualitative Broth Volatilization Checkerboard Method for Testing of Essential Oils: Dual-Column GC–FID/MS Analysis and In Vitro Combinatory Antimicrobial Effect of Origanum vulgare and Thymus vulgaris against Staphylococcus aureus in Liquid and Vapor Phases. </w:t>
      </w:r>
      <w:r>
        <w:rPr>
          <w:rFonts w:ascii="Times New Roman" w:eastAsia="Times New Roman" w:hAnsi="Times New Roman" w:cs="Times New Roman"/>
          <w:i/>
          <w:sz w:val="24"/>
          <w:szCs w:val="24"/>
        </w:rPr>
        <w:t>Plants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(2), Article 2.</w:t>
      </w:r>
      <w:hyperlink r:id="rId114">
        <w:r w:rsidR="00C534FC">
          <w:rPr>
            <w:rFonts w:ascii="Times New Roman" w:eastAsia="Times New Roman" w:hAnsi="Times New Roman" w:cs="Times New Roman"/>
            <w:sz w:val="24"/>
            <w:szCs w:val="24"/>
            <w:u w:val="single"/>
          </w:rPr>
          <w:t xml:space="preserve"> </w:t>
        </w:r>
      </w:hyperlink>
      <w:hyperlink r:id="rId115">
        <w:r w:rsidR="00C534FC">
          <w:rPr>
            <w:rFonts w:ascii="Times New Roman" w:eastAsia="Times New Roman" w:hAnsi="Times New Roman" w:cs="Times New Roman"/>
            <w:color w:val="1155CC"/>
            <w:sz w:val="24"/>
            <w:szCs w:val="24"/>
            <w:u w:val="single"/>
          </w:rPr>
          <w:t>https://doi.org/10.3390/plants10020393</w:t>
        </w:r>
      </w:hyperlink>
    </w:p>
    <w:p w14:paraId="1EBB35FE"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Nguyen, T. L. A., &amp; Bhattacharya, D. (2022). Antimicrobial Activity of Quercetin: An Approach to Its Mechanistic Principle. </w:t>
      </w:r>
      <w:r>
        <w:rPr>
          <w:rFonts w:ascii="Times New Roman" w:eastAsia="Times New Roman" w:hAnsi="Times New Roman" w:cs="Times New Roman"/>
          <w:i/>
          <w:sz w:val="24"/>
          <w:szCs w:val="24"/>
        </w:rPr>
        <w:t>Molecules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27</w:t>
      </w:r>
      <w:r>
        <w:rPr>
          <w:rFonts w:ascii="Times New Roman" w:eastAsia="Times New Roman" w:hAnsi="Times New Roman" w:cs="Times New Roman"/>
          <w:sz w:val="24"/>
          <w:szCs w:val="24"/>
        </w:rPr>
        <w:t>(8), 2494.</w:t>
      </w:r>
      <w:hyperlink r:id="rId116">
        <w:r w:rsidR="00C534FC">
          <w:rPr>
            <w:rFonts w:ascii="Times New Roman" w:eastAsia="Times New Roman" w:hAnsi="Times New Roman" w:cs="Times New Roman"/>
            <w:sz w:val="24"/>
            <w:szCs w:val="24"/>
            <w:u w:val="single"/>
          </w:rPr>
          <w:t xml:space="preserve"> </w:t>
        </w:r>
      </w:hyperlink>
      <w:hyperlink r:id="rId117">
        <w:r w:rsidR="00C534FC">
          <w:rPr>
            <w:rFonts w:ascii="Times New Roman" w:eastAsia="Times New Roman" w:hAnsi="Times New Roman" w:cs="Times New Roman"/>
            <w:color w:val="1155CC"/>
            <w:sz w:val="24"/>
            <w:szCs w:val="24"/>
            <w:u w:val="single"/>
          </w:rPr>
          <w:t>https://doi.org/10.3390/molecules27082494</w:t>
        </w:r>
      </w:hyperlink>
    </w:p>
    <w:p w14:paraId="0F130248"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Okwu, M. U., Olley, M., </w:t>
      </w:r>
      <w:proofErr w:type="spellStart"/>
      <w:r>
        <w:rPr>
          <w:rFonts w:ascii="Times New Roman" w:eastAsia="Times New Roman" w:hAnsi="Times New Roman" w:cs="Times New Roman"/>
          <w:sz w:val="24"/>
          <w:szCs w:val="24"/>
        </w:rPr>
        <w:t>Akpoka</w:t>
      </w:r>
      <w:proofErr w:type="spellEnd"/>
      <w:r>
        <w:rPr>
          <w:rFonts w:ascii="Times New Roman" w:eastAsia="Times New Roman" w:hAnsi="Times New Roman" w:cs="Times New Roman"/>
          <w:sz w:val="24"/>
          <w:szCs w:val="24"/>
        </w:rPr>
        <w:t xml:space="preserve">, A. O., &amp; </w:t>
      </w:r>
      <w:proofErr w:type="spellStart"/>
      <w:r>
        <w:rPr>
          <w:rFonts w:ascii="Times New Roman" w:eastAsia="Times New Roman" w:hAnsi="Times New Roman" w:cs="Times New Roman"/>
          <w:sz w:val="24"/>
          <w:szCs w:val="24"/>
        </w:rPr>
        <w:t>Izevbuwa</w:t>
      </w:r>
      <w:proofErr w:type="spellEnd"/>
      <w:r>
        <w:rPr>
          <w:rFonts w:ascii="Times New Roman" w:eastAsia="Times New Roman" w:hAnsi="Times New Roman" w:cs="Times New Roman"/>
          <w:sz w:val="24"/>
          <w:szCs w:val="24"/>
        </w:rPr>
        <w:t xml:space="preserve">, O. E. (2019). Methicillin-resistant Staphylococcus aureus (MRSA) and anti-MRSA activities of extracts of some medicinal plants: A brief review. </w:t>
      </w:r>
      <w:r>
        <w:rPr>
          <w:rFonts w:ascii="Times New Roman" w:eastAsia="Times New Roman" w:hAnsi="Times New Roman" w:cs="Times New Roman"/>
          <w:i/>
          <w:sz w:val="24"/>
          <w:szCs w:val="24"/>
        </w:rPr>
        <w:t>AIMS Microbiology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(2), 117–137.</w:t>
      </w:r>
      <w:hyperlink r:id="rId118">
        <w:r w:rsidR="00C534FC">
          <w:rPr>
            <w:rFonts w:ascii="Times New Roman" w:eastAsia="Times New Roman" w:hAnsi="Times New Roman" w:cs="Times New Roman"/>
            <w:sz w:val="24"/>
            <w:szCs w:val="24"/>
            <w:u w:val="single"/>
          </w:rPr>
          <w:t xml:space="preserve"> </w:t>
        </w:r>
      </w:hyperlink>
      <w:hyperlink r:id="rId119">
        <w:r w:rsidR="00C534FC">
          <w:rPr>
            <w:rFonts w:ascii="Times New Roman" w:eastAsia="Times New Roman" w:hAnsi="Times New Roman" w:cs="Times New Roman"/>
            <w:color w:val="1155CC"/>
            <w:sz w:val="24"/>
            <w:szCs w:val="24"/>
            <w:u w:val="single"/>
          </w:rPr>
          <w:t>https://doi.org/10.3934/microbiol.2019.2.117</w:t>
        </w:r>
      </w:hyperlink>
    </w:p>
    <w:p w14:paraId="5BEA1E6F" w14:textId="1EDF6BDF" w:rsidR="00346DB4" w:rsidRPr="00346DB4" w:rsidRDefault="00346DB4" w:rsidP="00346DB4">
      <w:pPr>
        <w:spacing w:before="240" w:line="276" w:lineRule="auto"/>
        <w:ind w:left="1020" w:hanging="300"/>
        <w:jc w:val="both"/>
        <w:rPr>
          <w:rFonts w:ascii="Times New Roman" w:eastAsia="Times New Roman" w:hAnsi="Times New Roman" w:cs="Times New Roman"/>
          <w:sz w:val="24"/>
          <w:szCs w:val="24"/>
        </w:rPr>
      </w:pPr>
      <w:r w:rsidRPr="00346DB4">
        <w:rPr>
          <w:rFonts w:ascii="Times New Roman" w:eastAsia="Times New Roman" w:hAnsi="Times New Roman" w:cs="Times New Roman"/>
          <w:sz w:val="24"/>
          <w:szCs w:val="24"/>
        </w:rPr>
        <w:t>Onwuakor C.E., Ogbulie J.N., Braide W., Ogbulie T.E., Nwokafor C.V., Uchendu C.E.. Optimization of Culture Conditions for Enhanced Bacteriocin Production by </w:t>
      </w:r>
      <w:r w:rsidRPr="00346DB4">
        <w:rPr>
          <w:rFonts w:ascii="Times New Roman" w:eastAsia="Times New Roman" w:hAnsi="Times New Roman" w:cs="Times New Roman"/>
          <w:i/>
          <w:iCs/>
          <w:sz w:val="24"/>
          <w:szCs w:val="24"/>
        </w:rPr>
        <w:t>Lactococcus</w:t>
      </w:r>
      <w:r w:rsidRPr="00346DB4">
        <w:rPr>
          <w:rFonts w:ascii="Times New Roman" w:eastAsia="Times New Roman" w:hAnsi="Times New Roman" w:cs="Times New Roman"/>
          <w:sz w:val="24"/>
          <w:szCs w:val="24"/>
        </w:rPr>
        <w:t> </w:t>
      </w:r>
      <w:r w:rsidRPr="00346DB4">
        <w:rPr>
          <w:rFonts w:ascii="Times New Roman" w:eastAsia="Times New Roman" w:hAnsi="Times New Roman" w:cs="Times New Roman"/>
          <w:i/>
          <w:iCs/>
          <w:sz w:val="24"/>
          <w:szCs w:val="24"/>
        </w:rPr>
        <w:t>lactis</w:t>
      </w:r>
      <w:r w:rsidRPr="00346DB4">
        <w:rPr>
          <w:rFonts w:ascii="Times New Roman" w:eastAsia="Times New Roman" w:hAnsi="Times New Roman" w:cs="Times New Roman"/>
          <w:sz w:val="24"/>
          <w:szCs w:val="24"/>
        </w:rPr>
        <w:t> MT186647 Using Response Surface Methodology. </w:t>
      </w:r>
      <w:r w:rsidRPr="00346DB4">
        <w:rPr>
          <w:rFonts w:ascii="Times New Roman" w:eastAsia="Times New Roman" w:hAnsi="Times New Roman" w:cs="Times New Roman"/>
          <w:i/>
          <w:iCs/>
          <w:sz w:val="24"/>
          <w:szCs w:val="24"/>
        </w:rPr>
        <w:t>American Journal of Microbiological Research</w:t>
      </w:r>
      <w:r w:rsidRPr="00346DB4">
        <w:rPr>
          <w:rFonts w:ascii="Times New Roman" w:eastAsia="Times New Roman" w:hAnsi="Times New Roman" w:cs="Times New Roman"/>
          <w:sz w:val="24"/>
          <w:szCs w:val="24"/>
        </w:rPr>
        <w:t xml:space="preserve">. Vol. 8, No. 4, 2020, pp 110-116. </w:t>
      </w:r>
      <w:hyperlink r:id="rId120" w:history="1">
        <w:r w:rsidRPr="00346DB4">
          <w:rPr>
            <w:rStyle w:val="Hyperlink"/>
            <w:rFonts w:ascii="Times New Roman" w:eastAsia="Times New Roman" w:hAnsi="Times New Roman" w:cs="Times New Roman"/>
            <w:sz w:val="24"/>
            <w:szCs w:val="24"/>
          </w:rPr>
          <w:t>https://pubs.sciepub.com/ajmr/8/4/1</w:t>
        </w:r>
      </w:hyperlink>
      <w:r w:rsidRPr="00346DB4">
        <w:rPr>
          <w:rFonts w:ascii="Times New Roman" w:eastAsia="Times New Roman" w:hAnsi="Times New Roman" w:cs="Times New Roman"/>
          <w:sz w:val="24"/>
          <w:szCs w:val="24"/>
        </w:rPr>
        <w:t xml:space="preserve"> </w:t>
      </w:r>
    </w:p>
    <w:p w14:paraId="674B2FB0" w14:textId="3B8E449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Park, B.-S., Kim, J.-G., Kim, M.-R., Lee, S.-E., </w:t>
      </w:r>
      <w:proofErr w:type="spellStart"/>
      <w:r>
        <w:rPr>
          <w:rFonts w:ascii="Times New Roman" w:eastAsia="Times New Roman" w:hAnsi="Times New Roman" w:cs="Times New Roman"/>
          <w:sz w:val="24"/>
          <w:szCs w:val="24"/>
        </w:rPr>
        <w:t>Takeoka</w:t>
      </w:r>
      <w:proofErr w:type="spellEnd"/>
      <w:r>
        <w:rPr>
          <w:rFonts w:ascii="Times New Roman" w:eastAsia="Times New Roman" w:hAnsi="Times New Roman" w:cs="Times New Roman"/>
          <w:sz w:val="24"/>
          <w:szCs w:val="24"/>
        </w:rPr>
        <w:t xml:space="preserve">, G. R., Oh, K.-B., &amp; Kim, J.-H. (2005). Curcuma longa L. constituents inhibit </w:t>
      </w:r>
      <w:proofErr w:type="spellStart"/>
      <w:r>
        <w:rPr>
          <w:rFonts w:ascii="Times New Roman" w:eastAsia="Times New Roman" w:hAnsi="Times New Roman" w:cs="Times New Roman"/>
          <w:sz w:val="24"/>
          <w:szCs w:val="24"/>
        </w:rPr>
        <w:t>sortase</w:t>
      </w:r>
      <w:proofErr w:type="spellEnd"/>
      <w:r>
        <w:rPr>
          <w:rFonts w:ascii="Times New Roman" w:eastAsia="Times New Roman" w:hAnsi="Times New Roman" w:cs="Times New Roman"/>
          <w:sz w:val="24"/>
          <w:szCs w:val="24"/>
        </w:rPr>
        <w:t xml:space="preserve"> A and Staphylococcus aureus cell adhesion to fibronectin. </w:t>
      </w:r>
      <w:r>
        <w:rPr>
          <w:rFonts w:ascii="Times New Roman" w:eastAsia="Times New Roman" w:hAnsi="Times New Roman" w:cs="Times New Roman"/>
          <w:i/>
          <w:sz w:val="24"/>
          <w:szCs w:val="24"/>
        </w:rPr>
        <w:t>Journal of Agricultural and Food 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53</w:t>
      </w:r>
      <w:r>
        <w:rPr>
          <w:rFonts w:ascii="Times New Roman" w:eastAsia="Times New Roman" w:hAnsi="Times New Roman" w:cs="Times New Roman"/>
          <w:sz w:val="24"/>
          <w:szCs w:val="24"/>
        </w:rPr>
        <w:t>(23), 9005–9009.</w:t>
      </w:r>
      <w:hyperlink r:id="rId121">
        <w:r w:rsidR="00C534FC">
          <w:rPr>
            <w:rFonts w:ascii="Times New Roman" w:eastAsia="Times New Roman" w:hAnsi="Times New Roman" w:cs="Times New Roman"/>
            <w:sz w:val="24"/>
            <w:szCs w:val="24"/>
            <w:u w:val="single"/>
          </w:rPr>
          <w:t xml:space="preserve"> </w:t>
        </w:r>
      </w:hyperlink>
      <w:hyperlink r:id="rId122">
        <w:r w:rsidR="00C534FC">
          <w:rPr>
            <w:rFonts w:ascii="Times New Roman" w:eastAsia="Times New Roman" w:hAnsi="Times New Roman" w:cs="Times New Roman"/>
            <w:color w:val="1155CC"/>
            <w:sz w:val="24"/>
            <w:szCs w:val="24"/>
            <w:u w:val="single"/>
          </w:rPr>
          <w:t>https://doi.org/10.1021/jf051765z</w:t>
        </w:r>
      </w:hyperlink>
    </w:p>
    <w:p w14:paraId="4A71613B"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Sharifzadeh, A., Khosravi, A. R., Shokri, H., &amp; Shirzadi, H. (2018). Potential effect of 2-isopropyl-5-methylphenol (thymol) alone and in combination </w:t>
      </w:r>
      <w:r>
        <w:rPr>
          <w:rFonts w:ascii="Times New Roman" w:eastAsia="Times New Roman" w:hAnsi="Times New Roman" w:cs="Times New Roman"/>
          <w:sz w:val="24"/>
          <w:szCs w:val="24"/>
        </w:rPr>
        <w:lastRenderedPageBreak/>
        <w:t xml:space="preserve">with fluconazole against clinical isolates of Candida albicans, C. glabrata and C. </w:t>
      </w:r>
      <w:proofErr w:type="spellStart"/>
      <w:r>
        <w:rPr>
          <w:rFonts w:ascii="Times New Roman" w:eastAsia="Times New Roman" w:hAnsi="Times New Roman" w:cs="Times New Roman"/>
          <w:sz w:val="24"/>
          <w:szCs w:val="24"/>
        </w:rPr>
        <w:t>krusei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Journal De </w:t>
      </w:r>
      <w:proofErr w:type="spellStart"/>
      <w:r>
        <w:rPr>
          <w:rFonts w:ascii="Times New Roman" w:eastAsia="Times New Roman" w:hAnsi="Times New Roman" w:cs="Times New Roman"/>
          <w:i/>
          <w:sz w:val="24"/>
          <w:szCs w:val="24"/>
        </w:rPr>
        <w:t>Mycologie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Medicale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28</w:t>
      </w:r>
      <w:r>
        <w:rPr>
          <w:rFonts w:ascii="Times New Roman" w:eastAsia="Times New Roman" w:hAnsi="Times New Roman" w:cs="Times New Roman"/>
          <w:sz w:val="24"/>
          <w:szCs w:val="24"/>
        </w:rPr>
        <w:t>(2), 294–299.</w:t>
      </w:r>
      <w:hyperlink r:id="rId123">
        <w:r w:rsidR="00C534FC">
          <w:rPr>
            <w:rFonts w:ascii="Times New Roman" w:eastAsia="Times New Roman" w:hAnsi="Times New Roman" w:cs="Times New Roman"/>
            <w:sz w:val="24"/>
            <w:szCs w:val="24"/>
            <w:u w:val="single"/>
          </w:rPr>
          <w:t xml:space="preserve"> </w:t>
        </w:r>
      </w:hyperlink>
      <w:hyperlink r:id="rId124">
        <w:r w:rsidR="00C534FC">
          <w:rPr>
            <w:rFonts w:ascii="Times New Roman" w:eastAsia="Times New Roman" w:hAnsi="Times New Roman" w:cs="Times New Roman"/>
            <w:color w:val="1155CC"/>
            <w:sz w:val="24"/>
            <w:szCs w:val="24"/>
            <w:u w:val="single"/>
          </w:rPr>
          <w:t>https://doi.org/10.1016/j.mycmed.2018.04.002</w:t>
        </w:r>
      </w:hyperlink>
    </w:p>
    <w:p w14:paraId="7AABFCA8"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Shedafa</w:t>
      </w:r>
      <w:proofErr w:type="spellEnd"/>
      <w:r>
        <w:rPr>
          <w:rFonts w:ascii="Times New Roman" w:eastAsia="Times New Roman" w:hAnsi="Times New Roman" w:cs="Times New Roman"/>
          <w:sz w:val="24"/>
          <w:szCs w:val="24"/>
        </w:rPr>
        <w:t xml:space="preserve">, R. J., </w:t>
      </w:r>
      <w:proofErr w:type="spellStart"/>
      <w:r>
        <w:rPr>
          <w:rFonts w:ascii="Times New Roman" w:eastAsia="Times New Roman" w:hAnsi="Times New Roman" w:cs="Times New Roman"/>
          <w:sz w:val="24"/>
          <w:szCs w:val="24"/>
        </w:rPr>
        <w:t>Sempombe</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Kaale</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Temu</w:t>
      </w:r>
      <w:proofErr w:type="spellEnd"/>
      <w:r>
        <w:rPr>
          <w:rFonts w:ascii="Times New Roman" w:eastAsia="Times New Roman" w:hAnsi="Times New Roman" w:cs="Times New Roman"/>
          <w:sz w:val="24"/>
          <w:szCs w:val="24"/>
        </w:rPr>
        <w:t xml:space="preserve">, M., &amp; Imming, P. (2023). Determination of Epigallocatechin Gallate (EGCG) and Antibacterial Activities of Commercially Available Tanzanian Green Tea (Camellia sinensis). </w:t>
      </w:r>
      <w:r>
        <w:rPr>
          <w:rFonts w:ascii="Times New Roman" w:eastAsia="Times New Roman" w:hAnsi="Times New Roman" w:cs="Times New Roman"/>
          <w:i/>
          <w:sz w:val="24"/>
          <w:szCs w:val="24"/>
        </w:rPr>
        <w:t>Tanzania Journal of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49</w:t>
      </w:r>
      <w:r>
        <w:rPr>
          <w:rFonts w:ascii="Times New Roman" w:eastAsia="Times New Roman" w:hAnsi="Times New Roman" w:cs="Times New Roman"/>
          <w:sz w:val="24"/>
          <w:szCs w:val="24"/>
        </w:rPr>
        <w:t>(2), Article 2.</w:t>
      </w:r>
      <w:hyperlink r:id="rId125">
        <w:r w:rsidR="00C534FC">
          <w:rPr>
            <w:rFonts w:ascii="Times New Roman" w:eastAsia="Times New Roman" w:hAnsi="Times New Roman" w:cs="Times New Roman"/>
            <w:sz w:val="24"/>
            <w:szCs w:val="24"/>
            <w:u w:val="single"/>
          </w:rPr>
          <w:t xml:space="preserve"> </w:t>
        </w:r>
      </w:hyperlink>
      <w:hyperlink r:id="rId126">
        <w:r w:rsidR="00C534FC">
          <w:rPr>
            <w:rFonts w:ascii="Times New Roman" w:eastAsia="Times New Roman" w:hAnsi="Times New Roman" w:cs="Times New Roman"/>
            <w:color w:val="1155CC"/>
            <w:sz w:val="24"/>
            <w:szCs w:val="24"/>
            <w:u w:val="single"/>
          </w:rPr>
          <w:t>https://doi.org/10.4314/tjs.v49i2.12</w:t>
        </w:r>
      </w:hyperlink>
    </w:p>
    <w:p w14:paraId="3308AC46"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Silva, E., Teixeira, J. A., Pereira, M. O., Rocha, C. M. R., &amp; Sousa, A. M. (2023). Evolving biofilm inhibition and eradication in clinical settings through plant-based antibiofilm agents. </w:t>
      </w:r>
      <w:r>
        <w:rPr>
          <w:rFonts w:ascii="Times New Roman" w:eastAsia="Times New Roman" w:hAnsi="Times New Roman" w:cs="Times New Roman"/>
          <w:i/>
          <w:sz w:val="24"/>
          <w:szCs w:val="24"/>
        </w:rPr>
        <w:t>Phytomedicine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119</w:t>
      </w:r>
      <w:r>
        <w:rPr>
          <w:rFonts w:ascii="Times New Roman" w:eastAsia="Times New Roman" w:hAnsi="Times New Roman" w:cs="Times New Roman"/>
          <w:sz w:val="24"/>
          <w:szCs w:val="24"/>
        </w:rPr>
        <w:t>, 154973.</w:t>
      </w:r>
      <w:hyperlink r:id="rId127">
        <w:r w:rsidR="00C534FC">
          <w:rPr>
            <w:rFonts w:ascii="Times New Roman" w:eastAsia="Times New Roman" w:hAnsi="Times New Roman" w:cs="Times New Roman"/>
            <w:sz w:val="24"/>
            <w:szCs w:val="24"/>
            <w:u w:val="single"/>
          </w:rPr>
          <w:t xml:space="preserve"> </w:t>
        </w:r>
      </w:hyperlink>
      <w:hyperlink r:id="rId128">
        <w:r w:rsidR="00C534FC">
          <w:rPr>
            <w:rFonts w:ascii="Times New Roman" w:eastAsia="Times New Roman" w:hAnsi="Times New Roman" w:cs="Times New Roman"/>
            <w:color w:val="1155CC"/>
            <w:sz w:val="24"/>
            <w:szCs w:val="24"/>
            <w:u w:val="single"/>
          </w:rPr>
          <w:t>https://doi.org/10.1016/j.phymed.2023.154973</w:t>
        </w:r>
      </w:hyperlink>
    </w:p>
    <w:p w14:paraId="6EC5BAD7"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Steinmann, J., Buer, J., Pietschmann, T., &amp; Steinmann, E. (2013). Anti-infective properties of epigallocatechin-3-gallate (EGCG), a component of green tea. </w:t>
      </w:r>
      <w:r>
        <w:rPr>
          <w:rFonts w:ascii="Times New Roman" w:eastAsia="Times New Roman" w:hAnsi="Times New Roman" w:cs="Times New Roman"/>
          <w:i/>
          <w:sz w:val="24"/>
          <w:szCs w:val="24"/>
        </w:rPr>
        <w:t>British Journal of Pharmacology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168</w:t>
      </w:r>
      <w:r>
        <w:rPr>
          <w:rFonts w:ascii="Times New Roman" w:eastAsia="Times New Roman" w:hAnsi="Times New Roman" w:cs="Times New Roman"/>
          <w:sz w:val="24"/>
          <w:szCs w:val="24"/>
        </w:rPr>
        <w:t>(5), 1059–1073.</w:t>
      </w:r>
      <w:hyperlink r:id="rId129">
        <w:r w:rsidR="00C534FC">
          <w:rPr>
            <w:rFonts w:ascii="Times New Roman" w:eastAsia="Times New Roman" w:hAnsi="Times New Roman" w:cs="Times New Roman"/>
            <w:sz w:val="24"/>
            <w:szCs w:val="24"/>
            <w:u w:val="single"/>
          </w:rPr>
          <w:t xml:space="preserve"> </w:t>
        </w:r>
      </w:hyperlink>
      <w:hyperlink r:id="rId130">
        <w:r w:rsidR="00C534FC">
          <w:rPr>
            <w:rFonts w:ascii="Times New Roman" w:eastAsia="Times New Roman" w:hAnsi="Times New Roman" w:cs="Times New Roman"/>
            <w:color w:val="1155CC"/>
            <w:sz w:val="24"/>
            <w:szCs w:val="24"/>
            <w:u w:val="single"/>
          </w:rPr>
          <w:t>https://doi.org/10.1111/bph.12009</w:t>
        </w:r>
      </w:hyperlink>
    </w:p>
    <w:p w14:paraId="329DB9E6"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Stermitz, F. R., Tawara-Matsuda, J., Lorenz, P., Mueller, P., Zenewicz, L., &amp; Lewis, K. (2000). 5‘-Methoxyhydnocarpin-D and Pheophorbide A:  Berberis Species Components that Potentiate Berberine Growth Inhibition of Resistant Staphylococcus aureus. </w:t>
      </w:r>
      <w:r>
        <w:rPr>
          <w:rFonts w:ascii="Times New Roman" w:eastAsia="Times New Roman" w:hAnsi="Times New Roman" w:cs="Times New Roman"/>
          <w:i/>
          <w:sz w:val="24"/>
          <w:szCs w:val="24"/>
        </w:rPr>
        <w:t>Journal of Natural Products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63</w:t>
      </w:r>
      <w:r>
        <w:rPr>
          <w:rFonts w:ascii="Times New Roman" w:eastAsia="Times New Roman" w:hAnsi="Times New Roman" w:cs="Times New Roman"/>
          <w:sz w:val="24"/>
          <w:szCs w:val="24"/>
        </w:rPr>
        <w:t>(8), 1146–1149.</w:t>
      </w:r>
      <w:hyperlink r:id="rId131">
        <w:r w:rsidR="00C534FC">
          <w:rPr>
            <w:rFonts w:ascii="Times New Roman" w:eastAsia="Times New Roman" w:hAnsi="Times New Roman" w:cs="Times New Roman"/>
            <w:sz w:val="24"/>
            <w:szCs w:val="24"/>
            <w:u w:val="single"/>
          </w:rPr>
          <w:t xml:space="preserve"> </w:t>
        </w:r>
      </w:hyperlink>
      <w:hyperlink r:id="rId132">
        <w:r w:rsidR="00C534FC">
          <w:rPr>
            <w:rFonts w:ascii="Times New Roman" w:eastAsia="Times New Roman" w:hAnsi="Times New Roman" w:cs="Times New Roman"/>
            <w:color w:val="1155CC"/>
            <w:sz w:val="24"/>
            <w:szCs w:val="24"/>
            <w:u w:val="single"/>
          </w:rPr>
          <w:t>https://doi.org/10.1021/np990639k</w:t>
        </w:r>
      </w:hyperlink>
    </w:p>
    <w:p w14:paraId="67F186B1" w14:textId="77777777" w:rsidR="00C534FC" w:rsidRDefault="008150ED">
      <w:pPr>
        <w:spacing w:before="240" w:line="276" w:lineRule="auto"/>
        <w:ind w:left="1020" w:hanging="300"/>
        <w:jc w:val="both"/>
        <w:rPr>
          <w:rFonts w:ascii="Times New Roman" w:eastAsia="Times New Roman" w:hAnsi="Times New Roman" w:cs="Times New Roman"/>
          <w:i/>
          <w:color w:val="1155CC"/>
          <w:sz w:val="24"/>
          <w:szCs w:val="24"/>
          <w:u w:val="single"/>
        </w:rPr>
      </w:pPr>
      <w:r>
        <w:rPr>
          <w:rFonts w:ascii="Times New Roman" w:eastAsia="Times New Roman" w:hAnsi="Times New Roman" w:cs="Times New Roman"/>
          <w:sz w:val="24"/>
          <w:szCs w:val="24"/>
        </w:rPr>
        <w:t xml:space="preserve">Stipa, P., </w:t>
      </w:r>
      <w:proofErr w:type="spellStart"/>
      <w:r>
        <w:rPr>
          <w:rFonts w:ascii="Times New Roman" w:eastAsia="Times New Roman" w:hAnsi="Times New Roman" w:cs="Times New Roman"/>
          <w:sz w:val="24"/>
          <w:szCs w:val="24"/>
        </w:rPr>
        <w:t>Cedraro</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Gianmarco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Mangiaterra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Citterio</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Mobbili</w:t>
      </w:r>
      <w:proofErr w:type="spellEnd"/>
      <w:r>
        <w:rPr>
          <w:rFonts w:ascii="Times New Roman" w:eastAsia="Times New Roman" w:hAnsi="Times New Roman" w:cs="Times New Roman"/>
          <w:sz w:val="24"/>
          <w:szCs w:val="24"/>
        </w:rPr>
        <w:t xml:space="preserve">, G., Laudadio, E., Bizzaro, D., </w:t>
      </w:r>
      <w:proofErr w:type="spellStart"/>
      <w:r>
        <w:rPr>
          <w:rFonts w:ascii="Times New Roman" w:eastAsia="Times New Roman" w:hAnsi="Times New Roman" w:cs="Times New Roman"/>
          <w:sz w:val="24"/>
          <w:szCs w:val="24"/>
        </w:rPr>
        <w:t>Biavasco</w:t>
      </w:r>
      <w:proofErr w:type="spellEnd"/>
      <w:r>
        <w:rPr>
          <w:rFonts w:ascii="Times New Roman" w:eastAsia="Times New Roman" w:hAnsi="Times New Roman" w:cs="Times New Roman"/>
          <w:sz w:val="24"/>
          <w:szCs w:val="24"/>
        </w:rPr>
        <w:t xml:space="preserve">, F., &amp; Galeazzi, R. (2019). Natural Alkaloid Berberine Activity against Pseudomonas aeruginosa </w:t>
      </w:r>
      <w:proofErr w:type="spellStart"/>
      <w:r>
        <w:rPr>
          <w:rFonts w:ascii="Times New Roman" w:eastAsia="Times New Roman" w:hAnsi="Times New Roman" w:cs="Times New Roman"/>
          <w:sz w:val="24"/>
          <w:szCs w:val="24"/>
        </w:rPr>
        <w:t>MexXY</w:t>
      </w:r>
      <w:proofErr w:type="spellEnd"/>
      <w:r>
        <w:rPr>
          <w:rFonts w:ascii="Times New Roman" w:eastAsia="Times New Roman" w:hAnsi="Times New Roman" w:cs="Times New Roman"/>
          <w:sz w:val="24"/>
          <w:szCs w:val="24"/>
        </w:rPr>
        <w:t>-Mediated Aminoglycoside Resistance: In Silico and in Vitro Studies.</w:t>
      </w:r>
      <w:r>
        <w:rPr>
          <w:rFonts w:ascii="Times New Roman" w:eastAsia="Times New Roman" w:hAnsi="Times New Roman" w:cs="Times New Roman"/>
          <w:i/>
          <w:sz w:val="24"/>
          <w:szCs w:val="24"/>
        </w:rPr>
        <w:t xml:space="preserve"> Journal of Natural Products 82(7), 1935–1944.</w:t>
      </w:r>
      <w:hyperlink r:id="rId133">
        <w:r w:rsidR="00C534FC">
          <w:rPr>
            <w:rFonts w:ascii="Times New Roman" w:eastAsia="Times New Roman" w:hAnsi="Times New Roman" w:cs="Times New Roman"/>
            <w:i/>
            <w:sz w:val="24"/>
            <w:szCs w:val="24"/>
            <w:u w:val="single"/>
          </w:rPr>
          <w:t xml:space="preserve"> </w:t>
        </w:r>
      </w:hyperlink>
      <w:hyperlink r:id="rId134">
        <w:r w:rsidR="00C534FC">
          <w:rPr>
            <w:rFonts w:ascii="Times New Roman" w:eastAsia="Times New Roman" w:hAnsi="Times New Roman" w:cs="Times New Roman"/>
            <w:i/>
            <w:color w:val="1155CC"/>
            <w:sz w:val="24"/>
            <w:szCs w:val="24"/>
            <w:u w:val="single"/>
          </w:rPr>
          <w:t>https://doi.org/10.1021/acs.jnatprod.9b00317</w:t>
        </w:r>
      </w:hyperlink>
    </w:p>
    <w:p w14:paraId="37C921D9"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Sun, M., Zhang, Y., Zhu, L., Liu, N., Bai, H., Sun, G., Zhang, J., &amp; Shi, L. (2022). Chromosome-level assembly and analysis of the Thymus genome provide insights into glandular secretory trichome formation and monoterpenoid biosynthesis in thyme. </w:t>
      </w:r>
      <w:r>
        <w:rPr>
          <w:rFonts w:ascii="Times New Roman" w:eastAsia="Times New Roman" w:hAnsi="Times New Roman" w:cs="Times New Roman"/>
          <w:i/>
          <w:sz w:val="24"/>
          <w:szCs w:val="24"/>
        </w:rPr>
        <w:t>Plant Communications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(6), 100413.</w:t>
      </w:r>
      <w:hyperlink r:id="rId135">
        <w:r w:rsidR="00C534FC">
          <w:rPr>
            <w:rFonts w:ascii="Times New Roman" w:eastAsia="Times New Roman" w:hAnsi="Times New Roman" w:cs="Times New Roman"/>
            <w:sz w:val="24"/>
            <w:szCs w:val="24"/>
            <w:u w:val="single"/>
          </w:rPr>
          <w:t xml:space="preserve"> </w:t>
        </w:r>
      </w:hyperlink>
      <w:hyperlink r:id="rId136">
        <w:r w:rsidR="00C534FC">
          <w:rPr>
            <w:rFonts w:ascii="Times New Roman" w:eastAsia="Times New Roman" w:hAnsi="Times New Roman" w:cs="Times New Roman"/>
            <w:color w:val="1155CC"/>
            <w:sz w:val="24"/>
            <w:szCs w:val="24"/>
            <w:u w:val="single"/>
          </w:rPr>
          <w:t>https://doi.org/10.1016/j.xplc.2022.100413</w:t>
        </w:r>
      </w:hyperlink>
    </w:p>
    <w:p w14:paraId="3A244ABD" w14:textId="77777777" w:rsidR="00C534FC" w:rsidRDefault="008150ED">
      <w:pPr>
        <w:spacing w:before="240" w:line="276" w:lineRule="auto"/>
        <w:ind w:left="1020" w:hanging="30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lastRenderedPageBreak/>
        <w:t>Yembaturova</w:t>
      </w:r>
      <w:proofErr w:type="spellEnd"/>
      <w:r>
        <w:rPr>
          <w:rFonts w:ascii="Times New Roman" w:eastAsia="Times New Roman" w:hAnsi="Times New Roman" w:cs="Times New Roman"/>
          <w:sz w:val="24"/>
          <w:szCs w:val="24"/>
        </w:rPr>
        <w:t xml:space="preserve">, E. Y., &amp; </w:t>
      </w:r>
      <w:proofErr w:type="spellStart"/>
      <w:r>
        <w:rPr>
          <w:rFonts w:ascii="Times New Roman" w:eastAsia="Times New Roman" w:hAnsi="Times New Roman" w:cs="Times New Roman"/>
          <w:sz w:val="24"/>
          <w:szCs w:val="24"/>
        </w:rPr>
        <w:t>Cheryatova</w:t>
      </w:r>
      <w:proofErr w:type="spellEnd"/>
      <w:r>
        <w:rPr>
          <w:rFonts w:ascii="Times New Roman" w:eastAsia="Times New Roman" w:hAnsi="Times New Roman" w:cs="Times New Roman"/>
          <w:sz w:val="24"/>
          <w:szCs w:val="24"/>
        </w:rPr>
        <w:t xml:space="preserve">, Y. S. (2023). Transgenic medicinal plants as producers of bioactive substances. </w:t>
      </w:r>
      <w:r>
        <w:rPr>
          <w:rFonts w:ascii="Times New Roman" w:eastAsia="Times New Roman" w:hAnsi="Times New Roman" w:cs="Times New Roman"/>
          <w:i/>
          <w:sz w:val="24"/>
          <w:szCs w:val="24"/>
        </w:rPr>
        <w:t>Ecological Genetics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(0), Article 0.</w:t>
      </w:r>
      <w:hyperlink r:id="rId137">
        <w:r w:rsidR="00C534FC">
          <w:rPr>
            <w:rFonts w:ascii="Times New Roman" w:eastAsia="Times New Roman" w:hAnsi="Times New Roman" w:cs="Times New Roman"/>
            <w:sz w:val="24"/>
            <w:szCs w:val="24"/>
            <w:u w:val="single"/>
          </w:rPr>
          <w:t xml:space="preserve"> </w:t>
        </w:r>
      </w:hyperlink>
      <w:hyperlink r:id="rId138">
        <w:r w:rsidR="00C534FC">
          <w:rPr>
            <w:rFonts w:ascii="Times New Roman" w:eastAsia="Times New Roman" w:hAnsi="Times New Roman" w:cs="Times New Roman"/>
            <w:color w:val="1155CC"/>
            <w:sz w:val="24"/>
            <w:szCs w:val="24"/>
            <w:u w:val="single"/>
          </w:rPr>
          <w:t>https://doi.org/10.17816/ecogen567947</w:t>
        </w:r>
      </w:hyperlink>
    </w:p>
    <w:p w14:paraId="1D540463" w14:textId="77777777" w:rsidR="00C534FC" w:rsidRDefault="008150ED">
      <w:pPr>
        <w:spacing w:before="240" w:after="240"/>
        <w:ind w:left="1020" w:hanging="300"/>
        <w:rPr>
          <w:rFonts w:ascii="Times New Roman" w:eastAsia="Times New Roman" w:hAnsi="Times New Roman" w:cs="Times New Roman"/>
          <w:sz w:val="24"/>
          <w:szCs w:val="24"/>
        </w:rPr>
      </w:pPr>
      <w:r>
        <w:rPr>
          <w:rFonts w:ascii="Times New Roman" w:eastAsia="Times New Roman" w:hAnsi="Times New Roman" w:cs="Times New Roman"/>
          <w:i/>
          <w:sz w:val="24"/>
          <w:szCs w:val="24"/>
        </w:rPr>
        <w:t>Zhu, Y., Fazio, G., &amp; Mazzola, M. (2014). Elucidating the molecular responses of apple rootstock resistant to ARD pathogens: challenges and opportunities for development of genomics-assisted breeding tools. Horticulture Research, 1(1).</w:t>
      </w:r>
      <w:hyperlink r:id="rId139">
        <w:r w:rsidR="00C534FC">
          <w:rPr>
            <w:rFonts w:ascii="Times New Roman" w:eastAsia="Times New Roman" w:hAnsi="Times New Roman" w:cs="Times New Roman"/>
            <w:i/>
            <w:sz w:val="24"/>
            <w:szCs w:val="24"/>
            <w:u w:val="single"/>
          </w:rPr>
          <w:t xml:space="preserve"> </w:t>
        </w:r>
      </w:hyperlink>
      <w:hyperlink r:id="rId140">
        <w:r w:rsidR="00C534FC">
          <w:rPr>
            <w:rFonts w:ascii="Times New Roman" w:eastAsia="Times New Roman" w:hAnsi="Times New Roman" w:cs="Times New Roman"/>
            <w:i/>
            <w:color w:val="1155CC"/>
            <w:sz w:val="24"/>
            <w:szCs w:val="24"/>
            <w:u w:val="single"/>
          </w:rPr>
          <w:t>https://doi.org/10.1038/hortres.2014.43</w:t>
        </w:r>
      </w:hyperlink>
    </w:p>
    <w:p w14:paraId="3B3907A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H., Wagenaar, J. A., Bergs, K., </w:t>
      </w:r>
      <w:proofErr w:type="spellStart"/>
      <w:r>
        <w:rPr>
          <w:rFonts w:ascii="Times New Roman" w:eastAsia="Times New Roman" w:hAnsi="Times New Roman" w:cs="Times New Roman"/>
          <w:sz w:val="24"/>
          <w:szCs w:val="24"/>
        </w:rPr>
        <w:t>Heesterbeek</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Heederik</w:t>
      </w:r>
      <w:proofErr w:type="spellEnd"/>
      <w:r>
        <w:rPr>
          <w:rFonts w:ascii="Times New Roman" w:eastAsia="Times New Roman" w:hAnsi="Times New Roman" w:cs="Times New Roman"/>
          <w:sz w:val="24"/>
          <w:szCs w:val="24"/>
        </w:rPr>
        <w:t xml:space="preserve">, D. (2011). Persistence of livestock associated MRSA CC398 in humans is dependent on intensity of animal contact.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6(2), e16830.</w:t>
      </w:r>
    </w:p>
    <w:p w14:paraId="15E6982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Idelevich</w:t>
      </w:r>
      <w:proofErr w:type="spellEnd"/>
      <w:r>
        <w:rPr>
          <w:rFonts w:ascii="Times New Roman" w:eastAsia="Times New Roman" w:hAnsi="Times New Roman" w:cs="Times New Roman"/>
          <w:sz w:val="24"/>
          <w:szCs w:val="24"/>
        </w:rPr>
        <w:t xml:space="preserve">, E. A., Lanckohr, C., Horn, D., Wieler, L. H., Becker, K., &amp; Köck, R. (2016). Multidrug-resistant bacteria in Germany: The impact of sources outside healthcare facilities. </w:t>
      </w:r>
      <w:proofErr w:type="spellStart"/>
      <w:r>
        <w:rPr>
          <w:rFonts w:ascii="Times New Roman" w:eastAsia="Times New Roman" w:hAnsi="Times New Roman" w:cs="Times New Roman"/>
          <w:sz w:val="24"/>
          <w:szCs w:val="24"/>
        </w:rPr>
        <w:t>Bundesgesundheitsblatt-Gesundheitsforschung-Gesundheitsschutz</w:t>
      </w:r>
      <w:proofErr w:type="spellEnd"/>
      <w:r>
        <w:rPr>
          <w:rFonts w:ascii="Times New Roman" w:eastAsia="Times New Roman" w:hAnsi="Times New Roman" w:cs="Times New Roman"/>
          <w:sz w:val="24"/>
          <w:szCs w:val="24"/>
        </w:rPr>
        <w:t>, 59, 113-123.</w:t>
      </w:r>
    </w:p>
    <w:p w14:paraId="4A6738B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 M. E., Verstappen, K. M., Van Cleef, B. A., Dohmen, W., Dorado-García, A., </w:t>
      </w: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H., ... &amp; </w:t>
      </w:r>
      <w:proofErr w:type="spellStart"/>
      <w:r>
        <w:rPr>
          <w:rFonts w:ascii="Times New Roman" w:eastAsia="Times New Roman" w:hAnsi="Times New Roman" w:cs="Times New Roman"/>
          <w:sz w:val="24"/>
          <w:szCs w:val="24"/>
        </w:rPr>
        <w:t>Heederik</w:t>
      </w:r>
      <w:proofErr w:type="spellEnd"/>
      <w:r>
        <w:rPr>
          <w:rFonts w:ascii="Times New Roman" w:eastAsia="Times New Roman" w:hAnsi="Times New Roman" w:cs="Times New Roman"/>
          <w:sz w:val="24"/>
          <w:szCs w:val="24"/>
        </w:rPr>
        <w:t>, D. J. (2016). Transmission through air as a possible route of exposure for MRSA. Journal of exposure science &amp; environmental epidemiology, 26(3), 263-269.</w:t>
      </w:r>
    </w:p>
    <w:p w14:paraId="74F81261" w14:textId="77777777" w:rsidR="00C534FC" w:rsidRDefault="00C534FC">
      <w:pPr>
        <w:spacing w:after="160" w:line="278" w:lineRule="auto"/>
        <w:ind w:left="1080" w:hanging="720"/>
        <w:jc w:val="both"/>
        <w:rPr>
          <w:rFonts w:ascii="Times New Roman" w:eastAsia="Times New Roman" w:hAnsi="Times New Roman" w:cs="Times New Roman"/>
          <w:sz w:val="24"/>
          <w:szCs w:val="24"/>
        </w:rPr>
      </w:pPr>
    </w:p>
    <w:p w14:paraId="6BE6192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Javed, M. U., Ijaz, M., Fatima, Z., Anjum, A. A., Aqib, A. I., Ali, M. M., ... &amp; Ghaffar, A. (2021). Frequency and antimicrobial susceptibility of methicillin and vancomycin-resistant Staphylococcus aureus from bovine milk. Pakistan Veterinary Journal, 41(4).</w:t>
      </w:r>
    </w:p>
    <w:p w14:paraId="755F1DF7"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Rousham</w:t>
      </w:r>
      <w:proofErr w:type="spellEnd"/>
      <w:r>
        <w:rPr>
          <w:rFonts w:ascii="Times New Roman" w:eastAsia="Times New Roman" w:hAnsi="Times New Roman" w:cs="Times New Roman"/>
          <w:sz w:val="24"/>
          <w:szCs w:val="24"/>
        </w:rPr>
        <w:t xml:space="preserve">, E. K., </w:t>
      </w:r>
      <w:proofErr w:type="spellStart"/>
      <w:r>
        <w:rPr>
          <w:rFonts w:ascii="Times New Roman" w:eastAsia="Times New Roman" w:hAnsi="Times New Roman" w:cs="Times New Roman"/>
          <w:sz w:val="24"/>
          <w:szCs w:val="24"/>
        </w:rPr>
        <w:t>Unicomb</w:t>
      </w:r>
      <w:proofErr w:type="spellEnd"/>
      <w:r>
        <w:rPr>
          <w:rFonts w:ascii="Times New Roman" w:eastAsia="Times New Roman" w:hAnsi="Times New Roman" w:cs="Times New Roman"/>
          <w:sz w:val="24"/>
          <w:szCs w:val="24"/>
        </w:rPr>
        <w:t xml:space="preserve">, L., &amp; Islam, M. A. (2018). Human, animal and environmental contributors to antibiotic resistance in low-resource settings: integrating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epidemiological and One Health approaches. Proceedings of the Royal Society B: Biological Sciences, 285(1876), 20180332.</w:t>
      </w:r>
    </w:p>
    <w:p w14:paraId="5D0D8D3B"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Akhtar, T., Ambreen, A., Younus, M., Nisa, Q. U., </w:t>
      </w:r>
      <w:proofErr w:type="spellStart"/>
      <w:r>
        <w:rPr>
          <w:rFonts w:ascii="Times New Roman" w:eastAsia="Times New Roman" w:hAnsi="Times New Roman" w:cs="Times New Roman"/>
          <w:sz w:val="24"/>
          <w:szCs w:val="24"/>
        </w:rPr>
        <w:t>Uroos</w:t>
      </w:r>
      <w:proofErr w:type="spellEnd"/>
      <w:r>
        <w:rPr>
          <w:rFonts w:ascii="Times New Roman" w:eastAsia="Times New Roman" w:hAnsi="Times New Roman" w:cs="Times New Roman"/>
          <w:sz w:val="24"/>
          <w:szCs w:val="24"/>
        </w:rPr>
        <w:t>, A., Zaman, M. A., &amp; Naeem, M. I. (2023). Zoonotic aspect of methicillin-resistant Staphylococcus aureus. Zoonosis, 264,</w:t>
      </w:r>
    </w:p>
    <w:p w14:paraId="6BEFFE0D"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Penna, B., Silva, M. B., Soares, A. E., Vasconcelos, A. T., Ramundo, M. S., Ferreira, F. A., ... &amp; Figueiredo, A. M. (2021). Comparative genomics of </w:t>
      </w:r>
      <w:r>
        <w:rPr>
          <w:rFonts w:ascii="Times New Roman" w:eastAsia="Times New Roman" w:hAnsi="Times New Roman" w:cs="Times New Roman"/>
          <w:color w:val="222222"/>
          <w:sz w:val="24"/>
          <w:szCs w:val="24"/>
          <w:highlight w:val="white"/>
        </w:rPr>
        <w:lastRenderedPageBreak/>
        <w:t xml:space="preserve">MRSA strains from human and canine origins reveals similar virulence gene repertoire. </w:t>
      </w:r>
      <w:r>
        <w:rPr>
          <w:rFonts w:ascii="Times New Roman" w:eastAsia="Times New Roman" w:hAnsi="Times New Roman" w:cs="Times New Roman"/>
          <w:i/>
          <w:color w:val="222222"/>
          <w:sz w:val="24"/>
          <w:szCs w:val="24"/>
          <w:highlight w:val="white"/>
        </w:rPr>
        <w:t>Scientific reports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11</w:t>
      </w:r>
      <w:r>
        <w:rPr>
          <w:rFonts w:ascii="Times New Roman" w:eastAsia="Times New Roman" w:hAnsi="Times New Roman" w:cs="Times New Roman"/>
          <w:color w:val="222222"/>
          <w:sz w:val="24"/>
          <w:szCs w:val="24"/>
          <w:highlight w:val="white"/>
        </w:rPr>
        <w:t>(1), 4724.</w:t>
      </w:r>
    </w:p>
    <w:p w14:paraId="70F22EF5"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Mustapha, M., Bukar-Kolo, Y. M., Geidam, Y. A., &amp; </w:t>
      </w:r>
      <w:proofErr w:type="spellStart"/>
      <w:r>
        <w:rPr>
          <w:rFonts w:ascii="Times New Roman" w:eastAsia="Times New Roman" w:hAnsi="Times New Roman" w:cs="Times New Roman"/>
          <w:sz w:val="24"/>
          <w:szCs w:val="24"/>
        </w:rPr>
        <w:t>Gulani</w:t>
      </w:r>
      <w:proofErr w:type="spellEnd"/>
      <w:r>
        <w:rPr>
          <w:rFonts w:ascii="Times New Roman" w:eastAsia="Times New Roman" w:hAnsi="Times New Roman" w:cs="Times New Roman"/>
          <w:sz w:val="24"/>
          <w:szCs w:val="24"/>
        </w:rPr>
        <w:t>, I. A. (2014). Review on methicillin-resistant Staphylococcus aureus (MRSA) in dogs and cats. International Journal of Animal and Veterinary Advances, 6(2), 61–73.</w:t>
      </w:r>
    </w:p>
    <w:p w14:paraId="16005EF9"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Loeffler, A., Kearns, A. M., Ellington, M. J., Smith, L. J., </w:t>
      </w:r>
      <w:proofErr w:type="spellStart"/>
      <w:r>
        <w:rPr>
          <w:rFonts w:ascii="Times New Roman" w:eastAsia="Times New Roman" w:hAnsi="Times New Roman" w:cs="Times New Roman"/>
          <w:sz w:val="24"/>
          <w:szCs w:val="24"/>
        </w:rPr>
        <w:t>Unt</w:t>
      </w:r>
      <w:proofErr w:type="spellEnd"/>
      <w:r>
        <w:rPr>
          <w:rFonts w:ascii="Times New Roman" w:eastAsia="Times New Roman" w:hAnsi="Times New Roman" w:cs="Times New Roman"/>
          <w:sz w:val="24"/>
          <w:szCs w:val="24"/>
        </w:rPr>
        <w:t xml:space="preserve">, V. E., Lindsay, J. A., Pfeiffer, D. U., &amp; Lloyd, D. H. (2009). First isolation of MRSA ST398 from UK animals: A new challenge for infection control teams? Journal of Hospital Infection, 72(3), 269–271. </w:t>
      </w:r>
      <w:hyperlink r:id="rId141">
        <w:r w:rsidR="00C534FC">
          <w:rPr>
            <w:rFonts w:ascii="Times New Roman" w:eastAsia="Times New Roman" w:hAnsi="Times New Roman" w:cs="Times New Roman"/>
            <w:color w:val="1155CC"/>
            <w:sz w:val="24"/>
            <w:szCs w:val="24"/>
            <w:u w:val="single"/>
          </w:rPr>
          <w:t>https://doi.org/10.1016/j.jhin.2009.04.002</w:t>
        </w:r>
      </w:hyperlink>
    </w:p>
    <w:p w14:paraId="2748349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Loeffler, A., Pfeiffer, D. U., Lindsay, J. A., Magalhães, R. J., &amp; Lloyd, D. H. (2011). Prevalence of and risk factors for MRSA carriage in companion animals: A survey of dogs, cats, and horses. Epidemiology and Infection, 139(7), 1091–1028. https://doi.org/10.1017/S095026881000227X</w:t>
      </w:r>
    </w:p>
    <w:p w14:paraId="1815B52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Morgan, M. (2008). Methicillin-resistant Staphylococcus aureus and animals: Zoonosis or </w:t>
      </w:r>
      <w:proofErr w:type="spellStart"/>
      <w:r>
        <w:rPr>
          <w:rFonts w:ascii="Times New Roman" w:eastAsia="Times New Roman" w:hAnsi="Times New Roman" w:cs="Times New Roman"/>
          <w:sz w:val="24"/>
          <w:szCs w:val="24"/>
        </w:rPr>
        <w:t>humanosis</w:t>
      </w:r>
      <w:proofErr w:type="spellEnd"/>
      <w:r>
        <w:rPr>
          <w:rFonts w:ascii="Times New Roman" w:eastAsia="Times New Roman" w:hAnsi="Times New Roman" w:cs="Times New Roman"/>
          <w:sz w:val="24"/>
          <w:szCs w:val="24"/>
        </w:rPr>
        <w:t>? Journal of Antimicrobial Chemotherapy, 62(6), 1181–1187. https://doi.org/10.1093/jac/dkn405</w:t>
      </w:r>
    </w:p>
    <w:p w14:paraId="13D2A90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Leggiadro</w:t>
      </w:r>
      <w:proofErr w:type="spellEnd"/>
      <w:r>
        <w:rPr>
          <w:rFonts w:ascii="Times New Roman" w:eastAsia="Times New Roman" w:hAnsi="Times New Roman" w:cs="Times New Roman"/>
          <w:sz w:val="24"/>
          <w:szCs w:val="24"/>
        </w:rPr>
        <w:t>, R. J. (2009). Methicillin-resistant Staphylococcus aureus skin infections from an elephant calf–San Diego, California, 2008. Pediatric Infectious Disease Journal, 28(5), 454. https://doi.org/10.1097/INF.0b013e3181a6ba71</w:t>
      </w:r>
    </w:p>
    <w:p w14:paraId="13AA4210"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Vandendriessche, S., </w:t>
      </w:r>
      <w:proofErr w:type="spellStart"/>
      <w:r>
        <w:rPr>
          <w:rFonts w:ascii="Times New Roman" w:eastAsia="Times New Roman" w:hAnsi="Times New Roman" w:cs="Times New Roman"/>
          <w:sz w:val="24"/>
          <w:szCs w:val="24"/>
        </w:rPr>
        <w:t>Vanderhaeghen</w:t>
      </w:r>
      <w:proofErr w:type="spellEnd"/>
      <w:r>
        <w:rPr>
          <w:rFonts w:ascii="Times New Roman" w:eastAsia="Times New Roman" w:hAnsi="Times New Roman" w:cs="Times New Roman"/>
          <w:sz w:val="24"/>
          <w:szCs w:val="24"/>
        </w:rPr>
        <w:t xml:space="preserve">, W., Valente Soares, F., Hallin, M., </w:t>
      </w:r>
      <w:proofErr w:type="spellStart"/>
      <w:r>
        <w:rPr>
          <w:rFonts w:ascii="Times New Roman" w:eastAsia="Times New Roman" w:hAnsi="Times New Roman" w:cs="Times New Roman"/>
          <w:sz w:val="24"/>
          <w:szCs w:val="24"/>
        </w:rPr>
        <w:t>Catry</w:t>
      </w:r>
      <w:proofErr w:type="spellEnd"/>
      <w:r>
        <w:rPr>
          <w:rFonts w:ascii="Times New Roman" w:eastAsia="Times New Roman" w:hAnsi="Times New Roman" w:cs="Times New Roman"/>
          <w:sz w:val="24"/>
          <w:szCs w:val="24"/>
        </w:rPr>
        <w:t xml:space="preserve">, B., Hermans, B., </w:t>
      </w:r>
      <w:proofErr w:type="spellStart"/>
      <w:r>
        <w:rPr>
          <w:rFonts w:ascii="Times New Roman" w:eastAsia="Times New Roman" w:hAnsi="Times New Roman" w:cs="Times New Roman"/>
          <w:sz w:val="24"/>
          <w:szCs w:val="24"/>
        </w:rPr>
        <w:t>Butaye</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Haesebrouck</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Struelens</w:t>
      </w:r>
      <w:proofErr w:type="spellEnd"/>
      <w:r>
        <w:rPr>
          <w:rFonts w:ascii="Times New Roman" w:eastAsia="Times New Roman" w:hAnsi="Times New Roman" w:cs="Times New Roman"/>
          <w:sz w:val="24"/>
          <w:szCs w:val="24"/>
        </w:rPr>
        <w:t>, M. J., &amp; Denis, O. (2013). Prevalence, risk factors, and genetic diversity of methicillin-resistant Staphylococcus aureus carried by humans and animals across livestock production sectors. Journal of Antimicrobial Chemotherapy, 68(7), 1510–1516. https://doi.org/10.1093/jac/dkt047</w:t>
      </w:r>
    </w:p>
    <w:p w14:paraId="05B52A3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 K., Fetsch, A., Schroeter, A., Guerra, B., Hammerl, J. A., Hertwig, S., Senkov, N., </w:t>
      </w:r>
      <w:proofErr w:type="spellStart"/>
      <w:r>
        <w:rPr>
          <w:rFonts w:ascii="Times New Roman" w:eastAsia="Times New Roman" w:hAnsi="Times New Roman" w:cs="Times New Roman"/>
          <w:sz w:val="24"/>
          <w:szCs w:val="24"/>
        </w:rPr>
        <w:t>Geinets</w:t>
      </w:r>
      <w:proofErr w:type="spellEnd"/>
      <w:r>
        <w:rPr>
          <w:rFonts w:ascii="Times New Roman" w:eastAsia="Times New Roman" w:hAnsi="Times New Roman" w:cs="Times New Roman"/>
          <w:sz w:val="24"/>
          <w:szCs w:val="24"/>
        </w:rPr>
        <w:t xml:space="preserve">, A., Mueller-Graf, C., Braeunig, J., </w:t>
      </w:r>
      <w:proofErr w:type="spellStart"/>
      <w:r>
        <w:rPr>
          <w:rFonts w:ascii="Times New Roman" w:eastAsia="Times New Roman" w:hAnsi="Times New Roman" w:cs="Times New Roman"/>
          <w:sz w:val="24"/>
          <w:szCs w:val="24"/>
        </w:rPr>
        <w:t>Kaesbohrer</w:t>
      </w:r>
      <w:proofErr w:type="spellEnd"/>
      <w:r>
        <w:rPr>
          <w:rFonts w:ascii="Times New Roman" w:eastAsia="Times New Roman" w:hAnsi="Times New Roman" w:cs="Times New Roman"/>
          <w:sz w:val="24"/>
          <w:szCs w:val="24"/>
        </w:rPr>
        <w:t>, A., Appel, B., Hensel, A., &amp; Tenhagen, B. A. (2011). Factors associated with the occurrence of MRSA CC398 in herds of fattening pigs in Germany. BMC Veterinary Research, 7, 69. https://doi.org/10.1186/1746-6148-7-69</w:t>
      </w:r>
    </w:p>
    <w:p w14:paraId="122167F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Graveland</w:t>
      </w:r>
      <w:proofErr w:type="spellEnd"/>
      <w:r>
        <w:rPr>
          <w:rFonts w:ascii="Times New Roman" w:eastAsia="Times New Roman" w:hAnsi="Times New Roman" w:cs="Times New Roman"/>
          <w:sz w:val="24"/>
          <w:szCs w:val="24"/>
        </w:rPr>
        <w:t xml:space="preserve">, H., Wagenaar, J. A., </w:t>
      </w:r>
      <w:proofErr w:type="spellStart"/>
      <w:r>
        <w:rPr>
          <w:rFonts w:ascii="Times New Roman" w:eastAsia="Times New Roman" w:hAnsi="Times New Roman" w:cs="Times New Roman"/>
          <w:sz w:val="24"/>
          <w:szCs w:val="24"/>
        </w:rPr>
        <w:t>Heesterbeek</w:t>
      </w:r>
      <w:proofErr w:type="spellEnd"/>
      <w:r>
        <w:rPr>
          <w:rFonts w:ascii="Times New Roman" w:eastAsia="Times New Roman" w:hAnsi="Times New Roman" w:cs="Times New Roman"/>
          <w:sz w:val="24"/>
          <w:szCs w:val="24"/>
        </w:rPr>
        <w:t xml:space="preserve">, H., Mevius, D., van Duijkeren, E., &amp; </w:t>
      </w:r>
      <w:proofErr w:type="spellStart"/>
      <w:r>
        <w:rPr>
          <w:rFonts w:ascii="Times New Roman" w:eastAsia="Times New Roman" w:hAnsi="Times New Roman" w:cs="Times New Roman"/>
          <w:sz w:val="24"/>
          <w:szCs w:val="24"/>
        </w:rPr>
        <w:t>Heederik</w:t>
      </w:r>
      <w:proofErr w:type="spellEnd"/>
      <w:r>
        <w:rPr>
          <w:rFonts w:ascii="Times New Roman" w:eastAsia="Times New Roman" w:hAnsi="Times New Roman" w:cs="Times New Roman"/>
          <w:sz w:val="24"/>
          <w:szCs w:val="24"/>
        </w:rPr>
        <w:t xml:space="preserve">, D. (2010). Methicillin-resistant Staphylococcus aureus ST398 </w:t>
      </w:r>
      <w:r>
        <w:rPr>
          <w:rFonts w:ascii="Times New Roman" w:eastAsia="Times New Roman" w:hAnsi="Times New Roman" w:cs="Times New Roman"/>
          <w:sz w:val="24"/>
          <w:szCs w:val="24"/>
        </w:rPr>
        <w:lastRenderedPageBreak/>
        <w:t xml:space="preserve">in veal calf farming: Human MRSA carriage related to animal antimicrobial usage and farm hygiene.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5(6), e10990. </w:t>
      </w:r>
      <w:hyperlink r:id="rId142">
        <w:r w:rsidR="00C534FC">
          <w:rPr>
            <w:rFonts w:ascii="Times New Roman" w:eastAsia="Times New Roman" w:hAnsi="Times New Roman" w:cs="Times New Roman"/>
            <w:color w:val="1155CC"/>
            <w:sz w:val="24"/>
            <w:szCs w:val="24"/>
            <w:u w:val="single"/>
          </w:rPr>
          <w:t>https://doi.org/10.1371/journal.pone.0010990</w:t>
        </w:r>
      </w:hyperlink>
    </w:p>
    <w:p w14:paraId="269EE685"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Soliman, M. K., </w:t>
      </w:r>
      <w:proofErr w:type="spellStart"/>
      <w:r>
        <w:rPr>
          <w:rFonts w:ascii="Times New Roman" w:eastAsia="Times New Roman" w:hAnsi="Times New Roman" w:cs="Times New Roman"/>
          <w:sz w:val="24"/>
          <w:szCs w:val="24"/>
        </w:rPr>
        <w:t>Ellakany</w:t>
      </w:r>
      <w:proofErr w:type="spellEnd"/>
      <w:r>
        <w:rPr>
          <w:rFonts w:ascii="Times New Roman" w:eastAsia="Times New Roman" w:hAnsi="Times New Roman" w:cs="Times New Roman"/>
          <w:sz w:val="24"/>
          <w:szCs w:val="24"/>
        </w:rPr>
        <w:t xml:space="preserve">, H. F., Gaafar, A. Y., </w:t>
      </w:r>
      <w:proofErr w:type="spellStart"/>
      <w:r>
        <w:rPr>
          <w:rFonts w:ascii="Times New Roman" w:eastAsia="Times New Roman" w:hAnsi="Times New Roman" w:cs="Times New Roman"/>
          <w:sz w:val="24"/>
          <w:szCs w:val="24"/>
        </w:rPr>
        <w:t>Elbialy</w:t>
      </w:r>
      <w:proofErr w:type="spellEnd"/>
      <w:r>
        <w:rPr>
          <w:rFonts w:ascii="Times New Roman" w:eastAsia="Times New Roman" w:hAnsi="Times New Roman" w:cs="Times New Roman"/>
          <w:sz w:val="24"/>
          <w:szCs w:val="24"/>
        </w:rPr>
        <w:t>, A. K., Zaki, M. S., &amp; Younes, A. M. (2014). Epidemiology and antimicrobial activity of methicillin-resistant Staphylococcus aureus (MRSA) isolated from Nile tilapia (Oreochromis niloticus) during an outbreak in Egypt. Life Sciences Journal, 11(10), 1245–1252.</w:t>
      </w:r>
    </w:p>
    <w:p w14:paraId="38FE4A18"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Grema, H. A., </w:t>
      </w:r>
      <w:proofErr w:type="spellStart"/>
      <w:r>
        <w:rPr>
          <w:rFonts w:ascii="Times New Roman" w:eastAsia="Times New Roman" w:hAnsi="Times New Roman" w:cs="Times New Roman"/>
          <w:sz w:val="24"/>
          <w:szCs w:val="24"/>
        </w:rPr>
        <w:t>Geidam</w:t>
      </w:r>
      <w:proofErr w:type="spellEnd"/>
      <w:r>
        <w:rPr>
          <w:rFonts w:ascii="Times New Roman" w:eastAsia="Times New Roman" w:hAnsi="Times New Roman" w:cs="Times New Roman"/>
          <w:sz w:val="24"/>
          <w:szCs w:val="24"/>
        </w:rPr>
        <w:t xml:space="preserve">, Y. A., </w:t>
      </w:r>
      <w:proofErr w:type="spellStart"/>
      <w:r>
        <w:rPr>
          <w:rFonts w:ascii="Times New Roman" w:eastAsia="Times New Roman" w:hAnsi="Times New Roman" w:cs="Times New Roman"/>
          <w:sz w:val="24"/>
          <w:szCs w:val="24"/>
        </w:rPr>
        <w:t>Gadzama</w:t>
      </w:r>
      <w:proofErr w:type="spellEnd"/>
      <w:r>
        <w:rPr>
          <w:rFonts w:ascii="Times New Roman" w:eastAsia="Times New Roman" w:hAnsi="Times New Roman" w:cs="Times New Roman"/>
          <w:sz w:val="24"/>
          <w:szCs w:val="24"/>
        </w:rPr>
        <w:t>, G. B., Ameh, J. A., &amp; Suleiman, A. (2015). Methicillin-resistant Staphylococcus aureus (MRSA): A review. Advances in Animal and Veterinary Sciences, 3(2), 79–98. https://doi.org/10.14737/journal.aavs/2015/3.2.79.98</w:t>
      </w:r>
    </w:p>
    <w:p w14:paraId="0E6D4307"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Loncaric, I., </w:t>
      </w:r>
      <w:proofErr w:type="spellStart"/>
      <w:r>
        <w:rPr>
          <w:rFonts w:ascii="Times New Roman" w:eastAsia="Times New Roman" w:hAnsi="Times New Roman" w:cs="Times New Roman"/>
          <w:sz w:val="24"/>
          <w:szCs w:val="24"/>
        </w:rPr>
        <w:t>Kübber‐Heiss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Posautz</w:t>
      </w:r>
      <w:proofErr w:type="spellEnd"/>
      <w:r>
        <w:rPr>
          <w:rFonts w:ascii="Times New Roman" w:eastAsia="Times New Roman" w:hAnsi="Times New Roman" w:cs="Times New Roman"/>
          <w:sz w:val="24"/>
          <w:szCs w:val="24"/>
        </w:rPr>
        <w:t xml:space="preserve">, A., Stalder, G. L., Hoffmann, D., Rosengarten, R., &amp; Walzer, C. (2014). </w:t>
      </w:r>
      <w:proofErr w:type="spellStart"/>
      <w:r>
        <w:rPr>
          <w:rFonts w:ascii="Times New Roman" w:eastAsia="Times New Roman" w:hAnsi="Times New Roman" w:cs="Times New Roman"/>
          <w:sz w:val="24"/>
          <w:szCs w:val="24"/>
        </w:rPr>
        <w:t>mecC</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mecA</w:t>
      </w:r>
      <w:proofErr w:type="spellEnd"/>
      <w:r>
        <w:rPr>
          <w:rFonts w:ascii="Times New Roman" w:eastAsia="Times New Roman" w:hAnsi="Times New Roman" w:cs="Times New Roman"/>
          <w:sz w:val="24"/>
          <w:szCs w:val="24"/>
        </w:rPr>
        <w:t xml:space="preserve">‐positive </w:t>
      </w:r>
      <w:proofErr w:type="spellStart"/>
      <w:r>
        <w:rPr>
          <w:rFonts w:ascii="Times New Roman" w:eastAsia="Times New Roman" w:hAnsi="Times New Roman" w:cs="Times New Roman"/>
          <w:sz w:val="24"/>
          <w:szCs w:val="24"/>
        </w:rPr>
        <w:t>meticillin</w:t>
      </w:r>
      <w:proofErr w:type="spellEnd"/>
      <w:r>
        <w:rPr>
          <w:rFonts w:ascii="Times New Roman" w:eastAsia="Times New Roman" w:hAnsi="Times New Roman" w:cs="Times New Roman"/>
          <w:sz w:val="24"/>
          <w:szCs w:val="24"/>
        </w:rPr>
        <w:t xml:space="preserve">‐resistant Staphylococcus aureus (MRSA) isolated from livestock sharing habitat with wildlife previously tested positive for </w:t>
      </w:r>
      <w:proofErr w:type="spellStart"/>
      <w:r>
        <w:rPr>
          <w:rFonts w:ascii="Times New Roman" w:eastAsia="Times New Roman" w:hAnsi="Times New Roman" w:cs="Times New Roman"/>
          <w:sz w:val="24"/>
          <w:szCs w:val="24"/>
        </w:rPr>
        <w:t>mecC</w:t>
      </w:r>
      <w:proofErr w:type="spellEnd"/>
      <w:r>
        <w:rPr>
          <w:rFonts w:ascii="Times New Roman" w:eastAsia="Times New Roman" w:hAnsi="Times New Roman" w:cs="Times New Roman"/>
          <w:sz w:val="24"/>
          <w:szCs w:val="24"/>
        </w:rPr>
        <w:t>‐positive MRSA. Veterinary Dermatology, 25(2), 147–148. https://doi.org/10.1111/vde.12116</w:t>
      </w:r>
    </w:p>
    <w:p w14:paraId="10B121E3"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P., Li, Z. S., Liu, F., Ren, X., Lu, N. H., Fan, Z. N., ... &amp; Zhi, F. C. (2009). Risk factors for ERCP-related complications: a prospective multicenter study. Official journal of the American College of Gastroenterology| ACG, 104(1), 31-40.</w:t>
      </w:r>
    </w:p>
    <w:p w14:paraId="766DB9BC" w14:textId="77777777" w:rsidR="00C534FC" w:rsidRDefault="008150ED">
      <w:pPr>
        <w:spacing w:after="160" w:line="278"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Khawcharoenporn</w:t>
      </w:r>
      <w:proofErr w:type="spellEnd"/>
      <w:r>
        <w:rPr>
          <w:rFonts w:ascii="Times New Roman" w:eastAsia="Times New Roman" w:hAnsi="Times New Roman" w:cs="Times New Roman"/>
          <w:sz w:val="24"/>
          <w:szCs w:val="24"/>
        </w:rPr>
        <w:t>, T., Tice, A. D., Grandinetti, A., &amp; Chow, D. (2010). Risk factors for community-associated methicillin-resistant Staphylococcus aureus cellulitis-and the value of recognition. Hawaii medical journal, 69(10), 232.</w:t>
      </w:r>
    </w:p>
    <w:p w14:paraId="6A7B4AF2"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Seguin, J. C., Walker, R. D., Caron, J. P., Kloos, W. E., George, C. G., Hollis, R. J., ... &amp; Pfaller, M. A. (1999). Methicillin-resistant Staphylococcus aureus outbreak in a veterinary teaching hospital: potential human-to-animal transmission. Journal of clinical microbiology, 37(5), 1459-1463.</w:t>
      </w:r>
    </w:p>
    <w:p w14:paraId="16F7041A"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Faires, M. C., Tater, K. C., &amp; Weese, J. S. (2009). An investigation of methicillin-resistant Staphylococcus aureus colonization in people and pets in the same household with an infected person or infected pet. Journal of the American Veterinary Medical Association, 235(5), 540-543.</w:t>
      </w:r>
    </w:p>
    <w:p w14:paraId="1D651949" w14:textId="77777777" w:rsidR="00C534FC" w:rsidRDefault="008150ED">
      <w:pPr>
        <w:spacing w:after="160" w:line="278" w:lineRule="auto"/>
        <w:ind w:left="108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Shoaib, M., Aqib, A. I., Muzammil, I., Majeed, N., Bhutta, Z. A., </w:t>
      </w:r>
      <w:proofErr w:type="spellStart"/>
      <w:r>
        <w:rPr>
          <w:rFonts w:ascii="Times New Roman" w:eastAsia="Times New Roman" w:hAnsi="Times New Roman" w:cs="Times New Roman"/>
          <w:color w:val="222222"/>
          <w:sz w:val="24"/>
          <w:szCs w:val="24"/>
          <w:highlight w:val="white"/>
        </w:rPr>
        <w:t>Kulyar</w:t>
      </w:r>
      <w:proofErr w:type="spellEnd"/>
      <w:r>
        <w:rPr>
          <w:rFonts w:ascii="Times New Roman" w:eastAsia="Times New Roman" w:hAnsi="Times New Roman" w:cs="Times New Roman"/>
          <w:color w:val="222222"/>
          <w:sz w:val="24"/>
          <w:szCs w:val="24"/>
          <w:highlight w:val="white"/>
        </w:rPr>
        <w:t>, M. F., Fatima, M., Zaheer, C. F., Muneer, A., Murtaza, M., Kashif, M., Shafqat, F., &amp; Pu, W. (2023). MRSA compendium of epidemiology, transmission, pathophysiology, treatment, and prevention within one health framework. Frontiers in Microbiology, 13, 1067284. https://doi.org/10.3389/fmicb.2022.1067284</w:t>
      </w:r>
    </w:p>
    <w:p w14:paraId="4A87D61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Organization: WHO. (2023, October 23). One health (b).</w:t>
      </w:r>
    </w:p>
    <w:p w14:paraId="582C2E21"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Stone, M. J., Swales, C., Bond, S. E., </w:t>
      </w:r>
      <w:proofErr w:type="spellStart"/>
      <w:r>
        <w:rPr>
          <w:rFonts w:ascii="Times New Roman" w:eastAsia="Times New Roman" w:hAnsi="Times New Roman" w:cs="Times New Roman"/>
          <w:sz w:val="24"/>
          <w:szCs w:val="24"/>
        </w:rPr>
        <w:t>Muthayya</w:t>
      </w:r>
      <w:proofErr w:type="spellEnd"/>
      <w:r>
        <w:rPr>
          <w:rFonts w:ascii="Times New Roman" w:eastAsia="Times New Roman" w:hAnsi="Times New Roman" w:cs="Times New Roman"/>
          <w:sz w:val="24"/>
          <w:szCs w:val="24"/>
        </w:rPr>
        <w:t xml:space="preserve">, P., &amp; Sarma, J. B. (2022). An outbreak of livestock-associated </w:t>
      </w:r>
      <w:proofErr w:type="spellStart"/>
      <w:r>
        <w:rPr>
          <w:rFonts w:ascii="Times New Roman" w:eastAsia="Times New Roman" w:hAnsi="Times New Roman" w:cs="Times New Roman"/>
          <w:sz w:val="24"/>
          <w:szCs w:val="24"/>
        </w:rPr>
        <w:t>meticillin</w:t>
      </w:r>
      <w:proofErr w:type="spellEnd"/>
      <w:r>
        <w:rPr>
          <w:rFonts w:ascii="Times New Roman" w:eastAsia="Times New Roman" w:hAnsi="Times New Roman" w:cs="Times New Roman"/>
          <w:sz w:val="24"/>
          <w:szCs w:val="24"/>
        </w:rPr>
        <w:t xml:space="preserve">-resistant Staphylococcus aureus (LA-MRSA) clonal complex 398 in a regional burns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Journal of Hospital Infection, 122, 1-8.</w:t>
      </w:r>
    </w:p>
    <w:p w14:paraId="31F28DAB" w14:textId="77777777" w:rsidR="00C534FC" w:rsidRDefault="008150ED">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Aklilu, E., &amp; Chia, H. Y. (2020). First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C and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A positive livestock-associated methicillin resistant Staphylococcus aureus (</w:t>
      </w:r>
      <w:proofErr w:type="spellStart"/>
      <w:r>
        <w:rPr>
          <w:rFonts w:ascii="Times New Roman" w:eastAsia="Times New Roman" w:hAnsi="Times New Roman" w:cs="Times New Roman"/>
          <w:sz w:val="24"/>
          <w:szCs w:val="24"/>
        </w:rPr>
        <w:t>mec</w:t>
      </w:r>
      <w:proofErr w:type="spellEnd"/>
      <w:r>
        <w:rPr>
          <w:rFonts w:ascii="Times New Roman" w:eastAsia="Times New Roman" w:hAnsi="Times New Roman" w:cs="Times New Roman"/>
          <w:sz w:val="24"/>
          <w:szCs w:val="24"/>
        </w:rPr>
        <w:t xml:space="preserve"> C MRSA/LA-MRSA) from dairy cattle in Malaysia. Microorganisms, 8(2), 147.</w:t>
      </w:r>
    </w:p>
    <w:p w14:paraId="50AE8BEA" w14:textId="77777777" w:rsidR="00C534FC" w:rsidRDefault="008150ED" w:rsidP="00946093">
      <w:pPr>
        <w:spacing w:after="160" w:line="278"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Liu, Y., Xu, Z., Yang, Z., Sun, J., &amp; Ma, L. (2016). Characterization of community-associated Staphylococcus aureus from skin and soft-tissue infections: a multicenter study in China. Emerging microbes &amp; infections, 5(1), 1-1</w:t>
      </w:r>
    </w:p>
    <w:p w14:paraId="07A59F0A" w14:textId="057EAC1A" w:rsidR="00EB0CAC" w:rsidRDefault="00EB0CAC" w:rsidP="00946093">
      <w:pPr>
        <w:spacing w:after="160" w:line="278" w:lineRule="auto"/>
        <w:ind w:left="1080" w:hanging="720"/>
        <w:jc w:val="both"/>
        <w:rPr>
          <w:rFonts w:ascii="Times New Roman" w:eastAsia="Times New Roman" w:hAnsi="Times New Roman" w:cs="Times New Roman"/>
          <w:sz w:val="24"/>
          <w:szCs w:val="24"/>
        </w:rPr>
      </w:pPr>
      <w:proofErr w:type="spellStart"/>
      <w:proofErr w:type="gramStart"/>
      <w:r w:rsidRPr="00AA10D8">
        <w:rPr>
          <w:rFonts w:ascii="Times New Roman" w:eastAsia="Times New Roman" w:hAnsi="Times New Roman" w:cs="Times New Roman"/>
          <w:sz w:val="24"/>
          <w:szCs w:val="24"/>
          <w:highlight w:val="yellow"/>
        </w:rPr>
        <w:t>Abdelgader</w:t>
      </w:r>
      <w:proofErr w:type="spellEnd"/>
      <w:r w:rsidRPr="00AA10D8">
        <w:rPr>
          <w:rFonts w:ascii="Times New Roman" w:eastAsia="Times New Roman" w:hAnsi="Times New Roman" w:cs="Times New Roman"/>
          <w:sz w:val="24"/>
          <w:szCs w:val="24"/>
          <w:highlight w:val="yellow"/>
        </w:rPr>
        <w:t xml:space="preserve"> ,</w:t>
      </w:r>
      <w:proofErr w:type="gramEnd"/>
      <w:r w:rsidRPr="00AA10D8">
        <w:rPr>
          <w:rFonts w:ascii="Times New Roman" w:eastAsia="Times New Roman" w:hAnsi="Times New Roman" w:cs="Times New Roman"/>
          <w:sz w:val="24"/>
          <w:szCs w:val="24"/>
          <w:highlight w:val="yellow"/>
        </w:rPr>
        <w:t xml:space="preserve"> L. M. A., </w:t>
      </w:r>
      <w:proofErr w:type="spellStart"/>
      <w:r w:rsidRPr="00AA10D8">
        <w:rPr>
          <w:rFonts w:ascii="Times New Roman" w:eastAsia="Times New Roman" w:hAnsi="Times New Roman" w:cs="Times New Roman"/>
          <w:sz w:val="24"/>
          <w:szCs w:val="24"/>
          <w:highlight w:val="yellow"/>
        </w:rPr>
        <w:t>Habiballuh</w:t>
      </w:r>
      <w:proofErr w:type="spellEnd"/>
      <w:r w:rsidRPr="00AA10D8">
        <w:rPr>
          <w:rFonts w:ascii="Times New Roman" w:eastAsia="Times New Roman" w:hAnsi="Times New Roman" w:cs="Times New Roman"/>
          <w:sz w:val="24"/>
          <w:szCs w:val="24"/>
          <w:highlight w:val="yellow"/>
        </w:rPr>
        <w:t xml:space="preserve"> , A. M. S., </w:t>
      </w:r>
      <w:proofErr w:type="spellStart"/>
      <w:r w:rsidRPr="00AA10D8">
        <w:rPr>
          <w:rFonts w:ascii="Times New Roman" w:eastAsia="Times New Roman" w:hAnsi="Times New Roman" w:cs="Times New Roman"/>
          <w:sz w:val="24"/>
          <w:szCs w:val="24"/>
          <w:highlight w:val="yellow"/>
        </w:rPr>
        <w:t>Altoum</w:t>
      </w:r>
      <w:proofErr w:type="spellEnd"/>
      <w:r w:rsidRPr="00AA10D8">
        <w:rPr>
          <w:rFonts w:ascii="Times New Roman" w:eastAsia="Times New Roman" w:hAnsi="Times New Roman" w:cs="Times New Roman"/>
          <w:sz w:val="24"/>
          <w:szCs w:val="24"/>
          <w:highlight w:val="yellow"/>
        </w:rPr>
        <w:t xml:space="preserve"> , A. Z. A., </w:t>
      </w:r>
      <w:proofErr w:type="spellStart"/>
      <w:r w:rsidRPr="00AA10D8">
        <w:rPr>
          <w:rFonts w:ascii="Times New Roman" w:eastAsia="Times New Roman" w:hAnsi="Times New Roman" w:cs="Times New Roman"/>
          <w:sz w:val="24"/>
          <w:szCs w:val="24"/>
          <w:highlight w:val="yellow"/>
        </w:rPr>
        <w:t>Mahjaf</w:t>
      </w:r>
      <w:proofErr w:type="spellEnd"/>
      <w:r w:rsidRPr="00AA10D8">
        <w:rPr>
          <w:rFonts w:ascii="Times New Roman" w:eastAsia="Times New Roman" w:hAnsi="Times New Roman" w:cs="Times New Roman"/>
          <w:sz w:val="24"/>
          <w:szCs w:val="24"/>
          <w:highlight w:val="yellow"/>
        </w:rPr>
        <w:t xml:space="preserve"> , G. M., Hakim , N. A. M., </w:t>
      </w:r>
      <w:proofErr w:type="spellStart"/>
      <w:r w:rsidRPr="00AA10D8">
        <w:rPr>
          <w:rFonts w:ascii="Times New Roman" w:eastAsia="Times New Roman" w:hAnsi="Times New Roman" w:cs="Times New Roman"/>
          <w:sz w:val="24"/>
          <w:szCs w:val="24"/>
          <w:highlight w:val="yellow"/>
        </w:rPr>
        <w:t>Altaher</w:t>
      </w:r>
      <w:proofErr w:type="spellEnd"/>
      <w:r w:rsidRPr="00AA10D8">
        <w:rPr>
          <w:rFonts w:ascii="Times New Roman" w:eastAsia="Times New Roman" w:hAnsi="Times New Roman" w:cs="Times New Roman"/>
          <w:sz w:val="24"/>
          <w:szCs w:val="24"/>
          <w:highlight w:val="yellow"/>
        </w:rPr>
        <w:t xml:space="preserve"> , T. A. A., &amp; </w:t>
      </w:r>
      <w:proofErr w:type="spellStart"/>
      <w:r w:rsidRPr="00AA10D8">
        <w:rPr>
          <w:rFonts w:ascii="Times New Roman" w:eastAsia="Times New Roman" w:hAnsi="Times New Roman" w:cs="Times New Roman"/>
          <w:sz w:val="24"/>
          <w:szCs w:val="24"/>
          <w:highlight w:val="yellow"/>
        </w:rPr>
        <w:t>Gorish</w:t>
      </w:r>
      <w:proofErr w:type="spellEnd"/>
      <w:r w:rsidRPr="00AA10D8">
        <w:rPr>
          <w:rFonts w:ascii="Times New Roman" w:eastAsia="Times New Roman" w:hAnsi="Times New Roman" w:cs="Times New Roman"/>
          <w:sz w:val="24"/>
          <w:szCs w:val="24"/>
          <w:highlight w:val="yellow"/>
        </w:rPr>
        <w:t xml:space="preserve"> , B. M. T. (2024). Prevalence of Methicillin-Resistant Staphylococcus aureus in Nasal Cavity of Medical Students at </w:t>
      </w:r>
      <w:proofErr w:type="spellStart"/>
      <w:r w:rsidRPr="00AA10D8">
        <w:rPr>
          <w:rFonts w:ascii="Times New Roman" w:eastAsia="Times New Roman" w:hAnsi="Times New Roman" w:cs="Times New Roman"/>
          <w:sz w:val="24"/>
          <w:szCs w:val="24"/>
          <w:highlight w:val="yellow"/>
        </w:rPr>
        <w:t>Shendi</w:t>
      </w:r>
      <w:proofErr w:type="spellEnd"/>
      <w:r w:rsidRPr="00AA10D8">
        <w:rPr>
          <w:rFonts w:ascii="Times New Roman" w:eastAsia="Times New Roman" w:hAnsi="Times New Roman" w:cs="Times New Roman"/>
          <w:sz w:val="24"/>
          <w:szCs w:val="24"/>
          <w:highlight w:val="yellow"/>
        </w:rPr>
        <w:t xml:space="preserve"> University, Sudan. South Asian Journal of Research in Microbiology,</w:t>
      </w:r>
      <w:r w:rsidRPr="00EB0CAC">
        <w:rPr>
          <w:rFonts w:ascii="Times New Roman" w:eastAsia="Times New Roman" w:hAnsi="Times New Roman" w:cs="Times New Roman"/>
          <w:sz w:val="24"/>
          <w:szCs w:val="24"/>
        </w:rPr>
        <w:t xml:space="preserve"> 18(2), 9–14. </w:t>
      </w:r>
      <w:hyperlink r:id="rId143" w:history="1">
        <w:r w:rsidR="00393E75" w:rsidRPr="00F34F89">
          <w:rPr>
            <w:rStyle w:val="Hyperlink"/>
            <w:rFonts w:ascii="Times New Roman" w:eastAsia="Times New Roman" w:hAnsi="Times New Roman" w:cs="Times New Roman"/>
            <w:sz w:val="24"/>
            <w:szCs w:val="24"/>
          </w:rPr>
          <w:t>https://doi.org/10.9734/sajrm/2024/v18i2344</w:t>
        </w:r>
      </w:hyperlink>
    </w:p>
    <w:p w14:paraId="3C94EF3E" w14:textId="1B28C431" w:rsidR="00393E75" w:rsidRDefault="00393E75" w:rsidP="00946093">
      <w:pPr>
        <w:spacing w:after="160" w:line="278" w:lineRule="auto"/>
        <w:ind w:left="1080" w:hanging="720"/>
        <w:jc w:val="both"/>
        <w:rPr>
          <w:rFonts w:ascii="Times New Roman" w:eastAsia="Times New Roman" w:hAnsi="Times New Roman" w:cs="Times New Roman"/>
          <w:sz w:val="24"/>
          <w:szCs w:val="24"/>
        </w:rPr>
      </w:pPr>
      <w:r w:rsidRPr="00393E75">
        <w:rPr>
          <w:rFonts w:ascii="Times New Roman" w:eastAsia="Times New Roman" w:hAnsi="Times New Roman" w:cs="Times New Roman"/>
          <w:sz w:val="24"/>
          <w:szCs w:val="24"/>
          <w:highlight w:val="yellow"/>
        </w:rPr>
        <w:t>Hutchings, M. I., Truman, A. W., &amp; Wilkinson, B. (2019). Antibiotics: past, present and future. Current opinion in microbiology, 51, 72-80.</w:t>
      </w:r>
    </w:p>
    <w:p w14:paraId="39078857" w14:textId="77777777" w:rsidR="00512A29" w:rsidRDefault="00512A29" w:rsidP="00946093">
      <w:pPr>
        <w:spacing w:after="160" w:line="278" w:lineRule="auto"/>
        <w:ind w:left="1080" w:hanging="720"/>
        <w:jc w:val="both"/>
        <w:rPr>
          <w:rFonts w:ascii="Times New Roman" w:eastAsia="Times New Roman" w:hAnsi="Times New Roman" w:cs="Times New Roman"/>
          <w:sz w:val="24"/>
          <w:szCs w:val="24"/>
          <w:highlight w:val="yellow"/>
        </w:rPr>
      </w:pPr>
      <w:r w:rsidRPr="00512A29">
        <w:rPr>
          <w:rFonts w:ascii="Times New Roman" w:eastAsia="Times New Roman" w:hAnsi="Times New Roman" w:cs="Times New Roman"/>
          <w:sz w:val="24"/>
          <w:szCs w:val="24"/>
          <w:highlight w:val="yellow"/>
        </w:rPr>
        <w:t>Alghamdi, B. A., Al-</w:t>
      </w:r>
      <w:proofErr w:type="spellStart"/>
      <w:r w:rsidRPr="00512A29">
        <w:rPr>
          <w:rFonts w:ascii="Times New Roman" w:eastAsia="Times New Roman" w:hAnsi="Times New Roman" w:cs="Times New Roman"/>
          <w:sz w:val="24"/>
          <w:szCs w:val="24"/>
          <w:highlight w:val="yellow"/>
        </w:rPr>
        <w:t>Johani</w:t>
      </w:r>
      <w:proofErr w:type="spellEnd"/>
      <w:r w:rsidRPr="00512A29">
        <w:rPr>
          <w:rFonts w:ascii="Times New Roman" w:eastAsia="Times New Roman" w:hAnsi="Times New Roman" w:cs="Times New Roman"/>
          <w:sz w:val="24"/>
          <w:szCs w:val="24"/>
          <w:highlight w:val="yellow"/>
        </w:rPr>
        <w:t>, I., Al-</w:t>
      </w:r>
      <w:proofErr w:type="spellStart"/>
      <w:r w:rsidRPr="00512A29">
        <w:rPr>
          <w:rFonts w:ascii="Times New Roman" w:eastAsia="Times New Roman" w:hAnsi="Times New Roman" w:cs="Times New Roman"/>
          <w:sz w:val="24"/>
          <w:szCs w:val="24"/>
          <w:highlight w:val="yellow"/>
        </w:rPr>
        <w:t>Shamrani</w:t>
      </w:r>
      <w:proofErr w:type="spellEnd"/>
      <w:r w:rsidRPr="00512A29">
        <w:rPr>
          <w:rFonts w:ascii="Times New Roman" w:eastAsia="Times New Roman" w:hAnsi="Times New Roman" w:cs="Times New Roman"/>
          <w:sz w:val="24"/>
          <w:szCs w:val="24"/>
          <w:highlight w:val="yellow"/>
        </w:rPr>
        <w:t xml:space="preserve">, J. M., </w:t>
      </w:r>
      <w:proofErr w:type="spellStart"/>
      <w:r w:rsidRPr="00512A29">
        <w:rPr>
          <w:rFonts w:ascii="Times New Roman" w:eastAsia="Times New Roman" w:hAnsi="Times New Roman" w:cs="Times New Roman"/>
          <w:sz w:val="24"/>
          <w:szCs w:val="24"/>
          <w:highlight w:val="yellow"/>
        </w:rPr>
        <w:t>Alshamrani</w:t>
      </w:r>
      <w:proofErr w:type="spellEnd"/>
      <w:r w:rsidRPr="00512A29">
        <w:rPr>
          <w:rFonts w:ascii="Times New Roman" w:eastAsia="Times New Roman" w:hAnsi="Times New Roman" w:cs="Times New Roman"/>
          <w:sz w:val="24"/>
          <w:szCs w:val="24"/>
          <w:highlight w:val="yellow"/>
        </w:rPr>
        <w:t>, H. M., Al-</w:t>
      </w:r>
      <w:proofErr w:type="spellStart"/>
      <w:r w:rsidRPr="00512A29">
        <w:rPr>
          <w:rFonts w:ascii="Times New Roman" w:eastAsia="Times New Roman" w:hAnsi="Times New Roman" w:cs="Times New Roman"/>
          <w:sz w:val="24"/>
          <w:szCs w:val="24"/>
          <w:highlight w:val="yellow"/>
        </w:rPr>
        <w:t>Otaibi</w:t>
      </w:r>
      <w:proofErr w:type="spellEnd"/>
      <w:r w:rsidRPr="00512A29">
        <w:rPr>
          <w:rFonts w:ascii="Times New Roman" w:eastAsia="Times New Roman" w:hAnsi="Times New Roman" w:cs="Times New Roman"/>
          <w:sz w:val="24"/>
          <w:szCs w:val="24"/>
          <w:highlight w:val="yellow"/>
        </w:rPr>
        <w:t xml:space="preserve">, B. G., </w:t>
      </w:r>
      <w:proofErr w:type="spellStart"/>
      <w:r w:rsidRPr="00512A29">
        <w:rPr>
          <w:rFonts w:ascii="Times New Roman" w:eastAsia="Times New Roman" w:hAnsi="Times New Roman" w:cs="Times New Roman"/>
          <w:sz w:val="24"/>
          <w:szCs w:val="24"/>
          <w:highlight w:val="yellow"/>
        </w:rPr>
        <w:t>Almazmomi</w:t>
      </w:r>
      <w:proofErr w:type="spellEnd"/>
      <w:r w:rsidRPr="00512A29">
        <w:rPr>
          <w:rFonts w:ascii="Times New Roman" w:eastAsia="Times New Roman" w:hAnsi="Times New Roman" w:cs="Times New Roman"/>
          <w:sz w:val="24"/>
          <w:szCs w:val="24"/>
          <w:highlight w:val="yellow"/>
        </w:rPr>
        <w:t>, K., &amp; Yusof, N. Y. (2023). Antimicrobial resistance in methicillin-resistant Staphylococcus aureus. Saudi journal of biological sciences, 30(4), 103604.</w:t>
      </w:r>
    </w:p>
    <w:p w14:paraId="3CED7F5E" w14:textId="77777777" w:rsidR="0071071A" w:rsidRDefault="0071071A" w:rsidP="00946093">
      <w:pPr>
        <w:spacing w:after="160" w:line="278" w:lineRule="auto"/>
        <w:ind w:left="1080" w:hanging="720"/>
        <w:jc w:val="both"/>
        <w:rPr>
          <w:rFonts w:ascii="Times New Roman" w:eastAsia="Times New Roman" w:hAnsi="Times New Roman" w:cs="Times New Roman"/>
          <w:sz w:val="24"/>
          <w:szCs w:val="24"/>
          <w:highlight w:val="yellow"/>
        </w:rPr>
      </w:pPr>
      <w:proofErr w:type="spellStart"/>
      <w:r w:rsidRPr="0071071A">
        <w:rPr>
          <w:rFonts w:ascii="Times New Roman" w:eastAsia="Times New Roman" w:hAnsi="Times New Roman" w:cs="Times New Roman"/>
          <w:sz w:val="24"/>
          <w:szCs w:val="24"/>
          <w:highlight w:val="yellow"/>
        </w:rPr>
        <w:t>Osiyemi</w:t>
      </w:r>
      <w:proofErr w:type="spellEnd"/>
      <w:r w:rsidRPr="0071071A">
        <w:rPr>
          <w:rFonts w:ascii="Times New Roman" w:eastAsia="Times New Roman" w:hAnsi="Times New Roman" w:cs="Times New Roman"/>
          <w:sz w:val="24"/>
          <w:szCs w:val="24"/>
          <w:highlight w:val="yellow"/>
        </w:rPr>
        <w:t xml:space="preserve">, J. A., A. </w:t>
      </w:r>
      <w:proofErr w:type="spellStart"/>
      <w:r w:rsidRPr="0071071A">
        <w:rPr>
          <w:rFonts w:ascii="Times New Roman" w:eastAsia="Times New Roman" w:hAnsi="Times New Roman" w:cs="Times New Roman"/>
          <w:sz w:val="24"/>
          <w:szCs w:val="24"/>
          <w:highlight w:val="yellow"/>
        </w:rPr>
        <w:t>Osinupebi</w:t>
      </w:r>
      <w:proofErr w:type="spellEnd"/>
      <w:r w:rsidRPr="0071071A">
        <w:rPr>
          <w:rFonts w:ascii="Times New Roman" w:eastAsia="Times New Roman" w:hAnsi="Times New Roman" w:cs="Times New Roman"/>
          <w:sz w:val="24"/>
          <w:szCs w:val="24"/>
          <w:highlight w:val="yellow"/>
        </w:rPr>
        <w:t xml:space="preserve">, O., </w:t>
      </w:r>
      <w:proofErr w:type="spellStart"/>
      <w:r w:rsidRPr="0071071A">
        <w:rPr>
          <w:rFonts w:ascii="Times New Roman" w:eastAsia="Times New Roman" w:hAnsi="Times New Roman" w:cs="Times New Roman"/>
          <w:sz w:val="24"/>
          <w:szCs w:val="24"/>
          <w:highlight w:val="yellow"/>
        </w:rPr>
        <w:t>Ejilude</w:t>
      </w:r>
      <w:proofErr w:type="spellEnd"/>
      <w:r w:rsidRPr="0071071A">
        <w:rPr>
          <w:rFonts w:ascii="Times New Roman" w:eastAsia="Times New Roman" w:hAnsi="Times New Roman" w:cs="Times New Roman"/>
          <w:sz w:val="24"/>
          <w:szCs w:val="24"/>
          <w:highlight w:val="yellow"/>
        </w:rPr>
        <w:t xml:space="preserve">, O., O. </w:t>
      </w:r>
      <w:proofErr w:type="spellStart"/>
      <w:r w:rsidRPr="0071071A">
        <w:rPr>
          <w:rFonts w:ascii="Times New Roman" w:eastAsia="Times New Roman" w:hAnsi="Times New Roman" w:cs="Times New Roman"/>
          <w:sz w:val="24"/>
          <w:szCs w:val="24"/>
          <w:highlight w:val="yellow"/>
        </w:rPr>
        <w:t>Makanjuola</w:t>
      </w:r>
      <w:proofErr w:type="spellEnd"/>
      <w:r w:rsidRPr="0071071A">
        <w:rPr>
          <w:rFonts w:ascii="Times New Roman" w:eastAsia="Times New Roman" w:hAnsi="Times New Roman" w:cs="Times New Roman"/>
          <w:sz w:val="24"/>
          <w:szCs w:val="24"/>
          <w:highlight w:val="yellow"/>
        </w:rPr>
        <w:t xml:space="preserve">, S., O. </w:t>
      </w:r>
      <w:proofErr w:type="spellStart"/>
      <w:r w:rsidRPr="0071071A">
        <w:rPr>
          <w:rFonts w:ascii="Times New Roman" w:eastAsia="Times New Roman" w:hAnsi="Times New Roman" w:cs="Times New Roman"/>
          <w:sz w:val="24"/>
          <w:szCs w:val="24"/>
          <w:highlight w:val="yellow"/>
        </w:rPr>
        <w:t>Sunmola</w:t>
      </w:r>
      <w:proofErr w:type="spellEnd"/>
      <w:r w:rsidRPr="0071071A">
        <w:rPr>
          <w:rFonts w:ascii="Times New Roman" w:eastAsia="Times New Roman" w:hAnsi="Times New Roman" w:cs="Times New Roman"/>
          <w:sz w:val="24"/>
          <w:szCs w:val="24"/>
          <w:highlight w:val="yellow"/>
        </w:rPr>
        <w:t xml:space="preserve">, N., &amp; O. </w:t>
      </w:r>
      <w:proofErr w:type="spellStart"/>
      <w:r w:rsidRPr="0071071A">
        <w:rPr>
          <w:rFonts w:ascii="Times New Roman" w:eastAsia="Times New Roman" w:hAnsi="Times New Roman" w:cs="Times New Roman"/>
          <w:sz w:val="24"/>
          <w:szCs w:val="24"/>
          <w:highlight w:val="yellow"/>
        </w:rPr>
        <w:t>Osiyemi</w:t>
      </w:r>
      <w:proofErr w:type="spellEnd"/>
      <w:r w:rsidRPr="0071071A">
        <w:rPr>
          <w:rFonts w:ascii="Times New Roman" w:eastAsia="Times New Roman" w:hAnsi="Times New Roman" w:cs="Times New Roman"/>
          <w:sz w:val="24"/>
          <w:szCs w:val="24"/>
          <w:highlight w:val="yellow"/>
        </w:rPr>
        <w:t xml:space="preserve">, E. (2018). Antibiotic Resistance Profile of Methicillin-Resistant Staphylococcus aureus in Abeokuta, Nigeria. Journal of </w:t>
      </w:r>
      <w:r w:rsidRPr="0071071A">
        <w:rPr>
          <w:rFonts w:ascii="Times New Roman" w:eastAsia="Times New Roman" w:hAnsi="Times New Roman" w:cs="Times New Roman"/>
          <w:sz w:val="24"/>
          <w:szCs w:val="24"/>
          <w:highlight w:val="yellow"/>
        </w:rPr>
        <w:lastRenderedPageBreak/>
        <w:t>Advances in Microbiology, 9(2), 1–9. https://doi.org/10.9734/JAMB/2018/39800</w:t>
      </w:r>
    </w:p>
    <w:p w14:paraId="7A91F9B8" w14:textId="5AB3D990" w:rsidR="00C566F1" w:rsidRPr="00946093" w:rsidRDefault="00C566F1" w:rsidP="00946093">
      <w:pPr>
        <w:spacing w:after="160" w:line="278" w:lineRule="auto"/>
        <w:ind w:left="1080" w:hanging="720"/>
        <w:jc w:val="both"/>
        <w:rPr>
          <w:rFonts w:ascii="Times New Roman" w:eastAsia="Times New Roman" w:hAnsi="Times New Roman" w:cs="Times New Roman"/>
          <w:sz w:val="24"/>
          <w:szCs w:val="24"/>
        </w:rPr>
        <w:sectPr w:rsidR="00C566F1" w:rsidRPr="00946093" w:rsidSect="00FD6D0A">
          <w:headerReference w:type="even" r:id="rId144"/>
          <w:headerReference w:type="default" r:id="rId145"/>
          <w:footerReference w:type="default" r:id="rId146"/>
          <w:headerReference w:type="first" r:id="rId147"/>
          <w:type w:val="continuous"/>
          <w:pgSz w:w="12240" w:h="15840"/>
          <w:pgMar w:top="1440" w:right="2016" w:bottom="2016" w:left="2016" w:header="720" w:footer="1123" w:gutter="0"/>
          <w:cols w:space="720"/>
          <w:docGrid w:linePitch="272"/>
        </w:sectPr>
      </w:pPr>
      <w:r w:rsidRPr="00C566F1">
        <w:rPr>
          <w:rFonts w:ascii="Times New Roman" w:eastAsia="Times New Roman" w:hAnsi="Times New Roman" w:cs="Times New Roman"/>
          <w:sz w:val="24"/>
          <w:szCs w:val="24"/>
          <w:highlight w:val="yellow"/>
        </w:rPr>
        <w:t xml:space="preserve">Abebe, A. A., &amp; </w:t>
      </w:r>
      <w:proofErr w:type="spellStart"/>
      <w:r w:rsidRPr="00C566F1">
        <w:rPr>
          <w:rFonts w:ascii="Times New Roman" w:eastAsia="Times New Roman" w:hAnsi="Times New Roman" w:cs="Times New Roman"/>
          <w:sz w:val="24"/>
          <w:szCs w:val="24"/>
          <w:highlight w:val="yellow"/>
        </w:rPr>
        <w:t>Birhanu</w:t>
      </w:r>
      <w:proofErr w:type="spellEnd"/>
      <w:r w:rsidRPr="00C566F1">
        <w:rPr>
          <w:rFonts w:ascii="Times New Roman" w:eastAsia="Times New Roman" w:hAnsi="Times New Roman" w:cs="Times New Roman"/>
          <w:sz w:val="24"/>
          <w:szCs w:val="24"/>
          <w:highlight w:val="yellow"/>
        </w:rPr>
        <w:t>, A. G. (2023). Methicillin resistant Staphylococcus aureus: molecular mechanisms underlying drug resistance development and novel strategies to combat. Infection and drug resistance, 7641-7662.</w:t>
      </w:r>
    </w:p>
    <w:p w14:paraId="4D25FEC1" w14:textId="77777777" w:rsidR="00C534FC" w:rsidRDefault="00C534FC" w:rsidP="00946093">
      <w:pPr>
        <w:keepNext/>
        <w:pBdr>
          <w:top w:val="nil"/>
          <w:left w:val="nil"/>
          <w:bottom w:val="nil"/>
          <w:right w:val="nil"/>
          <w:between w:val="nil"/>
        </w:pBdr>
        <w:jc w:val="both"/>
        <w:rPr>
          <w:rFonts w:ascii="Times New Roman" w:eastAsia="Times New Roman" w:hAnsi="Times New Roman" w:cs="Times New Roman"/>
          <w:smallCaps/>
          <w:color w:val="000000"/>
          <w:sz w:val="24"/>
          <w:szCs w:val="24"/>
        </w:rPr>
      </w:pPr>
    </w:p>
    <w:p w14:paraId="3FA1F59F" w14:textId="77777777" w:rsidR="001D113C" w:rsidRDefault="001D113C" w:rsidP="00946093">
      <w:pPr>
        <w:keepNext/>
        <w:pBdr>
          <w:top w:val="nil"/>
          <w:left w:val="nil"/>
          <w:bottom w:val="nil"/>
          <w:right w:val="nil"/>
          <w:between w:val="nil"/>
        </w:pBdr>
        <w:jc w:val="both"/>
        <w:rPr>
          <w:rFonts w:ascii="Times New Roman" w:eastAsia="Times New Roman" w:hAnsi="Times New Roman" w:cs="Times New Roman"/>
          <w:smallCaps/>
          <w:color w:val="000000"/>
          <w:sz w:val="24"/>
          <w:szCs w:val="24"/>
        </w:rPr>
      </w:pPr>
    </w:p>
    <w:p w14:paraId="0EA66F23" w14:textId="77777777" w:rsidR="001D113C" w:rsidRDefault="001D113C" w:rsidP="00946093">
      <w:pPr>
        <w:keepNext/>
        <w:pBdr>
          <w:top w:val="nil"/>
          <w:left w:val="nil"/>
          <w:bottom w:val="nil"/>
          <w:right w:val="nil"/>
          <w:between w:val="nil"/>
        </w:pBdr>
        <w:jc w:val="both"/>
        <w:rPr>
          <w:rFonts w:ascii="Times New Roman" w:eastAsia="Times New Roman" w:hAnsi="Times New Roman" w:cs="Times New Roman"/>
          <w:smallCaps/>
          <w:color w:val="000000"/>
          <w:sz w:val="24"/>
          <w:szCs w:val="24"/>
        </w:rPr>
      </w:pPr>
    </w:p>
    <w:sectPr w:rsidR="001D113C" w:rsidSect="00FD6D0A">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5625F" w14:textId="77777777" w:rsidR="007A0DE9" w:rsidRDefault="007A0DE9">
      <w:r>
        <w:separator/>
      </w:r>
    </w:p>
  </w:endnote>
  <w:endnote w:type="continuationSeparator" w:id="0">
    <w:p w14:paraId="2F414AE6" w14:textId="77777777" w:rsidR="007A0DE9" w:rsidRDefault="007A0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2108B5A-F315-4EA6-A635-736EDADFDA89}"/>
    <w:embedItalic r:id="rId2" w:fontKey="{4DA0877F-4FA8-493D-A833-2608AED8E5ED}"/>
  </w:font>
  <w:font w:name="Segoe UI">
    <w:panose1 w:val="020B0502040204020203"/>
    <w:charset w:val="00"/>
    <w:family w:val="swiss"/>
    <w:pitch w:val="variable"/>
    <w:sig w:usb0="E4002EFF" w:usb1="C000E47F" w:usb2="00000009" w:usb3="00000000" w:csb0="000001FF" w:csb1="00000000"/>
    <w:embedRegular r:id="rId3" w:fontKey="{729E2F8A-51CF-4070-B1BE-E36CF7A3C32C}"/>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4" w:fontKey="{CFDD3EBC-AB51-4E4B-ADB3-2853E59DE048}"/>
  </w:font>
  <w:font w:name="Cambria">
    <w:altName w:val="Cambria"/>
    <w:panose1 w:val="02040503050406030204"/>
    <w:charset w:val="00"/>
    <w:family w:val="roman"/>
    <w:pitch w:val="variable"/>
    <w:sig w:usb0="E00006FF" w:usb1="420024FF" w:usb2="02000000" w:usb3="00000000" w:csb0="0000019F" w:csb1="00000000"/>
    <w:embedRegular r:id="rId5" w:fontKey="{732A3A1E-0351-4815-8FAC-9EA091D814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0C0AD" w14:textId="77777777" w:rsidR="00C534FC" w:rsidRDefault="00C534F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C8C3F" w14:textId="77777777" w:rsidR="00FD6D0A" w:rsidRDefault="00FD6D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AA5D8" w14:textId="77777777" w:rsidR="00C534FC" w:rsidRDefault="00C534F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D393EA9" w14:textId="77777777" w:rsidR="00C534FC" w:rsidRDefault="008150ED">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825C884" w14:textId="77777777" w:rsidR="00C534FC" w:rsidRDefault="00C534F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C8A31D0" w14:textId="77777777" w:rsidR="00C534FC" w:rsidRDefault="008150ED">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3FF3F" w14:textId="77777777" w:rsidR="00C534FC" w:rsidRDefault="00C534F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5E969" w14:textId="77777777" w:rsidR="007A0DE9" w:rsidRDefault="007A0DE9">
      <w:r>
        <w:separator/>
      </w:r>
    </w:p>
  </w:footnote>
  <w:footnote w:type="continuationSeparator" w:id="0">
    <w:p w14:paraId="42D89170" w14:textId="77777777" w:rsidR="007A0DE9" w:rsidRDefault="007A0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49CC3" w14:textId="276D8E33" w:rsidR="00C534FC" w:rsidRDefault="007A0DE9">
    <w:pPr>
      <w:pBdr>
        <w:top w:val="nil"/>
        <w:left w:val="nil"/>
        <w:bottom w:val="nil"/>
        <w:right w:val="nil"/>
        <w:between w:val="nil"/>
      </w:pBdr>
      <w:tabs>
        <w:tab w:val="center" w:pos="4320"/>
        <w:tab w:val="right" w:pos="8640"/>
      </w:tabs>
      <w:rPr>
        <w:color w:val="000000"/>
      </w:rPr>
    </w:pPr>
    <w:r>
      <w:rPr>
        <w:noProof/>
      </w:rPr>
      <w:pict w14:anchorId="7A7CF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F36B6" w14:textId="60BC18A6" w:rsidR="00C534FC" w:rsidRDefault="007A0DE9">
    <w:pPr>
      <w:pBdr>
        <w:top w:val="nil"/>
        <w:left w:val="nil"/>
        <w:bottom w:val="nil"/>
        <w:right w:val="nil"/>
        <w:between w:val="nil"/>
      </w:pBdr>
      <w:tabs>
        <w:tab w:val="center" w:pos="4320"/>
        <w:tab w:val="right" w:pos="8640"/>
      </w:tabs>
      <w:rPr>
        <w:color w:val="000000"/>
      </w:rPr>
    </w:pPr>
    <w:r>
      <w:rPr>
        <w:noProof/>
      </w:rPr>
      <w:pict w14:anchorId="73175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9341" w14:textId="68147512" w:rsidR="00C534FC" w:rsidRDefault="007A0DE9">
    <w:pPr>
      <w:ind w:left="2160"/>
      <w:jc w:val="center"/>
      <w:rPr>
        <w:rFonts w:ascii="Times New Roman" w:eastAsia="Times New Roman" w:hAnsi="Times New Roman" w:cs="Times New Roman"/>
        <w:i/>
        <w:sz w:val="18"/>
        <w:szCs w:val="18"/>
      </w:rPr>
    </w:pPr>
    <w:r>
      <w:rPr>
        <w:noProof/>
      </w:rPr>
      <w:pict w14:anchorId="386A7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562E026C" w14:textId="77777777" w:rsidR="00C534FC" w:rsidRDefault="008150ED">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E1FD2F5" w14:textId="77777777" w:rsidR="00C534FC" w:rsidRDefault="008150E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5ECE628" w14:textId="77777777" w:rsidR="00C534FC" w:rsidRDefault="008150ED">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C466E9D" w14:textId="77777777" w:rsidR="00C534FC" w:rsidRDefault="008150E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50E4DF5" w14:textId="77777777" w:rsidR="00C534FC" w:rsidRDefault="008150ED">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0D19070" w14:textId="77777777" w:rsidR="00C534FC" w:rsidRDefault="008150E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FB702" w14:textId="4C49D042" w:rsidR="00FD6D0A" w:rsidRDefault="007A0DE9">
    <w:pPr>
      <w:pStyle w:val="Header"/>
    </w:pPr>
    <w:r>
      <w:rPr>
        <w:noProof/>
      </w:rPr>
      <w:pict w14:anchorId="68D19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559D" w14:textId="60CE7D1A" w:rsidR="00FD6D0A" w:rsidRDefault="007A0DE9">
    <w:pPr>
      <w:pStyle w:val="Header"/>
    </w:pPr>
    <w:r>
      <w:rPr>
        <w:noProof/>
      </w:rPr>
      <w:pict w14:anchorId="28911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0B9F" w14:textId="038EDD53" w:rsidR="00FD6D0A" w:rsidRDefault="007A0DE9">
    <w:pPr>
      <w:pStyle w:val="Header"/>
    </w:pPr>
    <w:r>
      <w:rPr>
        <w:noProof/>
      </w:rPr>
      <w:pict w14:anchorId="40B89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996632"/>
    <w:multiLevelType w:val="hybridMultilevel"/>
    <w:tmpl w:val="3050FC5C"/>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2MzSxMLAwsjAzM7BQ0lEKTi0uzszPAykwrAUAOohbfSwAAAA="/>
  </w:docVars>
  <w:rsids>
    <w:rsidRoot w:val="00C534FC"/>
    <w:rsid w:val="0004186D"/>
    <w:rsid w:val="00056F99"/>
    <w:rsid w:val="00076391"/>
    <w:rsid w:val="0007672B"/>
    <w:rsid w:val="00087F98"/>
    <w:rsid w:val="000A062B"/>
    <w:rsid w:val="000D768F"/>
    <w:rsid w:val="001132DE"/>
    <w:rsid w:val="0011567D"/>
    <w:rsid w:val="00117795"/>
    <w:rsid w:val="00150DDB"/>
    <w:rsid w:val="00196128"/>
    <w:rsid w:val="001D113C"/>
    <w:rsid w:val="00214FA1"/>
    <w:rsid w:val="002957F7"/>
    <w:rsid w:val="002A41A0"/>
    <w:rsid w:val="002E16FB"/>
    <w:rsid w:val="003312AF"/>
    <w:rsid w:val="00346DB4"/>
    <w:rsid w:val="00383872"/>
    <w:rsid w:val="00393E75"/>
    <w:rsid w:val="0039752A"/>
    <w:rsid w:val="003B3C47"/>
    <w:rsid w:val="003D12FA"/>
    <w:rsid w:val="00483D09"/>
    <w:rsid w:val="00487DF9"/>
    <w:rsid w:val="00512A29"/>
    <w:rsid w:val="00570F28"/>
    <w:rsid w:val="005E5528"/>
    <w:rsid w:val="006038E8"/>
    <w:rsid w:val="00610A08"/>
    <w:rsid w:val="0071071A"/>
    <w:rsid w:val="00743264"/>
    <w:rsid w:val="007650ED"/>
    <w:rsid w:val="007832C6"/>
    <w:rsid w:val="007A0DE9"/>
    <w:rsid w:val="007B2043"/>
    <w:rsid w:val="007C1707"/>
    <w:rsid w:val="007F1404"/>
    <w:rsid w:val="00814ECD"/>
    <w:rsid w:val="008150ED"/>
    <w:rsid w:val="00827C78"/>
    <w:rsid w:val="00837B97"/>
    <w:rsid w:val="00844A5F"/>
    <w:rsid w:val="008452F1"/>
    <w:rsid w:val="00872CC6"/>
    <w:rsid w:val="0088334C"/>
    <w:rsid w:val="0093007A"/>
    <w:rsid w:val="00946093"/>
    <w:rsid w:val="009C4C5F"/>
    <w:rsid w:val="009E6F85"/>
    <w:rsid w:val="00A11194"/>
    <w:rsid w:val="00A90F9A"/>
    <w:rsid w:val="00AA10D8"/>
    <w:rsid w:val="00BD390D"/>
    <w:rsid w:val="00C168E3"/>
    <w:rsid w:val="00C534FC"/>
    <w:rsid w:val="00C566F1"/>
    <w:rsid w:val="00C71B55"/>
    <w:rsid w:val="00C952F8"/>
    <w:rsid w:val="00CB1BE3"/>
    <w:rsid w:val="00CD3BA4"/>
    <w:rsid w:val="00CF338D"/>
    <w:rsid w:val="00D13786"/>
    <w:rsid w:val="00D3173C"/>
    <w:rsid w:val="00E45BA8"/>
    <w:rsid w:val="00E86A0E"/>
    <w:rsid w:val="00EB0CAC"/>
    <w:rsid w:val="00EC6987"/>
    <w:rsid w:val="00EC7404"/>
    <w:rsid w:val="00F9472F"/>
    <w:rsid w:val="00FD6D0A"/>
    <w:rsid w:val="00FF5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1CFFBA4"/>
  <w15:docId w15:val="{ECE8D8D1-C644-4D48-AFD4-44F811C5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946093"/>
  </w:style>
  <w:style w:type="character" w:styleId="Hyperlink">
    <w:name w:val="Hyperlink"/>
    <w:basedOn w:val="DefaultParagraphFont"/>
    <w:uiPriority w:val="99"/>
    <w:unhideWhenUsed/>
    <w:rsid w:val="00570F28"/>
    <w:rPr>
      <w:color w:val="0000FF" w:themeColor="hyperlink"/>
      <w:u w:val="single"/>
    </w:rPr>
  </w:style>
  <w:style w:type="character" w:styleId="UnresolvedMention">
    <w:name w:val="Unresolved Mention"/>
    <w:basedOn w:val="DefaultParagraphFont"/>
    <w:uiPriority w:val="99"/>
    <w:semiHidden/>
    <w:unhideWhenUsed/>
    <w:rsid w:val="00570F28"/>
    <w:rPr>
      <w:color w:val="605E5C"/>
      <w:shd w:val="clear" w:color="auto" w:fill="E1DFDD"/>
    </w:rPr>
  </w:style>
  <w:style w:type="paragraph" w:styleId="Footer">
    <w:name w:val="footer"/>
    <w:basedOn w:val="Normal"/>
    <w:link w:val="FooterChar"/>
    <w:uiPriority w:val="99"/>
    <w:unhideWhenUsed/>
    <w:rsid w:val="007C1707"/>
    <w:pPr>
      <w:tabs>
        <w:tab w:val="center" w:pos="4513"/>
        <w:tab w:val="right" w:pos="9026"/>
      </w:tabs>
    </w:pPr>
  </w:style>
  <w:style w:type="character" w:customStyle="1" w:styleId="FooterChar">
    <w:name w:val="Footer Char"/>
    <w:basedOn w:val="DefaultParagraphFont"/>
    <w:link w:val="Footer"/>
    <w:uiPriority w:val="99"/>
    <w:rsid w:val="007C1707"/>
  </w:style>
  <w:style w:type="paragraph" w:styleId="ListParagraph">
    <w:name w:val="List Paragraph"/>
    <w:basedOn w:val="Normal"/>
    <w:uiPriority w:val="34"/>
    <w:qFormat/>
    <w:rsid w:val="007C1707"/>
    <w:pPr>
      <w:ind w:left="720"/>
      <w:contextualSpacing/>
    </w:pPr>
  </w:style>
  <w:style w:type="paragraph" w:styleId="Header">
    <w:name w:val="header"/>
    <w:basedOn w:val="Normal"/>
    <w:link w:val="HeaderChar"/>
    <w:uiPriority w:val="99"/>
    <w:unhideWhenUsed/>
    <w:rsid w:val="00FD6D0A"/>
    <w:pPr>
      <w:tabs>
        <w:tab w:val="center" w:pos="4680"/>
        <w:tab w:val="right" w:pos="9360"/>
      </w:tabs>
    </w:pPr>
  </w:style>
  <w:style w:type="character" w:customStyle="1" w:styleId="HeaderChar">
    <w:name w:val="Header Char"/>
    <w:basedOn w:val="DefaultParagraphFont"/>
    <w:link w:val="Header"/>
    <w:uiPriority w:val="99"/>
    <w:rsid w:val="00FD6D0A"/>
  </w:style>
  <w:style w:type="paragraph" w:styleId="BalloonText">
    <w:name w:val="Balloon Text"/>
    <w:basedOn w:val="Normal"/>
    <w:link w:val="BalloonTextChar"/>
    <w:uiPriority w:val="99"/>
    <w:semiHidden/>
    <w:unhideWhenUsed/>
    <w:rsid w:val="002E16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6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1169272">
      <w:bodyDiv w:val="1"/>
      <w:marLeft w:val="0"/>
      <w:marRight w:val="0"/>
      <w:marTop w:val="0"/>
      <w:marBottom w:val="0"/>
      <w:divBdr>
        <w:top w:val="none" w:sz="0" w:space="0" w:color="auto"/>
        <w:left w:val="none" w:sz="0" w:space="0" w:color="auto"/>
        <w:bottom w:val="none" w:sz="0" w:space="0" w:color="auto"/>
        <w:right w:val="none" w:sz="0" w:space="0" w:color="auto"/>
      </w:divBdr>
      <w:divsChild>
        <w:div w:id="1901403168">
          <w:marLeft w:val="0"/>
          <w:marRight w:val="0"/>
          <w:marTop w:val="0"/>
          <w:marBottom w:val="0"/>
          <w:divBdr>
            <w:top w:val="none" w:sz="0" w:space="0" w:color="auto"/>
            <w:left w:val="none" w:sz="0" w:space="0" w:color="auto"/>
            <w:bottom w:val="none" w:sz="0" w:space="0" w:color="auto"/>
            <w:right w:val="none" w:sz="0" w:space="0" w:color="auto"/>
          </w:divBdr>
          <w:divsChild>
            <w:div w:id="2147240638">
              <w:marLeft w:val="0"/>
              <w:marRight w:val="0"/>
              <w:marTop w:val="0"/>
              <w:marBottom w:val="0"/>
              <w:divBdr>
                <w:top w:val="none" w:sz="0" w:space="0" w:color="auto"/>
                <w:left w:val="none" w:sz="0" w:space="0" w:color="auto"/>
                <w:bottom w:val="none" w:sz="0" w:space="0" w:color="auto"/>
                <w:right w:val="none" w:sz="0" w:space="0" w:color="auto"/>
              </w:divBdr>
              <w:divsChild>
                <w:div w:id="972760250">
                  <w:marLeft w:val="0"/>
                  <w:marRight w:val="0"/>
                  <w:marTop w:val="0"/>
                  <w:marBottom w:val="0"/>
                  <w:divBdr>
                    <w:top w:val="none" w:sz="0" w:space="0" w:color="auto"/>
                    <w:left w:val="none" w:sz="0" w:space="0" w:color="auto"/>
                    <w:bottom w:val="none" w:sz="0" w:space="0" w:color="auto"/>
                    <w:right w:val="none" w:sz="0" w:space="0" w:color="auto"/>
                  </w:divBdr>
                  <w:divsChild>
                    <w:div w:id="20363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3390/molecules27082494" TargetMode="External"/><Relationship Id="rId21" Type="http://schemas.openxmlformats.org/officeDocument/2006/relationships/hyperlink" Target="https://doi.org/10.9734/mrji/2024/v34i111504" TargetMode="External"/><Relationship Id="rId42" Type="http://schemas.openxmlformats.org/officeDocument/2006/relationships/hyperlink" Target="https://doi.org/10.3389/fmicb.2014.00002" TargetMode="External"/><Relationship Id="rId63" Type="http://schemas.openxmlformats.org/officeDocument/2006/relationships/hyperlink" Target="https://doi.org/10.1016/j.ijbiomac.2024.132337" TargetMode="External"/><Relationship Id="rId84" Type="http://schemas.openxmlformats.org/officeDocument/2006/relationships/hyperlink" Target="https://doi.org/10.3389/fpls.2024.1279738" TargetMode="External"/><Relationship Id="rId138" Type="http://schemas.openxmlformats.org/officeDocument/2006/relationships/hyperlink" Target="https://doi.org/10.17816/ecogen567947" TargetMode="External"/><Relationship Id="rId107" Type="http://schemas.openxmlformats.org/officeDocument/2006/relationships/hyperlink" Target="https://doi.org/10.1146/annurev-arplant-010720-022215" TargetMode="External"/><Relationship Id="rId11" Type="http://schemas.openxmlformats.org/officeDocument/2006/relationships/header" Target="header3.xml"/><Relationship Id="rId32" Type="http://schemas.openxmlformats.org/officeDocument/2006/relationships/hyperlink" Target="https://doi.org/10.1016/j.mib.2017.06.001" TargetMode="External"/><Relationship Id="rId53" Type="http://schemas.openxmlformats.org/officeDocument/2006/relationships/hyperlink" Target="https://doi.org/10.1016/j.vetmic.2006.11.001" TargetMode="External"/><Relationship Id="rId74" Type="http://schemas.openxmlformats.org/officeDocument/2006/relationships/hyperlink" Target="https://doi.org/10.3390/ph17121711" TargetMode="External"/><Relationship Id="rId128" Type="http://schemas.openxmlformats.org/officeDocument/2006/relationships/hyperlink" Target="https://doi.org/10.1016/j.phymed.2023.154973" TargetMode="External"/><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s://doi.org/10.3389/fpls.2022.885128" TargetMode="External"/><Relationship Id="rId22" Type="http://schemas.openxmlformats.org/officeDocument/2006/relationships/hyperlink" Target="https://doi.org/10.9734/sajrm/2022/v13i4255" TargetMode="External"/><Relationship Id="rId27" Type="http://schemas.openxmlformats.org/officeDocument/2006/relationships/hyperlink" Target="https://doi.org/10.1007/s10096-015-2386-1" TargetMode="External"/><Relationship Id="rId43" Type="http://schemas.openxmlformats.org/officeDocument/2006/relationships/hyperlink" Target="https://doi.org/10.1093/jac/dky418" TargetMode="External"/><Relationship Id="rId48" Type="http://schemas.openxmlformats.org/officeDocument/2006/relationships/hyperlink" Target="https://doi.org/10.1016/j.vetmic.2008.05.007" TargetMode="External"/><Relationship Id="rId64" Type="http://schemas.openxmlformats.org/officeDocument/2006/relationships/hyperlink" Target="https://doi.org/10.1016/j.phymed.2021.153626" TargetMode="External"/><Relationship Id="rId69" Type="http://schemas.openxmlformats.org/officeDocument/2006/relationships/hyperlink" Target="https://doi.org/10.1016/0378-8741(95)01320-2" TargetMode="External"/><Relationship Id="rId113" Type="http://schemas.openxmlformats.org/officeDocument/2006/relationships/hyperlink" Target="https://doi.org/10.1007/s00284-009-9416-9" TargetMode="External"/><Relationship Id="rId118" Type="http://schemas.openxmlformats.org/officeDocument/2006/relationships/hyperlink" Target="https://doi.org/10.3934/microbiol.2019.2.117" TargetMode="External"/><Relationship Id="rId134" Type="http://schemas.openxmlformats.org/officeDocument/2006/relationships/hyperlink" Target="https://doi.org/10.1021/acs.jnatprod.9b00317" TargetMode="External"/><Relationship Id="rId139" Type="http://schemas.openxmlformats.org/officeDocument/2006/relationships/hyperlink" Target="https://doi.org/10.1038/hortres.2014.43" TargetMode="External"/><Relationship Id="rId80" Type="http://schemas.openxmlformats.org/officeDocument/2006/relationships/hyperlink" Target="https://doi.org/10.3390/molecules27051484" TargetMode="External"/><Relationship Id="rId85" Type="http://schemas.openxmlformats.org/officeDocument/2006/relationships/hyperlink" Target="https://doi.org/10.3389/fpls.2024.1279738" TargetMode="External"/><Relationship Id="rId12" Type="http://schemas.openxmlformats.org/officeDocument/2006/relationships/footer" Target="footer3.xml"/><Relationship Id="rId17" Type="http://schemas.openxmlformats.org/officeDocument/2006/relationships/hyperlink" Target="https://doi.org/10.1002/14651858.CD009726.pub2" TargetMode="External"/><Relationship Id="rId33" Type="http://schemas.openxmlformats.org/officeDocument/2006/relationships/hyperlink" Target="https://doi.org/10.5152/actavet.2024.24009" TargetMode="External"/><Relationship Id="rId38" Type="http://schemas.openxmlformats.org/officeDocument/2006/relationships/hyperlink" Target="https://doi.org/10.1007/s10096-010-1005-2" TargetMode="External"/><Relationship Id="rId59" Type="http://schemas.openxmlformats.org/officeDocument/2006/relationships/hyperlink" Target="https://doi.org/10.1016/j.mycmed.2014.01.063" TargetMode="External"/><Relationship Id="rId103" Type="http://schemas.openxmlformats.org/officeDocument/2006/relationships/hyperlink" Target="https://doi.org/10.3390/ijms22158093" TargetMode="External"/><Relationship Id="rId108" Type="http://schemas.openxmlformats.org/officeDocument/2006/relationships/hyperlink" Target="https://doi.org/10.3389/fphar.2023.1118793" TargetMode="External"/><Relationship Id="rId124" Type="http://schemas.openxmlformats.org/officeDocument/2006/relationships/hyperlink" Target="https://doi.org/10.1016/j.mycmed.2018.04.002" TargetMode="External"/><Relationship Id="rId129" Type="http://schemas.openxmlformats.org/officeDocument/2006/relationships/hyperlink" Target="https://doi.org/10.1111/bph.12009" TargetMode="External"/><Relationship Id="rId54" Type="http://schemas.openxmlformats.org/officeDocument/2006/relationships/hyperlink" Target="https://www.who.int/news/item/07-11-2017-stop-using-antibiotics-in-healthy-animals-to-prevent-the-spread-of-antibiotic-resistance" TargetMode="External"/><Relationship Id="rId70" Type="http://schemas.openxmlformats.org/officeDocument/2006/relationships/hyperlink" Target="https://doi.org/10.3389/fphar.2022.879495" TargetMode="External"/><Relationship Id="rId75" Type="http://schemas.openxmlformats.org/officeDocument/2006/relationships/hyperlink" Target="https://doi.org/10.3390/ph17121711" TargetMode="External"/><Relationship Id="rId91" Type="http://schemas.openxmlformats.org/officeDocument/2006/relationships/hyperlink" Target="https://doi.org/10.3390/antibiotics9040170" TargetMode="External"/><Relationship Id="rId96" Type="http://schemas.openxmlformats.org/officeDocument/2006/relationships/hyperlink" Target="https://doi.org/10.3390/antibiotics11101380" TargetMode="External"/><Relationship Id="rId140" Type="http://schemas.openxmlformats.org/officeDocument/2006/relationships/hyperlink" Target="https://doi.org/10.1038/hortres.2014.43" TargetMode="External"/><Relationship Id="rId145"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016/B978-0-12-387046-6.00001-6" TargetMode="External"/><Relationship Id="rId28" Type="http://schemas.openxmlformats.org/officeDocument/2006/relationships/hyperlink" Target="https://doi.org/10.9734/bji/2024/v28i6746" TargetMode="External"/><Relationship Id="rId49" Type="http://schemas.openxmlformats.org/officeDocument/2006/relationships/hyperlink" Target="https://doi.org/10.3389/fmicb.2013.00132" TargetMode="External"/><Relationship Id="rId114" Type="http://schemas.openxmlformats.org/officeDocument/2006/relationships/hyperlink" Target="https://doi.org/10.3390/plants10020393" TargetMode="External"/><Relationship Id="rId119" Type="http://schemas.openxmlformats.org/officeDocument/2006/relationships/hyperlink" Target="https://doi.org/10.3934/microbiol.2019.2.117" TargetMode="External"/><Relationship Id="rId44" Type="http://schemas.openxmlformats.org/officeDocument/2006/relationships/hyperlink" Target="https://doi.org/10.9734/sajrm/2021/v10i230223" TargetMode="External"/><Relationship Id="rId60" Type="http://schemas.openxmlformats.org/officeDocument/2006/relationships/hyperlink" Target="https://doi.org/10.1016/j.micpath.2023.106301" TargetMode="External"/><Relationship Id="rId65" Type="http://schemas.openxmlformats.org/officeDocument/2006/relationships/hyperlink" Target="https://doi.org/10.1016/j.phymed.2021.153626" TargetMode="External"/><Relationship Id="rId81" Type="http://schemas.openxmlformats.org/officeDocument/2006/relationships/hyperlink" Target="https://doi.org/10.3390/molecules27051484" TargetMode="External"/><Relationship Id="rId86" Type="http://schemas.openxmlformats.org/officeDocument/2006/relationships/hyperlink" Target="https://doi.org/10.21608/sasj.2024.396119" TargetMode="External"/><Relationship Id="rId130" Type="http://schemas.openxmlformats.org/officeDocument/2006/relationships/hyperlink" Target="https://doi.org/10.1111/bph.12009" TargetMode="External"/><Relationship Id="rId135" Type="http://schemas.openxmlformats.org/officeDocument/2006/relationships/hyperlink" Target="https://doi.org/10.1016/j.xplc.2022.100413" TargetMode="External"/><Relationship Id="rId13" Type="http://schemas.openxmlformats.org/officeDocument/2006/relationships/hyperlink" Target="https://pubmed.ncbi.nlm.nih.gov/?term=Gradisar+H&amp;cauthor_id=17228868" TargetMode="External"/><Relationship Id="rId18" Type="http://schemas.openxmlformats.org/officeDocument/2006/relationships/hyperlink" Target="https://doi.org/10.1183/09031936.00007709" TargetMode="External"/><Relationship Id="rId39" Type="http://schemas.openxmlformats.org/officeDocument/2006/relationships/hyperlink" Target="https://doi.org/10.1128/JB.00699-16" TargetMode="External"/><Relationship Id="rId109" Type="http://schemas.openxmlformats.org/officeDocument/2006/relationships/hyperlink" Target="https://doi.org/10.3389/fphar.2023.1118793" TargetMode="External"/><Relationship Id="rId34" Type="http://schemas.openxmlformats.org/officeDocument/2006/relationships/hyperlink" Target="https://doi.org/10.1111/j.1469-0691.2010.03176.x" TargetMode="External"/><Relationship Id="rId50" Type="http://schemas.openxmlformats.org/officeDocument/2006/relationships/hyperlink" Target="https://doi.org/10.1134/S0003683821010166" TargetMode="External"/><Relationship Id="rId55" Type="http://schemas.openxmlformats.org/officeDocument/2006/relationships/hyperlink" Target="https://doi.org/10.1016/j.vetmic.2006.11.002" TargetMode="External"/><Relationship Id="rId76" Type="http://schemas.openxmlformats.org/officeDocument/2006/relationships/hyperlink" Target="https://doi.org/10.1016/j.cofs.2019.03.005" TargetMode="External"/><Relationship Id="rId97" Type="http://schemas.openxmlformats.org/officeDocument/2006/relationships/hyperlink" Target="https://doi.org/10.3390/antibiotics11101380" TargetMode="External"/><Relationship Id="rId104" Type="http://schemas.openxmlformats.org/officeDocument/2006/relationships/hyperlink" Target="https://doi.org/10.1167/iovs.19-27376" TargetMode="External"/><Relationship Id="rId120" Type="http://schemas.openxmlformats.org/officeDocument/2006/relationships/hyperlink" Target="https://pubs.sciepub.com/ajmr/8/4/1" TargetMode="External"/><Relationship Id="rId125" Type="http://schemas.openxmlformats.org/officeDocument/2006/relationships/hyperlink" Target="https://doi.org/10.4314/tjs.v49i2.12" TargetMode="External"/><Relationship Id="rId141" Type="http://schemas.openxmlformats.org/officeDocument/2006/relationships/hyperlink" Target="https://doi.org/10.1016/j.jhin.2009.04.002" TargetMode="External"/><Relationship Id="rId146" Type="http://schemas.openxmlformats.org/officeDocument/2006/relationships/footer" Target="footer4.xml"/><Relationship Id="rId7" Type="http://schemas.openxmlformats.org/officeDocument/2006/relationships/header" Target="header1.xml"/><Relationship Id="rId71" Type="http://schemas.openxmlformats.org/officeDocument/2006/relationships/hyperlink" Target="https://doi.org/10.3389/fphar.2022.879495" TargetMode="External"/><Relationship Id="rId92" Type="http://schemas.openxmlformats.org/officeDocument/2006/relationships/hyperlink" Target="https://doi.org/10.1021/jm060817o" TargetMode="External"/><Relationship Id="rId2" Type="http://schemas.openxmlformats.org/officeDocument/2006/relationships/styles" Target="styles.xml"/><Relationship Id="rId29" Type="http://schemas.openxmlformats.org/officeDocument/2006/relationships/hyperlink" Target="https://dx.doi.org/10.2139/ssrn.4986306" TargetMode="External"/><Relationship Id="rId24" Type="http://schemas.openxmlformats.org/officeDocument/2006/relationships/hyperlink" Target="https://doi.org/10.1186/s12941-018-0285-5" TargetMode="External"/><Relationship Id="rId40" Type="http://schemas.openxmlformats.org/officeDocument/2006/relationships/hyperlink" Target="https://doi.org/10.1097/INF.0000000000002054" TargetMode="External"/><Relationship Id="rId45" Type="http://schemas.openxmlformats.org/officeDocument/2006/relationships/hyperlink" Target="https://doi.org/10.1093/jac/dku059" TargetMode="External"/><Relationship Id="rId66" Type="http://schemas.openxmlformats.org/officeDocument/2006/relationships/hyperlink" Target="https://doi.org/10.3390/antibiotics13080746" TargetMode="External"/><Relationship Id="rId87" Type="http://schemas.openxmlformats.org/officeDocument/2006/relationships/hyperlink" Target="https://doi.org/10.21608/sasj.2024.396119" TargetMode="External"/><Relationship Id="rId110" Type="http://schemas.openxmlformats.org/officeDocument/2006/relationships/hyperlink" Target="https://doi.org/10.1016/j.intimp.2021.108170" TargetMode="External"/><Relationship Id="rId115" Type="http://schemas.openxmlformats.org/officeDocument/2006/relationships/hyperlink" Target="https://doi.org/10.3390/plants10020393" TargetMode="External"/><Relationship Id="rId131" Type="http://schemas.openxmlformats.org/officeDocument/2006/relationships/hyperlink" Target="https://doi.org/10.1021/np990639k" TargetMode="External"/><Relationship Id="rId136" Type="http://schemas.openxmlformats.org/officeDocument/2006/relationships/hyperlink" Target="https://doi.org/10.1016/j.xplc.2022.100413" TargetMode="External"/><Relationship Id="rId61" Type="http://schemas.openxmlformats.org/officeDocument/2006/relationships/hyperlink" Target="https://doi.org/10.1016/j.micpath.2023.106301" TargetMode="External"/><Relationship Id="rId82" Type="http://schemas.openxmlformats.org/officeDocument/2006/relationships/hyperlink" Target="https://doi.org/10.3390/molecules27103249" TargetMode="External"/><Relationship Id="rId19" Type="http://schemas.openxmlformats.org/officeDocument/2006/relationships/hyperlink" Target="https://doi.org/10.3390/antibiotics12020408" TargetMode="External"/><Relationship Id="rId14" Type="http://schemas.openxmlformats.org/officeDocument/2006/relationships/hyperlink" Target="https://pubmed.ncbi.nlm.nih.gov/?term=Gradisar+H&amp;cauthor_id=17228868" TargetMode="External"/><Relationship Id="rId30" Type="http://schemas.openxmlformats.org/officeDocument/2006/relationships/hyperlink" Target="https://doi.org/10.1007/s40588-021-00170-y" TargetMode="External"/><Relationship Id="rId35" Type="http://schemas.openxmlformats.org/officeDocument/2006/relationships/hyperlink" Target="https://doi.org/10.3389/fanim.2021.650347" TargetMode="External"/><Relationship Id="rId56" Type="http://schemas.openxmlformats.org/officeDocument/2006/relationships/hyperlink" Target="https://doi.org/10.14202/vetworld.2022.743-749" TargetMode="External"/><Relationship Id="rId77" Type="http://schemas.openxmlformats.org/officeDocument/2006/relationships/hyperlink" Target="https://doi.org/10.1016/j.cofs.2019.03.005" TargetMode="External"/><Relationship Id="rId100" Type="http://schemas.openxmlformats.org/officeDocument/2006/relationships/hyperlink" Target="https://doi.org/10.1016/j.sajb.2023.11.042" TargetMode="External"/><Relationship Id="rId105" Type="http://schemas.openxmlformats.org/officeDocument/2006/relationships/hyperlink" Target="https://doi.org/10.1167/iovs.19-27376" TargetMode="External"/><Relationship Id="rId126" Type="http://schemas.openxmlformats.org/officeDocument/2006/relationships/hyperlink" Target="https://doi.org/10.4314/tjs.v49i2.12" TargetMode="External"/><Relationship Id="rId147" Type="http://schemas.openxmlformats.org/officeDocument/2006/relationships/header" Target="header6.xml"/><Relationship Id="rId8" Type="http://schemas.openxmlformats.org/officeDocument/2006/relationships/header" Target="header2.xml"/><Relationship Id="rId51" Type="http://schemas.openxmlformats.org/officeDocument/2006/relationships/hyperlink" Target="https://doi.org/10.3390/microorganisms11010124" TargetMode="External"/><Relationship Id="rId72" Type="http://schemas.openxmlformats.org/officeDocument/2006/relationships/hyperlink" Target="https://doi.org/10.3389/fphar.2022.879495" TargetMode="External"/><Relationship Id="rId93" Type="http://schemas.openxmlformats.org/officeDocument/2006/relationships/hyperlink" Target="https://doi.org/10.1021/jm060817o" TargetMode="External"/><Relationship Id="rId98" Type="http://schemas.openxmlformats.org/officeDocument/2006/relationships/hyperlink" Target="https://riunet.upv.es/handle/10251/122295" TargetMode="External"/><Relationship Id="rId121" Type="http://schemas.openxmlformats.org/officeDocument/2006/relationships/hyperlink" Target="https://doi.org/10.1021/jf051765z" TargetMode="External"/><Relationship Id="rId142" Type="http://schemas.openxmlformats.org/officeDocument/2006/relationships/hyperlink" Target="https://doi.org/10.1371/journal.pone.0010990" TargetMode="External"/><Relationship Id="rId3" Type="http://schemas.openxmlformats.org/officeDocument/2006/relationships/settings" Target="settings.xml"/><Relationship Id="rId25" Type="http://schemas.openxmlformats.org/officeDocument/2006/relationships/hyperlink" Target="https://doi.org/10.1016/j.vetmic.2009.10.008" TargetMode="External"/><Relationship Id="rId46" Type="http://schemas.openxmlformats.org/officeDocument/2006/relationships/hyperlink" Target="https://pubs.sciepub.com/ajfst/9/2/1" TargetMode="External"/><Relationship Id="rId67" Type="http://schemas.openxmlformats.org/officeDocument/2006/relationships/hyperlink" Target="https://doi.org/10.3390/antibiotics13080746" TargetMode="External"/><Relationship Id="rId116" Type="http://schemas.openxmlformats.org/officeDocument/2006/relationships/hyperlink" Target="https://doi.org/10.3390/molecules27082494" TargetMode="External"/><Relationship Id="rId137" Type="http://schemas.openxmlformats.org/officeDocument/2006/relationships/hyperlink" Target="https://doi.org/10.17816/ecogen567947" TargetMode="External"/><Relationship Id="rId20" Type="http://schemas.openxmlformats.org/officeDocument/2006/relationships/hyperlink" Target="https://doi.org/10.3390/pathogens11101110" TargetMode="External"/><Relationship Id="rId41" Type="http://schemas.openxmlformats.org/officeDocument/2006/relationships/hyperlink" Target="https://doi.org/10.1177/003335871212700103" TargetMode="External"/><Relationship Id="rId62" Type="http://schemas.openxmlformats.org/officeDocument/2006/relationships/hyperlink" Target="https://doi.org/10.1016/j.ijbiomac.2024.132337" TargetMode="External"/><Relationship Id="rId83" Type="http://schemas.openxmlformats.org/officeDocument/2006/relationships/hyperlink" Target="https://doi.org/10.3390/molecules27103249" TargetMode="External"/><Relationship Id="rId88" Type="http://schemas.openxmlformats.org/officeDocument/2006/relationships/hyperlink" Target="https://doi.org/10.4014/jmb.2309.09001" TargetMode="External"/><Relationship Id="rId111" Type="http://schemas.openxmlformats.org/officeDocument/2006/relationships/hyperlink" Target="https://doi.org/10.1016/j.intimp.2021.108170" TargetMode="External"/><Relationship Id="rId132" Type="http://schemas.openxmlformats.org/officeDocument/2006/relationships/hyperlink" Target="https://doi.org/10.1021/np990639k" TargetMode="External"/><Relationship Id="rId15" Type="http://schemas.openxmlformats.org/officeDocument/2006/relationships/hyperlink" Target="https://pubmed.ncbi.nlm.nih.gov/?term=Apisariyakul+A&amp;cauthor_id=8824742" TargetMode="External"/><Relationship Id="rId36" Type="http://schemas.openxmlformats.org/officeDocument/2006/relationships/hyperlink" Target="https://doi.org/10.1080/0972060X.2018.1423855" TargetMode="External"/><Relationship Id="rId57" Type="http://schemas.openxmlformats.org/officeDocument/2006/relationships/hyperlink" Target="https://doi.org/10.1093/jpids/piab002" TargetMode="External"/><Relationship Id="rId106" Type="http://schemas.openxmlformats.org/officeDocument/2006/relationships/hyperlink" Target="https://doi.org/10.1146/annurev-arplant-010720-022215" TargetMode="External"/><Relationship Id="rId127" Type="http://schemas.openxmlformats.org/officeDocument/2006/relationships/hyperlink" Target="https://doi.org/10.1016/j.phymed.2023.154973" TargetMode="External"/><Relationship Id="rId10" Type="http://schemas.openxmlformats.org/officeDocument/2006/relationships/footer" Target="footer2.xml"/><Relationship Id="rId31" Type="http://schemas.openxmlformats.org/officeDocument/2006/relationships/hyperlink" Target="https://doi.org/10.1007/s12275-015-4875-0" TargetMode="External"/><Relationship Id="rId52" Type="http://schemas.openxmlformats.org/officeDocument/2006/relationships/hyperlink" Target="https://doi.org/10.1177/2042098611406367" TargetMode="External"/><Relationship Id="rId73" Type="http://schemas.openxmlformats.org/officeDocument/2006/relationships/hyperlink" Target="https://doi.org/10.3389/fphar.2022.879495" TargetMode="External"/><Relationship Id="rId78" Type="http://schemas.openxmlformats.org/officeDocument/2006/relationships/hyperlink" Target="https://doi.org/10.1371/journal.pone.0013745" TargetMode="External"/><Relationship Id="rId94" Type="http://schemas.openxmlformats.org/officeDocument/2006/relationships/hyperlink" Target="https://doi.org/10.3389/fpls.2022.885128" TargetMode="External"/><Relationship Id="rId99" Type="http://schemas.openxmlformats.org/officeDocument/2006/relationships/hyperlink" Target="https://riunet.upv.es/handle/10251/122295" TargetMode="External"/><Relationship Id="rId101" Type="http://schemas.openxmlformats.org/officeDocument/2006/relationships/hyperlink" Target="https://doi.org/10.1016/j.sajb.2023.11.042" TargetMode="External"/><Relationship Id="rId122" Type="http://schemas.openxmlformats.org/officeDocument/2006/relationships/hyperlink" Target="https://doi.org/10.1021/jf051765z" TargetMode="External"/><Relationship Id="rId143" Type="http://schemas.openxmlformats.org/officeDocument/2006/relationships/hyperlink" Target="https://doi.org/10.9734/sajrm/2024/v18i2344"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doi.org/10.1186/s13620-021-00200-7" TargetMode="External"/><Relationship Id="rId47" Type="http://schemas.openxmlformats.org/officeDocument/2006/relationships/hyperlink" Target="https://doi.org/10.1146/annurev-biochem-060614-034015" TargetMode="External"/><Relationship Id="rId68" Type="http://schemas.openxmlformats.org/officeDocument/2006/relationships/hyperlink" Target="https://doi.org/10.1016/0378-8741(95)01320-2" TargetMode="External"/><Relationship Id="rId89" Type="http://schemas.openxmlformats.org/officeDocument/2006/relationships/hyperlink" Target="https://doi.org/10.4014/jmb.2309.09001" TargetMode="External"/><Relationship Id="rId112" Type="http://schemas.openxmlformats.org/officeDocument/2006/relationships/hyperlink" Target="https://doi.org/10.1007/s00284-009-9416-9" TargetMode="External"/><Relationship Id="rId133" Type="http://schemas.openxmlformats.org/officeDocument/2006/relationships/hyperlink" Target="https://doi.org/10.1021/acs.jnatprod.9b00317" TargetMode="External"/><Relationship Id="rId16" Type="http://schemas.openxmlformats.org/officeDocument/2006/relationships/hyperlink" Target="https://pubmed.ncbi.nlm.nih.gov/?term=Apisariyakul+A&amp;cauthor_id=8824742" TargetMode="External"/><Relationship Id="rId37" Type="http://schemas.openxmlformats.org/officeDocument/2006/relationships/hyperlink" Target="https://doi.org/10.21162/PAKJAS/15.5812" TargetMode="External"/><Relationship Id="rId58" Type="http://schemas.openxmlformats.org/officeDocument/2006/relationships/hyperlink" Target="https://doi.org/10.1016/j.mycmed.2014.01.063" TargetMode="External"/><Relationship Id="rId79" Type="http://schemas.openxmlformats.org/officeDocument/2006/relationships/hyperlink" Target="https://doi.org/10.1371/journal.pone.0013745" TargetMode="External"/><Relationship Id="rId102" Type="http://schemas.openxmlformats.org/officeDocument/2006/relationships/hyperlink" Target="https://doi.org/10.3390/ijms22158093" TargetMode="External"/><Relationship Id="rId123" Type="http://schemas.openxmlformats.org/officeDocument/2006/relationships/hyperlink" Target="https://doi.org/10.1016/j.mycmed.2018.04.002" TargetMode="External"/><Relationship Id="rId144" Type="http://schemas.openxmlformats.org/officeDocument/2006/relationships/header" Target="header4.xml"/><Relationship Id="rId90" Type="http://schemas.openxmlformats.org/officeDocument/2006/relationships/hyperlink" Target="https://doi.org/10.3390/antibiotics904017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42</Pages>
  <Words>13688</Words>
  <Characters>78027</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55</cp:revision>
  <dcterms:created xsi:type="dcterms:W3CDTF">2026-01-13T17:23:00Z</dcterms:created>
  <dcterms:modified xsi:type="dcterms:W3CDTF">2026-02-14T10:53:00Z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7542bc-63e5-412b-b0a0-d9586028a7d0_Enabled">
    <vt:lpwstr>true</vt:lpwstr>
  </property>
  <property fmtid="{D5CDD505-2E9C-101B-9397-08002B2CF9AE}" pid="3" name="MSIP_Label_ae7542bc-63e5-412b-b0a0-d9586028a7d0_SetDate">
    <vt:lpwstr>2025-05-07T19:35:23Z</vt:lpwstr>
  </property>
  <property fmtid="{D5CDD505-2E9C-101B-9397-08002B2CF9AE}" pid="4" name="MSIP_Label_ae7542bc-63e5-412b-b0a0-d9586028a7d0_Method">
    <vt:lpwstr>Standard</vt:lpwstr>
  </property>
  <property fmtid="{D5CDD505-2E9C-101B-9397-08002B2CF9AE}" pid="5" name="MSIP_Label_ae7542bc-63e5-412b-b0a0-d9586028a7d0_Name">
    <vt:lpwstr>Sensitive</vt:lpwstr>
  </property>
  <property fmtid="{D5CDD505-2E9C-101B-9397-08002B2CF9AE}" pid="6" name="MSIP_Label_ae7542bc-63e5-412b-b0a0-d9586028a7d0_SiteId">
    <vt:lpwstr>d8999fe4-76af-40b3-b435-1d8977abc08c</vt:lpwstr>
  </property>
  <property fmtid="{D5CDD505-2E9C-101B-9397-08002B2CF9AE}" pid="7" name="MSIP_Label_ae7542bc-63e5-412b-b0a0-d9586028a7d0_ActionId">
    <vt:lpwstr>5eb7d77e-dfb0-429c-a563-78602bb381ff</vt:lpwstr>
  </property>
  <property fmtid="{D5CDD505-2E9C-101B-9397-08002B2CF9AE}" pid="8" name="MSIP_Label_ae7542bc-63e5-412b-b0a0-d9586028a7d0_ContentBits">
    <vt:lpwstr>0</vt:lpwstr>
  </property>
</Properties>
</file>