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45C" w:rsidRPr="00947F58" w:rsidRDefault="00E5645C" w:rsidP="00E5645C">
      <w:pPr>
        <w:pStyle w:val="BodyText"/>
        <w:rPr>
          <w:b/>
          <w:sz w:val="22"/>
          <w:szCs w:val="22"/>
        </w:rPr>
      </w:pPr>
    </w:p>
    <w:p w:rsidR="00BE1B2C" w:rsidRPr="007251DE" w:rsidRDefault="00573CD5" w:rsidP="00BE1B2C">
      <w:pPr>
        <w:jc w:val="center"/>
        <w:rPr>
          <w:rFonts w:ascii="Times New Roman" w:hAnsi="Times New Roman" w:cs="Times New Roman"/>
          <w:b/>
        </w:rPr>
      </w:pPr>
      <w:r w:rsidRPr="007251DE">
        <w:rPr>
          <w:rFonts w:ascii="Times New Roman" w:hAnsi="Times New Roman" w:cs="Times New Roman"/>
          <w:b/>
        </w:rPr>
        <w:t xml:space="preserve">Amylase Production </w:t>
      </w:r>
      <w:r>
        <w:rPr>
          <w:rFonts w:ascii="Times New Roman" w:hAnsi="Times New Roman" w:cs="Times New Roman"/>
          <w:b/>
        </w:rPr>
        <w:t>f</w:t>
      </w:r>
      <w:r w:rsidRPr="007251DE">
        <w:rPr>
          <w:rFonts w:ascii="Times New Roman" w:hAnsi="Times New Roman" w:cs="Times New Roman"/>
          <w:b/>
        </w:rPr>
        <w:t xml:space="preserve">rom </w:t>
      </w:r>
      <w:r w:rsidRPr="007251DE">
        <w:rPr>
          <w:rFonts w:ascii="Times New Roman" w:hAnsi="Times New Roman" w:cs="Times New Roman"/>
          <w:b/>
          <w:i/>
        </w:rPr>
        <w:t>Aspergillus</w:t>
      </w:r>
      <w:r w:rsidRPr="007251DE">
        <w:rPr>
          <w:rFonts w:ascii="Times New Roman" w:hAnsi="Times New Roman" w:cs="Times New Roman"/>
          <w:b/>
        </w:rPr>
        <w:t xml:space="preserve"> </w:t>
      </w:r>
      <w:proofErr w:type="spellStart"/>
      <w:r w:rsidRPr="007251DE">
        <w:rPr>
          <w:rFonts w:ascii="Times New Roman" w:hAnsi="Times New Roman" w:cs="Times New Roman"/>
          <w:b/>
        </w:rPr>
        <w:t>sp</w:t>
      </w:r>
      <w:proofErr w:type="spellEnd"/>
      <w:r w:rsidRPr="007251DE">
        <w:rPr>
          <w:rFonts w:ascii="Times New Roman" w:hAnsi="Times New Roman" w:cs="Times New Roman"/>
          <w:b/>
        </w:rPr>
        <w:t xml:space="preserve"> Isolated </w:t>
      </w:r>
      <w:r>
        <w:rPr>
          <w:rFonts w:ascii="Times New Roman" w:hAnsi="Times New Roman" w:cs="Times New Roman"/>
          <w:b/>
        </w:rPr>
        <w:t>f</w:t>
      </w:r>
      <w:r w:rsidRPr="007251DE">
        <w:rPr>
          <w:rFonts w:ascii="Times New Roman" w:hAnsi="Times New Roman" w:cs="Times New Roman"/>
          <w:b/>
        </w:rPr>
        <w:t>rom Dump</w:t>
      </w:r>
      <w:r>
        <w:rPr>
          <w:rFonts w:ascii="Times New Roman" w:hAnsi="Times New Roman" w:cs="Times New Roman"/>
          <w:b/>
        </w:rPr>
        <w:t>site</w:t>
      </w:r>
      <w:r w:rsidRPr="007251DE">
        <w:rPr>
          <w:rFonts w:ascii="Times New Roman" w:hAnsi="Times New Roman" w:cs="Times New Roman"/>
          <w:b/>
        </w:rPr>
        <w:t xml:space="preserve"> Soil Using Corn</w:t>
      </w:r>
      <w:r>
        <w:rPr>
          <w:rFonts w:ascii="Times New Roman" w:hAnsi="Times New Roman" w:cs="Times New Roman"/>
          <w:b/>
        </w:rPr>
        <w:t>-</w:t>
      </w:r>
      <w:r w:rsidRPr="007251DE">
        <w:rPr>
          <w:rFonts w:ascii="Times New Roman" w:hAnsi="Times New Roman" w:cs="Times New Roman"/>
          <w:b/>
        </w:rPr>
        <w:t xml:space="preserve">Cob </w:t>
      </w:r>
      <w:r>
        <w:rPr>
          <w:rFonts w:ascii="Times New Roman" w:hAnsi="Times New Roman" w:cs="Times New Roman"/>
          <w:b/>
        </w:rPr>
        <w:t>a</w:t>
      </w:r>
      <w:r w:rsidRPr="007251DE">
        <w:rPr>
          <w:rFonts w:ascii="Times New Roman" w:hAnsi="Times New Roman" w:cs="Times New Roman"/>
          <w:b/>
        </w:rPr>
        <w:t>nd Orange</w:t>
      </w:r>
      <w:r>
        <w:rPr>
          <w:rFonts w:ascii="Times New Roman" w:hAnsi="Times New Roman" w:cs="Times New Roman"/>
          <w:b/>
        </w:rPr>
        <w:t>-</w:t>
      </w:r>
      <w:r w:rsidRPr="00947F58">
        <w:rPr>
          <w:rFonts w:ascii="Times New Roman" w:hAnsi="Times New Roman" w:cs="Times New Roman"/>
          <w:b/>
          <w:spacing w:val="-4"/>
        </w:rPr>
        <w:t>Mesocarp</w:t>
      </w:r>
      <w:r w:rsidRPr="007251DE">
        <w:rPr>
          <w:rFonts w:ascii="Times New Roman" w:hAnsi="Times New Roman" w:cs="Times New Roman"/>
          <w:b/>
        </w:rPr>
        <w:t xml:space="preserve"> </w:t>
      </w:r>
      <w:r>
        <w:rPr>
          <w:rFonts w:ascii="Times New Roman" w:hAnsi="Times New Roman" w:cs="Times New Roman"/>
          <w:b/>
        </w:rPr>
        <w:t>a</w:t>
      </w:r>
      <w:r w:rsidRPr="007251DE">
        <w:rPr>
          <w:rFonts w:ascii="Times New Roman" w:hAnsi="Times New Roman" w:cs="Times New Roman"/>
          <w:b/>
        </w:rPr>
        <w:t>s A Substrate</w:t>
      </w:r>
    </w:p>
    <w:p w:rsidR="00E97004" w:rsidRPr="00947F58" w:rsidRDefault="00E97004" w:rsidP="00E5645C">
      <w:pPr>
        <w:jc w:val="both"/>
        <w:rPr>
          <w:rFonts w:ascii="Times New Roman" w:hAnsi="Times New Roman" w:cs="Times New Roman"/>
          <w:b/>
          <w:bCs/>
          <w:lang w:val="en-US"/>
        </w:rPr>
      </w:pPr>
    </w:p>
    <w:p w:rsidR="00E5645C" w:rsidRPr="00947F58" w:rsidRDefault="00E5645C" w:rsidP="00E5645C">
      <w:pPr>
        <w:jc w:val="both"/>
        <w:rPr>
          <w:rFonts w:ascii="Times New Roman" w:hAnsi="Times New Roman" w:cs="Times New Roman"/>
          <w:b/>
          <w:bCs/>
          <w:lang w:val="en-US"/>
        </w:rPr>
      </w:pPr>
      <w:r w:rsidRPr="00947F58">
        <w:rPr>
          <w:rFonts w:ascii="Times New Roman" w:hAnsi="Times New Roman" w:cs="Times New Roman"/>
          <w:b/>
          <w:bCs/>
          <w:lang w:val="en-US"/>
        </w:rPr>
        <w:t>ABSTRACT</w:t>
      </w:r>
    </w:p>
    <w:p w:rsidR="00E5645C" w:rsidRPr="00947F58" w:rsidRDefault="00E5645C" w:rsidP="00E5645C">
      <w:pPr>
        <w:jc w:val="both"/>
        <w:rPr>
          <w:rFonts w:ascii="Times New Roman" w:hAnsi="Times New Roman" w:cs="Times New Roman"/>
        </w:rPr>
      </w:pPr>
      <w:r w:rsidRPr="00947F58">
        <w:rPr>
          <w:rFonts w:ascii="Times New Roman" w:hAnsi="Times New Roman" w:cs="Times New Roman"/>
        </w:rPr>
        <w:t xml:space="preserve">The increasing demand for sustainable and cost-effective enzyme production has driven research toward microbial fermentation using agro-residues as substrates. This study investigated dumpsite soils as reservoirs of α-amylase–producing fungi and evaluated corn cob and orange mesocarp as potential </w:t>
      </w:r>
      <w:proofErr w:type="spellStart"/>
      <w:r w:rsidRPr="00947F58">
        <w:rPr>
          <w:rFonts w:ascii="Times New Roman" w:hAnsi="Times New Roman" w:cs="Times New Roman"/>
        </w:rPr>
        <w:t>agro</w:t>
      </w:r>
      <w:proofErr w:type="spellEnd"/>
      <w:r w:rsidRPr="00947F58">
        <w:rPr>
          <w:rFonts w:ascii="Times New Roman" w:hAnsi="Times New Roman" w:cs="Times New Roman"/>
        </w:rPr>
        <w:t xml:space="preserve">-residues for enzyme production. Fungi were isolated from soil samples (SA, SB, SC), enumerated, and identified based on macroscopic and microscopic characteristics. Proximate analysis of corn cob and orange mesocarp was carried out to determine their nutritional composition, while fermentation parameters including time, inoculum size, pH, carbon ratio, and nitrogen concentration were optimized to enhance α-amylase yield. The results showed that fungal counts ranged from 3.3 × 10⁴ to 4.2 × 10⁴ CFU/g across the soils, with sample SB recording the highest load. The isolates included </w:t>
      </w:r>
      <w:r w:rsidRPr="004D5EF1">
        <w:rPr>
          <w:rFonts w:ascii="Times New Roman" w:hAnsi="Times New Roman" w:cs="Times New Roman"/>
          <w:i/>
        </w:rPr>
        <w:t>Aspergillus, Rhizopus, Fusarium</w:t>
      </w:r>
      <w:r w:rsidRPr="00947F58">
        <w:rPr>
          <w:rFonts w:ascii="Times New Roman" w:hAnsi="Times New Roman" w:cs="Times New Roman"/>
        </w:rPr>
        <w:t xml:space="preserve">, and </w:t>
      </w:r>
      <w:r w:rsidRPr="004D5EF1">
        <w:rPr>
          <w:rFonts w:ascii="Times New Roman" w:hAnsi="Times New Roman" w:cs="Times New Roman"/>
          <w:i/>
        </w:rPr>
        <w:t>Penicillium</w:t>
      </w:r>
      <w:r w:rsidRPr="00947F58">
        <w:rPr>
          <w:rFonts w:ascii="Times New Roman" w:hAnsi="Times New Roman" w:cs="Times New Roman"/>
        </w:rPr>
        <w:t xml:space="preserve"> species, with isolate SB2 exhibiting the highest α-amylase activity (26 mm clearance zone), while SB3 produced the least (5 mm). Proximate composition revealed that corn cob contained higher carbohydrate content (75.87%) compared to orange mesocarp (68.79%), whereas orange mesocarp exhibited higher ash, lipid, and protein contents. Fermentation studies showed that α-amylase yield increased with time, peaking at 48 h (51.2 U/ml) before declining. Optimum production parameters were obtained at pH 7.0 (47.6 U/ml) and a 3.0 mL inoculum size (53.3 U/ml), while supplementation with a 2:2% corn </w:t>
      </w:r>
      <w:proofErr w:type="spellStart"/>
      <w:proofErr w:type="gramStart"/>
      <w:r w:rsidRPr="00947F58">
        <w:rPr>
          <w:rFonts w:ascii="Times New Roman" w:hAnsi="Times New Roman" w:cs="Times New Roman"/>
        </w:rPr>
        <w:t>cob:orange</w:t>
      </w:r>
      <w:proofErr w:type="spellEnd"/>
      <w:proofErr w:type="gramEnd"/>
      <w:r w:rsidRPr="00947F58">
        <w:rPr>
          <w:rFonts w:ascii="Times New Roman" w:hAnsi="Times New Roman" w:cs="Times New Roman"/>
        </w:rPr>
        <w:t xml:space="preserve"> mesocarp mixture supported maximum enzyme production (61.3 U/ml). Further optimization with 0.50% nitrogen supplementation resulted in the highest α-amylase yield of 68.3 U/ml. It is concluded that dumpsite soils </w:t>
      </w:r>
      <w:proofErr w:type="spellStart"/>
      <w:r w:rsidRPr="00947F58">
        <w:rPr>
          <w:rFonts w:ascii="Times New Roman" w:hAnsi="Times New Roman" w:cs="Times New Roman"/>
        </w:rPr>
        <w:t>harbor</w:t>
      </w:r>
      <w:proofErr w:type="spellEnd"/>
      <w:r w:rsidRPr="00947F58">
        <w:rPr>
          <w:rFonts w:ascii="Times New Roman" w:hAnsi="Times New Roman" w:cs="Times New Roman"/>
        </w:rPr>
        <w:t xml:space="preserve"> metabolically diverse fungi, and that low-cost agro-residues such as corn cob and orange mesocarp can be effectively utilized for α-amylase production under optimized fermentation conditions.</w:t>
      </w:r>
    </w:p>
    <w:p w:rsidR="00E5645C" w:rsidRDefault="00E5645C" w:rsidP="00E5645C">
      <w:pPr>
        <w:rPr>
          <w:rFonts w:ascii="Times New Roman" w:hAnsi="Times New Roman" w:cs="Times New Roman"/>
          <w:bCs/>
          <w:lang w:val="en-US"/>
        </w:rPr>
      </w:pPr>
      <w:r w:rsidRPr="00947F58">
        <w:rPr>
          <w:rFonts w:ascii="Times New Roman" w:hAnsi="Times New Roman" w:cs="Times New Roman"/>
          <w:b/>
          <w:lang w:val="en-US"/>
        </w:rPr>
        <w:t>KEY:</w:t>
      </w:r>
      <w:r w:rsidR="00BE1B2C">
        <w:rPr>
          <w:rFonts w:ascii="Times New Roman" w:hAnsi="Times New Roman" w:cs="Times New Roman"/>
          <w:b/>
          <w:spacing w:val="-1"/>
        </w:rPr>
        <w:t xml:space="preserve"> </w:t>
      </w:r>
      <w:r w:rsidR="00BE1B2C" w:rsidRPr="00573CD5">
        <w:rPr>
          <w:rFonts w:ascii="Times New Roman" w:hAnsi="Times New Roman" w:cs="Times New Roman"/>
          <w:spacing w:val="-1"/>
        </w:rPr>
        <w:t>Amylase</w:t>
      </w:r>
      <w:r w:rsidR="00152586" w:rsidRPr="00573CD5">
        <w:rPr>
          <w:rFonts w:ascii="Times New Roman" w:hAnsi="Times New Roman" w:cs="Times New Roman"/>
          <w:spacing w:val="-1"/>
        </w:rPr>
        <w:t>,</w:t>
      </w:r>
      <w:r w:rsidRPr="00573CD5">
        <w:rPr>
          <w:rFonts w:ascii="Times New Roman" w:hAnsi="Times New Roman" w:cs="Times New Roman"/>
          <w:lang w:val="en-US"/>
        </w:rPr>
        <w:t xml:space="preserve"> </w:t>
      </w:r>
      <w:r w:rsidR="00BE1B2C" w:rsidRPr="00573CD5">
        <w:rPr>
          <w:rFonts w:ascii="Times New Roman" w:hAnsi="Times New Roman" w:cs="Times New Roman"/>
          <w:i/>
        </w:rPr>
        <w:t xml:space="preserve">Aspergillus </w:t>
      </w:r>
      <w:proofErr w:type="spellStart"/>
      <w:r w:rsidR="00BE1B2C" w:rsidRPr="00573CD5">
        <w:rPr>
          <w:rFonts w:ascii="Times New Roman" w:hAnsi="Times New Roman" w:cs="Times New Roman"/>
        </w:rPr>
        <w:t>sp</w:t>
      </w:r>
      <w:proofErr w:type="spellEnd"/>
      <w:r w:rsidRPr="00573CD5">
        <w:rPr>
          <w:rFonts w:ascii="Times New Roman" w:hAnsi="Times New Roman" w:cs="Times New Roman"/>
        </w:rPr>
        <w:t>,</w:t>
      </w:r>
      <w:r w:rsidR="00152586" w:rsidRPr="00573CD5">
        <w:rPr>
          <w:rFonts w:ascii="Times New Roman" w:hAnsi="Times New Roman" w:cs="Times New Roman"/>
          <w:bCs/>
          <w:lang w:val="en-US"/>
        </w:rPr>
        <w:t xml:space="preserve"> </w:t>
      </w:r>
      <w:r w:rsidR="00152586" w:rsidRPr="00573CD5">
        <w:rPr>
          <w:rFonts w:ascii="Times New Roman" w:hAnsi="Times New Roman" w:cs="Times New Roman"/>
          <w:spacing w:val="-4"/>
        </w:rPr>
        <w:t>Corn-Cob</w:t>
      </w:r>
      <w:r w:rsidRPr="00573CD5">
        <w:rPr>
          <w:rFonts w:ascii="Times New Roman" w:hAnsi="Times New Roman" w:cs="Times New Roman"/>
          <w:bCs/>
          <w:lang w:val="en-US"/>
        </w:rPr>
        <w:t>,</w:t>
      </w:r>
      <w:r w:rsidR="00152586" w:rsidRPr="00573CD5">
        <w:rPr>
          <w:rFonts w:ascii="Times New Roman" w:hAnsi="Times New Roman" w:cs="Times New Roman"/>
          <w:bCs/>
          <w:lang w:val="en-US"/>
        </w:rPr>
        <w:t xml:space="preserve"> </w:t>
      </w:r>
      <w:r w:rsidR="00152586" w:rsidRPr="00573CD5">
        <w:rPr>
          <w:rFonts w:ascii="Times New Roman" w:hAnsi="Times New Roman" w:cs="Times New Roman"/>
          <w:spacing w:val="-4"/>
        </w:rPr>
        <w:t>Orange-Mesocarp</w:t>
      </w:r>
      <w:r w:rsidRPr="00573CD5">
        <w:rPr>
          <w:rFonts w:ascii="Times New Roman" w:hAnsi="Times New Roman" w:cs="Times New Roman"/>
          <w:bCs/>
          <w:lang w:val="en-US"/>
        </w:rPr>
        <w:t>, Production</w:t>
      </w:r>
    </w:p>
    <w:p w:rsidR="00573CD5" w:rsidRPr="00947F58" w:rsidRDefault="00573CD5" w:rsidP="00E5645C">
      <w:pPr>
        <w:rPr>
          <w:rFonts w:ascii="Times New Roman" w:hAnsi="Times New Roman" w:cs="Times New Roman"/>
        </w:rPr>
      </w:pPr>
    </w:p>
    <w:p w:rsidR="00152586" w:rsidRPr="00947F58" w:rsidRDefault="00152586">
      <w:pPr>
        <w:rPr>
          <w:rFonts w:ascii="Times New Roman" w:hAnsi="Times New Roman" w:cs="Times New Roman"/>
        </w:rPr>
      </w:pPr>
    </w:p>
    <w:p w:rsidR="00152586" w:rsidRPr="00947F58" w:rsidRDefault="00462868" w:rsidP="00D13443">
      <w:pPr>
        <w:spacing w:after="240"/>
        <w:rPr>
          <w:rFonts w:ascii="Times New Roman" w:hAnsi="Times New Roman" w:cs="Times New Roman"/>
          <w:b/>
          <w:bCs/>
          <w:lang w:val="en-US"/>
        </w:rPr>
      </w:pPr>
      <w:r w:rsidRPr="00947F58">
        <w:rPr>
          <w:rFonts w:ascii="Times New Roman" w:hAnsi="Times New Roman" w:cs="Times New Roman"/>
          <w:b/>
          <w:bCs/>
          <w:lang w:val="en-US"/>
        </w:rPr>
        <w:t>1.</w:t>
      </w:r>
      <w:r w:rsidR="00D13443" w:rsidRPr="00947F58">
        <w:rPr>
          <w:rFonts w:ascii="Times New Roman" w:hAnsi="Times New Roman" w:cs="Times New Roman"/>
          <w:b/>
          <w:bCs/>
          <w:lang w:val="en-US"/>
        </w:rPr>
        <w:t xml:space="preserve"> INTRODUCTION </w:t>
      </w:r>
    </w:p>
    <w:p w:rsidR="00D13443" w:rsidRDefault="00EF1805" w:rsidP="00544B53">
      <w:pPr>
        <w:pStyle w:val="CommentText"/>
        <w:jc w:val="both"/>
        <w:rPr>
          <w:rFonts w:ascii="Times New Roman" w:hAnsi="Times New Roman" w:cs="Times New Roman"/>
          <w:sz w:val="22"/>
          <w:szCs w:val="22"/>
        </w:rPr>
      </w:pPr>
      <w:r>
        <w:rPr>
          <w:rFonts w:ascii="Times New Roman" w:hAnsi="Times New Roman" w:cs="Times New Roman"/>
          <w:sz w:val="22"/>
          <w:szCs w:val="22"/>
        </w:rPr>
        <w:t>A</w:t>
      </w:r>
      <w:r w:rsidR="00D13443" w:rsidRPr="00544B53">
        <w:rPr>
          <w:rFonts w:ascii="Times New Roman" w:hAnsi="Times New Roman" w:cs="Times New Roman"/>
          <w:sz w:val="22"/>
          <w:szCs w:val="22"/>
        </w:rPr>
        <w:t xml:space="preserve">mylase is an extracellular enzyme that </w:t>
      </w:r>
      <w:proofErr w:type="spellStart"/>
      <w:r w:rsidR="00D13443" w:rsidRPr="00544B53">
        <w:rPr>
          <w:rFonts w:ascii="Times New Roman" w:hAnsi="Times New Roman" w:cs="Times New Roman"/>
          <w:sz w:val="22"/>
          <w:szCs w:val="22"/>
        </w:rPr>
        <w:t>catalyzes</w:t>
      </w:r>
      <w:proofErr w:type="spellEnd"/>
      <w:r w:rsidR="00D13443" w:rsidRPr="00544B53">
        <w:rPr>
          <w:rFonts w:ascii="Times New Roman" w:hAnsi="Times New Roman" w:cs="Times New Roman"/>
          <w:sz w:val="22"/>
          <w:szCs w:val="22"/>
        </w:rPr>
        <w:t xml:space="preserve"> the hydrolysis of starch into simple sugars such as glucose, malto</w:t>
      </w:r>
      <w:r w:rsidR="009B0AB6" w:rsidRPr="00544B53">
        <w:rPr>
          <w:rFonts w:ascii="Times New Roman" w:hAnsi="Times New Roman" w:cs="Times New Roman"/>
          <w:sz w:val="22"/>
          <w:szCs w:val="22"/>
        </w:rPr>
        <w:t>se, and oligosaccharides (</w:t>
      </w:r>
      <w:r w:rsidR="009403CF" w:rsidRPr="00544B53">
        <w:rPr>
          <w:rFonts w:ascii="Times New Roman" w:hAnsi="Times New Roman" w:cs="Times New Roman"/>
          <w:sz w:val="22"/>
          <w:szCs w:val="22"/>
        </w:rPr>
        <w:t xml:space="preserve">Souza and </w:t>
      </w:r>
      <w:proofErr w:type="spellStart"/>
      <w:r w:rsidR="009403CF" w:rsidRPr="00544B53">
        <w:rPr>
          <w:rFonts w:ascii="Times New Roman" w:hAnsi="Times New Roman" w:cs="Times New Roman"/>
          <w:sz w:val="22"/>
          <w:szCs w:val="22"/>
        </w:rPr>
        <w:t>Magalhães</w:t>
      </w:r>
      <w:proofErr w:type="spellEnd"/>
      <w:r w:rsidR="009403CF" w:rsidRPr="00544B53">
        <w:rPr>
          <w:rFonts w:ascii="Times New Roman" w:hAnsi="Times New Roman" w:cs="Times New Roman"/>
          <w:sz w:val="22"/>
          <w:szCs w:val="22"/>
        </w:rPr>
        <w:t>, 2010</w:t>
      </w:r>
      <w:r w:rsidR="009403CF" w:rsidRPr="00544B53">
        <w:rPr>
          <w:sz w:val="22"/>
          <w:szCs w:val="22"/>
        </w:rPr>
        <w:t xml:space="preserve">; </w:t>
      </w:r>
      <w:proofErr w:type="spellStart"/>
      <w:r w:rsidR="009B0AB6" w:rsidRPr="00544B53">
        <w:rPr>
          <w:rFonts w:ascii="Times New Roman" w:hAnsi="Times New Roman" w:cs="Times New Roman"/>
          <w:sz w:val="22"/>
          <w:szCs w:val="22"/>
        </w:rPr>
        <w:t>Elyasi</w:t>
      </w:r>
      <w:proofErr w:type="spellEnd"/>
      <w:r w:rsidR="00D13443" w:rsidRPr="00544B53">
        <w:rPr>
          <w:rFonts w:ascii="Times New Roman" w:hAnsi="Times New Roman" w:cs="Times New Roman"/>
          <w:sz w:val="22"/>
          <w:szCs w:val="22"/>
        </w:rPr>
        <w:t xml:space="preserve"> </w:t>
      </w:r>
      <w:r w:rsidR="00D13443" w:rsidRPr="00544B53">
        <w:rPr>
          <w:rFonts w:ascii="Times New Roman" w:hAnsi="Times New Roman" w:cs="Times New Roman"/>
          <w:i/>
          <w:sz w:val="22"/>
          <w:szCs w:val="22"/>
        </w:rPr>
        <w:t>et al</w:t>
      </w:r>
      <w:r w:rsidR="009B0AB6" w:rsidRPr="00544B53">
        <w:rPr>
          <w:rFonts w:ascii="Times New Roman" w:hAnsi="Times New Roman" w:cs="Times New Roman"/>
          <w:sz w:val="22"/>
          <w:szCs w:val="22"/>
        </w:rPr>
        <w:t>., 2020</w:t>
      </w:r>
      <w:r w:rsidR="00573CD5">
        <w:rPr>
          <w:rFonts w:ascii="Times New Roman" w:hAnsi="Times New Roman" w:cs="Times New Roman"/>
          <w:sz w:val="22"/>
          <w:szCs w:val="22"/>
        </w:rPr>
        <w:t xml:space="preserve">; </w:t>
      </w:r>
      <w:proofErr w:type="spellStart"/>
      <w:r w:rsidR="00573CD5" w:rsidRPr="00573CD5">
        <w:rPr>
          <w:rFonts w:ascii="Times New Roman" w:hAnsi="Times New Roman" w:cs="Times New Roman"/>
          <w:sz w:val="22"/>
          <w:szCs w:val="22"/>
        </w:rPr>
        <w:t>Makeri</w:t>
      </w:r>
      <w:proofErr w:type="spellEnd"/>
      <w:r w:rsidR="00573CD5">
        <w:rPr>
          <w:rFonts w:ascii="Times New Roman" w:hAnsi="Times New Roman" w:cs="Times New Roman"/>
          <w:sz w:val="22"/>
          <w:szCs w:val="22"/>
        </w:rPr>
        <w:t xml:space="preserve"> et al., 2021</w:t>
      </w:r>
      <w:r w:rsidR="00D13443" w:rsidRPr="00544B53">
        <w:rPr>
          <w:rFonts w:ascii="Times New Roman" w:hAnsi="Times New Roman" w:cs="Times New Roman"/>
          <w:sz w:val="22"/>
          <w:szCs w:val="22"/>
        </w:rPr>
        <w:t>). It is one of the most widely used industrial enzymes, accounting for nearly 25% of</w:t>
      </w:r>
      <w:r w:rsidR="009B0AB6" w:rsidRPr="00544B53">
        <w:rPr>
          <w:rFonts w:ascii="Times New Roman" w:hAnsi="Times New Roman" w:cs="Times New Roman"/>
          <w:sz w:val="22"/>
          <w:szCs w:val="22"/>
        </w:rPr>
        <w:t xml:space="preserve"> the global enzyme market (</w:t>
      </w:r>
      <w:r w:rsidR="009403CF" w:rsidRPr="00544B53">
        <w:rPr>
          <w:rFonts w:ascii="Times New Roman" w:hAnsi="Times New Roman" w:cs="Times New Roman"/>
          <w:sz w:val="22"/>
          <w:szCs w:val="22"/>
        </w:rPr>
        <w:t xml:space="preserve">Souza and </w:t>
      </w:r>
      <w:proofErr w:type="spellStart"/>
      <w:r w:rsidR="009403CF" w:rsidRPr="00544B53">
        <w:rPr>
          <w:rFonts w:ascii="Times New Roman" w:hAnsi="Times New Roman" w:cs="Times New Roman"/>
          <w:sz w:val="22"/>
          <w:szCs w:val="22"/>
        </w:rPr>
        <w:t>Magalhães</w:t>
      </w:r>
      <w:proofErr w:type="spellEnd"/>
      <w:r w:rsidR="009403CF" w:rsidRPr="00544B53">
        <w:rPr>
          <w:rFonts w:ascii="Times New Roman" w:hAnsi="Times New Roman" w:cs="Times New Roman"/>
          <w:sz w:val="22"/>
          <w:szCs w:val="22"/>
        </w:rPr>
        <w:t>, 2010</w:t>
      </w:r>
      <w:r w:rsidR="009403CF" w:rsidRPr="00544B53">
        <w:rPr>
          <w:sz w:val="22"/>
          <w:szCs w:val="22"/>
        </w:rPr>
        <w:t xml:space="preserve">; </w:t>
      </w:r>
      <w:proofErr w:type="spellStart"/>
      <w:r w:rsidR="009B0AB6" w:rsidRPr="00544B53">
        <w:rPr>
          <w:rFonts w:ascii="Times New Roman" w:hAnsi="Times New Roman" w:cs="Times New Roman"/>
          <w:sz w:val="22"/>
          <w:szCs w:val="22"/>
        </w:rPr>
        <w:t>Elyasi</w:t>
      </w:r>
      <w:proofErr w:type="spellEnd"/>
      <w:r w:rsidR="00D13443" w:rsidRPr="00544B53">
        <w:rPr>
          <w:rFonts w:ascii="Times New Roman" w:hAnsi="Times New Roman" w:cs="Times New Roman"/>
          <w:sz w:val="22"/>
          <w:szCs w:val="22"/>
        </w:rPr>
        <w:t xml:space="preserve"> </w:t>
      </w:r>
      <w:r w:rsidR="00D13443" w:rsidRPr="00544B53">
        <w:rPr>
          <w:rFonts w:ascii="Times New Roman" w:hAnsi="Times New Roman" w:cs="Times New Roman"/>
          <w:i/>
          <w:sz w:val="22"/>
          <w:szCs w:val="22"/>
        </w:rPr>
        <w:t>et al</w:t>
      </w:r>
      <w:r w:rsidR="009B0AB6" w:rsidRPr="00544B53">
        <w:rPr>
          <w:rFonts w:ascii="Times New Roman" w:hAnsi="Times New Roman" w:cs="Times New Roman"/>
          <w:sz w:val="22"/>
          <w:szCs w:val="22"/>
        </w:rPr>
        <w:t>., 2020</w:t>
      </w:r>
      <w:r>
        <w:rPr>
          <w:rFonts w:ascii="Times New Roman" w:hAnsi="Times New Roman" w:cs="Times New Roman"/>
          <w:sz w:val="22"/>
          <w:szCs w:val="22"/>
        </w:rPr>
        <w:t>). A</w:t>
      </w:r>
      <w:r w:rsidR="00D13443" w:rsidRPr="00544B53">
        <w:rPr>
          <w:rFonts w:ascii="Times New Roman" w:hAnsi="Times New Roman" w:cs="Times New Roman"/>
          <w:sz w:val="22"/>
          <w:szCs w:val="22"/>
        </w:rPr>
        <w:t>mylase plays a central role in diverse industries including food, brewing, textiles, detergents, bioethanol production, and pharmaceuticals, owing to its ability to break down complex star</w:t>
      </w:r>
      <w:r w:rsidR="009B0AB6" w:rsidRPr="00544B53">
        <w:rPr>
          <w:rFonts w:ascii="Times New Roman" w:hAnsi="Times New Roman" w:cs="Times New Roman"/>
          <w:sz w:val="22"/>
          <w:szCs w:val="22"/>
        </w:rPr>
        <w:t xml:space="preserve">ch polymers efficiently (Souza and </w:t>
      </w:r>
      <w:proofErr w:type="spellStart"/>
      <w:r w:rsidR="009B0AB6" w:rsidRPr="00544B53">
        <w:rPr>
          <w:rFonts w:ascii="Times New Roman" w:hAnsi="Times New Roman" w:cs="Times New Roman"/>
          <w:sz w:val="22"/>
          <w:szCs w:val="22"/>
        </w:rPr>
        <w:t>Magalhães</w:t>
      </w:r>
      <w:proofErr w:type="spellEnd"/>
      <w:r w:rsidR="009B0AB6" w:rsidRPr="00544B53">
        <w:rPr>
          <w:rFonts w:ascii="Times New Roman" w:hAnsi="Times New Roman" w:cs="Times New Roman"/>
          <w:sz w:val="22"/>
          <w:szCs w:val="22"/>
        </w:rPr>
        <w:t>, 2010</w:t>
      </w:r>
      <w:r w:rsidR="00573CD5">
        <w:rPr>
          <w:rFonts w:ascii="Times New Roman" w:hAnsi="Times New Roman" w:cs="Times New Roman"/>
          <w:sz w:val="22"/>
          <w:szCs w:val="22"/>
        </w:rPr>
        <w:t xml:space="preserve">; </w:t>
      </w:r>
      <w:proofErr w:type="spellStart"/>
      <w:r w:rsidR="00573CD5" w:rsidRPr="00573CD5">
        <w:rPr>
          <w:rFonts w:ascii="Times New Roman" w:hAnsi="Times New Roman" w:cs="Times New Roman"/>
          <w:sz w:val="22"/>
          <w:szCs w:val="22"/>
        </w:rPr>
        <w:t>Sundarram</w:t>
      </w:r>
      <w:proofErr w:type="spellEnd"/>
      <w:r w:rsidR="00573CD5">
        <w:rPr>
          <w:rFonts w:ascii="Times New Roman" w:hAnsi="Times New Roman" w:cs="Times New Roman"/>
          <w:sz w:val="22"/>
          <w:szCs w:val="22"/>
        </w:rPr>
        <w:t xml:space="preserve"> &amp; </w:t>
      </w:r>
      <w:r w:rsidR="00573CD5" w:rsidRPr="00573CD5">
        <w:rPr>
          <w:rFonts w:ascii="Times New Roman" w:hAnsi="Times New Roman" w:cs="Times New Roman"/>
          <w:sz w:val="22"/>
          <w:szCs w:val="22"/>
        </w:rPr>
        <w:t>Murthy</w:t>
      </w:r>
      <w:r w:rsidR="00573CD5">
        <w:rPr>
          <w:rFonts w:ascii="Times New Roman" w:hAnsi="Times New Roman" w:cs="Times New Roman"/>
          <w:sz w:val="22"/>
          <w:szCs w:val="22"/>
        </w:rPr>
        <w:t>, 2014</w:t>
      </w:r>
      <w:r w:rsidR="00D13443" w:rsidRPr="00544B53">
        <w:rPr>
          <w:rFonts w:ascii="Times New Roman" w:hAnsi="Times New Roman" w:cs="Times New Roman"/>
          <w:sz w:val="22"/>
          <w:szCs w:val="22"/>
        </w:rPr>
        <w:t>). Microbial fermentation is the primary method for l</w:t>
      </w:r>
      <w:r>
        <w:rPr>
          <w:rFonts w:ascii="Times New Roman" w:hAnsi="Times New Roman" w:cs="Times New Roman"/>
          <w:sz w:val="22"/>
          <w:szCs w:val="22"/>
        </w:rPr>
        <w:t>arge-scale production of a</w:t>
      </w:r>
      <w:r w:rsidR="00D13443" w:rsidRPr="00544B53">
        <w:rPr>
          <w:rFonts w:ascii="Times New Roman" w:hAnsi="Times New Roman" w:cs="Times New Roman"/>
          <w:sz w:val="22"/>
          <w:szCs w:val="22"/>
        </w:rPr>
        <w:t xml:space="preserve">mylase. While bacteria such as </w:t>
      </w:r>
      <w:r w:rsidR="00D13443" w:rsidRPr="00544B53">
        <w:rPr>
          <w:rFonts w:ascii="Times New Roman" w:hAnsi="Times New Roman" w:cs="Times New Roman"/>
          <w:i/>
          <w:iCs/>
          <w:sz w:val="22"/>
          <w:szCs w:val="22"/>
        </w:rPr>
        <w:t>Bacillus</w:t>
      </w:r>
      <w:r w:rsidR="00D13443" w:rsidRPr="00544B53">
        <w:rPr>
          <w:rFonts w:ascii="Times New Roman" w:hAnsi="Times New Roman" w:cs="Times New Roman"/>
          <w:sz w:val="22"/>
          <w:szCs w:val="22"/>
        </w:rPr>
        <w:t xml:space="preserve"> spp. are employed industrially, filamentous fungi, particularly </w:t>
      </w:r>
      <w:r w:rsidR="00D13443" w:rsidRPr="00544B53">
        <w:rPr>
          <w:rFonts w:ascii="Times New Roman" w:hAnsi="Times New Roman" w:cs="Times New Roman"/>
          <w:i/>
          <w:iCs/>
          <w:sz w:val="22"/>
          <w:szCs w:val="22"/>
        </w:rPr>
        <w:t>Aspergillus</w:t>
      </w:r>
      <w:r w:rsidR="00D13443" w:rsidRPr="00544B53">
        <w:rPr>
          <w:rFonts w:ascii="Times New Roman" w:hAnsi="Times New Roman" w:cs="Times New Roman"/>
          <w:sz w:val="22"/>
          <w:szCs w:val="22"/>
        </w:rPr>
        <w:t xml:space="preserve"> spp., are preferred because of their ability to secrete high levels of extracellular enzymes, ease of cultivation, and tolerance to diverse</w:t>
      </w:r>
      <w:r w:rsidR="009B0AB6" w:rsidRPr="00544B53">
        <w:rPr>
          <w:rFonts w:ascii="Times New Roman" w:hAnsi="Times New Roman" w:cs="Times New Roman"/>
          <w:sz w:val="22"/>
          <w:szCs w:val="22"/>
        </w:rPr>
        <w:t xml:space="preserve"> fermentation substrates (Sadh</w:t>
      </w:r>
      <w:r w:rsidR="00D13443" w:rsidRPr="00544B53">
        <w:rPr>
          <w:rFonts w:ascii="Times New Roman" w:hAnsi="Times New Roman" w:cs="Times New Roman"/>
          <w:sz w:val="22"/>
          <w:szCs w:val="22"/>
        </w:rPr>
        <w:t xml:space="preserve"> </w:t>
      </w:r>
      <w:r w:rsidR="00D13443" w:rsidRPr="00544B53">
        <w:rPr>
          <w:rFonts w:ascii="Times New Roman" w:hAnsi="Times New Roman" w:cs="Times New Roman"/>
          <w:i/>
          <w:sz w:val="22"/>
          <w:szCs w:val="22"/>
        </w:rPr>
        <w:t>et al</w:t>
      </w:r>
      <w:r w:rsidR="009B0AB6" w:rsidRPr="00544B53">
        <w:rPr>
          <w:rFonts w:ascii="Times New Roman" w:hAnsi="Times New Roman" w:cs="Times New Roman"/>
          <w:sz w:val="22"/>
          <w:szCs w:val="22"/>
        </w:rPr>
        <w:t>., 2018</w:t>
      </w:r>
      <w:r w:rsidR="00D13443" w:rsidRPr="00544B53">
        <w:rPr>
          <w:rFonts w:ascii="Times New Roman" w:hAnsi="Times New Roman" w:cs="Times New Roman"/>
          <w:sz w:val="22"/>
          <w:szCs w:val="22"/>
        </w:rPr>
        <w:t xml:space="preserve">). Among these, </w:t>
      </w:r>
      <w:r w:rsidR="00D13443" w:rsidRPr="00544B53">
        <w:rPr>
          <w:rFonts w:ascii="Times New Roman" w:hAnsi="Times New Roman" w:cs="Times New Roman"/>
          <w:i/>
          <w:iCs/>
          <w:sz w:val="22"/>
          <w:szCs w:val="22"/>
        </w:rPr>
        <w:t xml:space="preserve">Aspergillus </w:t>
      </w:r>
      <w:proofErr w:type="spellStart"/>
      <w:r w:rsidR="00D13443" w:rsidRPr="00544B53">
        <w:rPr>
          <w:rFonts w:ascii="Times New Roman" w:hAnsi="Times New Roman" w:cs="Times New Roman"/>
          <w:i/>
          <w:iCs/>
          <w:sz w:val="22"/>
          <w:szCs w:val="22"/>
        </w:rPr>
        <w:t>niger</w:t>
      </w:r>
      <w:proofErr w:type="spellEnd"/>
      <w:r w:rsidR="00D13443" w:rsidRPr="00544B53">
        <w:rPr>
          <w:rFonts w:ascii="Times New Roman" w:hAnsi="Times New Roman" w:cs="Times New Roman"/>
          <w:sz w:val="22"/>
          <w:szCs w:val="22"/>
        </w:rPr>
        <w:t xml:space="preserve"> and related species are</w:t>
      </w:r>
      <w:r>
        <w:rPr>
          <w:rFonts w:ascii="Times New Roman" w:hAnsi="Times New Roman" w:cs="Times New Roman"/>
          <w:sz w:val="22"/>
          <w:szCs w:val="22"/>
        </w:rPr>
        <w:t xml:space="preserve"> recognized as efficient a</w:t>
      </w:r>
      <w:r w:rsidR="00D13443" w:rsidRPr="00544B53">
        <w:rPr>
          <w:rFonts w:ascii="Times New Roman" w:hAnsi="Times New Roman" w:cs="Times New Roman"/>
          <w:sz w:val="22"/>
          <w:szCs w:val="22"/>
        </w:rPr>
        <w:t>mylase producers due to their robust enzymatic systems, rapid growth rates, and adaptability to agro-residues as</w:t>
      </w:r>
      <w:r w:rsidR="009B0AB6" w:rsidRPr="00544B53">
        <w:rPr>
          <w:rFonts w:ascii="Times New Roman" w:hAnsi="Times New Roman" w:cs="Times New Roman"/>
          <w:sz w:val="22"/>
          <w:szCs w:val="22"/>
        </w:rPr>
        <w:t xml:space="preserve"> ferm</w:t>
      </w:r>
      <w:r w:rsidR="00F358EE" w:rsidRPr="00544B53">
        <w:rPr>
          <w:rFonts w:ascii="Times New Roman" w:hAnsi="Times New Roman" w:cs="Times New Roman"/>
          <w:sz w:val="22"/>
          <w:szCs w:val="22"/>
        </w:rPr>
        <w:t xml:space="preserve">entation substrates (Gangadharan </w:t>
      </w:r>
      <w:r w:rsidR="00F358EE" w:rsidRPr="00544B53">
        <w:rPr>
          <w:rFonts w:ascii="Times New Roman" w:hAnsi="Times New Roman" w:cs="Times New Roman"/>
          <w:i/>
          <w:sz w:val="22"/>
          <w:szCs w:val="22"/>
        </w:rPr>
        <w:t>et al.</w:t>
      </w:r>
      <w:r w:rsidR="00F358EE" w:rsidRPr="00544B53">
        <w:rPr>
          <w:rFonts w:ascii="Times New Roman" w:hAnsi="Times New Roman" w:cs="Times New Roman"/>
          <w:sz w:val="22"/>
          <w:szCs w:val="22"/>
        </w:rPr>
        <w:t>, 2007; Kalaiarasi and Parvatham, 2015</w:t>
      </w:r>
      <w:r w:rsidR="00D13443" w:rsidRPr="00544B53">
        <w:rPr>
          <w:rFonts w:ascii="Times New Roman" w:hAnsi="Times New Roman" w:cs="Times New Roman"/>
          <w:sz w:val="22"/>
          <w:szCs w:val="22"/>
        </w:rPr>
        <w:t xml:space="preserve">). Spoilt fruits and agricultural waste streams often </w:t>
      </w:r>
      <w:proofErr w:type="spellStart"/>
      <w:r w:rsidR="00D13443" w:rsidRPr="00544B53">
        <w:rPr>
          <w:rFonts w:ascii="Times New Roman" w:hAnsi="Times New Roman" w:cs="Times New Roman"/>
          <w:sz w:val="22"/>
          <w:szCs w:val="22"/>
        </w:rPr>
        <w:t>harbor</w:t>
      </w:r>
      <w:proofErr w:type="spellEnd"/>
      <w:r w:rsidR="00D13443" w:rsidRPr="00544B53">
        <w:rPr>
          <w:rFonts w:ascii="Times New Roman" w:hAnsi="Times New Roman" w:cs="Times New Roman"/>
          <w:sz w:val="22"/>
          <w:szCs w:val="22"/>
        </w:rPr>
        <w:t xml:space="preserve"> such fungal isolates and provide a natural reservoir for screening potential enzyme producers</w:t>
      </w:r>
      <w:r w:rsidR="00160DAF" w:rsidRPr="00544B53">
        <w:rPr>
          <w:rFonts w:ascii="Times New Roman" w:hAnsi="Times New Roman" w:cs="Times New Roman"/>
          <w:sz w:val="22"/>
          <w:szCs w:val="22"/>
        </w:rPr>
        <w:t xml:space="preserve"> (Sadh </w:t>
      </w:r>
      <w:r w:rsidR="00160DAF" w:rsidRPr="00544B53">
        <w:rPr>
          <w:rFonts w:ascii="Times New Roman" w:hAnsi="Times New Roman" w:cs="Times New Roman"/>
          <w:i/>
          <w:sz w:val="22"/>
          <w:szCs w:val="22"/>
        </w:rPr>
        <w:t>et al.,</w:t>
      </w:r>
      <w:r w:rsidR="00160DAF" w:rsidRPr="00544B53">
        <w:rPr>
          <w:rFonts w:ascii="Times New Roman" w:hAnsi="Times New Roman" w:cs="Times New Roman"/>
          <w:sz w:val="22"/>
          <w:szCs w:val="22"/>
        </w:rPr>
        <w:t xml:space="preserve"> 2018</w:t>
      </w:r>
      <w:r w:rsidR="00D13443" w:rsidRPr="00544B53">
        <w:rPr>
          <w:rFonts w:ascii="Times New Roman" w:hAnsi="Times New Roman" w:cs="Times New Roman"/>
          <w:sz w:val="22"/>
          <w:szCs w:val="22"/>
        </w:rPr>
        <w:t xml:space="preserve">). Agro-industrial residues such as corn cobs and orange mesocarp are generated in large quantities and are commonly discarded as waste, contributing to environmental pollution. Corn cobs are rich in cellulose, hemicellulose, and residual starch, while orange mesocarp contains carbohydrates, </w:t>
      </w:r>
      <w:proofErr w:type="spellStart"/>
      <w:r w:rsidR="00D13443" w:rsidRPr="00544B53">
        <w:rPr>
          <w:rFonts w:ascii="Times New Roman" w:hAnsi="Times New Roman" w:cs="Times New Roman"/>
          <w:sz w:val="22"/>
          <w:szCs w:val="22"/>
        </w:rPr>
        <w:t>fiber</w:t>
      </w:r>
      <w:proofErr w:type="spellEnd"/>
      <w:r w:rsidR="00D13443" w:rsidRPr="00544B53">
        <w:rPr>
          <w:rFonts w:ascii="Times New Roman" w:hAnsi="Times New Roman" w:cs="Times New Roman"/>
          <w:sz w:val="22"/>
          <w:szCs w:val="22"/>
        </w:rPr>
        <w:t>, and essential nutrients that can suppo</w:t>
      </w:r>
      <w:r w:rsidR="00160DAF" w:rsidRPr="00544B53">
        <w:rPr>
          <w:rFonts w:ascii="Times New Roman" w:hAnsi="Times New Roman" w:cs="Times New Roman"/>
          <w:sz w:val="22"/>
          <w:szCs w:val="22"/>
        </w:rPr>
        <w:t xml:space="preserve">rt microbial metabolism (Sadh </w:t>
      </w:r>
      <w:r w:rsidR="00160DAF" w:rsidRPr="00544B53">
        <w:rPr>
          <w:rFonts w:ascii="Times New Roman" w:hAnsi="Times New Roman" w:cs="Times New Roman"/>
          <w:i/>
          <w:sz w:val="22"/>
          <w:szCs w:val="22"/>
        </w:rPr>
        <w:t>et al</w:t>
      </w:r>
      <w:r w:rsidR="00160DAF" w:rsidRPr="00544B53">
        <w:rPr>
          <w:rFonts w:ascii="Times New Roman" w:hAnsi="Times New Roman" w:cs="Times New Roman"/>
          <w:sz w:val="22"/>
          <w:szCs w:val="22"/>
        </w:rPr>
        <w:t>., 2018; Saxena and Singh, 2011</w:t>
      </w:r>
      <w:r w:rsidR="00D13443" w:rsidRPr="00544B53">
        <w:rPr>
          <w:rFonts w:ascii="Times New Roman" w:hAnsi="Times New Roman" w:cs="Times New Roman"/>
          <w:sz w:val="22"/>
          <w:szCs w:val="22"/>
        </w:rPr>
        <w:t xml:space="preserve">). Utilizing these low-cost residues as substrates for microbial fermentation not only reduces production costs but also provides an eco-friendly strategy for waste </w:t>
      </w:r>
      <w:proofErr w:type="spellStart"/>
      <w:r w:rsidR="00D13443" w:rsidRPr="00544B53">
        <w:rPr>
          <w:rFonts w:ascii="Times New Roman" w:hAnsi="Times New Roman" w:cs="Times New Roman"/>
          <w:sz w:val="22"/>
          <w:szCs w:val="22"/>
        </w:rPr>
        <w:t>valorization</w:t>
      </w:r>
      <w:proofErr w:type="spellEnd"/>
      <w:r w:rsidR="00D13443" w:rsidRPr="00544B53">
        <w:rPr>
          <w:rFonts w:ascii="Times New Roman" w:hAnsi="Times New Roman" w:cs="Times New Roman"/>
          <w:sz w:val="22"/>
          <w:szCs w:val="22"/>
        </w:rPr>
        <w:t xml:space="preserve"> and environmental sustainability. Thus, </w:t>
      </w:r>
      <w:r w:rsidR="00544B53" w:rsidRPr="00544B53">
        <w:rPr>
          <w:rFonts w:ascii="Times New Roman" w:hAnsi="Times New Roman" w:cs="Times New Roman"/>
          <w:sz w:val="22"/>
          <w:szCs w:val="22"/>
        </w:rPr>
        <w:t xml:space="preserve">the optimization of the condition for </w:t>
      </w:r>
      <w:r w:rsidR="00544B53" w:rsidRPr="00544B53">
        <w:rPr>
          <w:rFonts w:ascii="Times New Roman" w:hAnsi="Times New Roman" w:cs="Times New Roman"/>
          <w:sz w:val="22"/>
          <w:szCs w:val="22"/>
        </w:rPr>
        <w:lastRenderedPageBreak/>
        <w:t xml:space="preserve">the production of </w:t>
      </w:r>
      <w:r w:rsidR="00544B53" w:rsidRPr="00544B53">
        <w:rPr>
          <w:rFonts w:ascii="Times New Roman" w:hAnsi="Times New Roman" w:cs="Times New Roman"/>
          <w:i/>
          <w:iCs/>
          <w:sz w:val="22"/>
          <w:szCs w:val="22"/>
        </w:rPr>
        <w:t>Aspergillus</w:t>
      </w:r>
      <w:r w:rsidR="00544B53" w:rsidRPr="00544B53">
        <w:rPr>
          <w:rFonts w:ascii="Times New Roman" w:hAnsi="Times New Roman" w:cs="Times New Roman"/>
          <w:sz w:val="22"/>
          <w:szCs w:val="22"/>
        </w:rPr>
        <w:t xml:space="preserve"> spp.</w:t>
      </w:r>
      <w:r>
        <w:rPr>
          <w:rFonts w:ascii="Times New Roman" w:hAnsi="Times New Roman" w:cs="Times New Roman"/>
          <w:sz w:val="22"/>
          <w:szCs w:val="22"/>
        </w:rPr>
        <w:t xml:space="preserve"> </w:t>
      </w:r>
      <w:r w:rsidR="00544B53" w:rsidRPr="00544B53">
        <w:rPr>
          <w:rFonts w:ascii="Times New Roman" w:hAnsi="Times New Roman" w:cs="Times New Roman"/>
          <w:sz w:val="22"/>
          <w:szCs w:val="22"/>
        </w:rPr>
        <w:t>amylase from dump site using corn cob and orange mesocarp substrate offers a sustainable approach to industrial enzyme bioprocessing.</w:t>
      </w:r>
    </w:p>
    <w:p w:rsidR="00573CD5" w:rsidRPr="00544B53" w:rsidRDefault="00573CD5" w:rsidP="00544B53">
      <w:pPr>
        <w:pStyle w:val="CommentText"/>
        <w:jc w:val="both"/>
        <w:rPr>
          <w:rFonts w:ascii="Times New Roman" w:hAnsi="Times New Roman" w:cs="Times New Roman"/>
          <w:sz w:val="22"/>
          <w:szCs w:val="22"/>
        </w:rPr>
      </w:pPr>
    </w:p>
    <w:p w:rsidR="00353D1C" w:rsidRPr="00947F58" w:rsidRDefault="00462868" w:rsidP="00544B53">
      <w:pPr>
        <w:tabs>
          <w:tab w:val="left" w:pos="5610"/>
        </w:tabs>
        <w:rPr>
          <w:rFonts w:ascii="Times New Roman" w:hAnsi="Times New Roman" w:cs="Times New Roman"/>
          <w:b/>
          <w:bCs/>
        </w:rPr>
      </w:pPr>
      <w:r w:rsidRPr="00947F58">
        <w:rPr>
          <w:rFonts w:ascii="Times New Roman" w:hAnsi="Times New Roman" w:cs="Times New Roman"/>
          <w:b/>
          <w:bCs/>
        </w:rPr>
        <w:t xml:space="preserve">2. </w:t>
      </w:r>
      <w:r w:rsidR="00353D1C" w:rsidRPr="00947F58">
        <w:rPr>
          <w:rFonts w:ascii="Times New Roman" w:hAnsi="Times New Roman" w:cs="Times New Roman"/>
          <w:b/>
          <w:bCs/>
        </w:rPr>
        <w:t>MATERIALS AND METHODS</w:t>
      </w:r>
      <w:r w:rsidR="00544B53">
        <w:rPr>
          <w:rFonts w:ascii="Times New Roman" w:hAnsi="Times New Roman" w:cs="Times New Roman"/>
          <w:b/>
          <w:bCs/>
        </w:rPr>
        <w:tab/>
      </w:r>
    </w:p>
    <w:p w:rsidR="00353D1C" w:rsidRPr="00947F58" w:rsidRDefault="00353D1C" w:rsidP="00353D1C">
      <w:pPr>
        <w:rPr>
          <w:rFonts w:ascii="Times New Roman" w:hAnsi="Times New Roman" w:cs="Times New Roman"/>
          <w:b/>
          <w:bCs/>
        </w:rPr>
      </w:pPr>
      <w:r w:rsidRPr="00947F58">
        <w:rPr>
          <w:rFonts w:ascii="Times New Roman" w:hAnsi="Times New Roman" w:cs="Times New Roman"/>
          <w:b/>
        </w:rPr>
        <w:t>2.1 Sample collection</w:t>
      </w:r>
    </w:p>
    <w:p w:rsidR="00353D1C" w:rsidRPr="00947F58" w:rsidRDefault="00353D1C" w:rsidP="00353D1C">
      <w:pPr>
        <w:jc w:val="both"/>
        <w:rPr>
          <w:rFonts w:ascii="Times New Roman" w:hAnsi="Times New Roman" w:cs="Times New Roman"/>
          <w:color w:val="000000"/>
        </w:rPr>
      </w:pPr>
      <w:r w:rsidRPr="00947F58">
        <w:rPr>
          <w:rFonts w:ascii="Times New Roman" w:hAnsi="Times New Roman" w:cs="Times New Roman"/>
          <w:color w:val="000000"/>
        </w:rPr>
        <w:t xml:space="preserve">The Three (3) </w:t>
      </w:r>
      <w:r w:rsidRPr="00947F58">
        <w:rPr>
          <w:rFonts w:ascii="Times New Roman" w:hAnsi="Times New Roman" w:cs="Times New Roman"/>
        </w:rPr>
        <w:t>dumpsite soil</w:t>
      </w:r>
      <w:r w:rsidRPr="00947F58">
        <w:rPr>
          <w:rFonts w:ascii="Times New Roman" w:hAnsi="Times New Roman" w:cs="Times New Roman"/>
          <w:color w:val="000000"/>
        </w:rPr>
        <w:t xml:space="preserve"> samples were collected from </w:t>
      </w:r>
      <w:r w:rsidRPr="00947F58">
        <w:rPr>
          <w:rFonts w:ascii="Times New Roman" w:hAnsi="Times New Roman" w:cs="Times New Roman"/>
        </w:rPr>
        <w:t xml:space="preserve">Mile 1, Mile 3 and </w:t>
      </w:r>
      <w:proofErr w:type="spellStart"/>
      <w:r w:rsidRPr="00947F58">
        <w:rPr>
          <w:rFonts w:ascii="Times New Roman" w:hAnsi="Times New Roman" w:cs="Times New Roman"/>
        </w:rPr>
        <w:t>Rumuokoro</w:t>
      </w:r>
      <w:proofErr w:type="spellEnd"/>
      <w:r w:rsidRPr="00947F58">
        <w:rPr>
          <w:rFonts w:ascii="Times New Roman" w:hAnsi="Times New Roman" w:cs="Times New Roman"/>
        </w:rPr>
        <w:t>, Rivers State. The dumpsite soil</w:t>
      </w:r>
      <w:r w:rsidR="00EF1805">
        <w:rPr>
          <w:rFonts w:ascii="Times New Roman" w:hAnsi="Times New Roman" w:cs="Times New Roman"/>
        </w:rPr>
        <w:t xml:space="preserve"> </w:t>
      </w:r>
      <w:r w:rsidR="00EF1805">
        <w:rPr>
          <w:rFonts w:ascii="Times New Roman" w:hAnsi="Times New Roman" w:cs="Times New Roman"/>
          <w:color w:val="000000"/>
        </w:rPr>
        <w:t>sample</w:t>
      </w:r>
      <w:r w:rsidRPr="00947F58">
        <w:rPr>
          <w:rFonts w:ascii="Times New Roman" w:hAnsi="Times New Roman" w:cs="Times New Roman"/>
          <w:color w:val="000000"/>
        </w:rPr>
        <w:t xml:space="preserve"> were collected using </w:t>
      </w:r>
      <w:r w:rsidRPr="00947F58">
        <w:rPr>
          <w:rFonts w:ascii="Times New Roman" w:hAnsi="Times New Roman" w:cs="Times New Roman"/>
          <w:iCs/>
          <w:color w:val="000000"/>
        </w:rPr>
        <w:t>sterile plastic bags. The sample bags were labe</w:t>
      </w:r>
      <w:r w:rsidR="00544B53">
        <w:rPr>
          <w:rFonts w:ascii="Times New Roman" w:hAnsi="Times New Roman" w:cs="Times New Roman"/>
          <w:iCs/>
          <w:color w:val="000000"/>
        </w:rPr>
        <w:t>l</w:t>
      </w:r>
      <w:r w:rsidRPr="00947F58">
        <w:rPr>
          <w:rFonts w:ascii="Times New Roman" w:hAnsi="Times New Roman" w:cs="Times New Roman"/>
          <w:iCs/>
          <w:color w:val="000000"/>
        </w:rPr>
        <w:t xml:space="preserve">led according to the location of the sample collection. The samples were transported in an ice chest to the Microbiology Laboratory, </w:t>
      </w:r>
      <w:r w:rsidRPr="00947F58">
        <w:rPr>
          <w:rFonts w:ascii="Times New Roman" w:hAnsi="Times New Roman" w:cs="Times New Roman"/>
          <w:color w:val="000000"/>
        </w:rPr>
        <w:t>Rivers State University.</w:t>
      </w:r>
    </w:p>
    <w:p w:rsidR="00353D1C" w:rsidRPr="00947F58" w:rsidRDefault="00353D1C" w:rsidP="00353D1C">
      <w:pPr>
        <w:jc w:val="both"/>
        <w:rPr>
          <w:rFonts w:ascii="Times New Roman" w:hAnsi="Times New Roman" w:cs="Times New Roman"/>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 xml:space="preserve">2.2 Isolation of Fungi </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One gram of the dumpsite soil sample was placed in 9 ml of sterile normal saline to obtain a soil suspension. The suspension was then subjected to 10-fold serial dilution to a dilution of 10</w:t>
      </w:r>
      <w:r w:rsidRPr="00947F58">
        <w:rPr>
          <w:rFonts w:ascii="Times New Roman" w:hAnsi="Times New Roman" w:cs="Times New Roman"/>
          <w:vertAlign w:val="superscript"/>
        </w:rPr>
        <w:t>-4</w:t>
      </w:r>
      <w:r w:rsidRPr="00947F58">
        <w:rPr>
          <w:rFonts w:ascii="Times New Roman" w:hAnsi="Times New Roman" w:cs="Times New Roman"/>
        </w:rPr>
        <w:t>. Aliquot of 0.1ml of the different dilutions was inoculated on Potato Dextrose Agar (PDA) plate using the spread plate technique. Inoculated plates were incubated at ambient temperature (26-32</w:t>
      </w:r>
      <w:r w:rsidRPr="00947F58">
        <w:rPr>
          <w:rFonts w:ascii="Times New Roman" w:hAnsi="Times New Roman" w:cs="Times New Roman"/>
          <w:vertAlign w:val="superscript"/>
        </w:rPr>
        <w:t>0</w:t>
      </w:r>
      <w:r w:rsidRPr="00947F58">
        <w:rPr>
          <w:rFonts w:ascii="Times New Roman" w:hAnsi="Times New Roman" w:cs="Times New Roman"/>
        </w:rPr>
        <w:t>C) for 3-5days. After incubation ensuing fungal colonies were characterized and isolated.</w:t>
      </w:r>
    </w:p>
    <w:p w:rsidR="00353D1C" w:rsidRPr="00947F58" w:rsidRDefault="00353D1C" w:rsidP="00353D1C">
      <w:pPr>
        <w:jc w:val="both"/>
        <w:rPr>
          <w:rFonts w:ascii="Times New Roman" w:hAnsi="Times New Roman" w:cs="Times New Roman"/>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 xml:space="preserve">2.3 Macroscopic and Microscopic Examination of Isolated Fungi </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The Colonial features of the isolated fungi including top and reverse colour, form and presence/ absence of periphery were noted and recorded. Also, slides of the fungi were prepared for microscopy using lactophenol cotton blue. The slides were viewed under the microscope using 40x objective lens.</w:t>
      </w:r>
    </w:p>
    <w:p w:rsidR="00353D1C" w:rsidRPr="00947F58" w:rsidRDefault="00353D1C" w:rsidP="00353D1C">
      <w:pPr>
        <w:jc w:val="both"/>
        <w:rPr>
          <w:rFonts w:ascii="Times New Roman" w:hAnsi="Times New Roman" w:cs="Times New Roman"/>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2.4 Collection of agro-residues as biomass</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Corn cobs and Orange mesocarp were obtained from the </w:t>
      </w:r>
      <w:proofErr w:type="spellStart"/>
      <w:r w:rsidRPr="00947F58">
        <w:rPr>
          <w:rFonts w:ascii="Times New Roman" w:hAnsi="Times New Roman" w:cs="Times New Roman"/>
        </w:rPr>
        <w:t>Rumuokoro</w:t>
      </w:r>
      <w:proofErr w:type="spellEnd"/>
      <w:r w:rsidRPr="00947F58">
        <w:rPr>
          <w:rFonts w:ascii="Times New Roman" w:hAnsi="Times New Roman" w:cs="Times New Roman"/>
        </w:rPr>
        <w:t xml:space="preserve"> market in </w:t>
      </w:r>
      <w:proofErr w:type="spellStart"/>
      <w:r w:rsidRPr="00947F58">
        <w:rPr>
          <w:rFonts w:ascii="Times New Roman" w:hAnsi="Times New Roman" w:cs="Times New Roman"/>
        </w:rPr>
        <w:t>Obio-Akpor</w:t>
      </w:r>
      <w:proofErr w:type="spellEnd"/>
      <w:r w:rsidRPr="00947F58">
        <w:rPr>
          <w:rFonts w:ascii="Times New Roman" w:hAnsi="Times New Roman" w:cs="Times New Roman"/>
        </w:rPr>
        <w:t xml:space="preserve">, Local Government Area of Rivers state. These agro residues were taken to the Microbiology Laboratory, Rivers State University, </w:t>
      </w:r>
      <w:proofErr w:type="spellStart"/>
      <w:r w:rsidRPr="00947F58">
        <w:rPr>
          <w:rFonts w:ascii="Times New Roman" w:hAnsi="Times New Roman" w:cs="Times New Roman"/>
        </w:rPr>
        <w:t>Nkpolu</w:t>
      </w:r>
      <w:proofErr w:type="spellEnd"/>
      <w:r w:rsidRPr="00947F58">
        <w:rPr>
          <w:rFonts w:ascii="Times New Roman" w:hAnsi="Times New Roman" w:cs="Times New Roman"/>
        </w:rPr>
        <w:t xml:space="preserve">- </w:t>
      </w:r>
      <w:proofErr w:type="spellStart"/>
      <w:r w:rsidRPr="00947F58">
        <w:rPr>
          <w:rFonts w:ascii="Times New Roman" w:hAnsi="Times New Roman" w:cs="Times New Roman"/>
        </w:rPr>
        <w:t>Oroworokwu</w:t>
      </w:r>
      <w:proofErr w:type="spellEnd"/>
      <w:r w:rsidRPr="00947F58">
        <w:rPr>
          <w:rFonts w:ascii="Times New Roman" w:hAnsi="Times New Roman" w:cs="Times New Roman"/>
        </w:rPr>
        <w:t>, Port Harcourt, Rivers State. They were dried and pulverized into granules using a mechanical grinder. The processed biomass was packaged, sealed and labelled accordingly.</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   </w:t>
      </w:r>
    </w:p>
    <w:p w:rsidR="00353D1C" w:rsidRPr="00947F58" w:rsidRDefault="00353D1C" w:rsidP="00353D1C">
      <w:pPr>
        <w:jc w:val="both"/>
        <w:rPr>
          <w:rFonts w:ascii="Times New Roman" w:hAnsi="Times New Roman" w:cs="Times New Roman"/>
          <w:b/>
        </w:rPr>
      </w:pPr>
      <w:r w:rsidRPr="00947F58">
        <w:rPr>
          <w:rFonts w:ascii="Times New Roman" w:hAnsi="Times New Roman" w:cs="Times New Roman"/>
          <w:b/>
        </w:rPr>
        <w:t xml:space="preserve"> 2.5 Compositional Analysis of the Agro-Residues</w:t>
      </w:r>
    </w:p>
    <w:p w:rsidR="00353D1C" w:rsidRPr="00947F58" w:rsidRDefault="00353D1C" w:rsidP="00353D1C">
      <w:pPr>
        <w:rPr>
          <w:rFonts w:ascii="Times New Roman" w:hAnsi="Times New Roman" w:cs="Times New Roman"/>
          <w:b/>
        </w:rPr>
      </w:pPr>
      <w:bookmarkStart w:id="0" w:name="_Hlk11364296"/>
      <w:r w:rsidRPr="00947F58">
        <w:rPr>
          <w:rFonts w:ascii="Times New Roman" w:hAnsi="Times New Roman" w:cs="Times New Roman"/>
          <w:b/>
        </w:rPr>
        <w:t xml:space="preserve">2.5.1 Determination of crude protein </w:t>
      </w:r>
    </w:p>
    <w:bookmarkEnd w:id="0"/>
    <w:p w:rsidR="00353D1C" w:rsidRPr="00947F58" w:rsidRDefault="00353D1C" w:rsidP="00353D1C">
      <w:pPr>
        <w:jc w:val="both"/>
        <w:rPr>
          <w:rFonts w:ascii="Times New Roman" w:hAnsi="Times New Roman" w:cs="Times New Roman"/>
          <w:bCs/>
        </w:rPr>
      </w:pPr>
      <w:r w:rsidRPr="00947F58">
        <w:rPr>
          <w:rFonts w:ascii="Times New Roman" w:hAnsi="Times New Roman" w:cs="Times New Roman"/>
          <w:bCs/>
        </w:rPr>
        <w:t xml:space="preserve">The crude protein content was determined using the </w:t>
      </w:r>
      <w:proofErr w:type="spellStart"/>
      <w:r w:rsidRPr="00947F58">
        <w:rPr>
          <w:rFonts w:ascii="Times New Roman" w:hAnsi="Times New Roman" w:cs="Times New Roman"/>
          <w:bCs/>
        </w:rPr>
        <w:t>Kjehdal</w:t>
      </w:r>
      <w:proofErr w:type="spellEnd"/>
      <w:r w:rsidRPr="00947F58">
        <w:rPr>
          <w:rFonts w:ascii="Times New Roman" w:hAnsi="Times New Roman" w:cs="Times New Roman"/>
          <w:bCs/>
        </w:rPr>
        <w:t xml:space="preserve"> method. About 0.5g of agro residues was placed into a clean 250ml conical flask, 15g of digestion catalyst was added and 20ml concentrated sulphuric acid was added. The mixture was heated to digest with the content. The clear solution was then allowed to stand for 30minutes and allowed to cool. After cooling it was made up 100ml with distilled water. About 20ml of the diluted digest was placed in a distillation flask attached to a Liebig condenser connected to a receiver containing 10ml of 2% boric acid indicator. About 40ml of 40% Sodium hydroxide was injected into the digest via a syringe until the digest became strongly alkaline. The mixture was heated to boiling and distilled ammonia gas was condensed into the beaker containing the boric acid. The distillate was titrated with standard 0.1N Hydrochloric acid solution. The volume of hydrochloric acid added to effect this change was recorded as titrate value. </w:t>
      </w:r>
    </w:p>
    <w:p w:rsidR="00353D1C" w:rsidRPr="00947F58" w:rsidRDefault="00353D1C" w:rsidP="00353D1C">
      <w:pPr>
        <w:pStyle w:val="ListParagraph"/>
        <w:ind w:left="0"/>
        <w:rPr>
          <w:rFonts w:ascii="Times New Roman" w:hAnsi="Times New Roman" w:cs="Times New Roman"/>
          <w:b/>
          <w:i/>
          <w:color w:val="000000"/>
        </w:rPr>
      </w:pPr>
      <w:bookmarkStart w:id="1" w:name="_Hlk11365600"/>
      <w:r w:rsidRPr="00947F58">
        <w:rPr>
          <w:rFonts w:ascii="Times New Roman" w:hAnsi="Times New Roman" w:cs="Times New Roman"/>
          <w:b/>
          <w:i/>
          <w:color w:val="000000"/>
        </w:rPr>
        <w:t>Calculation</w:t>
      </w:r>
    </w:p>
    <w:p w:rsidR="00353D1C" w:rsidRPr="00947F58" w:rsidRDefault="00353D1C" w:rsidP="00353D1C">
      <w:pPr>
        <w:pStyle w:val="ListParagraph"/>
        <w:rPr>
          <w:rFonts w:ascii="Times New Roman" w:hAnsi="Times New Roman" w:cs="Times New Roman"/>
          <w:b/>
          <w:color w:val="000000"/>
        </w:rPr>
      </w:pPr>
      <w:r w:rsidRPr="00947F58">
        <w:rPr>
          <w:rFonts w:ascii="Times New Roman" w:hAnsi="Times New Roman" w:cs="Times New Roman"/>
          <w:b/>
          <w:color w:val="000000"/>
        </w:rPr>
        <w:t xml:space="preserve">%Nitrogen = </w:t>
      </w:r>
      <m:oMath>
        <m:r>
          <m:rPr>
            <m:sty m:val="b"/>
          </m:rPr>
          <w:rPr>
            <w:rFonts w:ascii="Cambria Math" w:hAnsi="Cambria Math" w:cs="Times New Roman"/>
            <w:color w:val="000000"/>
          </w:rPr>
          <m:t>Titre value X 0.1 X14X4</m:t>
        </m:r>
      </m:oMath>
    </w:p>
    <w:p w:rsidR="00353D1C" w:rsidRPr="00947F58" w:rsidRDefault="00353D1C" w:rsidP="00353D1C">
      <w:pPr>
        <w:pStyle w:val="ListParagraph"/>
        <w:rPr>
          <w:rFonts w:ascii="Times New Roman" w:hAnsi="Times New Roman" w:cs="Times New Roman"/>
          <w:b/>
          <w:color w:val="000000"/>
        </w:rPr>
      </w:pPr>
      <w:r w:rsidRPr="00947F58">
        <w:rPr>
          <w:rFonts w:ascii="Times New Roman" w:hAnsi="Times New Roman" w:cs="Times New Roman"/>
          <w:b/>
          <w:color w:val="000000"/>
        </w:rPr>
        <w:t>%Protein = %Nitrogen x 6.25</w:t>
      </w:r>
    </w:p>
    <w:p w:rsidR="00353D1C" w:rsidRPr="00947F58" w:rsidRDefault="00353D1C" w:rsidP="00353D1C">
      <w:pPr>
        <w:pStyle w:val="ListParagraph"/>
        <w:rPr>
          <w:rFonts w:ascii="Times New Roman" w:hAnsi="Times New Roman" w:cs="Times New Roman"/>
          <w:b/>
          <w:color w:val="000000"/>
        </w:rPr>
      </w:pPr>
    </w:p>
    <w:p w:rsidR="00353D1C" w:rsidRPr="00947F58" w:rsidRDefault="00353D1C" w:rsidP="00353D1C">
      <w:pPr>
        <w:rPr>
          <w:rFonts w:ascii="Times New Roman" w:hAnsi="Times New Roman" w:cs="Times New Roman"/>
          <w:b/>
        </w:rPr>
      </w:pPr>
      <w:r w:rsidRPr="00947F58">
        <w:rPr>
          <w:rFonts w:ascii="Times New Roman" w:hAnsi="Times New Roman" w:cs="Times New Roman"/>
          <w:b/>
        </w:rPr>
        <w:t xml:space="preserve">2.5.2 Determination of Carbohydrate </w:t>
      </w:r>
      <w:bookmarkEnd w:id="1"/>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The carbohydrate content was determined using the Cleg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method. About 0.1g of the agro residues was placed into a 25ml volumetric flask, 1ml distilled water and 1.3ml of 62% perchloric acid was added and agitated for about 20mins. Then the flask was made up to 25ml mark with distilled water. The solution formed was filtered through a filter paper. Then, 1ml of the filtrate was transferred into a 10ml test tube and diluted to volume with distilled water. 1ml of the working solution was pipette into a clean test tube and 5ml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reagent was added. Similarly, 1ml distilled water and 5ml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was mixed in a separate </w:t>
      </w:r>
      <w:r w:rsidRPr="00947F58">
        <w:rPr>
          <w:rFonts w:ascii="Times New Roman" w:hAnsi="Times New Roman" w:cs="Times New Roman"/>
        </w:rPr>
        <w:lastRenderedPageBreak/>
        <w:t xml:space="preserve">test tube to be used as blank. A standard glucose solution of 0.1ml was also treated with </w:t>
      </w:r>
      <w:proofErr w:type="spellStart"/>
      <w:r w:rsidRPr="00947F58">
        <w:rPr>
          <w:rFonts w:ascii="Times New Roman" w:hAnsi="Times New Roman" w:cs="Times New Roman"/>
        </w:rPr>
        <w:t>Anthrone</w:t>
      </w:r>
      <w:proofErr w:type="spellEnd"/>
      <w:r w:rsidRPr="00947F58">
        <w:rPr>
          <w:rFonts w:ascii="Times New Roman" w:hAnsi="Times New Roman" w:cs="Times New Roman"/>
        </w:rPr>
        <w:t xml:space="preserve"> reagent. The absorbance of all 3 solutions were read at 630nm. The carbohydrate content, as glucose, was then calculated using the formula below.</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 CHO as glucose = </w:t>
      </w:r>
      <w:r w:rsidRPr="00947F58">
        <w:rPr>
          <w:rFonts w:ascii="Times New Roman" w:hAnsi="Times New Roman" w:cs="Times New Roman"/>
          <w:u w:val="single"/>
        </w:rPr>
        <w:t>25 x absorbance of sample</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ab/>
      </w:r>
      <w:r w:rsidRPr="00947F58">
        <w:rPr>
          <w:rFonts w:ascii="Times New Roman" w:hAnsi="Times New Roman" w:cs="Times New Roman"/>
        </w:rPr>
        <w:tab/>
        <w:t xml:space="preserve">      Absorbance of standard glucose x 100</w:t>
      </w:r>
    </w:p>
    <w:p w:rsidR="00353D1C" w:rsidRPr="00947F58" w:rsidRDefault="00353D1C" w:rsidP="00353D1C">
      <w:pPr>
        <w:jc w:val="both"/>
        <w:rPr>
          <w:rFonts w:ascii="Times New Roman" w:hAnsi="Times New Roman" w:cs="Times New Roman"/>
        </w:rPr>
      </w:pPr>
    </w:p>
    <w:p w:rsidR="00353D1C" w:rsidRPr="00947F58" w:rsidRDefault="00353D1C" w:rsidP="00353D1C">
      <w:pPr>
        <w:rPr>
          <w:rFonts w:ascii="Times New Roman" w:hAnsi="Times New Roman" w:cs="Times New Roman"/>
          <w:b/>
        </w:rPr>
      </w:pPr>
      <w:r w:rsidRPr="00947F58">
        <w:rPr>
          <w:rFonts w:ascii="Times New Roman" w:hAnsi="Times New Roman" w:cs="Times New Roman"/>
          <w:b/>
        </w:rPr>
        <w:t xml:space="preserve"> 2.5.3 Determination of Moisture Content</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The moisture content was determined using the oven drying method. About one gram (1g) of the agro residues was placed into a clean dried porcelain evaporating dish. The weight of porcelain evaporating dish and sample was noted before drying. The dish was then placed in an oven set at a temperature of 105</w:t>
      </w:r>
      <w:r w:rsidRPr="00947F58">
        <w:rPr>
          <w:rFonts w:ascii="Times New Roman" w:hAnsi="Times New Roman" w:cs="Times New Roman"/>
          <w:vertAlign w:val="superscript"/>
        </w:rPr>
        <w:t>0</w:t>
      </w:r>
      <w:r w:rsidRPr="00947F58">
        <w:rPr>
          <w:rFonts w:ascii="Times New Roman" w:hAnsi="Times New Roman" w:cs="Times New Roman"/>
        </w:rPr>
        <w:t>C and allowed for six hours. Afterwards, the dish was brought out and placed in a desiccator so as to cool down to room temperature. The cooled dish was then weighed, and the moisture content was calculated as below</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 Moisture </w:t>
      </w:r>
      <w:r w:rsidRPr="00947F58">
        <w:rPr>
          <w:rFonts w:ascii="Times New Roman" w:hAnsi="Times New Roman" w:cs="Times New Roman"/>
          <w:u w:val="single"/>
        </w:rPr>
        <w:t>= Weight of fresh sample – weight of dried sample</w:t>
      </w:r>
      <w:r w:rsidRPr="00947F58">
        <w:rPr>
          <w:rFonts w:ascii="Times New Roman" w:hAnsi="Times New Roman" w:cs="Times New Roman"/>
        </w:rPr>
        <w:t xml:space="preserve">   x   </w:t>
      </w:r>
      <w:r w:rsidRPr="00947F58">
        <w:rPr>
          <w:rFonts w:ascii="Times New Roman" w:hAnsi="Times New Roman" w:cs="Times New Roman"/>
          <w:u w:val="single"/>
        </w:rPr>
        <w:t>100</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ab/>
      </w:r>
      <w:r w:rsidRPr="00947F58">
        <w:rPr>
          <w:rFonts w:ascii="Times New Roman" w:hAnsi="Times New Roman" w:cs="Times New Roman"/>
        </w:rPr>
        <w:tab/>
        <w:t>Weight of fresh sample</w:t>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t xml:space="preserve">    1 </w:t>
      </w:r>
    </w:p>
    <w:p w:rsidR="00353D1C" w:rsidRPr="00947F58" w:rsidRDefault="00353D1C" w:rsidP="00353D1C">
      <w:pPr>
        <w:rPr>
          <w:rFonts w:ascii="Times New Roman" w:hAnsi="Times New Roman" w:cs="Times New Roman"/>
          <w:b/>
        </w:rPr>
      </w:pPr>
    </w:p>
    <w:p w:rsidR="00353D1C" w:rsidRPr="00947F58" w:rsidRDefault="00353D1C" w:rsidP="00353D1C">
      <w:pPr>
        <w:rPr>
          <w:rFonts w:ascii="Times New Roman" w:hAnsi="Times New Roman" w:cs="Times New Roman"/>
          <w:b/>
        </w:rPr>
      </w:pPr>
      <w:r w:rsidRPr="00947F58">
        <w:rPr>
          <w:rFonts w:ascii="Times New Roman" w:hAnsi="Times New Roman" w:cs="Times New Roman"/>
          <w:b/>
        </w:rPr>
        <w:t xml:space="preserve"> 2.5.4 Determination of Ash </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About one gram (1g) of the dried agro residues was placed into porcelain crucible which was previously preheated and weighed. The crucible was placed in a muffled furnace set at a temperature of 630</w:t>
      </w:r>
      <w:r w:rsidRPr="00947F58">
        <w:rPr>
          <w:rFonts w:ascii="Times New Roman" w:hAnsi="Times New Roman" w:cs="Times New Roman"/>
          <w:vertAlign w:val="superscript"/>
        </w:rPr>
        <w:t>o</w:t>
      </w:r>
      <w:r w:rsidRPr="00947F58">
        <w:rPr>
          <w:rFonts w:ascii="Times New Roman" w:hAnsi="Times New Roman" w:cs="Times New Roman"/>
        </w:rPr>
        <w:t>C for three hours. Afterward, the crucible was brought out and allowed to cool to room temperature, and re-weighed. The ash content was then calculated as below</w:t>
      </w:r>
    </w:p>
    <w:p w:rsidR="00353D1C" w:rsidRPr="00947F58" w:rsidRDefault="00353D1C" w:rsidP="00353D1C">
      <w:pPr>
        <w:rPr>
          <w:rFonts w:ascii="Times New Roman" w:hAnsi="Times New Roman" w:cs="Times New Roman"/>
        </w:rPr>
      </w:pPr>
      <w:r w:rsidRPr="00947F58">
        <w:rPr>
          <w:rFonts w:ascii="Times New Roman" w:hAnsi="Times New Roman" w:cs="Times New Roman"/>
        </w:rPr>
        <w:t xml:space="preserve">% Ash = </w:t>
      </w:r>
      <w:r w:rsidRPr="00947F58">
        <w:rPr>
          <w:rFonts w:ascii="Times New Roman" w:hAnsi="Times New Roman" w:cs="Times New Roman"/>
          <w:u w:val="single"/>
        </w:rPr>
        <w:t>Weight of crucible + Ash sample – Weight of crucible</w:t>
      </w:r>
      <w:r w:rsidRPr="00947F58">
        <w:rPr>
          <w:rFonts w:ascii="Times New Roman" w:hAnsi="Times New Roman" w:cs="Times New Roman"/>
        </w:rPr>
        <w:t xml:space="preserve">   x </w:t>
      </w:r>
      <w:r w:rsidRPr="00947F58">
        <w:rPr>
          <w:rFonts w:ascii="Times New Roman" w:hAnsi="Times New Roman" w:cs="Times New Roman"/>
          <w:u w:val="single"/>
        </w:rPr>
        <w:t>100</w:t>
      </w:r>
    </w:p>
    <w:p w:rsidR="00353D1C" w:rsidRPr="00947F58" w:rsidRDefault="00353D1C" w:rsidP="00353D1C">
      <w:pPr>
        <w:rPr>
          <w:rFonts w:ascii="Times New Roman" w:hAnsi="Times New Roman" w:cs="Times New Roman"/>
        </w:rPr>
      </w:pPr>
      <w:r w:rsidRPr="00947F58">
        <w:rPr>
          <w:rFonts w:ascii="Times New Roman" w:hAnsi="Times New Roman" w:cs="Times New Roman"/>
        </w:rPr>
        <w:tab/>
      </w:r>
      <w:r w:rsidRPr="00947F58">
        <w:rPr>
          <w:rFonts w:ascii="Times New Roman" w:hAnsi="Times New Roman" w:cs="Times New Roman"/>
        </w:rPr>
        <w:tab/>
        <w:t>Weight of sample</w:t>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r>
      <w:r w:rsidRPr="00947F58">
        <w:rPr>
          <w:rFonts w:ascii="Times New Roman" w:hAnsi="Times New Roman" w:cs="Times New Roman"/>
        </w:rPr>
        <w:tab/>
        <w:t xml:space="preserve">  1</w:t>
      </w:r>
    </w:p>
    <w:p w:rsidR="00353D1C" w:rsidRPr="00947F58" w:rsidRDefault="00353D1C" w:rsidP="00353D1C">
      <w:pPr>
        <w:tabs>
          <w:tab w:val="left" w:pos="990"/>
        </w:tabs>
        <w:spacing w:before="240"/>
        <w:jc w:val="both"/>
        <w:rPr>
          <w:rFonts w:ascii="Times New Roman" w:hAnsi="Times New Roman" w:cs="Times New Roman"/>
          <w:color w:val="000000"/>
        </w:rPr>
      </w:pPr>
      <w:r w:rsidRPr="00947F58">
        <w:rPr>
          <w:rFonts w:ascii="Times New Roman" w:hAnsi="Times New Roman" w:cs="Times New Roman"/>
          <w:b/>
          <w:color w:val="000000"/>
        </w:rPr>
        <w:t>2.5.5 Determination of Crude Fiber</w:t>
      </w:r>
    </w:p>
    <w:p w:rsidR="00353D1C" w:rsidRPr="00947F58" w:rsidRDefault="00353D1C" w:rsidP="00353D1C">
      <w:pPr>
        <w:pStyle w:val="Default"/>
        <w:jc w:val="both"/>
        <w:rPr>
          <w:sz w:val="22"/>
          <w:szCs w:val="22"/>
        </w:rPr>
      </w:pPr>
      <w:r w:rsidRPr="00947F58">
        <w:rPr>
          <w:sz w:val="22"/>
          <w:szCs w:val="22"/>
        </w:rPr>
        <w:t xml:space="preserve">The total fiber content was determined using the </w:t>
      </w:r>
      <w:r w:rsidR="007C302C" w:rsidRPr="007C302C">
        <w:rPr>
          <w:color w:val="auto"/>
          <w:sz w:val="22"/>
          <w:szCs w:val="22"/>
          <w:shd w:val="clear" w:color="auto" w:fill="FFFFFF"/>
        </w:rPr>
        <w:t>Williams</w:t>
      </w:r>
      <w:r w:rsidR="007C302C">
        <w:rPr>
          <w:color w:val="auto"/>
          <w:sz w:val="22"/>
          <w:szCs w:val="22"/>
          <w:shd w:val="clear" w:color="auto" w:fill="FFFFFF"/>
        </w:rPr>
        <w:t xml:space="preserve"> </w:t>
      </w:r>
      <w:r w:rsidR="007C302C" w:rsidRPr="007C302C">
        <w:rPr>
          <w:i/>
          <w:color w:val="auto"/>
          <w:sz w:val="22"/>
          <w:szCs w:val="22"/>
          <w:shd w:val="clear" w:color="auto" w:fill="FFFFFF"/>
        </w:rPr>
        <w:t>et al</w:t>
      </w:r>
      <w:r w:rsidR="007C302C">
        <w:rPr>
          <w:color w:val="auto"/>
          <w:sz w:val="22"/>
          <w:szCs w:val="22"/>
          <w:shd w:val="clear" w:color="auto" w:fill="FFFFFF"/>
        </w:rPr>
        <w:t>. (2025)</w:t>
      </w:r>
      <w:r w:rsidR="007C302C" w:rsidRPr="007C302C">
        <w:rPr>
          <w:color w:val="auto"/>
          <w:sz w:val="22"/>
          <w:szCs w:val="22"/>
          <w:shd w:val="clear" w:color="auto" w:fill="FFFFFF"/>
        </w:rPr>
        <w:t xml:space="preserve"> </w:t>
      </w:r>
      <w:r w:rsidRPr="00947F58">
        <w:rPr>
          <w:sz w:val="22"/>
          <w:szCs w:val="22"/>
        </w:rPr>
        <w:t xml:space="preserve">method. Two grams (2.0g) agro residue was placed in 500 mL beaker and was hydrolyzed by adding 10mL of 25% </w:t>
      </w:r>
      <w:proofErr w:type="spellStart"/>
      <w:r w:rsidRPr="00947F58">
        <w:rPr>
          <w:sz w:val="22"/>
          <w:szCs w:val="22"/>
        </w:rPr>
        <w:t>sulphuric</w:t>
      </w:r>
      <w:proofErr w:type="spellEnd"/>
      <w:r w:rsidRPr="00947F58">
        <w:rPr>
          <w:sz w:val="22"/>
          <w:szCs w:val="22"/>
        </w:rPr>
        <w:t xml:space="preserve"> acid and boiling for about 30 min on a hot plate. The mixture was filtered through a piece of clean white cloth and rinsed with hot distilled water. The residue was boiled again with 20mL of 2.5% sodium hydroxide (NaOH) for 30 min, and was then filtered and rinsed with distilled water. Finally, the residue was collected and transferred into a crucible and was dried in the oven to a constant weight. The weight of the fiber was then calculated using the formula below</w:t>
      </w:r>
    </w:p>
    <w:p w:rsidR="00353D1C" w:rsidRPr="00947F58" w:rsidRDefault="00353D1C" w:rsidP="00353D1C">
      <w:pPr>
        <w:pStyle w:val="Default"/>
        <w:ind w:left="720" w:firstLine="720"/>
        <w:jc w:val="both"/>
        <w:rPr>
          <w:sz w:val="22"/>
          <w:szCs w:val="22"/>
        </w:rPr>
      </w:pPr>
      <w:r w:rsidRPr="00947F58">
        <w:rPr>
          <w:sz w:val="22"/>
          <w:szCs w:val="22"/>
        </w:rPr>
        <w:t>Crude fiber (</w:t>
      </w:r>
      <w:proofErr w:type="gramStart"/>
      <w:r w:rsidRPr="00947F58">
        <w:rPr>
          <w:sz w:val="22"/>
          <w:szCs w:val="22"/>
        </w:rPr>
        <w:t>%)=</w:t>
      </w:r>
      <w:proofErr w:type="gramEnd"/>
      <w:r w:rsidRPr="00947F58">
        <w:rPr>
          <w:sz w:val="22"/>
          <w:szCs w:val="22"/>
        </w:rPr>
        <w:t xml:space="preserve"> </w:t>
      </w:r>
      <w:r w:rsidRPr="00947F58">
        <w:rPr>
          <w:sz w:val="22"/>
          <w:szCs w:val="22"/>
        </w:rPr>
        <w:tab/>
      </w:r>
      <w:r w:rsidRPr="00947F58">
        <w:rPr>
          <w:sz w:val="22"/>
          <w:szCs w:val="22"/>
          <w:u w:val="single"/>
        </w:rPr>
        <w:t>Weight of fiber</w:t>
      </w:r>
      <w:r w:rsidRPr="00947F58">
        <w:rPr>
          <w:sz w:val="22"/>
          <w:szCs w:val="22"/>
        </w:rPr>
        <w:t xml:space="preserve"> ×   100 </w:t>
      </w:r>
    </w:p>
    <w:p w:rsidR="00353D1C" w:rsidRPr="00947F58" w:rsidRDefault="00353D1C" w:rsidP="00353D1C">
      <w:pPr>
        <w:pStyle w:val="Default"/>
        <w:jc w:val="both"/>
        <w:rPr>
          <w:sz w:val="22"/>
          <w:szCs w:val="22"/>
        </w:rPr>
      </w:pPr>
      <w:r w:rsidRPr="00947F58">
        <w:rPr>
          <w:sz w:val="22"/>
          <w:szCs w:val="22"/>
        </w:rPr>
        <w:tab/>
      </w:r>
      <w:r w:rsidRPr="00947F58">
        <w:rPr>
          <w:sz w:val="22"/>
          <w:szCs w:val="22"/>
        </w:rPr>
        <w:tab/>
      </w:r>
      <w:r w:rsidRPr="00947F58">
        <w:rPr>
          <w:sz w:val="22"/>
          <w:szCs w:val="22"/>
        </w:rPr>
        <w:tab/>
      </w:r>
      <w:r w:rsidRPr="00947F58">
        <w:rPr>
          <w:sz w:val="22"/>
          <w:szCs w:val="22"/>
        </w:rPr>
        <w:tab/>
        <w:t xml:space="preserve">Weight of sample </w:t>
      </w:r>
    </w:p>
    <w:p w:rsidR="00353D1C" w:rsidRPr="00947F58" w:rsidRDefault="00353D1C" w:rsidP="00353D1C">
      <w:pPr>
        <w:pStyle w:val="Heading2"/>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2.5.6 Determination of Crude Lipids</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 xml:space="preserve">Take approximately 4- 5g of sample into the thimble and take a note of the sample weight. Place a cotton into the </w:t>
      </w:r>
      <w:proofErr w:type="spellStart"/>
      <w:r w:rsidRPr="00947F58">
        <w:rPr>
          <w:rFonts w:ascii="Times New Roman" w:hAnsi="Times New Roman" w:cs="Times New Roman"/>
        </w:rPr>
        <w:t>thimblein</w:t>
      </w:r>
      <w:proofErr w:type="spellEnd"/>
      <w:r w:rsidRPr="00947F58">
        <w:rPr>
          <w:rFonts w:ascii="Times New Roman" w:hAnsi="Times New Roman" w:cs="Times New Roman"/>
        </w:rPr>
        <w:t xml:space="preserve"> a way that covers the sample, fold the thimble to enclosed the sample. Take a cellulose thimble (sample holder) and put the sample inside the cellulose thimble. Take the weight of a cleaned and dried flat bottom flask. Set up the </w:t>
      </w:r>
      <w:proofErr w:type="spellStart"/>
      <w:r w:rsidRPr="00947F58">
        <w:rPr>
          <w:rFonts w:ascii="Times New Roman" w:hAnsi="Times New Roman" w:cs="Times New Roman"/>
        </w:rPr>
        <w:t>soxhlet</w:t>
      </w:r>
      <w:proofErr w:type="spellEnd"/>
      <w:r w:rsidRPr="00947F58">
        <w:rPr>
          <w:rFonts w:ascii="Times New Roman" w:hAnsi="Times New Roman" w:cs="Times New Roman"/>
        </w:rPr>
        <w:t xml:space="preserve"> extraction unit placing the sample in it. Add sufficient amount of n-hexane. After extraction of fat, take out the sample </w:t>
      </w:r>
      <w:proofErr w:type="spellStart"/>
      <w:r w:rsidRPr="00947F58">
        <w:rPr>
          <w:rFonts w:ascii="Times New Roman" w:hAnsi="Times New Roman" w:cs="Times New Roman"/>
        </w:rPr>
        <w:t>trom</w:t>
      </w:r>
      <w:proofErr w:type="spellEnd"/>
      <w:r w:rsidRPr="00947F58">
        <w:rPr>
          <w:rFonts w:ascii="Times New Roman" w:hAnsi="Times New Roman" w:cs="Times New Roman"/>
        </w:rPr>
        <w:t xml:space="preserve"> the thimble. Place the flask inside the oven to remove moisture and n-hexane. Set the temperature at 110 degree Celsius and dry for 30mins. After 30mins take out the dried flask and cool in desiccator. After cooling, take the weight of flask with fat.</w:t>
      </w:r>
    </w:p>
    <w:p w:rsidR="00353D1C" w:rsidRPr="00947F58" w:rsidRDefault="00353D1C" w:rsidP="00353D1C">
      <w:pPr>
        <w:rPr>
          <w:rFonts w:ascii="Times New Roman" w:hAnsi="Times New Roman" w:cs="Times New Roman"/>
          <w:b/>
          <w:i/>
          <w:color w:val="000000"/>
        </w:rPr>
      </w:pPr>
      <w:r w:rsidRPr="00947F58">
        <w:rPr>
          <w:rFonts w:ascii="Times New Roman" w:hAnsi="Times New Roman" w:cs="Times New Roman"/>
          <w:b/>
          <w:i/>
          <w:color w:val="000000"/>
        </w:rPr>
        <w:t>Calculations.</w:t>
      </w:r>
    </w:p>
    <w:p w:rsidR="00353D1C" w:rsidRPr="00947F58" w:rsidRDefault="00353D1C" w:rsidP="00353D1C">
      <w:pPr>
        <w:pStyle w:val="Default"/>
        <w:jc w:val="both"/>
        <w:rPr>
          <w:sz w:val="22"/>
          <w:szCs w:val="22"/>
        </w:rPr>
      </w:pPr>
      <w:r w:rsidRPr="00947F58">
        <w:rPr>
          <w:b/>
          <w:sz w:val="22"/>
          <w:szCs w:val="22"/>
        </w:rPr>
        <w:t xml:space="preserve">Crude lipids content (%) = </w:t>
      </w:r>
      <w:r w:rsidRPr="00947F58">
        <w:rPr>
          <w:sz w:val="22"/>
          <w:szCs w:val="22"/>
          <w:u w:val="single"/>
        </w:rPr>
        <w:t>Weight of flask with fat -Weight clean dry flask</w:t>
      </w:r>
      <w:r w:rsidRPr="00947F58">
        <w:rPr>
          <w:sz w:val="22"/>
          <w:szCs w:val="22"/>
        </w:rPr>
        <w:t xml:space="preserve"> ×   100 </w:t>
      </w:r>
    </w:p>
    <w:p w:rsidR="00353D1C" w:rsidRPr="00947F58" w:rsidRDefault="00353D1C" w:rsidP="00353D1C">
      <w:pPr>
        <w:pStyle w:val="Default"/>
        <w:jc w:val="both"/>
        <w:rPr>
          <w:sz w:val="22"/>
          <w:szCs w:val="22"/>
        </w:rPr>
      </w:pPr>
      <w:r w:rsidRPr="00947F58">
        <w:rPr>
          <w:sz w:val="22"/>
          <w:szCs w:val="22"/>
        </w:rPr>
        <w:tab/>
      </w:r>
      <w:r w:rsidRPr="00947F58">
        <w:rPr>
          <w:sz w:val="22"/>
          <w:szCs w:val="22"/>
        </w:rPr>
        <w:tab/>
      </w:r>
      <w:r w:rsidRPr="00947F58">
        <w:rPr>
          <w:sz w:val="22"/>
          <w:szCs w:val="22"/>
        </w:rPr>
        <w:tab/>
      </w:r>
      <w:r w:rsidRPr="00947F58">
        <w:rPr>
          <w:sz w:val="22"/>
          <w:szCs w:val="22"/>
        </w:rPr>
        <w:tab/>
        <w:t xml:space="preserve">                                 Weight of sample </w:t>
      </w:r>
    </w:p>
    <w:p w:rsidR="00353D1C" w:rsidRPr="00947F58" w:rsidRDefault="00353D1C" w:rsidP="00353D1C">
      <w:pPr>
        <w:pStyle w:val="Heading1"/>
        <w:spacing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2.6 Screening Isolated Fungi for α-amylase production</w:t>
      </w:r>
    </w:p>
    <w:p w:rsidR="00353D1C" w:rsidRPr="00947F58" w:rsidRDefault="00353D1C" w:rsidP="00353D1C">
      <w:pPr>
        <w:pStyle w:val="NormalWeb"/>
        <w:spacing w:before="0" w:beforeAutospacing="0"/>
        <w:jc w:val="both"/>
        <w:rPr>
          <w:sz w:val="22"/>
          <w:szCs w:val="22"/>
        </w:rPr>
      </w:pPr>
      <w:r w:rsidRPr="00947F58">
        <w:rPr>
          <w:sz w:val="22"/>
          <w:szCs w:val="22"/>
        </w:rPr>
        <w:t>Fungal isolates obtained from dumpsite soil we</w:t>
      </w:r>
      <w:r w:rsidR="00EF1805">
        <w:rPr>
          <w:sz w:val="22"/>
          <w:szCs w:val="22"/>
        </w:rPr>
        <w:t xml:space="preserve">re screened for extracellular </w:t>
      </w:r>
      <w:r w:rsidRPr="00947F58">
        <w:rPr>
          <w:sz w:val="22"/>
          <w:szCs w:val="22"/>
        </w:rPr>
        <w:t xml:space="preserve">amylase production on starch-containing agar medium prepared as follows (g L⁻¹): soluble starch 10.0, (NH₄)₂HPO₄ 3.0, KH₂PO₄ 2.0, K₂HPO₄ 3.0, </w:t>
      </w:r>
      <w:proofErr w:type="spellStart"/>
      <w:r w:rsidRPr="00947F58">
        <w:rPr>
          <w:sz w:val="22"/>
          <w:szCs w:val="22"/>
        </w:rPr>
        <w:t>MgSO</w:t>
      </w:r>
      <w:proofErr w:type="spellEnd"/>
      <w:r w:rsidRPr="00947F58">
        <w:rPr>
          <w:sz w:val="22"/>
          <w:szCs w:val="22"/>
        </w:rPr>
        <w:t xml:space="preserve">₄·7H₂O 0.1 and agar 25.0. The pH of the medium was adjusted to 5.5–6.0 prior to </w:t>
      </w:r>
      <w:r w:rsidRPr="00947F58">
        <w:rPr>
          <w:sz w:val="22"/>
          <w:szCs w:val="22"/>
        </w:rPr>
        <w:lastRenderedPageBreak/>
        <w:t xml:space="preserve">sterilization. The medium was autoclaved at 121 °C for 15 min, cooled to ~50 °C, poured into sterile Petri dishes (≈20 mL/plate) and allowed to solidify. Pure fungal mycelial plugs (5 mm diameter) or a pinch of actively growing mycelium were point-inoculated at the </w:t>
      </w:r>
      <w:proofErr w:type="spellStart"/>
      <w:r w:rsidRPr="00947F58">
        <w:rPr>
          <w:sz w:val="22"/>
          <w:szCs w:val="22"/>
        </w:rPr>
        <w:t>centre</w:t>
      </w:r>
      <w:proofErr w:type="spellEnd"/>
      <w:r w:rsidRPr="00947F58">
        <w:rPr>
          <w:sz w:val="22"/>
          <w:szCs w:val="22"/>
        </w:rPr>
        <w:t xml:space="preserve"> of each plate. Plates were incubated at 28 °C for 3–5 days (or until colonies reached 20–30 mm). After incubation, plates were flooded with iodine solution (Lugol’s iodine) and left for 1–2 min, then gently rinsed with deionized water. Amylase producers exhibited a clear zone (halo) of starch hydrolysis around colonies against a dark blue/black background, while non-producers stained up to the colony margin. The diameter of the colony (Dc) and the diameter of colony plus clear zone (Dh) were measured in </w:t>
      </w:r>
      <w:proofErr w:type="spellStart"/>
      <w:r w:rsidRPr="00947F58">
        <w:rPr>
          <w:sz w:val="22"/>
          <w:szCs w:val="22"/>
        </w:rPr>
        <w:t>millimetres</w:t>
      </w:r>
      <w:proofErr w:type="spellEnd"/>
      <w:r w:rsidRPr="00947F58">
        <w:rPr>
          <w:sz w:val="22"/>
          <w:szCs w:val="22"/>
        </w:rPr>
        <w:t xml:space="preserve"> using a ruler. α-Amylase screening indices were calculated as:</w:t>
      </w:r>
    </w:p>
    <w:p w:rsidR="00353D1C" w:rsidRPr="00947F58" w:rsidRDefault="00353D1C" w:rsidP="00353D1C">
      <w:pPr>
        <w:pStyle w:val="NormalWeb"/>
        <w:spacing w:before="0" w:beforeAutospacing="0"/>
        <w:rPr>
          <w:sz w:val="22"/>
          <w:szCs w:val="22"/>
        </w:rPr>
      </w:pPr>
      <w:r w:rsidRPr="00947F58">
        <w:rPr>
          <w:sz w:val="22"/>
          <w:szCs w:val="22"/>
        </w:rPr>
        <w:t>Calculation</w:t>
      </w:r>
      <w:r w:rsidRPr="00947F58">
        <w:rPr>
          <w:sz w:val="22"/>
          <w:szCs w:val="22"/>
        </w:rPr>
        <w:br/>
        <w:t>Zone of hydrolysis (mm) = Dh − Dc</w:t>
      </w:r>
      <w:r w:rsidRPr="00947F58">
        <w:rPr>
          <w:sz w:val="22"/>
          <w:szCs w:val="22"/>
        </w:rPr>
        <w:br/>
        <w:t>Hydrolysis index (HI) = Dh / Dc</w:t>
      </w:r>
    </w:p>
    <w:p w:rsidR="00353D1C" w:rsidRPr="00947F58" w:rsidRDefault="00353D1C" w:rsidP="00353D1C">
      <w:pPr>
        <w:pStyle w:val="NormalWeb"/>
        <w:spacing w:before="0" w:beforeAutospacing="0"/>
        <w:rPr>
          <w:sz w:val="22"/>
          <w:szCs w:val="22"/>
        </w:rPr>
      </w:pPr>
      <w:r w:rsidRPr="00947F58">
        <w:rPr>
          <w:sz w:val="22"/>
          <w:szCs w:val="22"/>
        </w:rPr>
        <w:t>Isolates showing the largest HI and zone of hydrolysis were selected for further fermentation studies.</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2.7 Submerged Fermentation (</w:t>
      </w:r>
      <w:proofErr w:type="spellStart"/>
      <w:r w:rsidRPr="00947F58">
        <w:rPr>
          <w:rFonts w:ascii="Times New Roman" w:hAnsi="Times New Roman" w:cs="Times New Roman"/>
          <w:color w:val="auto"/>
          <w:sz w:val="22"/>
          <w:szCs w:val="22"/>
        </w:rPr>
        <w:t>SmF</w:t>
      </w:r>
      <w:proofErr w:type="spellEnd"/>
      <w:r w:rsidRPr="00947F58">
        <w:rPr>
          <w:rFonts w:ascii="Times New Roman" w:hAnsi="Times New Roman" w:cs="Times New Roman"/>
          <w:color w:val="auto"/>
          <w:sz w:val="22"/>
          <w:szCs w:val="22"/>
        </w:rPr>
        <w:t>) for α-amylase Production</w:t>
      </w:r>
    </w:p>
    <w:p w:rsidR="00353D1C" w:rsidRPr="00947F58" w:rsidRDefault="00353D1C" w:rsidP="00353D1C">
      <w:pPr>
        <w:pStyle w:val="NormalWeb"/>
        <w:spacing w:before="0" w:beforeAutospacing="0"/>
        <w:jc w:val="both"/>
        <w:rPr>
          <w:sz w:val="22"/>
          <w:szCs w:val="22"/>
        </w:rPr>
      </w:pPr>
      <w:proofErr w:type="spellStart"/>
      <w:r w:rsidRPr="00947F58">
        <w:rPr>
          <w:sz w:val="22"/>
          <w:szCs w:val="22"/>
        </w:rPr>
        <w:t>SmF</w:t>
      </w:r>
      <w:proofErr w:type="spellEnd"/>
      <w:r w:rsidR="00EF1805">
        <w:rPr>
          <w:sz w:val="22"/>
          <w:szCs w:val="22"/>
        </w:rPr>
        <w:t xml:space="preserve"> was employed to produce amylase using mixtures of corn-cobs and orange-</w:t>
      </w:r>
      <w:r w:rsidRPr="00947F58">
        <w:rPr>
          <w:sz w:val="22"/>
          <w:szCs w:val="22"/>
        </w:rPr>
        <w:t xml:space="preserve">mesocarp as carbon substrates. Substrate mixtures (4 g total) were prepared in the following corn cob : orange mesocarp ratios (w/w): 4:0, 3:1, 2:2, 1:3 and 0:4, and added to 250 mL Erlenmeyer flasks containing 100 mL sterile production medium (0.05 M phosphate buffer or citrate buffer, adjusted to pH 5.5–6.0). The production medium was supplemented with mineral salts: </w:t>
      </w:r>
      <w:proofErr w:type="spellStart"/>
      <w:r w:rsidRPr="00947F58">
        <w:rPr>
          <w:sz w:val="22"/>
          <w:szCs w:val="22"/>
        </w:rPr>
        <w:t>MgSO</w:t>
      </w:r>
      <w:proofErr w:type="spellEnd"/>
      <w:r w:rsidRPr="00947F58">
        <w:rPr>
          <w:sz w:val="22"/>
          <w:szCs w:val="22"/>
        </w:rPr>
        <w:t xml:space="preserve">₄·7H₂O 0.5 g L⁻¹, KH₂PO₄ 1.0 g L⁻¹, </w:t>
      </w:r>
      <w:proofErr w:type="spellStart"/>
      <w:r w:rsidRPr="00947F58">
        <w:rPr>
          <w:sz w:val="22"/>
          <w:szCs w:val="22"/>
        </w:rPr>
        <w:t>NaNO</w:t>
      </w:r>
      <w:proofErr w:type="spellEnd"/>
      <w:r w:rsidRPr="00947F58">
        <w:rPr>
          <w:sz w:val="22"/>
          <w:szCs w:val="22"/>
        </w:rPr>
        <w:t xml:space="preserve">₃ 2.0 g L⁻¹ (or yeast extract as alternate N source in specific experiments), and </w:t>
      </w:r>
      <w:proofErr w:type="spellStart"/>
      <w:r w:rsidRPr="00947F58">
        <w:rPr>
          <w:sz w:val="22"/>
          <w:szCs w:val="22"/>
        </w:rPr>
        <w:t>CaCl</w:t>
      </w:r>
      <w:proofErr w:type="spellEnd"/>
      <w:r w:rsidRPr="00947F58">
        <w:rPr>
          <w:sz w:val="22"/>
          <w:szCs w:val="22"/>
        </w:rPr>
        <w:t>₂ 0.1 g L⁻¹. The medium was sterilized at 121 °C for 15 minutes and allowed to cool. Each flask was inoculated with 1 mL of a fungal spore suspension (1 × 10⁶ spore mL⁻¹) unless otherwise specified, and incubated at 28 °C on a rotary shaker at 150 rpm for 3–5 days to allow enzyme production.</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2.8 Enzyme Extraction</w:t>
      </w:r>
    </w:p>
    <w:p w:rsidR="00353D1C" w:rsidRPr="00947F58" w:rsidRDefault="00353D1C" w:rsidP="00353D1C">
      <w:pPr>
        <w:pStyle w:val="NormalWeb"/>
        <w:spacing w:before="0" w:beforeAutospacing="0"/>
        <w:jc w:val="both"/>
        <w:rPr>
          <w:sz w:val="22"/>
          <w:szCs w:val="22"/>
        </w:rPr>
      </w:pPr>
      <w:r w:rsidRPr="00947F58">
        <w:rPr>
          <w:sz w:val="22"/>
          <w:szCs w:val="22"/>
        </w:rPr>
        <w:t>At the end of each fermentation period, culture broths were filtered through Whatman No. 1 filter paper (or through gauze) to separate fungal biomass and residual substrates. The filtrate was centrifuged at 10,000 × g for 15 min at 4 °C. The clear supernatant was collected as the crude α-amylase extract and stored at 4 °C for immediate assays or at −20 °C for short-term storage.</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2.9 Partial Purification of α-amylase</w:t>
      </w:r>
    </w:p>
    <w:p w:rsidR="00353D1C" w:rsidRPr="00947F58" w:rsidRDefault="00353D1C" w:rsidP="00353D1C">
      <w:pPr>
        <w:pStyle w:val="Heading2"/>
        <w:spacing w:before="0"/>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2.9.1 Ammonium Sulphate Precipitation</w:t>
      </w:r>
    </w:p>
    <w:p w:rsidR="00353D1C" w:rsidRPr="00947F58" w:rsidRDefault="00353D1C" w:rsidP="00353D1C">
      <w:pPr>
        <w:pStyle w:val="NormalWeb"/>
        <w:spacing w:before="0" w:beforeAutospacing="0"/>
        <w:jc w:val="both"/>
        <w:rPr>
          <w:sz w:val="22"/>
          <w:szCs w:val="22"/>
        </w:rPr>
      </w:pPr>
      <w:r w:rsidRPr="00947F58">
        <w:rPr>
          <w:sz w:val="22"/>
          <w:szCs w:val="22"/>
        </w:rPr>
        <w:t>Crude enzyme extracts were partially purified by stepwise ammonium sulphate precipitation at 4 °C with stirring. Solid ammonium sulphate was slowly added to reach 40% saturation; after equilibration for 2 h the precipitate (if any) was collected by centrifugation at 20,000 × g for 15 min and the pellet dissolved in 0.05 M phosphate buffer (pH 6.0). The supernatant was further brought to 70% saturation and precipitate collected similarly. Optionally, a final step to 90% saturation may be performed. All precipitates were redissolved in 0.05 M phosphate buffer (pH 6.0) and dialyzed overnight against the same buffer to remove residual ammonium sulphate. Protein concentration was estimated (Bradford) and partially purified fractions used for specific activity and characterization assays.</w:t>
      </w: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2.10 Determination of α-amylase Activity (DNS method)</w:t>
      </w:r>
    </w:p>
    <w:p w:rsidR="00353D1C" w:rsidRPr="00947F58" w:rsidRDefault="00EF1805" w:rsidP="00353D1C">
      <w:pPr>
        <w:pStyle w:val="NormalWeb"/>
        <w:spacing w:before="0" w:beforeAutospacing="0" w:after="0" w:afterAutospacing="0"/>
        <w:jc w:val="both"/>
        <w:rPr>
          <w:sz w:val="22"/>
          <w:szCs w:val="22"/>
        </w:rPr>
      </w:pPr>
      <w:r>
        <w:rPr>
          <w:sz w:val="22"/>
          <w:szCs w:val="22"/>
        </w:rPr>
        <w:t xml:space="preserve">The </w:t>
      </w:r>
      <w:r w:rsidR="00353D1C" w:rsidRPr="00947F58">
        <w:rPr>
          <w:sz w:val="22"/>
          <w:szCs w:val="22"/>
        </w:rPr>
        <w:t xml:space="preserve">Amylase activity was assayed by measuring reducing sugars liberated from soluble starch using the </w:t>
      </w:r>
      <w:proofErr w:type="spellStart"/>
      <w:r w:rsidR="00353D1C" w:rsidRPr="00947F58">
        <w:rPr>
          <w:sz w:val="22"/>
          <w:szCs w:val="22"/>
        </w:rPr>
        <w:t>dinitrosalicylic</w:t>
      </w:r>
      <w:proofErr w:type="spellEnd"/>
      <w:r w:rsidR="00353D1C" w:rsidRPr="00947F58">
        <w:rPr>
          <w:sz w:val="22"/>
          <w:szCs w:val="22"/>
        </w:rPr>
        <w:t xml:space="preserve"> acid (DNS) method. The standard reaction mixture contained 0.5 mL enzyme extract and 0.5 mL 1.0% (w/v) soluble starch prepared in 0.05 M phosphate buffer (pH 6.0). The reaction was incubated at 50 °C for 10 min (optimum conditions can be varied during characterization). The reaction was terminated by adding 1.0 mL DNS reagent and boiling the mixture for 5 min; after cooling to room </w:t>
      </w:r>
      <w:r w:rsidR="00353D1C" w:rsidRPr="00947F58">
        <w:rPr>
          <w:sz w:val="22"/>
          <w:szCs w:val="22"/>
        </w:rPr>
        <w:lastRenderedPageBreak/>
        <w:t>temperature the absorbance was measured at 540 nm against a reagent blank. Maltose was used to prepare a standard calibration curve (µg m</w:t>
      </w:r>
      <w:r>
        <w:rPr>
          <w:sz w:val="22"/>
          <w:szCs w:val="22"/>
        </w:rPr>
        <w:t xml:space="preserve">altose mL⁻¹). One unit (U) of </w:t>
      </w:r>
      <w:r w:rsidR="00353D1C" w:rsidRPr="00947F58">
        <w:rPr>
          <w:sz w:val="22"/>
          <w:szCs w:val="22"/>
        </w:rPr>
        <w:t>amylase activity is defined as the amount of enzyme that releases 1 µmol of maltose (or maltose equivalents) per minute under the assay conditions. Specific activity was expressed as U mg⁻¹ protein.</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2.11 Effect of Fermentation Time</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Time-course studies were performed by sampling fermentation broths at 12, 24, 36, 48, 60, 72, and 84 h of incubation. At each time point, samples were centrifuged at 10,000 × g for 10 min, and the supernatant assayed</w:t>
      </w:r>
      <w:r w:rsidR="00EF1805">
        <w:rPr>
          <w:sz w:val="22"/>
          <w:szCs w:val="22"/>
        </w:rPr>
        <w:t xml:space="preserve"> for </w:t>
      </w:r>
      <w:r w:rsidRPr="00947F58">
        <w:rPr>
          <w:sz w:val="22"/>
          <w:szCs w:val="22"/>
        </w:rPr>
        <w:t>amylase activity as described in 3.10. Enzyme activity versus time profiles were plotted to determine the time of maximum production and optimal harvest time.</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2.12 Effect of Inoculum Size on Enzyme Production</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effect of inoculum size was evaluated by varying the volume of fungal spore suspension added to production flasks to give final inoculum sizes of 0.5%, 1.0%, 2.0%, 3.0%, 4.0%, 5.0%, 7.0% and 10.0% (v/v). All flasks were incubated at 28 °C and 150 rpm for the selected fermentation time (from 2.11) and crude enzyme activity measured.</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2.13 Effect of pH on Enzyme Activity and Stability</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effect of pH on α-amylase activity was determined by preparing the reaction mixtures in buffers of varying pH values: citrate buffer pH 3.5–5.5 and phosphate buffer pH 5.5–8.0. Standard assay conditions (substrate concentration, temperature, incubation time) were maintained while pH was varied. Optimal pH was taken as the pH giving maximum activity. For pH stability, crude enzyme was pre-incubated (without substrate) at different pH values (4.5–9.0) for 100 min at room temperature (or at 4 °C for cold stability), after which residual activity was measured under standard assay conditions and expressed as percentage of initial activity.</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2.14 Effect of Substrate (Carbon Source) Ratio on Enzyme Production</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influence of varying ratios of corn cob and orange mesocarp as carbon sources on α-amylase production was studied. Substrate combinations (w/w) used were: 0:4, 1:3, 2:2, 3:1 and 4:0 (corn cob: orange mesocarp). Each flask was inoculated with the selected Aspergillus sp. and incubated at 28 °C, 150 rpm for the optimal f</w:t>
      </w:r>
      <w:r w:rsidR="00B4061E">
        <w:rPr>
          <w:sz w:val="22"/>
          <w:szCs w:val="22"/>
        </w:rPr>
        <w:t>ermentation time determined in 2</w:t>
      </w:r>
      <w:r w:rsidRPr="00947F58">
        <w:rPr>
          <w:sz w:val="22"/>
          <w:szCs w:val="22"/>
        </w:rPr>
        <w:t>.1</w:t>
      </w:r>
      <w:r w:rsidR="00B4061E">
        <w:rPr>
          <w:sz w:val="22"/>
          <w:szCs w:val="22"/>
        </w:rPr>
        <w:t>1. Crude enzyme was extracted (2</w:t>
      </w:r>
      <w:r w:rsidRPr="00947F58">
        <w:rPr>
          <w:sz w:val="22"/>
          <w:szCs w:val="22"/>
        </w:rPr>
        <w:t xml:space="preserve">.8) and </w:t>
      </w:r>
      <w:r w:rsidR="00B4061E">
        <w:rPr>
          <w:sz w:val="22"/>
          <w:szCs w:val="22"/>
        </w:rPr>
        <w:t>α-amylase activity determined (2</w:t>
      </w:r>
      <w:r w:rsidRPr="00947F58">
        <w:rPr>
          <w:sz w:val="22"/>
          <w:szCs w:val="22"/>
        </w:rPr>
        <w:t>.10). Results were used to identify the best substrate blend for enzyme yield.</w:t>
      </w:r>
    </w:p>
    <w:p w:rsidR="00353D1C" w:rsidRPr="00947F58" w:rsidRDefault="00353D1C" w:rsidP="00353D1C">
      <w:pPr>
        <w:pStyle w:val="NormalWeb"/>
        <w:spacing w:before="0" w:beforeAutospacing="0" w:after="0" w:afterAutospacing="0"/>
        <w:jc w:val="both"/>
        <w:rPr>
          <w:sz w:val="22"/>
          <w:szCs w:val="22"/>
        </w:rPr>
      </w:pPr>
    </w:p>
    <w:p w:rsidR="00353D1C" w:rsidRPr="00947F58" w:rsidRDefault="00353D1C" w:rsidP="00353D1C">
      <w:pPr>
        <w:pStyle w:val="Heading1"/>
        <w:spacing w:before="0" w:line="240" w:lineRule="auto"/>
        <w:rPr>
          <w:rFonts w:ascii="Times New Roman" w:hAnsi="Times New Roman" w:cs="Times New Roman"/>
          <w:b w:val="0"/>
          <w:color w:val="auto"/>
          <w:sz w:val="22"/>
          <w:szCs w:val="22"/>
        </w:rPr>
      </w:pPr>
      <w:r w:rsidRPr="00947F58">
        <w:rPr>
          <w:rFonts w:ascii="Times New Roman" w:hAnsi="Times New Roman" w:cs="Times New Roman"/>
          <w:color w:val="auto"/>
          <w:sz w:val="22"/>
          <w:szCs w:val="22"/>
        </w:rPr>
        <w:t>2.15 Effect of Nitrogen Supplementation on Enzyme Production</w:t>
      </w:r>
    </w:p>
    <w:p w:rsidR="00353D1C" w:rsidRPr="00947F58" w:rsidRDefault="00353D1C" w:rsidP="00353D1C">
      <w:pPr>
        <w:pStyle w:val="NormalWeb"/>
        <w:spacing w:before="0" w:beforeAutospacing="0" w:after="0" w:afterAutospacing="0"/>
        <w:jc w:val="both"/>
        <w:rPr>
          <w:sz w:val="22"/>
          <w:szCs w:val="22"/>
        </w:rPr>
      </w:pPr>
      <w:r w:rsidRPr="00947F58">
        <w:rPr>
          <w:sz w:val="22"/>
          <w:szCs w:val="22"/>
        </w:rPr>
        <w:t>The effect of additional nitrogen sources was tested by supplementing the production medium with yeast extract at concentrations of 0.5%, 0.10%, 0.25%, 0.50%, 0.75%, 1.00% and 1.50% (w/v). Flasks were inoculated and incubated at 28 °C and 150 rpm for the optimal fermentation time; crude enzyme activity was measured using the DNS assay.</w:t>
      </w:r>
    </w:p>
    <w:p w:rsidR="00353D1C" w:rsidRPr="00947F58" w:rsidRDefault="00353D1C" w:rsidP="00353D1C">
      <w:pPr>
        <w:jc w:val="both"/>
        <w:rPr>
          <w:rFonts w:ascii="Times New Roman" w:hAnsi="Times New Roman" w:cs="Times New Roman"/>
          <w:b/>
          <w:bCs/>
        </w:rPr>
      </w:pPr>
    </w:p>
    <w:p w:rsidR="00353D1C" w:rsidRPr="00947F58" w:rsidRDefault="00353D1C" w:rsidP="00353D1C">
      <w:pPr>
        <w:jc w:val="both"/>
        <w:rPr>
          <w:rFonts w:ascii="Times New Roman" w:hAnsi="Times New Roman" w:cs="Times New Roman"/>
          <w:b/>
          <w:bCs/>
        </w:rPr>
      </w:pPr>
      <w:r w:rsidRPr="00947F58">
        <w:rPr>
          <w:rFonts w:ascii="Times New Roman" w:hAnsi="Times New Roman" w:cs="Times New Roman"/>
          <w:b/>
          <w:bCs/>
        </w:rPr>
        <w:t>2.16 Statistical analysis</w:t>
      </w:r>
    </w:p>
    <w:p w:rsidR="00353D1C" w:rsidRPr="00947F58" w:rsidRDefault="00353D1C" w:rsidP="00353D1C">
      <w:pPr>
        <w:jc w:val="both"/>
        <w:rPr>
          <w:rFonts w:ascii="Times New Roman" w:hAnsi="Times New Roman" w:cs="Times New Roman"/>
        </w:rPr>
      </w:pPr>
      <w:r w:rsidRPr="00947F58">
        <w:rPr>
          <w:rFonts w:ascii="Times New Roman" w:hAnsi="Times New Roman" w:cs="Times New Roman"/>
        </w:rPr>
        <w:t>The data obtained from the compositional a</w:t>
      </w:r>
      <w:r w:rsidR="00544B53">
        <w:rPr>
          <w:rFonts w:ascii="Times New Roman" w:hAnsi="Times New Roman" w:cs="Times New Roman"/>
        </w:rPr>
        <w:t xml:space="preserve">nalysis of the </w:t>
      </w:r>
      <w:proofErr w:type="spellStart"/>
      <w:r w:rsidR="00544B53">
        <w:rPr>
          <w:rFonts w:ascii="Times New Roman" w:hAnsi="Times New Roman" w:cs="Times New Roman"/>
        </w:rPr>
        <w:t>agro</w:t>
      </w:r>
      <w:proofErr w:type="spellEnd"/>
      <w:r w:rsidR="00544B53">
        <w:rPr>
          <w:rFonts w:ascii="Times New Roman" w:hAnsi="Times New Roman" w:cs="Times New Roman"/>
        </w:rPr>
        <w:t xml:space="preserve"> residues were</w:t>
      </w:r>
      <w:r w:rsidRPr="00947F58">
        <w:rPr>
          <w:rFonts w:ascii="Times New Roman" w:hAnsi="Times New Roman" w:cs="Times New Roman"/>
        </w:rPr>
        <w:t xml:space="preserve"> </w:t>
      </w:r>
      <w:proofErr w:type="spellStart"/>
      <w:r w:rsidRPr="00947F58">
        <w:rPr>
          <w:rFonts w:ascii="Times New Roman" w:hAnsi="Times New Roman" w:cs="Times New Roman"/>
        </w:rPr>
        <w:t>analyzed</w:t>
      </w:r>
      <w:proofErr w:type="spellEnd"/>
      <w:r w:rsidRPr="00947F58">
        <w:rPr>
          <w:rFonts w:ascii="Times New Roman" w:hAnsi="Times New Roman" w:cs="Times New Roman"/>
        </w:rPr>
        <w:t xml:space="preserve"> using the One-way ANOVA to ascertain if any significance difference existed in the composition. The data obtained from the time -course study of enzyme activity at p-value &lt;0.05 was ascertained</w:t>
      </w:r>
      <w:r w:rsidR="00000D9B" w:rsidRPr="00947F58">
        <w:rPr>
          <w:rFonts w:ascii="Times New Roman" w:hAnsi="Times New Roman" w:cs="Times New Roman"/>
        </w:rPr>
        <w:t>.</w:t>
      </w:r>
    </w:p>
    <w:p w:rsidR="00000D9B" w:rsidRPr="00947F58" w:rsidRDefault="00000D9B" w:rsidP="00353D1C">
      <w:pPr>
        <w:jc w:val="both"/>
        <w:rPr>
          <w:rFonts w:ascii="Times New Roman" w:hAnsi="Times New Roman" w:cs="Times New Roman"/>
        </w:rPr>
      </w:pPr>
    </w:p>
    <w:p w:rsidR="00E965A3" w:rsidRPr="00947F58" w:rsidRDefault="00E965A3" w:rsidP="00000D9B">
      <w:pPr>
        <w:pStyle w:val="Heading1"/>
        <w:spacing w:before="0"/>
        <w:rPr>
          <w:rFonts w:ascii="Times New Roman" w:hAnsi="Times New Roman" w:cs="Times New Roman"/>
          <w:b w:val="0"/>
          <w:color w:val="auto"/>
          <w:sz w:val="22"/>
          <w:szCs w:val="22"/>
        </w:rPr>
      </w:pPr>
      <w:bookmarkStart w:id="2" w:name="_Toc96426965"/>
      <w:bookmarkStart w:id="3" w:name="_Toc96427261"/>
      <w:bookmarkStart w:id="4" w:name="_Toc110584913"/>
      <w:r w:rsidRPr="00947F58">
        <w:rPr>
          <w:rFonts w:ascii="Times New Roman" w:hAnsi="Times New Roman" w:cs="Times New Roman"/>
          <w:color w:val="auto"/>
          <w:sz w:val="22"/>
          <w:szCs w:val="22"/>
        </w:rPr>
        <w:t>3. Results</w:t>
      </w:r>
      <w:bookmarkEnd w:id="2"/>
      <w:bookmarkEnd w:id="3"/>
      <w:bookmarkEnd w:id="4"/>
      <w:r w:rsidRPr="00947F58">
        <w:rPr>
          <w:rFonts w:ascii="Times New Roman" w:hAnsi="Times New Roman" w:cs="Times New Roman"/>
          <w:color w:val="auto"/>
          <w:sz w:val="22"/>
          <w:szCs w:val="22"/>
        </w:rPr>
        <w:t xml:space="preserve"> and Discussion</w:t>
      </w:r>
    </w:p>
    <w:p w:rsidR="00E965A3" w:rsidRPr="00947F58" w:rsidRDefault="00E965A3" w:rsidP="00000D9B">
      <w:pPr>
        <w:pStyle w:val="Heading2"/>
        <w:spacing w:before="0"/>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3.1 Total Fungi Count from the Dumpsite Soil</w:t>
      </w:r>
    </w:p>
    <w:p w:rsidR="00A459D1" w:rsidRPr="00947F58" w:rsidRDefault="00E965A3" w:rsidP="00E965A3">
      <w:pPr>
        <w:jc w:val="both"/>
        <w:rPr>
          <w:rFonts w:ascii="Times New Roman" w:hAnsi="Times New Roman" w:cs="Times New Roman"/>
          <w:color w:val="000000" w:themeColor="text1"/>
        </w:rPr>
      </w:pPr>
      <w:r w:rsidRPr="00947F58">
        <w:rPr>
          <w:rFonts w:ascii="Times New Roman" w:hAnsi="Times New Roman" w:cs="Times New Roman"/>
          <w:color w:val="000000" w:themeColor="text1"/>
        </w:rPr>
        <w:t>The total fungi count from the dumpsite soil is presented in figure 1. In the figure, it can be seen that dumpsite soil (SB) had the highest fungal population (4.2 × 10</w:t>
      </w:r>
      <w:r w:rsidRPr="00947F58">
        <w:rPr>
          <w:rFonts w:ascii="Times New Roman" w:hAnsi="Times New Roman" w:cs="Times New Roman"/>
          <w:color w:val="000000" w:themeColor="text1"/>
          <w:vertAlign w:val="superscript"/>
        </w:rPr>
        <w:t>4</w:t>
      </w:r>
      <w:r w:rsidRPr="00947F58">
        <w:rPr>
          <w:rFonts w:ascii="Times New Roman" w:hAnsi="Times New Roman" w:cs="Times New Roman"/>
          <w:color w:val="000000" w:themeColor="text1"/>
        </w:rPr>
        <w:t xml:space="preserve"> CFU/g), while dumpsite soil (SC) had the least fungal population (3.3 × 10</w:t>
      </w:r>
      <w:r w:rsidRPr="00947F58">
        <w:rPr>
          <w:rFonts w:ascii="Times New Roman" w:hAnsi="Times New Roman" w:cs="Times New Roman"/>
          <w:color w:val="000000" w:themeColor="text1"/>
          <w:vertAlign w:val="superscript"/>
        </w:rPr>
        <w:t>4</w:t>
      </w:r>
      <w:r w:rsidRPr="00947F58">
        <w:rPr>
          <w:rFonts w:ascii="Times New Roman" w:hAnsi="Times New Roman" w:cs="Times New Roman"/>
          <w:color w:val="000000" w:themeColor="text1"/>
        </w:rPr>
        <w:t xml:space="preserve"> CFU/g).</w:t>
      </w:r>
    </w:p>
    <w:p w:rsidR="00A459D1" w:rsidRPr="00947F58" w:rsidRDefault="00A459D1" w:rsidP="00E965A3">
      <w:pPr>
        <w:jc w:val="both"/>
        <w:rPr>
          <w:rFonts w:ascii="Times New Roman" w:hAnsi="Times New Roman" w:cs="Times New Roman"/>
          <w:b/>
        </w:rPr>
      </w:pPr>
    </w:p>
    <w:p w:rsidR="00E965A3" w:rsidRPr="00947F58" w:rsidRDefault="00E965A3" w:rsidP="00E965A3">
      <w:pPr>
        <w:jc w:val="both"/>
        <w:rPr>
          <w:rFonts w:ascii="Times New Roman" w:hAnsi="Times New Roman" w:cs="Times New Roman"/>
        </w:rPr>
      </w:pPr>
      <w:r w:rsidRPr="00947F58">
        <w:rPr>
          <w:rFonts w:ascii="Times New Roman" w:hAnsi="Times New Roman" w:cs="Times New Roman"/>
          <w:b/>
        </w:rPr>
        <w:t xml:space="preserve">3.2 Macroscopic and microscopic characteristics of the isolated fungi </w:t>
      </w:r>
    </w:p>
    <w:p w:rsidR="00E965A3" w:rsidRPr="00947F58" w:rsidRDefault="00E965A3" w:rsidP="00E965A3">
      <w:pPr>
        <w:jc w:val="both"/>
        <w:rPr>
          <w:rFonts w:ascii="Times New Roman" w:eastAsia="Calibri" w:hAnsi="Times New Roman" w:cs="Times New Roman"/>
        </w:rPr>
      </w:pPr>
      <w:r w:rsidRPr="00947F58">
        <w:rPr>
          <w:rFonts w:ascii="Times New Roman" w:hAnsi="Times New Roman" w:cs="Times New Roman"/>
        </w:rPr>
        <w:lastRenderedPageBreak/>
        <w:t xml:space="preserve">The macroscopic and microscopic characteristics of the isolated fungi are presented in Table 1. The fungal flora of the dumpsite soil contained a wide variety of genera which include </w:t>
      </w:r>
      <w:r w:rsidRPr="00947F58">
        <w:rPr>
          <w:rFonts w:ascii="Times New Roman" w:eastAsia="Calibri" w:hAnsi="Times New Roman" w:cs="Times New Roman"/>
          <w:i/>
        </w:rPr>
        <w:t xml:space="preserve">Aspergillus, Rhizopus </w:t>
      </w:r>
      <w:r w:rsidRPr="00947F58">
        <w:rPr>
          <w:rFonts w:ascii="Times New Roman" w:hAnsi="Times New Roman" w:cs="Times New Roman"/>
          <w:i/>
        </w:rPr>
        <w:t xml:space="preserve">Fusarium </w:t>
      </w:r>
      <w:r w:rsidRPr="00947F58">
        <w:rPr>
          <w:rFonts w:ascii="Times New Roman" w:eastAsia="Calibri" w:hAnsi="Times New Roman" w:cs="Times New Roman"/>
        </w:rPr>
        <w:t xml:space="preserve">and </w:t>
      </w:r>
      <w:r w:rsidRPr="00947F58">
        <w:rPr>
          <w:rFonts w:ascii="Times New Roman" w:eastAsia="Calibri" w:hAnsi="Times New Roman" w:cs="Times New Roman"/>
          <w:i/>
        </w:rPr>
        <w:t>Penicillium</w:t>
      </w:r>
      <w:r w:rsidRPr="00947F58">
        <w:rPr>
          <w:rFonts w:ascii="Times New Roman" w:eastAsia="Calibri" w:hAnsi="Times New Roman" w:cs="Times New Roman"/>
        </w:rPr>
        <w:t xml:space="preserve"> species.</w:t>
      </w:r>
    </w:p>
    <w:p w:rsidR="00E965A3" w:rsidRPr="00947F58" w:rsidRDefault="00E965A3" w:rsidP="00E965A3">
      <w:pPr>
        <w:jc w:val="both"/>
        <w:rPr>
          <w:rFonts w:ascii="Times New Roman" w:hAnsi="Times New Roman" w:cs="Times New Roman"/>
        </w:rPr>
      </w:pPr>
    </w:p>
    <w:p w:rsidR="00E965A3" w:rsidRPr="00947F58" w:rsidRDefault="00E965A3" w:rsidP="00E965A3">
      <w:pPr>
        <w:rPr>
          <w:rFonts w:ascii="Times New Roman" w:hAnsi="Times New Roman" w:cs="Times New Roman"/>
          <w:b/>
        </w:rPr>
      </w:pPr>
      <w:r w:rsidRPr="00947F58">
        <w:rPr>
          <w:rFonts w:ascii="Times New Roman" w:hAnsi="Times New Roman" w:cs="Times New Roman"/>
          <w:b/>
        </w:rPr>
        <w:t xml:space="preserve">3.3 </w:t>
      </w:r>
      <w:r w:rsidR="000749AF">
        <w:rPr>
          <w:rFonts w:ascii="Times New Roman" w:hAnsi="Times New Roman" w:cs="Times New Roman"/>
          <w:b/>
          <w:color w:val="000000" w:themeColor="text1"/>
        </w:rPr>
        <w:t xml:space="preserve">Screening of </w:t>
      </w:r>
      <w:r w:rsidRPr="00947F58">
        <w:rPr>
          <w:rFonts w:ascii="Times New Roman" w:hAnsi="Times New Roman" w:cs="Times New Roman"/>
          <w:b/>
          <w:color w:val="000000" w:themeColor="text1"/>
        </w:rPr>
        <w:t xml:space="preserve">Amylase </w:t>
      </w:r>
      <w:r w:rsidRPr="00947F58">
        <w:rPr>
          <w:rFonts w:ascii="Times New Roman" w:hAnsi="Times New Roman" w:cs="Times New Roman"/>
          <w:b/>
        </w:rPr>
        <w:t>activity</w:t>
      </w:r>
      <w:r w:rsidRPr="00947F58">
        <w:rPr>
          <w:rFonts w:ascii="Times New Roman" w:hAnsi="Times New Roman" w:cs="Times New Roman"/>
          <w:b/>
          <w:color w:val="000000" w:themeColor="text1"/>
        </w:rPr>
        <w:t xml:space="preserve"> from the isolated fungal</w:t>
      </w:r>
    </w:p>
    <w:p w:rsidR="00E965A3" w:rsidRPr="00947F58" w:rsidRDefault="00E965A3" w:rsidP="00E965A3">
      <w:pPr>
        <w:jc w:val="both"/>
        <w:rPr>
          <w:rFonts w:ascii="Times New Roman" w:hAnsi="Times New Roman" w:cs="Times New Roman"/>
        </w:rPr>
      </w:pPr>
      <w:r w:rsidRPr="00947F58">
        <w:rPr>
          <w:rFonts w:ascii="Times New Roman" w:hAnsi="Times New Roman" w:cs="Times New Roman"/>
        </w:rPr>
        <w:t xml:space="preserve">The screening of </w:t>
      </w:r>
      <w:r w:rsidRPr="00947F58">
        <w:rPr>
          <w:rFonts w:ascii="Times New Roman" w:hAnsi="Times New Roman" w:cs="Times New Roman"/>
          <w:color w:val="000000" w:themeColor="text1"/>
        </w:rPr>
        <w:t xml:space="preserve">amylase </w:t>
      </w:r>
      <w:r w:rsidRPr="00947F58">
        <w:rPr>
          <w:rFonts w:ascii="Times New Roman" w:hAnsi="Times New Roman" w:cs="Times New Roman"/>
        </w:rPr>
        <w:t xml:space="preserve">activity from the isolated fungal is presented in figure 2, from the figure, it can be seen that isolate SB2had the highest </w:t>
      </w:r>
      <w:r w:rsidRPr="00947F58">
        <w:rPr>
          <w:rFonts w:ascii="Times New Roman" w:hAnsi="Times New Roman" w:cs="Times New Roman"/>
          <w:color w:val="000000" w:themeColor="text1"/>
        </w:rPr>
        <w:t xml:space="preserve">amylase </w:t>
      </w:r>
      <w:r w:rsidRPr="00947F58">
        <w:rPr>
          <w:rFonts w:ascii="Times New Roman" w:hAnsi="Times New Roman" w:cs="Times New Roman"/>
        </w:rPr>
        <w:t xml:space="preserve">activity with a clearance zone size of (26mm), while isolate SB3 had the least </w:t>
      </w:r>
      <w:r w:rsidRPr="00947F58">
        <w:rPr>
          <w:rFonts w:ascii="Times New Roman" w:hAnsi="Times New Roman" w:cs="Times New Roman"/>
          <w:color w:val="000000" w:themeColor="text1"/>
        </w:rPr>
        <w:t xml:space="preserve">amylase </w:t>
      </w:r>
      <w:r w:rsidRPr="00947F58">
        <w:rPr>
          <w:rFonts w:ascii="Times New Roman" w:hAnsi="Times New Roman" w:cs="Times New Roman"/>
        </w:rPr>
        <w:t>activity with a clearance zone size of (5mm).</w:t>
      </w:r>
    </w:p>
    <w:p w:rsidR="00E965A3" w:rsidRPr="00947F58" w:rsidRDefault="00E965A3" w:rsidP="00E965A3">
      <w:pPr>
        <w:pStyle w:val="Heading2"/>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3.4 Proximate composition of Corn Cob and Orange Mesocarp</w:t>
      </w:r>
    </w:p>
    <w:p w:rsidR="00E965A3" w:rsidRPr="00947F58" w:rsidRDefault="00E965A3" w:rsidP="00E965A3">
      <w:pPr>
        <w:jc w:val="both"/>
        <w:rPr>
          <w:rFonts w:ascii="Times New Roman" w:hAnsi="Times New Roman" w:cs="Times New Roman"/>
          <w:color w:val="000000" w:themeColor="text1"/>
        </w:rPr>
      </w:pPr>
      <w:r w:rsidRPr="00947F58">
        <w:rPr>
          <w:rFonts w:ascii="Times New Roman" w:hAnsi="Times New Roman" w:cs="Times New Roman"/>
          <w:color w:val="000000" w:themeColor="text1"/>
        </w:rPr>
        <w:t xml:space="preserve">The proximate composition of the agro-residues is presented in Table 2. The ash content of the Corn Cob and Orange Mesocarp were </w:t>
      </w:r>
      <w:r w:rsidRPr="00947F58">
        <w:rPr>
          <w:rFonts w:ascii="Times New Roman" w:hAnsi="Times New Roman" w:cs="Times New Roman"/>
        </w:rPr>
        <w:t>2.2±0.02%</w:t>
      </w:r>
      <w:r w:rsidRPr="00947F58">
        <w:rPr>
          <w:rFonts w:ascii="Times New Roman" w:hAnsi="Times New Roman" w:cs="Times New Roman"/>
          <w:color w:val="000000" w:themeColor="text1"/>
        </w:rPr>
        <w:t xml:space="preserve"> and </w:t>
      </w:r>
      <w:r w:rsidRPr="00947F58">
        <w:rPr>
          <w:rFonts w:ascii="Times New Roman" w:hAnsi="Times New Roman" w:cs="Times New Roman"/>
        </w:rPr>
        <w:t xml:space="preserve">4.26±0.001% respectively. </w:t>
      </w:r>
      <w:r w:rsidRPr="00947F58">
        <w:rPr>
          <w:rFonts w:ascii="Times New Roman" w:hAnsi="Times New Roman" w:cs="Times New Roman"/>
          <w:color w:val="000000" w:themeColor="text1"/>
        </w:rPr>
        <w:t xml:space="preserve">The moisture content of the Corn Cob and Orange Mesocarp were </w:t>
      </w:r>
      <w:r w:rsidRPr="00947F58">
        <w:rPr>
          <w:rFonts w:ascii="Times New Roman" w:hAnsi="Times New Roman" w:cs="Times New Roman"/>
        </w:rPr>
        <w:t>15.65±0.05%</w:t>
      </w:r>
      <w:r w:rsidRPr="00947F58">
        <w:rPr>
          <w:rFonts w:ascii="Times New Roman" w:hAnsi="Times New Roman" w:cs="Times New Roman"/>
          <w:color w:val="000000" w:themeColor="text1"/>
        </w:rPr>
        <w:t xml:space="preserve"> and </w:t>
      </w:r>
      <w:r w:rsidRPr="00947F58">
        <w:rPr>
          <w:rFonts w:ascii="Times New Roman" w:hAnsi="Times New Roman" w:cs="Times New Roman"/>
        </w:rPr>
        <w:t xml:space="preserve">19.36±0.003% respectively. </w:t>
      </w:r>
      <w:r w:rsidRPr="00947F58">
        <w:rPr>
          <w:rFonts w:ascii="Times New Roman" w:hAnsi="Times New Roman" w:cs="Times New Roman"/>
          <w:color w:val="000000" w:themeColor="text1"/>
        </w:rPr>
        <w:t xml:space="preserve">Lipid content for Corn Cob and Orange Mesocarp were </w:t>
      </w:r>
      <w:r w:rsidRPr="00947F58">
        <w:rPr>
          <w:rFonts w:ascii="Times New Roman" w:hAnsi="Times New Roman" w:cs="Times New Roman"/>
        </w:rPr>
        <w:t>0.8±0.02%</w:t>
      </w:r>
      <w:r w:rsidRPr="00947F58">
        <w:rPr>
          <w:rFonts w:ascii="Times New Roman" w:hAnsi="Times New Roman" w:cs="Times New Roman"/>
          <w:color w:val="000000" w:themeColor="text1"/>
        </w:rPr>
        <w:t xml:space="preserve"> and </w:t>
      </w:r>
      <w:r w:rsidRPr="00947F58">
        <w:rPr>
          <w:rFonts w:ascii="Times New Roman" w:hAnsi="Times New Roman" w:cs="Times New Roman"/>
        </w:rPr>
        <w:t>2.03±0.001% respectively.</w:t>
      </w:r>
      <w:r w:rsidRPr="00947F58">
        <w:rPr>
          <w:rFonts w:ascii="Times New Roman" w:hAnsi="Times New Roman" w:cs="Times New Roman"/>
          <w:color w:val="000000" w:themeColor="text1"/>
        </w:rPr>
        <w:t xml:space="preserve"> Carbohydrates content were </w:t>
      </w:r>
      <w:r w:rsidRPr="00947F58">
        <w:rPr>
          <w:rFonts w:ascii="Times New Roman" w:hAnsi="Times New Roman" w:cs="Times New Roman"/>
        </w:rPr>
        <w:t>75.87±0.20%</w:t>
      </w:r>
      <w:r w:rsidRPr="00947F58">
        <w:rPr>
          <w:rFonts w:ascii="Times New Roman" w:hAnsi="Times New Roman" w:cs="Times New Roman"/>
          <w:color w:val="000000" w:themeColor="text1"/>
        </w:rPr>
        <w:t xml:space="preserve"> and </w:t>
      </w:r>
      <w:r w:rsidRPr="00947F58">
        <w:rPr>
          <w:rFonts w:ascii="Times New Roman" w:hAnsi="Times New Roman" w:cs="Times New Roman"/>
        </w:rPr>
        <w:t>68.79±0.03%</w:t>
      </w:r>
      <w:r w:rsidRPr="00947F58">
        <w:rPr>
          <w:rFonts w:ascii="Times New Roman" w:hAnsi="Times New Roman" w:cs="Times New Roman"/>
          <w:color w:val="000000" w:themeColor="text1"/>
        </w:rPr>
        <w:t xml:space="preserve">for the Corn Cob and Orange Mesocarp respectively. The fibre content of the Corn Cob and Orange Mesocarp were </w:t>
      </w:r>
      <w:r w:rsidRPr="00947F58">
        <w:rPr>
          <w:rFonts w:ascii="Times New Roman" w:hAnsi="Times New Roman" w:cs="Times New Roman"/>
        </w:rPr>
        <w:t xml:space="preserve">5.25±0.05% and 5.25±0.001% respectively. </w:t>
      </w:r>
      <w:r w:rsidRPr="00947F58">
        <w:rPr>
          <w:rFonts w:ascii="Times New Roman" w:hAnsi="Times New Roman" w:cs="Times New Roman"/>
          <w:color w:val="000000" w:themeColor="text1"/>
        </w:rPr>
        <w:t xml:space="preserve">Protein content were </w:t>
      </w:r>
      <w:r w:rsidRPr="00947F58">
        <w:rPr>
          <w:rFonts w:ascii="Times New Roman" w:hAnsi="Times New Roman" w:cs="Times New Roman"/>
        </w:rPr>
        <w:t xml:space="preserve">0.24±0.001 and 0.34±0.001 </w:t>
      </w:r>
      <w:r w:rsidRPr="00947F58">
        <w:rPr>
          <w:rFonts w:ascii="Times New Roman" w:hAnsi="Times New Roman" w:cs="Times New Roman"/>
          <w:color w:val="000000" w:themeColor="text1"/>
        </w:rPr>
        <w:t>for the Corn Cob and Orange Mesocarp respectively.</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20ADABDA" wp14:editId="41A69486">
            <wp:extent cx="5584190" cy="2527443"/>
            <wp:effectExtent l="0" t="0" r="16510" b="6350"/>
            <wp:docPr id="2058190902" name="Chart 1">
              <a:extLst xmlns:a="http://schemas.openxmlformats.org/drawingml/2006/main">
                <a:ext uri="{FF2B5EF4-FFF2-40B4-BE49-F238E27FC236}">
                  <a16:creationId xmlns:a16="http://schemas.microsoft.com/office/drawing/2014/main" id="{E0B2F72D-DDBF-7522-3583-000489C3A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965A3" w:rsidRPr="00947F58" w:rsidRDefault="00E965A3" w:rsidP="00E965A3">
      <w:pPr>
        <w:pStyle w:val="Heading2"/>
        <w:rPr>
          <w:rFonts w:ascii="Times New Roman" w:hAnsi="Times New Roman" w:cs="Times New Roman"/>
          <w:b w:val="0"/>
          <w:color w:val="000000" w:themeColor="text1"/>
          <w:sz w:val="22"/>
          <w:szCs w:val="22"/>
        </w:rPr>
      </w:pPr>
      <w:r w:rsidRPr="00947F58">
        <w:rPr>
          <w:rFonts w:ascii="Times New Roman" w:hAnsi="Times New Roman" w:cs="Times New Roman"/>
          <w:color w:val="000000" w:themeColor="text1"/>
          <w:sz w:val="22"/>
          <w:szCs w:val="22"/>
        </w:rPr>
        <w:t>Figure 1: Total Fungi Count from the Dumpsite Soil</w:t>
      </w:r>
    </w:p>
    <w:p w:rsidR="00E965A3" w:rsidRPr="00947F58" w:rsidRDefault="00E965A3" w:rsidP="00E965A3">
      <w:pPr>
        <w:rPr>
          <w:rFonts w:ascii="Times New Roman" w:hAnsi="Times New Roman" w:cs="Times New Roman"/>
        </w:rPr>
      </w:pPr>
      <w:r w:rsidRPr="00947F58">
        <w:rPr>
          <w:rFonts w:ascii="Times New Roman" w:hAnsi="Times New Roman" w:cs="Times New Roman"/>
          <w:b/>
        </w:rPr>
        <w:t>Key:</w:t>
      </w:r>
      <w:r w:rsidRPr="00947F58">
        <w:rPr>
          <w:rFonts w:ascii="Times New Roman" w:hAnsi="Times New Roman" w:cs="Times New Roman"/>
        </w:rPr>
        <w:t xml:space="preserve"> SA = Soil A; SB = Soil B; SC = Soil C</w:t>
      </w: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Default="00000D9B" w:rsidP="00E965A3">
      <w:pPr>
        <w:rPr>
          <w:rFonts w:ascii="Times New Roman" w:hAnsi="Times New Roman" w:cs="Times New Roman"/>
        </w:rPr>
      </w:pPr>
    </w:p>
    <w:p w:rsidR="00BE1B2C" w:rsidRPr="00947F58" w:rsidRDefault="00BE1B2C"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000D9B" w:rsidRPr="00947F58" w:rsidRDefault="00000D9B"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tbl>
      <w:tblPr>
        <w:tblStyle w:val="LightShading3"/>
        <w:tblpPr w:leftFromText="180" w:rightFromText="180" w:vertAnchor="text" w:horzAnchor="margin" w:tblpX="-720" w:tblpY="486"/>
        <w:tblW w:w="10063" w:type="dxa"/>
        <w:tblLook w:val="0680" w:firstRow="0" w:lastRow="0" w:firstColumn="1" w:lastColumn="0" w:noHBand="1" w:noVBand="1"/>
      </w:tblPr>
      <w:tblGrid>
        <w:gridCol w:w="1667"/>
        <w:gridCol w:w="1123"/>
        <w:gridCol w:w="2242"/>
        <w:gridCol w:w="2734"/>
        <w:gridCol w:w="2297"/>
      </w:tblGrid>
      <w:tr w:rsidR="00E965A3" w:rsidRPr="00947F58" w:rsidTr="00A459D1">
        <w:tc>
          <w:tcPr>
            <w:cnfStyle w:val="001000000000" w:firstRow="0" w:lastRow="0" w:firstColumn="1" w:lastColumn="0" w:oddVBand="0" w:evenVBand="0" w:oddHBand="0" w:evenHBand="0" w:firstRowFirstColumn="0" w:firstRowLastColumn="0" w:lastRowFirstColumn="0" w:lastRowLastColumn="0"/>
            <w:tcW w:w="2790" w:type="dxa"/>
            <w:gridSpan w:val="2"/>
            <w:tcBorders>
              <w:bottom w:val="single" w:sz="4" w:space="0" w:color="auto"/>
            </w:tcBorders>
          </w:tcPr>
          <w:p w:rsidR="00E965A3" w:rsidRPr="00947F58" w:rsidRDefault="00E965A3" w:rsidP="00A459D1">
            <w:pPr>
              <w:jc w:val="center"/>
              <w:rPr>
                <w:rFonts w:ascii="Times New Roman" w:hAnsi="Times New Roman" w:cs="Times New Roman"/>
                <w:b w:val="0"/>
              </w:rPr>
            </w:pPr>
            <w:r w:rsidRPr="00947F58">
              <w:rPr>
                <w:rFonts w:ascii="Times New Roman" w:hAnsi="Times New Roman" w:cs="Times New Roman"/>
              </w:rPr>
              <w:lastRenderedPageBreak/>
              <w:t>Isolate Code</w:t>
            </w:r>
          </w:p>
        </w:tc>
        <w:tc>
          <w:tcPr>
            <w:tcW w:w="2242" w:type="dxa"/>
            <w:tcBorders>
              <w:bottom w:val="single" w:sz="4" w:space="0" w:color="auto"/>
            </w:tcBorders>
          </w:tcPr>
          <w:p w:rsidR="00E965A3" w:rsidRPr="00947F58" w:rsidRDefault="00E965A3" w:rsidP="00A459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47F58">
              <w:rPr>
                <w:rFonts w:ascii="Times New Roman" w:hAnsi="Times New Roman" w:cs="Times New Roman"/>
                <w:b/>
              </w:rPr>
              <w:t>Macroscopic  characteristics</w:t>
            </w:r>
          </w:p>
        </w:tc>
        <w:tc>
          <w:tcPr>
            <w:tcW w:w="2734" w:type="dxa"/>
            <w:tcBorders>
              <w:bottom w:val="single" w:sz="4" w:space="0" w:color="auto"/>
            </w:tcBorders>
          </w:tcPr>
          <w:p w:rsidR="00E965A3" w:rsidRPr="00947F58" w:rsidRDefault="00E965A3" w:rsidP="00A459D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47F58">
              <w:rPr>
                <w:rFonts w:ascii="Times New Roman" w:hAnsi="Times New Roman" w:cs="Times New Roman"/>
                <w:b/>
              </w:rPr>
              <w:t>Microscopic characteristics</w:t>
            </w:r>
          </w:p>
        </w:tc>
        <w:tc>
          <w:tcPr>
            <w:tcW w:w="2297" w:type="dxa"/>
            <w:tcBorders>
              <w:bottom w:val="single" w:sz="4" w:space="0" w:color="auto"/>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947F58">
              <w:rPr>
                <w:rFonts w:ascii="Times New Roman" w:hAnsi="Times New Roman" w:cs="Times New Roman"/>
                <w:b/>
              </w:rPr>
              <w:t>Probable organism</w:t>
            </w:r>
          </w:p>
        </w:tc>
      </w:tr>
      <w:tr w:rsidR="00E965A3" w:rsidRPr="00947F58" w:rsidTr="00A459D1">
        <w:tc>
          <w:tcPr>
            <w:cnfStyle w:val="001000000000" w:firstRow="0" w:lastRow="0" w:firstColumn="1" w:lastColumn="0" w:oddVBand="0" w:evenVBand="0" w:oddHBand="0" w:evenHBand="0" w:firstRowFirstColumn="0" w:firstRowLastColumn="0" w:lastRowFirstColumn="0" w:lastRowLastColumn="0"/>
            <w:tcW w:w="1667" w:type="dxa"/>
            <w:tcBorders>
              <w:top w:val="single" w:sz="4" w:space="0" w:color="auto"/>
              <w:bottom w:val="nil"/>
            </w:tcBorders>
          </w:tcPr>
          <w:p w:rsidR="00E965A3" w:rsidRPr="00947F58" w:rsidRDefault="00E965A3" w:rsidP="00A459D1">
            <w:pPr>
              <w:jc w:val="center"/>
              <w:rPr>
                <w:rFonts w:ascii="Times New Roman" w:hAnsi="Times New Roman" w:cs="Times New Roman"/>
              </w:rPr>
            </w:pPr>
          </w:p>
        </w:tc>
        <w:tc>
          <w:tcPr>
            <w:tcW w:w="1123" w:type="dxa"/>
            <w:tcBorders>
              <w:top w:val="single" w:sz="4" w:space="0" w:color="auto"/>
              <w:bottom w:val="nil"/>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SB1</w:t>
            </w:r>
            <w:r w:rsidR="00A459D1" w:rsidRPr="00947F58">
              <w:rPr>
                <w:rFonts w:ascii="Times New Roman" w:hAnsi="Times New Roman" w:cs="Times New Roman"/>
              </w:rPr>
              <w:t>, SB3</w:t>
            </w:r>
          </w:p>
        </w:tc>
        <w:tc>
          <w:tcPr>
            <w:tcW w:w="2242" w:type="dxa"/>
            <w:tcBorders>
              <w:top w:val="single" w:sz="4" w:space="0" w:color="auto"/>
              <w:bottom w:val="nil"/>
            </w:tcBorders>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White cottony growth with yellow reverse</w:t>
            </w:r>
          </w:p>
        </w:tc>
        <w:tc>
          <w:tcPr>
            <w:tcW w:w="2734" w:type="dxa"/>
            <w:tcBorders>
              <w:top w:val="single" w:sz="4" w:space="0" w:color="auto"/>
              <w:bottom w:val="nil"/>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Canoe shaped conidia, with septate hyphae</w:t>
            </w:r>
          </w:p>
        </w:tc>
        <w:tc>
          <w:tcPr>
            <w:tcW w:w="2297" w:type="dxa"/>
            <w:tcBorders>
              <w:top w:val="single" w:sz="4" w:space="0" w:color="auto"/>
              <w:bottom w:val="nil"/>
            </w:tcBorders>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i/>
              </w:rPr>
              <w:t xml:space="preserve">Fusarium </w:t>
            </w:r>
            <w:proofErr w:type="spellStart"/>
            <w:r w:rsidRPr="00947F58">
              <w:rPr>
                <w:rFonts w:ascii="Times New Roman" w:eastAsia="Calibri" w:hAnsi="Times New Roman" w:cs="Times New Roman"/>
              </w:rPr>
              <w:t>sp</w:t>
            </w:r>
            <w:proofErr w:type="spellEnd"/>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tc>
      </w:tr>
      <w:tr w:rsidR="00E965A3" w:rsidRPr="00947F58" w:rsidTr="00A459D1">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SA2</w:t>
            </w:r>
            <w:r w:rsidR="00A459D1" w:rsidRPr="00947F58">
              <w:rPr>
                <w:rFonts w:ascii="Times New Roman" w:hAnsi="Times New Roman" w:cs="Times New Roman"/>
              </w:rPr>
              <w:t>,SC2</w:t>
            </w: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 xml:space="preserve">Gray and black fluffy   growth with brown reverse. </w:t>
            </w: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Aseptate hyphae with round conidia head</w:t>
            </w: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i/>
              </w:rPr>
              <w:t xml:space="preserve">Rhizopus </w:t>
            </w:r>
            <w:proofErr w:type="spellStart"/>
            <w:r w:rsidRPr="00947F58">
              <w:rPr>
                <w:rFonts w:ascii="Times New Roman" w:eastAsia="Calibri" w:hAnsi="Times New Roman" w:cs="Times New Roman"/>
              </w:rPr>
              <w:t>sp</w:t>
            </w:r>
            <w:proofErr w:type="spellEnd"/>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r w:rsidR="00E965A3" w:rsidRPr="00947F58" w:rsidTr="00A459D1">
        <w:trPr>
          <w:trHeight w:val="1223"/>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SA1</w:t>
            </w:r>
            <w:r w:rsidR="00A459D1" w:rsidRPr="00947F58">
              <w:rPr>
                <w:rFonts w:ascii="Times New Roman" w:hAnsi="Times New Roman" w:cs="Times New Roman"/>
              </w:rPr>
              <w:t>,SB2</w:t>
            </w: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Black cottony growth with white radial periphery and brown reverse</w:t>
            </w: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Septate hyphae with round conidia head</w:t>
            </w: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r w:rsidRPr="00947F58">
              <w:rPr>
                <w:rFonts w:ascii="Times New Roman" w:eastAsia="Calibri" w:hAnsi="Times New Roman" w:cs="Times New Roman"/>
                <w:i/>
              </w:rPr>
              <w:t xml:space="preserve">Aspergillus </w:t>
            </w:r>
            <w:proofErr w:type="spellStart"/>
            <w:r w:rsidRPr="00947F58">
              <w:rPr>
                <w:rFonts w:ascii="Times New Roman" w:eastAsia="Calibri" w:hAnsi="Times New Roman" w:cs="Times New Roman"/>
                <w:i/>
              </w:rPr>
              <w:t>niger</w:t>
            </w:r>
            <w:proofErr w:type="spellEnd"/>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tc>
      </w:tr>
      <w:tr w:rsidR="00E965A3" w:rsidRPr="00947F58" w:rsidTr="00A459D1">
        <w:trPr>
          <w:trHeight w:val="289"/>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47F58">
              <w:rPr>
                <w:rFonts w:ascii="Times New Roman" w:hAnsi="Times New Roman" w:cs="Times New Roman"/>
              </w:rPr>
              <w:t>SC1</w:t>
            </w: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 xml:space="preserve">Green </w:t>
            </w:r>
            <w:proofErr w:type="spellStart"/>
            <w:r w:rsidRPr="00947F58">
              <w:rPr>
                <w:rFonts w:ascii="Times New Roman" w:eastAsia="Calibri" w:hAnsi="Times New Roman" w:cs="Times New Roman"/>
              </w:rPr>
              <w:t>lawny</w:t>
            </w:r>
            <w:proofErr w:type="spellEnd"/>
            <w:r w:rsidRPr="00947F58">
              <w:rPr>
                <w:rFonts w:ascii="Times New Roman" w:eastAsia="Calibri" w:hAnsi="Times New Roman" w:cs="Times New Roman"/>
              </w:rPr>
              <w:t xml:space="preserve"> growth with white radial periphery. </w:t>
            </w: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947F58">
              <w:rPr>
                <w:rFonts w:ascii="Times New Roman" w:eastAsia="Calibri" w:hAnsi="Times New Roman" w:cs="Times New Roman"/>
              </w:rPr>
              <w:t>Septate branching hyphae with chain like conidia</w:t>
            </w: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r w:rsidRPr="00947F58">
              <w:rPr>
                <w:rFonts w:ascii="Times New Roman" w:eastAsia="Calibri" w:hAnsi="Times New Roman" w:cs="Times New Roman"/>
                <w:i/>
              </w:rPr>
              <w:t>Penicillium sp</w:t>
            </w: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i/>
              </w:rPr>
            </w:pPr>
          </w:p>
        </w:tc>
      </w:tr>
      <w:tr w:rsidR="00A459D1" w:rsidRPr="00947F58" w:rsidTr="00A459D1">
        <w:trPr>
          <w:gridAfter w:val="4"/>
          <w:wAfter w:w="8396" w:type="dxa"/>
          <w:trHeight w:val="289"/>
        </w:trPr>
        <w:tc>
          <w:tcPr>
            <w:cnfStyle w:val="001000000000" w:firstRow="0" w:lastRow="0" w:firstColumn="1" w:lastColumn="0" w:oddVBand="0" w:evenVBand="0" w:oddHBand="0" w:evenHBand="0" w:firstRowFirstColumn="0" w:firstRowLastColumn="0" w:lastRowFirstColumn="0" w:lastRowLastColumn="0"/>
            <w:tcW w:w="1667" w:type="dxa"/>
          </w:tcPr>
          <w:p w:rsidR="00A459D1" w:rsidRPr="00947F58" w:rsidRDefault="00A459D1" w:rsidP="00A459D1">
            <w:pPr>
              <w:jc w:val="center"/>
              <w:rPr>
                <w:rFonts w:ascii="Times New Roman" w:hAnsi="Times New Roman" w:cs="Times New Roman"/>
              </w:rPr>
            </w:pPr>
          </w:p>
        </w:tc>
      </w:tr>
      <w:tr w:rsidR="00E965A3" w:rsidRPr="00947F58" w:rsidTr="00A459D1">
        <w:trPr>
          <w:gridAfter w:val="4"/>
          <w:wAfter w:w="8396" w:type="dxa"/>
          <w:trHeight w:val="289"/>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r>
      <w:tr w:rsidR="00E965A3" w:rsidRPr="00947F58" w:rsidTr="00A459D1">
        <w:trPr>
          <w:trHeight w:val="85"/>
        </w:trPr>
        <w:tc>
          <w:tcPr>
            <w:cnfStyle w:val="001000000000" w:firstRow="0" w:lastRow="0" w:firstColumn="1" w:lastColumn="0" w:oddVBand="0" w:evenVBand="0" w:oddHBand="0" w:evenHBand="0" w:firstRowFirstColumn="0" w:firstRowLastColumn="0" w:lastRowFirstColumn="0" w:lastRowLastColumn="0"/>
            <w:tcW w:w="1667" w:type="dxa"/>
          </w:tcPr>
          <w:p w:rsidR="00E965A3" w:rsidRPr="00947F58" w:rsidRDefault="00E965A3" w:rsidP="00A459D1">
            <w:pPr>
              <w:jc w:val="center"/>
              <w:rPr>
                <w:rFonts w:ascii="Times New Roman" w:hAnsi="Times New Roman" w:cs="Times New Roman"/>
              </w:rPr>
            </w:pPr>
          </w:p>
        </w:tc>
        <w:tc>
          <w:tcPr>
            <w:tcW w:w="1123"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42" w:type="dxa"/>
          </w:tcPr>
          <w:p w:rsidR="00E965A3" w:rsidRPr="00947F58" w:rsidRDefault="00E965A3" w:rsidP="00A459D1">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2734"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2297" w:type="dxa"/>
          </w:tcPr>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p w:rsidR="00E965A3" w:rsidRPr="00947F58" w:rsidRDefault="00E965A3" w:rsidP="00A459D1">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r>
    </w:tbl>
    <w:p w:rsidR="00D051CA" w:rsidRPr="00947F58" w:rsidRDefault="00D051CA" w:rsidP="00D051CA">
      <w:pPr>
        <w:rPr>
          <w:rFonts w:ascii="Times New Roman" w:hAnsi="Times New Roman" w:cs="Times New Roman"/>
        </w:rPr>
      </w:pPr>
      <w:r w:rsidRPr="00947F58">
        <w:rPr>
          <w:rFonts w:ascii="Times New Roman" w:hAnsi="Times New Roman" w:cs="Times New Roman"/>
          <w:b/>
        </w:rPr>
        <w:t>Table 1: Macroscopic and microscopic characteristics of isolated fungi</w:t>
      </w:r>
    </w:p>
    <w:p w:rsidR="00E965A3" w:rsidRPr="00947F58" w:rsidRDefault="00E965A3" w:rsidP="00E965A3">
      <w:pPr>
        <w:rPr>
          <w:rFonts w:ascii="Times New Roman" w:hAnsi="Times New Roman" w:cs="Times New Roman"/>
          <w:b/>
        </w:rPr>
      </w:pPr>
    </w:p>
    <w:p w:rsidR="00D051CA" w:rsidRPr="00947F58" w:rsidRDefault="00D051CA" w:rsidP="00E965A3">
      <w:pPr>
        <w:rPr>
          <w:rFonts w:ascii="Times New Roman" w:hAnsi="Times New Roman" w:cs="Times New Roman"/>
          <w:b/>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160FA6BD" wp14:editId="717C5B2D">
            <wp:extent cx="5907405" cy="2928135"/>
            <wp:effectExtent l="0" t="0" r="17145" b="5715"/>
            <wp:docPr id="926701170" name="Chart 1">
              <a:extLst xmlns:a="http://schemas.openxmlformats.org/drawingml/2006/main">
                <a:ext uri="{FF2B5EF4-FFF2-40B4-BE49-F238E27FC236}">
                  <a16:creationId xmlns:a16="http://schemas.microsoft.com/office/drawing/2014/main" id="{E86178BA-3479-1085-5AE5-3CA770E42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965A3" w:rsidRPr="00947F58" w:rsidRDefault="000749AF" w:rsidP="00E965A3">
      <w:pPr>
        <w:pStyle w:val="Heading2"/>
        <w:spacing w:line="480" w:lineRule="auto"/>
        <w:rPr>
          <w:rFonts w:ascii="Times New Roman" w:hAnsi="Times New Roman" w:cs="Times New Roman"/>
          <w:b w:val="0"/>
          <w:color w:val="000000" w:themeColor="text1"/>
          <w:sz w:val="22"/>
          <w:szCs w:val="22"/>
        </w:rPr>
      </w:pPr>
      <w:r>
        <w:rPr>
          <w:rFonts w:ascii="Times New Roman" w:hAnsi="Times New Roman" w:cs="Times New Roman"/>
          <w:color w:val="000000" w:themeColor="text1"/>
          <w:sz w:val="22"/>
          <w:szCs w:val="22"/>
        </w:rPr>
        <w:t xml:space="preserve">Figure 2: Screening of </w:t>
      </w:r>
      <w:r w:rsidR="00E965A3" w:rsidRPr="00947F58">
        <w:rPr>
          <w:rFonts w:ascii="Times New Roman" w:hAnsi="Times New Roman" w:cs="Times New Roman"/>
          <w:color w:val="000000" w:themeColor="text1"/>
          <w:sz w:val="22"/>
          <w:szCs w:val="22"/>
        </w:rPr>
        <w:t xml:space="preserve">Amylase </w:t>
      </w:r>
      <w:r w:rsidR="00E965A3" w:rsidRPr="00947F58">
        <w:rPr>
          <w:rFonts w:ascii="Times New Roman" w:hAnsi="Times New Roman" w:cs="Times New Roman"/>
          <w:color w:val="auto"/>
          <w:sz w:val="22"/>
          <w:szCs w:val="22"/>
        </w:rPr>
        <w:t>activity</w:t>
      </w:r>
      <w:r w:rsidR="00E965A3" w:rsidRPr="00947F58">
        <w:rPr>
          <w:rFonts w:ascii="Times New Roman" w:hAnsi="Times New Roman" w:cs="Times New Roman"/>
          <w:color w:val="000000" w:themeColor="text1"/>
          <w:sz w:val="22"/>
          <w:szCs w:val="22"/>
        </w:rPr>
        <w:t xml:space="preserve"> potential from the isolated fungal </w:t>
      </w:r>
    </w:p>
    <w:p w:rsidR="00E965A3" w:rsidRPr="00947F58" w:rsidRDefault="00000D9B" w:rsidP="00E965A3">
      <w:pPr>
        <w:spacing w:before="240"/>
        <w:rPr>
          <w:rFonts w:ascii="Times New Roman" w:hAnsi="Times New Roman" w:cs="Times New Roman"/>
          <w:b/>
          <w:color w:val="000000" w:themeColor="text1"/>
        </w:rPr>
      </w:pPr>
      <w:r w:rsidRPr="00947F58">
        <w:rPr>
          <w:rFonts w:ascii="Times New Roman" w:hAnsi="Times New Roman" w:cs="Times New Roman"/>
          <w:b/>
          <w:color w:val="000000" w:themeColor="text1"/>
        </w:rPr>
        <w:t xml:space="preserve">         </w:t>
      </w:r>
    </w:p>
    <w:p w:rsidR="00E965A3" w:rsidRPr="00947F58" w:rsidRDefault="00E965A3" w:rsidP="00E965A3">
      <w:pPr>
        <w:spacing w:before="240"/>
        <w:rPr>
          <w:rFonts w:ascii="Times New Roman" w:hAnsi="Times New Roman" w:cs="Times New Roman"/>
        </w:rPr>
      </w:pPr>
      <w:r w:rsidRPr="00947F58">
        <w:rPr>
          <w:rFonts w:ascii="Times New Roman" w:hAnsi="Times New Roman" w:cs="Times New Roman"/>
          <w:b/>
          <w:color w:val="000000" w:themeColor="text1"/>
        </w:rPr>
        <w:lastRenderedPageBreak/>
        <w:t xml:space="preserve">                        Table 2: Proximate composition of Corn Cob and Orange Mesocarp</w:t>
      </w:r>
    </w:p>
    <w:tbl>
      <w:tblPr>
        <w:tblStyle w:val="TableGrid"/>
        <w:tblpPr w:leftFromText="180" w:rightFromText="180" w:vertAnchor="text" w:horzAnchor="margin" w:tblpXSpec="center" w:tblpY="2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40"/>
        <w:gridCol w:w="2070"/>
        <w:gridCol w:w="1356"/>
      </w:tblGrid>
      <w:tr w:rsidR="00A459D1" w:rsidRPr="00947F58" w:rsidTr="00A459D1">
        <w:trPr>
          <w:trHeight w:val="253"/>
        </w:trPr>
        <w:tc>
          <w:tcPr>
            <w:tcW w:w="1980" w:type="dxa"/>
            <w:tcBorders>
              <w:top w:val="single" w:sz="4" w:space="0" w:color="auto"/>
            </w:tcBorders>
            <w:noWrap/>
            <w:hideMark/>
          </w:tcPr>
          <w:p w:rsidR="00A459D1" w:rsidRPr="00947F58" w:rsidRDefault="00A459D1" w:rsidP="00A459D1">
            <w:pPr>
              <w:rPr>
                <w:rFonts w:ascii="Times New Roman" w:hAnsi="Times New Roman" w:cs="Times New Roman"/>
                <w:b/>
              </w:rPr>
            </w:pPr>
            <w:r w:rsidRPr="00947F58">
              <w:rPr>
                <w:rFonts w:ascii="Times New Roman" w:hAnsi="Times New Roman" w:cs="Times New Roman"/>
                <w:b/>
              </w:rPr>
              <w:t>Parameter</w:t>
            </w:r>
          </w:p>
        </w:tc>
        <w:tc>
          <w:tcPr>
            <w:tcW w:w="1440" w:type="dxa"/>
            <w:tcBorders>
              <w:top w:val="single" w:sz="4" w:space="0" w:color="auto"/>
            </w:tcBorders>
            <w:noWrap/>
            <w:hideMark/>
          </w:tcPr>
          <w:p w:rsidR="00A459D1" w:rsidRPr="00947F58" w:rsidRDefault="00A459D1" w:rsidP="00A459D1">
            <w:pPr>
              <w:rPr>
                <w:rFonts w:ascii="Times New Roman" w:hAnsi="Times New Roman" w:cs="Times New Roman"/>
                <w:b/>
              </w:rPr>
            </w:pPr>
            <w:r w:rsidRPr="00947F58">
              <w:rPr>
                <w:rFonts w:ascii="Times New Roman" w:hAnsi="Times New Roman" w:cs="Times New Roman"/>
                <w:b/>
                <w:color w:val="000000" w:themeColor="text1"/>
              </w:rPr>
              <w:t>Corn Cob</w:t>
            </w:r>
          </w:p>
        </w:tc>
        <w:tc>
          <w:tcPr>
            <w:tcW w:w="2070" w:type="dxa"/>
            <w:tcBorders>
              <w:top w:val="single" w:sz="4" w:space="0" w:color="auto"/>
            </w:tcBorders>
            <w:noWrap/>
            <w:hideMark/>
          </w:tcPr>
          <w:p w:rsidR="00A459D1" w:rsidRPr="00947F58" w:rsidRDefault="00A459D1" w:rsidP="00A459D1">
            <w:pPr>
              <w:rPr>
                <w:rFonts w:ascii="Times New Roman" w:hAnsi="Times New Roman" w:cs="Times New Roman"/>
                <w:b/>
              </w:rPr>
            </w:pPr>
            <w:r w:rsidRPr="00947F58">
              <w:rPr>
                <w:rFonts w:ascii="Times New Roman" w:hAnsi="Times New Roman" w:cs="Times New Roman"/>
                <w:b/>
                <w:color w:val="000000" w:themeColor="text1"/>
              </w:rPr>
              <w:t>Orange Mesocarp</w:t>
            </w:r>
          </w:p>
        </w:tc>
        <w:tc>
          <w:tcPr>
            <w:tcW w:w="1356" w:type="dxa"/>
            <w:tcBorders>
              <w:top w:val="single" w:sz="4" w:space="0" w:color="auto"/>
            </w:tcBorders>
          </w:tcPr>
          <w:p w:rsidR="00A459D1" w:rsidRPr="00947F58" w:rsidRDefault="00A459D1" w:rsidP="00A459D1">
            <w:pPr>
              <w:rPr>
                <w:rFonts w:ascii="Times New Roman" w:hAnsi="Times New Roman" w:cs="Times New Roman"/>
                <w:b/>
              </w:rPr>
            </w:pPr>
            <w:r w:rsidRPr="00947F58">
              <w:rPr>
                <w:rFonts w:ascii="Times New Roman" w:hAnsi="Times New Roman" w:cs="Times New Roman"/>
                <w:b/>
              </w:rPr>
              <w:t>p-value</w:t>
            </w:r>
          </w:p>
        </w:tc>
      </w:tr>
      <w:tr w:rsidR="00A459D1" w:rsidRPr="00947F58" w:rsidTr="00A459D1">
        <w:trPr>
          <w:trHeight w:val="253"/>
        </w:trPr>
        <w:tc>
          <w:tcPr>
            <w:tcW w:w="1980" w:type="dxa"/>
            <w:tcBorders>
              <w:top w:val="single" w:sz="4" w:space="0" w:color="auto"/>
            </w:tcBorders>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Ash (%)</w:t>
            </w:r>
          </w:p>
        </w:tc>
        <w:tc>
          <w:tcPr>
            <w:tcW w:w="1440" w:type="dxa"/>
            <w:tcBorders>
              <w:top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2.2±0.02</w:t>
            </w:r>
          </w:p>
        </w:tc>
        <w:tc>
          <w:tcPr>
            <w:tcW w:w="2070" w:type="dxa"/>
            <w:tcBorders>
              <w:top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4.26±0.001</w:t>
            </w:r>
          </w:p>
        </w:tc>
        <w:tc>
          <w:tcPr>
            <w:tcW w:w="1356" w:type="dxa"/>
            <w:tcBorders>
              <w:top w:val="single" w:sz="4" w:space="0" w:color="auto"/>
            </w:tcBorders>
          </w:tcPr>
          <w:p w:rsidR="00A459D1" w:rsidRPr="00947F58" w:rsidRDefault="00A459D1" w:rsidP="00A459D1">
            <w:pPr>
              <w:rPr>
                <w:rFonts w:ascii="Times New Roman" w:hAnsi="Times New Roman" w:cs="Times New Roman"/>
              </w:rPr>
            </w:pPr>
            <w:r w:rsidRPr="00947F58">
              <w:rPr>
                <w:rFonts w:ascii="Times New Roman" w:hAnsi="Times New Roman" w:cs="Times New Roman"/>
              </w:rPr>
              <w:t>0.03190575</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Moisture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15.65±0.05</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19.36±0.003</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0.02645118</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Crude lipid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0.8±0.02</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2.03±0.001</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0.05243149</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Crude fibre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5.25±0.05</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5.25±0.001</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0.97907561</w:t>
            </w:r>
          </w:p>
        </w:tc>
      </w:tr>
      <w:tr w:rsidR="00A459D1" w:rsidRPr="00947F58" w:rsidTr="00A459D1">
        <w:trPr>
          <w:trHeight w:val="253"/>
        </w:trPr>
        <w:tc>
          <w:tcPr>
            <w:tcW w:w="1980" w:type="dxa"/>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Crude protein (%)</w:t>
            </w:r>
          </w:p>
        </w:tc>
        <w:tc>
          <w:tcPr>
            <w:tcW w:w="144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0.24±0.001</w:t>
            </w:r>
          </w:p>
        </w:tc>
        <w:tc>
          <w:tcPr>
            <w:tcW w:w="2070" w:type="dxa"/>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0.34±0.001</w:t>
            </w:r>
          </w:p>
        </w:tc>
        <w:tc>
          <w:tcPr>
            <w:tcW w:w="1356" w:type="dxa"/>
          </w:tcPr>
          <w:p w:rsidR="00A459D1" w:rsidRPr="00947F58" w:rsidRDefault="00A459D1" w:rsidP="00A459D1">
            <w:pPr>
              <w:rPr>
                <w:rFonts w:ascii="Times New Roman" w:hAnsi="Times New Roman" w:cs="Times New Roman"/>
              </w:rPr>
            </w:pPr>
            <w:r w:rsidRPr="00947F58">
              <w:rPr>
                <w:rFonts w:ascii="Times New Roman" w:hAnsi="Times New Roman" w:cs="Times New Roman"/>
              </w:rPr>
              <w:t>0.04217371</w:t>
            </w:r>
          </w:p>
        </w:tc>
      </w:tr>
      <w:tr w:rsidR="00A459D1" w:rsidRPr="00947F58" w:rsidTr="00A459D1">
        <w:trPr>
          <w:trHeight w:val="253"/>
        </w:trPr>
        <w:tc>
          <w:tcPr>
            <w:tcW w:w="1980" w:type="dxa"/>
            <w:tcBorders>
              <w:bottom w:val="single" w:sz="4" w:space="0" w:color="auto"/>
            </w:tcBorders>
            <w:noWrap/>
            <w:hideMark/>
          </w:tcPr>
          <w:p w:rsidR="00A459D1" w:rsidRPr="00947F58" w:rsidRDefault="00A459D1" w:rsidP="00A459D1">
            <w:pPr>
              <w:rPr>
                <w:rFonts w:ascii="Times New Roman" w:hAnsi="Times New Roman" w:cs="Times New Roman"/>
              </w:rPr>
            </w:pPr>
            <w:r w:rsidRPr="00947F58">
              <w:rPr>
                <w:rFonts w:ascii="Times New Roman" w:hAnsi="Times New Roman" w:cs="Times New Roman"/>
              </w:rPr>
              <w:t>Carbohydrate (%)</w:t>
            </w:r>
          </w:p>
        </w:tc>
        <w:tc>
          <w:tcPr>
            <w:tcW w:w="1440" w:type="dxa"/>
            <w:tcBorders>
              <w:bottom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75.87±0.20</w:t>
            </w:r>
          </w:p>
        </w:tc>
        <w:tc>
          <w:tcPr>
            <w:tcW w:w="2070" w:type="dxa"/>
            <w:tcBorders>
              <w:bottom w:val="single" w:sz="4" w:space="0" w:color="auto"/>
            </w:tcBorders>
            <w:noWrap/>
            <w:hideMark/>
          </w:tcPr>
          <w:p w:rsidR="00A459D1" w:rsidRPr="00947F58" w:rsidRDefault="00A459D1" w:rsidP="00A459D1">
            <w:pPr>
              <w:jc w:val="center"/>
              <w:rPr>
                <w:rFonts w:ascii="Times New Roman" w:hAnsi="Times New Roman" w:cs="Times New Roman"/>
              </w:rPr>
            </w:pPr>
            <w:r w:rsidRPr="00947F58">
              <w:rPr>
                <w:rFonts w:ascii="Times New Roman" w:hAnsi="Times New Roman" w:cs="Times New Roman"/>
              </w:rPr>
              <w:t>68.79±0.03</w:t>
            </w:r>
          </w:p>
        </w:tc>
        <w:tc>
          <w:tcPr>
            <w:tcW w:w="1356" w:type="dxa"/>
            <w:tcBorders>
              <w:bottom w:val="single" w:sz="4" w:space="0" w:color="auto"/>
            </w:tcBorders>
          </w:tcPr>
          <w:p w:rsidR="00A459D1" w:rsidRPr="00947F58" w:rsidRDefault="00A459D1" w:rsidP="00A459D1">
            <w:pPr>
              <w:rPr>
                <w:rFonts w:ascii="Times New Roman" w:hAnsi="Times New Roman" w:cs="Times New Roman"/>
              </w:rPr>
            </w:pPr>
            <w:r w:rsidRPr="00947F58">
              <w:rPr>
                <w:rFonts w:ascii="Times New Roman" w:hAnsi="Times New Roman" w:cs="Times New Roman"/>
              </w:rPr>
              <w:t>0.03013021</w:t>
            </w:r>
          </w:p>
        </w:tc>
      </w:tr>
    </w:tbl>
    <w:p w:rsidR="00E965A3" w:rsidRPr="00947F58" w:rsidRDefault="00E965A3" w:rsidP="00E965A3">
      <w:pPr>
        <w:spacing w:before="240"/>
        <w:rPr>
          <w:rFonts w:ascii="Times New Roman" w:hAnsi="Times New Roman" w:cs="Times New Roman"/>
        </w:rPr>
      </w:pPr>
    </w:p>
    <w:p w:rsidR="00E965A3" w:rsidRPr="00947F58" w:rsidRDefault="00E965A3" w:rsidP="00E965A3">
      <w:pPr>
        <w:spacing w:before="240"/>
        <w:rPr>
          <w:rFonts w:ascii="Times New Roman" w:hAnsi="Times New Roman" w:cs="Times New Roman"/>
        </w:rPr>
      </w:pPr>
    </w:p>
    <w:p w:rsidR="00E965A3" w:rsidRPr="00947F58" w:rsidRDefault="00E965A3" w:rsidP="00E965A3">
      <w:pPr>
        <w:spacing w:before="240"/>
        <w:rPr>
          <w:rFonts w:ascii="Times New Roman" w:hAnsi="Times New Roman" w:cs="Times New Roman"/>
        </w:rPr>
      </w:pPr>
    </w:p>
    <w:p w:rsidR="00E965A3" w:rsidRPr="00947F58" w:rsidRDefault="00E965A3" w:rsidP="00E965A3">
      <w:pPr>
        <w:pStyle w:val="Heading1"/>
        <w:tabs>
          <w:tab w:val="left" w:pos="691"/>
        </w:tabs>
        <w:spacing w:before="229" w:line="240" w:lineRule="auto"/>
        <w:ind w:right="11"/>
        <w:jc w:val="both"/>
        <w:rPr>
          <w:rFonts w:ascii="Times New Roman" w:eastAsia="SimSun" w:hAnsi="Times New Roman" w:cs="Times New Roman"/>
          <w:b w:val="0"/>
          <w:bCs w:val="0"/>
          <w:color w:val="auto"/>
          <w:kern w:val="2"/>
          <w:sz w:val="22"/>
          <w:szCs w:val="22"/>
          <w:lang w:eastAsia="en-GB"/>
        </w:rPr>
      </w:pPr>
    </w:p>
    <w:p w:rsidR="00A459D1" w:rsidRPr="00947F58" w:rsidRDefault="00A459D1" w:rsidP="00A459D1">
      <w:pPr>
        <w:rPr>
          <w:rFonts w:ascii="Times New Roman" w:hAnsi="Times New Roman" w:cs="Times New Roman"/>
        </w:rPr>
      </w:pPr>
    </w:p>
    <w:p w:rsidR="00E965A3" w:rsidRPr="00947F58" w:rsidRDefault="00947F58" w:rsidP="00E965A3">
      <w:pPr>
        <w:pStyle w:val="Heading1"/>
        <w:tabs>
          <w:tab w:val="left" w:pos="691"/>
        </w:tabs>
        <w:spacing w:before="229" w:line="24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.5 Effect of Fermentation Time on Alpha-Amylase Using the Agro-Residues and Fungi</w:t>
      </w:r>
    </w:p>
    <w:p w:rsidR="00E965A3" w:rsidRPr="00947F58" w:rsidRDefault="00E965A3" w:rsidP="00E965A3">
      <w:pPr>
        <w:ind w:left="-90"/>
        <w:jc w:val="both"/>
        <w:rPr>
          <w:rFonts w:ascii="Times New Roman" w:hAnsi="Times New Roman" w:cs="Times New Roman"/>
        </w:rPr>
      </w:pPr>
      <w:r w:rsidRPr="00947F58">
        <w:rPr>
          <w:rFonts w:ascii="Times New Roman" w:hAnsi="Times New Roman" w:cs="Times New Roman"/>
        </w:rPr>
        <w:t xml:space="preserve">The maximum yield of 51.2 U/ml of alpha-amylase production was recorded in 48h while in 12h the alpha-amylase production of 12.1 U/ml was recorded. The fermentation time progresses from 24h and 36h with the alpha-amylase production yield of 25.4 U/ml and 39.3 U/ml respectively. The fermentation time declined in 60h with alpha-amylase production yield of 46.1 U/ml (fig.3). </w:t>
      </w:r>
    </w:p>
    <w:p w:rsidR="00E965A3" w:rsidRPr="00947F58" w:rsidRDefault="00947F58" w:rsidP="00E965A3">
      <w:pPr>
        <w:pStyle w:val="Heading1"/>
        <w:tabs>
          <w:tab w:val="left" w:pos="604"/>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.6 Effect of Inoculum Size on the Alpha-Amylase Production Using the Fungi and the Agro-Residues</w:t>
      </w:r>
    </w:p>
    <w:p w:rsidR="00E965A3" w:rsidRPr="00947F58" w:rsidRDefault="00E965A3" w:rsidP="00E965A3">
      <w:pPr>
        <w:pStyle w:val="Heading1"/>
        <w:tabs>
          <w:tab w:val="left" w:pos="604"/>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The maximum yield of 53.3 U/</w:t>
      </w:r>
      <w:proofErr w:type="spellStart"/>
      <w:r w:rsidRPr="00947F58">
        <w:rPr>
          <w:rFonts w:ascii="Times New Roman" w:hAnsi="Times New Roman" w:cs="Times New Roman"/>
          <w:b w:val="0"/>
          <w:color w:val="auto"/>
          <w:sz w:val="22"/>
          <w:szCs w:val="22"/>
        </w:rPr>
        <w:t>mlalpha</w:t>
      </w:r>
      <w:proofErr w:type="spellEnd"/>
      <w:r w:rsidRPr="00947F58">
        <w:rPr>
          <w:rFonts w:ascii="Times New Roman" w:hAnsi="Times New Roman" w:cs="Times New Roman"/>
          <w:b w:val="0"/>
          <w:color w:val="auto"/>
          <w:sz w:val="22"/>
          <w:szCs w:val="22"/>
        </w:rPr>
        <w:t xml:space="preserve">-amylase production was observed at 3.0ml inoculums (fig. 4). Afterwards the production decreased in 4.0ml inoculum size with alpha-amylase production yield of 49.4 U/ml. </w:t>
      </w:r>
    </w:p>
    <w:p w:rsidR="00E965A3" w:rsidRPr="00947F58" w:rsidRDefault="00947F58" w:rsidP="00E965A3">
      <w:pPr>
        <w:pStyle w:val="Heading1"/>
        <w:tabs>
          <w:tab w:val="left" w:pos="604"/>
        </w:tabs>
        <w:spacing w:before="90" w:line="240" w:lineRule="auto"/>
        <w:ind w:left="-207" w:right="39"/>
        <w:jc w:val="both"/>
        <w:rPr>
          <w:rFonts w:ascii="Times New Roman" w:hAnsi="Times New Roman" w:cs="Times New Roman"/>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.7 Effect of pH on Alpha-Amylase Production Using the Agro-Residues and the Fungi</w:t>
      </w:r>
    </w:p>
    <w:p w:rsidR="00E965A3" w:rsidRPr="00947F58" w:rsidRDefault="00E965A3" w:rsidP="00E965A3">
      <w:pPr>
        <w:pStyle w:val="Heading1"/>
        <w:tabs>
          <w:tab w:val="left" w:pos="604"/>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 xml:space="preserve">The effect of pH on alpha-amylase production using the </w:t>
      </w:r>
      <w:proofErr w:type="spellStart"/>
      <w:r w:rsidRPr="00947F58">
        <w:rPr>
          <w:rFonts w:ascii="Times New Roman" w:hAnsi="Times New Roman" w:cs="Times New Roman"/>
          <w:b w:val="0"/>
          <w:color w:val="auto"/>
          <w:sz w:val="22"/>
          <w:szCs w:val="22"/>
        </w:rPr>
        <w:t>agro</w:t>
      </w:r>
      <w:proofErr w:type="spellEnd"/>
      <w:r w:rsidRPr="00947F58">
        <w:rPr>
          <w:rFonts w:ascii="Times New Roman" w:hAnsi="Times New Roman" w:cs="Times New Roman"/>
          <w:b w:val="0"/>
          <w:color w:val="auto"/>
          <w:sz w:val="22"/>
          <w:szCs w:val="22"/>
        </w:rPr>
        <w:t xml:space="preserve">-residues and </w:t>
      </w:r>
      <w:r w:rsidRPr="00947F58">
        <w:rPr>
          <w:rFonts w:ascii="Times New Roman" w:hAnsi="Times New Roman" w:cs="Times New Roman"/>
          <w:b w:val="0"/>
          <w:i/>
          <w:color w:val="auto"/>
          <w:sz w:val="22"/>
          <w:szCs w:val="22"/>
        </w:rPr>
        <w:t xml:space="preserve">Aspergillus </w:t>
      </w:r>
      <w:proofErr w:type="spellStart"/>
      <w:r w:rsidRPr="00947F58">
        <w:rPr>
          <w:rFonts w:ascii="Times New Roman" w:hAnsi="Times New Roman" w:cs="Times New Roman"/>
          <w:b w:val="0"/>
          <w:i/>
          <w:color w:val="auto"/>
          <w:sz w:val="22"/>
          <w:szCs w:val="22"/>
        </w:rPr>
        <w:t>niger</w:t>
      </w:r>
      <w:proofErr w:type="spellEnd"/>
      <w:r w:rsidRPr="00947F58">
        <w:rPr>
          <w:rFonts w:ascii="Times New Roman" w:hAnsi="Times New Roman" w:cs="Times New Roman"/>
          <w:b w:val="0"/>
          <w:i/>
          <w:color w:val="auto"/>
          <w:sz w:val="22"/>
          <w:szCs w:val="22"/>
        </w:rPr>
        <w:t>,</w:t>
      </w:r>
      <w:r w:rsidRPr="00947F58">
        <w:rPr>
          <w:rFonts w:ascii="Times New Roman" w:hAnsi="Times New Roman" w:cs="Times New Roman"/>
          <w:b w:val="0"/>
          <w:color w:val="auto"/>
          <w:sz w:val="22"/>
          <w:szCs w:val="22"/>
        </w:rPr>
        <w:t xml:space="preserve"> is presented in fig 5. From the figure, it can be seen that maximum alpha-amylase production was obtained at pH 7.0, with the highest production yield of 47.6 U/ml and pH 4.5 recorded the least yield of 10.3 U/ml.</w:t>
      </w:r>
    </w:p>
    <w:p w:rsidR="00E965A3" w:rsidRPr="00947F58" w:rsidRDefault="00947F58" w:rsidP="00E965A3">
      <w:pPr>
        <w:pStyle w:val="Heading1"/>
        <w:tabs>
          <w:tab w:val="left" w:pos="609"/>
        </w:tabs>
        <w:spacing w:before="90" w:line="240" w:lineRule="auto"/>
        <w:ind w:left="-207" w:right="39"/>
        <w:jc w:val="both"/>
        <w:rPr>
          <w:rFonts w:ascii="Times New Roman" w:hAnsi="Times New Roman" w:cs="Times New Roman"/>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.8 Effect of Carbon Ratio Concentration on the Alpha-Amylase Production</w:t>
      </w:r>
    </w:p>
    <w:p w:rsidR="00E965A3" w:rsidRPr="00947F58" w:rsidRDefault="00E965A3" w:rsidP="00E965A3">
      <w:pPr>
        <w:pStyle w:val="Heading1"/>
        <w:tabs>
          <w:tab w:val="left" w:pos="610"/>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The maximum alpha-amylase production was observed when the carbon ratio concentration of 2:2% of corn cob and orange mesocarp was supplemented in the fermentation medium (fig. 6). The highest alpha-amylase production yield of 61.3 U/ml while carbon ratio concentration of 4:0% had the least alpha-amylase production yield of 22.8 U/ml.</w:t>
      </w:r>
    </w:p>
    <w:p w:rsidR="00947F58" w:rsidRPr="00947F58" w:rsidRDefault="00947F58" w:rsidP="00947F58">
      <w:pPr>
        <w:pStyle w:val="Heading1"/>
        <w:tabs>
          <w:tab w:val="left" w:pos="610"/>
        </w:tabs>
        <w:spacing w:before="90" w:line="240" w:lineRule="auto"/>
        <w:ind w:left="-207" w:right="39"/>
        <w:jc w:val="both"/>
        <w:rPr>
          <w:rFonts w:ascii="Times New Roman" w:hAnsi="Times New Roman" w:cs="Times New Roman"/>
          <w:color w:val="auto"/>
          <w:sz w:val="22"/>
          <w:szCs w:val="22"/>
        </w:rPr>
      </w:pPr>
      <w:r w:rsidRPr="00947F58">
        <w:rPr>
          <w:rFonts w:ascii="Times New Roman" w:hAnsi="Times New Roman" w:cs="Times New Roman"/>
          <w:color w:val="auto"/>
          <w:sz w:val="22"/>
          <w:szCs w:val="22"/>
        </w:rPr>
        <w:t>3</w:t>
      </w:r>
      <w:r w:rsidR="00E965A3" w:rsidRPr="00947F58">
        <w:rPr>
          <w:rFonts w:ascii="Times New Roman" w:hAnsi="Times New Roman" w:cs="Times New Roman"/>
          <w:color w:val="auto"/>
          <w:sz w:val="22"/>
          <w:szCs w:val="22"/>
        </w:rPr>
        <w:t>.9 Effect of Nitrogen Concentration on the Alpha-Amylase Production</w:t>
      </w:r>
    </w:p>
    <w:p w:rsidR="00E965A3" w:rsidRPr="00947F58" w:rsidRDefault="00E965A3" w:rsidP="00947F58">
      <w:pPr>
        <w:pStyle w:val="Heading1"/>
        <w:tabs>
          <w:tab w:val="left" w:pos="610"/>
        </w:tabs>
        <w:spacing w:before="90" w:line="240" w:lineRule="auto"/>
        <w:ind w:left="-207" w:right="39"/>
        <w:jc w:val="both"/>
        <w:rPr>
          <w:rFonts w:ascii="Times New Roman" w:hAnsi="Times New Roman" w:cs="Times New Roman"/>
          <w:b w:val="0"/>
          <w:color w:val="auto"/>
          <w:sz w:val="22"/>
          <w:szCs w:val="22"/>
        </w:rPr>
      </w:pPr>
      <w:r w:rsidRPr="00947F58">
        <w:rPr>
          <w:rFonts w:ascii="Times New Roman" w:hAnsi="Times New Roman" w:cs="Times New Roman"/>
          <w:b w:val="0"/>
          <w:color w:val="auto"/>
          <w:sz w:val="22"/>
          <w:szCs w:val="22"/>
        </w:rPr>
        <w:t xml:space="preserve">The production of alpha-amylase with the supplementation of nitrogen concentration is shown in fig 7. Maximum alpha-amylase production was observed in 0.50% supplemented medium with a yield of 68.3U/ml. </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lastRenderedPageBreak/>
        <w:drawing>
          <wp:inline distT="0" distB="0" distL="0" distR="0" wp14:anchorId="52614ED8" wp14:editId="7A1AA0BD">
            <wp:extent cx="5438775" cy="2426306"/>
            <wp:effectExtent l="0" t="0" r="9525" b="12700"/>
            <wp:docPr id="1650621913" name="Chart 1">
              <a:extLst xmlns:a="http://schemas.openxmlformats.org/drawingml/2006/main">
                <a:ext uri="{FF2B5EF4-FFF2-40B4-BE49-F238E27FC236}">
                  <a16:creationId xmlns:a16="http://schemas.microsoft.com/office/drawing/2014/main" id="{B38C226D-53D6-7B23-4B77-D597A7253E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965A3" w:rsidRPr="00947F58" w:rsidRDefault="00E965A3" w:rsidP="00E965A3">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Figure 3: Effect of Fermentation Time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418653B4" wp14:editId="5945FD27">
            <wp:extent cx="5276850" cy="2455524"/>
            <wp:effectExtent l="0" t="0" r="0" b="2540"/>
            <wp:docPr id="588059570" name="Chart 1">
              <a:extLst xmlns:a="http://schemas.openxmlformats.org/drawingml/2006/main">
                <a:ext uri="{FF2B5EF4-FFF2-40B4-BE49-F238E27FC236}">
                  <a16:creationId xmlns:a16="http://schemas.microsoft.com/office/drawing/2014/main" id="{B0E2A36F-87D9-A547-36AB-3B9959A6E1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965A3" w:rsidRPr="00947F58" w:rsidRDefault="00947F58" w:rsidP="00947F58">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 xml:space="preserve">Figure </w:t>
      </w:r>
      <w:r w:rsidR="00E965A3" w:rsidRPr="00947F58">
        <w:rPr>
          <w:rFonts w:ascii="Times New Roman" w:hAnsi="Times New Roman" w:cs="Times New Roman"/>
          <w:color w:val="auto"/>
          <w:sz w:val="22"/>
          <w:szCs w:val="22"/>
        </w:rPr>
        <w:t>4: Effect of Inoculum Size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lastRenderedPageBreak/>
        <w:drawing>
          <wp:inline distT="0" distB="0" distL="0" distR="0" wp14:anchorId="6D0D960F" wp14:editId="3D42B5EF">
            <wp:extent cx="5553075" cy="2505788"/>
            <wp:effectExtent l="0" t="0" r="9525" b="8890"/>
            <wp:docPr id="347419930" name="Chart 1">
              <a:extLst xmlns:a="http://schemas.openxmlformats.org/drawingml/2006/main">
                <a:ext uri="{FF2B5EF4-FFF2-40B4-BE49-F238E27FC236}">
                  <a16:creationId xmlns:a16="http://schemas.microsoft.com/office/drawing/2014/main" id="{7548DB94-7616-F34D-20FE-520C782982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965A3" w:rsidRPr="00947F58" w:rsidRDefault="00E965A3" w:rsidP="00E965A3">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Figur</w:t>
      </w:r>
      <w:r w:rsidR="00947F58" w:rsidRPr="00947F58">
        <w:rPr>
          <w:rFonts w:ascii="Times New Roman" w:hAnsi="Times New Roman" w:cs="Times New Roman"/>
          <w:color w:val="auto"/>
          <w:sz w:val="22"/>
          <w:szCs w:val="22"/>
        </w:rPr>
        <w:t xml:space="preserve">e </w:t>
      </w:r>
      <w:r w:rsidRPr="00947F58">
        <w:rPr>
          <w:rFonts w:ascii="Times New Roman" w:hAnsi="Times New Roman" w:cs="Times New Roman"/>
          <w:color w:val="auto"/>
          <w:sz w:val="22"/>
          <w:szCs w:val="22"/>
        </w:rPr>
        <w:t>5: Effect of pH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drawing>
          <wp:inline distT="0" distB="0" distL="0" distR="0" wp14:anchorId="434A6EA9" wp14:editId="19842542">
            <wp:extent cx="5448300" cy="2147299"/>
            <wp:effectExtent l="0" t="0" r="0" b="5715"/>
            <wp:docPr id="2107251377" name="Chart 1">
              <a:extLst xmlns:a="http://schemas.openxmlformats.org/drawingml/2006/main">
                <a:ext uri="{FF2B5EF4-FFF2-40B4-BE49-F238E27FC236}">
                  <a16:creationId xmlns:a16="http://schemas.microsoft.com/office/drawing/2014/main" id="{FA402C03-A2A1-C103-248B-3541E370A7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965A3" w:rsidRPr="00947F58" w:rsidRDefault="00947F58" w:rsidP="00E965A3">
      <w:pPr>
        <w:pStyle w:val="Heading1"/>
        <w:tabs>
          <w:tab w:val="left" w:pos="691"/>
        </w:tabs>
        <w:spacing w:before="229" w:line="360" w:lineRule="auto"/>
        <w:ind w:right="11"/>
        <w:jc w:val="both"/>
        <w:rPr>
          <w:rFonts w:ascii="Times New Roman" w:hAnsi="Times New Roman" w:cs="Times New Roman"/>
          <w:b w:val="0"/>
          <w:color w:val="auto"/>
          <w:sz w:val="22"/>
          <w:szCs w:val="22"/>
        </w:rPr>
      </w:pPr>
      <w:r w:rsidRPr="00947F58">
        <w:rPr>
          <w:rFonts w:ascii="Times New Roman" w:hAnsi="Times New Roman" w:cs="Times New Roman"/>
          <w:color w:val="auto"/>
          <w:sz w:val="22"/>
          <w:szCs w:val="22"/>
        </w:rPr>
        <w:t xml:space="preserve">Figure </w:t>
      </w:r>
      <w:r w:rsidR="00E965A3" w:rsidRPr="00947F58">
        <w:rPr>
          <w:rFonts w:ascii="Times New Roman" w:hAnsi="Times New Roman" w:cs="Times New Roman"/>
          <w:color w:val="auto"/>
          <w:sz w:val="22"/>
          <w:szCs w:val="22"/>
        </w:rPr>
        <w:t xml:space="preserve">6: Effect of Carbon </w:t>
      </w:r>
      <w:r w:rsidR="00E965A3" w:rsidRPr="00947F58">
        <w:rPr>
          <w:rFonts w:ascii="Times New Roman" w:hAnsi="Times New Roman" w:cs="Times New Roman"/>
          <w:color w:val="auto"/>
          <w:spacing w:val="-1"/>
          <w:sz w:val="22"/>
          <w:szCs w:val="22"/>
        </w:rPr>
        <w:t>Ratio Concentration</w:t>
      </w:r>
      <w:r w:rsidR="00E965A3" w:rsidRPr="00947F58">
        <w:rPr>
          <w:rFonts w:ascii="Times New Roman" w:hAnsi="Times New Roman" w:cs="Times New Roman"/>
          <w:color w:val="auto"/>
          <w:sz w:val="22"/>
          <w:szCs w:val="22"/>
        </w:rPr>
        <w:t xml:space="preserve"> on Alpha-Amylase Production using the Agro-Residues and Fungi</w:t>
      </w: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p>
    <w:p w:rsidR="00E965A3" w:rsidRPr="00947F58" w:rsidRDefault="00E965A3" w:rsidP="00E965A3">
      <w:pPr>
        <w:rPr>
          <w:rFonts w:ascii="Times New Roman" w:hAnsi="Times New Roman" w:cs="Times New Roman"/>
        </w:rPr>
      </w:pPr>
      <w:r w:rsidRPr="00947F58">
        <w:rPr>
          <w:rFonts w:ascii="Times New Roman" w:hAnsi="Times New Roman" w:cs="Times New Roman"/>
          <w:noProof/>
          <w:lang w:val="en-US" w:eastAsia="en-US"/>
        </w:rPr>
        <w:lastRenderedPageBreak/>
        <w:drawing>
          <wp:inline distT="0" distB="0" distL="0" distR="0" wp14:anchorId="7D9622F9" wp14:editId="03C8AE09">
            <wp:extent cx="5438775" cy="2293598"/>
            <wp:effectExtent l="0" t="0" r="9525" b="12065"/>
            <wp:docPr id="1557356848" name="Chart 1">
              <a:extLst xmlns:a="http://schemas.openxmlformats.org/drawingml/2006/main">
                <a:ext uri="{FF2B5EF4-FFF2-40B4-BE49-F238E27FC236}">
                  <a16:creationId xmlns:a16="http://schemas.microsoft.com/office/drawing/2014/main" id="{1793ADA4-3A6D-5043-B033-905AA67037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965A3" w:rsidRPr="00947F58" w:rsidRDefault="00947F58" w:rsidP="00E965A3">
      <w:pPr>
        <w:rPr>
          <w:rFonts w:ascii="Times New Roman" w:hAnsi="Times New Roman" w:cs="Times New Roman"/>
          <w:b/>
        </w:rPr>
      </w:pPr>
      <w:r w:rsidRPr="00947F58">
        <w:rPr>
          <w:rFonts w:ascii="Times New Roman" w:hAnsi="Times New Roman" w:cs="Times New Roman"/>
          <w:b/>
        </w:rPr>
        <w:t xml:space="preserve">Figure </w:t>
      </w:r>
      <w:r w:rsidR="00E965A3" w:rsidRPr="00947F58">
        <w:rPr>
          <w:rFonts w:ascii="Times New Roman" w:hAnsi="Times New Roman" w:cs="Times New Roman"/>
          <w:b/>
        </w:rPr>
        <w:t>7: Effect of Nitrogen Source Concentration on the Alpha-Amylase Activity</w:t>
      </w:r>
    </w:p>
    <w:p w:rsidR="00E965A3" w:rsidRPr="00947F58" w:rsidRDefault="00E965A3" w:rsidP="00E965A3">
      <w:pPr>
        <w:rPr>
          <w:rFonts w:ascii="Times New Roman" w:hAnsi="Times New Roman" w:cs="Times New Roman"/>
          <w:b/>
        </w:rPr>
      </w:pPr>
    </w:p>
    <w:p w:rsidR="00AB602F" w:rsidRDefault="00E965A3" w:rsidP="00E965A3">
      <w:pPr>
        <w:pStyle w:val="NormalWeb"/>
        <w:jc w:val="both"/>
        <w:rPr>
          <w:sz w:val="22"/>
          <w:szCs w:val="22"/>
        </w:rPr>
      </w:pPr>
      <w:r w:rsidRPr="00947F58">
        <w:rPr>
          <w:sz w:val="22"/>
          <w:szCs w:val="22"/>
        </w:rPr>
        <w:t>The total fungal count from the dump</w:t>
      </w:r>
      <w:r w:rsidR="00D051CA" w:rsidRPr="00947F58">
        <w:rPr>
          <w:sz w:val="22"/>
          <w:szCs w:val="22"/>
        </w:rPr>
        <w:t xml:space="preserve">site soils, as shown in Figure </w:t>
      </w:r>
      <w:r w:rsidRPr="00947F58">
        <w:rPr>
          <w:sz w:val="22"/>
          <w:szCs w:val="22"/>
        </w:rPr>
        <w:t xml:space="preserve">1, reveals that soil sample (SB) exhibited the highest fungal population (4.2 × 10⁴ CFU/g), whereas sample (SC) recorded the lowest count (3.3 × 10⁴ CFU/g). The relatively elevated fungal load in (SB) may be attributable to several factors, the presence of abundant organic waste that provides ample substrate for fungal growth; high moisture retention in that section of the dumpsite; and perhaps less frequent disturbance, allowing fungal communities to establish and proliferate. </w:t>
      </w:r>
    </w:p>
    <w:p w:rsidR="00AB602F" w:rsidRDefault="00E965A3" w:rsidP="00E965A3">
      <w:pPr>
        <w:pStyle w:val="NormalWeb"/>
        <w:jc w:val="both"/>
        <w:rPr>
          <w:sz w:val="22"/>
          <w:szCs w:val="22"/>
        </w:rPr>
      </w:pPr>
      <w:r w:rsidRPr="00947F58">
        <w:rPr>
          <w:sz w:val="22"/>
          <w:szCs w:val="22"/>
        </w:rPr>
        <w:t xml:space="preserve">In contrast, the lower count in (SC) suggests that conditions there are less favorable for fungal development, perhaps due to drier soil conditions, more frequent turnover or physical disturbance, or lower inputs of fresh organic matter. Nevertheless, the detection of substantial fungal populations in </w:t>
      </w:r>
      <w:r w:rsidRPr="00947F58">
        <w:rPr>
          <w:rStyle w:val="Strong"/>
          <w:rFonts w:eastAsiaTheme="majorEastAsia"/>
          <w:b w:val="0"/>
          <w:sz w:val="22"/>
          <w:szCs w:val="22"/>
        </w:rPr>
        <w:t>all</w:t>
      </w:r>
      <w:r w:rsidRPr="00947F58">
        <w:rPr>
          <w:sz w:val="22"/>
          <w:szCs w:val="22"/>
        </w:rPr>
        <w:t xml:space="preserve"> dumpsite soil samples indicates that fungal colonization is widespread in these environments, which is consistent with the nature of dumpsites as rich in decomposable material. These findings align with previous studies reporting fungal counts in soil environments often falling in the range of 10³ to 10⁵ CFU/g under conditions rich in organ</w:t>
      </w:r>
      <w:r w:rsidR="002E36AD">
        <w:rPr>
          <w:sz w:val="22"/>
          <w:szCs w:val="22"/>
        </w:rPr>
        <w:t>ic substrate and moisture (Williams</w:t>
      </w:r>
      <w:r w:rsidRPr="00947F58">
        <w:rPr>
          <w:sz w:val="22"/>
          <w:szCs w:val="22"/>
        </w:rPr>
        <w:t xml:space="preserve"> </w:t>
      </w:r>
      <w:r w:rsidRPr="002E36AD">
        <w:rPr>
          <w:i/>
          <w:sz w:val="22"/>
          <w:szCs w:val="22"/>
        </w:rPr>
        <w:t xml:space="preserve">et </w:t>
      </w:r>
      <w:r w:rsidR="002E36AD" w:rsidRPr="002E36AD">
        <w:rPr>
          <w:i/>
          <w:sz w:val="22"/>
          <w:szCs w:val="22"/>
        </w:rPr>
        <w:t>al</w:t>
      </w:r>
      <w:r w:rsidR="002E36AD">
        <w:rPr>
          <w:sz w:val="22"/>
          <w:szCs w:val="22"/>
        </w:rPr>
        <w:t>., 2025</w:t>
      </w:r>
      <w:r w:rsidRPr="00947F58">
        <w:rPr>
          <w:sz w:val="22"/>
          <w:szCs w:val="22"/>
        </w:rPr>
        <w:t>). Thus, even the “lower” count in (SC) is still within ranges where fungal activity can influence nutrient cycling, potential pathogen presence, and possibly affect surrounding soil health. The macroscopic and microscopic characteristics of the isolated fungi, as pr</w:t>
      </w:r>
      <w:r w:rsidR="00D051CA" w:rsidRPr="00947F58">
        <w:rPr>
          <w:sz w:val="22"/>
          <w:szCs w:val="22"/>
        </w:rPr>
        <w:t xml:space="preserve">esented in Table </w:t>
      </w:r>
      <w:r w:rsidRPr="00947F58">
        <w:rPr>
          <w:sz w:val="22"/>
          <w:szCs w:val="22"/>
        </w:rPr>
        <w:t xml:space="preserve">1, revealed the presence of diverse fungal genera including </w:t>
      </w:r>
      <w:r w:rsidRPr="00947F58">
        <w:rPr>
          <w:rStyle w:val="Emphasis"/>
          <w:rFonts w:eastAsiaTheme="majorEastAsia"/>
          <w:sz w:val="22"/>
          <w:szCs w:val="22"/>
        </w:rPr>
        <w:t>Aspergillus</w:t>
      </w:r>
      <w:r w:rsidRPr="00947F58">
        <w:rPr>
          <w:sz w:val="22"/>
          <w:szCs w:val="22"/>
        </w:rPr>
        <w:t xml:space="preserve">, </w:t>
      </w:r>
      <w:r w:rsidRPr="00947F58">
        <w:rPr>
          <w:rStyle w:val="Emphasis"/>
          <w:rFonts w:eastAsiaTheme="majorEastAsia"/>
          <w:sz w:val="22"/>
          <w:szCs w:val="22"/>
        </w:rPr>
        <w:t>Rhizopus</w:t>
      </w:r>
      <w:r w:rsidRPr="00947F58">
        <w:rPr>
          <w:sz w:val="22"/>
          <w:szCs w:val="22"/>
        </w:rPr>
        <w:t xml:space="preserve">, </w:t>
      </w:r>
      <w:r w:rsidRPr="00947F58">
        <w:rPr>
          <w:rStyle w:val="Emphasis"/>
          <w:rFonts w:eastAsiaTheme="majorEastAsia"/>
          <w:sz w:val="22"/>
          <w:szCs w:val="22"/>
        </w:rPr>
        <w:t>Fusarium</w:t>
      </w:r>
      <w:r w:rsidRPr="00947F58">
        <w:rPr>
          <w:sz w:val="22"/>
          <w:szCs w:val="22"/>
        </w:rPr>
        <w:t xml:space="preserve">, and </w:t>
      </w:r>
      <w:r w:rsidRPr="00947F58">
        <w:rPr>
          <w:rStyle w:val="Emphasis"/>
          <w:rFonts w:eastAsiaTheme="majorEastAsia"/>
          <w:sz w:val="22"/>
          <w:szCs w:val="22"/>
        </w:rPr>
        <w:t>Penicillium</w:t>
      </w:r>
      <w:r w:rsidRPr="00947F58">
        <w:rPr>
          <w:sz w:val="22"/>
          <w:szCs w:val="22"/>
        </w:rPr>
        <w:t xml:space="preserve"> species. These fungi are widely reported in soil environments, particularly in organic matter–rich sites such as dumpsites, where they play major roles in the decomposition of waste materials and nutrient cycling. Their prevalence underscores the ecological adaptability of these genera, which are capable of colonizing substrates with varying moisture, </w:t>
      </w:r>
      <w:r w:rsidR="002E36AD">
        <w:rPr>
          <w:sz w:val="22"/>
          <w:szCs w:val="22"/>
        </w:rPr>
        <w:t>pH, and nutrient levels (Salman</w:t>
      </w:r>
      <w:r w:rsidRPr="00947F58">
        <w:rPr>
          <w:sz w:val="22"/>
          <w:szCs w:val="22"/>
        </w:rPr>
        <w:t xml:space="preserve"> </w:t>
      </w:r>
      <w:r w:rsidRPr="00947F58">
        <w:rPr>
          <w:i/>
          <w:sz w:val="22"/>
          <w:szCs w:val="22"/>
        </w:rPr>
        <w:t>et al</w:t>
      </w:r>
      <w:r w:rsidR="002E36AD">
        <w:rPr>
          <w:sz w:val="22"/>
          <w:szCs w:val="22"/>
        </w:rPr>
        <w:t>., 2016; Singh</w:t>
      </w:r>
      <w:r w:rsidR="003D3BB2">
        <w:rPr>
          <w:sz w:val="22"/>
          <w:szCs w:val="22"/>
        </w:rPr>
        <w:t xml:space="preserve"> and Kumar Brahman, </w:t>
      </w:r>
      <w:r w:rsidR="003D3BB2" w:rsidRPr="00E26458">
        <w:rPr>
          <w:sz w:val="22"/>
          <w:szCs w:val="22"/>
        </w:rPr>
        <w:t>2013</w:t>
      </w:r>
      <w:r w:rsidRPr="00947F58">
        <w:rPr>
          <w:sz w:val="22"/>
          <w:szCs w:val="22"/>
        </w:rPr>
        <w:t xml:space="preserve">). </w:t>
      </w:r>
    </w:p>
    <w:p w:rsidR="00AB602F" w:rsidRDefault="00E965A3" w:rsidP="00E965A3">
      <w:pPr>
        <w:pStyle w:val="NormalWeb"/>
        <w:jc w:val="both"/>
        <w:rPr>
          <w:sz w:val="22"/>
          <w:szCs w:val="22"/>
        </w:rPr>
      </w:pPr>
      <w:r w:rsidRPr="00947F58">
        <w:rPr>
          <w:sz w:val="22"/>
          <w:szCs w:val="22"/>
        </w:rPr>
        <w:t xml:space="preserve">The isolates of </w:t>
      </w:r>
      <w:r w:rsidRPr="00947F58">
        <w:rPr>
          <w:rStyle w:val="Emphasis"/>
          <w:rFonts w:eastAsiaTheme="majorEastAsia"/>
          <w:sz w:val="22"/>
          <w:szCs w:val="22"/>
        </w:rPr>
        <w:t>Aspergillus</w:t>
      </w:r>
      <w:r w:rsidRPr="00947F58">
        <w:rPr>
          <w:sz w:val="22"/>
          <w:szCs w:val="22"/>
        </w:rPr>
        <w:t xml:space="preserve"> species were identified macroscopically by black or green colonies with powdery to cottony textures and microscopically by septate hyphae and conidial heads. These characteristics are consistent with descriptions of </w:t>
      </w:r>
      <w:r w:rsidRPr="00947F58">
        <w:rPr>
          <w:rStyle w:val="Emphasis"/>
          <w:rFonts w:eastAsiaTheme="majorEastAsia"/>
          <w:sz w:val="22"/>
          <w:szCs w:val="22"/>
        </w:rPr>
        <w:t xml:space="preserve">Aspergillus </w:t>
      </w:r>
      <w:proofErr w:type="spellStart"/>
      <w:r w:rsidRPr="00947F58">
        <w:rPr>
          <w:rStyle w:val="Emphasis"/>
          <w:rFonts w:eastAsiaTheme="majorEastAsia"/>
          <w:sz w:val="22"/>
          <w:szCs w:val="22"/>
        </w:rPr>
        <w:t>niger</w:t>
      </w:r>
      <w:proofErr w:type="spellEnd"/>
      <w:r w:rsidRPr="00947F58">
        <w:rPr>
          <w:sz w:val="22"/>
          <w:szCs w:val="22"/>
        </w:rPr>
        <w:t xml:space="preserve"> and related species, </w:t>
      </w:r>
      <w:r w:rsidR="002703A4">
        <w:rPr>
          <w:sz w:val="22"/>
          <w:szCs w:val="22"/>
        </w:rPr>
        <w:t>as reported by Karatas</w:t>
      </w:r>
      <w:r w:rsidRPr="00947F58">
        <w:rPr>
          <w:sz w:val="22"/>
          <w:szCs w:val="22"/>
        </w:rPr>
        <w:t xml:space="preserve"> </w:t>
      </w:r>
      <w:r w:rsidRPr="00947F58">
        <w:rPr>
          <w:i/>
          <w:sz w:val="22"/>
          <w:szCs w:val="22"/>
        </w:rPr>
        <w:t>et al.</w:t>
      </w:r>
      <w:r w:rsidR="002703A4">
        <w:rPr>
          <w:sz w:val="22"/>
          <w:szCs w:val="22"/>
        </w:rPr>
        <w:t xml:space="preserve"> (2013</w:t>
      </w:r>
      <w:r w:rsidRPr="00947F58">
        <w:rPr>
          <w:sz w:val="22"/>
          <w:szCs w:val="22"/>
        </w:rPr>
        <w:t xml:space="preserve">), who noted their dominance in contaminated soils due to their spore resilience and rapid growth. While </w:t>
      </w:r>
      <w:r w:rsidRPr="00947F58">
        <w:rPr>
          <w:rStyle w:val="Emphasis"/>
          <w:rFonts w:eastAsiaTheme="majorEastAsia"/>
          <w:sz w:val="22"/>
          <w:szCs w:val="22"/>
        </w:rPr>
        <w:t>Aspergillus</w:t>
      </w:r>
      <w:r w:rsidRPr="00947F58">
        <w:rPr>
          <w:sz w:val="22"/>
          <w:szCs w:val="22"/>
        </w:rPr>
        <w:t xml:space="preserve"> contributes to organic matter breakdown, its significance extends to public health because of its ability to produce aflatoxins and ochratoxins, potent mycotoxins with carcinogenic and im</w:t>
      </w:r>
      <w:r w:rsidR="002703A4">
        <w:rPr>
          <w:sz w:val="22"/>
          <w:szCs w:val="22"/>
        </w:rPr>
        <w:t>munosuppressive effects (Gangadharan</w:t>
      </w:r>
      <w:r w:rsidRPr="00947F58">
        <w:rPr>
          <w:sz w:val="22"/>
          <w:szCs w:val="22"/>
        </w:rPr>
        <w:t xml:space="preserve"> </w:t>
      </w:r>
      <w:r w:rsidRPr="00947F58">
        <w:rPr>
          <w:i/>
          <w:sz w:val="22"/>
          <w:szCs w:val="22"/>
        </w:rPr>
        <w:t>et al.,</w:t>
      </w:r>
      <w:r w:rsidR="002703A4">
        <w:rPr>
          <w:sz w:val="22"/>
          <w:szCs w:val="22"/>
        </w:rPr>
        <w:t xml:space="preserve"> 2007</w:t>
      </w:r>
      <w:r w:rsidRPr="00947F58">
        <w:rPr>
          <w:sz w:val="22"/>
          <w:szCs w:val="22"/>
        </w:rPr>
        <w:t xml:space="preserve">). </w:t>
      </w:r>
      <w:r w:rsidRPr="00947F58">
        <w:rPr>
          <w:rStyle w:val="Emphasis"/>
          <w:rFonts w:eastAsiaTheme="majorEastAsia"/>
          <w:sz w:val="22"/>
          <w:szCs w:val="22"/>
        </w:rPr>
        <w:t>Rhizopus</w:t>
      </w:r>
      <w:r w:rsidRPr="00947F58">
        <w:rPr>
          <w:sz w:val="22"/>
          <w:szCs w:val="22"/>
        </w:rPr>
        <w:t xml:space="preserve"> isolates were recognized by their fluffy, grayish colonies and microscopically by aseptate hyphae and round sporangial heads. These features align with the descriptions of </w:t>
      </w:r>
      <w:r w:rsidRPr="00947F58">
        <w:rPr>
          <w:rStyle w:val="Emphasis"/>
          <w:rFonts w:eastAsiaTheme="majorEastAsia"/>
          <w:sz w:val="22"/>
          <w:szCs w:val="22"/>
        </w:rPr>
        <w:t xml:space="preserve">Rhizopus </w:t>
      </w:r>
      <w:proofErr w:type="spellStart"/>
      <w:r w:rsidRPr="00947F58">
        <w:rPr>
          <w:rStyle w:val="Emphasis"/>
          <w:rFonts w:eastAsiaTheme="majorEastAsia"/>
          <w:sz w:val="22"/>
          <w:szCs w:val="22"/>
        </w:rPr>
        <w:t>stolonifer</w:t>
      </w:r>
      <w:proofErr w:type="spellEnd"/>
      <w:r w:rsidRPr="00947F58">
        <w:rPr>
          <w:sz w:val="22"/>
          <w:szCs w:val="22"/>
        </w:rPr>
        <w:t xml:space="preserve">, a common soil saprophyte known for its aggressive enzymatic activity in degrading </w:t>
      </w:r>
      <w:r w:rsidR="002703A4">
        <w:rPr>
          <w:sz w:val="22"/>
          <w:szCs w:val="22"/>
        </w:rPr>
        <w:t>plant and food materials (Sadh</w:t>
      </w:r>
      <w:r w:rsidRPr="00947F58">
        <w:rPr>
          <w:sz w:val="22"/>
          <w:szCs w:val="22"/>
        </w:rPr>
        <w:t xml:space="preserve"> </w:t>
      </w:r>
      <w:r w:rsidRPr="00947F58">
        <w:rPr>
          <w:i/>
          <w:sz w:val="22"/>
          <w:szCs w:val="22"/>
        </w:rPr>
        <w:t>et al.,</w:t>
      </w:r>
      <w:r w:rsidR="002703A4">
        <w:rPr>
          <w:sz w:val="22"/>
          <w:szCs w:val="22"/>
        </w:rPr>
        <w:t xml:space="preserve"> 2018</w:t>
      </w:r>
      <w:r w:rsidRPr="00947F58">
        <w:rPr>
          <w:sz w:val="22"/>
          <w:szCs w:val="22"/>
        </w:rPr>
        <w:t xml:space="preserve">). Its presence in dumpsite soils </w:t>
      </w:r>
      <w:r w:rsidRPr="00947F58">
        <w:rPr>
          <w:sz w:val="22"/>
          <w:szCs w:val="22"/>
        </w:rPr>
        <w:lastRenderedPageBreak/>
        <w:t xml:space="preserve">is expected, given the abundance of decomposing plant-based waste, and it plays a significant role in accelerating organic matter turnover. </w:t>
      </w:r>
      <w:r w:rsidRPr="00947F58">
        <w:rPr>
          <w:rStyle w:val="Emphasis"/>
          <w:rFonts w:eastAsiaTheme="majorEastAsia"/>
          <w:sz w:val="22"/>
          <w:szCs w:val="22"/>
        </w:rPr>
        <w:t>Fusarium</w:t>
      </w:r>
      <w:r w:rsidRPr="00947F58">
        <w:rPr>
          <w:sz w:val="22"/>
          <w:szCs w:val="22"/>
        </w:rPr>
        <w:t xml:space="preserve"> species were macroscopically characterized by cottony colonies, often with pink to violet pigmentation, and microscopically by canoe-shaped conidia with septate hyphae. These features are consisten</w:t>
      </w:r>
      <w:r w:rsidR="009165FD">
        <w:rPr>
          <w:sz w:val="22"/>
          <w:szCs w:val="22"/>
        </w:rPr>
        <w:t>t with earlier reports by Sadh</w:t>
      </w:r>
      <w:r w:rsidRPr="00947F58">
        <w:rPr>
          <w:sz w:val="22"/>
          <w:szCs w:val="22"/>
        </w:rPr>
        <w:t xml:space="preserve"> </w:t>
      </w:r>
      <w:r w:rsidRPr="00947F58">
        <w:rPr>
          <w:i/>
          <w:sz w:val="22"/>
          <w:szCs w:val="22"/>
        </w:rPr>
        <w:t>et al.</w:t>
      </w:r>
      <w:r w:rsidR="009165FD">
        <w:rPr>
          <w:sz w:val="22"/>
          <w:szCs w:val="22"/>
        </w:rPr>
        <w:t xml:space="preserve"> (2018</w:t>
      </w:r>
      <w:r w:rsidRPr="00947F58">
        <w:rPr>
          <w:sz w:val="22"/>
          <w:szCs w:val="22"/>
        </w:rPr>
        <w:t xml:space="preserve">), who highlighted the wide distribution of </w:t>
      </w:r>
      <w:r w:rsidRPr="00947F58">
        <w:rPr>
          <w:rStyle w:val="Emphasis"/>
          <w:rFonts w:eastAsiaTheme="majorEastAsia"/>
          <w:sz w:val="22"/>
          <w:szCs w:val="22"/>
        </w:rPr>
        <w:t>Fusarium</w:t>
      </w:r>
      <w:r w:rsidRPr="00947F58">
        <w:rPr>
          <w:sz w:val="22"/>
          <w:szCs w:val="22"/>
        </w:rPr>
        <w:t xml:space="preserve"> in soil and its role in plant residue decomposition. </w:t>
      </w:r>
    </w:p>
    <w:p w:rsidR="00AB602F" w:rsidRDefault="00E965A3" w:rsidP="00E965A3">
      <w:pPr>
        <w:pStyle w:val="NormalWeb"/>
        <w:jc w:val="both"/>
        <w:rPr>
          <w:sz w:val="22"/>
          <w:szCs w:val="22"/>
        </w:rPr>
      </w:pPr>
      <w:r w:rsidRPr="00947F58">
        <w:rPr>
          <w:sz w:val="22"/>
          <w:szCs w:val="22"/>
        </w:rPr>
        <w:t xml:space="preserve">However, their occurrence in dumpsites is of concern because some </w:t>
      </w:r>
      <w:r w:rsidRPr="00947F58">
        <w:rPr>
          <w:rStyle w:val="Emphasis"/>
          <w:rFonts w:eastAsiaTheme="majorEastAsia"/>
          <w:sz w:val="22"/>
          <w:szCs w:val="22"/>
        </w:rPr>
        <w:t>Fusarium</w:t>
      </w:r>
      <w:r w:rsidRPr="00947F58">
        <w:rPr>
          <w:sz w:val="22"/>
          <w:szCs w:val="22"/>
        </w:rPr>
        <w:t xml:space="preserve"> species produce mycotoxins such as </w:t>
      </w:r>
      <w:proofErr w:type="spellStart"/>
      <w:r w:rsidRPr="00947F58">
        <w:rPr>
          <w:sz w:val="22"/>
          <w:szCs w:val="22"/>
        </w:rPr>
        <w:t>fumonisins</w:t>
      </w:r>
      <w:proofErr w:type="spellEnd"/>
      <w:r w:rsidRPr="00947F58">
        <w:rPr>
          <w:sz w:val="22"/>
          <w:szCs w:val="22"/>
        </w:rPr>
        <w:t xml:space="preserve"> and trichothecenes, which are hazardous to human and animal health when soils or</w:t>
      </w:r>
      <w:r w:rsidR="009165FD">
        <w:rPr>
          <w:sz w:val="22"/>
          <w:szCs w:val="22"/>
        </w:rPr>
        <w:t xml:space="preserve"> crops are contaminated (Sadh</w:t>
      </w:r>
      <w:r w:rsidRPr="00947F58">
        <w:rPr>
          <w:sz w:val="22"/>
          <w:szCs w:val="22"/>
        </w:rPr>
        <w:t xml:space="preserve"> </w:t>
      </w:r>
      <w:r w:rsidRPr="00947F58">
        <w:rPr>
          <w:i/>
          <w:sz w:val="22"/>
          <w:szCs w:val="22"/>
        </w:rPr>
        <w:t>et al</w:t>
      </w:r>
      <w:r w:rsidR="009165FD">
        <w:rPr>
          <w:sz w:val="22"/>
          <w:szCs w:val="22"/>
        </w:rPr>
        <w:t>., 2018</w:t>
      </w:r>
      <w:r w:rsidRPr="00947F58">
        <w:rPr>
          <w:sz w:val="22"/>
          <w:szCs w:val="22"/>
        </w:rPr>
        <w:t xml:space="preserve">). </w:t>
      </w:r>
      <w:r w:rsidRPr="00947F58">
        <w:rPr>
          <w:rStyle w:val="Emphasis"/>
          <w:rFonts w:eastAsiaTheme="majorEastAsia"/>
          <w:sz w:val="22"/>
          <w:szCs w:val="22"/>
        </w:rPr>
        <w:t>Penicillium</w:t>
      </w:r>
      <w:r w:rsidRPr="00947F58">
        <w:rPr>
          <w:sz w:val="22"/>
          <w:szCs w:val="22"/>
        </w:rPr>
        <w:t xml:space="preserve"> isolates were identified by their characteristic green colonies with white margins and microscopically by septate hyphae with brush-like conidiophores bearing chains of conidia. These features align with</w:t>
      </w:r>
      <w:r w:rsidR="00742C5D">
        <w:rPr>
          <w:sz w:val="22"/>
          <w:szCs w:val="22"/>
        </w:rPr>
        <w:t xml:space="preserve"> descriptions reported by Souza and Magalhaes (2010</w:t>
      </w:r>
      <w:r w:rsidRPr="00947F58">
        <w:rPr>
          <w:sz w:val="22"/>
          <w:szCs w:val="22"/>
        </w:rPr>
        <w:t xml:space="preserve">), who observed that </w:t>
      </w:r>
      <w:r w:rsidRPr="00947F58">
        <w:rPr>
          <w:rStyle w:val="Emphasis"/>
          <w:rFonts w:eastAsiaTheme="majorEastAsia"/>
          <w:sz w:val="22"/>
          <w:szCs w:val="22"/>
        </w:rPr>
        <w:t>Penicillium</w:t>
      </w:r>
      <w:r w:rsidRPr="00947F58">
        <w:rPr>
          <w:sz w:val="22"/>
          <w:szCs w:val="22"/>
        </w:rPr>
        <w:t xml:space="preserve"> is a common soil inhabitant, especially in organic waste laden environments. Although ecologically beneficial in organic matter degradation, </w:t>
      </w:r>
      <w:r w:rsidRPr="00947F58">
        <w:rPr>
          <w:rStyle w:val="Emphasis"/>
          <w:rFonts w:eastAsiaTheme="majorEastAsia"/>
          <w:sz w:val="22"/>
          <w:szCs w:val="22"/>
        </w:rPr>
        <w:t>Penicillium</w:t>
      </w:r>
      <w:r w:rsidRPr="00947F58">
        <w:rPr>
          <w:sz w:val="22"/>
          <w:szCs w:val="22"/>
        </w:rPr>
        <w:t xml:space="preserve"> is also associated with food spoilage and can produce mycotoxins such as patulin, contributing to health and economic concerns. The identification of multiple fungal genera in the dumpsite soils indicates a complex fungal community, where different species coexist and contribute synergistically to waste decomposition. </w:t>
      </w:r>
    </w:p>
    <w:p w:rsidR="00AB602F" w:rsidRDefault="00742C5D" w:rsidP="00E965A3">
      <w:pPr>
        <w:pStyle w:val="NormalWeb"/>
        <w:jc w:val="both"/>
        <w:rPr>
          <w:sz w:val="22"/>
          <w:szCs w:val="22"/>
        </w:rPr>
      </w:pPr>
      <w:r>
        <w:rPr>
          <w:sz w:val="22"/>
          <w:szCs w:val="22"/>
        </w:rPr>
        <w:t>This finding agrees with Sadh</w:t>
      </w:r>
      <w:r w:rsidR="00E965A3" w:rsidRPr="00947F58">
        <w:rPr>
          <w:sz w:val="22"/>
          <w:szCs w:val="22"/>
        </w:rPr>
        <w:t xml:space="preserve"> </w:t>
      </w:r>
      <w:r w:rsidR="00E965A3" w:rsidRPr="00947F58">
        <w:rPr>
          <w:i/>
          <w:sz w:val="22"/>
          <w:szCs w:val="22"/>
        </w:rPr>
        <w:t>et al</w:t>
      </w:r>
      <w:r w:rsidR="00E965A3" w:rsidRPr="00947F58">
        <w:rPr>
          <w:sz w:val="22"/>
          <w:szCs w:val="22"/>
        </w:rPr>
        <w:t>. (2</w:t>
      </w:r>
      <w:r>
        <w:rPr>
          <w:sz w:val="22"/>
          <w:szCs w:val="22"/>
        </w:rPr>
        <w:t>018</w:t>
      </w:r>
      <w:r w:rsidR="00E965A3" w:rsidRPr="00947F58">
        <w:rPr>
          <w:sz w:val="22"/>
          <w:szCs w:val="22"/>
        </w:rPr>
        <w:t xml:space="preserve">), who emphasized that soil fungal diversity is essential for organic matter mineralization but also presents risks when toxin-producing genera are present. The co-occurrence of </w:t>
      </w:r>
      <w:r w:rsidR="00E965A3" w:rsidRPr="00947F58">
        <w:rPr>
          <w:rStyle w:val="Emphasis"/>
          <w:rFonts w:eastAsiaTheme="majorEastAsia"/>
          <w:sz w:val="22"/>
          <w:szCs w:val="22"/>
        </w:rPr>
        <w:t>Aspergillus</w:t>
      </w:r>
      <w:r w:rsidR="00E965A3" w:rsidRPr="00947F58">
        <w:rPr>
          <w:sz w:val="22"/>
          <w:szCs w:val="22"/>
        </w:rPr>
        <w:t xml:space="preserve"> and </w:t>
      </w:r>
      <w:r w:rsidR="00E965A3" w:rsidRPr="00947F58">
        <w:rPr>
          <w:rStyle w:val="Emphasis"/>
          <w:rFonts w:eastAsiaTheme="majorEastAsia"/>
          <w:sz w:val="22"/>
          <w:szCs w:val="22"/>
        </w:rPr>
        <w:t>Fusarium</w:t>
      </w:r>
      <w:r w:rsidR="00E965A3" w:rsidRPr="00947F58">
        <w:rPr>
          <w:sz w:val="22"/>
          <w:szCs w:val="22"/>
        </w:rPr>
        <w:t xml:space="preserve"> in particular highlights the dual role of dumpsite fungi: while they aid in biodegradation, they also pose potential environmental and health risks due to mycotoxin production. The screening of α-amylase activity f</w:t>
      </w:r>
      <w:r w:rsidR="00D051CA" w:rsidRPr="00947F58">
        <w:rPr>
          <w:sz w:val="22"/>
          <w:szCs w:val="22"/>
        </w:rPr>
        <w:t xml:space="preserve">rom the isolated fungi (Figure </w:t>
      </w:r>
      <w:r w:rsidR="00E965A3" w:rsidRPr="00947F58">
        <w:rPr>
          <w:sz w:val="22"/>
          <w:szCs w:val="22"/>
        </w:rPr>
        <w:t xml:space="preserve">2) revealed significant variations among the isolates. Isolate SB2 exhibited the highest α-amylase activity, with a clearance zone size of 26 mm, while isolate SB3 showed the least activity, with a clearance zone size of 5 mm. This variation may be attributed to differences in the enzymatic secretion capacity, metabolic pathways, and genetic potential of the fungal isolates. The high clearance zone observed in SB2 suggests that this isolate is a strong producer of extracellular α-amylase, capable of efficiently hydrolyzing starch into reducing sugars. </w:t>
      </w:r>
    </w:p>
    <w:p w:rsidR="00AB602F" w:rsidRDefault="00E965A3" w:rsidP="00E965A3">
      <w:pPr>
        <w:pStyle w:val="NormalWeb"/>
        <w:jc w:val="both"/>
        <w:rPr>
          <w:sz w:val="22"/>
          <w:szCs w:val="22"/>
        </w:rPr>
      </w:pPr>
      <w:r w:rsidRPr="00947F58">
        <w:rPr>
          <w:sz w:val="22"/>
          <w:szCs w:val="22"/>
        </w:rPr>
        <w:t>Similar findi</w:t>
      </w:r>
      <w:r w:rsidR="002A2203">
        <w:rPr>
          <w:sz w:val="22"/>
          <w:szCs w:val="22"/>
        </w:rPr>
        <w:t xml:space="preserve">ngs were reported by </w:t>
      </w:r>
      <w:proofErr w:type="spellStart"/>
      <w:r w:rsidR="002A2203">
        <w:rPr>
          <w:sz w:val="22"/>
          <w:szCs w:val="22"/>
        </w:rPr>
        <w:t>Kalairarasi</w:t>
      </w:r>
      <w:proofErr w:type="spellEnd"/>
      <w:r w:rsidR="002A2203">
        <w:rPr>
          <w:sz w:val="22"/>
          <w:szCs w:val="22"/>
        </w:rPr>
        <w:t xml:space="preserve"> and </w:t>
      </w:r>
      <w:proofErr w:type="spellStart"/>
      <w:r w:rsidR="002A2203">
        <w:rPr>
          <w:sz w:val="22"/>
          <w:szCs w:val="22"/>
        </w:rPr>
        <w:t>Parvatham</w:t>
      </w:r>
      <w:proofErr w:type="spellEnd"/>
      <w:r w:rsidRPr="00947F58">
        <w:rPr>
          <w:sz w:val="22"/>
          <w:szCs w:val="22"/>
        </w:rPr>
        <w:t xml:space="preserve"> </w:t>
      </w:r>
      <w:r w:rsidR="002A2203">
        <w:rPr>
          <w:sz w:val="22"/>
          <w:szCs w:val="22"/>
        </w:rPr>
        <w:t>(2015</w:t>
      </w:r>
      <w:r w:rsidRPr="00947F58">
        <w:rPr>
          <w:sz w:val="22"/>
          <w:szCs w:val="22"/>
        </w:rPr>
        <w:t xml:space="preserve">), who noted that species of </w:t>
      </w:r>
      <w:r w:rsidRPr="00947F58">
        <w:rPr>
          <w:rStyle w:val="Emphasis"/>
          <w:rFonts w:eastAsiaTheme="majorEastAsia"/>
          <w:sz w:val="22"/>
          <w:szCs w:val="22"/>
        </w:rPr>
        <w:t>Aspergillus</w:t>
      </w:r>
      <w:r w:rsidRPr="00947F58">
        <w:rPr>
          <w:sz w:val="22"/>
          <w:szCs w:val="22"/>
        </w:rPr>
        <w:t xml:space="preserve"> and </w:t>
      </w:r>
      <w:r w:rsidRPr="00947F58">
        <w:rPr>
          <w:rStyle w:val="Emphasis"/>
          <w:rFonts w:eastAsiaTheme="majorEastAsia"/>
          <w:sz w:val="22"/>
          <w:szCs w:val="22"/>
        </w:rPr>
        <w:t>Rhizopus</w:t>
      </w:r>
      <w:r w:rsidRPr="00947F58">
        <w:rPr>
          <w:sz w:val="22"/>
          <w:szCs w:val="22"/>
        </w:rPr>
        <w:t xml:space="preserve"> are prolific α-amylase producers due to their ability to secrete large quantities of hydrolytic enzymes under suitable growth conditions. The relatively lower activity recorded in SB3 may indicate reduced enzyme secretion, poor adaptation to the assay medium, or limited expression of amylolytic genes. This ali</w:t>
      </w:r>
      <w:r w:rsidR="002A2203">
        <w:rPr>
          <w:sz w:val="22"/>
          <w:szCs w:val="22"/>
        </w:rPr>
        <w:t xml:space="preserve">gns with observations by Salman </w:t>
      </w:r>
      <w:r w:rsidRPr="00947F58">
        <w:rPr>
          <w:i/>
          <w:sz w:val="22"/>
          <w:szCs w:val="22"/>
        </w:rPr>
        <w:t>et al</w:t>
      </w:r>
      <w:r w:rsidR="002A2203">
        <w:rPr>
          <w:sz w:val="22"/>
          <w:szCs w:val="22"/>
        </w:rPr>
        <w:t>. (2016</w:t>
      </w:r>
      <w:r w:rsidRPr="00947F58">
        <w:rPr>
          <w:sz w:val="22"/>
          <w:szCs w:val="22"/>
        </w:rPr>
        <w:t>), who emphasized that enzyme production among fungal isolates varies widely depending on both inherent genetic capacity and external fermentation conditions. α-Amylase is an industrially important enzyme with broad applications in the food, brewing, detergent, textile, and pharmaceutical industries, where it is used for starch liquefaction, saccharification, and formulation of value-added products. The increasing global demand for microbial amylases has been attributed to their cost-effectiveness, scalability, and eco-friendly production compared to plant or animal s</w:t>
      </w:r>
      <w:r w:rsidR="002A2203">
        <w:rPr>
          <w:sz w:val="22"/>
          <w:szCs w:val="22"/>
        </w:rPr>
        <w:t>ources (</w:t>
      </w:r>
      <w:proofErr w:type="spellStart"/>
      <w:r w:rsidR="002A2203">
        <w:rPr>
          <w:sz w:val="22"/>
          <w:szCs w:val="22"/>
        </w:rPr>
        <w:t>Elyasi</w:t>
      </w:r>
      <w:proofErr w:type="spellEnd"/>
      <w:r w:rsidR="002A2203">
        <w:rPr>
          <w:sz w:val="22"/>
          <w:szCs w:val="22"/>
        </w:rPr>
        <w:t xml:space="preserve"> Far</w:t>
      </w:r>
      <w:r w:rsidRPr="00947F58">
        <w:rPr>
          <w:sz w:val="22"/>
          <w:szCs w:val="22"/>
        </w:rPr>
        <w:t xml:space="preserve"> </w:t>
      </w:r>
      <w:r w:rsidRPr="00947F58">
        <w:rPr>
          <w:i/>
          <w:sz w:val="22"/>
          <w:szCs w:val="22"/>
        </w:rPr>
        <w:t>et al</w:t>
      </w:r>
      <w:r w:rsidR="002A2203">
        <w:rPr>
          <w:sz w:val="22"/>
          <w:szCs w:val="22"/>
        </w:rPr>
        <w:t>., 2020</w:t>
      </w:r>
      <w:r w:rsidRPr="00947F58">
        <w:rPr>
          <w:sz w:val="22"/>
          <w:szCs w:val="22"/>
        </w:rPr>
        <w:t>). Fungal amylases, in particular, are highly valued due to their stability over a wide range of pH and temperature, as well as their ability to be produced on in</w:t>
      </w:r>
      <w:r w:rsidR="002A2203">
        <w:rPr>
          <w:sz w:val="22"/>
          <w:szCs w:val="22"/>
        </w:rPr>
        <w:t xml:space="preserve">expensive </w:t>
      </w:r>
      <w:proofErr w:type="spellStart"/>
      <w:r w:rsidR="002A2203">
        <w:rPr>
          <w:sz w:val="22"/>
          <w:szCs w:val="22"/>
        </w:rPr>
        <w:t>agro</w:t>
      </w:r>
      <w:proofErr w:type="spellEnd"/>
      <w:r w:rsidR="002A2203">
        <w:rPr>
          <w:sz w:val="22"/>
          <w:szCs w:val="22"/>
        </w:rPr>
        <w:t>-residues (</w:t>
      </w:r>
      <w:proofErr w:type="spellStart"/>
      <w:r w:rsidR="002A2203">
        <w:rPr>
          <w:sz w:val="22"/>
          <w:szCs w:val="22"/>
        </w:rPr>
        <w:t>Karatas</w:t>
      </w:r>
      <w:proofErr w:type="spellEnd"/>
      <w:r w:rsidRPr="00947F58">
        <w:rPr>
          <w:sz w:val="22"/>
          <w:szCs w:val="22"/>
        </w:rPr>
        <w:t xml:space="preserve"> </w:t>
      </w:r>
      <w:r w:rsidRPr="00947F58">
        <w:rPr>
          <w:i/>
          <w:sz w:val="22"/>
          <w:szCs w:val="22"/>
        </w:rPr>
        <w:t>et al.,</w:t>
      </w:r>
      <w:r w:rsidR="002A2203">
        <w:rPr>
          <w:sz w:val="22"/>
          <w:szCs w:val="22"/>
        </w:rPr>
        <w:t xml:space="preserve"> 2013</w:t>
      </w:r>
      <w:r w:rsidRPr="00947F58">
        <w:rPr>
          <w:sz w:val="22"/>
          <w:szCs w:val="22"/>
        </w:rPr>
        <w:t xml:space="preserve">). The observed differences in α-amylase activity among the isolates highlight the importance of strain screening in selecting potential candidates for industrial enzyme production. Factors such as pH, incubation time, inoculum size, carbon concentration and nitrogen concentration play critical roles in maximizing enzyme yield. </w:t>
      </w:r>
    </w:p>
    <w:p w:rsidR="00AB602F" w:rsidRDefault="00E965A3" w:rsidP="00E965A3">
      <w:pPr>
        <w:pStyle w:val="NormalWeb"/>
        <w:jc w:val="both"/>
        <w:rPr>
          <w:sz w:val="22"/>
          <w:szCs w:val="22"/>
        </w:rPr>
      </w:pPr>
      <w:r w:rsidRPr="00947F58">
        <w:rPr>
          <w:sz w:val="22"/>
          <w:szCs w:val="22"/>
        </w:rPr>
        <w:t xml:space="preserve">Thus, further studies focusing on one factor at time (OFAT) of fermentation conditions and possible genetic enhancement of the high-yielding isolate (SB2) could significantly improve α-amylase productivity and its industrial applicability. The proximate composition of corn </w:t>
      </w:r>
      <w:r w:rsidR="00D051CA" w:rsidRPr="00947F58">
        <w:rPr>
          <w:sz w:val="22"/>
          <w:szCs w:val="22"/>
        </w:rPr>
        <w:t xml:space="preserve">cob and orange mesocarp (Table </w:t>
      </w:r>
      <w:r w:rsidRPr="00947F58">
        <w:rPr>
          <w:sz w:val="22"/>
          <w:szCs w:val="22"/>
        </w:rPr>
        <w:t xml:space="preserve">2) revealed notable variations in their nutritional constituents, which highlight their potential as agro-residues for microbial fermentation. The ash content of orange mesocarp (4.26%) was higher than that of corn cob </w:t>
      </w:r>
      <w:r w:rsidRPr="00947F58">
        <w:rPr>
          <w:sz w:val="22"/>
          <w:szCs w:val="22"/>
        </w:rPr>
        <w:lastRenderedPageBreak/>
        <w:t>(2.2%), suggesting that orange mesocarp is richer in mineral elements. This observation is consiste</w:t>
      </w:r>
      <w:r w:rsidR="002A2203">
        <w:rPr>
          <w:sz w:val="22"/>
          <w:szCs w:val="22"/>
        </w:rPr>
        <w:t>nt with the findings of Salman</w:t>
      </w:r>
      <w:r w:rsidRPr="00947F58">
        <w:rPr>
          <w:sz w:val="22"/>
          <w:szCs w:val="22"/>
        </w:rPr>
        <w:t xml:space="preserve"> </w:t>
      </w:r>
      <w:r w:rsidRPr="00947F58">
        <w:rPr>
          <w:i/>
          <w:sz w:val="22"/>
          <w:szCs w:val="22"/>
        </w:rPr>
        <w:t>et al.</w:t>
      </w:r>
      <w:r w:rsidR="002A2203">
        <w:rPr>
          <w:sz w:val="22"/>
          <w:szCs w:val="22"/>
        </w:rPr>
        <w:t xml:space="preserve"> (2016</w:t>
      </w:r>
      <w:r w:rsidRPr="00947F58">
        <w:rPr>
          <w:sz w:val="22"/>
          <w:szCs w:val="22"/>
        </w:rPr>
        <w:t>), who reported that fruit by-products often contain higher levels of calcium, potassium, and magnesium compared to cereal residues. Such mineral richness is important for microbial metabolism since minerals frequently act as cofactors in enzymatic processes during fermentation. The moisture content of orange mesocarp (19.36%) was higher than that of corn cob (15.65%). High moisture levels are advantageous in fermentation systems because they improve substrate accessibility and microbial activity; however, they can also promote rapid spoilage during storage</w:t>
      </w:r>
      <w:r w:rsidR="002A2203">
        <w:rPr>
          <w:sz w:val="22"/>
          <w:szCs w:val="22"/>
        </w:rPr>
        <w:t xml:space="preserve"> if not properly managed (Sadh</w:t>
      </w:r>
      <w:r w:rsidRPr="00947F58">
        <w:rPr>
          <w:sz w:val="22"/>
          <w:szCs w:val="22"/>
        </w:rPr>
        <w:t xml:space="preserve"> </w:t>
      </w:r>
      <w:r w:rsidRPr="00947F58">
        <w:rPr>
          <w:i/>
          <w:sz w:val="22"/>
          <w:szCs w:val="22"/>
        </w:rPr>
        <w:t>et al</w:t>
      </w:r>
      <w:r w:rsidR="002A2203">
        <w:rPr>
          <w:sz w:val="22"/>
          <w:szCs w:val="22"/>
        </w:rPr>
        <w:t>., 2018</w:t>
      </w:r>
      <w:r w:rsidRPr="00947F58">
        <w:rPr>
          <w:sz w:val="22"/>
          <w:szCs w:val="22"/>
        </w:rPr>
        <w:t xml:space="preserve">). The relatively lower moisture in corn cob could enhance its storability, although pretreatment may be necessary to optimize its use as a fermentation substrate. Lipid content was generally low in both agro-residues but was higher in orange mesocarp (2.03%) compared to corn cob (0.8%). </w:t>
      </w:r>
    </w:p>
    <w:p w:rsidR="00AB602F" w:rsidRDefault="00E965A3" w:rsidP="00E965A3">
      <w:pPr>
        <w:pStyle w:val="NormalWeb"/>
        <w:jc w:val="both"/>
        <w:rPr>
          <w:sz w:val="22"/>
          <w:szCs w:val="22"/>
        </w:rPr>
      </w:pPr>
      <w:r w:rsidRPr="00947F58">
        <w:rPr>
          <w:sz w:val="22"/>
          <w:szCs w:val="22"/>
        </w:rPr>
        <w:t>Lipid-rich substrates provide additional energy sources and carbon skeletons for microbial metabolism, but excessive lipid levels can sometimes interfere with microbial growth. The moderate lipid content of orange mesocarp may therefore provide supplementary energy during fermentation without imposing inhibitory effects, alig</w:t>
      </w:r>
      <w:r w:rsidR="0093469B">
        <w:rPr>
          <w:sz w:val="22"/>
          <w:szCs w:val="22"/>
        </w:rPr>
        <w:t>ning with observations by Sadh</w:t>
      </w:r>
      <w:r w:rsidRPr="00947F58">
        <w:rPr>
          <w:sz w:val="22"/>
          <w:szCs w:val="22"/>
        </w:rPr>
        <w:t xml:space="preserve"> </w:t>
      </w:r>
      <w:r w:rsidRPr="00947F58">
        <w:rPr>
          <w:i/>
          <w:sz w:val="22"/>
          <w:szCs w:val="22"/>
        </w:rPr>
        <w:t>et al</w:t>
      </w:r>
      <w:r w:rsidR="0093469B">
        <w:rPr>
          <w:sz w:val="22"/>
          <w:szCs w:val="22"/>
        </w:rPr>
        <w:t>. (2018</w:t>
      </w:r>
      <w:r w:rsidRPr="00947F58">
        <w:rPr>
          <w:sz w:val="22"/>
          <w:szCs w:val="22"/>
        </w:rPr>
        <w:t xml:space="preserve">). Carbohydrate content, which is the most critical factor for microbial fermentation, was higher in corn cob (75.87%) compared to orange mesocarp (68.79%). This result </w:t>
      </w:r>
      <w:r w:rsidR="0093469B">
        <w:rPr>
          <w:sz w:val="22"/>
          <w:szCs w:val="22"/>
        </w:rPr>
        <w:t>aligns with the report of Souza and Magalhaes (2010</w:t>
      </w:r>
      <w:r w:rsidRPr="00947F58">
        <w:rPr>
          <w:sz w:val="22"/>
          <w:szCs w:val="22"/>
        </w:rPr>
        <w:t xml:space="preserve">), who found that cereal residues, particularly corn derivatives, are rich in structural carbohydrates and starch, making them suitable for microbial bioconversion into organic acids, amino acids, and biofuels. The high carbohydrate fraction of corn cob underscores its potential as a low-cost feedstock for fermentation-based bioprocesses. The fiber content of both residues was similar (5.25%), indicating the presence of lignocellulosic material that may limit direct microbial digestibility. </w:t>
      </w:r>
    </w:p>
    <w:p w:rsidR="007E013C" w:rsidRDefault="00E965A3" w:rsidP="00E965A3">
      <w:pPr>
        <w:pStyle w:val="NormalWeb"/>
        <w:jc w:val="both"/>
        <w:rPr>
          <w:sz w:val="22"/>
          <w:szCs w:val="22"/>
        </w:rPr>
      </w:pPr>
      <w:r w:rsidRPr="00947F58">
        <w:rPr>
          <w:sz w:val="22"/>
          <w:szCs w:val="22"/>
        </w:rPr>
        <w:t>Fiber-rich substrates often require pretreatment or enzymatic hydrolysis to release fermentable sugars, thereby improving their efficiency in biotec</w:t>
      </w:r>
      <w:r w:rsidR="0093469B">
        <w:rPr>
          <w:sz w:val="22"/>
          <w:szCs w:val="22"/>
        </w:rPr>
        <w:t>hnological applications (Karatas</w:t>
      </w:r>
      <w:r w:rsidRPr="00947F58">
        <w:rPr>
          <w:sz w:val="22"/>
          <w:szCs w:val="22"/>
        </w:rPr>
        <w:t xml:space="preserve"> </w:t>
      </w:r>
      <w:r w:rsidRPr="00947F58">
        <w:rPr>
          <w:i/>
          <w:sz w:val="22"/>
          <w:szCs w:val="22"/>
        </w:rPr>
        <w:t>et al</w:t>
      </w:r>
      <w:r w:rsidR="0093469B">
        <w:rPr>
          <w:sz w:val="22"/>
          <w:szCs w:val="22"/>
        </w:rPr>
        <w:t>., 2013</w:t>
      </w:r>
      <w:r w:rsidRPr="00947F58">
        <w:rPr>
          <w:sz w:val="22"/>
          <w:szCs w:val="22"/>
        </w:rPr>
        <w:t xml:space="preserve">). Protein content was relatively low in both residues, with orange mesocarp (0.34%) showing slightly higher levels than corn cob (0.24%). This observation agrees with the findings </w:t>
      </w:r>
      <w:r w:rsidR="0093469B">
        <w:rPr>
          <w:sz w:val="22"/>
          <w:szCs w:val="22"/>
        </w:rPr>
        <w:t>of Souza and Magalhaes (2010</w:t>
      </w:r>
      <w:r w:rsidR="0093469B" w:rsidRPr="00947F58">
        <w:rPr>
          <w:sz w:val="22"/>
          <w:szCs w:val="22"/>
        </w:rPr>
        <w:t>)</w:t>
      </w:r>
      <w:r w:rsidRPr="00947F58">
        <w:rPr>
          <w:sz w:val="22"/>
          <w:szCs w:val="22"/>
        </w:rPr>
        <w:t xml:space="preserve">, who reported that agro-industrial residues are typically carbohydrate-rich but protein-poor. The low protein levels suggest that supplementation with nitrogen sources would be necessary to optimize microbial fermentation and support robust biomass development. The effect of fermentation time on α-amylase </w:t>
      </w:r>
      <w:r w:rsidR="00D051CA" w:rsidRPr="00947F58">
        <w:rPr>
          <w:sz w:val="22"/>
          <w:szCs w:val="22"/>
        </w:rPr>
        <w:t xml:space="preserve">production, as shown in Figure </w:t>
      </w:r>
      <w:r w:rsidRPr="00947F58">
        <w:rPr>
          <w:sz w:val="22"/>
          <w:szCs w:val="22"/>
        </w:rPr>
        <w:t>3, demonstrated a time-dependent increase in enzyme yield up to 48 h, followed by a gradual decline thereafter. At 12 h, α-amylase activity was relatively low (12.1 U/ml), reflecting the early phase of fungal growth when enzyme synthesis is just initiated. As fermentation progressed to 24 h and 36 h, the enzyme yield increased significantly to 25.4 U/ml and 39.3 U/ml, respectively, reaching a maximum production of 51.2 U/ml at 48 h. This trend indicates that α-amylase biosynthesis is strongly associated with the exponential growth phase of the fungus, during which metabolic activity and secretion of hydrolytic enzymes are at their peak. The decline observed after 48 h, with α-amylase activity dropping to 46.1 U/ml at 60 h, may be attributed to nutrient depletion, accumulation of inhibitory metabolites, or a metabolic shift toward secondary metabolite production and sporulation. Similar patterns were rep</w:t>
      </w:r>
      <w:r w:rsidR="0093469B">
        <w:rPr>
          <w:sz w:val="22"/>
          <w:szCs w:val="22"/>
        </w:rPr>
        <w:t>orted by Salman</w:t>
      </w:r>
      <w:r w:rsidRPr="00947F58">
        <w:rPr>
          <w:sz w:val="22"/>
          <w:szCs w:val="22"/>
        </w:rPr>
        <w:t xml:space="preserve"> </w:t>
      </w:r>
      <w:r w:rsidRPr="00947F58">
        <w:rPr>
          <w:i/>
          <w:sz w:val="22"/>
          <w:szCs w:val="22"/>
        </w:rPr>
        <w:t>et al</w:t>
      </w:r>
      <w:r w:rsidR="0093469B">
        <w:rPr>
          <w:sz w:val="22"/>
          <w:szCs w:val="22"/>
        </w:rPr>
        <w:t>. (2016</w:t>
      </w:r>
      <w:r w:rsidRPr="00947F58">
        <w:rPr>
          <w:sz w:val="22"/>
          <w:szCs w:val="22"/>
        </w:rPr>
        <w:t>), who noted that fungal amylase production typically peaks between 48–72 h of fermentation, after which enzyme levels decline due to substrate exhaustion and proteolytic degradation. The results</w:t>
      </w:r>
      <w:r w:rsidR="0093469B">
        <w:rPr>
          <w:sz w:val="22"/>
          <w:szCs w:val="22"/>
        </w:rPr>
        <w:t xml:space="preserve"> of this study also agree with </w:t>
      </w:r>
      <w:proofErr w:type="spellStart"/>
      <w:r w:rsidR="0093469B">
        <w:rPr>
          <w:sz w:val="22"/>
          <w:szCs w:val="22"/>
        </w:rPr>
        <w:t>Elyasi</w:t>
      </w:r>
      <w:proofErr w:type="spellEnd"/>
      <w:r w:rsidR="0093469B">
        <w:rPr>
          <w:sz w:val="22"/>
          <w:szCs w:val="22"/>
        </w:rPr>
        <w:t xml:space="preserve"> Far</w:t>
      </w:r>
      <w:r w:rsidRPr="00947F58">
        <w:rPr>
          <w:sz w:val="22"/>
          <w:szCs w:val="22"/>
        </w:rPr>
        <w:t xml:space="preserve"> </w:t>
      </w:r>
      <w:r w:rsidRPr="00947F58">
        <w:rPr>
          <w:i/>
          <w:sz w:val="22"/>
          <w:szCs w:val="22"/>
        </w:rPr>
        <w:t>et al.</w:t>
      </w:r>
      <w:r w:rsidR="0093469B">
        <w:rPr>
          <w:sz w:val="22"/>
          <w:szCs w:val="22"/>
        </w:rPr>
        <w:t xml:space="preserve"> (2020</w:t>
      </w:r>
      <w:r w:rsidRPr="00947F58">
        <w:rPr>
          <w:sz w:val="22"/>
          <w:szCs w:val="22"/>
        </w:rPr>
        <w:t xml:space="preserve">), who highlighted that prolonged fermentation does not necessarily enhance enzyme yields, as extended incubation often reduces metabolic efficiency and stability of the secreted enzymes. Furthermore, the findings confirm that the agro-residues used in this study provided sufficient nutrients to support fungal growth and enzyme secretion within the first 48 h. This demonstrates the suitability of low-cost substrates for </w:t>
      </w:r>
      <w:r w:rsidR="0093469B">
        <w:rPr>
          <w:sz w:val="22"/>
          <w:szCs w:val="22"/>
        </w:rPr>
        <w:t xml:space="preserve">microbial enzyme production. </w:t>
      </w:r>
      <w:proofErr w:type="spellStart"/>
      <w:r w:rsidR="0093469B">
        <w:rPr>
          <w:sz w:val="22"/>
          <w:szCs w:val="22"/>
        </w:rPr>
        <w:t>Elyasi</w:t>
      </w:r>
      <w:proofErr w:type="spellEnd"/>
      <w:r w:rsidR="0093469B">
        <w:rPr>
          <w:sz w:val="22"/>
          <w:szCs w:val="22"/>
        </w:rPr>
        <w:t xml:space="preserve"> Far</w:t>
      </w:r>
      <w:r w:rsidRPr="00947F58">
        <w:rPr>
          <w:sz w:val="22"/>
          <w:szCs w:val="22"/>
        </w:rPr>
        <w:t xml:space="preserve"> </w:t>
      </w:r>
      <w:r w:rsidRPr="00947F58">
        <w:rPr>
          <w:i/>
          <w:sz w:val="22"/>
          <w:szCs w:val="22"/>
        </w:rPr>
        <w:t>et al.</w:t>
      </w:r>
      <w:r w:rsidR="0093469B">
        <w:rPr>
          <w:sz w:val="22"/>
          <w:szCs w:val="22"/>
        </w:rPr>
        <w:t xml:space="preserve"> (2020</w:t>
      </w:r>
      <w:r w:rsidRPr="00947F58">
        <w:rPr>
          <w:sz w:val="22"/>
          <w:szCs w:val="22"/>
        </w:rPr>
        <w:t>) emphasized that optimizing fermentation parameters such as incubation time, pH, aeration, and nutrient supplementation is critical for maximizing α-amylase yield in industrial processes. Therefore, maintaining fermentation within the optimal duration (48 h) is essential to achieve high enzyme productivity and to prevent losses associated with overextended incubation. The effect of inoculum size o</w:t>
      </w:r>
      <w:r w:rsidR="00D051CA" w:rsidRPr="00947F58">
        <w:rPr>
          <w:sz w:val="22"/>
          <w:szCs w:val="22"/>
        </w:rPr>
        <w:t xml:space="preserve">n α-amylase </w:t>
      </w:r>
      <w:r w:rsidR="00D051CA" w:rsidRPr="00947F58">
        <w:rPr>
          <w:sz w:val="22"/>
          <w:szCs w:val="22"/>
        </w:rPr>
        <w:lastRenderedPageBreak/>
        <w:t xml:space="preserve">production (Figure </w:t>
      </w:r>
      <w:r w:rsidRPr="00947F58">
        <w:rPr>
          <w:sz w:val="22"/>
          <w:szCs w:val="22"/>
        </w:rPr>
        <w:t xml:space="preserve">4) revealed that the maximum yield of 53.3 U/ml was obtained at an inoculum size of 3.0 mL, after which the yield declined to 49.4 U/ml at 4.0 </w:t>
      </w:r>
      <w:proofErr w:type="spellStart"/>
      <w:r w:rsidRPr="00947F58">
        <w:rPr>
          <w:sz w:val="22"/>
          <w:szCs w:val="22"/>
        </w:rPr>
        <w:t>mL.</w:t>
      </w:r>
      <w:proofErr w:type="spellEnd"/>
      <w:r w:rsidRPr="00947F58">
        <w:rPr>
          <w:sz w:val="22"/>
          <w:szCs w:val="22"/>
        </w:rPr>
        <w:t xml:space="preserve"> This trend underscores the importance of optimizing inoculum volume in fungal fermentations to balance microbial growth dynamics and metabolite production. At moderate inoculum levels, such as 3.0 mL in this study, the number of actively growing fungal spores or cells is sufficient to establish rapid exponential growth, minimize the lag phase, and efficiently utilize the fermentation substrate for enzyme biosynthesis. This results in enhanced metabolic activity and higher α-amylase yields, as also observed in similar studies on</w:t>
      </w:r>
      <w:r w:rsidR="000D7AE5">
        <w:rPr>
          <w:sz w:val="22"/>
          <w:szCs w:val="22"/>
        </w:rPr>
        <w:t xml:space="preserve"> </w:t>
      </w:r>
      <w:r w:rsidR="00EC6AE9">
        <w:rPr>
          <w:sz w:val="22"/>
          <w:szCs w:val="22"/>
        </w:rPr>
        <w:t>fungal enzyme production (Cerda</w:t>
      </w:r>
      <w:r w:rsidRPr="00947F58">
        <w:rPr>
          <w:sz w:val="22"/>
          <w:szCs w:val="22"/>
        </w:rPr>
        <w:t xml:space="preserve"> </w:t>
      </w:r>
      <w:r w:rsidRPr="00947F58">
        <w:rPr>
          <w:i/>
          <w:sz w:val="22"/>
          <w:szCs w:val="22"/>
        </w:rPr>
        <w:t>et al.,</w:t>
      </w:r>
      <w:r w:rsidR="000D7AE5">
        <w:rPr>
          <w:sz w:val="22"/>
          <w:szCs w:val="22"/>
        </w:rPr>
        <w:t xml:space="preserve"> 2016; </w:t>
      </w:r>
      <w:proofErr w:type="spellStart"/>
      <w:r w:rsidR="000D7AE5">
        <w:rPr>
          <w:sz w:val="22"/>
          <w:szCs w:val="22"/>
        </w:rPr>
        <w:t>Elyasi</w:t>
      </w:r>
      <w:proofErr w:type="spellEnd"/>
      <w:r w:rsidR="000D7AE5">
        <w:rPr>
          <w:sz w:val="22"/>
          <w:szCs w:val="22"/>
        </w:rPr>
        <w:t xml:space="preserve"> Far</w:t>
      </w:r>
      <w:r w:rsidRPr="00947F58">
        <w:rPr>
          <w:sz w:val="22"/>
          <w:szCs w:val="22"/>
        </w:rPr>
        <w:t xml:space="preserve"> </w:t>
      </w:r>
      <w:r w:rsidRPr="00947F58">
        <w:rPr>
          <w:i/>
          <w:sz w:val="22"/>
          <w:szCs w:val="22"/>
        </w:rPr>
        <w:t>et al</w:t>
      </w:r>
      <w:r w:rsidR="000D7AE5">
        <w:rPr>
          <w:sz w:val="22"/>
          <w:szCs w:val="22"/>
        </w:rPr>
        <w:t>., 2020</w:t>
      </w:r>
      <w:r w:rsidRPr="00947F58">
        <w:rPr>
          <w:sz w:val="22"/>
          <w:szCs w:val="22"/>
        </w:rPr>
        <w:t xml:space="preserve">). </w:t>
      </w:r>
    </w:p>
    <w:p w:rsidR="007E013C" w:rsidRDefault="00E965A3" w:rsidP="00E965A3">
      <w:pPr>
        <w:pStyle w:val="NormalWeb"/>
        <w:jc w:val="both"/>
        <w:rPr>
          <w:sz w:val="22"/>
          <w:szCs w:val="22"/>
        </w:rPr>
      </w:pPr>
      <w:r w:rsidRPr="00947F58">
        <w:rPr>
          <w:sz w:val="22"/>
          <w:szCs w:val="22"/>
        </w:rPr>
        <w:t>The reduction in α-amylase production at higher inoculum size (4.0 mL) may be attributed to factors such as nutrient depletion, oxygen limitation, and the accumulation of inhibitory metabolites at elevated biomass densities. Overcrowding of fungal biomass can also create metabolic stress, leading to a diversion of energy toward maintenance metabolism instead of secondary meta</w:t>
      </w:r>
      <w:r w:rsidR="00094AE9">
        <w:rPr>
          <w:sz w:val="22"/>
          <w:szCs w:val="22"/>
        </w:rPr>
        <w:t>bolite (enzyme) production (</w:t>
      </w:r>
      <w:proofErr w:type="spellStart"/>
      <w:r w:rsidR="00094AE9">
        <w:rPr>
          <w:sz w:val="22"/>
          <w:szCs w:val="22"/>
        </w:rPr>
        <w:t>Elyasi</w:t>
      </w:r>
      <w:proofErr w:type="spellEnd"/>
      <w:r w:rsidR="00094AE9">
        <w:rPr>
          <w:sz w:val="22"/>
          <w:szCs w:val="22"/>
        </w:rPr>
        <w:t xml:space="preserve"> Far </w:t>
      </w:r>
      <w:r w:rsidR="00094AE9" w:rsidRPr="000D7AE5">
        <w:rPr>
          <w:i/>
          <w:sz w:val="22"/>
          <w:szCs w:val="22"/>
        </w:rPr>
        <w:t>et al</w:t>
      </w:r>
      <w:r w:rsidR="00094AE9">
        <w:rPr>
          <w:sz w:val="22"/>
          <w:szCs w:val="22"/>
        </w:rPr>
        <w:t>., 2020</w:t>
      </w:r>
      <w:r w:rsidR="000D7AE5">
        <w:rPr>
          <w:sz w:val="22"/>
          <w:szCs w:val="22"/>
        </w:rPr>
        <w:t>). Karatas</w:t>
      </w:r>
      <w:r w:rsidRPr="00947F58">
        <w:rPr>
          <w:sz w:val="22"/>
          <w:szCs w:val="22"/>
        </w:rPr>
        <w:t xml:space="preserve"> </w:t>
      </w:r>
      <w:r w:rsidRPr="00947F58">
        <w:rPr>
          <w:i/>
          <w:sz w:val="22"/>
          <w:szCs w:val="22"/>
        </w:rPr>
        <w:t>et al.</w:t>
      </w:r>
      <w:r w:rsidR="000D7AE5">
        <w:rPr>
          <w:sz w:val="22"/>
          <w:szCs w:val="22"/>
        </w:rPr>
        <w:t xml:space="preserve"> (2013</w:t>
      </w:r>
      <w:r w:rsidRPr="00947F58">
        <w:rPr>
          <w:sz w:val="22"/>
          <w:szCs w:val="22"/>
        </w:rPr>
        <w:t>) similarly reported that excessive inoculum volumes often reduce the efficiency of enzyme production due to resource competition and altered metabolic fluxes. The relatively high maximum yield (53.3 U/ml) recorded at the optimal inoculum size demonstrates the strong enzymatic potential of the fungal isolate used in this study. This finding compares favorably with earlier reports on microbial α-amylase production from agro-residues, highlighting the suitability of the selected fungal strain and fermentation conditions for sustai</w:t>
      </w:r>
      <w:r w:rsidR="000D7AE5">
        <w:rPr>
          <w:sz w:val="22"/>
          <w:szCs w:val="22"/>
        </w:rPr>
        <w:t>nable enzyme production (</w:t>
      </w:r>
      <w:proofErr w:type="spellStart"/>
      <w:r w:rsidR="000D7AE5">
        <w:rPr>
          <w:sz w:val="22"/>
          <w:szCs w:val="22"/>
        </w:rPr>
        <w:t>Elyasi</w:t>
      </w:r>
      <w:proofErr w:type="spellEnd"/>
      <w:r w:rsidR="000D7AE5">
        <w:rPr>
          <w:sz w:val="22"/>
          <w:szCs w:val="22"/>
        </w:rPr>
        <w:t xml:space="preserve"> Far</w:t>
      </w:r>
      <w:r w:rsidRPr="00947F58">
        <w:rPr>
          <w:sz w:val="22"/>
          <w:szCs w:val="22"/>
        </w:rPr>
        <w:t xml:space="preserve"> </w:t>
      </w:r>
      <w:r w:rsidRPr="00947F58">
        <w:rPr>
          <w:i/>
          <w:sz w:val="22"/>
          <w:szCs w:val="22"/>
        </w:rPr>
        <w:t>et al.,</w:t>
      </w:r>
      <w:r w:rsidR="000D7AE5">
        <w:rPr>
          <w:sz w:val="22"/>
          <w:szCs w:val="22"/>
        </w:rPr>
        <w:t xml:space="preserve"> 2020; Karatas</w:t>
      </w:r>
      <w:r w:rsidRPr="00947F58">
        <w:rPr>
          <w:sz w:val="22"/>
          <w:szCs w:val="22"/>
        </w:rPr>
        <w:t xml:space="preserve"> </w:t>
      </w:r>
      <w:r w:rsidRPr="00947F58">
        <w:rPr>
          <w:i/>
          <w:sz w:val="22"/>
          <w:szCs w:val="22"/>
        </w:rPr>
        <w:t>et al</w:t>
      </w:r>
      <w:r w:rsidR="000D7AE5">
        <w:rPr>
          <w:sz w:val="22"/>
          <w:szCs w:val="22"/>
        </w:rPr>
        <w:t>., 2013</w:t>
      </w:r>
      <w:r w:rsidRPr="00947F58">
        <w:rPr>
          <w:sz w:val="22"/>
          <w:szCs w:val="22"/>
        </w:rPr>
        <w:t xml:space="preserve">). The effect of pH on α-amylase production using </w:t>
      </w:r>
      <w:proofErr w:type="spellStart"/>
      <w:r w:rsidRPr="00947F58">
        <w:rPr>
          <w:sz w:val="22"/>
          <w:szCs w:val="22"/>
        </w:rPr>
        <w:t>agro</w:t>
      </w:r>
      <w:proofErr w:type="spellEnd"/>
      <w:r w:rsidRPr="00947F58">
        <w:rPr>
          <w:sz w:val="22"/>
          <w:szCs w:val="22"/>
        </w:rPr>
        <w:t xml:space="preserve">-residues and </w:t>
      </w:r>
      <w:r w:rsidRPr="00947F58">
        <w:rPr>
          <w:rStyle w:val="Emphasis"/>
          <w:rFonts w:eastAsiaTheme="majorEastAsia"/>
          <w:sz w:val="22"/>
          <w:szCs w:val="22"/>
        </w:rPr>
        <w:t xml:space="preserve">Aspergillus </w:t>
      </w:r>
      <w:proofErr w:type="spellStart"/>
      <w:r w:rsidRPr="00947F58">
        <w:rPr>
          <w:rStyle w:val="Emphasis"/>
          <w:rFonts w:eastAsiaTheme="majorEastAsia"/>
          <w:sz w:val="22"/>
          <w:szCs w:val="22"/>
        </w:rPr>
        <w:t>niger</w:t>
      </w:r>
      <w:proofErr w:type="spellEnd"/>
      <w:r w:rsidR="00D051CA" w:rsidRPr="00947F58">
        <w:rPr>
          <w:sz w:val="22"/>
          <w:szCs w:val="22"/>
        </w:rPr>
        <w:t xml:space="preserve"> (Figure </w:t>
      </w:r>
      <w:r w:rsidRPr="00947F58">
        <w:rPr>
          <w:sz w:val="22"/>
          <w:szCs w:val="22"/>
        </w:rPr>
        <w:t xml:space="preserve">5) demonstrated that the highest yield (47.6 U/ml) was obtained at pH 7.0, while the lowest yield (10.3 U/ml) occurred at pH 4.5. This result indicates that neutral conditions are optimal for α-amylase biosynthesis by </w:t>
      </w:r>
      <w:r w:rsidRPr="00947F58">
        <w:rPr>
          <w:rStyle w:val="Emphasis"/>
          <w:rFonts w:eastAsiaTheme="majorEastAsia"/>
          <w:sz w:val="22"/>
          <w:szCs w:val="22"/>
        </w:rPr>
        <w:t xml:space="preserve">A. </w:t>
      </w:r>
      <w:proofErr w:type="spellStart"/>
      <w:r w:rsidRPr="00947F58">
        <w:rPr>
          <w:rStyle w:val="Emphasis"/>
          <w:rFonts w:eastAsiaTheme="majorEastAsia"/>
          <w:sz w:val="22"/>
          <w:szCs w:val="22"/>
        </w:rPr>
        <w:t>niger</w:t>
      </w:r>
      <w:proofErr w:type="spellEnd"/>
      <w:r w:rsidRPr="00947F58">
        <w:rPr>
          <w:sz w:val="22"/>
          <w:szCs w:val="22"/>
        </w:rPr>
        <w:t xml:space="preserve">, whereas acidic conditions significantly suppress enzyme production. The preference for near-neutral pH can be explained by the physiology of </w:t>
      </w:r>
      <w:r w:rsidRPr="00947F58">
        <w:rPr>
          <w:rStyle w:val="Emphasis"/>
          <w:rFonts w:eastAsiaTheme="majorEastAsia"/>
          <w:sz w:val="22"/>
          <w:szCs w:val="22"/>
        </w:rPr>
        <w:t xml:space="preserve">A. </w:t>
      </w:r>
      <w:proofErr w:type="spellStart"/>
      <w:r w:rsidRPr="00947F58">
        <w:rPr>
          <w:rStyle w:val="Emphasis"/>
          <w:rFonts w:eastAsiaTheme="majorEastAsia"/>
          <w:sz w:val="22"/>
          <w:szCs w:val="22"/>
        </w:rPr>
        <w:t>niger</w:t>
      </w:r>
      <w:proofErr w:type="spellEnd"/>
      <w:r w:rsidRPr="00947F58">
        <w:rPr>
          <w:sz w:val="22"/>
          <w:szCs w:val="22"/>
        </w:rPr>
        <w:t>, as amylolytic enzymes are generally extracellular hydrolases that exhibit maximum stability and catalytic efficiency in neutral to slightl</w:t>
      </w:r>
      <w:r w:rsidR="000D7AE5">
        <w:rPr>
          <w:sz w:val="22"/>
          <w:szCs w:val="22"/>
        </w:rPr>
        <w:t>y alkaline environments (Singh and Kumar Brahman, 2013</w:t>
      </w:r>
      <w:r w:rsidR="003462C8">
        <w:rPr>
          <w:sz w:val="22"/>
          <w:szCs w:val="22"/>
        </w:rPr>
        <w:t xml:space="preserve">; </w:t>
      </w:r>
      <w:proofErr w:type="spellStart"/>
      <w:r w:rsidR="003462C8">
        <w:rPr>
          <w:sz w:val="22"/>
          <w:szCs w:val="22"/>
        </w:rPr>
        <w:t>Elyasi</w:t>
      </w:r>
      <w:proofErr w:type="spellEnd"/>
      <w:r w:rsidR="003462C8">
        <w:rPr>
          <w:sz w:val="22"/>
          <w:szCs w:val="22"/>
        </w:rPr>
        <w:t xml:space="preserve"> Far</w:t>
      </w:r>
      <w:r w:rsidR="003462C8" w:rsidRPr="00947F58">
        <w:rPr>
          <w:sz w:val="22"/>
          <w:szCs w:val="22"/>
        </w:rPr>
        <w:t xml:space="preserve"> </w:t>
      </w:r>
      <w:r w:rsidR="003462C8" w:rsidRPr="00947F58">
        <w:rPr>
          <w:i/>
          <w:sz w:val="22"/>
          <w:szCs w:val="22"/>
        </w:rPr>
        <w:t>et al.,</w:t>
      </w:r>
      <w:r w:rsidR="003462C8">
        <w:rPr>
          <w:sz w:val="22"/>
          <w:szCs w:val="22"/>
        </w:rPr>
        <w:t xml:space="preserve"> 2020</w:t>
      </w:r>
      <w:r w:rsidRPr="00947F58">
        <w:rPr>
          <w:sz w:val="22"/>
          <w:szCs w:val="22"/>
        </w:rPr>
        <w:t xml:space="preserve">). At optimal pH (7.0), enzyme conformation, substrate binding, and catalytic site activity are enhanced, resulting in efficient hydrolysis of starch to reducing sugars. Additionally, nutrient solubility and membrane transport processes are improved at this pH, facilitating substrate uptake and enzyme secretion. </w:t>
      </w:r>
    </w:p>
    <w:p w:rsidR="007E013C" w:rsidRDefault="00E965A3" w:rsidP="00E965A3">
      <w:pPr>
        <w:pStyle w:val="NormalWeb"/>
        <w:jc w:val="both"/>
        <w:rPr>
          <w:sz w:val="22"/>
          <w:szCs w:val="22"/>
        </w:rPr>
      </w:pPr>
      <w:r w:rsidRPr="00947F58">
        <w:rPr>
          <w:sz w:val="22"/>
          <w:szCs w:val="22"/>
        </w:rPr>
        <w:t xml:space="preserve">In contrast, at acidic pH (4.5), α-amylase production was markedly reduced, likely due to reduced enzyme stability, denaturation of protein structure, and metabolic shifts toward stress adaptation rather than enzyme synthesis (Rao </w:t>
      </w:r>
      <w:r w:rsidRPr="00947F58">
        <w:rPr>
          <w:i/>
          <w:sz w:val="22"/>
          <w:szCs w:val="22"/>
        </w:rPr>
        <w:t>et al.</w:t>
      </w:r>
      <w:r w:rsidRPr="00947F58">
        <w:rPr>
          <w:sz w:val="22"/>
          <w:szCs w:val="22"/>
        </w:rPr>
        <w:t>, 2023). Acidic conditions may also disrupt ion balance and impair fungal growth, thereby limiting extracellular enzyme secretion. Similar observatio</w:t>
      </w:r>
      <w:r w:rsidR="003462C8">
        <w:rPr>
          <w:sz w:val="22"/>
          <w:szCs w:val="22"/>
        </w:rPr>
        <w:t>ns have been reported by Gangadharan</w:t>
      </w:r>
      <w:r w:rsidRPr="00947F58">
        <w:rPr>
          <w:sz w:val="22"/>
          <w:szCs w:val="22"/>
        </w:rPr>
        <w:t xml:space="preserve"> </w:t>
      </w:r>
      <w:r w:rsidRPr="00947F58">
        <w:rPr>
          <w:i/>
          <w:sz w:val="22"/>
          <w:szCs w:val="22"/>
        </w:rPr>
        <w:t>et al.</w:t>
      </w:r>
      <w:r w:rsidR="003462C8">
        <w:rPr>
          <w:sz w:val="22"/>
          <w:szCs w:val="22"/>
        </w:rPr>
        <w:t xml:space="preserve"> (2007</w:t>
      </w:r>
      <w:r w:rsidRPr="00947F58">
        <w:rPr>
          <w:sz w:val="22"/>
          <w:szCs w:val="22"/>
        </w:rPr>
        <w:t xml:space="preserve">), who found that </w:t>
      </w:r>
      <w:r w:rsidRPr="00947F58">
        <w:rPr>
          <w:rStyle w:val="Emphasis"/>
          <w:rFonts w:eastAsiaTheme="majorEastAsia"/>
          <w:sz w:val="22"/>
          <w:szCs w:val="22"/>
        </w:rPr>
        <w:t xml:space="preserve">A. </w:t>
      </w:r>
      <w:proofErr w:type="spellStart"/>
      <w:r w:rsidRPr="00947F58">
        <w:rPr>
          <w:rStyle w:val="Emphasis"/>
          <w:rFonts w:eastAsiaTheme="majorEastAsia"/>
          <w:sz w:val="22"/>
          <w:szCs w:val="22"/>
        </w:rPr>
        <w:t>niger</w:t>
      </w:r>
      <w:proofErr w:type="spellEnd"/>
      <w:r w:rsidRPr="00947F58">
        <w:rPr>
          <w:sz w:val="22"/>
          <w:szCs w:val="22"/>
        </w:rPr>
        <w:t xml:space="preserve"> and related filamentous fungi generally produce maximum amylase yields within the pH range of 6.0–7.5, with significant declines under more acidi</w:t>
      </w:r>
      <w:r w:rsidR="003462C8">
        <w:rPr>
          <w:sz w:val="22"/>
          <w:szCs w:val="22"/>
        </w:rPr>
        <w:t xml:space="preserve">c or alkaline conditions. </w:t>
      </w:r>
      <w:proofErr w:type="spellStart"/>
      <w:r w:rsidR="003462C8">
        <w:rPr>
          <w:sz w:val="22"/>
          <w:szCs w:val="22"/>
        </w:rPr>
        <w:t>Elyasi</w:t>
      </w:r>
      <w:proofErr w:type="spellEnd"/>
      <w:r w:rsidR="003462C8">
        <w:rPr>
          <w:sz w:val="22"/>
          <w:szCs w:val="22"/>
        </w:rPr>
        <w:t xml:space="preserve"> Far</w:t>
      </w:r>
      <w:r w:rsidRPr="00947F58">
        <w:rPr>
          <w:sz w:val="22"/>
          <w:szCs w:val="22"/>
        </w:rPr>
        <w:t xml:space="preserve"> </w:t>
      </w:r>
      <w:r w:rsidRPr="00947F58">
        <w:rPr>
          <w:i/>
          <w:sz w:val="22"/>
          <w:szCs w:val="22"/>
        </w:rPr>
        <w:t>et al</w:t>
      </w:r>
      <w:r w:rsidR="003462C8">
        <w:rPr>
          <w:sz w:val="22"/>
          <w:szCs w:val="22"/>
        </w:rPr>
        <w:t>. (2020</w:t>
      </w:r>
      <w:r w:rsidRPr="00947F58">
        <w:rPr>
          <w:sz w:val="22"/>
          <w:szCs w:val="22"/>
        </w:rPr>
        <w:t>) also emphasized that pH is a critical factor influencing both enzyme activity and stability, and deviations from the optimum often result in reduced yields. Carbon concentration also had a profound effect</w:t>
      </w:r>
      <w:r w:rsidR="00947F58" w:rsidRPr="00947F58">
        <w:rPr>
          <w:sz w:val="22"/>
          <w:szCs w:val="22"/>
        </w:rPr>
        <w:t xml:space="preserve"> on α-amylase production (Fig. </w:t>
      </w:r>
      <w:r w:rsidRPr="00947F58">
        <w:rPr>
          <w:sz w:val="22"/>
          <w:szCs w:val="22"/>
        </w:rPr>
        <w:t xml:space="preserve">6). The maximum yield (61.3 U/ml) was observed when the fermentation medium was supplemented with a carbon ratio concentration of 2:2% corn cob and orange mesocarp, whereas the least yield (22.8 U/ml) was recorded at a ratio of 4:0%. The enhanced production at the balanced ratio reflects the synergistic effect of combining two agro-residues, which likely provided complementary nutrient profiles and improved substrate availability for </w:t>
      </w:r>
      <w:r w:rsidRPr="00947F58">
        <w:rPr>
          <w:rStyle w:val="Emphasis"/>
          <w:rFonts w:eastAsiaTheme="majorEastAsia"/>
          <w:sz w:val="22"/>
          <w:szCs w:val="22"/>
        </w:rPr>
        <w:t xml:space="preserve">Aspergillus </w:t>
      </w:r>
      <w:proofErr w:type="spellStart"/>
      <w:r w:rsidRPr="00947F58">
        <w:rPr>
          <w:rStyle w:val="Emphasis"/>
          <w:rFonts w:eastAsiaTheme="majorEastAsia"/>
          <w:sz w:val="22"/>
          <w:szCs w:val="22"/>
        </w:rPr>
        <w:t>niger</w:t>
      </w:r>
      <w:proofErr w:type="spellEnd"/>
      <w:r w:rsidRPr="00947F58">
        <w:rPr>
          <w:sz w:val="22"/>
          <w:szCs w:val="22"/>
        </w:rPr>
        <w:t>. Adequate carbon supply not only supports fungal growth but also stimulates the secretion of hydrolytic enzymes such as α-amylase through induction mechanisms (</w:t>
      </w:r>
      <w:r w:rsidR="003462C8">
        <w:rPr>
          <w:sz w:val="22"/>
          <w:szCs w:val="22"/>
        </w:rPr>
        <w:t>Salman</w:t>
      </w:r>
      <w:r w:rsidRPr="00947F58">
        <w:rPr>
          <w:sz w:val="22"/>
          <w:szCs w:val="22"/>
        </w:rPr>
        <w:t xml:space="preserve"> </w:t>
      </w:r>
      <w:r w:rsidRPr="00947F58">
        <w:rPr>
          <w:i/>
          <w:sz w:val="22"/>
          <w:szCs w:val="22"/>
        </w:rPr>
        <w:t>et al</w:t>
      </w:r>
      <w:r w:rsidR="003462C8">
        <w:rPr>
          <w:sz w:val="22"/>
          <w:szCs w:val="22"/>
        </w:rPr>
        <w:t xml:space="preserve">., 2016; </w:t>
      </w:r>
      <w:proofErr w:type="spellStart"/>
      <w:r w:rsidR="003462C8">
        <w:rPr>
          <w:sz w:val="22"/>
          <w:szCs w:val="22"/>
        </w:rPr>
        <w:t>Elyasi</w:t>
      </w:r>
      <w:proofErr w:type="spellEnd"/>
      <w:r w:rsidR="003462C8">
        <w:rPr>
          <w:sz w:val="22"/>
          <w:szCs w:val="22"/>
        </w:rPr>
        <w:t xml:space="preserve"> Far</w:t>
      </w:r>
      <w:r w:rsidRPr="00947F58">
        <w:rPr>
          <w:sz w:val="22"/>
          <w:szCs w:val="22"/>
        </w:rPr>
        <w:t xml:space="preserve"> </w:t>
      </w:r>
      <w:r w:rsidRPr="00947F58">
        <w:rPr>
          <w:i/>
          <w:sz w:val="22"/>
          <w:szCs w:val="22"/>
        </w:rPr>
        <w:t>et al</w:t>
      </w:r>
      <w:r w:rsidR="003462C8">
        <w:rPr>
          <w:sz w:val="22"/>
          <w:szCs w:val="22"/>
        </w:rPr>
        <w:t>., 2020</w:t>
      </w:r>
      <w:r w:rsidRPr="00947F58">
        <w:rPr>
          <w:sz w:val="22"/>
          <w:szCs w:val="22"/>
        </w:rPr>
        <w:t>).</w:t>
      </w:r>
    </w:p>
    <w:p w:rsidR="007E013C" w:rsidRDefault="00E965A3" w:rsidP="00E965A3">
      <w:pPr>
        <w:pStyle w:val="NormalWeb"/>
        <w:jc w:val="both"/>
        <w:rPr>
          <w:sz w:val="22"/>
          <w:szCs w:val="22"/>
        </w:rPr>
      </w:pPr>
      <w:r w:rsidRPr="00947F58">
        <w:rPr>
          <w:sz w:val="22"/>
          <w:szCs w:val="22"/>
        </w:rPr>
        <w:t xml:space="preserve"> At the optimal 2:2% ratio, the availability of diverse carbon sources may have enhanced metabolic flux toward amylase biosynthesis, while also preventing early nutrient exhaustion. In contrast, the reduced production observed at the 4:0% ratio suggests that reliance on a single carbon source can impose metabolic limitations, reduced enzyme induction, or even catabolite repression when one </w:t>
      </w:r>
      <w:r w:rsidR="003462C8">
        <w:rPr>
          <w:sz w:val="22"/>
          <w:szCs w:val="22"/>
        </w:rPr>
        <w:t xml:space="preserve">carbon dominates the </w:t>
      </w:r>
      <w:r w:rsidR="003462C8">
        <w:rPr>
          <w:sz w:val="22"/>
          <w:szCs w:val="22"/>
        </w:rPr>
        <w:lastRenderedPageBreak/>
        <w:t>medium (</w:t>
      </w:r>
      <w:proofErr w:type="spellStart"/>
      <w:r w:rsidR="003462C8">
        <w:rPr>
          <w:sz w:val="22"/>
          <w:szCs w:val="22"/>
        </w:rPr>
        <w:t>Elyasi</w:t>
      </w:r>
      <w:proofErr w:type="spellEnd"/>
      <w:r w:rsidR="003462C8">
        <w:rPr>
          <w:sz w:val="22"/>
          <w:szCs w:val="22"/>
        </w:rPr>
        <w:t xml:space="preserve"> Far</w:t>
      </w:r>
      <w:r w:rsidRPr="00947F58">
        <w:rPr>
          <w:sz w:val="22"/>
          <w:szCs w:val="22"/>
        </w:rPr>
        <w:t xml:space="preserve"> </w:t>
      </w:r>
      <w:r w:rsidRPr="00947F58">
        <w:rPr>
          <w:i/>
          <w:sz w:val="22"/>
          <w:szCs w:val="22"/>
        </w:rPr>
        <w:t>et al</w:t>
      </w:r>
      <w:r w:rsidR="003462C8">
        <w:rPr>
          <w:sz w:val="22"/>
          <w:szCs w:val="22"/>
        </w:rPr>
        <w:t>., 2020</w:t>
      </w:r>
      <w:r w:rsidRPr="00947F58">
        <w:rPr>
          <w:sz w:val="22"/>
          <w:szCs w:val="22"/>
        </w:rPr>
        <w:t>). Furthermore, imbalanced carbon supplementation can cause suboptimal nutrient assimilation and reduced extracellular enzyme secretion efficiency. Similar findings have been reported in substrate optimization studies for fungal enzymes, where mixed agro-residues supported higher yields compared to single-substrate systems due to their richer nutrient diversity and better support f</w:t>
      </w:r>
      <w:r w:rsidR="00911A01">
        <w:rPr>
          <w:sz w:val="22"/>
          <w:szCs w:val="22"/>
        </w:rPr>
        <w:t>or microbial metabolism (Karatas</w:t>
      </w:r>
      <w:r w:rsidRPr="00947F58">
        <w:rPr>
          <w:sz w:val="22"/>
          <w:szCs w:val="22"/>
        </w:rPr>
        <w:t xml:space="preserve"> </w:t>
      </w:r>
      <w:r w:rsidRPr="00947F58">
        <w:rPr>
          <w:i/>
          <w:sz w:val="22"/>
          <w:szCs w:val="22"/>
        </w:rPr>
        <w:t>et al.,</w:t>
      </w:r>
      <w:r w:rsidR="00911A01">
        <w:rPr>
          <w:sz w:val="22"/>
          <w:szCs w:val="22"/>
        </w:rPr>
        <w:t xml:space="preserve"> 2013; </w:t>
      </w:r>
      <w:proofErr w:type="spellStart"/>
      <w:r w:rsidR="00911A01">
        <w:rPr>
          <w:sz w:val="22"/>
          <w:szCs w:val="22"/>
        </w:rPr>
        <w:t>Elyasi</w:t>
      </w:r>
      <w:proofErr w:type="spellEnd"/>
      <w:r w:rsidR="00911A01">
        <w:rPr>
          <w:sz w:val="22"/>
          <w:szCs w:val="22"/>
        </w:rPr>
        <w:t xml:space="preserve"> Far</w:t>
      </w:r>
      <w:r w:rsidRPr="00947F58">
        <w:rPr>
          <w:sz w:val="22"/>
          <w:szCs w:val="22"/>
        </w:rPr>
        <w:t xml:space="preserve"> </w:t>
      </w:r>
      <w:r w:rsidRPr="00947F58">
        <w:rPr>
          <w:i/>
          <w:sz w:val="22"/>
          <w:szCs w:val="22"/>
        </w:rPr>
        <w:t>et al</w:t>
      </w:r>
      <w:r w:rsidR="00911A01">
        <w:rPr>
          <w:sz w:val="22"/>
          <w:szCs w:val="22"/>
        </w:rPr>
        <w:t>., 2020</w:t>
      </w:r>
      <w:r w:rsidRPr="00947F58">
        <w:rPr>
          <w:sz w:val="22"/>
          <w:szCs w:val="22"/>
        </w:rPr>
        <w:t>). Importantly, the maximum yield obtained in this study (61.3 U/ml) compares favorably with values from conventional starch- or sugar-based systems, which often report lower α-amylase titers under compara</w:t>
      </w:r>
      <w:r w:rsidR="00911A01">
        <w:rPr>
          <w:sz w:val="22"/>
          <w:szCs w:val="22"/>
        </w:rPr>
        <w:t>ble fermentation conditions (Saxena and Singh, 2011</w:t>
      </w:r>
      <w:r w:rsidR="00A62B51">
        <w:rPr>
          <w:sz w:val="22"/>
          <w:szCs w:val="22"/>
        </w:rPr>
        <w:t xml:space="preserve">; Juwon and Emmanuel, </w:t>
      </w:r>
      <w:r w:rsidR="00A62B51" w:rsidRPr="00E26458">
        <w:rPr>
          <w:sz w:val="22"/>
          <w:szCs w:val="22"/>
        </w:rPr>
        <w:t>2012</w:t>
      </w:r>
      <w:r w:rsidRPr="00947F58">
        <w:rPr>
          <w:sz w:val="22"/>
          <w:szCs w:val="22"/>
        </w:rPr>
        <w:t xml:space="preserve">). </w:t>
      </w:r>
    </w:p>
    <w:p w:rsidR="007E013C" w:rsidRDefault="00E965A3" w:rsidP="00E965A3">
      <w:pPr>
        <w:pStyle w:val="NormalWeb"/>
        <w:jc w:val="both"/>
        <w:rPr>
          <w:sz w:val="22"/>
          <w:szCs w:val="22"/>
        </w:rPr>
      </w:pPr>
      <w:r w:rsidRPr="00947F58">
        <w:rPr>
          <w:sz w:val="22"/>
          <w:szCs w:val="22"/>
        </w:rPr>
        <w:t>Nitrogen concentration also had a profound effect</w:t>
      </w:r>
      <w:r w:rsidR="00D051CA" w:rsidRPr="00947F58">
        <w:rPr>
          <w:sz w:val="22"/>
          <w:szCs w:val="22"/>
        </w:rPr>
        <w:t xml:space="preserve"> on α-amylase production (Fig. </w:t>
      </w:r>
      <w:r w:rsidRPr="00947F58">
        <w:rPr>
          <w:sz w:val="22"/>
          <w:szCs w:val="22"/>
        </w:rPr>
        <w:t xml:space="preserve">7). The maximum yield (68.3 U/ml) was obtained at 0.50% nitrogen supplementation, indicating that balanced nitrogen availability plays a critical role in enzyme biosynthesis. Nitrogen serves not only as a fundamental nutrient for fungal growth but also as a regulatory factor influencing the expression of hydrolytic enzymes such as α-amylase. Optimal supplementation ensures that </w:t>
      </w:r>
      <w:r w:rsidRPr="00947F58">
        <w:rPr>
          <w:rStyle w:val="Emphasis"/>
          <w:rFonts w:eastAsiaTheme="majorEastAsia"/>
          <w:sz w:val="22"/>
          <w:szCs w:val="22"/>
        </w:rPr>
        <w:t xml:space="preserve">Aspergillus </w:t>
      </w:r>
      <w:proofErr w:type="spellStart"/>
      <w:r w:rsidRPr="00947F58">
        <w:rPr>
          <w:rStyle w:val="Emphasis"/>
          <w:rFonts w:eastAsiaTheme="majorEastAsia"/>
          <w:sz w:val="22"/>
          <w:szCs w:val="22"/>
        </w:rPr>
        <w:t>niger</w:t>
      </w:r>
      <w:proofErr w:type="spellEnd"/>
      <w:r w:rsidRPr="00947F58">
        <w:rPr>
          <w:sz w:val="22"/>
          <w:szCs w:val="22"/>
        </w:rPr>
        <w:t xml:space="preserve"> maintains sufficient metabolic activity for protein synthesis, including enzyme production, without diverting resources excessively towa</w:t>
      </w:r>
      <w:r w:rsidR="00911A01">
        <w:rPr>
          <w:sz w:val="22"/>
          <w:szCs w:val="22"/>
        </w:rPr>
        <w:t>rd biomass accumulation (Salman</w:t>
      </w:r>
      <w:r w:rsidRPr="00947F58">
        <w:rPr>
          <w:sz w:val="22"/>
          <w:szCs w:val="22"/>
        </w:rPr>
        <w:t xml:space="preserve"> </w:t>
      </w:r>
      <w:r w:rsidRPr="00947F58">
        <w:rPr>
          <w:i/>
          <w:sz w:val="22"/>
          <w:szCs w:val="22"/>
        </w:rPr>
        <w:t>et al</w:t>
      </w:r>
      <w:r w:rsidR="00911A01">
        <w:rPr>
          <w:sz w:val="22"/>
          <w:szCs w:val="22"/>
        </w:rPr>
        <w:t xml:space="preserve">., 2016; </w:t>
      </w:r>
      <w:proofErr w:type="spellStart"/>
      <w:r w:rsidR="00911A01">
        <w:rPr>
          <w:sz w:val="22"/>
          <w:szCs w:val="22"/>
        </w:rPr>
        <w:t>Elyasi</w:t>
      </w:r>
      <w:proofErr w:type="spellEnd"/>
      <w:r w:rsidR="00911A01">
        <w:rPr>
          <w:sz w:val="22"/>
          <w:szCs w:val="22"/>
        </w:rPr>
        <w:t xml:space="preserve"> Far</w:t>
      </w:r>
      <w:r w:rsidRPr="00947F58">
        <w:rPr>
          <w:sz w:val="22"/>
          <w:szCs w:val="22"/>
        </w:rPr>
        <w:t xml:space="preserve"> </w:t>
      </w:r>
      <w:r w:rsidRPr="00947F58">
        <w:rPr>
          <w:i/>
          <w:sz w:val="22"/>
          <w:szCs w:val="22"/>
        </w:rPr>
        <w:t>et al</w:t>
      </w:r>
      <w:r w:rsidR="003705F8">
        <w:rPr>
          <w:sz w:val="22"/>
          <w:szCs w:val="22"/>
        </w:rPr>
        <w:t>., 2020</w:t>
      </w:r>
      <w:r w:rsidRPr="00947F58">
        <w:rPr>
          <w:sz w:val="22"/>
          <w:szCs w:val="22"/>
        </w:rPr>
        <w:t xml:space="preserve">). </w:t>
      </w:r>
    </w:p>
    <w:p w:rsidR="00E965A3" w:rsidRPr="00947F58" w:rsidRDefault="00E965A3" w:rsidP="00E965A3">
      <w:pPr>
        <w:pStyle w:val="NormalWeb"/>
        <w:jc w:val="both"/>
        <w:rPr>
          <w:sz w:val="22"/>
          <w:szCs w:val="22"/>
        </w:rPr>
      </w:pPr>
      <w:r w:rsidRPr="00947F58">
        <w:rPr>
          <w:sz w:val="22"/>
          <w:szCs w:val="22"/>
        </w:rPr>
        <w:t>The enhanced production at 0.50% nitrogen reflects the balance between primary metabolism for growth and secondary metabolism for enzyme secretion. At suboptimal concentrations, nitrogen limitation can restrict fungal growth and enzymatic activity, while excessive nitrogen availability is known to suppress extracellular enzyme production due to catabolite repression and a shift tow</w:t>
      </w:r>
      <w:r w:rsidR="00911A01">
        <w:rPr>
          <w:sz w:val="22"/>
          <w:szCs w:val="22"/>
        </w:rPr>
        <w:t>ard maintenance metabolism (</w:t>
      </w:r>
      <w:proofErr w:type="spellStart"/>
      <w:r w:rsidR="00B41E35" w:rsidRPr="00E26458">
        <w:rPr>
          <w:sz w:val="22"/>
          <w:szCs w:val="22"/>
        </w:rPr>
        <w:t>Suribabu</w:t>
      </w:r>
      <w:proofErr w:type="spellEnd"/>
      <w:r w:rsidR="00B41E35">
        <w:rPr>
          <w:sz w:val="22"/>
          <w:szCs w:val="22"/>
        </w:rPr>
        <w:t xml:space="preserve"> </w:t>
      </w:r>
      <w:r w:rsidR="00B41E35" w:rsidRPr="00B41E35">
        <w:rPr>
          <w:i/>
          <w:sz w:val="22"/>
          <w:szCs w:val="22"/>
        </w:rPr>
        <w:t>et al</w:t>
      </w:r>
      <w:r w:rsidR="00B41E35">
        <w:rPr>
          <w:sz w:val="22"/>
          <w:szCs w:val="22"/>
        </w:rPr>
        <w:t xml:space="preserve">., 2014; </w:t>
      </w:r>
      <w:proofErr w:type="spellStart"/>
      <w:r w:rsidR="00911A01">
        <w:rPr>
          <w:sz w:val="22"/>
          <w:szCs w:val="22"/>
        </w:rPr>
        <w:t>Elyasi</w:t>
      </w:r>
      <w:proofErr w:type="spellEnd"/>
      <w:r w:rsidR="00911A01">
        <w:rPr>
          <w:sz w:val="22"/>
          <w:szCs w:val="22"/>
        </w:rPr>
        <w:t xml:space="preserve"> Far</w:t>
      </w:r>
      <w:r w:rsidR="00911A01" w:rsidRPr="00947F58">
        <w:rPr>
          <w:sz w:val="22"/>
          <w:szCs w:val="22"/>
        </w:rPr>
        <w:t xml:space="preserve"> </w:t>
      </w:r>
      <w:r w:rsidR="00911A01" w:rsidRPr="00947F58">
        <w:rPr>
          <w:i/>
          <w:sz w:val="22"/>
          <w:szCs w:val="22"/>
        </w:rPr>
        <w:t>et al</w:t>
      </w:r>
      <w:r w:rsidR="00911A01">
        <w:rPr>
          <w:sz w:val="22"/>
          <w:szCs w:val="22"/>
        </w:rPr>
        <w:t>., 2020</w:t>
      </w:r>
      <w:r w:rsidRPr="00947F58">
        <w:rPr>
          <w:sz w:val="22"/>
          <w:szCs w:val="22"/>
        </w:rPr>
        <w:t xml:space="preserve">). This explains why the yield peaked at the intermediate level of 0.50%, which appears to provide the most favorable metabolic environment for α-amylase secretion. Similar trends have been reported in other fungal enzyme optimization studies, where moderate nitrogen supplementation supported higher yields compared to either very low or </w:t>
      </w:r>
      <w:r w:rsidR="00911A01">
        <w:rPr>
          <w:sz w:val="22"/>
          <w:szCs w:val="22"/>
        </w:rPr>
        <w:t>excessively high levels (Karatas</w:t>
      </w:r>
      <w:r w:rsidRPr="00947F58">
        <w:rPr>
          <w:sz w:val="22"/>
          <w:szCs w:val="22"/>
        </w:rPr>
        <w:t xml:space="preserve"> </w:t>
      </w:r>
      <w:r w:rsidRPr="00947F58">
        <w:rPr>
          <w:i/>
          <w:sz w:val="22"/>
          <w:szCs w:val="22"/>
        </w:rPr>
        <w:t>et al</w:t>
      </w:r>
      <w:r w:rsidR="00911A01">
        <w:rPr>
          <w:sz w:val="22"/>
          <w:szCs w:val="22"/>
        </w:rPr>
        <w:t xml:space="preserve">., 2013; </w:t>
      </w:r>
      <w:proofErr w:type="spellStart"/>
      <w:r w:rsidR="00911A01">
        <w:rPr>
          <w:sz w:val="22"/>
          <w:szCs w:val="22"/>
        </w:rPr>
        <w:t>Elyasi</w:t>
      </w:r>
      <w:proofErr w:type="spellEnd"/>
      <w:r w:rsidR="00911A01">
        <w:rPr>
          <w:sz w:val="22"/>
          <w:szCs w:val="22"/>
        </w:rPr>
        <w:t xml:space="preserve"> Far</w:t>
      </w:r>
      <w:r w:rsidR="00911A01" w:rsidRPr="00947F58">
        <w:rPr>
          <w:sz w:val="22"/>
          <w:szCs w:val="22"/>
        </w:rPr>
        <w:t xml:space="preserve"> </w:t>
      </w:r>
      <w:r w:rsidR="00911A01" w:rsidRPr="00947F58">
        <w:rPr>
          <w:i/>
          <w:sz w:val="22"/>
          <w:szCs w:val="22"/>
        </w:rPr>
        <w:t>et al</w:t>
      </w:r>
      <w:r w:rsidR="00911A01">
        <w:rPr>
          <w:sz w:val="22"/>
          <w:szCs w:val="22"/>
        </w:rPr>
        <w:t>., 2020</w:t>
      </w:r>
      <w:r w:rsidRPr="00947F58">
        <w:rPr>
          <w:sz w:val="22"/>
          <w:szCs w:val="22"/>
        </w:rPr>
        <w:t>). Importantly, the maximum yield recorded in this study (68.3 U/ml) compares favorably with values from conventional fermentations using refined nitrogen sources, which often achieve lower titers u</w:t>
      </w:r>
      <w:r w:rsidR="00911A01">
        <w:rPr>
          <w:sz w:val="22"/>
          <w:szCs w:val="22"/>
        </w:rPr>
        <w:t>nder comparable conditions (Saxena and Singh, 2011</w:t>
      </w:r>
      <w:r w:rsidR="00B87AA0">
        <w:rPr>
          <w:sz w:val="22"/>
          <w:szCs w:val="22"/>
        </w:rPr>
        <w:t xml:space="preserve">; </w:t>
      </w:r>
      <w:r w:rsidR="00B87AA0" w:rsidRPr="00E26458">
        <w:rPr>
          <w:sz w:val="22"/>
          <w:szCs w:val="22"/>
        </w:rPr>
        <w:t>Kalai</w:t>
      </w:r>
      <w:r w:rsidR="00B87AA0">
        <w:rPr>
          <w:sz w:val="22"/>
          <w:szCs w:val="22"/>
        </w:rPr>
        <w:t>arasi and Parvatham,</w:t>
      </w:r>
      <w:r w:rsidR="00B87AA0" w:rsidRPr="00E26458">
        <w:rPr>
          <w:sz w:val="22"/>
          <w:szCs w:val="22"/>
        </w:rPr>
        <w:t xml:space="preserve"> 2015</w:t>
      </w:r>
      <w:r w:rsidRPr="00947F58">
        <w:rPr>
          <w:sz w:val="22"/>
          <w:szCs w:val="22"/>
        </w:rPr>
        <w:t>).</w:t>
      </w:r>
    </w:p>
    <w:p w:rsidR="00E965A3" w:rsidRPr="00947F58" w:rsidRDefault="00E965A3" w:rsidP="00E965A3">
      <w:pPr>
        <w:outlineLvl w:val="2"/>
        <w:rPr>
          <w:rFonts w:ascii="Times New Roman" w:hAnsi="Times New Roman" w:cs="Times New Roman"/>
          <w:b/>
          <w:bCs/>
        </w:rPr>
      </w:pPr>
      <w:r w:rsidRPr="00947F58">
        <w:rPr>
          <w:rFonts w:ascii="Times New Roman" w:hAnsi="Times New Roman" w:cs="Times New Roman"/>
          <w:b/>
          <w:bCs/>
        </w:rPr>
        <w:t>Conclusion</w:t>
      </w:r>
    </w:p>
    <w:p w:rsidR="00E965A3" w:rsidRPr="00947F58" w:rsidRDefault="00E965A3" w:rsidP="00E965A3">
      <w:pPr>
        <w:jc w:val="both"/>
        <w:rPr>
          <w:rFonts w:ascii="Times New Roman" w:hAnsi="Times New Roman" w:cs="Times New Roman"/>
        </w:rPr>
      </w:pPr>
      <w:r w:rsidRPr="00947F58">
        <w:rPr>
          <w:rFonts w:ascii="Times New Roman" w:hAnsi="Times New Roman" w:cs="Times New Roman"/>
        </w:rPr>
        <w:t xml:space="preserve">This study demonstrated that dumpsite soils </w:t>
      </w:r>
      <w:proofErr w:type="spellStart"/>
      <w:r w:rsidRPr="00947F58">
        <w:rPr>
          <w:rFonts w:ascii="Times New Roman" w:hAnsi="Times New Roman" w:cs="Times New Roman"/>
        </w:rPr>
        <w:t>harbor</w:t>
      </w:r>
      <w:proofErr w:type="spellEnd"/>
      <w:r w:rsidRPr="00947F58">
        <w:rPr>
          <w:rFonts w:ascii="Times New Roman" w:hAnsi="Times New Roman" w:cs="Times New Roman"/>
        </w:rPr>
        <w:t xml:space="preserve"> diverse fungal communities with significant metabolic potential, including </w:t>
      </w:r>
      <w:r w:rsidRPr="00947F58">
        <w:rPr>
          <w:rFonts w:ascii="Times New Roman" w:hAnsi="Times New Roman" w:cs="Times New Roman"/>
          <w:i/>
          <w:iCs/>
        </w:rPr>
        <w:t>Aspergillus</w:t>
      </w:r>
      <w:r w:rsidRPr="00947F58">
        <w:rPr>
          <w:rFonts w:ascii="Times New Roman" w:hAnsi="Times New Roman" w:cs="Times New Roman"/>
        </w:rPr>
        <w:t xml:space="preserve">, </w:t>
      </w:r>
      <w:r w:rsidRPr="00947F58">
        <w:rPr>
          <w:rFonts w:ascii="Times New Roman" w:hAnsi="Times New Roman" w:cs="Times New Roman"/>
          <w:i/>
          <w:iCs/>
        </w:rPr>
        <w:t>Rhizopus</w:t>
      </w:r>
      <w:r w:rsidRPr="00947F58">
        <w:rPr>
          <w:rFonts w:ascii="Times New Roman" w:hAnsi="Times New Roman" w:cs="Times New Roman"/>
        </w:rPr>
        <w:t xml:space="preserve">, </w:t>
      </w:r>
      <w:r w:rsidRPr="00947F58">
        <w:rPr>
          <w:rFonts w:ascii="Times New Roman" w:hAnsi="Times New Roman" w:cs="Times New Roman"/>
          <w:i/>
          <w:iCs/>
        </w:rPr>
        <w:t>Fusarium</w:t>
      </w:r>
      <w:r w:rsidRPr="00947F58">
        <w:rPr>
          <w:rFonts w:ascii="Times New Roman" w:hAnsi="Times New Roman" w:cs="Times New Roman"/>
        </w:rPr>
        <w:t xml:space="preserve">, and </w:t>
      </w:r>
      <w:r w:rsidRPr="00947F58">
        <w:rPr>
          <w:rFonts w:ascii="Times New Roman" w:hAnsi="Times New Roman" w:cs="Times New Roman"/>
          <w:i/>
          <w:iCs/>
        </w:rPr>
        <w:t>Penicillium</w:t>
      </w:r>
      <w:r w:rsidRPr="00947F58">
        <w:rPr>
          <w:rFonts w:ascii="Times New Roman" w:hAnsi="Times New Roman" w:cs="Times New Roman"/>
        </w:rPr>
        <w:t xml:space="preserve"> species. Enumeration revealed that soil sample SB supported the highest fungal load (4.2 × 10⁴ CFU/g), while (SC) recorded the lowest (3.3 × 10⁴ CFU/g), reflecting differences in organic matter composition and microenvironmental conditions across the dumpsite. Screening of isolates highlighted SB2 as the most efficient α-amylase producer, exhibiting a clearance zone of (26 mm), whereas (SB3) showed the least activity (5 mm), underscoring the strain-dependent variability in enzymatic potential. Proximate analysis confirmed that corn cob and orange mesocarp are nutrient-rich, low-cost agro-residues suitable for microbial fermentation, with high carbohydrate content (75.87% and 68.79%, respectively) supporting amylolytic activity. Fermentation parameter optimization revealed that α-amylase production was strongly influenced by fermentation time, inoculum size, pH, carbon ratio concentration, and nitrogen supplementation. Maximum yield (68.3 U/ml) was obtained under optimal conditions of 48 h fermentation, 3.0 mL inoculum, pH 7.0, a balanced 2:2% carbon ratio of corn cob to orange mesocarp, and 0.50% nitrogen supplementation respectively.</w:t>
      </w:r>
    </w:p>
    <w:p w:rsidR="00193807" w:rsidRPr="00573CD5" w:rsidRDefault="00193807" w:rsidP="00193807">
      <w:pPr>
        <w:keepNext/>
        <w:keepLines/>
        <w:spacing w:before="120" w:after="120" w:line="360" w:lineRule="auto"/>
        <w:jc w:val="both"/>
        <w:outlineLvl w:val="1"/>
        <w:rPr>
          <w:rFonts w:ascii="Times New Roman" w:eastAsia="Times New Roman" w:hAnsi="Times New Roman" w:cs="Times New Roman"/>
          <w:b/>
          <w:bCs/>
          <w:kern w:val="0"/>
          <w:sz w:val="24"/>
          <w:szCs w:val="24"/>
          <w:highlight w:val="yellow"/>
          <w:lang w:eastAsia="en-IN"/>
        </w:rPr>
      </w:pPr>
      <w:bookmarkStart w:id="5" w:name="_Hlk218867759"/>
      <w:r w:rsidRPr="00573CD5">
        <w:rPr>
          <w:rFonts w:ascii="Times New Roman" w:eastAsia="Times New Roman" w:hAnsi="Times New Roman" w:cs="Times New Roman"/>
          <w:b/>
          <w:bCs/>
          <w:kern w:val="0"/>
          <w:sz w:val="24"/>
          <w:szCs w:val="24"/>
          <w:highlight w:val="yellow"/>
          <w:lang w:eastAsia="en-IN"/>
        </w:rPr>
        <w:lastRenderedPageBreak/>
        <w:t>Disclaimer (Artificial intelligence)</w:t>
      </w:r>
    </w:p>
    <w:p w:rsidR="00193807" w:rsidRPr="00193807" w:rsidRDefault="00193807" w:rsidP="00193807">
      <w:pPr>
        <w:keepNext/>
        <w:keepLines/>
        <w:spacing w:before="120" w:after="120" w:line="360" w:lineRule="auto"/>
        <w:jc w:val="both"/>
        <w:outlineLvl w:val="1"/>
        <w:rPr>
          <w:rFonts w:ascii="Times New Roman" w:eastAsia="Times New Roman" w:hAnsi="Times New Roman" w:cs="Times New Roman"/>
          <w:bCs/>
          <w:kern w:val="0"/>
          <w:sz w:val="24"/>
          <w:szCs w:val="24"/>
          <w:lang w:eastAsia="en-IN"/>
        </w:rPr>
      </w:pPr>
      <w:r w:rsidRPr="00193807">
        <w:rPr>
          <w:rFonts w:ascii="Times New Roman" w:eastAsia="Times New Roman" w:hAnsi="Times New Roman" w:cs="Times New Roman"/>
          <w:bCs/>
          <w:kern w:val="0"/>
          <w:sz w:val="24"/>
          <w:szCs w:val="24"/>
          <w:highlight w:val="yellow"/>
          <w:lang w:eastAsia="en-IN"/>
        </w:rPr>
        <w:t>Author(s) hereby declare that NO generative AI technologies such as Large Language Models (</w:t>
      </w:r>
      <w:proofErr w:type="spellStart"/>
      <w:r w:rsidRPr="00193807">
        <w:rPr>
          <w:rFonts w:ascii="Times New Roman" w:eastAsia="Times New Roman" w:hAnsi="Times New Roman" w:cs="Times New Roman"/>
          <w:bCs/>
          <w:kern w:val="0"/>
          <w:sz w:val="24"/>
          <w:szCs w:val="24"/>
          <w:highlight w:val="yellow"/>
          <w:lang w:eastAsia="en-IN"/>
        </w:rPr>
        <w:t>ChatGPT</w:t>
      </w:r>
      <w:proofErr w:type="spellEnd"/>
      <w:r w:rsidRPr="00193807">
        <w:rPr>
          <w:rFonts w:ascii="Times New Roman" w:eastAsia="Times New Roman" w:hAnsi="Times New Roman" w:cs="Times New Roman"/>
          <w:bCs/>
          <w:kern w:val="0"/>
          <w:sz w:val="24"/>
          <w:szCs w:val="24"/>
          <w:highlight w:val="yellow"/>
          <w:lang w:eastAsia="en-IN"/>
        </w:rPr>
        <w:t>, COPILOT, etc.) and text-to-image generators have been used during the writing or editing of this manuscript.</w:t>
      </w:r>
      <w:r w:rsidRPr="00193807">
        <w:rPr>
          <w:rFonts w:ascii="Times New Roman" w:eastAsia="Times New Roman" w:hAnsi="Times New Roman" w:cs="Times New Roman"/>
          <w:bCs/>
          <w:kern w:val="0"/>
          <w:sz w:val="24"/>
          <w:szCs w:val="24"/>
          <w:lang w:eastAsia="en-IN"/>
        </w:rPr>
        <w:t xml:space="preserve"> </w:t>
      </w:r>
    </w:p>
    <w:bookmarkEnd w:id="5"/>
    <w:p w:rsidR="00152586" w:rsidRPr="00947F58" w:rsidRDefault="00152586" w:rsidP="00D13443">
      <w:pPr>
        <w:spacing w:after="240"/>
        <w:rPr>
          <w:rFonts w:ascii="Times New Roman" w:hAnsi="Times New Roman" w:cs="Times New Roman"/>
        </w:rPr>
      </w:pPr>
    </w:p>
    <w:p w:rsidR="00BA6EE6" w:rsidRPr="00BA6EE6" w:rsidRDefault="00BA6EE6" w:rsidP="00BA6EE6">
      <w:pPr>
        <w:rPr>
          <w:rFonts w:ascii="Times New Roman" w:eastAsiaTheme="minorHAnsi" w:hAnsi="Times New Roman" w:cs="Times New Roman"/>
          <w:b/>
        </w:rPr>
      </w:pPr>
      <w:r w:rsidRPr="00BA6EE6">
        <w:rPr>
          <w:rFonts w:ascii="Times New Roman" w:hAnsi="Times New Roman" w:cs="Times New Roman"/>
          <w:b/>
        </w:rPr>
        <w:t xml:space="preserve">REFERENCES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Cerda, A., El-Bakry, M., Gea, T. and Sanchez, A. 2016. Long-term enhanced solid-state fermentation: Inoculation strategies for amylase production from soy and bread wastes by </w:t>
      </w:r>
      <w:proofErr w:type="spellStart"/>
      <w:r w:rsidRPr="00573CD5">
        <w:rPr>
          <w:rFonts w:ascii="Times New Roman" w:hAnsi="Times New Roman" w:cs="Times New Roman"/>
        </w:rPr>
        <w:t>Thermomyces</w:t>
      </w:r>
      <w:proofErr w:type="spellEnd"/>
      <w:r w:rsidRPr="00573CD5">
        <w:rPr>
          <w:rFonts w:ascii="Times New Roman" w:hAnsi="Times New Roman" w:cs="Times New Roman"/>
        </w:rPr>
        <w:t xml:space="preserve"> sp. in a sequential batch operation. J. Environ. Chem. Eng., 4(2): 2394-2401. DOI:10.1016/j. jece.2016.04.022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proofErr w:type="spellStart"/>
      <w:r w:rsidRPr="00573CD5">
        <w:rPr>
          <w:rFonts w:ascii="Times New Roman" w:hAnsi="Times New Roman" w:cs="Times New Roman"/>
        </w:rPr>
        <w:t>Elyasi</w:t>
      </w:r>
      <w:proofErr w:type="spellEnd"/>
      <w:r w:rsidRPr="00573CD5">
        <w:rPr>
          <w:rFonts w:ascii="Times New Roman" w:hAnsi="Times New Roman" w:cs="Times New Roman"/>
        </w:rPr>
        <w:t xml:space="preserve"> Far, B., Ahmadi, Y., </w:t>
      </w:r>
      <w:proofErr w:type="spellStart"/>
      <w:r w:rsidRPr="00573CD5">
        <w:rPr>
          <w:rFonts w:ascii="Times New Roman" w:hAnsi="Times New Roman" w:cs="Times New Roman"/>
        </w:rPr>
        <w:t>Yari</w:t>
      </w:r>
      <w:proofErr w:type="spellEnd"/>
      <w:r w:rsidRPr="00573CD5">
        <w:rPr>
          <w:rFonts w:ascii="Times New Roman" w:hAnsi="Times New Roman" w:cs="Times New Roman"/>
        </w:rPr>
        <w:t xml:space="preserve"> </w:t>
      </w:r>
      <w:proofErr w:type="spellStart"/>
      <w:r w:rsidRPr="00573CD5">
        <w:rPr>
          <w:rFonts w:ascii="Times New Roman" w:hAnsi="Times New Roman" w:cs="Times New Roman"/>
        </w:rPr>
        <w:t>Khosroshahi</w:t>
      </w:r>
      <w:proofErr w:type="spellEnd"/>
      <w:r w:rsidRPr="00573CD5">
        <w:rPr>
          <w:rFonts w:ascii="Times New Roman" w:hAnsi="Times New Roman" w:cs="Times New Roman"/>
        </w:rPr>
        <w:t xml:space="preserve">, A. and </w:t>
      </w:r>
      <w:proofErr w:type="spellStart"/>
      <w:r w:rsidRPr="00573CD5">
        <w:rPr>
          <w:rFonts w:ascii="Times New Roman" w:hAnsi="Times New Roman" w:cs="Times New Roman"/>
        </w:rPr>
        <w:t>Dilmaghani</w:t>
      </w:r>
      <w:proofErr w:type="spellEnd"/>
      <w:r w:rsidRPr="00573CD5">
        <w:rPr>
          <w:rFonts w:ascii="Times New Roman" w:hAnsi="Times New Roman" w:cs="Times New Roman"/>
        </w:rPr>
        <w:t xml:space="preserve">, A. 2020. Microbial alpha-amylase production: progress, challenges, and perspectives. Adv. Pharm. Bull., 10(3): 350-358. DOI:10.34172/ apb.2020.043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Gangadharan, D., </w:t>
      </w:r>
      <w:proofErr w:type="spellStart"/>
      <w:r w:rsidRPr="00573CD5">
        <w:rPr>
          <w:rFonts w:ascii="Times New Roman" w:hAnsi="Times New Roman" w:cs="Times New Roman"/>
        </w:rPr>
        <w:t>Nampoothiri</w:t>
      </w:r>
      <w:proofErr w:type="spellEnd"/>
      <w:r w:rsidRPr="00573CD5">
        <w:rPr>
          <w:rFonts w:ascii="Times New Roman" w:hAnsi="Times New Roman" w:cs="Times New Roman"/>
        </w:rPr>
        <w:t xml:space="preserve">, K. and Pandey, A. 2007. Alpha amylase production by Aspergillus oryzae employing solid-state fermentation. J. Sci. Ind. Res., 66: 621-626.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Juwon, A. D. and Emmanuel, O. F. 2012. Experimental investigations on the effects of carbon and nitrogen sources on concomitant amylase and polygalacturonase production by Trichoderma viride BITRS-1001 in submerged fermentation. </w:t>
      </w:r>
      <w:proofErr w:type="spellStart"/>
      <w:r w:rsidRPr="00573CD5">
        <w:rPr>
          <w:rFonts w:ascii="Times New Roman" w:hAnsi="Times New Roman" w:cs="Times New Roman"/>
        </w:rPr>
        <w:t>Biotechnol</w:t>
      </w:r>
      <w:proofErr w:type="spellEnd"/>
      <w:r w:rsidRPr="00573CD5">
        <w:rPr>
          <w:rFonts w:ascii="Times New Roman" w:hAnsi="Times New Roman" w:cs="Times New Roman"/>
        </w:rPr>
        <w:t xml:space="preserve">. Res. Int., 2: 1-8. DOI:10.1155/2012/904763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Kalaiarasi, K. and Parvatham, R. 2015. Optimization of process parameters for α-amylase production under solid-state fermentation by Aspergillus awamori MTCC 9997. J. Sci. Ind. Res., 74: 286-289.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Karatas, H., Uyar, F., Tolan, V. and Baysal, Z. 2013. Optimization and enhanced production of α-amylase and protease by a newly isolated Bacillus licheniformis ZB-05 under solid-state fermentation. Ann. </w:t>
      </w:r>
      <w:proofErr w:type="spellStart"/>
      <w:r w:rsidRPr="00573CD5">
        <w:rPr>
          <w:rFonts w:ascii="Times New Roman" w:hAnsi="Times New Roman" w:cs="Times New Roman"/>
        </w:rPr>
        <w:t>Microbiol</w:t>
      </w:r>
      <w:proofErr w:type="spellEnd"/>
      <w:r w:rsidRPr="00573CD5">
        <w:rPr>
          <w:rFonts w:ascii="Times New Roman" w:hAnsi="Times New Roman" w:cs="Times New Roman"/>
        </w:rPr>
        <w:t xml:space="preserve">., 63(1): 45-52. DOI:10.1007/s13213-012-0443-6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Sadh, P. K., Duhan, S. and Duhan, J. S. 2018. Agro-industrial wastes and their utilization using solid-state fermentation: a review. </w:t>
      </w:r>
      <w:proofErr w:type="spellStart"/>
      <w:r w:rsidRPr="00573CD5">
        <w:rPr>
          <w:rFonts w:ascii="Times New Roman" w:hAnsi="Times New Roman" w:cs="Times New Roman"/>
        </w:rPr>
        <w:t>Bioresour</w:t>
      </w:r>
      <w:proofErr w:type="spellEnd"/>
      <w:r w:rsidRPr="00573CD5">
        <w:rPr>
          <w:rFonts w:ascii="Times New Roman" w:hAnsi="Times New Roman" w:cs="Times New Roman"/>
        </w:rPr>
        <w:t>. Bioprocess., 5(1): 1. DOI:10.1186/s40643-017-0187-z</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Salman, T., Kamal, M., Ahmed, M., Siddiqa, S. M., Khan, R. A. and Hassan, A. 2016. Medium optimization for the production of amylase by Bacillus subtilis RM16 in shake-flask fermentation. Pak. J. Pharm. Sci., 29(2): 439-444.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Saxena, R. and Singh, R. 2011. Amylase production by solid-state fermentation of agro-industrial wastes using Bacillus sp. Braz. J. </w:t>
      </w:r>
      <w:proofErr w:type="spellStart"/>
      <w:r w:rsidRPr="00573CD5">
        <w:rPr>
          <w:rFonts w:ascii="Times New Roman" w:hAnsi="Times New Roman" w:cs="Times New Roman"/>
        </w:rPr>
        <w:t>Microbiol</w:t>
      </w:r>
      <w:proofErr w:type="spellEnd"/>
      <w:r w:rsidRPr="00573CD5">
        <w:rPr>
          <w:rFonts w:ascii="Times New Roman" w:hAnsi="Times New Roman" w:cs="Times New Roman"/>
        </w:rPr>
        <w:t xml:space="preserve">., 42(4): 1334-1342. DOI:10.1590/S1517-838220110004000014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Singh, P. and Kumar Brahman, L. 2013. Effect of carbon, nitrogen sources, and surfactant on production of α-amylase by Bacillus subtilis. J. Kalash Sci., 1(2): 83-86. </w:t>
      </w:r>
    </w:p>
    <w:p w:rsidR="00BA6EE6" w:rsidRPr="00573CD5" w:rsidRDefault="00BA6EE6" w:rsidP="00573CD5">
      <w:pPr>
        <w:pStyle w:val="ListParagraph"/>
        <w:numPr>
          <w:ilvl w:val="0"/>
          <w:numId w:val="1"/>
        </w:numPr>
        <w:ind w:right="-144"/>
        <w:jc w:val="both"/>
        <w:rPr>
          <w:rFonts w:ascii="Times New Roman" w:eastAsia="Times New Roman" w:hAnsi="Times New Roman" w:cs="Times New Roman"/>
        </w:rPr>
      </w:pPr>
      <w:r w:rsidRPr="00573CD5">
        <w:rPr>
          <w:rFonts w:ascii="Times New Roman" w:hAnsi="Times New Roman" w:cs="Times New Roman"/>
        </w:rPr>
        <w:t xml:space="preserve">Souza, P. M. and Magalhães, P. 2010. Application of microbial α-amylase in industry - A review. Braz. J. </w:t>
      </w:r>
      <w:proofErr w:type="spellStart"/>
      <w:r w:rsidRPr="00573CD5">
        <w:rPr>
          <w:rFonts w:ascii="Times New Roman" w:hAnsi="Times New Roman" w:cs="Times New Roman"/>
        </w:rPr>
        <w:t>Microbiol</w:t>
      </w:r>
      <w:proofErr w:type="spellEnd"/>
      <w:r w:rsidRPr="00573CD5">
        <w:rPr>
          <w:rFonts w:ascii="Times New Roman" w:hAnsi="Times New Roman" w:cs="Times New Roman"/>
        </w:rPr>
        <w:t xml:space="preserve">., 41(4): 850-861. DOI:10.1590/ S1517-83822010000400004 </w:t>
      </w:r>
    </w:p>
    <w:p w:rsidR="00BA6EE6" w:rsidRPr="00573CD5" w:rsidRDefault="00BA6EE6" w:rsidP="00573CD5">
      <w:pPr>
        <w:pStyle w:val="ListParagraph"/>
        <w:numPr>
          <w:ilvl w:val="0"/>
          <w:numId w:val="1"/>
        </w:numPr>
        <w:ind w:right="-144"/>
        <w:jc w:val="both"/>
        <w:rPr>
          <w:rFonts w:ascii="Times New Roman" w:hAnsi="Times New Roman" w:cs="Times New Roman"/>
        </w:rPr>
      </w:pPr>
      <w:proofErr w:type="spellStart"/>
      <w:r w:rsidRPr="00573CD5">
        <w:rPr>
          <w:rFonts w:ascii="Times New Roman" w:hAnsi="Times New Roman" w:cs="Times New Roman"/>
        </w:rPr>
        <w:t>Suribabu</w:t>
      </w:r>
      <w:proofErr w:type="spellEnd"/>
      <w:r w:rsidRPr="00573CD5">
        <w:rPr>
          <w:rFonts w:ascii="Times New Roman" w:hAnsi="Times New Roman" w:cs="Times New Roman"/>
        </w:rPr>
        <w:t xml:space="preserve">, K. Govardhan, T. L. and Hemalatha, K. 2014. Optimization of various nitrogen sources for the production of amylase using </w:t>
      </w:r>
      <w:proofErr w:type="spellStart"/>
      <w:r w:rsidRPr="00573CD5">
        <w:rPr>
          <w:rFonts w:ascii="Times New Roman" w:hAnsi="Times New Roman" w:cs="Times New Roman"/>
        </w:rPr>
        <w:t>Brevibacillus</w:t>
      </w:r>
      <w:proofErr w:type="spellEnd"/>
      <w:r w:rsidRPr="00573CD5">
        <w:rPr>
          <w:rFonts w:ascii="Times New Roman" w:hAnsi="Times New Roman" w:cs="Times New Roman"/>
        </w:rPr>
        <w:t xml:space="preserve"> </w:t>
      </w:r>
      <w:proofErr w:type="spellStart"/>
      <w:r w:rsidRPr="00573CD5">
        <w:rPr>
          <w:rFonts w:ascii="Times New Roman" w:hAnsi="Times New Roman" w:cs="Times New Roman"/>
        </w:rPr>
        <w:t>borstelensis</w:t>
      </w:r>
      <w:proofErr w:type="spellEnd"/>
      <w:r w:rsidRPr="00573CD5">
        <w:rPr>
          <w:rFonts w:ascii="Times New Roman" w:hAnsi="Times New Roman" w:cs="Times New Roman"/>
        </w:rPr>
        <w:t xml:space="preserve"> R1 by submerged fermentation. Int. J. Curr. </w:t>
      </w:r>
      <w:proofErr w:type="spellStart"/>
      <w:r w:rsidRPr="00573CD5">
        <w:rPr>
          <w:rFonts w:ascii="Times New Roman" w:hAnsi="Times New Roman" w:cs="Times New Roman"/>
        </w:rPr>
        <w:t>Microbiol</w:t>
      </w:r>
      <w:proofErr w:type="spellEnd"/>
      <w:r w:rsidRPr="00573CD5">
        <w:rPr>
          <w:rFonts w:ascii="Times New Roman" w:hAnsi="Times New Roman" w:cs="Times New Roman"/>
        </w:rPr>
        <w:t>. App. Sci., 3(4): 791-800.</w:t>
      </w:r>
    </w:p>
    <w:p w:rsidR="00BA6EE6" w:rsidRPr="00573CD5" w:rsidRDefault="00BA6EE6" w:rsidP="00573CD5">
      <w:pPr>
        <w:pStyle w:val="ListParagraph"/>
        <w:numPr>
          <w:ilvl w:val="0"/>
          <w:numId w:val="1"/>
        </w:numPr>
        <w:ind w:right="-144"/>
        <w:jc w:val="both"/>
        <w:rPr>
          <w:rStyle w:val="Hyperlink"/>
          <w:rFonts w:ascii="Times New Roman" w:eastAsiaTheme="minorHAnsi" w:hAnsi="Times New Roman" w:cs="Times New Roman"/>
          <w:color w:val="auto"/>
          <w:u w:val="none"/>
        </w:rPr>
      </w:pPr>
      <w:r w:rsidRPr="00573CD5">
        <w:rPr>
          <w:rFonts w:ascii="Times New Roman" w:hAnsi="Times New Roman" w:cs="Times New Roman"/>
        </w:rPr>
        <w:t xml:space="preserve">Williams, K.F; Sylvanus, M and Chioma, D.M (2025). Production of Glucoamylase from Fungi using Agro Residues as a Substrate. </w:t>
      </w:r>
      <w:r w:rsidRPr="00573CD5">
        <w:rPr>
          <w:rFonts w:ascii="Times New Roman" w:hAnsi="Times New Roman" w:cs="Times New Roman"/>
          <w:i/>
        </w:rPr>
        <w:t>Microbiology Research Journal International</w:t>
      </w:r>
      <w:r w:rsidRPr="00573CD5">
        <w:rPr>
          <w:rFonts w:ascii="Times New Roman" w:hAnsi="Times New Roman" w:cs="Times New Roman"/>
        </w:rPr>
        <w:t xml:space="preserve">, 35 (6):68-81. </w:t>
      </w:r>
      <w:r w:rsidRPr="00573CD5">
        <w:rPr>
          <w:rStyle w:val="bold"/>
          <w:rFonts w:ascii="Times New Roman" w:hAnsi="Times New Roman" w:cs="Times New Roman"/>
          <w:bCs/>
          <w:shd w:val="clear" w:color="auto" w:fill="FFFFFF"/>
        </w:rPr>
        <w:t>DOI: </w:t>
      </w:r>
      <w:hyperlink r:id="rId14" w:history="1">
        <w:r w:rsidRPr="00573CD5">
          <w:rPr>
            <w:rStyle w:val="Hyperlink"/>
            <w:rFonts w:ascii="Times New Roman" w:hAnsi="Times New Roman" w:cs="Times New Roman"/>
            <w:color w:val="auto"/>
            <w:u w:val="none"/>
            <w:shd w:val="clear" w:color="auto" w:fill="FFFFFF"/>
          </w:rPr>
          <w:t>10.9734/</w:t>
        </w:r>
        <w:proofErr w:type="spellStart"/>
        <w:r w:rsidRPr="00573CD5">
          <w:rPr>
            <w:rStyle w:val="Hyperlink"/>
            <w:rFonts w:ascii="Times New Roman" w:hAnsi="Times New Roman" w:cs="Times New Roman"/>
            <w:color w:val="auto"/>
            <w:u w:val="none"/>
            <w:shd w:val="clear" w:color="auto" w:fill="FFFFFF"/>
          </w:rPr>
          <w:t>mrji</w:t>
        </w:r>
        <w:proofErr w:type="spellEnd"/>
        <w:r w:rsidRPr="00573CD5">
          <w:rPr>
            <w:rStyle w:val="Hyperlink"/>
            <w:rFonts w:ascii="Times New Roman" w:hAnsi="Times New Roman" w:cs="Times New Roman"/>
            <w:color w:val="auto"/>
            <w:u w:val="none"/>
            <w:shd w:val="clear" w:color="auto" w:fill="FFFFFF"/>
          </w:rPr>
          <w:t>/2025/v35i61586</w:t>
        </w:r>
      </w:hyperlink>
    </w:p>
    <w:p w:rsidR="00573CD5" w:rsidRDefault="00573CD5" w:rsidP="00573CD5">
      <w:pPr>
        <w:pStyle w:val="ListParagraph"/>
        <w:numPr>
          <w:ilvl w:val="0"/>
          <w:numId w:val="1"/>
        </w:numPr>
        <w:ind w:right="-144"/>
        <w:jc w:val="both"/>
        <w:rPr>
          <w:rFonts w:ascii="Times New Roman" w:eastAsiaTheme="minorHAnsi" w:hAnsi="Times New Roman" w:cs="Times New Roman"/>
        </w:rPr>
      </w:pPr>
      <w:proofErr w:type="spellStart"/>
      <w:r w:rsidRPr="00573CD5">
        <w:rPr>
          <w:rFonts w:ascii="Times New Roman" w:eastAsiaTheme="minorHAnsi" w:hAnsi="Times New Roman" w:cs="Times New Roman"/>
        </w:rPr>
        <w:t>Makeri</w:t>
      </w:r>
      <w:proofErr w:type="spellEnd"/>
      <w:r w:rsidRPr="00573CD5">
        <w:rPr>
          <w:rFonts w:ascii="Times New Roman" w:eastAsiaTheme="minorHAnsi" w:hAnsi="Times New Roman" w:cs="Times New Roman"/>
        </w:rPr>
        <w:t xml:space="preserve">, M. S., </w:t>
      </w:r>
      <w:proofErr w:type="spellStart"/>
      <w:r w:rsidRPr="00573CD5">
        <w:rPr>
          <w:rFonts w:ascii="Times New Roman" w:eastAsiaTheme="minorHAnsi" w:hAnsi="Times New Roman" w:cs="Times New Roman"/>
        </w:rPr>
        <w:t>Bala</w:t>
      </w:r>
      <w:proofErr w:type="spellEnd"/>
      <w:r w:rsidRPr="00573CD5">
        <w:rPr>
          <w:rFonts w:ascii="Times New Roman" w:eastAsiaTheme="minorHAnsi" w:hAnsi="Times New Roman" w:cs="Times New Roman"/>
        </w:rPr>
        <w:t xml:space="preserve">, M., </w:t>
      </w:r>
      <w:proofErr w:type="spellStart"/>
      <w:r w:rsidRPr="00573CD5">
        <w:rPr>
          <w:rFonts w:ascii="Times New Roman" w:eastAsiaTheme="minorHAnsi" w:hAnsi="Times New Roman" w:cs="Times New Roman"/>
        </w:rPr>
        <w:t>Wante</w:t>
      </w:r>
      <w:proofErr w:type="spellEnd"/>
      <w:r w:rsidRPr="00573CD5">
        <w:rPr>
          <w:rFonts w:ascii="Times New Roman" w:eastAsiaTheme="minorHAnsi" w:hAnsi="Times New Roman" w:cs="Times New Roman"/>
        </w:rPr>
        <w:t xml:space="preserve">, S. P., </w:t>
      </w:r>
      <w:proofErr w:type="spellStart"/>
      <w:r w:rsidRPr="00573CD5">
        <w:rPr>
          <w:rFonts w:ascii="Times New Roman" w:eastAsiaTheme="minorHAnsi" w:hAnsi="Times New Roman" w:cs="Times New Roman"/>
        </w:rPr>
        <w:t>Bitrus</w:t>
      </w:r>
      <w:proofErr w:type="spellEnd"/>
      <w:r w:rsidRPr="00573CD5">
        <w:rPr>
          <w:rFonts w:ascii="Times New Roman" w:eastAsiaTheme="minorHAnsi" w:hAnsi="Times New Roman" w:cs="Times New Roman"/>
        </w:rPr>
        <w:t xml:space="preserve">, K. V., &amp; Aliyu, H. U. (2021). Activity of α-amylase Produced by Aspergillus </w:t>
      </w:r>
      <w:proofErr w:type="spellStart"/>
      <w:r w:rsidRPr="00573CD5">
        <w:rPr>
          <w:rFonts w:ascii="Times New Roman" w:eastAsiaTheme="minorHAnsi" w:hAnsi="Times New Roman" w:cs="Times New Roman"/>
        </w:rPr>
        <w:t>niger</w:t>
      </w:r>
      <w:proofErr w:type="spellEnd"/>
      <w:r w:rsidRPr="00573CD5">
        <w:rPr>
          <w:rFonts w:ascii="Times New Roman" w:eastAsiaTheme="minorHAnsi" w:hAnsi="Times New Roman" w:cs="Times New Roman"/>
        </w:rPr>
        <w:t xml:space="preserve"> at Different pH, Temperature and Incubation Time Using Solid-state Fermentation Process of Corn and Wheat Wastes. Asian Journal of Biotechnology and Bioresource Technology, 7(2), 1–11. </w:t>
      </w:r>
      <w:hyperlink r:id="rId15" w:history="1">
        <w:r w:rsidRPr="00E560B1">
          <w:rPr>
            <w:rStyle w:val="Hyperlink"/>
            <w:rFonts w:ascii="Times New Roman" w:eastAsiaTheme="minorHAnsi" w:hAnsi="Times New Roman" w:cs="Times New Roman"/>
          </w:rPr>
          <w:t>https://doi.org/10.9734/ajb2t/2021/v7i230095</w:t>
        </w:r>
      </w:hyperlink>
    </w:p>
    <w:p w:rsidR="00573CD5" w:rsidRPr="00573CD5" w:rsidRDefault="00573CD5" w:rsidP="00573CD5">
      <w:pPr>
        <w:pStyle w:val="ListParagraph"/>
        <w:numPr>
          <w:ilvl w:val="0"/>
          <w:numId w:val="1"/>
        </w:numPr>
        <w:ind w:right="-144"/>
        <w:jc w:val="both"/>
        <w:rPr>
          <w:rFonts w:ascii="Times New Roman" w:eastAsiaTheme="minorHAnsi" w:hAnsi="Times New Roman" w:cs="Times New Roman"/>
        </w:rPr>
      </w:pPr>
      <w:proofErr w:type="spellStart"/>
      <w:r w:rsidRPr="00573CD5">
        <w:rPr>
          <w:rFonts w:ascii="Times New Roman" w:eastAsiaTheme="minorHAnsi" w:hAnsi="Times New Roman" w:cs="Times New Roman"/>
        </w:rPr>
        <w:t>Sundarram</w:t>
      </w:r>
      <w:proofErr w:type="spellEnd"/>
      <w:r w:rsidRPr="00573CD5">
        <w:rPr>
          <w:rFonts w:ascii="Times New Roman" w:eastAsiaTheme="minorHAnsi" w:hAnsi="Times New Roman" w:cs="Times New Roman"/>
        </w:rPr>
        <w:t>, A., &amp; Murthy, T. P. K. (2014). α-amylase production and applications: a review. Journal of Applied &amp; Environmental Microbiology, 2(4), 166-175.</w:t>
      </w:r>
    </w:p>
    <w:p w:rsidR="00152586" w:rsidRDefault="00152586" w:rsidP="00D13443">
      <w:pPr>
        <w:spacing w:after="240"/>
        <w:rPr>
          <w:rFonts w:ascii="Times New Roman" w:hAnsi="Times New Roman" w:cs="Times New Roman"/>
        </w:rPr>
      </w:pPr>
    </w:p>
    <w:p w:rsidR="00573CD5" w:rsidRPr="00BA6EE6" w:rsidRDefault="00573CD5" w:rsidP="00D13443">
      <w:pPr>
        <w:spacing w:after="240"/>
        <w:rPr>
          <w:rFonts w:ascii="Times New Roman" w:hAnsi="Times New Roman" w:cs="Times New Roman"/>
        </w:rPr>
      </w:pPr>
    </w:p>
    <w:p w:rsidR="00152586" w:rsidRPr="00BA6EE6" w:rsidRDefault="00152586" w:rsidP="00D13443">
      <w:pPr>
        <w:spacing w:after="240"/>
        <w:rPr>
          <w:rFonts w:ascii="Times New Roman" w:hAnsi="Times New Roman" w:cs="Times New Roman"/>
        </w:rPr>
      </w:pPr>
    </w:p>
    <w:p w:rsidR="00152586" w:rsidRPr="00BA6EE6" w:rsidRDefault="00BA6EE6" w:rsidP="00BA6EE6">
      <w:pPr>
        <w:tabs>
          <w:tab w:val="left" w:pos="5400"/>
        </w:tabs>
        <w:rPr>
          <w:rFonts w:ascii="Times New Roman" w:hAnsi="Times New Roman" w:cs="Times New Roman"/>
        </w:rPr>
      </w:pPr>
      <w:r>
        <w:rPr>
          <w:rFonts w:ascii="Times New Roman" w:hAnsi="Times New Roman" w:cs="Times New Roman"/>
        </w:rPr>
        <w:tab/>
      </w: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pPr>
        <w:rPr>
          <w:rFonts w:ascii="Times New Roman" w:hAnsi="Times New Roman" w:cs="Times New Roman"/>
        </w:rPr>
      </w:pPr>
    </w:p>
    <w:p w:rsidR="00152586" w:rsidRPr="00BA6EE6" w:rsidRDefault="00152586" w:rsidP="00152586">
      <w:pPr>
        <w:rPr>
          <w:rFonts w:ascii="Times New Roman" w:hAnsi="Times New Roman" w:cs="Times New Roman"/>
        </w:rPr>
      </w:pPr>
      <w:bookmarkStart w:id="6" w:name="_GoBack"/>
      <w:bookmarkEnd w:id="6"/>
    </w:p>
    <w:sectPr w:rsidR="00152586" w:rsidRPr="00BA6EE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709" w:rsidRDefault="000C6709" w:rsidP="00E97004">
      <w:r>
        <w:separator/>
      </w:r>
    </w:p>
  </w:endnote>
  <w:endnote w:type="continuationSeparator" w:id="0">
    <w:p w:rsidR="000C6709" w:rsidRDefault="000C6709" w:rsidP="00E9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E97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E970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E97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709" w:rsidRDefault="000C6709" w:rsidP="00E97004">
      <w:r>
        <w:separator/>
      </w:r>
    </w:p>
  </w:footnote>
  <w:footnote w:type="continuationSeparator" w:id="0">
    <w:p w:rsidR="000C6709" w:rsidRDefault="000C6709" w:rsidP="00E97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0C67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1346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0C67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1347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004" w:rsidRDefault="000C670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31346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F3435"/>
    <w:multiLevelType w:val="hybridMultilevel"/>
    <w:tmpl w:val="0172C5C0"/>
    <w:lvl w:ilvl="0" w:tplc="0409000F">
      <w:start w:val="1"/>
      <w:numFmt w:val="decimal"/>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5C"/>
    <w:rsid w:val="00000D9B"/>
    <w:rsid w:val="00051AA4"/>
    <w:rsid w:val="000749AF"/>
    <w:rsid w:val="00094AE9"/>
    <w:rsid w:val="000C6709"/>
    <w:rsid w:val="000D7AE5"/>
    <w:rsid w:val="00152586"/>
    <w:rsid w:val="00160DAF"/>
    <w:rsid w:val="00161DAE"/>
    <w:rsid w:val="00193807"/>
    <w:rsid w:val="002703A4"/>
    <w:rsid w:val="002A2203"/>
    <w:rsid w:val="002E36AD"/>
    <w:rsid w:val="003462C8"/>
    <w:rsid w:val="00353D1C"/>
    <w:rsid w:val="003705F8"/>
    <w:rsid w:val="003D2512"/>
    <w:rsid w:val="003D3BB2"/>
    <w:rsid w:val="003D3E37"/>
    <w:rsid w:val="00462868"/>
    <w:rsid w:val="004807C9"/>
    <w:rsid w:val="004D5EF1"/>
    <w:rsid w:val="00544B53"/>
    <w:rsid w:val="00573CD5"/>
    <w:rsid w:val="00722A1E"/>
    <w:rsid w:val="00742C5D"/>
    <w:rsid w:val="007C302C"/>
    <w:rsid w:val="007E013C"/>
    <w:rsid w:val="00870B98"/>
    <w:rsid w:val="00911A01"/>
    <w:rsid w:val="009165FD"/>
    <w:rsid w:val="0093469B"/>
    <w:rsid w:val="009403CF"/>
    <w:rsid w:val="00947F58"/>
    <w:rsid w:val="00982FD9"/>
    <w:rsid w:val="009B0AB6"/>
    <w:rsid w:val="00A459D1"/>
    <w:rsid w:val="00A62B51"/>
    <w:rsid w:val="00AB602F"/>
    <w:rsid w:val="00AD454F"/>
    <w:rsid w:val="00B0422B"/>
    <w:rsid w:val="00B4061E"/>
    <w:rsid w:val="00B41E35"/>
    <w:rsid w:val="00B87AA0"/>
    <w:rsid w:val="00BA6EE6"/>
    <w:rsid w:val="00BE1B2C"/>
    <w:rsid w:val="00C21CF5"/>
    <w:rsid w:val="00CE073C"/>
    <w:rsid w:val="00D051CA"/>
    <w:rsid w:val="00D13443"/>
    <w:rsid w:val="00D47039"/>
    <w:rsid w:val="00E5645C"/>
    <w:rsid w:val="00E965A3"/>
    <w:rsid w:val="00E97004"/>
    <w:rsid w:val="00EC6AE9"/>
    <w:rsid w:val="00EF1805"/>
    <w:rsid w:val="00F358EE"/>
    <w:rsid w:val="00F41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EADEC7"/>
  <w15:chartTrackingRefBased/>
  <w15:docId w15:val="{9AC55D21-D035-459C-9D68-064E68C5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645C"/>
    <w:pPr>
      <w:spacing w:after="0" w:line="240" w:lineRule="auto"/>
    </w:pPr>
    <w:rPr>
      <w:rFonts w:ascii="Calibri" w:eastAsia="SimSun" w:hAnsi="Calibri" w:cs="SimSun"/>
      <w:kern w:val="2"/>
      <w:lang w:val="en-GB" w:eastAsia="en-GB"/>
    </w:rPr>
  </w:style>
  <w:style w:type="paragraph" w:styleId="Heading1">
    <w:name w:val="heading 1"/>
    <w:basedOn w:val="Normal"/>
    <w:next w:val="Normal"/>
    <w:link w:val="Heading1Char"/>
    <w:uiPriority w:val="9"/>
    <w:qFormat/>
    <w:rsid w:val="00353D1C"/>
    <w:pPr>
      <w:keepNext/>
      <w:keepLines/>
      <w:spacing w:before="480" w:line="259" w:lineRule="auto"/>
      <w:outlineLvl w:val="0"/>
    </w:pPr>
    <w:rPr>
      <w:rFonts w:asciiTheme="majorHAnsi" w:eastAsiaTheme="majorEastAsia" w:hAnsiTheme="majorHAnsi" w:cstheme="majorBidi"/>
      <w:b/>
      <w:bCs/>
      <w:color w:val="2E74B5" w:themeColor="accent1" w:themeShade="BF"/>
      <w:kern w:val="0"/>
      <w:sz w:val="28"/>
      <w:szCs w:val="28"/>
      <w:lang w:eastAsia="en-US"/>
    </w:rPr>
  </w:style>
  <w:style w:type="paragraph" w:styleId="Heading2">
    <w:name w:val="heading 2"/>
    <w:basedOn w:val="Normal"/>
    <w:next w:val="Normal"/>
    <w:link w:val="Heading2Char"/>
    <w:uiPriority w:val="9"/>
    <w:unhideWhenUsed/>
    <w:qFormat/>
    <w:rsid w:val="00353D1C"/>
    <w:pPr>
      <w:keepNext/>
      <w:keepLines/>
      <w:widowControl w:val="0"/>
      <w:autoSpaceDE w:val="0"/>
      <w:autoSpaceDN w:val="0"/>
      <w:spacing w:before="200"/>
      <w:outlineLvl w:val="1"/>
    </w:pPr>
    <w:rPr>
      <w:rFonts w:asciiTheme="majorHAnsi" w:eastAsiaTheme="majorEastAsia" w:hAnsiTheme="majorHAnsi" w:cstheme="majorBidi"/>
      <w:b/>
      <w:bCs/>
      <w:color w:val="5B9BD5" w:themeColor="accent1"/>
      <w:kern w:val="0"/>
      <w:sz w:val="26"/>
      <w:szCs w:val="26"/>
      <w:lang w:val="en-US" w:eastAsia="en-US"/>
    </w:rPr>
  </w:style>
  <w:style w:type="paragraph" w:styleId="Heading3">
    <w:name w:val="heading 3"/>
    <w:basedOn w:val="Normal"/>
    <w:next w:val="Normal"/>
    <w:link w:val="Heading3Char"/>
    <w:uiPriority w:val="9"/>
    <w:semiHidden/>
    <w:unhideWhenUsed/>
    <w:qFormat/>
    <w:rsid w:val="009B0AB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B0A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645C"/>
    <w:pPr>
      <w:widowControl w:val="0"/>
      <w:autoSpaceDE w:val="0"/>
      <w:autoSpaceDN w:val="0"/>
    </w:pPr>
    <w:rPr>
      <w:rFonts w:ascii="Times New Roman" w:eastAsia="Times New Roman" w:hAnsi="Times New Roman" w:cs="Times New Roman"/>
      <w:kern w:val="0"/>
      <w:sz w:val="24"/>
      <w:szCs w:val="24"/>
      <w:lang w:val="en-US" w:eastAsia="en-US"/>
    </w:rPr>
  </w:style>
  <w:style w:type="character" w:customStyle="1" w:styleId="BodyTextChar">
    <w:name w:val="Body Text Char"/>
    <w:basedOn w:val="DefaultParagraphFont"/>
    <w:link w:val="BodyText"/>
    <w:uiPriority w:val="1"/>
    <w:rsid w:val="00E5645C"/>
    <w:rPr>
      <w:rFonts w:ascii="Times New Roman" w:eastAsia="Times New Roman" w:hAnsi="Times New Roman" w:cs="Times New Roman"/>
      <w:sz w:val="24"/>
      <w:szCs w:val="24"/>
    </w:rPr>
  </w:style>
  <w:style w:type="character" w:styleId="Emphasis">
    <w:name w:val="Emphasis"/>
    <w:basedOn w:val="DefaultParagraphFont"/>
    <w:uiPriority w:val="20"/>
    <w:qFormat/>
    <w:rsid w:val="00E5645C"/>
    <w:rPr>
      <w:i/>
      <w:iCs/>
    </w:rPr>
  </w:style>
  <w:style w:type="character" w:styleId="Hyperlink">
    <w:name w:val="Hyperlink"/>
    <w:basedOn w:val="DefaultParagraphFont"/>
    <w:uiPriority w:val="99"/>
    <w:unhideWhenUsed/>
    <w:rsid w:val="00E5645C"/>
    <w:rPr>
      <w:color w:val="0000FF"/>
      <w:u w:val="single"/>
    </w:rPr>
  </w:style>
  <w:style w:type="paragraph" w:styleId="ListParagraph">
    <w:name w:val="List Paragraph"/>
    <w:basedOn w:val="Normal"/>
    <w:uiPriority w:val="34"/>
    <w:qFormat/>
    <w:rsid w:val="00D13443"/>
    <w:pPr>
      <w:ind w:left="720"/>
      <w:contextualSpacing/>
    </w:pPr>
  </w:style>
  <w:style w:type="character" w:customStyle="1" w:styleId="Heading1Char">
    <w:name w:val="Heading 1 Char"/>
    <w:basedOn w:val="DefaultParagraphFont"/>
    <w:link w:val="Heading1"/>
    <w:uiPriority w:val="9"/>
    <w:rsid w:val="00353D1C"/>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rsid w:val="00353D1C"/>
    <w:rPr>
      <w:rFonts w:asciiTheme="majorHAnsi" w:eastAsiaTheme="majorEastAsia" w:hAnsiTheme="majorHAnsi" w:cstheme="majorBidi"/>
      <w:b/>
      <w:bCs/>
      <w:color w:val="5B9BD5" w:themeColor="accent1"/>
      <w:sz w:val="26"/>
      <w:szCs w:val="26"/>
    </w:rPr>
  </w:style>
  <w:style w:type="paragraph" w:styleId="NormalWeb">
    <w:name w:val="Normal (Web)"/>
    <w:basedOn w:val="Normal"/>
    <w:uiPriority w:val="99"/>
    <w:unhideWhenUsed/>
    <w:rsid w:val="00353D1C"/>
    <w:pPr>
      <w:spacing w:before="100" w:beforeAutospacing="1" w:after="100" w:afterAutospacing="1"/>
    </w:pPr>
    <w:rPr>
      <w:rFonts w:ascii="Times New Roman" w:eastAsia="Times New Roman" w:hAnsi="Times New Roman" w:cs="Times New Roman"/>
      <w:kern w:val="0"/>
      <w:sz w:val="24"/>
      <w:szCs w:val="24"/>
      <w:lang w:val="en-US" w:eastAsia="en-US"/>
    </w:rPr>
  </w:style>
  <w:style w:type="paragraph" w:customStyle="1" w:styleId="Default">
    <w:name w:val="Default"/>
    <w:rsid w:val="00353D1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E965A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uiPriority w:val="60"/>
    <w:rsid w:val="00E965A3"/>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E965A3"/>
    <w:rPr>
      <w:b/>
      <w:bCs/>
    </w:rPr>
  </w:style>
  <w:style w:type="character" w:customStyle="1" w:styleId="Heading3Char">
    <w:name w:val="Heading 3 Char"/>
    <w:basedOn w:val="DefaultParagraphFont"/>
    <w:link w:val="Heading3"/>
    <w:uiPriority w:val="9"/>
    <w:semiHidden/>
    <w:rsid w:val="009B0AB6"/>
    <w:rPr>
      <w:rFonts w:asciiTheme="majorHAnsi" w:eastAsiaTheme="majorEastAsia" w:hAnsiTheme="majorHAnsi" w:cstheme="majorBidi"/>
      <w:color w:val="1F4D78" w:themeColor="accent1" w:themeShade="7F"/>
      <w:kern w:val="2"/>
      <w:sz w:val="24"/>
      <w:szCs w:val="24"/>
      <w:lang w:val="en-GB" w:eastAsia="en-GB"/>
    </w:rPr>
  </w:style>
  <w:style w:type="character" w:customStyle="1" w:styleId="Heading4Char">
    <w:name w:val="Heading 4 Char"/>
    <w:basedOn w:val="DefaultParagraphFont"/>
    <w:link w:val="Heading4"/>
    <w:uiPriority w:val="9"/>
    <w:semiHidden/>
    <w:rsid w:val="009B0AB6"/>
    <w:rPr>
      <w:rFonts w:asciiTheme="majorHAnsi" w:eastAsiaTheme="majorEastAsia" w:hAnsiTheme="majorHAnsi" w:cstheme="majorBidi"/>
      <w:i/>
      <w:iCs/>
      <w:color w:val="2E74B5" w:themeColor="accent1" w:themeShade="BF"/>
      <w:kern w:val="2"/>
      <w:lang w:val="en-GB" w:eastAsia="en-GB"/>
    </w:rPr>
  </w:style>
  <w:style w:type="character" w:customStyle="1" w:styleId="bold">
    <w:name w:val="bold"/>
    <w:basedOn w:val="DefaultParagraphFont"/>
    <w:rsid w:val="00BA6EE6"/>
  </w:style>
  <w:style w:type="paragraph" w:styleId="Header">
    <w:name w:val="header"/>
    <w:basedOn w:val="Normal"/>
    <w:link w:val="HeaderChar"/>
    <w:uiPriority w:val="99"/>
    <w:unhideWhenUsed/>
    <w:rsid w:val="00E97004"/>
    <w:pPr>
      <w:tabs>
        <w:tab w:val="center" w:pos="4680"/>
        <w:tab w:val="right" w:pos="9360"/>
      </w:tabs>
    </w:pPr>
  </w:style>
  <w:style w:type="character" w:customStyle="1" w:styleId="HeaderChar">
    <w:name w:val="Header Char"/>
    <w:basedOn w:val="DefaultParagraphFont"/>
    <w:link w:val="Header"/>
    <w:uiPriority w:val="99"/>
    <w:rsid w:val="00E97004"/>
    <w:rPr>
      <w:rFonts w:ascii="Calibri" w:eastAsia="SimSun" w:hAnsi="Calibri" w:cs="SimSun"/>
      <w:kern w:val="2"/>
      <w:lang w:val="en-GB" w:eastAsia="en-GB"/>
    </w:rPr>
  </w:style>
  <w:style w:type="paragraph" w:styleId="Footer">
    <w:name w:val="footer"/>
    <w:basedOn w:val="Normal"/>
    <w:link w:val="FooterChar"/>
    <w:uiPriority w:val="99"/>
    <w:unhideWhenUsed/>
    <w:rsid w:val="00E97004"/>
    <w:pPr>
      <w:tabs>
        <w:tab w:val="center" w:pos="4680"/>
        <w:tab w:val="right" w:pos="9360"/>
      </w:tabs>
    </w:pPr>
  </w:style>
  <w:style w:type="character" w:customStyle="1" w:styleId="FooterChar">
    <w:name w:val="Footer Char"/>
    <w:basedOn w:val="DefaultParagraphFont"/>
    <w:link w:val="Footer"/>
    <w:uiPriority w:val="99"/>
    <w:rsid w:val="00E97004"/>
    <w:rPr>
      <w:rFonts w:ascii="Calibri" w:eastAsia="SimSun" w:hAnsi="Calibri" w:cs="SimSun"/>
      <w:kern w:val="2"/>
      <w:lang w:val="en-GB" w:eastAsia="en-GB"/>
    </w:rPr>
  </w:style>
  <w:style w:type="paragraph" w:styleId="CommentText">
    <w:name w:val="annotation text"/>
    <w:basedOn w:val="Normal"/>
    <w:link w:val="CommentTextChar"/>
    <w:uiPriority w:val="99"/>
    <w:unhideWhenUsed/>
    <w:rsid w:val="00544B53"/>
    <w:rPr>
      <w:sz w:val="20"/>
      <w:szCs w:val="20"/>
    </w:rPr>
  </w:style>
  <w:style w:type="character" w:customStyle="1" w:styleId="CommentTextChar">
    <w:name w:val="Comment Text Char"/>
    <w:basedOn w:val="DefaultParagraphFont"/>
    <w:link w:val="CommentText"/>
    <w:uiPriority w:val="99"/>
    <w:rsid w:val="00544B53"/>
    <w:rPr>
      <w:rFonts w:ascii="Calibri" w:eastAsia="SimSun" w:hAnsi="Calibri" w:cs="SimSun"/>
      <w:kern w:val="2"/>
      <w:sz w:val="20"/>
      <w:szCs w:val="20"/>
      <w:lang w:val="en-GB" w:eastAsia="en-GB"/>
    </w:rPr>
  </w:style>
  <w:style w:type="character" w:styleId="UnresolvedMention">
    <w:name w:val="Unresolved Mention"/>
    <w:basedOn w:val="DefaultParagraphFont"/>
    <w:uiPriority w:val="99"/>
    <w:semiHidden/>
    <w:unhideWhenUsed/>
    <w:rsid w:val="00573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478427">
      <w:bodyDiv w:val="1"/>
      <w:marLeft w:val="0"/>
      <w:marRight w:val="0"/>
      <w:marTop w:val="0"/>
      <w:marBottom w:val="0"/>
      <w:divBdr>
        <w:top w:val="none" w:sz="0" w:space="0" w:color="auto"/>
        <w:left w:val="none" w:sz="0" w:space="0" w:color="auto"/>
        <w:bottom w:val="none" w:sz="0" w:space="0" w:color="auto"/>
        <w:right w:val="none" w:sz="0" w:space="0" w:color="auto"/>
      </w:divBdr>
    </w:div>
    <w:div w:id="2135128706">
      <w:bodyDiv w:val="1"/>
      <w:marLeft w:val="0"/>
      <w:marRight w:val="0"/>
      <w:marTop w:val="0"/>
      <w:marBottom w:val="0"/>
      <w:divBdr>
        <w:top w:val="none" w:sz="0" w:space="0" w:color="auto"/>
        <w:left w:val="none" w:sz="0" w:space="0" w:color="auto"/>
        <w:bottom w:val="none" w:sz="0" w:space="0" w:color="auto"/>
        <w:right w:val="none" w:sz="0" w:space="0" w:color="auto"/>
      </w:divBdr>
      <w:divsChild>
        <w:div w:id="888565824">
          <w:marLeft w:val="0"/>
          <w:marRight w:val="0"/>
          <w:marTop w:val="0"/>
          <w:marBottom w:val="0"/>
          <w:divBdr>
            <w:top w:val="none" w:sz="0" w:space="0" w:color="auto"/>
            <w:left w:val="none" w:sz="0" w:space="0" w:color="auto"/>
            <w:bottom w:val="none" w:sz="0" w:space="0" w:color="auto"/>
            <w:right w:val="none" w:sz="0" w:space="0" w:color="auto"/>
          </w:divBdr>
          <w:divsChild>
            <w:div w:id="70978175">
              <w:marLeft w:val="0"/>
              <w:marRight w:val="0"/>
              <w:marTop w:val="0"/>
              <w:marBottom w:val="0"/>
              <w:divBdr>
                <w:top w:val="none" w:sz="0" w:space="0" w:color="auto"/>
                <w:left w:val="none" w:sz="0" w:space="0" w:color="auto"/>
                <w:bottom w:val="none" w:sz="0" w:space="0" w:color="auto"/>
                <w:right w:val="none" w:sz="0" w:space="0" w:color="auto"/>
              </w:divBdr>
              <w:divsChild>
                <w:div w:id="2015765980">
                  <w:marLeft w:val="0"/>
                  <w:marRight w:val="0"/>
                  <w:marTop w:val="0"/>
                  <w:marBottom w:val="0"/>
                  <w:divBdr>
                    <w:top w:val="none" w:sz="0" w:space="0" w:color="auto"/>
                    <w:left w:val="none" w:sz="0" w:space="0" w:color="auto"/>
                    <w:bottom w:val="none" w:sz="0" w:space="0" w:color="auto"/>
                    <w:right w:val="none" w:sz="0" w:space="0" w:color="auto"/>
                  </w:divBdr>
                  <w:divsChild>
                    <w:div w:id="17577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hyperlink" Target="https://doi.org/10.9734/ajb2t/2021/v7i230095" TargetMode="External"/><Relationship Id="rId23"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9734/mrji/2025/v35i61586"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Rita!$C$3</c:f>
              <c:strCache>
                <c:ptCount val="1"/>
                <c:pt idx="0">
                  <c:v>TFC(CFU/g)</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Rita!$B$4:$B$6</c:f>
              <c:strCache>
                <c:ptCount val="3"/>
                <c:pt idx="0">
                  <c:v>      SA</c:v>
                </c:pt>
                <c:pt idx="1">
                  <c:v>       SB</c:v>
                </c:pt>
                <c:pt idx="2">
                  <c:v>       SC</c:v>
                </c:pt>
              </c:strCache>
            </c:strRef>
          </c:cat>
          <c:val>
            <c:numRef>
              <c:f>Rita!$C$4:$C$6</c:f>
              <c:numCache>
                <c:formatCode>General</c:formatCode>
                <c:ptCount val="3"/>
                <c:pt idx="0">
                  <c:v>4.5439999999999996</c:v>
                </c:pt>
                <c:pt idx="1">
                  <c:v>4.6229999999999887</c:v>
                </c:pt>
                <c:pt idx="2">
                  <c:v>4.5179999999999945</c:v>
                </c:pt>
              </c:numCache>
            </c:numRef>
          </c:val>
          <c:extLst>
            <c:ext xmlns:c16="http://schemas.microsoft.com/office/drawing/2014/chart" uri="{C3380CC4-5D6E-409C-BE32-E72D297353CC}">
              <c16:uniqueId val="{00000000-2A94-4DE0-8E29-C13375B75841}"/>
            </c:ext>
          </c:extLst>
        </c:ser>
        <c:dLbls>
          <c:dLblPos val="outEnd"/>
          <c:showLegendKey val="0"/>
          <c:showVal val="1"/>
          <c:showCatName val="0"/>
          <c:showSerName val="0"/>
          <c:showPercent val="0"/>
          <c:showBubbleSize val="0"/>
        </c:dLbls>
        <c:gapWidth val="219"/>
        <c:overlap val="-27"/>
        <c:axId val="465688752"/>
        <c:axId val="465688360"/>
      </c:barChart>
      <c:catAx>
        <c:axId val="465688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688360"/>
        <c:crosses val="autoZero"/>
        <c:auto val="1"/>
        <c:lblAlgn val="ctr"/>
        <c:lblOffset val="100"/>
        <c:noMultiLvlLbl val="0"/>
      </c:catAx>
      <c:valAx>
        <c:axId val="465688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 Fungal Count (LogCFU/g)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56887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Rita!$C$10</c:f>
              <c:strCache>
                <c:ptCount val="1"/>
                <c:pt idx="0">
                  <c:v>Alpha-Amylase Activity (U/ml)</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Rita!$B$11:$B$17</c:f>
              <c:strCache>
                <c:ptCount val="7"/>
                <c:pt idx="0">
                  <c:v>SA1</c:v>
                </c:pt>
                <c:pt idx="1">
                  <c:v>SA2</c:v>
                </c:pt>
                <c:pt idx="2">
                  <c:v>SB1</c:v>
                </c:pt>
                <c:pt idx="3">
                  <c:v>SB2</c:v>
                </c:pt>
                <c:pt idx="4">
                  <c:v>SB3</c:v>
                </c:pt>
                <c:pt idx="5">
                  <c:v>SC1</c:v>
                </c:pt>
                <c:pt idx="6">
                  <c:v>SC2</c:v>
                </c:pt>
              </c:strCache>
            </c:strRef>
          </c:cat>
          <c:val>
            <c:numRef>
              <c:f>Rita!$C$11:$C$17</c:f>
              <c:numCache>
                <c:formatCode>General</c:formatCode>
                <c:ptCount val="7"/>
                <c:pt idx="0">
                  <c:v>21</c:v>
                </c:pt>
                <c:pt idx="1">
                  <c:v>15</c:v>
                </c:pt>
                <c:pt idx="2">
                  <c:v>8</c:v>
                </c:pt>
                <c:pt idx="3">
                  <c:v>26</c:v>
                </c:pt>
                <c:pt idx="4">
                  <c:v>5</c:v>
                </c:pt>
                <c:pt idx="5">
                  <c:v>17</c:v>
                </c:pt>
                <c:pt idx="6">
                  <c:v>11</c:v>
                </c:pt>
              </c:numCache>
            </c:numRef>
          </c:val>
          <c:extLst>
            <c:ext xmlns:c16="http://schemas.microsoft.com/office/drawing/2014/chart" uri="{C3380CC4-5D6E-409C-BE32-E72D297353CC}">
              <c16:uniqueId val="{00000000-CC92-4136-9751-4459A7A29569}"/>
            </c:ext>
          </c:extLst>
        </c:ser>
        <c:dLbls>
          <c:dLblPos val="outEnd"/>
          <c:showLegendKey val="0"/>
          <c:showVal val="1"/>
          <c:showCatName val="0"/>
          <c:showSerName val="0"/>
          <c:showPercent val="0"/>
          <c:showBubbleSize val="0"/>
        </c:dLbls>
        <c:gapWidth val="219"/>
        <c:overlap val="-27"/>
        <c:axId val="208786448"/>
        <c:axId val="208786840"/>
      </c:barChart>
      <c:catAx>
        <c:axId val="208786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Isolate code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86840"/>
        <c:crosses val="autoZero"/>
        <c:auto val="1"/>
        <c:lblAlgn val="ctr"/>
        <c:lblOffset val="100"/>
        <c:noMultiLvlLbl val="0"/>
      </c:catAx>
      <c:valAx>
        <c:axId val="2087868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Clearance</a:t>
                </a:r>
                <a:r>
                  <a:rPr lang="en-US" baseline="0"/>
                  <a:t> zone</a:t>
                </a:r>
                <a:r>
                  <a:rPr lang="en-US"/>
                  <a:t> (mm)</a:t>
                </a:r>
              </a:p>
            </c:rich>
          </c:tx>
          <c:overlay val="0"/>
          <c:spPr>
            <a:noFill/>
            <a:ln>
              <a:noFill/>
            </a:ln>
            <a:effectLst/>
          </c:sp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786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Rita!$H$10</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Rita!$G$11:$G$17</c:f>
              <c:numCache>
                <c:formatCode>General</c:formatCode>
                <c:ptCount val="7"/>
                <c:pt idx="0">
                  <c:v>12</c:v>
                </c:pt>
                <c:pt idx="1">
                  <c:v>24</c:v>
                </c:pt>
                <c:pt idx="2">
                  <c:v>36</c:v>
                </c:pt>
                <c:pt idx="3">
                  <c:v>48</c:v>
                </c:pt>
                <c:pt idx="4">
                  <c:v>60</c:v>
                </c:pt>
                <c:pt idx="5">
                  <c:v>72</c:v>
                </c:pt>
                <c:pt idx="6">
                  <c:v>84</c:v>
                </c:pt>
              </c:numCache>
            </c:numRef>
          </c:xVal>
          <c:yVal>
            <c:numRef>
              <c:f>Rita!$H$11:$H$17</c:f>
              <c:numCache>
                <c:formatCode>General</c:formatCode>
                <c:ptCount val="7"/>
                <c:pt idx="0">
                  <c:v>12.1</c:v>
                </c:pt>
                <c:pt idx="1">
                  <c:v>25.4</c:v>
                </c:pt>
                <c:pt idx="2">
                  <c:v>39.300000000000004</c:v>
                </c:pt>
                <c:pt idx="3">
                  <c:v>51.2</c:v>
                </c:pt>
                <c:pt idx="4">
                  <c:v>46.1</c:v>
                </c:pt>
                <c:pt idx="5">
                  <c:v>34.800000000000004</c:v>
                </c:pt>
                <c:pt idx="6">
                  <c:v>22.6</c:v>
                </c:pt>
              </c:numCache>
            </c:numRef>
          </c:yVal>
          <c:smooth val="1"/>
          <c:extLst>
            <c:ext xmlns:c16="http://schemas.microsoft.com/office/drawing/2014/chart" uri="{C3380CC4-5D6E-409C-BE32-E72D297353CC}">
              <c16:uniqueId val="{00000000-495E-4D97-A380-DC266EAE8D26}"/>
            </c:ext>
          </c:extLst>
        </c:ser>
        <c:dLbls>
          <c:dLblPos val="t"/>
          <c:showLegendKey val="0"/>
          <c:showVal val="1"/>
          <c:showCatName val="0"/>
          <c:showSerName val="0"/>
          <c:showPercent val="0"/>
          <c:showBubbleSize val="0"/>
        </c:dLbls>
        <c:axId val="464921576"/>
        <c:axId val="464922360"/>
      </c:scatterChart>
      <c:valAx>
        <c:axId val="464921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Fermentation Time (h)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922360"/>
        <c:crosses val="autoZero"/>
        <c:crossBetween val="midCat"/>
      </c:valAx>
      <c:valAx>
        <c:axId val="464922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layout>
            <c:manualLayout>
              <c:xMode val="edge"/>
              <c:yMode val="edge"/>
              <c:x val="2.9411764705882353E-2"/>
              <c:y val="0.14326771653543352"/>
            </c:manualLayout>
          </c:layout>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9215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Rita!$K$10</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Rita!$J$11:$J$18</c:f>
              <c:numCache>
                <c:formatCode>General</c:formatCode>
                <c:ptCount val="8"/>
                <c:pt idx="0">
                  <c:v>0.5</c:v>
                </c:pt>
                <c:pt idx="1">
                  <c:v>1</c:v>
                </c:pt>
                <c:pt idx="2">
                  <c:v>2</c:v>
                </c:pt>
                <c:pt idx="3">
                  <c:v>3</c:v>
                </c:pt>
                <c:pt idx="4">
                  <c:v>4</c:v>
                </c:pt>
                <c:pt idx="5">
                  <c:v>5</c:v>
                </c:pt>
                <c:pt idx="6">
                  <c:v>7</c:v>
                </c:pt>
                <c:pt idx="7">
                  <c:v>10</c:v>
                </c:pt>
              </c:numCache>
            </c:numRef>
          </c:xVal>
          <c:yVal>
            <c:numRef>
              <c:f>Rita!$K$11:$K$18</c:f>
              <c:numCache>
                <c:formatCode>General</c:formatCode>
                <c:ptCount val="8"/>
                <c:pt idx="0">
                  <c:v>13.2</c:v>
                </c:pt>
                <c:pt idx="1">
                  <c:v>23.5</c:v>
                </c:pt>
                <c:pt idx="2">
                  <c:v>39.800000000000004</c:v>
                </c:pt>
                <c:pt idx="3">
                  <c:v>53.3</c:v>
                </c:pt>
                <c:pt idx="4">
                  <c:v>49.4</c:v>
                </c:pt>
                <c:pt idx="5">
                  <c:v>44.6</c:v>
                </c:pt>
                <c:pt idx="6">
                  <c:v>32.800000000000004</c:v>
                </c:pt>
                <c:pt idx="7">
                  <c:v>20.100000000000001</c:v>
                </c:pt>
              </c:numCache>
            </c:numRef>
          </c:yVal>
          <c:smooth val="1"/>
          <c:extLst>
            <c:ext xmlns:c16="http://schemas.microsoft.com/office/drawing/2014/chart" uri="{C3380CC4-5D6E-409C-BE32-E72D297353CC}">
              <c16:uniqueId val="{00000000-5B6A-45AB-B4E4-68A766270E31}"/>
            </c:ext>
          </c:extLst>
        </c:ser>
        <c:dLbls>
          <c:dLblPos val="t"/>
          <c:showLegendKey val="0"/>
          <c:showVal val="1"/>
          <c:showCatName val="0"/>
          <c:showSerName val="0"/>
          <c:showPercent val="0"/>
          <c:showBubbleSize val="0"/>
        </c:dLbls>
        <c:axId val="464923928"/>
        <c:axId val="464920400"/>
      </c:scatterChart>
      <c:valAx>
        <c:axId val="464923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Inoculum size (v/v)</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920400"/>
        <c:crosses val="autoZero"/>
        <c:crossBetween val="midCat"/>
      </c:valAx>
      <c:valAx>
        <c:axId val="464920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4923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Rita!$O$10</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Rita!$N$11:$N$20</c:f>
              <c:numCache>
                <c:formatCode>General</c:formatCode>
                <c:ptCount val="10"/>
                <c:pt idx="0">
                  <c:v>4.5</c:v>
                </c:pt>
                <c:pt idx="1">
                  <c:v>5</c:v>
                </c:pt>
                <c:pt idx="2">
                  <c:v>5.5</c:v>
                </c:pt>
                <c:pt idx="3">
                  <c:v>6</c:v>
                </c:pt>
                <c:pt idx="4">
                  <c:v>6.5</c:v>
                </c:pt>
                <c:pt idx="5">
                  <c:v>7</c:v>
                </c:pt>
                <c:pt idx="6">
                  <c:v>7.5</c:v>
                </c:pt>
                <c:pt idx="7">
                  <c:v>8</c:v>
                </c:pt>
                <c:pt idx="8">
                  <c:v>8.5</c:v>
                </c:pt>
                <c:pt idx="9">
                  <c:v>9</c:v>
                </c:pt>
              </c:numCache>
            </c:numRef>
          </c:xVal>
          <c:yVal>
            <c:numRef>
              <c:f>Rita!$O$11:$O$20</c:f>
              <c:numCache>
                <c:formatCode>General</c:formatCode>
                <c:ptCount val="10"/>
                <c:pt idx="0">
                  <c:v>10.3</c:v>
                </c:pt>
                <c:pt idx="1">
                  <c:v>16.100000000000001</c:v>
                </c:pt>
                <c:pt idx="2">
                  <c:v>23.4</c:v>
                </c:pt>
                <c:pt idx="3">
                  <c:v>30.2</c:v>
                </c:pt>
                <c:pt idx="4">
                  <c:v>39.5</c:v>
                </c:pt>
                <c:pt idx="5">
                  <c:v>47.6</c:v>
                </c:pt>
                <c:pt idx="6">
                  <c:v>43.9</c:v>
                </c:pt>
                <c:pt idx="7">
                  <c:v>36.6</c:v>
                </c:pt>
                <c:pt idx="8">
                  <c:v>25.2</c:v>
                </c:pt>
                <c:pt idx="9">
                  <c:v>16.899999999999999</c:v>
                </c:pt>
              </c:numCache>
            </c:numRef>
          </c:yVal>
          <c:smooth val="1"/>
          <c:extLst>
            <c:ext xmlns:c16="http://schemas.microsoft.com/office/drawing/2014/chart" uri="{C3380CC4-5D6E-409C-BE32-E72D297353CC}">
              <c16:uniqueId val="{00000000-9BEB-498E-A06F-34C483ABB48C}"/>
            </c:ext>
          </c:extLst>
        </c:ser>
        <c:dLbls>
          <c:dLblPos val="t"/>
          <c:showLegendKey val="0"/>
          <c:showVal val="1"/>
          <c:showCatName val="0"/>
          <c:showSerName val="0"/>
          <c:showPercent val="0"/>
          <c:showBubbleSize val="0"/>
        </c:dLbls>
        <c:axId val="364903568"/>
        <c:axId val="364904352"/>
      </c:scatterChart>
      <c:valAx>
        <c:axId val="364903568"/>
        <c:scaling>
          <c:orientation val="minMax"/>
          <c:min val="4"/>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904352"/>
        <c:crosses val="autoZero"/>
        <c:crossBetween val="midCat"/>
      </c:valAx>
      <c:valAx>
        <c:axId val="364904352"/>
        <c:scaling>
          <c:orientation val="minMax"/>
          <c:min val="9"/>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Alpha-Amylase Activity (U/ml)</a:t>
                </a:r>
              </a:p>
            </c:rich>
          </c:tx>
          <c:overlay val="0"/>
          <c:spPr>
            <a:noFill/>
            <a:ln>
              <a:noFill/>
            </a:ln>
            <a:effectLst/>
          </c:sp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9035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Rita!$C$24</c:f>
              <c:strCache>
                <c:ptCount val="1"/>
                <c:pt idx="0">
                  <c:v>Alpha-Amylase Activity (U/ml)</c:v>
                </c:pt>
              </c:strCache>
            </c:strRef>
          </c:tx>
          <c:spPr>
            <a:solidFill>
              <a:schemeClr val="accent1"/>
            </a:solidFill>
            <a:ln>
              <a:noFill/>
            </a:ln>
            <a:effectLst/>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Rita!$B$25:$B$29</c:f>
              <c:numCache>
                <c:formatCode>h:mm</c:formatCode>
                <c:ptCount val="5"/>
                <c:pt idx="0">
                  <c:v>0.16666666666666666</c:v>
                </c:pt>
                <c:pt idx="1">
                  <c:v>0.12569444444444444</c:v>
                </c:pt>
                <c:pt idx="2">
                  <c:v>8.4722222222222532E-2</c:v>
                </c:pt>
                <c:pt idx="3">
                  <c:v>4.3749999999999997E-2</c:v>
                </c:pt>
                <c:pt idx="4">
                  <c:v>2.7777777777777913E-3</c:v>
                </c:pt>
              </c:numCache>
            </c:numRef>
          </c:cat>
          <c:val>
            <c:numRef>
              <c:f>Rita!$C$25:$C$29</c:f>
              <c:numCache>
                <c:formatCode>General</c:formatCode>
                <c:ptCount val="5"/>
                <c:pt idx="0">
                  <c:v>22.8</c:v>
                </c:pt>
                <c:pt idx="1">
                  <c:v>37.1</c:v>
                </c:pt>
                <c:pt idx="2">
                  <c:v>61.3</c:v>
                </c:pt>
                <c:pt idx="3">
                  <c:v>46.4</c:v>
                </c:pt>
                <c:pt idx="4">
                  <c:v>24.2</c:v>
                </c:pt>
              </c:numCache>
            </c:numRef>
          </c:val>
          <c:extLst>
            <c:ext xmlns:c16="http://schemas.microsoft.com/office/drawing/2014/chart" uri="{C3380CC4-5D6E-409C-BE32-E72D297353CC}">
              <c16:uniqueId val="{00000000-D7C5-49C9-B19D-15B709FC2BB2}"/>
            </c:ext>
          </c:extLst>
        </c:ser>
        <c:dLbls>
          <c:dLblPos val="outEnd"/>
          <c:showLegendKey val="0"/>
          <c:showVal val="1"/>
          <c:showCatName val="0"/>
          <c:showSerName val="0"/>
          <c:showPercent val="0"/>
          <c:showBubbleSize val="0"/>
        </c:dLbls>
        <c:gapWidth val="219"/>
        <c:overlap val="-27"/>
        <c:axId val="461712112"/>
        <c:axId val="461712504"/>
      </c:barChart>
      <c:catAx>
        <c:axId val="4617121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Carbon Source Ratio</a:t>
                </a:r>
              </a:p>
            </c:rich>
          </c:tx>
          <c:overlay val="0"/>
          <c:spPr>
            <a:noFill/>
            <a:ln>
              <a:noFill/>
            </a:ln>
            <a:effectLst/>
          </c:sp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12504"/>
        <c:crosses val="autoZero"/>
        <c:auto val="1"/>
        <c:lblAlgn val="ctr"/>
        <c:lblOffset val="100"/>
        <c:noMultiLvlLbl val="0"/>
      </c:catAx>
      <c:valAx>
        <c:axId val="461712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12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Rita!$G$25</c:f>
              <c:strCache>
                <c:ptCount val="1"/>
                <c:pt idx="0">
                  <c:v>Alpha-Amylase Activity (U/ml)</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xVal>
            <c:numRef>
              <c:f>Rita!$F$26:$F$32</c:f>
              <c:numCache>
                <c:formatCode>General</c:formatCode>
                <c:ptCount val="7"/>
                <c:pt idx="0">
                  <c:v>0.1</c:v>
                </c:pt>
                <c:pt idx="1">
                  <c:v>0.25</c:v>
                </c:pt>
                <c:pt idx="2">
                  <c:v>0.5</c:v>
                </c:pt>
                <c:pt idx="3">
                  <c:v>0.75000000000000122</c:v>
                </c:pt>
                <c:pt idx="4">
                  <c:v>1</c:v>
                </c:pt>
                <c:pt idx="5">
                  <c:v>1.25</c:v>
                </c:pt>
                <c:pt idx="6">
                  <c:v>1.5</c:v>
                </c:pt>
              </c:numCache>
            </c:numRef>
          </c:xVal>
          <c:yVal>
            <c:numRef>
              <c:f>Rita!$G$26:$G$32</c:f>
              <c:numCache>
                <c:formatCode>General</c:formatCode>
                <c:ptCount val="7"/>
                <c:pt idx="0">
                  <c:v>28.6</c:v>
                </c:pt>
                <c:pt idx="1">
                  <c:v>47.4</c:v>
                </c:pt>
                <c:pt idx="2">
                  <c:v>17.5</c:v>
                </c:pt>
                <c:pt idx="3">
                  <c:v>68.3</c:v>
                </c:pt>
                <c:pt idx="4">
                  <c:v>59.1</c:v>
                </c:pt>
                <c:pt idx="5">
                  <c:v>47.8</c:v>
                </c:pt>
                <c:pt idx="6">
                  <c:v>35.200000000000003</c:v>
                </c:pt>
              </c:numCache>
            </c:numRef>
          </c:yVal>
          <c:smooth val="1"/>
          <c:extLst>
            <c:ext xmlns:c16="http://schemas.microsoft.com/office/drawing/2014/chart" uri="{C3380CC4-5D6E-409C-BE32-E72D297353CC}">
              <c16:uniqueId val="{00000000-1A20-42F0-8A98-2E1A71ADEB37}"/>
            </c:ext>
          </c:extLst>
        </c:ser>
        <c:dLbls>
          <c:dLblPos val="t"/>
          <c:showLegendKey val="0"/>
          <c:showVal val="1"/>
          <c:showCatName val="0"/>
          <c:showSerName val="0"/>
          <c:showPercent val="0"/>
          <c:showBubbleSize val="0"/>
        </c:dLbls>
        <c:axId val="461711328"/>
        <c:axId val="461711720"/>
      </c:scatterChart>
      <c:valAx>
        <c:axId val="461711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Nitrogen Source (Yeast Extract) </a:t>
                </a:r>
              </a:p>
            </c:rich>
          </c:tx>
          <c:layout>
            <c:manualLayout>
              <c:xMode val="edge"/>
              <c:yMode val="edge"/>
              <c:x val="0.26987271950025604"/>
              <c:y val="0.903533366231127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11720"/>
        <c:crosses val="autoZero"/>
        <c:crossBetween val="midCat"/>
      </c:valAx>
      <c:valAx>
        <c:axId val="461711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Alpha-Amylase Activity (U/ml)</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17113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TotalTime>
  <Pages>17</Pages>
  <Words>7327</Words>
  <Characters>41768</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6</cp:revision>
  <dcterms:created xsi:type="dcterms:W3CDTF">2026-01-27T13:53:00Z</dcterms:created>
  <dcterms:modified xsi:type="dcterms:W3CDTF">2026-02-04T10:21:00Z</dcterms:modified>
</cp:coreProperties>
</file>