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B9415" w14:textId="3F61218E" w:rsidR="00C47E70" w:rsidRDefault="00C47E70" w:rsidP="00A379C6">
      <w:pPr>
        <w:jc w:val="center"/>
        <w:rPr>
          <w:rFonts w:ascii="Times New Roman" w:hAnsi="Times New Roman" w:cs="Times New Roman"/>
          <w:b/>
          <w:bCs/>
          <w:sz w:val="24"/>
          <w:szCs w:val="24"/>
        </w:rPr>
      </w:pPr>
      <w:r w:rsidRPr="00A379C6">
        <w:rPr>
          <w:rFonts w:ascii="Times New Roman" w:hAnsi="Times New Roman" w:cs="Times New Roman"/>
          <w:b/>
          <w:bCs/>
          <w:sz w:val="24"/>
          <w:szCs w:val="24"/>
        </w:rPr>
        <w:t>UAV-Based Precision Spraying Enhances Pest Control, Nutrient Uptake, and Spray Efficiency in High-Density Mango Orchards</w:t>
      </w:r>
    </w:p>
    <w:p w14:paraId="29A0DC49" w14:textId="77777777" w:rsidR="0015388A" w:rsidRDefault="0015388A" w:rsidP="000F6434">
      <w:pPr>
        <w:widowControl w:val="0"/>
        <w:autoSpaceDE w:val="0"/>
        <w:autoSpaceDN w:val="0"/>
        <w:spacing w:before="87" w:after="0" w:line="333" w:lineRule="auto"/>
        <w:ind w:left="711" w:right="702"/>
        <w:jc w:val="center"/>
      </w:pPr>
    </w:p>
    <w:p w14:paraId="4D243B54" w14:textId="77777777" w:rsidR="00D931F9" w:rsidRDefault="00311417" w:rsidP="00D931F9">
      <w:pPr>
        <w:jc w:val="both"/>
        <w:rPr>
          <w:rFonts w:ascii="Times New Roman" w:hAnsi="Times New Roman" w:cs="Times New Roman"/>
          <w:b/>
          <w:bCs/>
          <w:sz w:val="24"/>
          <w:szCs w:val="24"/>
        </w:rPr>
      </w:pPr>
      <w:r w:rsidRPr="00311417">
        <w:rPr>
          <w:rFonts w:ascii="Times New Roman" w:hAnsi="Times New Roman" w:cs="Times New Roman"/>
          <w:b/>
          <w:bCs/>
          <w:sz w:val="24"/>
          <w:szCs w:val="24"/>
        </w:rPr>
        <w:t>Abstract</w:t>
      </w:r>
    </w:p>
    <w:p w14:paraId="56F9B284" w14:textId="2C72DA0F" w:rsidR="00D931F9" w:rsidRPr="00D931F9" w:rsidRDefault="00D931F9" w:rsidP="00D931F9">
      <w:pPr>
        <w:ind w:firstLine="720"/>
        <w:jc w:val="both"/>
        <w:rPr>
          <w:rFonts w:ascii="Times New Roman" w:hAnsi="Times New Roman" w:cs="Times New Roman"/>
          <w:b/>
          <w:bCs/>
          <w:sz w:val="24"/>
          <w:szCs w:val="24"/>
        </w:rPr>
      </w:pPr>
      <w:r w:rsidRPr="00D931F9">
        <w:rPr>
          <w:rFonts w:ascii="Times New Roman" w:hAnsi="Times New Roman" w:cs="Times New Roman"/>
          <w:sz w:val="24"/>
          <w:szCs w:val="24"/>
        </w:rPr>
        <w:t>Mango (</w:t>
      </w:r>
      <w:proofErr w:type="spellStart"/>
      <w:r w:rsidRPr="00D931F9">
        <w:rPr>
          <w:rFonts w:ascii="Times New Roman" w:hAnsi="Times New Roman" w:cs="Times New Roman"/>
          <w:sz w:val="24"/>
          <w:szCs w:val="24"/>
        </w:rPr>
        <w:t>Mangifera</w:t>
      </w:r>
      <w:proofErr w:type="spellEnd"/>
      <w:r w:rsidRPr="00D931F9">
        <w:rPr>
          <w:rFonts w:ascii="Times New Roman" w:hAnsi="Times New Roman" w:cs="Times New Roman"/>
          <w:sz w:val="24"/>
          <w:szCs w:val="24"/>
        </w:rPr>
        <w:t xml:space="preserve"> </w:t>
      </w:r>
      <w:proofErr w:type="spellStart"/>
      <w:r w:rsidRPr="00D931F9">
        <w:rPr>
          <w:rFonts w:ascii="Times New Roman" w:hAnsi="Times New Roman" w:cs="Times New Roman"/>
          <w:sz w:val="24"/>
          <w:szCs w:val="24"/>
        </w:rPr>
        <w:t>indica</w:t>
      </w:r>
      <w:proofErr w:type="spellEnd"/>
      <w:r w:rsidRPr="00D931F9">
        <w:rPr>
          <w:rFonts w:ascii="Times New Roman" w:hAnsi="Times New Roman" w:cs="Times New Roman"/>
          <w:sz w:val="24"/>
          <w:szCs w:val="24"/>
        </w:rPr>
        <w:t xml:space="preserve"> L.) is a major tropical fruit crop that suffers yield losses from nutrient deficiencies, insect pests, and fungal diseases, with conventional spraying methods such as tractor-mounted or manual sprayers often requiring excessive spray volumes, leading to poor canopy penetration, chemical wastage, operator health risks, and environmental contamination. Recent advances in Unmanned Aerial Vehicles (UAVs) have enabled site-specific spraying, offering precision application, reduced chemical use, and improved safety, though research in mango orchards remains limited compared to crops like citrus, vineyards, and rice. This proof-of-concept study conducted in high-density Alphonso mango orchards in Tamil Nadu, India, from September 2023 to March 2024, compared UAV spraying at 1 L/tree (T1), 2 L/tree (T2), and 3 L/tree (T3) with tractor spraying at 15 L/tree (T4). UAV-mounted multispectral sensors captured canopy spectral indices, while bio-efficacy was validated using chlorophyll index (SPAD), pest incidence, and NDVI analysis. Results showed that T2 (2 L/tree UAV spraying) achieved pest and disease suppression comparable to tractor spraying, while reducing spray volume by 70% and drift by 40%. UAV spraying also enhanced chlorophyll index and canopy reflectance, indicating improved nutrient absorption. Overall, findings demonstrate that UAV spraying is technically feasible and economically viable for mango orchards, reducing agrochemical inputs while maintaining effective pest and disease control, and highlight UAV spraying as a sustainable precision agriculture strategy with strong potential to transform orchard management in tropical fruit systems.</w:t>
      </w:r>
    </w:p>
    <w:p w14:paraId="627AD584" w14:textId="7AC0F165" w:rsidR="00311417" w:rsidRPr="00311417" w:rsidRDefault="00311417" w:rsidP="00D931F9">
      <w:pPr>
        <w:jc w:val="both"/>
        <w:rPr>
          <w:rFonts w:ascii="Times New Roman" w:hAnsi="Times New Roman" w:cs="Times New Roman"/>
          <w:sz w:val="24"/>
          <w:szCs w:val="24"/>
        </w:rPr>
      </w:pPr>
      <w:r w:rsidRPr="00311417">
        <w:rPr>
          <w:rFonts w:ascii="Times New Roman" w:hAnsi="Times New Roman" w:cs="Times New Roman"/>
          <w:b/>
          <w:bCs/>
          <w:sz w:val="24"/>
          <w:szCs w:val="24"/>
        </w:rPr>
        <w:t>Keywords:</w:t>
      </w:r>
      <w:r w:rsidRPr="00311417">
        <w:rPr>
          <w:rFonts w:ascii="Times New Roman" w:hAnsi="Times New Roman" w:cs="Times New Roman"/>
          <w:sz w:val="24"/>
          <w:szCs w:val="24"/>
        </w:rPr>
        <w:t xml:space="preserve"> UAV spraying, mango orchards, precision agriculture, nutrient uptake, pesticide drift, canopy spectral analysis</w:t>
      </w:r>
    </w:p>
    <w:p w14:paraId="6F73DB01" w14:textId="77777777" w:rsidR="00311417" w:rsidRPr="00311417" w:rsidRDefault="00311417" w:rsidP="00A379C6">
      <w:pPr>
        <w:jc w:val="both"/>
        <w:rPr>
          <w:rFonts w:ascii="Times New Roman" w:hAnsi="Times New Roman" w:cs="Times New Roman"/>
          <w:sz w:val="24"/>
          <w:szCs w:val="24"/>
        </w:rPr>
      </w:pPr>
      <w:r w:rsidRPr="00311417">
        <w:rPr>
          <w:rFonts w:ascii="Times New Roman" w:hAnsi="Times New Roman" w:cs="Times New Roman"/>
          <w:b/>
          <w:bCs/>
          <w:sz w:val="24"/>
          <w:szCs w:val="24"/>
        </w:rPr>
        <w:t>1. Introduction</w:t>
      </w:r>
    </w:p>
    <w:p w14:paraId="4AA5ACF3" w14:textId="078EB704" w:rsidR="00311417" w:rsidRPr="00311417" w:rsidRDefault="00311417" w:rsidP="00D931F9">
      <w:pPr>
        <w:ind w:firstLine="720"/>
        <w:jc w:val="both"/>
        <w:rPr>
          <w:rFonts w:ascii="Times New Roman" w:hAnsi="Times New Roman" w:cs="Times New Roman"/>
          <w:sz w:val="24"/>
          <w:szCs w:val="24"/>
        </w:rPr>
      </w:pPr>
      <w:r w:rsidRPr="00311417">
        <w:rPr>
          <w:rFonts w:ascii="Times New Roman" w:hAnsi="Times New Roman" w:cs="Times New Roman"/>
          <w:sz w:val="24"/>
          <w:szCs w:val="24"/>
        </w:rPr>
        <w:t>Mango (</w:t>
      </w:r>
      <w:proofErr w:type="spellStart"/>
      <w:r w:rsidRPr="00311417">
        <w:rPr>
          <w:rFonts w:ascii="Times New Roman" w:hAnsi="Times New Roman" w:cs="Times New Roman"/>
          <w:sz w:val="24"/>
          <w:szCs w:val="24"/>
        </w:rPr>
        <w:t>Mangifera</w:t>
      </w:r>
      <w:proofErr w:type="spellEnd"/>
      <w:r w:rsidRPr="00311417">
        <w:rPr>
          <w:rFonts w:ascii="Times New Roman" w:hAnsi="Times New Roman" w:cs="Times New Roman"/>
          <w:sz w:val="24"/>
          <w:szCs w:val="24"/>
        </w:rPr>
        <w:t xml:space="preserve"> </w:t>
      </w:r>
      <w:proofErr w:type="spellStart"/>
      <w:r w:rsidRPr="00311417">
        <w:rPr>
          <w:rFonts w:ascii="Times New Roman" w:hAnsi="Times New Roman" w:cs="Times New Roman"/>
          <w:sz w:val="24"/>
          <w:szCs w:val="24"/>
        </w:rPr>
        <w:t>indica</w:t>
      </w:r>
      <w:proofErr w:type="spellEnd"/>
      <w:r w:rsidRPr="00311417">
        <w:rPr>
          <w:rFonts w:ascii="Times New Roman" w:hAnsi="Times New Roman" w:cs="Times New Roman"/>
          <w:sz w:val="24"/>
          <w:szCs w:val="24"/>
        </w:rPr>
        <w:t xml:space="preserve"> L.) is one of the most commercially significant tropical and subtropical fruit crops, contributing substantially to the horticultural economies of countries such as India, China, and Thailand. India alone accounts for nearly half of global mango production, with varieties like Alphonso and Kesar occupying a dominant share in both domestic and export markets. Despite its economic importance, mango productivity is frequently constrained by nutrient deficiencies, insect pests, and fungal diseases. Among the most damaging biotic stresses are mango hoppers (</w:t>
      </w:r>
      <w:proofErr w:type="spellStart"/>
      <w:r w:rsidRPr="00311417">
        <w:rPr>
          <w:rFonts w:ascii="Times New Roman" w:hAnsi="Times New Roman" w:cs="Times New Roman"/>
          <w:sz w:val="24"/>
          <w:szCs w:val="24"/>
        </w:rPr>
        <w:t>Idioscopus</w:t>
      </w:r>
      <w:proofErr w:type="spellEnd"/>
      <w:r w:rsidRPr="00311417">
        <w:rPr>
          <w:rFonts w:ascii="Times New Roman" w:hAnsi="Times New Roman" w:cs="Times New Roman"/>
          <w:sz w:val="24"/>
          <w:szCs w:val="24"/>
        </w:rPr>
        <w:t xml:space="preserve"> spp.), fruit flies (</w:t>
      </w:r>
      <w:proofErr w:type="spellStart"/>
      <w:r w:rsidRPr="00311417">
        <w:rPr>
          <w:rFonts w:ascii="Times New Roman" w:hAnsi="Times New Roman" w:cs="Times New Roman"/>
          <w:sz w:val="24"/>
          <w:szCs w:val="24"/>
        </w:rPr>
        <w:t>Bactrocera</w:t>
      </w:r>
      <w:proofErr w:type="spellEnd"/>
      <w:r w:rsidRPr="00311417">
        <w:rPr>
          <w:rFonts w:ascii="Times New Roman" w:hAnsi="Times New Roman" w:cs="Times New Roman"/>
          <w:sz w:val="24"/>
          <w:szCs w:val="24"/>
        </w:rPr>
        <w:t xml:space="preserve"> dorsalis), and anthracnose caused by Colletotrichum </w:t>
      </w:r>
      <w:proofErr w:type="spellStart"/>
      <w:r w:rsidRPr="00311417">
        <w:rPr>
          <w:rFonts w:ascii="Times New Roman" w:hAnsi="Times New Roman" w:cs="Times New Roman"/>
          <w:sz w:val="24"/>
          <w:szCs w:val="24"/>
        </w:rPr>
        <w:t>gloeosporioides</w:t>
      </w:r>
      <w:proofErr w:type="spellEnd"/>
      <w:r w:rsidRPr="00311417">
        <w:rPr>
          <w:rFonts w:ascii="Times New Roman" w:hAnsi="Times New Roman" w:cs="Times New Roman"/>
          <w:sz w:val="24"/>
          <w:szCs w:val="24"/>
        </w:rPr>
        <w:t xml:space="preserve"> </w:t>
      </w:r>
      <w:r w:rsidR="00CF6590">
        <w:rPr>
          <w:rFonts w:ascii="Times New Roman" w:hAnsi="Times New Roman" w:cs="Times New Roman"/>
          <w:sz w:val="24"/>
          <w:szCs w:val="24"/>
        </w:rPr>
        <w:t>[1,2]</w:t>
      </w:r>
      <w:r w:rsidRPr="00311417">
        <w:rPr>
          <w:rFonts w:ascii="Times New Roman" w:hAnsi="Times New Roman" w:cs="Times New Roman"/>
          <w:sz w:val="24"/>
          <w:szCs w:val="24"/>
        </w:rPr>
        <w:t>. These challenges make plant protection and nutrient management integral components of orchard sustainability.</w:t>
      </w:r>
    </w:p>
    <w:p w14:paraId="50E8BC38" w14:textId="5178C024"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Conventional application methods, primarily tractor-mounted and knapsack sprayers, remain the dominant approach for delivering nutrients and pesticides in orchards. However, these techniques present several drawbacks, including excessive spray volume requirements, uneven canopy penetration, increased operator exposure to chemicals, and high risks of off-target contamination of soil and nearby ecosystems </w:t>
      </w:r>
      <w:r w:rsidR="00CF6590">
        <w:rPr>
          <w:rFonts w:ascii="Times New Roman" w:hAnsi="Times New Roman" w:cs="Times New Roman"/>
          <w:sz w:val="24"/>
          <w:szCs w:val="24"/>
        </w:rPr>
        <w:t>[3]</w:t>
      </w:r>
      <w:r w:rsidRPr="00311417">
        <w:rPr>
          <w:rFonts w:ascii="Times New Roman" w:hAnsi="Times New Roman" w:cs="Times New Roman"/>
          <w:sz w:val="24"/>
          <w:szCs w:val="24"/>
        </w:rPr>
        <w:t>. Such inefficiencies not only raise production costs but also undermine environmental sustainability, a concern that has become central to modern horticultural research and policy.</w:t>
      </w:r>
    </w:p>
    <w:p w14:paraId="0B89974C" w14:textId="58AF4358"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lastRenderedPageBreak/>
        <w:t xml:space="preserve">Recent technological advances have positioned Unmanned Aerial Vehicles (UAVs) as a disruptive innovation in precision agriculture. UAV-based spraying offers several advantages over ground-based methods, including reduced agrochemical inputs, GPS-guided targeting, </w:t>
      </w:r>
      <w:r w:rsidR="00A379C6" w:rsidRPr="00311417">
        <w:rPr>
          <w:rFonts w:ascii="Times New Roman" w:hAnsi="Times New Roman" w:cs="Times New Roman"/>
          <w:sz w:val="24"/>
          <w:szCs w:val="24"/>
        </w:rPr>
        <w:t>labour</w:t>
      </w:r>
      <w:r w:rsidRPr="00311417">
        <w:rPr>
          <w:rFonts w:ascii="Times New Roman" w:hAnsi="Times New Roman" w:cs="Times New Roman"/>
          <w:sz w:val="24"/>
          <w:szCs w:val="24"/>
        </w:rPr>
        <w:t xml:space="preserve"> efficiency, and improved operator safety </w:t>
      </w:r>
      <w:r w:rsidR="00CF6590">
        <w:rPr>
          <w:rFonts w:ascii="Times New Roman" w:hAnsi="Times New Roman" w:cs="Times New Roman"/>
          <w:sz w:val="24"/>
          <w:szCs w:val="24"/>
        </w:rPr>
        <w:t>[</w:t>
      </w:r>
      <w:r w:rsidR="00011802">
        <w:rPr>
          <w:rFonts w:ascii="Times New Roman" w:hAnsi="Times New Roman" w:cs="Times New Roman"/>
          <w:sz w:val="24"/>
          <w:szCs w:val="24"/>
        </w:rPr>
        <w:t>4</w:t>
      </w:r>
      <w:r w:rsidR="00805741">
        <w:rPr>
          <w:rFonts w:ascii="Times New Roman" w:hAnsi="Times New Roman" w:cs="Times New Roman"/>
          <w:sz w:val="24"/>
          <w:szCs w:val="24"/>
        </w:rPr>
        <w:t>,14</w:t>
      </w:r>
      <w:r w:rsidR="00CF6590">
        <w:rPr>
          <w:rFonts w:ascii="Times New Roman" w:hAnsi="Times New Roman" w:cs="Times New Roman"/>
          <w:sz w:val="24"/>
          <w:szCs w:val="24"/>
        </w:rPr>
        <w:t>]</w:t>
      </w:r>
      <w:r w:rsidRPr="00311417">
        <w:rPr>
          <w:rFonts w:ascii="Times New Roman" w:hAnsi="Times New Roman" w:cs="Times New Roman"/>
          <w:sz w:val="24"/>
          <w:szCs w:val="24"/>
        </w:rPr>
        <w:t xml:space="preserve">. In addition, UAVs can be integrated with multispectral imaging and geospatial analysis tools to deliver canopy-specific applications, thereby reducing waste and optimizing crop responses </w:t>
      </w:r>
      <w:r w:rsidR="00CF6590">
        <w:rPr>
          <w:rFonts w:ascii="Times New Roman" w:hAnsi="Times New Roman" w:cs="Times New Roman"/>
          <w:sz w:val="24"/>
          <w:szCs w:val="24"/>
        </w:rPr>
        <w:t>[</w:t>
      </w:r>
      <w:r w:rsidR="00011802">
        <w:rPr>
          <w:rFonts w:ascii="Times New Roman" w:hAnsi="Times New Roman" w:cs="Times New Roman"/>
          <w:sz w:val="24"/>
          <w:szCs w:val="24"/>
        </w:rPr>
        <w:t>5</w:t>
      </w:r>
      <w:r w:rsidR="00CF6590">
        <w:rPr>
          <w:rFonts w:ascii="Times New Roman" w:hAnsi="Times New Roman" w:cs="Times New Roman"/>
          <w:sz w:val="24"/>
          <w:szCs w:val="24"/>
        </w:rPr>
        <w:t>]</w:t>
      </w:r>
      <w:r w:rsidRPr="00311417">
        <w:rPr>
          <w:rFonts w:ascii="Times New Roman" w:hAnsi="Times New Roman" w:cs="Times New Roman"/>
          <w:sz w:val="24"/>
          <w:szCs w:val="24"/>
        </w:rPr>
        <w:t xml:space="preserve">. Empirical evidence has demonstrated UAV efficacy in vineyards, citrus, and rice systems, where improved deposition, reduced drift, and enhanced operational efficiency have been consistently reported </w:t>
      </w:r>
      <w:r w:rsidR="00CF6590">
        <w:rPr>
          <w:rFonts w:ascii="Times New Roman" w:hAnsi="Times New Roman" w:cs="Times New Roman"/>
          <w:sz w:val="24"/>
          <w:szCs w:val="24"/>
        </w:rPr>
        <w:t>[</w:t>
      </w:r>
      <w:r w:rsidR="00011802">
        <w:rPr>
          <w:rFonts w:ascii="Times New Roman" w:hAnsi="Times New Roman" w:cs="Times New Roman"/>
          <w:sz w:val="24"/>
          <w:szCs w:val="24"/>
        </w:rPr>
        <w:t>3</w:t>
      </w:r>
      <w:r w:rsidR="00CF6590">
        <w:rPr>
          <w:rFonts w:ascii="Times New Roman" w:hAnsi="Times New Roman" w:cs="Times New Roman"/>
          <w:sz w:val="24"/>
          <w:szCs w:val="24"/>
        </w:rPr>
        <w:t xml:space="preserve">, </w:t>
      </w:r>
      <w:r w:rsidR="00011802">
        <w:rPr>
          <w:rFonts w:ascii="Times New Roman" w:hAnsi="Times New Roman" w:cs="Times New Roman"/>
          <w:sz w:val="24"/>
          <w:szCs w:val="24"/>
        </w:rPr>
        <w:t>6</w:t>
      </w:r>
      <w:r w:rsidR="00CF6590">
        <w:rPr>
          <w:rFonts w:ascii="Times New Roman" w:hAnsi="Times New Roman" w:cs="Times New Roman"/>
          <w:sz w:val="24"/>
          <w:szCs w:val="24"/>
        </w:rPr>
        <w:t>]</w:t>
      </w:r>
      <w:r w:rsidRPr="00311417">
        <w:rPr>
          <w:rFonts w:ascii="Times New Roman" w:hAnsi="Times New Roman" w:cs="Times New Roman"/>
          <w:sz w:val="24"/>
          <w:szCs w:val="24"/>
        </w:rPr>
        <w:t>.</w:t>
      </w:r>
    </w:p>
    <w:p w14:paraId="387E081D" w14:textId="6E5F521E"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Despite these promising developments, research on UAV spraying in mango orchards remains scarce. Mango canopies are typically dense and irregular, presenting unique challenges for droplet penetration, deposition uniformity, and drift control compared to open-field or low-canopy crops </w:t>
      </w:r>
      <w:r w:rsidR="00CF6590">
        <w:rPr>
          <w:rFonts w:ascii="Times New Roman" w:hAnsi="Times New Roman" w:cs="Times New Roman"/>
          <w:sz w:val="24"/>
          <w:szCs w:val="24"/>
        </w:rPr>
        <w:t>[</w:t>
      </w:r>
      <w:r w:rsidR="00011802">
        <w:rPr>
          <w:rFonts w:ascii="Times New Roman" w:hAnsi="Times New Roman" w:cs="Times New Roman"/>
          <w:sz w:val="24"/>
          <w:szCs w:val="24"/>
        </w:rPr>
        <w:t>7</w:t>
      </w:r>
      <w:r w:rsidR="004C10CB">
        <w:rPr>
          <w:rFonts w:ascii="Times New Roman" w:hAnsi="Times New Roman" w:cs="Times New Roman"/>
          <w:sz w:val="24"/>
          <w:szCs w:val="24"/>
        </w:rPr>
        <w:t>,</w:t>
      </w:r>
      <w:bookmarkStart w:id="0" w:name="_GoBack"/>
      <w:bookmarkEnd w:id="0"/>
      <w:r w:rsidR="004C10CB">
        <w:rPr>
          <w:rFonts w:ascii="Times New Roman" w:hAnsi="Times New Roman" w:cs="Times New Roman"/>
          <w:sz w:val="24"/>
          <w:szCs w:val="24"/>
        </w:rPr>
        <w:t>15</w:t>
      </w:r>
      <w:r w:rsidR="00CF6590">
        <w:rPr>
          <w:rFonts w:ascii="Times New Roman" w:hAnsi="Times New Roman" w:cs="Times New Roman"/>
          <w:sz w:val="24"/>
          <w:szCs w:val="24"/>
        </w:rPr>
        <w:t>]</w:t>
      </w:r>
      <w:r w:rsidRPr="00311417">
        <w:rPr>
          <w:rFonts w:ascii="Times New Roman" w:hAnsi="Times New Roman" w:cs="Times New Roman"/>
          <w:sz w:val="24"/>
          <w:szCs w:val="24"/>
        </w:rPr>
        <w:t>. Furthermore, while the International Organization for Standardization (ISO 23117-1, 2022) has established calibration and safety guidelines for UAV spraying systems, these have not been widely tested in orchard-specific applications. This lack of targeted research creates uncertainty regarding the technical feasibility, efficiency, and economic viability of UAV spraying in mango systems.</w:t>
      </w:r>
    </w:p>
    <w:p w14:paraId="560A21A4" w14:textId="15ED087D"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The present study addresses this gap by conducting a proof-of-concept (POC) trial comparing UAV- and tractor-mounted spraying in high-density Alphonso mango orchards in </w:t>
      </w:r>
      <w:r w:rsidR="00A379C6" w:rsidRPr="00A379C6">
        <w:rPr>
          <w:rFonts w:ascii="Times New Roman" w:hAnsi="Times New Roman" w:cs="Times New Roman"/>
          <w:sz w:val="24"/>
          <w:szCs w:val="24"/>
        </w:rPr>
        <w:t>Tamil Nadu</w:t>
      </w:r>
      <w:r w:rsidRPr="00311417">
        <w:rPr>
          <w:rFonts w:ascii="Times New Roman" w:hAnsi="Times New Roman" w:cs="Times New Roman"/>
          <w:sz w:val="24"/>
          <w:szCs w:val="24"/>
        </w:rPr>
        <w:t>, India. By combining field-based bio-efficacy assessments with spectral indices derived from UAV-mounted sensors, the research aims to evaluate spray deposition patterns, canopy coverage, pest and disease suppression, drift potential, and operational economics. The findings are expected to provide new insights into optimizing orchard spraying strategies, supporting the transition toward smart, sustainable, and precision-oriented mango production systems.</w:t>
      </w:r>
    </w:p>
    <w:p w14:paraId="39CF3BD8" w14:textId="77777777" w:rsidR="00311417" w:rsidRPr="00311417" w:rsidRDefault="00311417" w:rsidP="00A379C6">
      <w:pPr>
        <w:jc w:val="both"/>
        <w:rPr>
          <w:rFonts w:ascii="Times New Roman" w:hAnsi="Times New Roman" w:cs="Times New Roman"/>
          <w:sz w:val="24"/>
          <w:szCs w:val="24"/>
        </w:rPr>
      </w:pPr>
      <w:r w:rsidRPr="00311417">
        <w:rPr>
          <w:rFonts w:ascii="Times New Roman" w:hAnsi="Times New Roman" w:cs="Times New Roman"/>
          <w:b/>
          <w:bCs/>
          <w:sz w:val="24"/>
          <w:szCs w:val="24"/>
        </w:rPr>
        <w:t>2. Materials and Methods</w:t>
      </w:r>
    </w:p>
    <w:p w14:paraId="27E1558A"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2.1 Study Site</w:t>
      </w:r>
    </w:p>
    <w:p w14:paraId="5E379061" w14:textId="35EEDEAD" w:rsid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The experiment was conducted in a high-density Alphonso (</w:t>
      </w:r>
      <w:proofErr w:type="spellStart"/>
      <w:r w:rsidRPr="00311417">
        <w:rPr>
          <w:rFonts w:ascii="Times New Roman" w:hAnsi="Times New Roman" w:cs="Times New Roman"/>
          <w:i/>
          <w:iCs/>
          <w:sz w:val="24"/>
          <w:szCs w:val="24"/>
        </w:rPr>
        <w:t>Mangifera</w:t>
      </w:r>
      <w:proofErr w:type="spellEnd"/>
      <w:r w:rsidRPr="00311417">
        <w:rPr>
          <w:rFonts w:ascii="Times New Roman" w:hAnsi="Times New Roman" w:cs="Times New Roman"/>
          <w:i/>
          <w:iCs/>
          <w:sz w:val="24"/>
          <w:szCs w:val="24"/>
        </w:rPr>
        <w:t xml:space="preserve"> </w:t>
      </w:r>
      <w:proofErr w:type="spellStart"/>
      <w:r w:rsidRPr="00311417">
        <w:rPr>
          <w:rFonts w:ascii="Times New Roman" w:hAnsi="Times New Roman" w:cs="Times New Roman"/>
          <w:i/>
          <w:iCs/>
          <w:sz w:val="24"/>
          <w:szCs w:val="24"/>
        </w:rPr>
        <w:t>indica</w:t>
      </w:r>
      <w:proofErr w:type="spellEnd"/>
      <w:r w:rsidRPr="00311417">
        <w:rPr>
          <w:rFonts w:ascii="Times New Roman" w:hAnsi="Times New Roman" w:cs="Times New Roman"/>
          <w:sz w:val="24"/>
          <w:szCs w:val="24"/>
        </w:rPr>
        <w:t xml:space="preserve"> L.) mango orchard located in </w:t>
      </w:r>
      <w:r w:rsidR="00A379C6" w:rsidRPr="00A379C6">
        <w:rPr>
          <w:rFonts w:ascii="Times New Roman" w:hAnsi="Times New Roman" w:cs="Times New Roman"/>
          <w:sz w:val="24"/>
          <w:szCs w:val="24"/>
        </w:rPr>
        <w:t>Tamil Nadu</w:t>
      </w:r>
      <w:r w:rsidRPr="00311417">
        <w:rPr>
          <w:rFonts w:ascii="Times New Roman" w:hAnsi="Times New Roman" w:cs="Times New Roman"/>
          <w:sz w:val="24"/>
          <w:szCs w:val="24"/>
        </w:rPr>
        <w:t>, India, between September 2023 and March 2024. The orchard followed a planting geometry of 4 m × 2 m, with an average tree height of 3–3.5 m. The region is characterized by a semi-tropical climate, with average daily temperatures ranging between 24 °C and 32 °C during the trial period.</w:t>
      </w:r>
    </w:p>
    <w:p w14:paraId="18F63AD8"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2.2 Experimental Design</w:t>
      </w:r>
    </w:p>
    <w:p w14:paraId="14AABAF3" w14:textId="16D8F04A" w:rsidR="00311417" w:rsidRPr="00311417" w:rsidRDefault="00311417" w:rsidP="00FC3356">
      <w:pPr>
        <w:ind w:firstLine="720"/>
        <w:jc w:val="both"/>
        <w:rPr>
          <w:rFonts w:ascii="Times New Roman" w:hAnsi="Times New Roman" w:cs="Times New Roman"/>
          <w:b/>
          <w:bCs/>
          <w:sz w:val="24"/>
          <w:szCs w:val="24"/>
        </w:rPr>
      </w:pPr>
      <w:r w:rsidRPr="00311417">
        <w:rPr>
          <w:rFonts w:ascii="Times New Roman" w:hAnsi="Times New Roman" w:cs="Times New Roman"/>
          <w:sz w:val="24"/>
          <w:szCs w:val="24"/>
        </w:rPr>
        <w:t>A randomized block design (RBD) was adopted with four treatments and three replications to minimize spatial variability. Each replication consisted of seven trees, giving a total of 84 experimental trees. The treatments were defined as follows:</w:t>
      </w:r>
    </w:p>
    <w:p w14:paraId="74D2AA5B" w14:textId="77777777" w:rsidR="00311417" w:rsidRPr="00311417" w:rsidRDefault="00311417" w:rsidP="00A379C6">
      <w:pPr>
        <w:numPr>
          <w:ilvl w:val="0"/>
          <w:numId w:val="1"/>
        </w:numPr>
        <w:jc w:val="both"/>
        <w:rPr>
          <w:rFonts w:ascii="Times New Roman" w:hAnsi="Times New Roman" w:cs="Times New Roman"/>
          <w:sz w:val="24"/>
          <w:szCs w:val="24"/>
        </w:rPr>
      </w:pPr>
      <w:r w:rsidRPr="00311417">
        <w:rPr>
          <w:rFonts w:ascii="Times New Roman" w:hAnsi="Times New Roman" w:cs="Times New Roman"/>
          <w:sz w:val="24"/>
          <w:szCs w:val="24"/>
        </w:rPr>
        <w:t>T1: UAV spraying at 1 L/tree (nutrient + pesticide solution)</w:t>
      </w:r>
    </w:p>
    <w:p w14:paraId="50DE5A19" w14:textId="77777777" w:rsidR="00311417" w:rsidRPr="00311417" w:rsidRDefault="00311417" w:rsidP="00A379C6">
      <w:pPr>
        <w:numPr>
          <w:ilvl w:val="0"/>
          <w:numId w:val="1"/>
        </w:numPr>
        <w:jc w:val="both"/>
        <w:rPr>
          <w:rFonts w:ascii="Times New Roman" w:hAnsi="Times New Roman" w:cs="Times New Roman"/>
          <w:sz w:val="24"/>
          <w:szCs w:val="24"/>
        </w:rPr>
      </w:pPr>
      <w:r w:rsidRPr="00311417">
        <w:rPr>
          <w:rFonts w:ascii="Times New Roman" w:hAnsi="Times New Roman" w:cs="Times New Roman"/>
          <w:sz w:val="24"/>
          <w:szCs w:val="24"/>
        </w:rPr>
        <w:t>T2: UAV spraying at 2 L/tree</w:t>
      </w:r>
    </w:p>
    <w:p w14:paraId="7D33406D" w14:textId="77777777" w:rsidR="00311417" w:rsidRPr="00311417" w:rsidRDefault="00311417" w:rsidP="00A379C6">
      <w:pPr>
        <w:numPr>
          <w:ilvl w:val="0"/>
          <w:numId w:val="1"/>
        </w:numPr>
        <w:jc w:val="both"/>
        <w:rPr>
          <w:rFonts w:ascii="Times New Roman" w:hAnsi="Times New Roman" w:cs="Times New Roman"/>
          <w:sz w:val="24"/>
          <w:szCs w:val="24"/>
        </w:rPr>
      </w:pPr>
      <w:r w:rsidRPr="00311417">
        <w:rPr>
          <w:rFonts w:ascii="Times New Roman" w:hAnsi="Times New Roman" w:cs="Times New Roman"/>
          <w:sz w:val="24"/>
          <w:szCs w:val="24"/>
        </w:rPr>
        <w:t>T3: UAV spraying at 3 L/tree</w:t>
      </w:r>
    </w:p>
    <w:p w14:paraId="323BA383" w14:textId="77777777" w:rsidR="00311417" w:rsidRPr="00311417" w:rsidRDefault="00311417" w:rsidP="00A379C6">
      <w:pPr>
        <w:numPr>
          <w:ilvl w:val="0"/>
          <w:numId w:val="1"/>
        </w:numPr>
        <w:jc w:val="both"/>
        <w:rPr>
          <w:rFonts w:ascii="Times New Roman" w:hAnsi="Times New Roman" w:cs="Times New Roman"/>
          <w:sz w:val="24"/>
          <w:szCs w:val="24"/>
        </w:rPr>
      </w:pPr>
      <w:r w:rsidRPr="00311417">
        <w:rPr>
          <w:rFonts w:ascii="Times New Roman" w:hAnsi="Times New Roman" w:cs="Times New Roman"/>
          <w:sz w:val="24"/>
          <w:szCs w:val="24"/>
        </w:rPr>
        <w:t>T4: Tractor-mounted spraying at 15 L/tree (conventional practice)</w:t>
      </w:r>
    </w:p>
    <w:p w14:paraId="34FCB3A1" w14:textId="77777777" w:rsidR="00311417" w:rsidRDefault="00311417" w:rsidP="00A379C6">
      <w:pPr>
        <w:jc w:val="both"/>
        <w:rPr>
          <w:rFonts w:ascii="Times New Roman" w:hAnsi="Times New Roman" w:cs="Times New Roman"/>
          <w:sz w:val="24"/>
          <w:szCs w:val="24"/>
        </w:rPr>
      </w:pPr>
      <w:r w:rsidRPr="00311417">
        <w:rPr>
          <w:rFonts w:ascii="Times New Roman" w:hAnsi="Times New Roman" w:cs="Times New Roman"/>
          <w:sz w:val="24"/>
          <w:szCs w:val="24"/>
        </w:rPr>
        <w:lastRenderedPageBreak/>
        <w:t>This design allowed comparative assessment of low, medium, and high UAV spray volumes against a standard tractor-based application.</w:t>
      </w:r>
    </w:p>
    <w:p w14:paraId="56E8A90E"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2.3 Treatment Schedule</w:t>
      </w:r>
    </w:p>
    <w:p w14:paraId="5D83F590" w14:textId="794C237C"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Spray applications were performed monthly from September 2023 to March 2024, coinciding with critical phenological stages of mango, including flower initiation, fruit set, and fruit development. The nutrient and pesticide formulations included macronutrients (urea, single super phosphate, </w:t>
      </w:r>
      <w:proofErr w:type="spellStart"/>
      <w:r w:rsidRPr="00311417">
        <w:rPr>
          <w:rFonts w:ascii="Times New Roman" w:hAnsi="Times New Roman" w:cs="Times New Roman"/>
          <w:sz w:val="24"/>
          <w:szCs w:val="24"/>
        </w:rPr>
        <w:t>murate</w:t>
      </w:r>
      <w:proofErr w:type="spellEnd"/>
      <w:r w:rsidRPr="00311417">
        <w:rPr>
          <w:rFonts w:ascii="Times New Roman" w:hAnsi="Times New Roman" w:cs="Times New Roman"/>
          <w:sz w:val="24"/>
          <w:szCs w:val="24"/>
        </w:rPr>
        <w:t xml:space="preserve"> of potash, potassium nitrate), micronutrients (Zn, Fe, B, Mg, Cu), and commonly recommended pesticides (Imidacloprid, Carbendazim, Mancozeb, Copper oxychloride, and </w:t>
      </w:r>
      <w:proofErr w:type="spellStart"/>
      <w:r w:rsidRPr="00311417">
        <w:rPr>
          <w:rFonts w:ascii="Times New Roman" w:hAnsi="Times New Roman" w:cs="Times New Roman"/>
          <w:sz w:val="24"/>
          <w:szCs w:val="24"/>
        </w:rPr>
        <w:t>Wettable</w:t>
      </w:r>
      <w:proofErr w:type="spellEnd"/>
      <w:r w:rsidRPr="00311417">
        <w:rPr>
          <w:rFonts w:ascii="Times New Roman" w:hAnsi="Times New Roman" w:cs="Times New Roman"/>
          <w:sz w:val="24"/>
          <w:szCs w:val="24"/>
        </w:rPr>
        <w:t xml:space="preserve"> sulphur).</w:t>
      </w:r>
    </w:p>
    <w:p w14:paraId="6CD56E26"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2.4 UAV Spraying Protocol</w:t>
      </w:r>
    </w:p>
    <w:p w14:paraId="2A70797E" w14:textId="52EFA289" w:rsidR="00311417" w:rsidRPr="00A379C6"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The UAV used was a multirotor drone equipped with a precision spraying system. The system </w:t>
      </w:r>
      <w:r w:rsidRPr="00A61C5E">
        <w:rPr>
          <w:rFonts w:ascii="Times New Roman" w:hAnsi="Times New Roman" w:cs="Times New Roman"/>
          <w:sz w:val="24"/>
          <w:szCs w:val="24"/>
        </w:rPr>
        <w:t xml:space="preserve">employed hollow-cone nozzles designed to generate droplets in the range of 100–150 µm, which are suitable for enhancing canopy coverage and minimizing drift. The UAV operated at a flight altitude of </w:t>
      </w:r>
      <w:r w:rsidR="002877BB" w:rsidRPr="00A61C5E">
        <w:rPr>
          <w:rFonts w:ascii="Times New Roman" w:hAnsi="Times New Roman" w:cs="Times New Roman"/>
          <w:sz w:val="24"/>
          <w:szCs w:val="24"/>
        </w:rPr>
        <w:t>1</w:t>
      </w:r>
      <w:r w:rsidRPr="00A61C5E">
        <w:rPr>
          <w:rFonts w:ascii="Times New Roman" w:hAnsi="Times New Roman" w:cs="Times New Roman"/>
          <w:sz w:val="24"/>
          <w:szCs w:val="24"/>
        </w:rPr>
        <w:t>–</w:t>
      </w:r>
      <w:r w:rsidR="002877BB" w:rsidRPr="00A61C5E">
        <w:rPr>
          <w:rFonts w:ascii="Times New Roman" w:hAnsi="Times New Roman" w:cs="Times New Roman"/>
          <w:sz w:val="24"/>
          <w:szCs w:val="24"/>
        </w:rPr>
        <w:t>2</w:t>
      </w:r>
      <w:r w:rsidRPr="00A61C5E">
        <w:rPr>
          <w:rFonts w:ascii="Times New Roman" w:hAnsi="Times New Roman" w:cs="Times New Roman"/>
          <w:sz w:val="24"/>
          <w:szCs w:val="24"/>
        </w:rPr>
        <w:t xml:space="preserve"> m above the canopy, with a forward speed of 3–4 m/s. Nozzle calibration and flow rate</w:t>
      </w:r>
      <w:r w:rsidRPr="00311417">
        <w:rPr>
          <w:rFonts w:ascii="Times New Roman" w:hAnsi="Times New Roman" w:cs="Times New Roman"/>
          <w:sz w:val="24"/>
          <w:szCs w:val="24"/>
        </w:rPr>
        <w:t xml:space="preserve"> optimization were performed in accordance with ISO 23117-1 standards (ISO, 2022), ensuring consistent droplet deposition and operator safety.</w:t>
      </w:r>
    </w:p>
    <w:p w14:paraId="764AD12E" w14:textId="3E6D26E6" w:rsidR="00CE3497" w:rsidRDefault="002877BB" w:rsidP="00A379C6">
      <w:pPr>
        <w:jc w:val="both"/>
        <w:rPr>
          <w:rFonts w:ascii="Times New Roman" w:hAnsi="Times New Roman" w:cs="Times New Roman"/>
          <w:sz w:val="24"/>
          <w:szCs w:val="24"/>
        </w:rPr>
      </w:pPr>
      <w:r w:rsidRPr="00A379C6">
        <w:rPr>
          <w:rFonts w:ascii="Times New Roman" w:hAnsi="Times New Roman" w:cs="Times New Roman"/>
          <w:noProof/>
          <w:sz w:val="24"/>
          <w:szCs w:val="24"/>
        </w:rPr>
        <w:drawing>
          <wp:inline distT="0" distB="0" distL="0" distR="0" wp14:anchorId="7C7A0FCE" wp14:editId="66E7DF43">
            <wp:extent cx="5731510" cy="3713480"/>
            <wp:effectExtent l="0" t="0" r="2540" b="1270"/>
            <wp:docPr id="95768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88187" name=""/>
                    <pic:cNvPicPr/>
                  </pic:nvPicPr>
                  <pic:blipFill>
                    <a:blip r:embed="rId8"/>
                    <a:stretch>
                      <a:fillRect/>
                    </a:stretch>
                  </pic:blipFill>
                  <pic:spPr>
                    <a:xfrm>
                      <a:off x="0" y="0"/>
                      <a:ext cx="5731510" cy="3713480"/>
                    </a:xfrm>
                    <a:prstGeom prst="rect">
                      <a:avLst/>
                    </a:prstGeom>
                  </pic:spPr>
                </pic:pic>
              </a:graphicData>
            </a:graphic>
          </wp:inline>
        </w:drawing>
      </w:r>
    </w:p>
    <w:p w14:paraId="26AC5129" w14:textId="0FF9A07B" w:rsidR="00A379C6" w:rsidRPr="00311417" w:rsidRDefault="00476C2B" w:rsidP="00476C2B">
      <w:pPr>
        <w:jc w:val="center"/>
        <w:rPr>
          <w:rFonts w:ascii="Times New Roman" w:hAnsi="Times New Roman" w:cs="Times New Roman"/>
          <w:i/>
          <w:iCs/>
          <w:sz w:val="24"/>
          <w:szCs w:val="24"/>
        </w:rPr>
      </w:pPr>
      <w:r w:rsidRPr="00476C2B">
        <w:rPr>
          <w:rFonts w:ascii="Times New Roman" w:hAnsi="Times New Roman" w:cs="Times New Roman"/>
          <w:i/>
          <w:iCs/>
          <w:sz w:val="24"/>
          <w:szCs w:val="24"/>
        </w:rPr>
        <w:t>Figure 1: UAV Spraying Methods in Mango Crop</w:t>
      </w:r>
    </w:p>
    <w:p w14:paraId="42BA5C98" w14:textId="77777777" w:rsidR="00A379C6" w:rsidRDefault="00A379C6" w:rsidP="00A379C6">
      <w:pPr>
        <w:jc w:val="both"/>
        <w:rPr>
          <w:rFonts w:ascii="Times New Roman" w:hAnsi="Times New Roman" w:cs="Times New Roman"/>
          <w:b/>
          <w:bCs/>
          <w:sz w:val="24"/>
          <w:szCs w:val="24"/>
        </w:rPr>
      </w:pPr>
    </w:p>
    <w:p w14:paraId="32DE780A" w14:textId="77777777" w:rsidR="00327E05" w:rsidRDefault="00327E05" w:rsidP="00A379C6">
      <w:pPr>
        <w:jc w:val="both"/>
        <w:rPr>
          <w:rFonts w:ascii="Times New Roman" w:hAnsi="Times New Roman" w:cs="Times New Roman"/>
          <w:b/>
          <w:bCs/>
          <w:sz w:val="24"/>
          <w:szCs w:val="24"/>
        </w:rPr>
      </w:pPr>
    </w:p>
    <w:p w14:paraId="46D56BE1" w14:textId="77777777" w:rsidR="00327E05" w:rsidRDefault="00327E05" w:rsidP="00A379C6">
      <w:pPr>
        <w:jc w:val="both"/>
        <w:rPr>
          <w:rFonts w:ascii="Times New Roman" w:hAnsi="Times New Roman" w:cs="Times New Roman"/>
          <w:b/>
          <w:bCs/>
          <w:sz w:val="24"/>
          <w:szCs w:val="24"/>
        </w:rPr>
      </w:pPr>
    </w:p>
    <w:p w14:paraId="459FAB32" w14:textId="15FDBFF8"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2.5 Geospatial and Sensor-Based Data Collection</w:t>
      </w:r>
    </w:p>
    <w:p w14:paraId="37F1AAFE" w14:textId="69823721"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lastRenderedPageBreak/>
        <w:t xml:space="preserve">Multispectral imaging was performed using UAV-mounted sensors to capture canopy reflectance signatures, including the Normalized Difference Vegetation Index (NDVI) and Photochemical Reflectance Index (PRI). Pre- and post-treatment imaging was carried out to assess canopy response. Canopy coverage and classification were </w:t>
      </w:r>
      <w:r w:rsidR="001A6741" w:rsidRPr="00311417">
        <w:rPr>
          <w:rFonts w:ascii="Times New Roman" w:hAnsi="Times New Roman" w:cs="Times New Roman"/>
          <w:sz w:val="24"/>
          <w:szCs w:val="24"/>
        </w:rPr>
        <w:t>analysed</w:t>
      </w:r>
      <w:r w:rsidRPr="00311417">
        <w:rPr>
          <w:rFonts w:ascii="Times New Roman" w:hAnsi="Times New Roman" w:cs="Times New Roman"/>
          <w:sz w:val="24"/>
          <w:szCs w:val="24"/>
        </w:rPr>
        <w:t xml:space="preserve"> using QGIS software. At the leaf level, chlorophyll content was measured with a SPAD-502 chlorophyll meter. Pest and disease incidence were recorded weekly through direct field observations.</w:t>
      </w:r>
    </w:p>
    <w:p w14:paraId="7715ACB3"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2.6 Spray Deposition and Drift Assessment</w:t>
      </w:r>
    </w:p>
    <w:p w14:paraId="4D39B268" w14:textId="29492B7A" w:rsidR="00311417" w:rsidRPr="00A379C6" w:rsidRDefault="00311417" w:rsidP="00FC3356">
      <w:pPr>
        <w:ind w:firstLine="720"/>
        <w:jc w:val="both"/>
        <w:rPr>
          <w:rFonts w:ascii="Times New Roman" w:hAnsi="Times New Roman" w:cs="Times New Roman"/>
          <w:b/>
          <w:bCs/>
          <w:sz w:val="24"/>
          <w:szCs w:val="24"/>
        </w:rPr>
      </w:pPr>
      <w:r w:rsidRPr="00311417">
        <w:rPr>
          <w:rFonts w:ascii="Times New Roman" w:hAnsi="Times New Roman" w:cs="Times New Roman"/>
          <w:sz w:val="24"/>
          <w:szCs w:val="24"/>
        </w:rPr>
        <w:t>Spray deposition was quantified using water-sensitive papers placed at upper, middle, and lower canopy zones. Deposition was expressed as percentage coverage of droplet marks. Spray drift was measured using collectors positioned 2, 5, and 10 m downwind from the spray plots, allowing quantification of off-target losses.</w:t>
      </w:r>
    </w:p>
    <w:p w14:paraId="2F20BDCD" w14:textId="1A5C998F" w:rsidR="00CE3497" w:rsidRDefault="002877BB" w:rsidP="00A379C6">
      <w:pPr>
        <w:jc w:val="both"/>
        <w:rPr>
          <w:rFonts w:ascii="Times New Roman" w:hAnsi="Times New Roman" w:cs="Times New Roman"/>
          <w:sz w:val="24"/>
          <w:szCs w:val="24"/>
        </w:rPr>
      </w:pPr>
      <w:r w:rsidRPr="00A379C6">
        <w:rPr>
          <w:rFonts w:ascii="Times New Roman" w:hAnsi="Times New Roman" w:cs="Times New Roman"/>
          <w:noProof/>
          <w:sz w:val="24"/>
          <w:szCs w:val="24"/>
        </w:rPr>
        <w:drawing>
          <wp:inline distT="0" distB="0" distL="0" distR="0" wp14:anchorId="6D7BC269" wp14:editId="0474555B">
            <wp:extent cx="5731510" cy="3201035"/>
            <wp:effectExtent l="0" t="0" r="2540" b="0"/>
            <wp:docPr id="110946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6173" name=""/>
                    <pic:cNvPicPr/>
                  </pic:nvPicPr>
                  <pic:blipFill>
                    <a:blip r:embed="rId9"/>
                    <a:stretch>
                      <a:fillRect/>
                    </a:stretch>
                  </pic:blipFill>
                  <pic:spPr>
                    <a:xfrm>
                      <a:off x="0" y="0"/>
                      <a:ext cx="5731510" cy="3201035"/>
                    </a:xfrm>
                    <a:prstGeom prst="rect">
                      <a:avLst/>
                    </a:prstGeom>
                  </pic:spPr>
                </pic:pic>
              </a:graphicData>
            </a:graphic>
          </wp:inline>
        </w:drawing>
      </w:r>
    </w:p>
    <w:p w14:paraId="668FCE0E" w14:textId="20F9F55D" w:rsidR="00476C2B" w:rsidRPr="00476C2B" w:rsidRDefault="00476C2B" w:rsidP="00476C2B">
      <w:pPr>
        <w:jc w:val="center"/>
        <w:rPr>
          <w:rFonts w:ascii="Times New Roman" w:hAnsi="Times New Roman" w:cs="Times New Roman"/>
          <w:i/>
          <w:iCs/>
          <w:sz w:val="24"/>
          <w:szCs w:val="24"/>
        </w:rPr>
      </w:pPr>
      <w:r w:rsidRPr="00476C2B">
        <w:rPr>
          <w:rFonts w:ascii="Times New Roman" w:hAnsi="Times New Roman" w:cs="Times New Roman"/>
          <w:i/>
          <w:iCs/>
          <w:sz w:val="24"/>
          <w:szCs w:val="24"/>
        </w:rPr>
        <w:t>Figure 2: UAV &amp; Tractor Spray Deposition</w:t>
      </w:r>
    </w:p>
    <w:p w14:paraId="3D51A4B3" w14:textId="7DFB3056" w:rsidR="007D3024" w:rsidRPr="00311417" w:rsidRDefault="007D3024" w:rsidP="00A379C6">
      <w:pPr>
        <w:jc w:val="both"/>
        <w:rPr>
          <w:rFonts w:ascii="Times New Roman" w:hAnsi="Times New Roman" w:cs="Times New Roman"/>
          <w:sz w:val="24"/>
          <w:szCs w:val="24"/>
        </w:rPr>
      </w:pPr>
    </w:p>
    <w:p w14:paraId="37048EFD" w14:textId="77777777" w:rsidR="00A379C6" w:rsidRPr="00D41EA7" w:rsidRDefault="00311417" w:rsidP="00A379C6">
      <w:pPr>
        <w:jc w:val="both"/>
        <w:rPr>
          <w:rFonts w:ascii="Times New Roman" w:hAnsi="Times New Roman" w:cs="Times New Roman"/>
          <w:b/>
          <w:bCs/>
          <w:sz w:val="24"/>
          <w:szCs w:val="24"/>
        </w:rPr>
      </w:pPr>
      <w:r w:rsidRPr="00D41EA7">
        <w:rPr>
          <w:rFonts w:ascii="Times New Roman" w:hAnsi="Times New Roman" w:cs="Times New Roman"/>
          <w:b/>
          <w:bCs/>
          <w:sz w:val="24"/>
          <w:szCs w:val="24"/>
        </w:rPr>
        <w:t>2.7 Statistical Analysis</w:t>
      </w:r>
    </w:p>
    <w:p w14:paraId="397E1B58" w14:textId="44EE61EB" w:rsidR="00311417" w:rsidRPr="00311417" w:rsidRDefault="00311417" w:rsidP="00FC3356">
      <w:pPr>
        <w:ind w:firstLine="720"/>
        <w:jc w:val="both"/>
        <w:rPr>
          <w:rFonts w:ascii="Times New Roman" w:hAnsi="Times New Roman" w:cs="Times New Roman"/>
          <w:sz w:val="24"/>
          <w:szCs w:val="24"/>
        </w:rPr>
      </w:pPr>
      <w:r w:rsidRPr="00D41EA7">
        <w:rPr>
          <w:rFonts w:ascii="Times New Roman" w:hAnsi="Times New Roman" w:cs="Times New Roman"/>
          <w:sz w:val="24"/>
          <w:szCs w:val="24"/>
        </w:rPr>
        <w:t xml:space="preserve">Data were subjected to analysis of variance (ANOVA), and treatment means were compared using Tukey’s Honest Significant Difference (HSD) test at </w:t>
      </w:r>
      <w:r w:rsidRPr="00D41EA7">
        <w:rPr>
          <w:rFonts w:ascii="Times New Roman" w:hAnsi="Times New Roman" w:cs="Times New Roman"/>
          <w:i/>
          <w:iCs/>
          <w:sz w:val="24"/>
          <w:szCs w:val="24"/>
        </w:rPr>
        <w:t>p</w:t>
      </w:r>
      <w:r w:rsidRPr="00D41EA7">
        <w:rPr>
          <w:rFonts w:ascii="Times New Roman" w:hAnsi="Times New Roman" w:cs="Times New Roman"/>
          <w:sz w:val="24"/>
          <w:szCs w:val="24"/>
        </w:rPr>
        <w:t xml:space="preserve"> ≤ 0.05. Normality and homogeneity of variance were verified before performing statistical tests. All analyses were conducted using R statistical software (version 4.3.1).</w:t>
      </w:r>
    </w:p>
    <w:p w14:paraId="67E8E4BB" w14:textId="77777777" w:rsidR="00311417" w:rsidRPr="00311417" w:rsidRDefault="00311417" w:rsidP="00A379C6">
      <w:pPr>
        <w:jc w:val="both"/>
        <w:rPr>
          <w:rFonts w:ascii="Times New Roman" w:hAnsi="Times New Roman" w:cs="Times New Roman"/>
          <w:sz w:val="24"/>
          <w:szCs w:val="24"/>
        </w:rPr>
      </w:pPr>
      <w:r w:rsidRPr="00311417">
        <w:rPr>
          <w:rFonts w:ascii="Times New Roman" w:hAnsi="Times New Roman" w:cs="Times New Roman"/>
          <w:b/>
          <w:bCs/>
          <w:sz w:val="24"/>
          <w:szCs w:val="24"/>
        </w:rPr>
        <w:t>3. Results</w:t>
      </w:r>
    </w:p>
    <w:p w14:paraId="1776DAB5"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3.1 Spray Volume Efficiency</w:t>
      </w:r>
    </w:p>
    <w:p w14:paraId="6C9BC108" w14:textId="45B12274"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A substantial reduction in spray volume was observed in UAV treatments compared with conventional tractor spraying. While the tractor-mounted sprayer required approximately 15 L per tree, UAV applications achieved comparable efficacy at 2–3 L per tree. This </w:t>
      </w:r>
      <w:r w:rsidRPr="00311417">
        <w:rPr>
          <w:rFonts w:ascii="Times New Roman" w:hAnsi="Times New Roman" w:cs="Times New Roman"/>
          <w:sz w:val="24"/>
          <w:szCs w:val="24"/>
        </w:rPr>
        <w:lastRenderedPageBreak/>
        <w:t>represented a 70–80% reduction in solution use, indicating higher input efficiency of UAV spraying (</w:t>
      </w:r>
      <w:r w:rsidRPr="00311417">
        <w:rPr>
          <w:rFonts w:ascii="Times New Roman" w:hAnsi="Times New Roman" w:cs="Times New Roman"/>
          <w:i/>
          <w:iCs/>
          <w:sz w:val="24"/>
          <w:szCs w:val="24"/>
        </w:rPr>
        <w:t>p</w:t>
      </w:r>
      <w:r w:rsidRPr="00311417">
        <w:rPr>
          <w:rFonts w:ascii="Times New Roman" w:hAnsi="Times New Roman" w:cs="Times New Roman"/>
          <w:sz w:val="24"/>
          <w:szCs w:val="24"/>
        </w:rPr>
        <w:t xml:space="preserve"> &lt; 0.05).</w:t>
      </w:r>
    </w:p>
    <w:p w14:paraId="4BF8888E"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3.2 Canopy Spray Deposition</w:t>
      </w:r>
    </w:p>
    <w:p w14:paraId="5F019091" w14:textId="04987D65" w:rsidR="00CE349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Spray deposition varied significantly across treatments and canopy zones (Table 1). UAV spraying achieved greater deposition in the upper and middle canopy layers, while tractor spraying resulted in relatively higher deposition in the lower canopy. Among UAV treatments, T2 (2 L/tree) and T3 (3 L/tree) provided the most balanced coverage across canopy layers.</w:t>
      </w:r>
    </w:p>
    <w:p w14:paraId="4D37180E" w14:textId="77777777" w:rsidR="00311417" w:rsidRPr="00A379C6" w:rsidRDefault="00311417" w:rsidP="00327E05">
      <w:pPr>
        <w:rPr>
          <w:rFonts w:ascii="Times New Roman" w:hAnsi="Times New Roman" w:cs="Times New Roman"/>
          <w:b/>
          <w:bCs/>
          <w:sz w:val="24"/>
          <w:szCs w:val="24"/>
        </w:rPr>
      </w:pPr>
      <w:r w:rsidRPr="00311417">
        <w:rPr>
          <w:rFonts w:ascii="Times New Roman" w:hAnsi="Times New Roman" w:cs="Times New Roman"/>
          <w:b/>
          <w:bCs/>
          <w:sz w:val="24"/>
          <w:szCs w:val="24"/>
        </w:rPr>
        <w:t>Table 1. Spray deposition across canopy zones under UAV and tractor spraying (mean ± SE, % coverage).</w:t>
      </w:r>
    </w:p>
    <w:tbl>
      <w:tblPr>
        <w:tblW w:w="9200" w:type="dxa"/>
        <w:tblLook w:val="04A0" w:firstRow="1" w:lastRow="0" w:firstColumn="1" w:lastColumn="0" w:noHBand="0" w:noVBand="1"/>
      </w:tblPr>
      <w:tblGrid>
        <w:gridCol w:w="1840"/>
        <w:gridCol w:w="1840"/>
        <w:gridCol w:w="1840"/>
        <w:gridCol w:w="1840"/>
        <w:gridCol w:w="1840"/>
      </w:tblGrid>
      <w:tr w:rsidR="002877BB" w:rsidRPr="002877BB" w14:paraId="19A4814C" w14:textId="77777777" w:rsidTr="002877BB">
        <w:trPr>
          <w:trHeight w:val="630"/>
        </w:trPr>
        <w:tc>
          <w:tcPr>
            <w:tcW w:w="1840" w:type="dxa"/>
            <w:tcBorders>
              <w:top w:val="single" w:sz="4" w:space="0" w:color="auto"/>
              <w:left w:val="single" w:sz="4" w:space="0" w:color="auto"/>
              <w:bottom w:val="single" w:sz="4" w:space="0" w:color="auto"/>
              <w:right w:val="single" w:sz="4" w:space="0" w:color="auto"/>
            </w:tcBorders>
            <w:vAlign w:val="center"/>
            <w:hideMark/>
          </w:tcPr>
          <w:p w14:paraId="223993F7" w14:textId="77777777" w:rsidR="002877BB" w:rsidRPr="002877BB" w:rsidRDefault="002877BB" w:rsidP="00A379C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Canopy zone</w:t>
            </w:r>
          </w:p>
        </w:tc>
        <w:tc>
          <w:tcPr>
            <w:tcW w:w="1840" w:type="dxa"/>
            <w:tcBorders>
              <w:top w:val="single" w:sz="4" w:space="0" w:color="auto"/>
              <w:left w:val="nil"/>
              <w:bottom w:val="single" w:sz="4" w:space="0" w:color="auto"/>
              <w:right w:val="single" w:sz="4" w:space="0" w:color="auto"/>
            </w:tcBorders>
            <w:vAlign w:val="center"/>
            <w:hideMark/>
          </w:tcPr>
          <w:p w14:paraId="15EE3AE8" w14:textId="77777777" w:rsidR="002877BB" w:rsidRPr="002877BB" w:rsidRDefault="002877BB" w:rsidP="00A379C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T1 (1 L UAV)</w:t>
            </w:r>
          </w:p>
        </w:tc>
        <w:tc>
          <w:tcPr>
            <w:tcW w:w="1840" w:type="dxa"/>
            <w:tcBorders>
              <w:top w:val="single" w:sz="4" w:space="0" w:color="auto"/>
              <w:left w:val="nil"/>
              <w:bottom w:val="single" w:sz="4" w:space="0" w:color="auto"/>
              <w:right w:val="single" w:sz="4" w:space="0" w:color="auto"/>
            </w:tcBorders>
            <w:vAlign w:val="center"/>
            <w:hideMark/>
          </w:tcPr>
          <w:p w14:paraId="6F569764" w14:textId="77777777" w:rsidR="002877BB" w:rsidRPr="002877BB" w:rsidRDefault="002877BB" w:rsidP="00A379C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T2 (2 L UAV)</w:t>
            </w:r>
          </w:p>
        </w:tc>
        <w:tc>
          <w:tcPr>
            <w:tcW w:w="1840" w:type="dxa"/>
            <w:tcBorders>
              <w:top w:val="single" w:sz="4" w:space="0" w:color="auto"/>
              <w:left w:val="nil"/>
              <w:bottom w:val="single" w:sz="4" w:space="0" w:color="auto"/>
              <w:right w:val="single" w:sz="4" w:space="0" w:color="auto"/>
            </w:tcBorders>
            <w:vAlign w:val="center"/>
            <w:hideMark/>
          </w:tcPr>
          <w:p w14:paraId="67FAD19C" w14:textId="77777777" w:rsidR="002877BB" w:rsidRPr="002877BB" w:rsidRDefault="002877BB" w:rsidP="00A379C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T3 (3 L UAV)</w:t>
            </w:r>
          </w:p>
        </w:tc>
        <w:tc>
          <w:tcPr>
            <w:tcW w:w="1840" w:type="dxa"/>
            <w:tcBorders>
              <w:top w:val="single" w:sz="4" w:space="0" w:color="auto"/>
              <w:left w:val="nil"/>
              <w:bottom w:val="single" w:sz="4" w:space="0" w:color="auto"/>
              <w:right w:val="single" w:sz="4" w:space="0" w:color="auto"/>
            </w:tcBorders>
            <w:vAlign w:val="center"/>
            <w:hideMark/>
          </w:tcPr>
          <w:p w14:paraId="1C48384C" w14:textId="77777777" w:rsidR="002877BB" w:rsidRPr="002877BB" w:rsidRDefault="002877BB" w:rsidP="00A379C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T4 (15 L Tractor)</w:t>
            </w:r>
          </w:p>
        </w:tc>
      </w:tr>
      <w:tr w:rsidR="002877BB" w:rsidRPr="002877BB" w14:paraId="5A4426ED" w14:textId="77777777" w:rsidTr="002877BB">
        <w:trPr>
          <w:trHeight w:val="315"/>
        </w:trPr>
        <w:tc>
          <w:tcPr>
            <w:tcW w:w="1840" w:type="dxa"/>
            <w:tcBorders>
              <w:top w:val="nil"/>
              <w:left w:val="single" w:sz="4" w:space="0" w:color="auto"/>
              <w:bottom w:val="single" w:sz="4" w:space="0" w:color="auto"/>
              <w:right w:val="single" w:sz="4" w:space="0" w:color="auto"/>
            </w:tcBorders>
            <w:vAlign w:val="center"/>
            <w:hideMark/>
          </w:tcPr>
          <w:p w14:paraId="5700F13D"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Upper</w:t>
            </w:r>
          </w:p>
        </w:tc>
        <w:tc>
          <w:tcPr>
            <w:tcW w:w="1840" w:type="dxa"/>
            <w:tcBorders>
              <w:top w:val="nil"/>
              <w:left w:val="nil"/>
              <w:bottom w:val="single" w:sz="4" w:space="0" w:color="auto"/>
              <w:right w:val="single" w:sz="4" w:space="0" w:color="auto"/>
            </w:tcBorders>
            <w:vAlign w:val="center"/>
            <w:hideMark/>
          </w:tcPr>
          <w:p w14:paraId="5A338694"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42 ± 3 b</w:t>
            </w:r>
          </w:p>
        </w:tc>
        <w:tc>
          <w:tcPr>
            <w:tcW w:w="1840" w:type="dxa"/>
            <w:tcBorders>
              <w:top w:val="nil"/>
              <w:left w:val="nil"/>
              <w:bottom w:val="single" w:sz="4" w:space="0" w:color="auto"/>
              <w:right w:val="single" w:sz="4" w:space="0" w:color="auto"/>
            </w:tcBorders>
            <w:vAlign w:val="center"/>
            <w:hideMark/>
          </w:tcPr>
          <w:p w14:paraId="05BEB84E"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48 ± 4 a</w:t>
            </w:r>
          </w:p>
        </w:tc>
        <w:tc>
          <w:tcPr>
            <w:tcW w:w="1840" w:type="dxa"/>
            <w:tcBorders>
              <w:top w:val="nil"/>
              <w:left w:val="nil"/>
              <w:bottom w:val="single" w:sz="4" w:space="0" w:color="auto"/>
              <w:right w:val="single" w:sz="4" w:space="0" w:color="auto"/>
            </w:tcBorders>
            <w:vAlign w:val="center"/>
            <w:hideMark/>
          </w:tcPr>
          <w:p w14:paraId="00B14854"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50 ± 3 a</w:t>
            </w:r>
          </w:p>
        </w:tc>
        <w:tc>
          <w:tcPr>
            <w:tcW w:w="1840" w:type="dxa"/>
            <w:tcBorders>
              <w:top w:val="nil"/>
              <w:left w:val="nil"/>
              <w:bottom w:val="single" w:sz="4" w:space="0" w:color="auto"/>
              <w:right w:val="single" w:sz="4" w:space="0" w:color="auto"/>
            </w:tcBorders>
            <w:vAlign w:val="center"/>
            <w:hideMark/>
          </w:tcPr>
          <w:p w14:paraId="2C3076A3"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35 ± 4 c</w:t>
            </w:r>
          </w:p>
        </w:tc>
      </w:tr>
      <w:tr w:rsidR="002877BB" w:rsidRPr="002877BB" w14:paraId="3484544C" w14:textId="77777777" w:rsidTr="002877BB">
        <w:trPr>
          <w:trHeight w:val="315"/>
        </w:trPr>
        <w:tc>
          <w:tcPr>
            <w:tcW w:w="1840" w:type="dxa"/>
            <w:tcBorders>
              <w:top w:val="nil"/>
              <w:left w:val="single" w:sz="4" w:space="0" w:color="auto"/>
              <w:bottom w:val="single" w:sz="4" w:space="0" w:color="auto"/>
              <w:right w:val="single" w:sz="4" w:space="0" w:color="auto"/>
            </w:tcBorders>
            <w:vAlign w:val="center"/>
            <w:hideMark/>
          </w:tcPr>
          <w:p w14:paraId="03964408"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Middle</w:t>
            </w:r>
          </w:p>
        </w:tc>
        <w:tc>
          <w:tcPr>
            <w:tcW w:w="1840" w:type="dxa"/>
            <w:tcBorders>
              <w:top w:val="nil"/>
              <w:left w:val="nil"/>
              <w:bottom w:val="single" w:sz="4" w:space="0" w:color="auto"/>
              <w:right w:val="single" w:sz="4" w:space="0" w:color="auto"/>
            </w:tcBorders>
            <w:vAlign w:val="center"/>
            <w:hideMark/>
          </w:tcPr>
          <w:p w14:paraId="36BC8E52"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36 ± 2 b</w:t>
            </w:r>
          </w:p>
        </w:tc>
        <w:tc>
          <w:tcPr>
            <w:tcW w:w="1840" w:type="dxa"/>
            <w:tcBorders>
              <w:top w:val="nil"/>
              <w:left w:val="nil"/>
              <w:bottom w:val="single" w:sz="4" w:space="0" w:color="auto"/>
              <w:right w:val="single" w:sz="4" w:space="0" w:color="auto"/>
            </w:tcBorders>
            <w:vAlign w:val="center"/>
            <w:hideMark/>
          </w:tcPr>
          <w:p w14:paraId="7AACA817"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44 ± 3 a</w:t>
            </w:r>
          </w:p>
        </w:tc>
        <w:tc>
          <w:tcPr>
            <w:tcW w:w="1840" w:type="dxa"/>
            <w:tcBorders>
              <w:top w:val="nil"/>
              <w:left w:val="nil"/>
              <w:bottom w:val="single" w:sz="4" w:space="0" w:color="auto"/>
              <w:right w:val="single" w:sz="4" w:space="0" w:color="auto"/>
            </w:tcBorders>
            <w:vAlign w:val="center"/>
            <w:hideMark/>
          </w:tcPr>
          <w:p w14:paraId="4CB9856C"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47 ± 4 a</w:t>
            </w:r>
          </w:p>
        </w:tc>
        <w:tc>
          <w:tcPr>
            <w:tcW w:w="1840" w:type="dxa"/>
            <w:tcBorders>
              <w:top w:val="nil"/>
              <w:left w:val="nil"/>
              <w:bottom w:val="single" w:sz="4" w:space="0" w:color="auto"/>
              <w:right w:val="single" w:sz="4" w:space="0" w:color="auto"/>
            </w:tcBorders>
            <w:vAlign w:val="center"/>
            <w:hideMark/>
          </w:tcPr>
          <w:p w14:paraId="04405EDF"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33 ± 3 c</w:t>
            </w:r>
          </w:p>
        </w:tc>
      </w:tr>
      <w:tr w:rsidR="002877BB" w:rsidRPr="002877BB" w14:paraId="676EA90A" w14:textId="77777777" w:rsidTr="002877BB">
        <w:trPr>
          <w:trHeight w:val="315"/>
        </w:trPr>
        <w:tc>
          <w:tcPr>
            <w:tcW w:w="1840" w:type="dxa"/>
            <w:tcBorders>
              <w:top w:val="nil"/>
              <w:left w:val="single" w:sz="4" w:space="0" w:color="auto"/>
              <w:bottom w:val="single" w:sz="4" w:space="0" w:color="auto"/>
              <w:right w:val="single" w:sz="4" w:space="0" w:color="auto"/>
            </w:tcBorders>
            <w:vAlign w:val="center"/>
            <w:hideMark/>
          </w:tcPr>
          <w:p w14:paraId="53A2C5CB"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Lower</w:t>
            </w:r>
          </w:p>
        </w:tc>
        <w:tc>
          <w:tcPr>
            <w:tcW w:w="1840" w:type="dxa"/>
            <w:tcBorders>
              <w:top w:val="nil"/>
              <w:left w:val="nil"/>
              <w:bottom w:val="single" w:sz="4" w:space="0" w:color="auto"/>
              <w:right w:val="single" w:sz="4" w:space="0" w:color="auto"/>
            </w:tcBorders>
            <w:vAlign w:val="center"/>
            <w:hideMark/>
          </w:tcPr>
          <w:p w14:paraId="268AE2F3"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20 ± 2 c</w:t>
            </w:r>
          </w:p>
        </w:tc>
        <w:tc>
          <w:tcPr>
            <w:tcW w:w="1840" w:type="dxa"/>
            <w:tcBorders>
              <w:top w:val="nil"/>
              <w:left w:val="nil"/>
              <w:bottom w:val="single" w:sz="4" w:space="0" w:color="auto"/>
              <w:right w:val="single" w:sz="4" w:space="0" w:color="auto"/>
            </w:tcBorders>
            <w:vAlign w:val="center"/>
            <w:hideMark/>
          </w:tcPr>
          <w:p w14:paraId="393154D3"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26 ± 2 b</w:t>
            </w:r>
          </w:p>
        </w:tc>
        <w:tc>
          <w:tcPr>
            <w:tcW w:w="1840" w:type="dxa"/>
            <w:tcBorders>
              <w:top w:val="nil"/>
              <w:left w:val="nil"/>
              <w:bottom w:val="single" w:sz="4" w:space="0" w:color="auto"/>
              <w:right w:val="single" w:sz="4" w:space="0" w:color="auto"/>
            </w:tcBorders>
            <w:vAlign w:val="center"/>
            <w:hideMark/>
          </w:tcPr>
          <w:p w14:paraId="3490069C"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29 ± 3 b</w:t>
            </w:r>
          </w:p>
        </w:tc>
        <w:tc>
          <w:tcPr>
            <w:tcW w:w="1840" w:type="dxa"/>
            <w:tcBorders>
              <w:top w:val="nil"/>
              <w:left w:val="nil"/>
              <w:bottom w:val="single" w:sz="4" w:space="0" w:color="auto"/>
              <w:right w:val="single" w:sz="4" w:space="0" w:color="auto"/>
            </w:tcBorders>
            <w:vAlign w:val="center"/>
            <w:hideMark/>
          </w:tcPr>
          <w:p w14:paraId="145A4DFD" w14:textId="77777777" w:rsidR="002877BB" w:rsidRPr="002877BB" w:rsidRDefault="002877BB" w:rsidP="00A379C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38 ± 3 a</w:t>
            </w:r>
          </w:p>
        </w:tc>
      </w:tr>
    </w:tbl>
    <w:p w14:paraId="1178062F" w14:textId="77777777" w:rsidR="00A379C6" w:rsidRDefault="00A379C6" w:rsidP="00A379C6">
      <w:pPr>
        <w:jc w:val="both"/>
        <w:rPr>
          <w:rFonts w:ascii="Times New Roman" w:hAnsi="Times New Roman" w:cs="Times New Roman"/>
          <w:i/>
          <w:iCs/>
          <w:sz w:val="24"/>
          <w:szCs w:val="24"/>
        </w:rPr>
      </w:pPr>
    </w:p>
    <w:p w14:paraId="3BB18619" w14:textId="43B1A79D" w:rsidR="00311417" w:rsidRPr="00A379C6" w:rsidRDefault="00311417" w:rsidP="00A379C6">
      <w:pPr>
        <w:jc w:val="both"/>
        <w:rPr>
          <w:rFonts w:ascii="Times New Roman" w:hAnsi="Times New Roman" w:cs="Times New Roman"/>
          <w:i/>
          <w:iCs/>
          <w:sz w:val="24"/>
          <w:szCs w:val="24"/>
        </w:rPr>
      </w:pPr>
      <w:r w:rsidRPr="00311417">
        <w:rPr>
          <w:rFonts w:ascii="Times New Roman" w:hAnsi="Times New Roman" w:cs="Times New Roman"/>
          <w:i/>
          <w:iCs/>
          <w:sz w:val="24"/>
          <w:szCs w:val="24"/>
        </w:rPr>
        <w:t>Values within rows followed by different letters are significantly different at p ≤ 0.05 (Tukey’s HSD).</w:t>
      </w:r>
    </w:p>
    <w:p w14:paraId="5FDB6E18" w14:textId="001B858F" w:rsidR="007D3024" w:rsidRDefault="007D3024" w:rsidP="00A379C6">
      <w:pPr>
        <w:jc w:val="center"/>
        <w:rPr>
          <w:rFonts w:ascii="Times New Roman" w:hAnsi="Times New Roman" w:cs="Times New Roman"/>
          <w:sz w:val="24"/>
          <w:szCs w:val="24"/>
        </w:rPr>
      </w:pPr>
      <w:r w:rsidRPr="00A379C6">
        <w:rPr>
          <w:rFonts w:ascii="Times New Roman" w:hAnsi="Times New Roman" w:cs="Times New Roman"/>
          <w:noProof/>
          <w:sz w:val="24"/>
          <w:szCs w:val="24"/>
        </w:rPr>
        <w:drawing>
          <wp:inline distT="0" distB="0" distL="0" distR="0" wp14:anchorId="3ADF7593" wp14:editId="029E2858">
            <wp:extent cx="4219352" cy="3022268"/>
            <wp:effectExtent l="0" t="0" r="0" b="6985"/>
            <wp:docPr id="1345042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42670" name=""/>
                    <pic:cNvPicPr/>
                  </pic:nvPicPr>
                  <pic:blipFill>
                    <a:blip r:embed="rId10"/>
                    <a:stretch>
                      <a:fillRect/>
                    </a:stretch>
                  </pic:blipFill>
                  <pic:spPr>
                    <a:xfrm>
                      <a:off x="0" y="0"/>
                      <a:ext cx="4235864" cy="3034095"/>
                    </a:xfrm>
                    <a:prstGeom prst="rect">
                      <a:avLst/>
                    </a:prstGeom>
                  </pic:spPr>
                </pic:pic>
              </a:graphicData>
            </a:graphic>
          </wp:inline>
        </w:drawing>
      </w:r>
    </w:p>
    <w:p w14:paraId="396B1D50" w14:textId="427B089D" w:rsidR="00476C2B" w:rsidRPr="00476C2B" w:rsidRDefault="00476C2B" w:rsidP="00476C2B">
      <w:pPr>
        <w:jc w:val="center"/>
        <w:rPr>
          <w:rFonts w:ascii="Times New Roman" w:hAnsi="Times New Roman" w:cs="Times New Roman"/>
          <w:i/>
          <w:iCs/>
          <w:sz w:val="24"/>
          <w:szCs w:val="24"/>
        </w:rPr>
      </w:pPr>
      <w:r w:rsidRPr="00476C2B">
        <w:rPr>
          <w:rFonts w:ascii="Times New Roman" w:hAnsi="Times New Roman" w:cs="Times New Roman"/>
          <w:i/>
          <w:iCs/>
          <w:sz w:val="24"/>
          <w:szCs w:val="24"/>
        </w:rPr>
        <w:t xml:space="preserve">Figure </w:t>
      </w:r>
      <w:r>
        <w:rPr>
          <w:rFonts w:ascii="Times New Roman" w:hAnsi="Times New Roman" w:cs="Times New Roman"/>
          <w:i/>
          <w:iCs/>
          <w:sz w:val="24"/>
          <w:szCs w:val="24"/>
        </w:rPr>
        <w:t>3</w:t>
      </w:r>
      <w:r w:rsidRPr="00476C2B">
        <w:rPr>
          <w:rFonts w:ascii="Times New Roman" w:hAnsi="Times New Roman" w:cs="Times New Roman"/>
          <w:i/>
          <w:iCs/>
          <w:sz w:val="24"/>
          <w:szCs w:val="24"/>
        </w:rPr>
        <w:t xml:space="preserve">: </w:t>
      </w:r>
      <w:r>
        <w:rPr>
          <w:rFonts w:ascii="Times New Roman" w:hAnsi="Times New Roman" w:cs="Times New Roman"/>
          <w:i/>
          <w:iCs/>
          <w:sz w:val="24"/>
          <w:szCs w:val="24"/>
        </w:rPr>
        <w:t>Spray Deposition</w:t>
      </w:r>
      <w:r w:rsidR="00AC01FC">
        <w:rPr>
          <w:rFonts w:ascii="Times New Roman" w:hAnsi="Times New Roman" w:cs="Times New Roman"/>
          <w:i/>
          <w:iCs/>
          <w:sz w:val="24"/>
          <w:szCs w:val="24"/>
        </w:rPr>
        <w:t xml:space="preserve"> Canopy Zones</w:t>
      </w:r>
    </w:p>
    <w:p w14:paraId="4D6BBE2A" w14:textId="77777777" w:rsidR="00476C2B" w:rsidRPr="00311417" w:rsidRDefault="00476C2B" w:rsidP="00A379C6">
      <w:pPr>
        <w:jc w:val="center"/>
        <w:rPr>
          <w:rFonts w:ascii="Times New Roman" w:hAnsi="Times New Roman" w:cs="Times New Roman"/>
          <w:sz w:val="24"/>
          <w:szCs w:val="24"/>
        </w:rPr>
      </w:pPr>
    </w:p>
    <w:p w14:paraId="2D12D00F"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3.3 Pest and Disease Control</w:t>
      </w:r>
    </w:p>
    <w:p w14:paraId="24724666" w14:textId="45C4A791"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All treatments significantly reduced pest and disease incidence compared with untreated controls. T2 (2 L UAV) achieved suppression levels statistically comparable to tractor spraying (</w:t>
      </w:r>
      <w:r w:rsidRPr="00311417">
        <w:rPr>
          <w:rFonts w:ascii="Times New Roman" w:hAnsi="Times New Roman" w:cs="Times New Roman"/>
          <w:i/>
          <w:iCs/>
          <w:sz w:val="24"/>
          <w:szCs w:val="24"/>
        </w:rPr>
        <w:t>p</w:t>
      </w:r>
      <w:r w:rsidRPr="00311417">
        <w:rPr>
          <w:rFonts w:ascii="Times New Roman" w:hAnsi="Times New Roman" w:cs="Times New Roman"/>
          <w:sz w:val="24"/>
          <w:szCs w:val="24"/>
        </w:rPr>
        <w:t xml:space="preserve"> &gt; 0.05). Both UAV and tractor methods reduced mango hopper counts and anthracnose incidence, with no significant differences between T2, T3, and T4.</w:t>
      </w:r>
    </w:p>
    <w:p w14:paraId="261B967E"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lastRenderedPageBreak/>
        <w:t>3.4 Drift and Environmental Safety</w:t>
      </w:r>
    </w:p>
    <w:p w14:paraId="4F037E50" w14:textId="0B692563" w:rsidR="00311417" w:rsidRPr="00A379C6"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Drift analysis indicated a notable reduction in off-target losses with UAV applications. At 2 m downwind, drift from UAV spraying averaged 2.8% of applied solution, compared with 5.6% under tractor spraying. This represented a ~40% reduction in drift, with differences statistically significant at </w:t>
      </w:r>
      <w:r w:rsidRPr="00311417">
        <w:rPr>
          <w:rFonts w:ascii="Times New Roman" w:hAnsi="Times New Roman" w:cs="Times New Roman"/>
          <w:i/>
          <w:iCs/>
          <w:sz w:val="24"/>
          <w:szCs w:val="24"/>
        </w:rPr>
        <w:t>p</w:t>
      </w:r>
      <w:r w:rsidRPr="00311417">
        <w:rPr>
          <w:rFonts w:ascii="Times New Roman" w:hAnsi="Times New Roman" w:cs="Times New Roman"/>
          <w:sz w:val="24"/>
          <w:szCs w:val="24"/>
        </w:rPr>
        <w:t xml:space="preserve"> ≤ 0.05.</w:t>
      </w:r>
    </w:p>
    <w:p w14:paraId="3EC9A9B3" w14:textId="6BD5BC9E" w:rsidR="007D3024" w:rsidRDefault="00476C2B" w:rsidP="00BB4CA7">
      <w:pPr>
        <w:jc w:val="center"/>
        <w:rPr>
          <w:rFonts w:ascii="Times New Roman" w:hAnsi="Times New Roman" w:cs="Times New Roman"/>
          <w:noProof/>
          <w:sz w:val="24"/>
          <w:szCs w:val="24"/>
        </w:rPr>
      </w:pPr>
      <w:r>
        <w:rPr>
          <w:rFonts w:ascii="Times New Roman" w:hAnsi="Times New Roman" w:cs="Times New Roman"/>
          <w:noProof/>
          <w:sz w:val="24"/>
          <w:szCs w:val="24"/>
        </w:rPr>
        <w:t>3</w:t>
      </w:r>
      <w:r w:rsidR="007D3024" w:rsidRPr="00A379C6">
        <w:rPr>
          <w:rFonts w:ascii="Times New Roman" w:hAnsi="Times New Roman" w:cs="Times New Roman"/>
          <w:noProof/>
          <w:sz w:val="24"/>
          <w:szCs w:val="24"/>
        </w:rPr>
        <w:drawing>
          <wp:inline distT="0" distB="0" distL="0" distR="0" wp14:anchorId="1FBED465" wp14:editId="6AD63CE9">
            <wp:extent cx="2680626" cy="2000392"/>
            <wp:effectExtent l="0" t="0" r="5715" b="0"/>
            <wp:docPr id="2638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2943" name=""/>
                    <pic:cNvPicPr/>
                  </pic:nvPicPr>
                  <pic:blipFill>
                    <a:blip r:embed="rId11"/>
                    <a:stretch>
                      <a:fillRect/>
                    </a:stretch>
                  </pic:blipFill>
                  <pic:spPr>
                    <a:xfrm>
                      <a:off x="0" y="0"/>
                      <a:ext cx="2691029" cy="2008155"/>
                    </a:xfrm>
                    <a:prstGeom prst="rect">
                      <a:avLst/>
                    </a:prstGeom>
                  </pic:spPr>
                </pic:pic>
              </a:graphicData>
            </a:graphic>
          </wp:inline>
        </w:drawing>
      </w:r>
    </w:p>
    <w:p w14:paraId="5EFB4C51" w14:textId="1E6145A1" w:rsidR="00BB4CA7" w:rsidRPr="00BB4CA7" w:rsidRDefault="00BB4CA7" w:rsidP="00BB4CA7">
      <w:pPr>
        <w:jc w:val="center"/>
        <w:rPr>
          <w:rFonts w:ascii="Times New Roman" w:hAnsi="Times New Roman" w:cs="Times New Roman"/>
          <w:i/>
          <w:iCs/>
          <w:sz w:val="24"/>
          <w:szCs w:val="24"/>
        </w:rPr>
      </w:pPr>
      <w:r w:rsidRPr="00BB4CA7">
        <w:rPr>
          <w:rFonts w:ascii="Times New Roman" w:hAnsi="Times New Roman" w:cs="Times New Roman"/>
          <w:i/>
          <w:iCs/>
          <w:sz w:val="24"/>
          <w:szCs w:val="24"/>
        </w:rPr>
        <w:t xml:space="preserve">Figure 4: </w:t>
      </w:r>
      <w:r w:rsidR="001A6741" w:rsidRPr="00BB4CA7">
        <w:rPr>
          <w:rFonts w:ascii="Times New Roman" w:hAnsi="Times New Roman" w:cs="Times New Roman"/>
          <w:i/>
          <w:iCs/>
          <w:sz w:val="24"/>
          <w:szCs w:val="24"/>
        </w:rPr>
        <w:t>Spray</w:t>
      </w:r>
      <w:r w:rsidRPr="00BB4CA7">
        <w:rPr>
          <w:rFonts w:ascii="Times New Roman" w:hAnsi="Times New Roman" w:cs="Times New Roman"/>
          <w:i/>
          <w:iCs/>
          <w:sz w:val="24"/>
          <w:szCs w:val="24"/>
        </w:rPr>
        <w:t xml:space="preserve"> </w:t>
      </w:r>
      <w:r w:rsidR="001A6741" w:rsidRPr="00BB4CA7">
        <w:rPr>
          <w:rFonts w:ascii="Times New Roman" w:hAnsi="Times New Roman" w:cs="Times New Roman"/>
          <w:i/>
          <w:iCs/>
          <w:sz w:val="24"/>
          <w:szCs w:val="24"/>
        </w:rPr>
        <w:t>Drift Comparison</w:t>
      </w:r>
      <w:r w:rsidRPr="00BB4CA7">
        <w:rPr>
          <w:rFonts w:ascii="Times New Roman" w:hAnsi="Times New Roman" w:cs="Times New Roman"/>
          <w:i/>
          <w:iCs/>
          <w:sz w:val="24"/>
          <w:szCs w:val="24"/>
        </w:rPr>
        <w:t xml:space="preserve"> </w:t>
      </w:r>
    </w:p>
    <w:p w14:paraId="4FCA2F33" w14:textId="7C45DC51" w:rsidR="00CE3497" w:rsidRPr="00A379C6" w:rsidRDefault="00CE3497" w:rsidP="00A379C6">
      <w:pPr>
        <w:tabs>
          <w:tab w:val="left" w:pos="1118"/>
        </w:tabs>
        <w:jc w:val="both"/>
        <w:rPr>
          <w:rFonts w:ascii="Times New Roman" w:hAnsi="Times New Roman" w:cs="Times New Roman"/>
          <w:sz w:val="24"/>
          <w:szCs w:val="24"/>
        </w:rPr>
      </w:pPr>
      <w:r w:rsidRPr="00A379C6">
        <w:rPr>
          <w:rFonts w:ascii="Times New Roman" w:hAnsi="Times New Roman" w:cs="Times New Roman"/>
          <w:sz w:val="24"/>
          <w:szCs w:val="24"/>
        </w:rPr>
        <w:t>UAV nozzles finer droplets (~100–150 µm, better canopy coverage, more drift control).</w:t>
      </w:r>
    </w:p>
    <w:p w14:paraId="1A81A659" w14:textId="7811ECFE" w:rsidR="00CE3497" w:rsidRPr="00A379C6" w:rsidRDefault="00CE3497" w:rsidP="00A379C6">
      <w:pPr>
        <w:tabs>
          <w:tab w:val="left" w:pos="1118"/>
        </w:tabs>
        <w:jc w:val="both"/>
        <w:rPr>
          <w:rFonts w:ascii="Times New Roman" w:hAnsi="Times New Roman" w:cs="Times New Roman"/>
          <w:sz w:val="24"/>
          <w:szCs w:val="24"/>
        </w:rPr>
      </w:pPr>
      <w:r w:rsidRPr="00A379C6">
        <w:rPr>
          <w:rFonts w:ascii="Times New Roman" w:hAnsi="Times New Roman" w:cs="Times New Roman"/>
          <w:sz w:val="24"/>
          <w:szCs w:val="24"/>
        </w:rPr>
        <w:t>Tractor sprayers coarser droplets (~250–300 µm, deeper canopy penetration, but more chemical use).</w:t>
      </w:r>
    </w:p>
    <w:p w14:paraId="49D33308" w14:textId="4659A880" w:rsidR="00CE3497" w:rsidRDefault="00CE3497" w:rsidP="00A379C6">
      <w:pPr>
        <w:jc w:val="center"/>
        <w:rPr>
          <w:rFonts w:ascii="Times New Roman" w:hAnsi="Times New Roman" w:cs="Times New Roman"/>
          <w:sz w:val="24"/>
          <w:szCs w:val="24"/>
        </w:rPr>
      </w:pPr>
      <w:r w:rsidRPr="00A379C6">
        <w:rPr>
          <w:rFonts w:ascii="Times New Roman" w:hAnsi="Times New Roman" w:cs="Times New Roman"/>
          <w:noProof/>
          <w:sz w:val="24"/>
          <w:szCs w:val="24"/>
        </w:rPr>
        <w:drawing>
          <wp:inline distT="0" distB="0" distL="0" distR="0" wp14:anchorId="78A2143B" wp14:editId="4333A217">
            <wp:extent cx="4396439" cy="3267217"/>
            <wp:effectExtent l="0" t="0" r="4445" b="0"/>
            <wp:docPr id="89131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13964" name=""/>
                    <pic:cNvPicPr/>
                  </pic:nvPicPr>
                  <pic:blipFill>
                    <a:blip r:embed="rId12"/>
                    <a:stretch>
                      <a:fillRect/>
                    </a:stretch>
                  </pic:blipFill>
                  <pic:spPr>
                    <a:xfrm>
                      <a:off x="0" y="0"/>
                      <a:ext cx="4406613" cy="3274778"/>
                    </a:xfrm>
                    <a:prstGeom prst="rect">
                      <a:avLst/>
                    </a:prstGeom>
                  </pic:spPr>
                </pic:pic>
              </a:graphicData>
            </a:graphic>
          </wp:inline>
        </w:drawing>
      </w:r>
    </w:p>
    <w:p w14:paraId="76A457DB" w14:textId="03EADCAC" w:rsidR="00BB4CA7" w:rsidRPr="00311417" w:rsidRDefault="00BB4CA7" w:rsidP="00A379C6">
      <w:pPr>
        <w:jc w:val="center"/>
        <w:rPr>
          <w:rFonts w:ascii="Times New Roman" w:hAnsi="Times New Roman" w:cs="Times New Roman"/>
          <w:i/>
          <w:iCs/>
          <w:sz w:val="24"/>
          <w:szCs w:val="24"/>
        </w:rPr>
      </w:pPr>
      <w:r w:rsidRPr="00BB4CA7">
        <w:rPr>
          <w:rFonts w:ascii="Times New Roman" w:hAnsi="Times New Roman" w:cs="Times New Roman"/>
          <w:i/>
          <w:iCs/>
          <w:sz w:val="24"/>
          <w:szCs w:val="24"/>
        </w:rPr>
        <w:t>Figure 5: Droplet Size Distribution</w:t>
      </w:r>
    </w:p>
    <w:p w14:paraId="39DB03AA" w14:textId="77777777" w:rsid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3.5 Optical Sensor and Spectral Analysis</w:t>
      </w:r>
    </w:p>
    <w:p w14:paraId="541192EF" w14:textId="22286CEC" w:rsid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Multispectral imaging and SPAD chlorophyll readings showed improvements in canopy health under UAV treatments (Table 2). NDVI values increased post-treatment in all </w:t>
      </w:r>
      <w:r w:rsidRPr="00311417">
        <w:rPr>
          <w:rFonts w:ascii="Times New Roman" w:hAnsi="Times New Roman" w:cs="Times New Roman"/>
          <w:sz w:val="24"/>
          <w:szCs w:val="24"/>
        </w:rPr>
        <w:lastRenderedPageBreak/>
        <w:t>UAV applications, with the highest values observed in T3 (0.73) and T2 (0.71), compared with tractor spraying (0.70). SPAD chlorophyll indices followed a similar pattern, with UAV treatments recording higher values than tractor spraying.</w:t>
      </w:r>
    </w:p>
    <w:p w14:paraId="5DF1069D" w14:textId="77777777" w:rsidR="00A379C6" w:rsidRPr="00311417" w:rsidRDefault="00A379C6" w:rsidP="00A379C6">
      <w:pPr>
        <w:jc w:val="both"/>
        <w:rPr>
          <w:rFonts w:ascii="Times New Roman" w:hAnsi="Times New Roman" w:cs="Times New Roman"/>
          <w:sz w:val="24"/>
          <w:szCs w:val="24"/>
        </w:rPr>
      </w:pPr>
    </w:p>
    <w:p w14:paraId="413ECCCA" w14:textId="77777777" w:rsidR="00311417" w:rsidRPr="00A379C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Table 2. NDVI and SPAD chlorophyll index measured 14 days after spraying.</w:t>
      </w:r>
    </w:p>
    <w:tbl>
      <w:tblPr>
        <w:tblpPr w:leftFromText="180" w:rightFromText="180" w:vertAnchor="text" w:tblpXSpec="center" w:tblpY="1"/>
        <w:tblOverlap w:val="never"/>
        <w:tblW w:w="4957" w:type="dxa"/>
        <w:tblLook w:val="04A0" w:firstRow="1" w:lastRow="0" w:firstColumn="1" w:lastColumn="0" w:noHBand="0" w:noVBand="1"/>
      </w:tblPr>
      <w:tblGrid>
        <w:gridCol w:w="2052"/>
        <w:gridCol w:w="1345"/>
        <w:gridCol w:w="1560"/>
      </w:tblGrid>
      <w:tr w:rsidR="00554A66" w:rsidRPr="002877BB" w14:paraId="4728FB07" w14:textId="77777777" w:rsidTr="00554A66">
        <w:trPr>
          <w:trHeight w:val="630"/>
        </w:trPr>
        <w:tc>
          <w:tcPr>
            <w:tcW w:w="2052" w:type="dxa"/>
            <w:tcBorders>
              <w:top w:val="single" w:sz="4" w:space="0" w:color="auto"/>
              <w:left w:val="single" w:sz="4" w:space="0" w:color="auto"/>
              <w:bottom w:val="single" w:sz="4" w:space="0" w:color="auto"/>
              <w:right w:val="single" w:sz="4" w:space="0" w:color="auto"/>
            </w:tcBorders>
            <w:vAlign w:val="center"/>
            <w:hideMark/>
          </w:tcPr>
          <w:p w14:paraId="514B91BD" w14:textId="77777777" w:rsidR="002877BB" w:rsidRPr="002877BB" w:rsidRDefault="002877BB" w:rsidP="00554A6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Treatment</w:t>
            </w:r>
          </w:p>
        </w:tc>
        <w:tc>
          <w:tcPr>
            <w:tcW w:w="1345" w:type="dxa"/>
            <w:tcBorders>
              <w:top w:val="single" w:sz="4" w:space="0" w:color="auto"/>
              <w:left w:val="nil"/>
              <w:bottom w:val="single" w:sz="4" w:space="0" w:color="auto"/>
              <w:right w:val="single" w:sz="4" w:space="0" w:color="auto"/>
            </w:tcBorders>
            <w:vAlign w:val="center"/>
            <w:hideMark/>
          </w:tcPr>
          <w:p w14:paraId="5B22F05A" w14:textId="77777777" w:rsidR="002877BB" w:rsidRPr="002877BB" w:rsidRDefault="002877BB" w:rsidP="00554A6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NDVI</w:t>
            </w:r>
          </w:p>
        </w:tc>
        <w:tc>
          <w:tcPr>
            <w:tcW w:w="1560" w:type="dxa"/>
            <w:tcBorders>
              <w:top w:val="single" w:sz="4" w:space="0" w:color="auto"/>
              <w:left w:val="nil"/>
              <w:bottom w:val="single" w:sz="4" w:space="0" w:color="auto"/>
              <w:right w:val="single" w:sz="4" w:space="0" w:color="auto"/>
            </w:tcBorders>
            <w:vAlign w:val="center"/>
            <w:hideMark/>
          </w:tcPr>
          <w:p w14:paraId="666B8DBA" w14:textId="77777777" w:rsidR="002877BB" w:rsidRPr="002877BB" w:rsidRDefault="002877BB" w:rsidP="00554A66">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2877BB">
              <w:rPr>
                <w:rFonts w:ascii="Times New Roman" w:eastAsia="Times New Roman" w:hAnsi="Times New Roman" w:cs="Times New Roman"/>
                <w:b/>
                <w:bCs/>
                <w:color w:val="000000"/>
                <w:kern w:val="0"/>
                <w:sz w:val="24"/>
                <w:szCs w:val="24"/>
                <w:lang w:eastAsia="en-IN"/>
                <w14:ligatures w14:val="none"/>
              </w:rPr>
              <w:t>SPAD Index</w:t>
            </w:r>
          </w:p>
        </w:tc>
      </w:tr>
      <w:tr w:rsidR="00554A66" w:rsidRPr="002877BB" w14:paraId="062B34DC" w14:textId="77777777" w:rsidTr="00554A66">
        <w:trPr>
          <w:trHeight w:val="315"/>
        </w:trPr>
        <w:tc>
          <w:tcPr>
            <w:tcW w:w="2052" w:type="dxa"/>
            <w:tcBorders>
              <w:top w:val="nil"/>
              <w:left w:val="single" w:sz="4" w:space="0" w:color="auto"/>
              <w:bottom w:val="single" w:sz="4" w:space="0" w:color="auto"/>
              <w:right w:val="single" w:sz="4" w:space="0" w:color="auto"/>
            </w:tcBorders>
            <w:vAlign w:val="center"/>
            <w:hideMark/>
          </w:tcPr>
          <w:p w14:paraId="0A3308F3"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T1 (1 L UAV)</w:t>
            </w:r>
          </w:p>
        </w:tc>
        <w:tc>
          <w:tcPr>
            <w:tcW w:w="1345" w:type="dxa"/>
            <w:tcBorders>
              <w:top w:val="nil"/>
              <w:left w:val="nil"/>
              <w:bottom w:val="single" w:sz="4" w:space="0" w:color="auto"/>
              <w:right w:val="single" w:sz="4" w:space="0" w:color="auto"/>
            </w:tcBorders>
            <w:vAlign w:val="center"/>
            <w:hideMark/>
          </w:tcPr>
          <w:p w14:paraId="62EAF7BD"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0.62</w:t>
            </w:r>
          </w:p>
        </w:tc>
        <w:tc>
          <w:tcPr>
            <w:tcW w:w="1560" w:type="dxa"/>
            <w:tcBorders>
              <w:top w:val="nil"/>
              <w:left w:val="nil"/>
              <w:bottom w:val="single" w:sz="4" w:space="0" w:color="auto"/>
              <w:right w:val="single" w:sz="4" w:space="0" w:color="auto"/>
            </w:tcBorders>
            <w:vAlign w:val="center"/>
            <w:hideMark/>
          </w:tcPr>
          <w:p w14:paraId="6B2F06F7"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38</w:t>
            </w:r>
          </w:p>
        </w:tc>
      </w:tr>
      <w:tr w:rsidR="00554A66" w:rsidRPr="002877BB" w14:paraId="3128AB9E" w14:textId="77777777" w:rsidTr="00554A66">
        <w:trPr>
          <w:trHeight w:val="315"/>
        </w:trPr>
        <w:tc>
          <w:tcPr>
            <w:tcW w:w="2052" w:type="dxa"/>
            <w:tcBorders>
              <w:top w:val="nil"/>
              <w:left w:val="single" w:sz="4" w:space="0" w:color="auto"/>
              <w:bottom w:val="single" w:sz="4" w:space="0" w:color="auto"/>
              <w:right w:val="single" w:sz="4" w:space="0" w:color="auto"/>
            </w:tcBorders>
            <w:vAlign w:val="center"/>
            <w:hideMark/>
          </w:tcPr>
          <w:p w14:paraId="42978A9A"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T2 (2 L UAV)</w:t>
            </w:r>
          </w:p>
        </w:tc>
        <w:tc>
          <w:tcPr>
            <w:tcW w:w="1345" w:type="dxa"/>
            <w:tcBorders>
              <w:top w:val="nil"/>
              <w:left w:val="nil"/>
              <w:bottom w:val="single" w:sz="4" w:space="0" w:color="auto"/>
              <w:right w:val="single" w:sz="4" w:space="0" w:color="auto"/>
            </w:tcBorders>
            <w:vAlign w:val="center"/>
            <w:hideMark/>
          </w:tcPr>
          <w:p w14:paraId="4AAD1601"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0.71</w:t>
            </w:r>
          </w:p>
        </w:tc>
        <w:tc>
          <w:tcPr>
            <w:tcW w:w="1560" w:type="dxa"/>
            <w:tcBorders>
              <w:top w:val="nil"/>
              <w:left w:val="nil"/>
              <w:bottom w:val="single" w:sz="4" w:space="0" w:color="auto"/>
              <w:right w:val="single" w:sz="4" w:space="0" w:color="auto"/>
            </w:tcBorders>
            <w:vAlign w:val="center"/>
            <w:hideMark/>
          </w:tcPr>
          <w:p w14:paraId="6D31F8F4"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44</w:t>
            </w:r>
          </w:p>
        </w:tc>
      </w:tr>
      <w:tr w:rsidR="00554A66" w:rsidRPr="002877BB" w14:paraId="5AB43E10" w14:textId="77777777" w:rsidTr="00554A66">
        <w:trPr>
          <w:trHeight w:val="315"/>
        </w:trPr>
        <w:tc>
          <w:tcPr>
            <w:tcW w:w="2052" w:type="dxa"/>
            <w:tcBorders>
              <w:top w:val="nil"/>
              <w:left w:val="single" w:sz="4" w:space="0" w:color="auto"/>
              <w:bottom w:val="single" w:sz="4" w:space="0" w:color="auto"/>
              <w:right w:val="single" w:sz="4" w:space="0" w:color="auto"/>
            </w:tcBorders>
            <w:vAlign w:val="center"/>
            <w:hideMark/>
          </w:tcPr>
          <w:p w14:paraId="004C935C"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T3 (3 L UAV)</w:t>
            </w:r>
          </w:p>
        </w:tc>
        <w:tc>
          <w:tcPr>
            <w:tcW w:w="1345" w:type="dxa"/>
            <w:tcBorders>
              <w:top w:val="nil"/>
              <w:left w:val="nil"/>
              <w:bottom w:val="single" w:sz="4" w:space="0" w:color="auto"/>
              <w:right w:val="single" w:sz="4" w:space="0" w:color="auto"/>
            </w:tcBorders>
            <w:vAlign w:val="center"/>
            <w:hideMark/>
          </w:tcPr>
          <w:p w14:paraId="14BDE46D"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0.73</w:t>
            </w:r>
          </w:p>
        </w:tc>
        <w:tc>
          <w:tcPr>
            <w:tcW w:w="1560" w:type="dxa"/>
            <w:tcBorders>
              <w:top w:val="nil"/>
              <w:left w:val="nil"/>
              <w:bottom w:val="single" w:sz="4" w:space="0" w:color="auto"/>
              <w:right w:val="single" w:sz="4" w:space="0" w:color="auto"/>
            </w:tcBorders>
            <w:vAlign w:val="center"/>
            <w:hideMark/>
          </w:tcPr>
          <w:p w14:paraId="53F0DF52"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46</w:t>
            </w:r>
          </w:p>
        </w:tc>
      </w:tr>
      <w:tr w:rsidR="00554A66" w:rsidRPr="002877BB" w14:paraId="5F64CFD7" w14:textId="77777777" w:rsidTr="00554A66">
        <w:trPr>
          <w:trHeight w:val="630"/>
        </w:trPr>
        <w:tc>
          <w:tcPr>
            <w:tcW w:w="2052" w:type="dxa"/>
            <w:tcBorders>
              <w:top w:val="nil"/>
              <w:left w:val="single" w:sz="4" w:space="0" w:color="auto"/>
              <w:bottom w:val="single" w:sz="4" w:space="0" w:color="auto"/>
              <w:right w:val="single" w:sz="4" w:space="0" w:color="auto"/>
            </w:tcBorders>
            <w:vAlign w:val="center"/>
            <w:hideMark/>
          </w:tcPr>
          <w:p w14:paraId="4FBDBFBB"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T4 (15 L Tractor)</w:t>
            </w:r>
          </w:p>
        </w:tc>
        <w:tc>
          <w:tcPr>
            <w:tcW w:w="1345" w:type="dxa"/>
            <w:tcBorders>
              <w:top w:val="nil"/>
              <w:left w:val="nil"/>
              <w:bottom w:val="single" w:sz="4" w:space="0" w:color="auto"/>
              <w:right w:val="single" w:sz="4" w:space="0" w:color="auto"/>
            </w:tcBorders>
            <w:vAlign w:val="center"/>
            <w:hideMark/>
          </w:tcPr>
          <w:p w14:paraId="3D71538F"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0.7</w:t>
            </w:r>
          </w:p>
        </w:tc>
        <w:tc>
          <w:tcPr>
            <w:tcW w:w="1560" w:type="dxa"/>
            <w:tcBorders>
              <w:top w:val="nil"/>
              <w:left w:val="nil"/>
              <w:bottom w:val="single" w:sz="4" w:space="0" w:color="auto"/>
              <w:right w:val="single" w:sz="4" w:space="0" w:color="auto"/>
            </w:tcBorders>
            <w:vAlign w:val="center"/>
            <w:hideMark/>
          </w:tcPr>
          <w:p w14:paraId="3F9F5AA2" w14:textId="77777777" w:rsidR="002877BB" w:rsidRPr="002877BB" w:rsidRDefault="002877BB" w:rsidP="00554A66">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2877BB">
              <w:rPr>
                <w:rFonts w:ascii="Times New Roman" w:eastAsia="Times New Roman" w:hAnsi="Times New Roman" w:cs="Times New Roman"/>
                <w:color w:val="000000"/>
                <w:kern w:val="0"/>
                <w:sz w:val="24"/>
                <w:szCs w:val="24"/>
                <w:lang w:eastAsia="en-IN"/>
                <w14:ligatures w14:val="none"/>
              </w:rPr>
              <w:t>45</w:t>
            </w:r>
          </w:p>
        </w:tc>
      </w:tr>
    </w:tbl>
    <w:p w14:paraId="35682F60" w14:textId="77777777" w:rsidR="00554A66" w:rsidRDefault="00554A66" w:rsidP="00554A66">
      <w:pPr>
        <w:rPr>
          <w:rFonts w:ascii="Times New Roman" w:hAnsi="Times New Roman" w:cs="Times New Roman"/>
          <w:noProof/>
          <w:sz w:val="24"/>
          <w:szCs w:val="24"/>
        </w:rPr>
      </w:pPr>
    </w:p>
    <w:p w14:paraId="689A7AFB" w14:textId="77777777" w:rsidR="00554A66" w:rsidRPr="00554A66" w:rsidRDefault="00554A66" w:rsidP="00554A66">
      <w:pPr>
        <w:rPr>
          <w:rFonts w:ascii="Times New Roman" w:hAnsi="Times New Roman" w:cs="Times New Roman"/>
          <w:sz w:val="24"/>
          <w:szCs w:val="24"/>
        </w:rPr>
      </w:pPr>
    </w:p>
    <w:p w14:paraId="2E4EB282" w14:textId="77777777" w:rsidR="00554A66" w:rsidRPr="00554A66" w:rsidRDefault="00554A66" w:rsidP="00554A66">
      <w:pPr>
        <w:rPr>
          <w:rFonts w:ascii="Times New Roman" w:hAnsi="Times New Roman" w:cs="Times New Roman"/>
          <w:sz w:val="24"/>
          <w:szCs w:val="24"/>
        </w:rPr>
      </w:pPr>
    </w:p>
    <w:p w14:paraId="0224E8F1" w14:textId="77777777" w:rsidR="00554A66" w:rsidRDefault="00554A66" w:rsidP="00554A66">
      <w:pPr>
        <w:rPr>
          <w:rFonts w:ascii="Times New Roman" w:hAnsi="Times New Roman" w:cs="Times New Roman"/>
          <w:noProof/>
          <w:sz w:val="24"/>
          <w:szCs w:val="24"/>
        </w:rPr>
      </w:pPr>
    </w:p>
    <w:p w14:paraId="2961AD31" w14:textId="77777777" w:rsidR="00554A66" w:rsidRDefault="00554A66" w:rsidP="00554A66">
      <w:pPr>
        <w:tabs>
          <w:tab w:val="center" w:pos="1939"/>
        </w:tabs>
        <w:rPr>
          <w:rFonts w:ascii="Times New Roman" w:hAnsi="Times New Roman" w:cs="Times New Roman"/>
          <w:noProof/>
          <w:sz w:val="24"/>
          <w:szCs w:val="24"/>
        </w:rPr>
      </w:pPr>
      <w:r>
        <w:rPr>
          <w:rFonts w:ascii="Times New Roman" w:hAnsi="Times New Roman" w:cs="Times New Roman"/>
          <w:noProof/>
          <w:sz w:val="24"/>
          <w:szCs w:val="24"/>
        </w:rPr>
        <w:tab/>
      </w:r>
    </w:p>
    <w:p w14:paraId="1DA10D76" w14:textId="77777777" w:rsidR="00554A66" w:rsidRDefault="00554A66" w:rsidP="00554A66">
      <w:pPr>
        <w:tabs>
          <w:tab w:val="center" w:pos="1939"/>
        </w:tabs>
        <w:rPr>
          <w:rFonts w:ascii="Times New Roman" w:hAnsi="Times New Roman" w:cs="Times New Roman"/>
          <w:noProof/>
          <w:sz w:val="24"/>
          <w:szCs w:val="24"/>
        </w:rPr>
      </w:pPr>
    </w:p>
    <w:p w14:paraId="4C6FEC72" w14:textId="06A9E32F" w:rsidR="007D3024" w:rsidRPr="00BB4CA7" w:rsidRDefault="00554A66" w:rsidP="00BB4CA7">
      <w:pPr>
        <w:jc w:val="center"/>
        <w:rPr>
          <w:rFonts w:ascii="Times New Roman" w:hAnsi="Times New Roman" w:cs="Times New Roman"/>
          <w:i/>
          <w:iCs/>
          <w:sz w:val="24"/>
          <w:szCs w:val="24"/>
        </w:rPr>
      </w:pPr>
      <w:r>
        <w:rPr>
          <w:rFonts w:ascii="Times New Roman" w:hAnsi="Times New Roman" w:cs="Times New Roman"/>
          <w:noProof/>
          <w:sz w:val="24"/>
          <w:szCs w:val="24"/>
        </w:rPr>
        <w:br w:type="textWrapping" w:clear="all"/>
      </w:r>
      <w:r w:rsidR="007D3024" w:rsidRPr="00A379C6">
        <w:rPr>
          <w:rFonts w:ascii="Times New Roman" w:hAnsi="Times New Roman" w:cs="Times New Roman"/>
          <w:noProof/>
          <w:sz w:val="24"/>
          <w:szCs w:val="24"/>
        </w:rPr>
        <w:drawing>
          <wp:inline distT="0" distB="0" distL="0" distR="0" wp14:anchorId="22DCA823" wp14:editId="691E5BFA">
            <wp:extent cx="3951027" cy="2985059"/>
            <wp:effectExtent l="0" t="0" r="0" b="6350"/>
            <wp:docPr id="645210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10144" name=""/>
                    <pic:cNvPicPr/>
                  </pic:nvPicPr>
                  <pic:blipFill>
                    <a:blip r:embed="rId13">
                      <a:extLst>
                        <a:ext uri="{28A0092B-C50C-407E-A947-70E740481C1C}">
                          <a14:useLocalDpi xmlns:a14="http://schemas.microsoft.com/office/drawing/2010/main" val="0"/>
                        </a:ext>
                      </a:extLst>
                    </a:blip>
                    <a:stretch>
                      <a:fillRect/>
                    </a:stretch>
                  </pic:blipFill>
                  <pic:spPr>
                    <a:xfrm>
                      <a:off x="0" y="0"/>
                      <a:ext cx="3954228" cy="2987477"/>
                    </a:xfrm>
                    <a:prstGeom prst="rect">
                      <a:avLst/>
                    </a:prstGeom>
                  </pic:spPr>
                </pic:pic>
              </a:graphicData>
            </a:graphic>
          </wp:inline>
        </w:drawing>
      </w:r>
      <w:r>
        <w:rPr>
          <w:rFonts w:ascii="Times New Roman" w:hAnsi="Times New Roman" w:cs="Times New Roman"/>
          <w:b/>
          <w:bCs/>
          <w:sz w:val="24"/>
          <w:szCs w:val="24"/>
        </w:rPr>
        <w:br w:type="textWrapping" w:clear="all"/>
      </w:r>
      <w:r w:rsidR="00BB4CA7" w:rsidRPr="00BB4CA7">
        <w:rPr>
          <w:rFonts w:ascii="Times New Roman" w:hAnsi="Times New Roman" w:cs="Times New Roman"/>
          <w:i/>
          <w:iCs/>
          <w:sz w:val="24"/>
          <w:szCs w:val="24"/>
        </w:rPr>
        <w:t xml:space="preserve">Figure </w:t>
      </w:r>
      <w:r w:rsidR="00BB4CA7">
        <w:rPr>
          <w:rFonts w:ascii="Times New Roman" w:hAnsi="Times New Roman" w:cs="Times New Roman"/>
          <w:i/>
          <w:iCs/>
          <w:sz w:val="24"/>
          <w:szCs w:val="24"/>
        </w:rPr>
        <w:t>6</w:t>
      </w:r>
      <w:r w:rsidR="00BB4CA7" w:rsidRPr="00BB4CA7">
        <w:rPr>
          <w:rFonts w:ascii="Times New Roman" w:hAnsi="Times New Roman" w:cs="Times New Roman"/>
          <w:i/>
          <w:iCs/>
          <w:sz w:val="24"/>
          <w:szCs w:val="24"/>
        </w:rPr>
        <w:t xml:space="preserve">: </w:t>
      </w:r>
      <w:r w:rsidR="00BB4CA7">
        <w:rPr>
          <w:rFonts w:ascii="Times New Roman" w:hAnsi="Times New Roman" w:cs="Times New Roman"/>
          <w:i/>
          <w:iCs/>
          <w:sz w:val="24"/>
          <w:szCs w:val="24"/>
        </w:rPr>
        <w:t xml:space="preserve">Spectral &amp; Chlorophyll result </w:t>
      </w:r>
    </w:p>
    <w:p w14:paraId="28D74AD9" w14:textId="77777777" w:rsidR="00554A66"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3.6 Economic Analysis</w:t>
      </w:r>
    </w:p>
    <w:p w14:paraId="4EBF227F" w14:textId="477F00A7"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UAV spraying demonstrated considerable savings in input and operational costs. By reducing </w:t>
      </w:r>
      <w:r w:rsidR="00C837C5">
        <w:rPr>
          <w:rFonts w:ascii="Times New Roman" w:hAnsi="Times New Roman" w:cs="Times New Roman"/>
          <w:sz w:val="24"/>
          <w:szCs w:val="24"/>
        </w:rPr>
        <w:t xml:space="preserve">nutrient </w:t>
      </w:r>
      <w:r w:rsidRPr="00311417">
        <w:rPr>
          <w:rFonts w:ascii="Times New Roman" w:hAnsi="Times New Roman" w:cs="Times New Roman"/>
          <w:sz w:val="24"/>
          <w:szCs w:val="24"/>
        </w:rPr>
        <w:t xml:space="preserve">spray solution use by 70–80%, UAV treatments lowered chemical expenses by approximately 25% per hectare. </w:t>
      </w:r>
      <w:r w:rsidR="005E092E" w:rsidRPr="00311417">
        <w:rPr>
          <w:rFonts w:ascii="Times New Roman" w:hAnsi="Times New Roman" w:cs="Times New Roman"/>
          <w:sz w:val="24"/>
          <w:szCs w:val="24"/>
        </w:rPr>
        <w:t>Labour</w:t>
      </w:r>
      <w:r w:rsidRPr="00311417">
        <w:rPr>
          <w:rFonts w:ascii="Times New Roman" w:hAnsi="Times New Roman" w:cs="Times New Roman"/>
          <w:sz w:val="24"/>
          <w:szCs w:val="24"/>
        </w:rPr>
        <w:t xml:space="preserve"> requirements were also reduced, with two operators sufficient for UAV operation compared with three for tractor spraying. Overall, UAV spraying showed greater cost-effectiveness and operational efficiency, particularly at the T2 application rate.</w:t>
      </w:r>
    </w:p>
    <w:p w14:paraId="78038624" w14:textId="77777777" w:rsidR="00FC3356" w:rsidRDefault="00FC3356" w:rsidP="00A379C6">
      <w:pPr>
        <w:jc w:val="both"/>
        <w:rPr>
          <w:rFonts w:ascii="Times New Roman" w:hAnsi="Times New Roman" w:cs="Times New Roman"/>
          <w:b/>
          <w:bCs/>
          <w:sz w:val="24"/>
          <w:szCs w:val="24"/>
        </w:rPr>
      </w:pPr>
    </w:p>
    <w:p w14:paraId="23BC4768" w14:textId="1FC5881D" w:rsidR="00311417" w:rsidRPr="00311417" w:rsidRDefault="00311417" w:rsidP="00A379C6">
      <w:pPr>
        <w:jc w:val="both"/>
        <w:rPr>
          <w:rFonts w:ascii="Times New Roman" w:hAnsi="Times New Roman" w:cs="Times New Roman"/>
          <w:sz w:val="24"/>
          <w:szCs w:val="24"/>
        </w:rPr>
      </w:pPr>
      <w:r w:rsidRPr="00311417">
        <w:rPr>
          <w:rFonts w:ascii="Times New Roman" w:hAnsi="Times New Roman" w:cs="Times New Roman"/>
          <w:b/>
          <w:bCs/>
          <w:sz w:val="24"/>
          <w:szCs w:val="24"/>
        </w:rPr>
        <w:t>4. Discussion</w:t>
      </w:r>
    </w:p>
    <w:p w14:paraId="090C29D7" w14:textId="1660842B"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lastRenderedPageBreak/>
        <w:t xml:space="preserve">The findings of this proof-of-concept study demonstrate the technical feasibility and agronomic benefits of UAV spraying in mango orchards. A key outcome was the substantial reduction in spray volume achieved by UAVs, with T2 (2 L/tree) providing comparable pest and disease control to tractor spraying at 15 L/tree. This aligns with previous studies in citrus and vineyards, which reported reductions of 60–80% in agrochemical </w:t>
      </w:r>
      <w:r w:rsidR="00C837C5" w:rsidRPr="00311417">
        <w:rPr>
          <w:rFonts w:ascii="Times New Roman" w:hAnsi="Times New Roman" w:cs="Times New Roman"/>
          <w:sz w:val="24"/>
          <w:szCs w:val="24"/>
        </w:rPr>
        <w:t>uses</w:t>
      </w:r>
      <w:r w:rsidRPr="00311417">
        <w:rPr>
          <w:rFonts w:ascii="Times New Roman" w:hAnsi="Times New Roman" w:cs="Times New Roman"/>
          <w:sz w:val="24"/>
          <w:szCs w:val="24"/>
        </w:rPr>
        <w:t xml:space="preserve"> under UAV applications without compromising efficacy </w:t>
      </w:r>
      <w:r w:rsidR="00174FC8">
        <w:rPr>
          <w:rFonts w:ascii="Times New Roman" w:hAnsi="Times New Roman" w:cs="Times New Roman"/>
          <w:sz w:val="24"/>
          <w:szCs w:val="24"/>
        </w:rPr>
        <w:t>[</w:t>
      </w:r>
      <w:r w:rsidR="00011802">
        <w:rPr>
          <w:rFonts w:ascii="Times New Roman" w:hAnsi="Times New Roman" w:cs="Times New Roman"/>
          <w:sz w:val="24"/>
          <w:szCs w:val="24"/>
        </w:rPr>
        <w:t>3</w:t>
      </w:r>
      <w:r w:rsidR="00174FC8">
        <w:rPr>
          <w:rFonts w:ascii="Times New Roman" w:hAnsi="Times New Roman" w:cs="Times New Roman"/>
          <w:sz w:val="24"/>
          <w:szCs w:val="24"/>
        </w:rPr>
        <w:t>,</w:t>
      </w:r>
      <w:r w:rsidR="00011802">
        <w:rPr>
          <w:rFonts w:ascii="Times New Roman" w:hAnsi="Times New Roman" w:cs="Times New Roman"/>
          <w:sz w:val="24"/>
          <w:szCs w:val="24"/>
        </w:rPr>
        <w:t>4</w:t>
      </w:r>
      <w:r w:rsidR="00174FC8">
        <w:rPr>
          <w:rFonts w:ascii="Times New Roman" w:hAnsi="Times New Roman" w:cs="Times New Roman"/>
          <w:sz w:val="24"/>
          <w:szCs w:val="24"/>
        </w:rPr>
        <w:t>]</w:t>
      </w:r>
      <w:r w:rsidRPr="00311417">
        <w:rPr>
          <w:rFonts w:ascii="Times New Roman" w:hAnsi="Times New Roman" w:cs="Times New Roman"/>
          <w:sz w:val="24"/>
          <w:szCs w:val="24"/>
        </w:rPr>
        <w:t>. Such efficiency gains are particularly relevant for mango production systems, where chemical input costs and environmental concerns are rising.</w:t>
      </w:r>
    </w:p>
    <w:p w14:paraId="32ADD467" w14:textId="4E05CA15"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Spray deposition analysis revealed that UAV treatments achieved superior coverage in the upper and middle canopy zones, consistent with the rotor-induced downdraft effect documented in UAV spraying studies on tree crops </w:t>
      </w:r>
      <w:r w:rsidR="00174FC8">
        <w:rPr>
          <w:rFonts w:ascii="Times New Roman" w:hAnsi="Times New Roman" w:cs="Times New Roman"/>
          <w:sz w:val="24"/>
          <w:szCs w:val="24"/>
        </w:rPr>
        <w:t>[</w:t>
      </w:r>
      <w:r w:rsidR="00011802">
        <w:rPr>
          <w:rFonts w:ascii="Times New Roman" w:hAnsi="Times New Roman" w:cs="Times New Roman"/>
          <w:sz w:val="24"/>
          <w:szCs w:val="24"/>
        </w:rPr>
        <w:t>6</w:t>
      </w:r>
      <w:r w:rsidR="00174FC8">
        <w:rPr>
          <w:rFonts w:ascii="Times New Roman" w:hAnsi="Times New Roman" w:cs="Times New Roman"/>
          <w:sz w:val="24"/>
          <w:szCs w:val="24"/>
        </w:rPr>
        <w:t>,</w:t>
      </w:r>
      <w:r w:rsidR="00011802">
        <w:rPr>
          <w:rFonts w:ascii="Times New Roman" w:hAnsi="Times New Roman" w:cs="Times New Roman"/>
          <w:sz w:val="24"/>
          <w:szCs w:val="24"/>
        </w:rPr>
        <w:t>7</w:t>
      </w:r>
      <w:r w:rsidR="00174FC8">
        <w:rPr>
          <w:rFonts w:ascii="Times New Roman" w:hAnsi="Times New Roman" w:cs="Times New Roman"/>
          <w:sz w:val="24"/>
          <w:szCs w:val="24"/>
        </w:rPr>
        <w:t>]</w:t>
      </w:r>
      <w:r w:rsidRPr="00311417">
        <w:rPr>
          <w:rFonts w:ascii="Times New Roman" w:hAnsi="Times New Roman" w:cs="Times New Roman"/>
          <w:sz w:val="24"/>
          <w:szCs w:val="24"/>
        </w:rPr>
        <w:t xml:space="preserve">. Conversely, tractor spraying performed better in the lower canopy, reflecting nozzle orientation and the coarser droplet size typically associated with ground-based sprayers </w:t>
      </w:r>
      <w:r w:rsidR="00174FC8">
        <w:rPr>
          <w:rFonts w:ascii="Times New Roman" w:hAnsi="Times New Roman" w:cs="Times New Roman"/>
          <w:sz w:val="24"/>
          <w:szCs w:val="24"/>
        </w:rPr>
        <w:t>[</w:t>
      </w:r>
      <w:r w:rsidR="00011802">
        <w:rPr>
          <w:rFonts w:ascii="Times New Roman" w:hAnsi="Times New Roman" w:cs="Times New Roman"/>
          <w:sz w:val="24"/>
          <w:szCs w:val="24"/>
        </w:rPr>
        <w:t>8</w:t>
      </w:r>
      <w:r w:rsidR="00174FC8">
        <w:rPr>
          <w:rFonts w:ascii="Times New Roman" w:hAnsi="Times New Roman" w:cs="Times New Roman"/>
          <w:sz w:val="24"/>
          <w:szCs w:val="24"/>
        </w:rPr>
        <w:t>]</w:t>
      </w:r>
      <w:r w:rsidRPr="00311417">
        <w:rPr>
          <w:rFonts w:ascii="Times New Roman" w:hAnsi="Times New Roman" w:cs="Times New Roman"/>
          <w:sz w:val="24"/>
          <w:szCs w:val="24"/>
        </w:rPr>
        <w:t>. These findings suggest that UAVs offer a significant advantage in targeting foliar surfaces exposed to sunlight and pest colonization, while tractor sprayers may retain a role in penetrating dense foliage at the lower canopy. A hybrid approach that integrates UAV and tractor technologies could therefore optimize coverage across canopy strata.</w:t>
      </w:r>
    </w:p>
    <w:p w14:paraId="51BA4F34" w14:textId="14D3F43F"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Pest and disease control efficacy under UAV spraying </w:t>
      </w:r>
      <w:r w:rsidR="00C837C5" w:rsidRPr="00311417">
        <w:rPr>
          <w:rFonts w:ascii="Times New Roman" w:hAnsi="Times New Roman" w:cs="Times New Roman"/>
          <w:sz w:val="24"/>
          <w:szCs w:val="24"/>
        </w:rPr>
        <w:t>were</w:t>
      </w:r>
      <w:r w:rsidRPr="00311417">
        <w:rPr>
          <w:rFonts w:ascii="Times New Roman" w:hAnsi="Times New Roman" w:cs="Times New Roman"/>
          <w:sz w:val="24"/>
          <w:szCs w:val="24"/>
        </w:rPr>
        <w:t xml:space="preserve"> comparable to conventional methods, confirming its potential as a viable alternative for orchard management. This result supports prior work in rice and citrus systems, where UAV applications achieved pest suppression equivalent to or better than tractor spraying </w:t>
      </w:r>
      <w:r w:rsidR="00174FC8">
        <w:rPr>
          <w:rFonts w:ascii="Times New Roman" w:hAnsi="Times New Roman" w:cs="Times New Roman"/>
          <w:sz w:val="24"/>
          <w:szCs w:val="24"/>
        </w:rPr>
        <w:t>[</w:t>
      </w:r>
      <w:r w:rsidR="00011802">
        <w:rPr>
          <w:rFonts w:ascii="Times New Roman" w:hAnsi="Times New Roman" w:cs="Times New Roman"/>
          <w:sz w:val="24"/>
          <w:szCs w:val="24"/>
        </w:rPr>
        <w:t>6</w:t>
      </w:r>
      <w:r w:rsidR="00174FC8">
        <w:rPr>
          <w:rFonts w:ascii="Times New Roman" w:hAnsi="Times New Roman" w:cs="Times New Roman"/>
          <w:sz w:val="24"/>
          <w:szCs w:val="24"/>
        </w:rPr>
        <w:t>,</w:t>
      </w:r>
      <w:r w:rsidR="00011802">
        <w:rPr>
          <w:rFonts w:ascii="Times New Roman" w:hAnsi="Times New Roman" w:cs="Times New Roman"/>
          <w:sz w:val="24"/>
          <w:szCs w:val="24"/>
        </w:rPr>
        <w:t>9</w:t>
      </w:r>
      <w:r w:rsidR="00174FC8">
        <w:rPr>
          <w:rFonts w:ascii="Times New Roman" w:hAnsi="Times New Roman" w:cs="Times New Roman"/>
          <w:sz w:val="24"/>
          <w:szCs w:val="24"/>
        </w:rPr>
        <w:t>]</w:t>
      </w:r>
      <w:r w:rsidRPr="00311417">
        <w:rPr>
          <w:rFonts w:ascii="Times New Roman" w:hAnsi="Times New Roman" w:cs="Times New Roman"/>
          <w:sz w:val="24"/>
          <w:szCs w:val="24"/>
        </w:rPr>
        <w:t xml:space="preserve">. Moreover, the 40% reduction in spray drift observed with UAVs underscores their environmental safety advantages, an issue of particular importance in orchards located near water bodies or residential areas </w:t>
      </w:r>
      <w:r w:rsidR="00174FC8">
        <w:rPr>
          <w:rFonts w:ascii="Times New Roman" w:hAnsi="Times New Roman" w:cs="Times New Roman"/>
          <w:sz w:val="24"/>
          <w:szCs w:val="24"/>
        </w:rPr>
        <w:t>[</w:t>
      </w:r>
      <w:r w:rsidR="00011802">
        <w:rPr>
          <w:rFonts w:ascii="Times New Roman" w:hAnsi="Times New Roman" w:cs="Times New Roman"/>
          <w:sz w:val="24"/>
          <w:szCs w:val="24"/>
        </w:rPr>
        <w:t>3</w:t>
      </w:r>
      <w:r w:rsidR="00174FC8">
        <w:rPr>
          <w:rFonts w:ascii="Times New Roman" w:hAnsi="Times New Roman" w:cs="Times New Roman"/>
          <w:sz w:val="24"/>
          <w:szCs w:val="24"/>
        </w:rPr>
        <w:t>]</w:t>
      </w:r>
      <w:r w:rsidRPr="00311417">
        <w:rPr>
          <w:rFonts w:ascii="Times New Roman" w:hAnsi="Times New Roman" w:cs="Times New Roman"/>
          <w:sz w:val="24"/>
          <w:szCs w:val="24"/>
        </w:rPr>
        <w:t>. Reduced drift also aligns with global policy objectives to minimize off-target contamination and operator exposure (ISO, 2022).</w:t>
      </w:r>
    </w:p>
    <w:p w14:paraId="737D6B48" w14:textId="1F9A0C7C"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Multispectral and SPAD data provided additional evidence of the physiological benefits of UAV spraying. Treatments T2 and T3 exhibited higher NDVI and chlorophyll indices than tractor spraying, indicating improved nutrient absorption and canopy health. Similar trends were reported in UAV studies integrating spectral sensing with targeted spraying in vineyards and apple orchards </w:t>
      </w:r>
      <w:r w:rsidR="00174FC8">
        <w:rPr>
          <w:rFonts w:ascii="Times New Roman" w:hAnsi="Times New Roman" w:cs="Times New Roman"/>
          <w:sz w:val="24"/>
          <w:szCs w:val="24"/>
        </w:rPr>
        <w:t>[</w:t>
      </w:r>
      <w:r w:rsidR="00011802">
        <w:rPr>
          <w:rFonts w:ascii="Times New Roman" w:hAnsi="Times New Roman" w:cs="Times New Roman"/>
          <w:sz w:val="24"/>
          <w:szCs w:val="24"/>
        </w:rPr>
        <w:t>5</w:t>
      </w:r>
      <w:r w:rsidR="00174FC8">
        <w:rPr>
          <w:rFonts w:ascii="Times New Roman" w:hAnsi="Times New Roman" w:cs="Times New Roman"/>
          <w:sz w:val="24"/>
          <w:szCs w:val="24"/>
        </w:rPr>
        <w:t>,</w:t>
      </w:r>
      <w:r w:rsidR="00011802">
        <w:rPr>
          <w:rFonts w:ascii="Times New Roman" w:hAnsi="Times New Roman" w:cs="Times New Roman"/>
          <w:sz w:val="24"/>
          <w:szCs w:val="24"/>
        </w:rPr>
        <w:t>10</w:t>
      </w:r>
      <w:r w:rsidR="00174FC8">
        <w:rPr>
          <w:rFonts w:ascii="Times New Roman" w:hAnsi="Times New Roman" w:cs="Times New Roman"/>
          <w:sz w:val="24"/>
          <w:szCs w:val="24"/>
        </w:rPr>
        <w:t>]</w:t>
      </w:r>
      <w:r w:rsidRPr="00311417">
        <w:rPr>
          <w:rFonts w:ascii="Times New Roman" w:hAnsi="Times New Roman" w:cs="Times New Roman"/>
          <w:sz w:val="24"/>
          <w:szCs w:val="24"/>
        </w:rPr>
        <w:t>. These results demonstrate the potential of UAVs not only as a spraying tool but also as a component of sensor-driven precision agriculture systems.</w:t>
      </w:r>
    </w:p>
    <w:p w14:paraId="2D89B0DA" w14:textId="47412F8C"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From an economic perspective, UAV spraying reduced chemical use by up to 80% and lowered </w:t>
      </w:r>
      <w:r w:rsidR="00D41EA7" w:rsidRPr="00311417">
        <w:rPr>
          <w:rFonts w:ascii="Times New Roman" w:hAnsi="Times New Roman" w:cs="Times New Roman"/>
          <w:sz w:val="24"/>
          <w:szCs w:val="24"/>
        </w:rPr>
        <w:t>labour</w:t>
      </w:r>
      <w:r w:rsidRPr="00311417">
        <w:rPr>
          <w:rFonts w:ascii="Times New Roman" w:hAnsi="Times New Roman" w:cs="Times New Roman"/>
          <w:sz w:val="24"/>
          <w:szCs w:val="24"/>
        </w:rPr>
        <w:t xml:space="preserve"> requirements, translating into a 25% reduction in operational costs. Such outcomes highlight the commercial viability of UAV spraying for small and medium</w:t>
      </w:r>
      <w:r w:rsidR="000A49BF">
        <w:rPr>
          <w:rFonts w:ascii="Times New Roman" w:hAnsi="Times New Roman" w:cs="Times New Roman"/>
          <w:sz w:val="24"/>
          <w:szCs w:val="24"/>
        </w:rPr>
        <w:t xml:space="preserve"> </w:t>
      </w:r>
      <w:r w:rsidRPr="00311417">
        <w:rPr>
          <w:rFonts w:ascii="Times New Roman" w:hAnsi="Times New Roman" w:cs="Times New Roman"/>
          <w:sz w:val="24"/>
          <w:szCs w:val="24"/>
        </w:rPr>
        <w:t xml:space="preserve">scale mango growers, who often face resource constraints. However, initial capital costs and technical training remain potential barriers to adoption, as noted in other UAV adoption studies </w:t>
      </w:r>
      <w:r w:rsidR="00174FC8">
        <w:rPr>
          <w:rFonts w:ascii="Times New Roman" w:hAnsi="Times New Roman" w:cs="Times New Roman"/>
          <w:sz w:val="24"/>
          <w:szCs w:val="24"/>
        </w:rPr>
        <w:t>[1</w:t>
      </w:r>
      <w:r w:rsidR="00011802">
        <w:rPr>
          <w:rFonts w:ascii="Times New Roman" w:hAnsi="Times New Roman" w:cs="Times New Roman"/>
          <w:sz w:val="24"/>
          <w:szCs w:val="24"/>
        </w:rPr>
        <w:t>1</w:t>
      </w:r>
      <w:r w:rsidR="00174FC8">
        <w:rPr>
          <w:rFonts w:ascii="Times New Roman" w:hAnsi="Times New Roman" w:cs="Times New Roman"/>
          <w:sz w:val="24"/>
          <w:szCs w:val="24"/>
        </w:rPr>
        <w:t>,1</w:t>
      </w:r>
      <w:r w:rsidR="00011802">
        <w:rPr>
          <w:rFonts w:ascii="Times New Roman" w:hAnsi="Times New Roman" w:cs="Times New Roman"/>
          <w:sz w:val="24"/>
          <w:szCs w:val="24"/>
        </w:rPr>
        <w:t>2</w:t>
      </w:r>
      <w:r w:rsidR="00174FC8">
        <w:rPr>
          <w:rFonts w:ascii="Times New Roman" w:hAnsi="Times New Roman" w:cs="Times New Roman"/>
          <w:sz w:val="24"/>
          <w:szCs w:val="24"/>
        </w:rPr>
        <w:t>]</w:t>
      </w:r>
      <w:r w:rsidRPr="00311417">
        <w:rPr>
          <w:rFonts w:ascii="Times New Roman" w:hAnsi="Times New Roman" w:cs="Times New Roman"/>
          <w:sz w:val="24"/>
          <w:szCs w:val="24"/>
        </w:rPr>
        <w:t>.</w:t>
      </w:r>
    </w:p>
    <w:p w14:paraId="1652733D" w14:textId="7040D047"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 xml:space="preserve">Despite these promising findings, the study also highlights certain limitations. Tractor spraying still achieved superior coverage in lower canopy zones, suggesting that UAVs may not completely replace conventional methods in dense mango orchards. Furthermore, this trial was conducted over a single season, and long-term effects on yield, fruit quality, and orchard ecosystem safety were not evaluated. Future research should therefore focus on nozzle optimization </w:t>
      </w:r>
      <w:r w:rsidR="00174FC8">
        <w:rPr>
          <w:rFonts w:ascii="Times New Roman" w:hAnsi="Times New Roman" w:cs="Times New Roman"/>
          <w:sz w:val="24"/>
          <w:szCs w:val="24"/>
        </w:rPr>
        <w:t>[</w:t>
      </w:r>
      <w:r w:rsidR="00011802">
        <w:rPr>
          <w:rFonts w:ascii="Times New Roman" w:hAnsi="Times New Roman" w:cs="Times New Roman"/>
          <w:sz w:val="24"/>
          <w:szCs w:val="24"/>
        </w:rPr>
        <w:t>13</w:t>
      </w:r>
      <w:r w:rsidR="00174FC8">
        <w:rPr>
          <w:rFonts w:ascii="Times New Roman" w:hAnsi="Times New Roman" w:cs="Times New Roman"/>
          <w:sz w:val="24"/>
          <w:szCs w:val="24"/>
        </w:rPr>
        <w:t>]</w:t>
      </w:r>
      <w:r w:rsidRPr="00311417">
        <w:rPr>
          <w:rFonts w:ascii="Times New Roman" w:hAnsi="Times New Roman" w:cs="Times New Roman"/>
          <w:sz w:val="24"/>
          <w:szCs w:val="24"/>
        </w:rPr>
        <w:t xml:space="preserve">, AI-based prescription maps for tree-specific spraying </w:t>
      </w:r>
      <w:r w:rsidR="00174FC8">
        <w:rPr>
          <w:rFonts w:ascii="Times New Roman" w:hAnsi="Times New Roman" w:cs="Times New Roman"/>
          <w:sz w:val="24"/>
          <w:szCs w:val="24"/>
        </w:rPr>
        <w:t>[1</w:t>
      </w:r>
      <w:r w:rsidR="00011802">
        <w:rPr>
          <w:rFonts w:ascii="Times New Roman" w:hAnsi="Times New Roman" w:cs="Times New Roman"/>
          <w:sz w:val="24"/>
          <w:szCs w:val="24"/>
        </w:rPr>
        <w:t>2</w:t>
      </w:r>
      <w:r w:rsidR="00174FC8">
        <w:rPr>
          <w:rFonts w:ascii="Times New Roman" w:hAnsi="Times New Roman" w:cs="Times New Roman"/>
          <w:sz w:val="24"/>
          <w:szCs w:val="24"/>
        </w:rPr>
        <w:t>]</w:t>
      </w:r>
      <w:r w:rsidRPr="00311417">
        <w:rPr>
          <w:rFonts w:ascii="Times New Roman" w:hAnsi="Times New Roman" w:cs="Times New Roman"/>
          <w:sz w:val="24"/>
          <w:szCs w:val="24"/>
        </w:rPr>
        <w:t xml:space="preserve">, and multi-season trials across diverse </w:t>
      </w:r>
      <w:proofErr w:type="spellStart"/>
      <w:r w:rsidRPr="00311417">
        <w:rPr>
          <w:rFonts w:ascii="Times New Roman" w:hAnsi="Times New Roman" w:cs="Times New Roman"/>
          <w:sz w:val="24"/>
          <w:szCs w:val="24"/>
        </w:rPr>
        <w:t>agro</w:t>
      </w:r>
      <w:proofErr w:type="spellEnd"/>
      <w:r w:rsidRPr="00311417">
        <w:rPr>
          <w:rFonts w:ascii="Times New Roman" w:hAnsi="Times New Roman" w:cs="Times New Roman"/>
          <w:sz w:val="24"/>
          <w:szCs w:val="24"/>
        </w:rPr>
        <w:t>-climatic regions.</w:t>
      </w:r>
    </w:p>
    <w:p w14:paraId="741BAF0B" w14:textId="77777777" w:rsidR="00311417" w:rsidRP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lastRenderedPageBreak/>
        <w:t>In summary, this study contributes novel evidence on UAV spraying in mango orchards, bridging a significant research gap in tropical fruit systems. By demonstrating technical feasibility, agronomic effectiveness, and economic advantages, it positions UAV spraying as a transformative tool for sustainable orchard management within precision agriculture frameworks.</w:t>
      </w:r>
    </w:p>
    <w:p w14:paraId="4EB92012" w14:textId="77777777" w:rsidR="00311417" w:rsidRPr="00311417" w:rsidRDefault="00311417" w:rsidP="00A379C6">
      <w:pPr>
        <w:jc w:val="both"/>
        <w:rPr>
          <w:rFonts w:ascii="Times New Roman" w:hAnsi="Times New Roman" w:cs="Times New Roman"/>
          <w:sz w:val="24"/>
          <w:szCs w:val="24"/>
        </w:rPr>
      </w:pPr>
      <w:r w:rsidRPr="00311417">
        <w:rPr>
          <w:rFonts w:ascii="Times New Roman" w:hAnsi="Times New Roman" w:cs="Times New Roman"/>
          <w:b/>
          <w:bCs/>
          <w:sz w:val="24"/>
          <w:szCs w:val="24"/>
        </w:rPr>
        <w:t>5. Conclusion</w:t>
      </w:r>
    </w:p>
    <w:p w14:paraId="2F1022A4" w14:textId="4A7C3BB5" w:rsidR="00311417" w:rsidRDefault="00311417" w:rsidP="00FC3356">
      <w:pPr>
        <w:ind w:firstLine="720"/>
        <w:jc w:val="both"/>
        <w:rPr>
          <w:rFonts w:ascii="Times New Roman" w:hAnsi="Times New Roman" w:cs="Times New Roman"/>
          <w:sz w:val="24"/>
          <w:szCs w:val="24"/>
        </w:rPr>
      </w:pPr>
      <w:r w:rsidRPr="00311417">
        <w:rPr>
          <w:rFonts w:ascii="Times New Roman" w:hAnsi="Times New Roman" w:cs="Times New Roman"/>
          <w:sz w:val="24"/>
          <w:szCs w:val="24"/>
        </w:rPr>
        <w:t>This study provides the first structured evidence of UAV spraying as a feasible and sustainable alternative to tractor-mounted spraying in high-density mango orchards. UAV spraying at 2–3 L/tree achieved comparable pest and disease control to conventional tractor spraying at 15 L/tree, while reducing solution use by 70% and spray drift by 40%. The integration of UAV-mounted sensors further demonstrated enhanced canopy nutrition and improved spectral indices, highlighting the role of UAVs in advancing precision agriculture. Although tractor spraying retained an advantage in lower canopy coverage, the overall technical, economic, and environmental benefits of UAV spraying suggest strong potential for adoption in small- and medium-scale mango orchards. Future research should emphasize long-term trials, nozzle optimization, and AI-driven prescription maps to fully harness UAVs for smart and sustainable orchard management.</w:t>
      </w:r>
    </w:p>
    <w:p w14:paraId="1B0B7988" w14:textId="77777777" w:rsidR="003A68CB" w:rsidRDefault="003A68CB" w:rsidP="00FC3356">
      <w:pPr>
        <w:ind w:firstLine="720"/>
        <w:jc w:val="both"/>
        <w:rPr>
          <w:rFonts w:ascii="Times New Roman" w:hAnsi="Times New Roman" w:cs="Times New Roman"/>
          <w:sz w:val="24"/>
          <w:szCs w:val="24"/>
        </w:rPr>
      </w:pPr>
    </w:p>
    <w:p w14:paraId="40D5FA2F" w14:textId="37F34C03" w:rsidR="003A68CB" w:rsidRPr="00111AF8" w:rsidRDefault="00111AF8" w:rsidP="00111AF8">
      <w:pPr>
        <w:rPr>
          <w:rFonts w:ascii="Times New Roman" w:hAnsi="Times New Roman" w:cs="Times New Roman"/>
          <w:sz w:val="24"/>
          <w:szCs w:val="24"/>
          <w:lang w:val="en-GB" w:eastAsia="en-GB"/>
        </w:rPr>
      </w:pPr>
      <w:r w:rsidRPr="00111AF8">
        <w:rPr>
          <w:rFonts w:ascii="Times New Roman" w:hAnsi="Times New Roman" w:cs="Times New Roman"/>
          <w:sz w:val="24"/>
          <w:szCs w:val="24"/>
          <w:lang w:val="en-GB" w:eastAsia="en-GB"/>
        </w:rPr>
        <w:t xml:space="preserve">Competing </w:t>
      </w:r>
      <w:proofErr w:type="gramStart"/>
      <w:r w:rsidRPr="00111AF8">
        <w:rPr>
          <w:rFonts w:ascii="Times New Roman" w:hAnsi="Times New Roman" w:cs="Times New Roman"/>
          <w:sz w:val="24"/>
          <w:szCs w:val="24"/>
          <w:lang w:val="en-GB" w:eastAsia="en-GB"/>
        </w:rPr>
        <w:t>interests</w:t>
      </w:r>
      <w:proofErr w:type="gramEnd"/>
      <w:r w:rsidRPr="00111AF8">
        <w:rPr>
          <w:rFonts w:ascii="Times New Roman" w:hAnsi="Times New Roman" w:cs="Times New Roman"/>
          <w:sz w:val="24"/>
          <w:szCs w:val="24"/>
          <w:lang w:val="en-GB" w:eastAsia="en-GB"/>
        </w:rPr>
        <w:t xml:space="preserve"> disclaimer:</w:t>
      </w:r>
    </w:p>
    <w:p w14:paraId="6BEBA740" w14:textId="77777777" w:rsidR="003A68CB" w:rsidRPr="00111AF8" w:rsidRDefault="003A68CB" w:rsidP="003A68CB">
      <w:pPr>
        <w:spacing w:after="200" w:line="276" w:lineRule="auto"/>
        <w:rPr>
          <w:rFonts w:ascii="Times New Roman" w:eastAsia="Times New Roman" w:hAnsi="Times New Roman" w:cs="Times New Roman"/>
          <w:kern w:val="0"/>
          <w:lang w:val="en-GB" w:eastAsia="en-GB"/>
          <w14:ligatures w14:val="none"/>
        </w:rPr>
      </w:pPr>
      <w:r w:rsidRPr="00111AF8">
        <w:rPr>
          <w:rFonts w:ascii="Times New Roman" w:eastAsia="Times New Roman" w:hAnsi="Times New Roman"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109EC3B5" w14:textId="77777777" w:rsidR="00111AF8" w:rsidRPr="00111AF8" w:rsidRDefault="00111AF8" w:rsidP="00111AF8">
      <w:pPr>
        <w:spacing w:line="360" w:lineRule="auto"/>
        <w:jc w:val="both"/>
        <w:rPr>
          <w:rFonts w:ascii="Times New Roman" w:eastAsia="Times New Roman" w:hAnsi="Times New Roman" w:cs="Times New Roman"/>
          <w:b/>
          <w:kern w:val="0"/>
          <w:sz w:val="24"/>
          <w:szCs w:val="24"/>
          <w:lang w:val="en-US"/>
          <w14:ligatures w14:val="none"/>
        </w:rPr>
      </w:pPr>
      <w:r w:rsidRPr="00111AF8">
        <w:rPr>
          <w:rFonts w:ascii="Times New Roman" w:eastAsia="Times New Roman" w:hAnsi="Times New Roman" w:cs="Times New Roman"/>
          <w:b/>
          <w:kern w:val="0"/>
          <w:sz w:val="24"/>
          <w:szCs w:val="24"/>
          <w:lang w:val="en-US"/>
          <w14:ligatures w14:val="none"/>
        </w:rPr>
        <w:t>Disclaimer (Artificial intelligence)</w:t>
      </w:r>
    </w:p>
    <w:p w14:paraId="35C6AA15" w14:textId="77777777" w:rsidR="00111AF8" w:rsidRPr="00111AF8" w:rsidRDefault="00111AF8" w:rsidP="00111AF8">
      <w:pPr>
        <w:spacing w:line="360" w:lineRule="auto"/>
        <w:jc w:val="both"/>
        <w:rPr>
          <w:rFonts w:ascii="Times New Roman" w:eastAsia="Times New Roman" w:hAnsi="Times New Roman" w:cs="Times New Roman"/>
          <w:kern w:val="0"/>
          <w:sz w:val="24"/>
          <w:szCs w:val="24"/>
          <w:lang w:val="en-US"/>
          <w14:ligatures w14:val="none"/>
        </w:rPr>
      </w:pPr>
      <w:r w:rsidRPr="00111AF8">
        <w:rPr>
          <w:rFonts w:ascii="Times New Roman" w:eastAsia="Times New Roman" w:hAnsi="Times New Roman" w:cs="Times New Roman"/>
          <w:kern w:val="0"/>
          <w:sz w:val="24"/>
          <w:szCs w:val="24"/>
          <w:lang w:val="en-US"/>
          <w14:ligatures w14:val="none"/>
        </w:rPr>
        <w:t>The authors hereby declare that no generative AI technologies, including large language models (</w:t>
      </w:r>
      <w:proofErr w:type="spellStart"/>
      <w:r w:rsidRPr="00111AF8">
        <w:rPr>
          <w:rFonts w:ascii="Times New Roman" w:eastAsia="Times New Roman" w:hAnsi="Times New Roman" w:cs="Times New Roman"/>
          <w:kern w:val="0"/>
          <w:sz w:val="24"/>
          <w:szCs w:val="24"/>
          <w:lang w:val="en-US"/>
          <w14:ligatures w14:val="none"/>
        </w:rPr>
        <w:t>eg.</w:t>
      </w:r>
      <w:proofErr w:type="spellEnd"/>
      <w:r w:rsidRPr="00111AF8">
        <w:rPr>
          <w:rFonts w:ascii="Times New Roman" w:eastAsia="Times New Roman" w:hAnsi="Times New Roman" w:cs="Times New Roman"/>
          <w:kern w:val="0"/>
          <w:sz w:val="24"/>
          <w:szCs w:val="24"/>
          <w:lang w:val="en-US"/>
          <w14:ligatures w14:val="none"/>
        </w:rPr>
        <w:t xml:space="preserve"> </w:t>
      </w:r>
      <w:proofErr w:type="spellStart"/>
      <w:r w:rsidRPr="00111AF8">
        <w:rPr>
          <w:rFonts w:ascii="Times New Roman" w:eastAsia="Times New Roman" w:hAnsi="Times New Roman" w:cs="Times New Roman"/>
          <w:kern w:val="0"/>
          <w:sz w:val="24"/>
          <w:szCs w:val="24"/>
          <w:lang w:val="en-US"/>
          <w14:ligatures w14:val="none"/>
        </w:rPr>
        <w:t>ChatGPT</w:t>
      </w:r>
      <w:proofErr w:type="spellEnd"/>
      <w:r w:rsidRPr="00111AF8">
        <w:rPr>
          <w:rFonts w:ascii="Times New Roman" w:eastAsia="Times New Roman" w:hAnsi="Times New Roman" w:cs="Times New Roman"/>
          <w:kern w:val="0"/>
          <w:sz w:val="24"/>
          <w:szCs w:val="24"/>
          <w:lang w:val="en-US"/>
          <w14:ligatures w14:val="none"/>
        </w:rPr>
        <w:t>, Copilot etc.,) or text to image generators, were used in the writing, editing or preparation of this manuscript. All content, analysis and conclusions presented are the result of the authors own work, supported by conventional academic resources and validated methodologies.</w:t>
      </w:r>
    </w:p>
    <w:p w14:paraId="257D9E75" w14:textId="77777777" w:rsidR="003A68CB" w:rsidRPr="00311417" w:rsidRDefault="003A68CB" w:rsidP="003A68CB">
      <w:pPr>
        <w:jc w:val="both"/>
        <w:rPr>
          <w:rFonts w:ascii="Times New Roman" w:hAnsi="Times New Roman" w:cs="Times New Roman"/>
          <w:sz w:val="24"/>
          <w:szCs w:val="24"/>
        </w:rPr>
      </w:pPr>
    </w:p>
    <w:p w14:paraId="326451B4" w14:textId="4CBB680D" w:rsidR="00311417" w:rsidRPr="00311417" w:rsidRDefault="00311417" w:rsidP="00A379C6">
      <w:pPr>
        <w:jc w:val="both"/>
        <w:rPr>
          <w:rFonts w:ascii="Times New Roman" w:hAnsi="Times New Roman" w:cs="Times New Roman"/>
          <w:b/>
          <w:bCs/>
          <w:sz w:val="24"/>
          <w:szCs w:val="24"/>
        </w:rPr>
      </w:pPr>
      <w:r w:rsidRPr="00311417">
        <w:rPr>
          <w:rFonts w:ascii="Times New Roman" w:hAnsi="Times New Roman" w:cs="Times New Roman"/>
          <w:b/>
          <w:bCs/>
          <w:sz w:val="24"/>
          <w:szCs w:val="24"/>
        </w:rPr>
        <w:t xml:space="preserve">References </w:t>
      </w:r>
    </w:p>
    <w:p w14:paraId="0C6E234E" w14:textId="77777777" w:rsidR="00724A93" w:rsidRDefault="00011802" w:rsidP="00011802">
      <w:pPr>
        <w:pStyle w:val="ListParagraph"/>
        <w:numPr>
          <w:ilvl w:val="0"/>
          <w:numId w:val="2"/>
        </w:numPr>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[1] K. Usha, P. Kumar, and B. L. Singh, "Pest and disease control strategies in organic fruit production," in </w:t>
      </w:r>
      <w:r w:rsidRPr="00011802">
        <w:rPr>
          <w:rFonts w:ascii="Times New Roman" w:hAnsi="Times New Roman" w:cs="Times New Roman"/>
          <w:i/>
          <w:iCs/>
          <w:sz w:val="24"/>
          <w:szCs w:val="24"/>
        </w:rPr>
        <w:t>Organic Fruit Production</w:t>
      </w:r>
      <w:r w:rsidRPr="00011802">
        <w:rPr>
          <w:rFonts w:ascii="Times New Roman" w:hAnsi="Times New Roman" w:cs="Times New Roman"/>
          <w:sz w:val="24"/>
          <w:szCs w:val="24"/>
        </w:rPr>
        <w:t>, Springer, 2019. </w:t>
      </w:r>
    </w:p>
    <w:p w14:paraId="4E2DEB82" w14:textId="1B3FC077" w:rsidR="00011802" w:rsidRPr="00011802" w:rsidRDefault="00DE3AEF" w:rsidP="00724A93">
      <w:pPr>
        <w:pStyle w:val="ListParagraph"/>
        <w:spacing w:line="360" w:lineRule="auto"/>
        <w:jc w:val="both"/>
        <w:rPr>
          <w:rFonts w:ascii="Times New Roman" w:hAnsi="Times New Roman" w:cs="Times New Roman"/>
          <w:sz w:val="24"/>
          <w:szCs w:val="24"/>
        </w:rPr>
      </w:pPr>
      <w:hyperlink r:id="rId14" w:history="1">
        <w:r w:rsidR="00724A93" w:rsidRPr="00EF5159">
          <w:rPr>
            <w:rStyle w:val="Hyperlink"/>
            <w:rFonts w:ascii="Times New Roman" w:hAnsi="Times New Roman" w:cs="Times New Roman"/>
            <w:sz w:val="24"/>
            <w:szCs w:val="24"/>
          </w:rPr>
          <w:t>https://doi.org/10.1007/978-3-030-04657-6_4</w:t>
        </w:r>
      </w:hyperlink>
    </w:p>
    <w:p w14:paraId="52B0C4B3" w14:textId="77777777" w:rsidR="00011802" w:rsidRPr="00011802" w:rsidRDefault="00011802" w:rsidP="00011802">
      <w:pPr>
        <w:pStyle w:val="ListParagraph"/>
        <w:numPr>
          <w:ilvl w:val="0"/>
          <w:numId w:val="2"/>
        </w:numPr>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[2] J. K. Bana, H. Sharma, S. M. Chavan, D. K. Sharma, and S. J. Patil, "Assessment of losses caused by major insect-pests and diseases of mango (</w:t>
      </w:r>
      <w:proofErr w:type="spellStart"/>
      <w:r w:rsidRPr="00011802">
        <w:rPr>
          <w:rFonts w:ascii="Times New Roman" w:hAnsi="Times New Roman" w:cs="Times New Roman"/>
          <w:sz w:val="24"/>
          <w:szCs w:val="24"/>
        </w:rPr>
        <w:t>Mangifera</w:t>
      </w:r>
      <w:proofErr w:type="spellEnd"/>
      <w:r w:rsidRPr="00011802">
        <w:rPr>
          <w:rFonts w:ascii="Times New Roman" w:hAnsi="Times New Roman" w:cs="Times New Roman"/>
          <w:sz w:val="24"/>
          <w:szCs w:val="24"/>
        </w:rPr>
        <w:t xml:space="preserve"> </w:t>
      </w:r>
      <w:proofErr w:type="spellStart"/>
      <w:r w:rsidRPr="00011802">
        <w:rPr>
          <w:rFonts w:ascii="Times New Roman" w:hAnsi="Times New Roman" w:cs="Times New Roman"/>
          <w:sz w:val="24"/>
          <w:szCs w:val="24"/>
        </w:rPr>
        <w:t>indica</w:t>
      </w:r>
      <w:proofErr w:type="spellEnd"/>
      <w:r w:rsidRPr="00011802">
        <w:rPr>
          <w:rFonts w:ascii="Times New Roman" w:hAnsi="Times New Roman" w:cs="Times New Roman"/>
          <w:sz w:val="24"/>
          <w:szCs w:val="24"/>
        </w:rPr>
        <w:t xml:space="preserve"> L) </w:t>
      </w:r>
      <w:r w:rsidRPr="00011802">
        <w:rPr>
          <w:rFonts w:ascii="Times New Roman" w:hAnsi="Times New Roman" w:cs="Times New Roman"/>
          <w:sz w:val="24"/>
          <w:szCs w:val="24"/>
        </w:rPr>
        <w:lastRenderedPageBreak/>
        <w:t>under humid tropics," </w:t>
      </w:r>
      <w:r w:rsidRPr="00011802">
        <w:rPr>
          <w:rFonts w:ascii="Times New Roman" w:hAnsi="Times New Roman" w:cs="Times New Roman"/>
          <w:i/>
          <w:iCs/>
          <w:sz w:val="24"/>
          <w:szCs w:val="24"/>
        </w:rPr>
        <w:t>Pest Management in Horticultural Ecosystems</w:t>
      </w:r>
      <w:r w:rsidRPr="00011802">
        <w:rPr>
          <w:rFonts w:ascii="Times New Roman" w:hAnsi="Times New Roman" w:cs="Times New Roman"/>
          <w:sz w:val="24"/>
          <w:szCs w:val="24"/>
        </w:rPr>
        <w:t>, vol. 29, no. 2, pp. 227–232, 2023. </w:t>
      </w:r>
      <w:hyperlink r:id="rId15" w:tgtFrame="_blank" w:history="1">
        <w:r w:rsidRPr="00011802">
          <w:rPr>
            <w:rStyle w:val="Hyperlink"/>
            <w:rFonts w:ascii="Times New Roman" w:hAnsi="Times New Roman" w:cs="Times New Roman"/>
            <w:sz w:val="24"/>
            <w:szCs w:val="24"/>
          </w:rPr>
          <w:t>https://doi.org/10.5958/0974-4541.2023.00034.6</w:t>
        </w:r>
      </w:hyperlink>
    </w:p>
    <w:p w14:paraId="4BB91140" w14:textId="77777777" w:rsidR="00724A93" w:rsidRDefault="00011802" w:rsidP="00011802">
      <w:pPr>
        <w:pStyle w:val="ListParagraph"/>
        <w:numPr>
          <w:ilvl w:val="0"/>
          <w:numId w:val="2"/>
        </w:numPr>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[3] J. Martínez-</w:t>
      </w:r>
      <w:proofErr w:type="spellStart"/>
      <w:r w:rsidRPr="00011802">
        <w:rPr>
          <w:rFonts w:ascii="Times New Roman" w:hAnsi="Times New Roman" w:cs="Times New Roman"/>
          <w:sz w:val="24"/>
          <w:szCs w:val="24"/>
        </w:rPr>
        <w:t>Guanter</w:t>
      </w:r>
      <w:proofErr w:type="spellEnd"/>
      <w:r w:rsidRPr="00011802">
        <w:rPr>
          <w:rFonts w:ascii="Times New Roman" w:hAnsi="Times New Roman" w:cs="Times New Roman"/>
          <w:sz w:val="24"/>
          <w:szCs w:val="24"/>
        </w:rPr>
        <w:t xml:space="preserve">, P. </w:t>
      </w:r>
      <w:proofErr w:type="spellStart"/>
      <w:r w:rsidRPr="00011802">
        <w:rPr>
          <w:rFonts w:ascii="Times New Roman" w:hAnsi="Times New Roman" w:cs="Times New Roman"/>
          <w:sz w:val="24"/>
          <w:szCs w:val="24"/>
        </w:rPr>
        <w:t>Agüera</w:t>
      </w:r>
      <w:proofErr w:type="spellEnd"/>
      <w:r w:rsidRPr="00011802">
        <w:rPr>
          <w:rFonts w:ascii="Times New Roman" w:hAnsi="Times New Roman" w:cs="Times New Roman"/>
          <w:sz w:val="24"/>
          <w:szCs w:val="24"/>
        </w:rPr>
        <w:t xml:space="preserve">, J. </w:t>
      </w:r>
      <w:proofErr w:type="spellStart"/>
      <w:r w:rsidRPr="00011802">
        <w:rPr>
          <w:rFonts w:ascii="Times New Roman" w:hAnsi="Times New Roman" w:cs="Times New Roman"/>
          <w:sz w:val="24"/>
          <w:szCs w:val="24"/>
        </w:rPr>
        <w:t>Agüera</w:t>
      </w:r>
      <w:proofErr w:type="spellEnd"/>
      <w:r w:rsidRPr="00011802">
        <w:rPr>
          <w:rFonts w:ascii="Times New Roman" w:hAnsi="Times New Roman" w:cs="Times New Roman"/>
          <w:sz w:val="24"/>
          <w:szCs w:val="24"/>
        </w:rPr>
        <w:t>, and M. Pérez-Ruiz, "Spray and economics assessment of a UAV-based ultra-low-volume application in olive and citrus orchards," </w:t>
      </w:r>
      <w:r w:rsidRPr="00011802">
        <w:rPr>
          <w:rFonts w:ascii="Times New Roman" w:hAnsi="Times New Roman" w:cs="Times New Roman"/>
          <w:i/>
          <w:iCs/>
          <w:sz w:val="24"/>
          <w:szCs w:val="24"/>
        </w:rPr>
        <w:t>Precision Agriculture</w:t>
      </w:r>
      <w:r w:rsidRPr="00011802">
        <w:rPr>
          <w:rFonts w:ascii="Times New Roman" w:hAnsi="Times New Roman" w:cs="Times New Roman"/>
          <w:sz w:val="24"/>
          <w:szCs w:val="24"/>
        </w:rPr>
        <w:t>, vol. 21, pp. 226–243, 2020.</w:t>
      </w:r>
    </w:p>
    <w:p w14:paraId="6276E523" w14:textId="75154305" w:rsidR="00011802" w:rsidRPr="00011802" w:rsidRDefault="00011802" w:rsidP="00724A93">
      <w:pPr>
        <w:pStyle w:val="ListParagraph"/>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 </w:t>
      </w:r>
      <w:hyperlink r:id="rId16" w:tgtFrame="_blank" w:history="1">
        <w:r w:rsidRPr="00011802">
          <w:rPr>
            <w:rStyle w:val="Hyperlink"/>
            <w:rFonts w:ascii="Times New Roman" w:hAnsi="Times New Roman" w:cs="Times New Roman"/>
            <w:sz w:val="24"/>
            <w:szCs w:val="24"/>
          </w:rPr>
          <w:t>https://doi.org/10.1007/S11119-019-09665-7</w:t>
        </w:r>
      </w:hyperlink>
    </w:p>
    <w:p w14:paraId="4DF355FE" w14:textId="77777777" w:rsidR="00724A93" w:rsidRDefault="00011802" w:rsidP="00011802">
      <w:pPr>
        <w:pStyle w:val="ListParagraph"/>
        <w:numPr>
          <w:ilvl w:val="0"/>
          <w:numId w:val="2"/>
        </w:numPr>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 xml:space="preserve">[4] R. K. </w:t>
      </w:r>
      <w:proofErr w:type="spellStart"/>
      <w:r w:rsidRPr="00011802">
        <w:rPr>
          <w:rFonts w:ascii="Times New Roman" w:hAnsi="Times New Roman" w:cs="Times New Roman"/>
          <w:sz w:val="24"/>
          <w:szCs w:val="24"/>
        </w:rPr>
        <w:t>Sahni</w:t>
      </w:r>
      <w:proofErr w:type="spellEnd"/>
      <w:r w:rsidRPr="00011802">
        <w:rPr>
          <w:rFonts w:ascii="Times New Roman" w:hAnsi="Times New Roman" w:cs="Times New Roman"/>
          <w:sz w:val="24"/>
          <w:szCs w:val="24"/>
        </w:rPr>
        <w:t xml:space="preserve">, S. Kumar, D. </w:t>
      </w:r>
      <w:proofErr w:type="spellStart"/>
      <w:r w:rsidRPr="00011802">
        <w:rPr>
          <w:rFonts w:ascii="Times New Roman" w:hAnsi="Times New Roman" w:cs="Times New Roman"/>
          <w:sz w:val="24"/>
          <w:szCs w:val="24"/>
        </w:rPr>
        <w:t>Thorat</w:t>
      </w:r>
      <w:proofErr w:type="spellEnd"/>
      <w:r w:rsidRPr="00011802">
        <w:rPr>
          <w:rFonts w:ascii="Times New Roman" w:hAnsi="Times New Roman" w:cs="Times New Roman"/>
          <w:sz w:val="24"/>
          <w:szCs w:val="24"/>
        </w:rPr>
        <w:t xml:space="preserve">, Y. A. </w:t>
      </w:r>
      <w:proofErr w:type="spellStart"/>
      <w:r w:rsidRPr="00011802">
        <w:rPr>
          <w:rFonts w:ascii="Times New Roman" w:hAnsi="Times New Roman" w:cs="Times New Roman"/>
          <w:sz w:val="24"/>
          <w:szCs w:val="24"/>
        </w:rPr>
        <w:t>Rajwade</w:t>
      </w:r>
      <w:proofErr w:type="spellEnd"/>
      <w:r w:rsidRPr="00011802">
        <w:rPr>
          <w:rFonts w:ascii="Times New Roman" w:hAnsi="Times New Roman" w:cs="Times New Roman"/>
          <w:sz w:val="24"/>
          <w:szCs w:val="24"/>
        </w:rPr>
        <w:t>, and B. Jyoti, "Drone spraying system for efficient agrochemical application in precision agriculture," in </w:t>
      </w:r>
      <w:r w:rsidRPr="00011802">
        <w:rPr>
          <w:rFonts w:ascii="Times New Roman" w:hAnsi="Times New Roman" w:cs="Times New Roman"/>
          <w:i/>
          <w:iCs/>
          <w:sz w:val="24"/>
          <w:szCs w:val="24"/>
        </w:rPr>
        <w:t>Advances in Smart Farming</w:t>
      </w:r>
      <w:r w:rsidRPr="00011802">
        <w:rPr>
          <w:rFonts w:ascii="Times New Roman" w:hAnsi="Times New Roman" w:cs="Times New Roman"/>
          <w:sz w:val="24"/>
          <w:szCs w:val="24"/>
        </w:rPr>
        <w:t>, Springer, 2024, pp. 231–245.</w:t>
      </w:r>
    </w:p>
    <w:p w14:paraId="06414EF4" w14:textId="1604B729" w:rsidR="00011802" w:rsidRPr="00011802" w:rsidRDefault="00011802" w:rsidP="00724A93">
      <w:pPr>
        <w:pStyle w:val="ListParagraph"/>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 </w:t>
      </w:r>
      <w:hyperlink r:id="rId17" w:tgtFrame="_blank" w:history="1">
        <w:r w:rsidRPr="00011802">
          <w:rPr>
            <w:rStyle w:val="Hyperlink"/>
            <w:rFonts w:ascii="Times New Roman" w:hAnsi="Times New Roman" w:cs="Times New Roman"/>
            <w:sz w:val="24"/>
            <w:szCs w:val="24"/>
          </w:rPr>
          <w:t>https://doi.org/10.1007/978-981-99-8684-2_13</w:t>
        </w:r>
      </w:hyperlink>
    </w:p>
    <w:p w14:paraId="380E41F2" w14:textId="77777777" w:rsidR="00724A93" w:rsidRDefault="00011802" w:rsidP="00011802">
      <w:pPr>
        <w:pStyle w:val="ListParagraph"/>
        <w:numPr>
          <w:ilvl w:val="0"/>
          <w:numId w:val="2"/>
        </w:numPr>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 xml:space="preserve">[5] K. Wang and Y. </w:t>
      </w:r>
      <w:proofErr w:type="spellStart"/>
      <w:r w:rsidRPr="00011802">
        <w:rPr>
          <w:rFonts w:ascii="Times New Roman" w:hAnsi="Times New Roman" w:cs="Times New Roman"/>
          <w:sz w:val="24"/>
          <w:szCs w:val="24"/>
        </w:rPr>
        <w:t>Jin</w:t>
      </w:r>
      <w:proofErr w:type="spellEnd"/>
      <w:r w:rsidRPr="00011802">
        <w:rPr>
          <w:rFonts w:ascii="Times New Roman" w:hAnsi="Times New Roman" w:cs="Times New Roman"/>
          <w:sz w:val="24"/>
          <w:szCs w:val="24"/>
        </w:rPr>
        <w:t xml:space="preserve">, "Mapping walnut water stress with high resolution multispectral UAV imagery and machine learning," </w:t>
      </w:r>
      <w:proofErr w:type="spellStart"/>
      <w:r w:rsidRPr="00011802">
        <w:rPr>
          <w:rFonts w:ascii="Times New Roman" w:hAnsi="Times New Roman" w:cs="Times New Roman"/>
          <w:sz w:val="24"/>
          <w:szCs w:val="24"/>
        </w:rPr>
        <w:t>arXiv</w:t>
      </w:r>
      <w:proofErr w:type="spellEnd"/>
      <w:r w:rsidRPr="00011802">
        <w:rPr>
          <w:rFonts w:ascii="Times New Roman" w:hAnsi="Times New Roman" w:cs="Times New Roman"/>
          <w:sz w:val="24"/>
          <w:szCs w:val="24"/>
        </w:rPr>
        <w:t xml:space="preserve"> preprint, 2023.</w:t>
      </w:r>
    </w:p>
    <w:p w14:paraId="127E94F3" w14:textId="77C768D9" w:rsidR="00011802" w:rsidRPr="00011802" w:rsidRDefault="00011802" w:rsidP="00724A93">
      <w:pPr>
        <w:pStyle w:val="ListParagraph"/>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 </w:t>
      </w:r>
      <w:hyperlink r:id="rId18" w:tgtFrame="_blank" w:history="1">
        <w:r w:rsidRPr="00011802">
          <w:rPr>
            <w:rStyle w:val="Hyperlink"/>
            <w:rFonts w:ascii="Times New Roman" w:hAnsi="Times New Roman" w:cs="Times New Roman"/>
            <w:sz w:val="24"/>
            <w:szCs w:val="24"/>
          </w:rPr>
          <w:t>https://doi.org/10.48550/arxiv.2401.01375</w:t>
        </w:r>
      </w:hyperlink>
    </w:p>
    <w:p w14:paraId="01675ADB" w14:textId="77777777" w:rsidR="00724A93" w:rsidRDefault="00011802" w:rsidP="00011802">
      <w:pPr>
        <w:pStyle w:val="ListParagraph"/>
        <w:numPr>
          <w:ilvl w:val="0"/>
          <w:numId w:val="2"/>
        </w:numPr>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[6] Y. Yan, Y. Lan, G. Wang, M. Hussain, and H. Wang, "Evaluation of the deposition and distribution of spray droplets in citrus orchards by plant protection drones," </w:t>
      </w:r>
      <w:r w:rsidRPr="00011802">
        <w:rPr>
          <w:rFonts w:ascii="Times New Roman" w:hAnsi="Times New Roman" w:cs="Times New Roman"/>
          <w:i/>
          <w:iCs/>
          <w:sz w:val="24"/>
          <w:szCs w:val="24"/>
        </w:rPr>
        <w:t>Frontiers in Plant Science</w:t>
      </w:r>
      <w:r w:rsidRPr="00011802">
        <w:rPr>
          <w:rFonts w:ascii="Times New Roman" w:hAnsi="Times New Roman" w:cs="Times New Roman"/>
          <w:sz w:val="24"/>
          <w:szCs w:val="24"/>
        </w:rPr>
        <w:t>, vol. 14, 2023.</w:t>
      </w:r>
    </w:p>
    <w:p w14:paraId="1D24EB7F" w14:textId="65B239FC" w:rsidR="00011802" w:rsidRPr="00011802" w:rsidRDefault="00011802" w:rsidP="00724A93">
      <w:pPr>
        <w:pStyle w:val="ListParagraph"/>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 </w:t>
      </w:r>
      <w:hyperlink r:id="rId19" w:tgtFrame="_blank" w:history="1">
        <w:r w:rsidRPr="00011802">
          <w:rPr>
            <w:rStyle w:val="Hyperlink"/>
            <w:rFonts w:ascii="Times New Roman" w:hAnsi="Times New Roman" w:cs="Times New Roman"/>
            <w:sz w:val="24"/>
            <w:szCs w:val="24"/>
          </w:rPr>
          <w:t>https://doi.org/10.3389/fpls.2023.1303669</w:t>
        </w:r>
      </w:hyperlink>
    </w:p>
    <w:p w14:paraId="2C6B29F9" w14:textId="77777777" w:rsidR="00011802" w:rsidRPr="00011802" w:rsidRDefault="00011802" w:rsidP="00011802">
      <w:pPr>
        <w:pStyle w:val="ListParagraph"/>
        <w:numPr>
          <w:ilvl w:val="0"/>
          <w:numId w:val="2"/>
        </w:numPr>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[7] S. Jiang, B. Chen, W. Li, S. Yang, and Y. J. Zheng, "Stereoscopic plant-protection system integrating UAVs and autonomous ground sprayers for orchards," </w:t>
      </w:r>
      <w:r w:rsidRPr="00011802">
        <w:rPr>
          <w:rFonts w:ascii="Times New Roman" w:hAnsi="Times New Roman" w:cs="Times New Roman"/>
          <w:i/>
          <w:iCs/>
          <w:sz w:val="24"/>
          <w:szCs w:val="24"/>
        </w:rPr>
        <w:t>Frontiers in Plant Science</w:t>
      </w:r>
      <w:r w:rsidRPr="00011802">
        <w:rPr>
          <w:rFonts w:ascii="Times New Roman" w:hAnsi="Times New Roman" w:cs="Times New Roman"/>
          <w:sz w:val="24"/>
          <w:szCs w:val="24"/>
        </w:rPr>
        <w:t>, vol. 13, 2022. </w:t>
      </w:r>
      <w:hyperlink r:id="rId20" w:tgtFrame="_blank" w:history="1">
        <w:r w:rsidRPr="00011802">
          <w:rPr>
            <w:rStyle w:val="Hyperlink"/>
            <w:rFonts w:ascii="Times New Roman" w:hAnsi="Times New Roman" w:cs="Times New Roman"/>
            <w:sz w:val="24"/>
            <w:szCs w:val="24"/>
          </w:rPr>
          <w:t>https://doi.org/10.3389/fpls.2022.1040808</w:t>
        </w:r>
      </w:hyperlink>
    </w:p>
    <w:p w14:paraId="26361032" w14:textId="77777777" w:rsidR="00011802" w:rsidRPr="00011802" w:rsidRDefault="00011802" w:rsidP="00011802">
      <w:pPr>
        <w:pStyle w:val="ListParagraph"/>
        <w:numPr>
          <w:ilvl w:val="0"/>
          <w:numId w:val="2"/>
        </w:numPr>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[8] A. N. Vu, "Investigating droplet size and spraying span of pesticide drone," </w:t>
      </w:r>
      <w:proofErr w:type="spellStart"/>
      <w:r w:rsidRPr="00011802">
        <w:rPr>
          <w:rFonts w:ascii="Times New Roman" w:hAnsi="Times New Roman" w:cs="Times New Roman"/>
          <w:i/>
          <w:iCs/>
          <w:sz w:val="24"/>
          <w:szCs w:val="24"/>
        </w:rPr>
        <w:t>Tạp</w:t>
      </w:r>
      <w:proofErr w:type="spellEnd"/>
      <w:r w:rsidRPr="00011802">
        <w:rPr>
          <w:rFonts w:ascii="Times New Roman" w:hAnsi="Times New Roman" w:cs="Times New Roman"/>
          <w:i/>
          <w:iCs/>
          <w:sz w:val="24"/>
          <w:szCs w:val="24"/>
        </w:rPr>
        <w:t xml:space="preserve"> </w:t>
      </w:r>
      <w:proofErr w:type="spellStart"/>
      <w:r w:rsidRPr="00011802">
        <w:rPr>
          <w:rFonts w:ascii="Times New Roman" w:hAnsi="Times New Roman" w:cs="Times New Roman"/>
          <w:i/>
          <w:iCs/>
          <w:sz w:val="24"/>
          <w:szCs w:val="24"/>
        </w:rPr>
        <w:t>chí</w:t>
      </w:r>
      <w:proofErr w:type="spellEnd"/>
      <w:r w:rsidRPr="00011802">
        <w:rPr>
          <w:rFonts w:ascii="Times New Roman" w:hAnsi="Times New Roman" w:cs="Times New Roman"/>
          <w:i/>
          <w:iCs/>
          <w:sz w:val="24"/>
          <w:szCs w:val="24"/>
        </w:rPr>
        <w:t xml:space="preserve"> </w:t>
      </w:r>
      <w:proofErr w:type="spellStart"/>
      <w:r w:rsidRPr="00011802">
        <w:rPr>
          <w:rFonts w:ascii="Times New Roman" w:hAnsi="Times New Roman" w:cs="Times New Roman"/>
          <w:i/>
          <w:iCs/>
          <w:sz w:val="24"/>
          <w:szCs w:val="24"/>
        </w:rPr>
        <w:t>Phát</w:t>
      </w:r>
      <w:proofErr w:type="spellEnd"/>
      <w:r w:rsidRPr="00011802">
        <w:rPr>
          <w:rFonts w:ascii="Times New Roman" w:hAnsi="Times New Roman" w:cs="Times New Roman"/>
          <w:i/>
          <w:iCs/>
          <w:sz w:val="24"/>
          <w:szCs w:val="24"/>
        </w:rPr>
        <w:t xml:space="preserve"> </w:t>
      </w:r>
      <w:proofErr w:type="spellStart"/>
      <w:r w:rsidRPr="00011802">
        <w:rPr>
          <w:rFonts w:ascii="Times New Roman" w:hAnsi="Times New Roman" w:cs="Times New Roman"/>
          <w:i/>
          <w:iCs/>
          <w:sz w:val="24"/>
          <w:szCs w:val="24"/>
        </w:rPr>
        <w:t>triển</w:t>
      </w:r>
      <w:proofErr w:type="spellEnd"/>
      <w:r w:rsidRPr="00011802">
        <w:rPr>
          <w:rFonts w:ascii="Times New Roman" w:hAnsi="Times New Roman" w:cs="Times New Roman"/>
          <w:i/>
          <w:iCs/>
          <w:sz w:val="24"/>
          <w:szCs w:val="24"/>
        </w:rPr>
        <w:t xml:space="preserve"> khoa </w:t>
      </w:r>
      <w:proofErr w:type="spellStart"/>
      <w:r w:rsidRPr="00011802">
        <w:rPr>
          <w:rFonts w:ascii="Times New Roman" w:hAnsi="Times New Roman" w:cs="Times New Roman"/>
          <w:i/>
          <w:iCs/>
          <w:sz w:val="24"/>
          <w:szCs w:val="24"/>
        </w:rPr>
        <w:t>học</w:t>
      </w:r>
      <w:proofErr w:type="spellEnd"/>
      <w:r w:rsidRPr="00011802">
        <w:rPr>
          <w:rFonts w:ascii="Times New Roman" w:hAnsi="Times New Roman" w:cs="Times New Roman"/>
          <w:i/>
          <w:iCs/>
          <w:sz w:val="24"/>
          <w:szCs w:val="24"/>
        </w:rPr>
        <w:t xml:space="preserve"> &amp; </w:t>
      </w:r>
      <w:proofErr w:type="spellStart"/>
      <w:r w:rsidRPr="00011802">
        <w:rPr>
          <w:rFonts w:ascii="Times New Roman" w:hAnsi="Times New Roman" w:cs="Times New Roman"/>
          <w:i/>
          <w:iCs/>
          <w:sz w:val="24"/>
          <w:szCs w:val="24"/>
        </w:rPr>
        <w:t>công</w:t>
      </w:r>
      <w:proofErr w:type="spellEnd"/>
      <w:r w:rsidRPr="00011802">
        <w:rPr>
          <w:rFonts w:ascii="Times New Roman" w:hAnsi="Times New Roman" w:cs="Times New Roman"/>
          <w:i/>
          <w:iCs/>
          <w:sz w:val="24"/>
          <w:szCs w:val="24"/>
        </w:rPr>
        <w:t xml:space="preserve"> </w:t>
      </w:r>
      <w:proofErr w:type="spellStart"/>
      <w:r w:rsidRPr="00011802">
        <w:rPr>
          <w:rFonts w:ascii="Times New Roman" w:hAnsi="Times New Roman" w:cs="Times New Roman"/>
          <w:i/>
          <w:iCs/>
          <w:sz w:val="24"/>
          <w:szCs w:val="24"/>
        </w:rPr>
        <w:t>nghệ</w:t>
      </w:r>
      <w:proofErr w:type="spellEnd"/>
      <w:r w:rsidRPr="00011802">
        <w:rPr>
          <w:rFonts w:ascii="Times New Roman" w:hAnsi="Times New Roman" w:cs="Times New Roman"/>
          <w:i/>
          <w:iCs/>
          <w:sz w:val="24"/>
          <w:szCs w:val="24"/>
        </w:rPr>
        <w:t xml:space="preserve">: </w:t>
      </w:r>
      <w:proofErr w:type="spellStart"/>
      <w:r w:rsidRPr="00011802">
        <w:rPr>
          <w:rFonts w:ascii="Times New Roman" w:hAnsi="Times New Roman" w:cs="Times New Roman"/>
          <w:i/>
          <w:iCs/>
          <w:sz w:val="24"/>
          <w:szCs w:val="24"/>
        </w:rPr>
        <w:t>chuyên</w:t>
      </w:r>
      <w:proofErr w:type="spellEnd"/>
      <w:r w:rsidRPr="00011802">
        <w:rPr>
          <w:rFonts w:ascii="Times New Roman" w:hAnsi="Times New Roman" w:cs="Times New Roman"/>
          <w:i/>
          <w:iCs/>
          <w:sz w:val="24"/>
          <w:szCs w:val="24"/>
        </w:rPr>
        <w:t xml:space="preserve"> san </w:t>
      </w:r>
      <w:proofErr w:type="spellStart"/>
      <w:r w:rsidRPr="00011802">
        <w:rPr>
          <w:rFonts w:ascii="Times New Roman" w:hAnsi="Times New Roman" w:cs="Times New Roman"/>
          <w:i/>
          <w:iCs/>
          <w:sz w:val="24"/>
          <w:szCs w:val="24"/>
        </w:rPr>
        <w:t>Kỹ</w:t>
      </w:r>
      <w:proofErr w:type="spellEnd"/>
      <w:r w:rsidRPr="00011802">
        <w:rPr>
          <w:rFonts w:ascii="Times New Roman" w:hAnsi="Times New Roman" w:cs="Times New Roman"/>
          <w:i/>
          <w:iCs/>
          <w:sz w:val="24"/>
          <w:szCs w:val="24"/>
        </w:rPr>
        <w:t xml:space="preserve"> </w:t>
      </w:r>
      <w:proofErr w:type="spellStart"/>
      <w:r w:rsidRPr="00011802">
        <w:rPr>
          <w:rFonts w:ascii="Times New Roman" w:hAnsi="Times New Roman" w:cs="Times New Roman"/>
          <w:i/>
          <w:iCs/>
          <w:sz w:val="24"/>
          <w:szCs w:val="24"/>
        </w:rPr>
        <w:t>thuật</w:t>
      </w:r>
      <w:proofErr w:type="spellEnd"/>
      <w:r w:rsidRPr="00011802">
        <w:rPr>
          <w:rFonts w:ascii="Times New Roman" w:hAnsi="Times New Roman" w:cs="Times New Roman"/>
          <w:i/>
          <w:iCs/>
          <w:sz w:val="24"/>
          <w:szCs w:val="24"/>
        </w:rPr>
        <w:t xml:space="preserve"> &amp; </w:t>
      </w:r>
      <w:proofErr w:type="spellStart"/>
      <w:r w:rsidRPr="00011802">
        <w:rPr>
          <w:rFonts w:ascii="Times New Roman" w:hAnsi="Times New Roman" w:cs="Times New Roman"/>
          <w:i/>
          <w:iCs/>
          <w:sz w:val="24"/>
          <w:szCs w:val="24"/>
        </w:rPr>
        <w:t>Công</w:t>
      </w:r>
      <w:proofErr w:type="spellEnd"/>
      <w:r w:rsidRPr="00011802">
        <w:rPr>
          <w:rFonts w:ascii="Times New Roman" w:hAnsi="Times New Roman" w:cs="Times New Roman"/>
          <w:i/>
          <w:iCs/>
          <w:sz w:val="24"/>
          <w:szCs w:val="24"/>
        </w:rPr>
        <w:t xml:space="preserve"> </w:t>
      </w:r>
      <w:proofErr w:type="spellStart"/>
      <w:r w:rsidRPr="00011802">
        <w:rPr>
          <w:rFonts w:ascii="Times New Roman" w:hAnsi="Times New Roman" w:cs="Times New Roman"/>
          <w:i/>
          <w:iCs/>
          <w:sz w:val="24"/>
          <w:szCs w:val="24"/>
        </w:rPr>
        <w:t>nghệ</w:t>
      </w:r>
      <w:proofErr w:type="spellEnd"/>
      <w:r w:rsidRPr="00011802">
        <w:rPr>
          <w:rFonts w:ascii="Times New Roman" w:hAnsi="Times New Roman" w:cs="Times New Roman"/>
          <w:sz w:val="24"/>
          <w:szCs w:val="24"/>
        </w:rPr>
        <w:t>, vol. 5, no. 2, pp. 1234–1242, 2022. </w:t>
      </w:r>
      <w:hyperlink r:id="rId21" w:tgtFrame="_blank" w:history="1">
        <w:r w:rsidRPr="00011802">
          <w:rPr>
            <w:rStyle w:val="Hyperlink"/>
            <w:rFonts w:ascii="Times New Roman" w:hAnsi="Times New Roman" w:cs="Times New Roman"/>
            <w:sz w:val="24"/>
            <w:szCs w:val="24"/>
          </w:rPr>
          <w:t>https://doi.org/10.32508/stdjet.v5i2.966</w:t>
        </w:r>
      </w:hyperlink>
    </w:p>
    <w:p w14:paraId="50EF9FA3" w14:textId="77777777" w:rsidR="00724A93" w:rsidRDefault="00011802" w:rsidP="00011802">
      <w:pPr>
        <w:pStyle w:val="ListParagraph"/>
        <w:numPr>
          <w:ilvl w:val="0"/>
          <w:numId w:val="2"/>
        </w:numPr>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 xml:space="preserve">[9] Y. Chen, J. Xu, W. Zhang, S. </w:t>
      </w:r>
      <w:proofErr w:type="spellStart"/>
      <w:r w:rsidRPr="00011802">
        <w:rPr>
          <w:rFonts w:ascii="Times New Roman" w:hAnsi="Times New Roman" w:cs="Times New Roman"/>
          <w:sz w:val="24"/>
          <w:szCs w:val="24"/>
        </w:rPr>
        <w:t>Qiu</w:t>
      </w:r>
      <w:proofErr w:type="spellEnd"/>
      <w:r w:rsidRPr="00011802">
        <w:rPr>
          <w:rFonts w:ascii="Times New Roman" w:hAnsi="Times New Roman" w:cs="Times New Roman"/>
          <w:sz w:val="24"/>
          <w:szCs w:val="24"/>
        </w:rPr>
        <w:t>, and Y. Lan, "Identification of flowering rate of Litchi canopy based on UAV multispectral remote sensing images," </w:t>
      </w:r>
      <w:r w:rsidRPr="00011802">
        <w:rPr>
          <w:rFonts w:ascii="Times New Roman" w:hAnsi="Times New Roman" w:cs="Times New Roman"/>
          <w:i/>
          <w:iCs/>
          <w:sz w:val="24"/>
          <w:szCs w:val="24"/>
        </w:rPr>
        <w:t>International Journal of Precision Agricultural Aviation</w:t>
      </w:r>
      <w:r w:rsidRPr="00011802">
        <w:rPr>
          <w:rFonts w:ascii="Times New Roman" w:hAnsi="Times New Roman" w:cs="Times New Roman"/>
          <w:sz w:val="24"/>
          <w:szCs w:val="24"/>
        </w:rPr>
        <w:t>, vol. 5, no. 1, pp. 1–8, 2022.</w:t>
      </w:r>
    </w:p>
    <w:p w14:paraId="031826BC" w14:textId="0B36D0A9" w:rsidR="00011802" w:rsidRPr="00011802" w:rsidRDefault="00011802" w:rsidP="00724A93">
      <w:pPr>
        <w:pStyle w:val="ListParagraph"/>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 </w:t>
      </w:r>
      <w:hyperlink r:id="rId22" w:tgtFrame="_blank" w:history="1">
        <w:r w:rsidRPr="00011802">
          <w:rPr>
            <w:rStyle w:val="Hyperlink"/>
            <w:rFonts w:ascii="Times New Roman" w:hAnsi="Times New Roman" w:cs="Times New Roman"/>
            <w:sz w:val="24"/>
            <w:szCs w:val="24"/>
          </w:rPr>
          <w:t>https://doi.org/10.33440/j.ijpaa.20220501.189</w:t>
        </w:r>
      </w:hyperlink>
    </w:p>
    <w:p w14:paraId="5092A23C" w14:textId="77777777" w:rsidR="00011802" w:rsidRPr="00011802" w:rsidRDefault="00011802" w:rsidP="00011802">
      <w:pPr>
        <w:pStyle w:val="ListParagraph"/>
        <w:numPr>
          <w:ilvl w:val="0"/>
          <w:numId w:val="2"/>
        </w:numPr>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[10] R. Zhang, S. Lian, L. Li, L. Zhang, and C. Zhang, "Design and experiment of a binocular vision-based canopy volume extraction system for precision pesticide application by UAVs," </w:t>
      </w:r>
      <w:r w:rsidRPr="00011802">
        <w:rPr>
          <w:rFonts w:ascii="Times New Roman" w:hAnsi="Times New Roman" w:cs="Times New Roman"/>
          <w:i/>
          <w:iCs/>
          <w:sz w:val="24"/>
          <w:szCs w:val="24"/>
        </w:rPr>
        <w:t>Computers and Electronics in Agriculture</w:t>
      </w:r>
      <w:r w:rsidRPr="00011802">
        <w:rPr>
          <w:rFonts w:ascii="Times New Roman" w:hAnsi="Times New Roman" w:cs="Times New Roman"/>
          <w:sz w:val="24"/>
          <w:szCs w:val="24"/>
        </w:rPr>
        <w:t>, vol. 213, 2023. </w:t>
      </w:r>
      <w:hyperlink r:id="rId23" w:tgtFrame="_blank" w:history="1">
        <w:r w:rsidRPr="00011802">
          <w:rPr>
            <w:rStyle w:val="Hyperlink"/>
            <w:rFonts w:ascii="Times New Roman" w:hAnsi="Times New Roman" w:cs="Times New Roman"/>
            <w:sz w:val="24"/>
            <w:szCs w:val="24"/>
          </w:rPr>
          <w:t>https://doi.org/10.1016/j.compag.2023.108197</w:t>
        </w:r>
      </w:hyperlink>
    </w:p>
    <w:p w14:paraId="52EF3FFE" w14:textId="77777777" w:rsidR="00724A93" w:rsidRDefault="00011802" w:rsidP="00011802">
      <w:pPr>
        <w:pStyle w:val="ListParagraph"/>
        <w:numPr>
          <w:ilvl w:val="0"/>
          <w:numId w:val="2"/>
        </w:numPr>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 xml:space="preserve">[11] N. </w:t>
      </w:r>
      <w:proofErr w:type="spellStart"/>
      <w:r w:rsidRPr="00011802">
        <w:rPr>
          <w:rFonts w:ascii="Times New Roman" w:hAnsi="Times New Roman" w:cs="Times New Roman"/>
          <w:sz w:val="24"/>
          <w:szCs w:val="24"/>
        </w:rPr>
        <w:t>Bloise</w:t>
      </w:r>
      <w:proofErr w:type="spellEnd"/>
      <w:r w:rsidRPr="00011802">
        <w:rPr>
          <w:rFonts w:ascii="Times New Roman" w:hAnsi="Times New Roman" w:cs="Times New Roman"/>
          <w:sz w:val="24"/>
          <w:szCs w:val="24"/>
        </w:rPr>
        <w:t xml:space="preserve">, M. </w:t>
      </w:r>
      <w:proofErr w:type="spellStart"/>
      <w:r w:rsidRPr="00011802">
        <w:rPr>
          <w:rFonts w:ascii="Times New Roman" w:hAnsi="Times New Roman" w:cs="Times New Roman"/>
          <w:sz w:val="24"/>
          <w:szCs w:val="24"/>
        </w:rPr>
        <w:t>Carreno</w:t>
      </w:r>
      <w:proofErr w:type="spellEnd"/>
      <w:r w:rsidRPr="00011802">
        <w:rPr>
          <w:rFonts w:ascii="Times New Roman" w:hAnsi="Times New Roman" w:cs="Times New Roman"/>
          <w:sz w:val="24"/>
          <w:szCs w:val="24"/>
        </w:rPr>
        <w:t xml:space="preserve"> Ruiz, D. </w:t>
      </w:r>
      <w:proofErr w:type="spellStart"/>
      <w:r w:rsidRPr="00011802">
        <w:rPr>
          <w:rFonts w:ascii="Times New Roman" w:hAnsi="Times New Roman" w:cs="Times New Roman"/>
          <w:sz w:val="24"/>
          <w:szCs w:val="24"/>
        </w:rPr>
        <w:t>D'Ambrosio</w:t>
      </w:r>
      <w:proofErr w:type="spellEnd"/>
      <w:r w:rsidRPr="00011802">
        <w:rPr>
          <w:rFonts w:ascii="Times New Roman" w:hAnsi="Times New Roman" w:cs="Times New Roman"/>
          <w:sz w:val="24"/>
          <w:szCs w:val="24"/>
        </w:rPr>
        <w:t xml:space="preserve">, and G. </w:t>
      </w:r>
      <w:proofErr w:type="spellStart"/>
      <w:r w:rsidRPr="00011802">
        <w:rPr>
          <w:rFonts w:ascii="Times New Roman" w:hAnsi="Times New Roman" w:cs="Times New Roman"/>
          <w:sz w:val="24"/>
          <w:szCs w:val="24"/>
        </w:rPr>
        <w:t>Guglieri</w:t>
      </w:r>
      <w:proofErr w:type="spellEnd"/>
      <w:r w:rsidRPr="00011802">
        <w:rPr>
          <w:rFonts w:ascii="Times New Roman" w:hAnsi="Times New Roman" w:cs="Times New Roman"/>
          <w:sz w:val="24"/>
          <w:szCs w:val="24"/>
        </w:rPr>
        <w:t>, "Preliminary design of a remotely piloted aircraft system for crop-spraying on vineyards," in </w:t>
      </w:r>
      <w:r w:rsidRPr="00011802">
        <w:rPr>
          <w:rFonts w:ascii="Times New Roman" w:hAnsi="Times New Roman" w:cs="Times New Roman"/>
          <w:i/>
          <w:iCs/>
          <w:sz w:val="24"/>
          <w:szCs w:val="24"/>
        </w:rPr>
        <w:t xml:space="preserve">Proc. IEEE </w:t>
      </w:r>
      <w:proofErr w:type="spellStart"/>
      <w:r w:rsidRPr="00011802">
        <w:rPr>
          <w:rFonts w:ascii="Times New Roman" w:hAnsi="Times New Roman" w:cs="Times New Roman"/>
          <w:i/>
          <w:iCs/>
          <w:sz w:val="24"/>
          <w:szCs w:val="24"/>
        </w:rPr>
        <w:t>MetroAgriFor</w:t>
      </w:r>
      <w:r w:rsidR="003A49A6">
        <w:rPr>
          <w:rFonts w:ascii="Times New Roman" w:hAnsi="Times New Roman" w:cs="Times New Roman"/>
          <w:i/>
          <w:iCs/>
          <w:sz w:val="24"/>
          <w:szCs w:val="24"/>
        </w:rPr>
        <w:t>ss</w:t>
      </w:r>
      <w:proofErr w:type="spellEnd"/>
      <w:r w:rsidRPr="00011802">
        <w:rPr>
          <w:rFonts w:ascii="Times New Roman" w:hAnsi="Times New Roman" w:cs="Times New Roman"/>
          <w:sz w:val="24"/>
          <w:szCs w:val="24"/>
        </w:rPr>
        <w:t>, 2020, pp. 1–6</w:t>
      </w:r>
      <w:r w:rsidR="00724A93">
        <w:rPr>
          <w:rFonts w:ascii="Times New Roman" w:hAnsi="Times New Roman" w:cs="Times New Roman"/>
          <w:sz w:val="24"/>
          <w:szCs w:val="24"/>
        </w:rPr>
        <w:t>.</w:t>
      </w:r>
    </w:p>
    <w:p w14:paraId="2466AA86" w14:textId="03E713CD" w:rsidR="00011802" w:rsidRPr="00011802" w:rsidRDefault="00011802" w:rsidP="00724A93">
      <w:pPr>
        <w:pStyle w:val="ListParagraph"/>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lastRenderedPageBreak/>
        <w:t> </w:t>
      </w:r>
      <w:hyperlink r:id="rId24" w:tgtFrame="_blank" w:history="1">
        <w:r w:rsidRPr="00011802">
          <w:rPr>
            <w:rStyle w:val="Hyperlink"/>
            <w:rFonts w:ascii="Times New Roman" w:hAnsi="Times New Roman" w:cs="Times New Roman"/>
            <w:sz w:val="24"/>
            <w:szCs w:val="24"/>
          </w:rPr>
          <w:t>https://doi.org/10.1109/METROAGRIFOR50201.2020.9277607</w:t>
        </w:r>
      </w:hyperlink>
    </w:p>
    <w:p w14:paraId="4AB06E54" w14:textId="77777777" w:rsidR="00724A93" w:rsidRDefault="00011802" w:rsidP="00011802">
      <w:pPr>
        <w:pStyle w:val="ListParagraph"/>
        <w:numPr>
          <w:ilvl w:val="0"/>
          <w:numId w:val="2"/>
        </w:numPr>
        <w:spacing w:line="360" w:lineRule="auto"/>
        <w:jc w:val="both"/>
        <w:rPr>
          <w:rFonts w:ascii="Times New Roman" w:hAnsi="Times New Roman" w:cs="Times New Roman"/>
          <w:sz w:val="24"/>
          <w:szCs w:val="24"/>
        </w:rPr>
      </w:pPr>
      <w:r w:rsidRPr="00011802">
        <w:rPr>
          <w:rFonts w:ascii="Times New Roman" w:hAnsi="Times New Roman" w:cs="Times New Roman"/>
          <w:sz w:val="24"/>
          <w:szCs w:val="24"/>
        </w:rPr>
        <w:t xml:space="preserve">[12] A. </w:t>
      </w:r>
      <w:proofErr w:type="spellStart"/>
      <w:r w:rsidRPr="00011802">
        <w:rPr>
          <w:rFonts w:ascii="Times New Roman" w:hAnsi="Times New Roman" w:cs="Times New Roman"/>
          <w:sz w:val="24"/>
          <w:szCs w:val="24"/>
        </w:rPr>
        <w:t>Taseer</w:t>
      </w:r>
      <w:proofErr w:type="spellEnd"/>
      <w:r w:rsidRPr="00011802">
        <w:rPr>
          <w:rFonts w:ascii="Times New Roman" w:hAnsi="Times New Roman" w:cs="Times New Roman"/>
          <w:sz w:val="24"/>
          <w:szCs w:val="24"/>
        </w:rPr>
        <w:t>, "Advancements in variable rate spraying for precise spray requirements in precision agriculture using unmanned aerial spraying systems: A review," </w:t>
      </w:r>
      <w:r w:rsidRPr="00011802">
        <w:rPr>
          <w:rFonts w:ascii="Times New Roman" w:hAnsi="Times New Roman" w:cs="Times New Roman"/>
          <w:i/>
          <w:iCs/>
          <w:sz w:val="24"/>
          <w:szCs w:val="24"/>
        </w:rPr>
        <w:t>Computers and Electronics in Agriculture</w:t>
      </w:r>
      <w:r w:rsidRPr="00011802">
        <w:rPr>
          <w:rFonts w:ascii="Times New Roman" w:hAnsi="Times New Roman" w:cs="Times New Roman"/>
          <w:sz w:val="24"/>
          <w:szCs w:val="24"/>
        </w:rPr>
        <w:t>, vol. 219, 2024. </w:t>
      </w:r>
    </w:p>
    <w:p w14:paraId="11A88F2E" w14:textId="3228E3A7" w:rsidR="00011802" w:rsidRPr="00011802" w:rsidRDefault="00DE3AEF" w:rsidP="00724A93">
      <w:pPr>
        <w:pStyle w:val="ListParagraph"/>
        <w:spacing w:line="360" w:lineRule="auto"/>
        <w:jc w:val="both"/>
        <w:rPr>
          <w:rFonts w:ascii="Times New Roman" w:hAnsi="Times New Roman" w:cs="Times New Roman"/>
          <w:sz w:val="24"/>
          <w:szCs w:val="24"/>
        </w:rPr>
      </w:pPr>
      <w:hyperlink r:id="rId25" w:history="1">
        <w:r w:rsidR="00724A93" w:rsidRPr="00EF5159">
          <w:rPr>
            <w:rStyle w:val="Hyperlink"/>
            <w:rFonts w:ascii="Times New Roman" w:hAnsi="Times New Roman" w:cs="Times New Roman"/>
            <w:sz w:val="24"/>
            <w:szCs w:val="24"/>
          </w:rPr>
          <w:t>https://doi.org/10.1016/j.compag.2024.108841</w:t>
        </w:r>
      </w:hyperlink>
    </w:p>
    <w:p w14:paraId="0A89898B" w14:textId="0136EC3F" w:rsidR="00011802" w:rsidRPr="003E0D81" w:rsidRDefault="00011802" w:rsidP="00011802">
      <w:pPr>
        <w:pStyle w:val="ListParagraph"/>
        <w:numPr>
          <w:ilvl w:val="0"/>
          <w:numId w:val="2"/>
        </w:numPr>
        <w:spacing w:line="360" w:lineRule="auto"/>
        <w:jc w:val="both"/>
        <w:rPr>
          <w:rStyle w:val="Hyperlink"/>
          <w:rFonts w:ascii="Times New Roman" w:hAnsi="Times New Roman" w:cs="Times New Roman"/>
          <w:color w:val="auto"/>
          <w:sz w:val="24"/>
          <w:szCs w:val="24"/>
          <w:u w:val="none"/>
        </w:rPr>
      </w:pPr>
      <w:r w:rsidRPr="00011802">
        <w:rPr>
          <w:rFonts w:ascii="Times New Roman" w:hAnsi="Times New Roman" w:cs="Times New Roman"/>
          <w:sz w:val="24"/>
          <w:szCs w:val="24"/>
        </w:rPr>
        <w:t>[13] M. Ni, H. Wang, X. Liu, Y. Liao, and L. Fu, "Design of variable spray system for plant protection UAV based on CFD simulation and regression analysis," </w:t>
      </w:r>
      <w:r w:rsidRPr="00011802">
        <w:rPr>
          <w:rFonts w:ascii="Times New Roman" w:hAnsi="Times New Roman" w:cs="Times New Roman"/>
          <w:i/>
          <w:iCs/>
          <w:sz w:val="24"/>
          <w:szCs w:val="24"/>
        </w:rPr>
        <w:t>Sensors</w:t>
      </w:r>
      <w:r w:rsidRPr="00011802">
        <w:rPr>
          <w:rFonts w:ascii="Times New Roman" w:hAnsi="Times New Roman" w:cs="Times New Roman"/>
          <w:sz w:val="24"/>
          <w:szCs w:val="24"/>
        </w:rPr>
        <w:t>, vol. 21, no. 2, 2021. </w:t>
      </w:r>
      <w:hyperlink r:id="rId26" w:tgtFrame="_blank" w:history="1">
        <w:r w:rsidRPr="00011802">
          <w:rPr>
            <w:rStyle w:val="Hyperlink"/>
            <w:rFonts w:ascii="Times New Roman" w:hAnsi="Times New Roman" w:cs="Times New Roman"/>
            <w:sz w:val="24"/>
            <w:szCs w:val="24"/>
          </w:rPr>
          <w:t>https://doi.org/10.3390/S21020638</w:t>
        </w:r>
      </w:hyperlink>
    </w:p>
    <w:p w14:paraId="3311DF8A" w14:textId="5342C64C" w:rsidR="003E0D81" w:rsidRDefault="003E0D81" w:rsidP="00011802">
      <w:pPr>
        <w:pStyle w:val="ListParagraph"/>
        <w:numPr>
          <w:ilvl w:val="0"/>
          <w:numId w:val="2"/>
        </w:numPr>
        <w:spacing w:line="360" w:lineRule="auto"/>
        <w:jc w:val="both"/>
        <w:rPr>
          <w:rFonts w:ascii="Times New Roman" w:hAnsi="Times New Roman" w:cs="Times New Roman"/>
          <w:sz w:val="24"/>
          <w:szCs w:val="24"/>
        </w:rPr>
      </w:pPr>
      <w:r w:rsidRPr="003E0D81">
        <w:rPr>
          <w:rFonts w:ascii="Times New Roman" w:hAnsi="Times New Roman" w:cs="Times New Roman"/>
          <w:sz w:val="24"/>
          <w:szCs w:val="24"/>
        </w:rPr>
        <w:t>Li, Y., Han, L., Liu, L., Huang, Z., Wang, C., &amp; He, X. (2023). Design and spray performance evaluation of an air–ground cooperation stereoscopic plant protection system for mango orchards. Agronomy, 13(8), 2007.</w:t>
      </w:r>
    </w:p>
    <w:p w14:paraId="43BE271A" w14:textId="79DE9921" w:rsidR="003E0D81" w:rsidRPr="00011802" w:rsidRDefault="003E0D81" w:rsidP="00011802">
      <w:pPr>
        <w:pStyle w:val="ListParagraph"/>
        <w:numPr>
          <w:ilvl w:val="0"/>
          <w:numId w:val="2"/>
        </w:numPr>
        <w:spacing w:line="360" w:lineRule="auto"/>
        <w:jc w:val="both"/>
        <w:rPr>
          <w:rFonts w:ascii="Times New Roman" w:hAnsi="Times New Roman" w:cs="Times New Roman"/>
          <w:sz w:val="24"/>
          <w:szCs w:val="24"/>
        </w:rPr>
      </w:pPr>
      <w:r w:rsidRPr="003E0D81">
        <w:rPr>
          <w:rFonts w:ascii="Times New Roman" w:hAnsi="Times New Roman" w:cs="Times New Roman"/>
          <w:sz w:val="24"/>
          <w:szCs w:val="24"/>
        </w:rPr>
        <w:t>Wang, J., Lan, X., Chen, P., Liang, Q., Liao, J., &amp; Ma, C. (2024). Field evaluation of spray quality and environmental risks of unmanned aerial spray systems in mango orchards. Crop Protection, 182, 106718.</w:t>
      </w:r>
    </w:p>
    <w:p w14:paraId="596E44F4" w14:textId="77777777" w:rsidR="00011802" w:rsidRPr="00173EBC" w:rsidRDefault="00011802" w:rsidP="00011802"/>
    <w:p w14:paraId="65A84184" w14:textId="77777777" w:rsidR="00011802" w:rsidRPr="00311417" w:rsidRDefault="00011802" w:rsidP="00011802">
      <w:pPr>
        <w:ind w:left="720"/>
        <w:jc w:val="both"/>
        <w:rPr>
          <w:rFonts w:ascii="Times New Roman" w:hAnsi="Times New Roman" w:cs="Times New Roman"/>
          <w:sz w:val="24"/>
          <w:szCs w:val="24"/>
        </w:rPr>
      </w:pPr>
    </w:p>
    <w:sectPr w:rsidR="00011802" w:rsidRPr="0031141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A8E75" w14:textId="77777777" w:rsidR="00DE3AEF" w:rsidRDefault="00DE3AEF" w:rsidP="00C47E70">
      <w:pPr>
        <w:spacing w:after="0" w:line="240" w:lineRule="auto"/>
      </w:pPr>
      <w:r>
        <w:separator/>
      </w:r>
    </w:p>
  </w:endnote>
  <w:endnote w:type="continuationSeparator" w:id="0">
    <w:p w14:paraId="34823593" w14:textId="77777777" w:rsidR="00DE3AEF" w:rsidRDefault="00DE3AEF" w:rsidP="00C4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FAD4A" w14:textId="77777777" w:rsidR="00D41EA7" w:rsidRDefault="00D41E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95F16" w14:textId="6AB51A93" w:rsidR="00D41EA7" w:rsidRDefault="00D41EA7" w:rsidP="00CA66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90C4B" w14:textId="77777777" w:rsidR="00D41EA7" w:rsidRDefault="00D41E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3DF67" w14:textId="77777777" w:rsidR="00DE3AEF" w:rsidRDefault="00DE3AEF" w:rsidP="00C47E70">
      <w:pPr>
        <w:spacing w:after="0" w:line="240" w:lineRule="auto"/>
      </w:pPr>
      <w:r>
        <w:separator/>
      </w:r>
    </w:p>
  </w:footnote>
  <w:footnote w:type="continuationSeparator" w:id="0">
    <w:p w14:paraId="38BE4B54" w14:textId="77777777" w:rsidR="00DE3AEF" w:rsidRDefault="00DE3AEF" w:rsidP="00C4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6967A" w14:textId="5C6D6DDD" w:rsidR="00D41EA7" w:rsidRDefault="00DE3AEF">
    <w:pPr>
      <w:pStyle w:val="Header"/>
    </w:pPr>
    <w:r>
      <w:rPr>
        <w:noProof/>
      </w:rPr>
      <w:pict w14:anchorId="0D359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40E2C" w14:textId="786ED586" w:rsidR="00D41EA7" w:rsidRDefault="00DE3AEF">
    <w:pPr>
      <w:pStyle w:val="Header"/>
    </w:pPr>
    <w:r>
      <w:rPr>
        <w:noProof/>
      </w:rPr>
      <w:pict w14:anchorId="13993A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95A34" w14:textId="1430C620" w:rsidR="00D41EA7" w:rsidRDefault="00DE3AEF">
    <w:pPr>
      <w:pStyle w:val="Header"/>
    </w:pPr>
    <w:r>
      <w:rPr>
        <w:noProof/>
      </w:rPr>
      <w:pict w14:anchorId="321CC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12334C"/>
    <w:multiLevelType w:val="multilevel"/>
    <w:tmpl w:val="62BE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E46375"/>
    <w:multiLevelType w:val="multilevel"/>
    <w:tmpl w:val="B9545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MwtjQzMzUzMTExNTZS0lEKTi0uzszPAykwrAUApMIQ+iwAAAA="/>
  </w:docVars>
  <w:rsids>
    <w:rsidRoot w:val="00311417"/>
    <w:rsid w:val="00011802"/>
    <w:rsid w:val="00054A48"/>
    <w:rsid w:val="00075ED7"/>
    <w:rsid w:val="000A49BF"/>
    <w:rsid w:val="000F3D23"/>
    <w:rsid w:val="000F6434"/>
    <w:rsid w:val="00111AF8"/>
    <w:rsid w:val="0015388A"/>
    <w:rsid w:val="00174FC8"/>
    <w:rsid w:val="001A6741"/>
    <w:rsid w:val="001C7EF8"/>
    <w:rsid w:val="001E2FF3"/>
    <w:rsid w:val="0022009D"/>
    <w:rsid w:val="00266F06"/>
    <w:rsid w:val="002877BB"/>
    <w:rsid w:val="002D0008"/>
    <w:rsid w:val="00311417"/>
    <w:rsid w:val="003145C7"/>
    <w:rsid w:val="00327E05"/>
    <w:rsid w:val="003A49A6"/>
    <w:rsid w:val="003A68CB"/>
    <w:rsid w:val="003D2A6F"/>
    <w:rsid w:val="003E0D81"/>
    <w:rsid w:val="003F534A"/>
    <w:rsid w:val="00401AAE"/>
    <w:rsid w:val="004515D4"/>
    <w:rsid w:val="0047651A"/>
    <w:rsid w:val="00476C2B"/>
    <w:rsid w:val="00482751"/>
    <w:rsid w:val="004C10CB"/>
    <w:rsid w:val="00513434"/>
    <w:rsid w:val="005329C6"/>
    <w:rsid w:val="00542309"/>
    <w:rsid w:val="00547862"/>
    <w:rsid w:val="00550667"/>
    <w:rsid w:val="00554A66"/>
    <w:rsid w:val="00594A25"/>
    <w:rsid w:val="005D4C98"/>
    <w:rsid w:val="005E092E"/>
    <w:rsid w:val="00683573"/>
    <w:rsid w:val="006A538D"/>
    <w:rsid w:val="006E45E5"/>
    <w:rsid w:val="006E5AE9"/>
    <w:rsid w:val="007012B4"/>
    <w:rsid w:val="00705E55"/>
    <w:rsid w:val="00714D20"/>
    <w:rsid w:val="00724A93"/>
    <w:rsid w:val="00745F43"/>
    <w:rsid w:val="0079705F"/>
    <w:rsid w:val="007B5676"/>
    <w:rsid w:val="007D3024"/>
    <w:rsid w:val="00805741"/>
    <w:rsid w:val="00840B27"/>
    <w:rsid w:val="0088490D"/>
    <w:rsid w:val="008B682D"/>
    <w:rsid w:val="008F00EA"/>
    <w:rsid w:val="00922142"/>
    <w:rsid w:val="009254E4"/>
    <w:rsid w:val="009739E5"/>
    <w:rsid w:val="00A379C6"/>
    <w:rsid w:val="00A45585"/>
    <w:rsid w:val="00A61C5E"/>
    <w:rsid w:val="00A643F8"/>
    <w:rsid w:val="00AC01FC"/>
    <w:rsid w:val="00B03BB1"/>
    <w:rsid w:val="00B6286C"/>
    <w:rsid w:val="00BB4CA7"/>
    <w:rsid w:val="00C47E70"/>
    <w:rsid w:val="00C75FA5"/>
    <w:rsid w:val="00C837C5"/>
    <w:rsid w:val="00CA6674"/>
    <w:rsid w:val="00CD4502"/>
    <w:rsid w:val="00CE3497"/>
    <w:rsid w:val="00CF6590"/>
    <w:rsid w:val="00D05BC0"/>
    <w:rsid w:val="00D35F40"/>
    <w:rsid w:val="00D41EA7"/>
    <w:rsid w:val="00D47CF5"/>
    <w:rsid w:val="00D931F9"/>
    <w:rsid w:val="00DA5BED"/>
    <w:rsid w:val="00DC5796"/>
    <w:rsid w:val="00DE3AEF"/>
    <w:rsid w:val="00E467A3"/>
    <w:rsid w:val="00E63C08"/>
    <w:rsid w:val="00EE6BAC"/>
    <w:rsid w:val="00EF474F"/>
    <w:rsid w:val="00F354EA"/>
    <w:rsid w:val="00FA1FB8"/>
    <w:rsid w:val="00FB117B"/>
    <w:rsid w:val="00FC3356"/>
    <w:rsid w:val="00FE78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ECAF27"/>
  <w15:chartTrackingRefBased/>
  <w15:docId w15:val="{3D0E7A52-3A1B-4A65-8C45-B8FB1F1B1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14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14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14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14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14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14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14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14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14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4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14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14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14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14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14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14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14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1417"/>
    <w:rPr>
      <w:rFonts w:eastAsiaTheme="majorEastAsia" w:cstheme="majorBidi"/>
      <w:color w:val="272727" w:themeColor="text1" w:themeTint="D8"/>
    </w:rPr>
  </w:style>
  <w:style w:type="paragraph" w:styleId="Title">
    <w:name w:val="Title"/>
    <w:basedOn w:val="Normal"/>
    <w:next w:val="Normal"/>
    <w:link w:val="TitleChar"/>
    <w:uiPriority w:val="10"/>
    <w:qFormat/>
    <w:rsid w:val="003114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14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14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14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1417"/>
    <w:pPr>
      <w:spacing w:before="160"/>
      <w:jc w:val="center"/>
    </w:pPr>
    <w:rPr>
      <w:i/>
      <w:iCs/>
      <w:color w:val="404040" w:themeColor="text1" w:themeTint="BF"/>
    </w:rPr>
  </w:style>
  <w:style w:type="character" w:customStyle="1" w:styleId="QuoteChar">
    <w:name w:val="Quote Char"/>
    <w:basedOn w:val="DefaultParagraphFont"/>
    <w:link w:val="Quote"/>
    <w:uiPriority w:val="29"/>
    <w:rsid w:val="00311417"/>
    <w:rPr>
      <w:i/>
      <w:iCs/>
      <w:color w:val="404040" w:themeColor="text1" w:themeTint="BF"/>
    </w:rPr>
  </w:style>
  <w:style w:type="paragraph" w:styleId="ListParagraph">
    <w:name w:val="List Paragraph"/>
    <w:basedOn w:val="Normal"/>
    <w:uiPriority w:val="34"/>
    <w:qFormat/>
    <w:rsid w:val="00311417"/>
    <w:pPr>
      <w:ind w:left="720"/>
      <w:contextualSpacing/>
    </w:pPr>
  </w:style>
  <w:style w:type="character" w:styleId="IntenseEmphasis">
    <w:name w:val="Intense Emphasis"/>
    <w:basedOn w:val="DefaultParagraphFont"/>
    <w:uiPriority w:val="21"/>
    <w:qFormat/>
    <w:rsid w:val="00311417"/>
    <w:rPr>
      <w:i/>
      <w:iCs/>
      <w:color w:val="2F5496" w:themeColor="accent1" w:themeShade="BF"/>
    </w:rPr>
  </w:style>
  <w:style w:type="paragraph" w:styleId="IntenseQuote">
    <w:name w:val="Intense Quote"/>
    <w:basedOn w:val="Normal"/>
    <w:next w:val="Normal"/>
    <w:link w:val="IntenseQuoteChar"/>
    <w:uiPriority w:val="30"/>
    <w:qFormat/>
    <w:rsid w:val="003114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1417"/>
    <w:rPr>
      <w:i/>
      <w:iCs/>
      <w:color w:val="2F5496" w:themeColor="accent1" w:themeShade="BF"/>
    </w:rPr>
  </w:style>
  <w:style w:type="character" w:styleId="IntenseReference">
    <w:name w:val="Intense Reference"/>
    <w:basedOn w:val="DefaultParagraphFont"/>
    <w:uiPriority w:val="32"/>
    <w:qFormat/>
    <w:rsid w:val="00311417"/>
    <w:rPr>
      <w:b/>
      <w:bCs/>
      <w:smallCaps/>
      <w:color w:val="2F5496" w:themeColor="accent1" w:themeShade="BF"/>
      <w:spacing w:val="5"/>
    </w:rPr>
  </w:style>
  <w:style w:type="character" w:styleId="Hyperlink">
    <w:name w:val="Hyperlink"/>
    <w:basedOn w:val="DefaultParagraphFont"/>
    <w:uiPriority w:val="99"/>
    <w:unhideWhenUsed/>
    <w:rsid w:val="00311417"/>
    <w:rPr>
      <w:color w:val="0563C1" w:themeColor="hyperlink"/>
      <w:u w:val="single"/>
    </w:rPr>
  </w:style>
  <w:style w:type="character" w:styleId="UnresolvedMention">
    <w:name w:val="Unresolved Mention"/>
    <w:basedOn w:val="DefaultParagraphFont"/>
    <w:uiPriority w:val="99"/>
    <w:semiHidden/>
    <w:unhideWhenUsed/>
    <w:rsid w:val="00311417"/>
    <w:rPr>
      <w:color w:val="605E5C"/>
      <w:shd w:val="clear" w:color="auto" w:fill="E1DFDD"/>
    </w:rPr>
  </w:style>
  <w:style w:type="paragraph" w:styleId="Header">
    <w:name w:val="header"/>
    <w:basedOn w:val="Normal"/>
    <w:link w:val="HeaderChar"/>
    <w:uiPriority w:val="99"/>
    <w:unhideWhenUsed/>
    <w:rsid w:val="00C47E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E70"/>
  </w:style>
  <w:style w:type="paragraph" w:styleId="Footer">
    <w:name w:val="footer"/>
    <w:basedOn w:val="Normal"/>
    <w:link w:val="FooterChar"/>
    <w:uiPriority w:val="99"/>
    <w:unhideWhenUsed/>
    <w:rsid w:val="00C47E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E70"/>
  </w:style>
  <w:style w:type="character" w:styleId="FollowedHyperlink">
    <w:name w:val="FollowedHyperlink"/>
    <w:basedOn w:val="DefaultParagraphFont"/>
    <w:uiPriority w:val="99"/>
    <w:semiHidden/>
    <w:unhideWhenUsed/>
    <w:rsid w:val="00BB4C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0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48550/arxiv.2401.01375" TargetMode="External"/><Relationship Id="rId26" Type="http://schemas.openxmlformats.org/officeDocument/2006/relationships/hyperlink" Target="https://doi.org/10.3390/S21020638" TargetMode="External"/><Relationship Id="rId3" Type="http://schemas.openxmlformats.org/officeDocument/2006/relationships/styles" Target="styles.xml"/><Relationship Id="rId21" Type="http://schemas.openxmlformats.org/officeDocument/2006/relationships/hyperlink" Target="https://doi.org/10.32508/stdjet.v5i2.96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07/978-981-99-8684-2_13" TargetMode="External"/><Relationship Id="rId25" Type="http://schemas.openxmlformats.org/officeDocument/2006/relationships/hyperlink" Target="https://doi.org/10.1016/j.compag.2024.10884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07/S11119-019-09665-7" TargetMode="External"/><Relationship Id="rId20" Type="http://schemas.openxmlformats.org/officeDocument/2006/relationships/hyperlink" Target="https://doi.org/10.3389/fpls.2022.104080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09/METROAGRIFOR50201.2020.9277607"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5958/0974-4541.2023.00034.6" TargetMode="External"/><Relationship Id="rId23" Type="http://schemas.openxmlformats.org/officeDocument/2006/relationships/hyperlink" Target="https://doi.org/10.1016/j.compag.2023.108197"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3389/fpls.2023.1303669"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978-3-030-04657-6_4" TargetMode="External"/><Relationship Id="rId22" Type="http://schemas.openxmlformats.org/officeDocument/2006/relationships/hyperlink" Target="https://doi.org/10.33440/j.ijpaa.20220501.189"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3E248-72A9-4266-BA61-8D190C4C3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3355</Words>
  <Characters>19124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Prem V</dc:creator>
  <cp:keywords/>
  <dc:description/>
  <cp:lastModifiedBy>SDI 1020</cp:lastModifiedBy>
  <cp:revision>18</cp:revision>
  <dcterms:created xsi:type="dcterms:W3CDTF">2026-02-17T11:34:00Z</dcterms:created>
  <dcterms:modified xsi:type="dcterms:W3CDTF">2026-02-20T05:43:00Z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6cb45431-842d-4402-8d5d-8dc39cab1a6d</vt:lpwstr>
  </property>
  <property fmtid="{D5CDD505-2E9C-101B-9397-08002B2CF9AE}" pid="3" name="Classification">
    <vt:lpwstr>TAFE_R3STR1CT3D</vt:lpwstr>
  </property>
  <property fmtid="{D5CDD505-2E9C-101B-9397-08002B2CF9AE}" pid="4" name="VisualMarkings">
    <vt:lpwstr>None</vt:lpwstr>
  </property>
</Properties>
</file>