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E0A40" w14:textId="01AB20F6" w:rsidR="001E337C" w:rsidRPr="004C16A0" w:rsidRDefault="008E26AE" w:rsidP="00CA1F5D">
      <w:pPr>
        <w:jc w:val="both"/>
        <w:rPr>
          <w:rFonts w:ascii="Arial" w:hAnsi="Arial" w:cs="Arial"/>
          <w:b/>
          <w:bCs/>
        </w:rPr>
      </w:pPr>
      <w:bookmarkStart w:id="0" w:name="_GoBack"/>
      <w:r w:rsidRPr="00F07EA0">
        <w:rPr>
          <w:rFonts w:ascii="Arial" w:hAnsi="Arial" w:cs="Arial"/>
          <w:b/>
          <w:bCs/>
          <w:highlight w:val="yellow"/>
        </w:rPr>
        <w:t xml:space="preserve">Biocontrol-Based Eco-Friendly Management of </w:t>
      </w:r>
      <w:r w:rsidRPr="00F07EA0">
        <w:rPr>
          <w:rFonts w:ascii="Arial" w:hAnsi="Arial" w:cs="Arial"/>
          <w:b/>
          <w:bCs/>
          <w:i/>
          <w:highlight w:val="yellow"/>
        </w:rPr>
        <w:t>Fusarium</w:t>
      </w:r>
      <w:r w:rsidRPr="00F07EA0">
        <w:rPr>
          <w:rFonts w:ascii="Arial" w:hAnsi="Arial" w:cs="Arial"/>
          <w:b/>
          <w:bCs/>
          <w:highlight w:val="yellow"/>
        </w:rPr>
        <w:t xml:space="preserve"> Wilt in Carnation: A Review</w:t>
      </w:r>
    </w:p>
    <w:bookmarkEnd w:id="0"/>
    <w:p w14:paraId="78F0B959" w14:textId="77777777" w:rsidR="008E26AE" w:rsidRPr="004C16A0" w:rsidRDefault="008E26AE" w:rsidP="00CA1F5D">
      <w:pPr>
        <w:jc w:val="both"/>
        <w:rPr>
          <w:rFonts w:ascii="Arial" w:hAnsi="Arial" w:cs="Arial"/>
        </w:rPr>
      </w:pPr>
    </w:p>
    <w:p w14:paraId="13533748" w14:textId="45018D42" w:rsidR="004C16A0" w:rsidRPr="004C16A0" w:rsidRDefault="004C16A0" w:rsidP="00CA1F5D">
      <w:pPr>
        <w:pStyle w:val="NormalWeb"/>
        <w:jc w:val="both"/>
        <w:rPr>
          <w:rFonts w:ascii="Arial" w:hAnsi="Arial" w:cs="Arial"/>
          <w:sz w:val="22"/>
          <w:szCs w:val="22"/>
        </w:rPr>
      </w:pPr>
      <w:r w:rsidRPr="004C16A0">
        <w:rPr>
          <w:rStyle w:val="Strong"/>
          <w:rFonts w:ascii="Arial" w:eastAsiaTheme="majorEastAsia" w:hAnsi="Arial" w:cs="Arial"/>
          <w:sz w:val="22"/>
          <w:szCs w:val="22"/>
        </w:rPr>
        <w:t>Abstract</w:t>
      </w:r>
      <w:r w:rsidRPr="004C16A0">
        <w:rPr>
          <w:rFonts w:ascii="Arial" w:hAnsi="Arial" w:cs="Arial"/>
          <w:sz w:val="22"/>
          <w:szCs w:val="22"/>
        </w:rPr>
        <w:br/>
      </w:r>
      <w:r w:rsidR="00CA1F5D" w:rsidRPr="00F07EA0">
        <w:rPr>
          <w:highlight w:val="yellow"/>
        </w:rPr>
        <w:t xml:space="preserve">Biocontrol-based eco-friendly management is not merely the substitution of a chemical input with a microbial product. Rather, it involves aligning multiple biological mechanisms—competition for nutrients and infection sites, antibiosis, mycoparasitism, modification of the rhizosphere microbiome, and plant </w:t>
      </w:r>
      <w:proofErr w:type="spellStart"/>
      <w:r w:rsidR="00CA1F5D" w:rsidRPr="00F07EA0">
        <w:rPr>
          <w:highlight w:val="yellow"/>
        </w:rPr>
        <w:t>defense</w:t>
      </w:r>
      <w:proofErr w:type="spellEnd"/>
      <w:r w:rsidR="00CA1F5D" w:rsidRPr="00F07EA0">
        <w:rPr>
          <w:highlight w:val="yellow"/>
        </w:rPr>
        <w:t xml:space="preserve"> priming—within the specific constraints of carnation production systems.</w:t>
      </w:r>
      <w:r w:rsidR="00CA1F5D" w:rsidRPr="00F07EA0">
        <w:rPr>
          <w:rFonts w:ascii="Arial" w:hAnsi="Arial" w:cs="Arial"/>
          <w:sz w:val="52"/>
          <w14:ligatures w14:val="none"/>
        </w:rPr>
        <w:t xml:space="preserve"> </w:t>
      </w:r>
      <w:r w:rsidRPr="00954179">
        <w:rPr>
          <w:rFonts w:ascii="Arial" w:hAnsi="Arial" w:cs="Arial"/>
          <w:i/>
          <w:sz w:val="22"/>
          <w:szCs w:val="22"/>
        </w:rPr>
        <w:t>Fusarium</w:t>
      </w:r>
      <w:r w:rsidRPr="004C16A0">
        <w:rPr>
          <w:rFonts w:ascii="Arial" w:hAnsi="Arial" w:cs="Arial"/>
          <w:sz w:val="22"/>
          <w:szCs w:val="22"/>
        </w:rPr>
        <w:t xml:space="preserve"> wilt of carnation (</w:t>
      </w:r>
      <w:r w:rsidRPr="00CA1F5D">
        <w:rPr>
          <w:rFonts w:ascii="Arial" w:hAnsi="Arial" w:cs="Arial"/>
          <w:i/>
          <w:sz w:val="22"/>
          <w:szCs w:val="22"/>
        </w:rPr>
        <w:t xml:space="preserve">Dianthus </w:t>
      </w:r>
      <w:proofErr w:type="spellStart"/>
      <w:r w:rsidRPr="00CA1F5D">
        <w:rPr>
          <w:rFonts w:ascii="Arial" w:hAnsi="Arial" w:cs="Arial"/>
          <w:i/>
          <w:sz w:val="22"/>
          <w:szCs w:val="22"/>
        </w:rPr>
        <w:t>caryophyllus</w:t>
      </w:r>
      <w:proofErr w:type="spellEnd"/>
      <w:r w:rsidRPr="004C16A0">
        <w:rPr>
          <w:rFonts w:ascii="Arial" w:hAnsi="Arial" w:cs="Arial"/>
          <w:sz w:val="22"/>
          <w:szCs w:val="22"/>
        </w:rPr>
        <w:t xml:space="preserve"> L.), caused by </w:t>
      </w:r>
      <w:r w:rsidRPr="004C16A0">
        <w:rPr>
          <w:rStyle w:val="Emphasis"/>
          <w:rFonts w:ascii="Arial" w:eastAsiaTheme="majorEastAsia" w:hAnsi="Arial" w:cs="Arial"/>
          <w:sz w:val="22"/>
          <w:szCs w:val="22"/>
        </w:rPr>
        <w:t xml:space="preserve">Fusarium </w:t>
      </w:r>
      <w:proofErr w:type="spellStart"/>
      <w:r w:rsidRPr="004C16A0">
        <w:rPr>
          <w:rStyle w:val="Emphasis"/>
          <w:rFonts w:ascii="Arial" w:eastAsiaTheme="majorEastAsia" w:hAnsi="Arial" w:cs="Arial"/>
          <w:sz w:val="22"/>
          <w:szCs w:val="22"/>
        </w:rPr>
        <w:t>oxysporum</w:t>
      </w:r>
      <w:proofErr w:type="spellEnd"/>
      <w:r w:rsidRPr="004C16A0">
        <w:rPr>
          <w:rFonts w:ascii="Arial" w:hAnsi="Arial" w:cs="Arial"/>
          <w:sz w:val="22"/>
          <w:szCs w:val="22"/>
        </w:rPr>
        <w:t xml:space="preserve"> f. sp. </w:t>
      </w:r>
      <w:proofErr w:type="spellStart"/>
      <w:r w:rsidRPr="004C16A0">
        <w:rPr>
          <w:rStyle w:val="Emphasis"/>
          <w:rFonts w:ascii="Arial" w:eastAsiaTheme="majorEastAsia" w:hAnsi="Arial" w:cs="Arial"/>
          <w:sz w:val="22"/>
          <w:szCs w:val="22"/>
        </w:rPr>
        <w:t>dianthi</w:t>
      </w:r>
      <w:proofErr w:type="spellEnd"/>
      <w:r w:rsidRPr="004C16A0">
        <w:rPr>
          <w:rFonts w:ascii="Arial" w:hAnsi="Arial" w:cs="Arial"/>
          <w:sz w:val="22"/>
          <w:szCs w:val="22"/>
        </w:rPr>
        <w:t xml:space="preserve"> (</w:t>
      </w:r>
      <w:proofErr w:type="spellStart"/>
      <w:r w:rsidRPr="004C16A0">
        <w:rPr>
          <w:rFonts w:ascii="Arial" w:hAnsi="Arial" w:cs="Arial"/>
          <w:sz w:val="22"/>
          <w:szCs w:val="22"/>
        </w:rPr>
        <w:t>Fod</w:t>
      </w:r>
      <w:proofErr w:type="spellEnd"/>
      <w:r w:rsidRPr="004C16A0">
        <w:rPr>
          <w:rFonts w:ascii="Arial" w:hAnsi="Arial" w:cs="Arial"/>
          <w:sz w:val="22"/>
          <w:szCs w:val="22"/>
        </w:rPr>
        <w:t xml:space="preserve">), remains one of the most destructive constraints in commercial carnation cultivation, particularly under intensive protected production where soil fatigue, repeated monoculture, and high inoculum pressure amplify losses. Conventional control historically relied on soil disinfestation and fungicides, but environmental concerns, regulatory restrictions, and inconsistent field performance have accelerated interest in eco-friendly biocontrol solutions. This review synthesizes advances in biological and microbiome-informed management of carnation Fusarium wilt, with emphasis on antagonistic fungi (notably </w:t>
      </w:r>
      <w:r w:rsidRPr="004C16A0">
        <w:rPr>
          <w:rStyle w:val="Emphasis"/>
          <w:rFonts w:ascii="Arial" w:eastAsiaTheme="majorEastAsia" w:hAnsi="Arial" w:cs="Arial"/>
          <w:sz w:val="22"/>
          <w:szCs w:val="22"/>
        </w:rPr>
        <w:t>Trichoderma</w:t>
      </w:r>
      <w:r w:rsidRPr="004C16A0">
        <w:rPr>
          <w:rFonts w:ascii="Arial" w:hAnsi="Arial" w:cs="Arial"/>
          <w:sz w:val="22"/>
          <w:szCs w:val="22"/>
        </w:rPr>
        <w:t xml:space="preserve"> spp.), plant growth–promoting rhizobacteria (PGPR) including </w:t>
      </w:r>
      <w:r w:rsidRPr="004C16A0">
        <w:rPr>
          <w:rStyle w:val="Emphasis"/>
          <w:rFonts w:ascii="Arial" w:eastAsiaTheme="majorEastAsia" w:hAnsi="Arial" w:cs="Arial"/>
          <w:sz w:val="22"/>
          <w:szCs w:val="22"/>
        </w:rPr>
        <w:t>Pseudomonas</w:t>
      </w:r>
      <w:r w:rsidRPr="004C16A0">
        <w:rPr>
          <w:rFonts w:ascii="Arial" w:hAnsi="Arial" w:cs="Arial"/>
          <w:sz w:val="22"/>
          <w:szCs w:val="22"/>
        </w:rPr>
        <w:t xml:space="preserve"> and </w:t>
      </w:r>
      <w:r w:rsidRPr="004C16A0">
        <w:rPr>
          <w:rStyle w:val="Emphasis"/>
          <w:rFonts w:ascii="Arial" w:eastAsiaTheme="majorEastAsia" w:hAnsi="Arial" w:cs="Arial"/>
          <w:sz w:val="22"/>
          <w:szCs w:val="22"/>
        </w:rPr>
        <w:t>Bacillus</w:t>
      </w:r>
      <w:r w:rsidRPr="004C16A0">
        <w:rPr>
          <w:rFonts w:ascii="Arial" w:hAnsi="Arial" w:cs="Arial"/>
          <w:sz w:val="22"/>
          <w:szCs w:val="22"/>
        </w:rPr>
        <w:t xml:space="preserve">, suppressive composts and organic amendments, and the strategic use of </w:t>
      </w:r>
      <w:r w:rsidR="00CA1F5D" w:rsidRPr="004C16A0">
        <w:rPr>
          <w:rFonts w:ascii="Arial" w:hAnsi="Arial" w:cs="Arial"/>
          <w:sz w:val="22"/>
          <w:szCs w:val="22"/>
        </w:rPr>
        <w:t>non-pathogenic</w:t>
      </w:r>
      <w:r w:rsidRPr="004C16A0">
        <w:rPr>
          <w:rFonts w:ascii="Arial" w:hAnsi="Arial" w:cs="Arial"/>
          <w:sz w:val="22"/>
          <w:szCs w:val="22"/>
        </w:rPr>
        <w:t xml:space="preserve"> </w:t>
      </w:r>
      <w:r w:rsidRPr="004C16A0">
        <w:rPr>
          <w:rStyle w:val="Emphasis"/>
          <w:rFonts w:ascii="Arial" w:eastAsiaTheme="majorEastAsia" w:hAnsi="Arial" w:cs="Arial"/>
          <w:sz w:val="22"/>
          <w:szCs w:val="22"/>
        </w:rPr>
        <w:t>Fusarium</w:t>
      </w:r>
      <w:r w:rsidRPr="004C16A0">
        <w:rPr>
          <w:rFonts w:ascii="Arial" w:hAnsi="Arial" w:cs="Arial"/>
          <w:sz w:val="22"/>
          <w:szCs w:val="22"/>
        </w:rPr>
        <w:t xml:space="preserve"> strains. We evaluate evidence for key modes of action—competition, antibiosis, mycoparasitism, induced systemic resistance/priming, interference with pathogen virulence, and engineered suppressiveness through substrates and microbial consortia. Carnation-specific studies demonstrate that compost-based media and targeted </w:t>
      </w:r>
      <w:r w:rsidRPr="004C16A0">
        <w:rPr>
          <w:rStyle w:val="Emphasis"/>
          <w:rFonts w:ascii="Arial" w:eastAsiaTheme="majorEastAsia" w:hAnsi="Arial" w:cs="Arial"/>
          <w:sz w:val="22"/>
          <w:szCs w:val="22"/>
        </w:rPr>
        <w:t>Trichoderma</w:t>
      </w:r>
      <w:r w:rsidRPr="004C16A0">
        <w:rPr>
          <w:rFonts w:ascii="Arial" w:hAnsi="Arial" w:cs="Arial"/>
          <w:sz w:val="22"/>
          <w:szCs w:val="22"/>
        </w:rPr>
        <w:t xml:space="preserve"> selections can markedly reduce disease, while population genetic tools and race diagnostics enable more rational deployment of biocontrol and host resistance. The review also highlights formulation and delivery constraints unique to ornamental systems, including propagation-stage interventions, substrate microbiology, and compatibility with fertigation and hygiene protocols. Finally, we propose a framework for integrated, residue-</w:t>
      </w:r>
      <w:r w:rsidR="00F07EA0" w:rsidRPr="00F07EA0">
        <w:rPr>
          <w:rFonts w:ascii="Arial" w:hAnsi="Arial" w:cs="Arial"/>
          <w:sz w:val="22"/>
          <w:szCs w:val="22"/>
          <w:highlight w:val="yellow"/>
        </w:rPr>
        <w:t xml:space="preserve">minimising </w:t>
      </w:r>
      <w:r w:rsidRPr="00F07EA0">
        <w:rPr>
          <w:rFonts w:ascii="Arial" w:hAnsi="Arial" w:cs="Arial"/>
          <w:sz w:val="22"/>
          <w:szCs w:val="22"/>
          <w:highlight w:val="yellow"/>
        </w:rPr>
        <w:t>management</w:t>
      </w:r>
      <w:r w:rsidRPr="004C16A0">
        <w:rPr>
          <w:rFonts w:ascii="Arial" w:hAnsi="Arial" w:cs="Arial"/>
          <w:sz w:val="22"/>
          <w:szCs w:val="22"/>
        </w:rPr>
        <w:t xml:space="preserve"> that combines clean planting material, diagnostic surveillance, suppressive substrates, and robust microbial products tailored to </w:t>
      </w:r>
      <w:proofErr w:type="spellStart"/>
      <w:r w:rsidRPr="004C16A0">
        <w:rPr>
          <w:rFonts w:ascii="Arial" w:hAnsi="Arial" w:cs="Arial"/>
          <w:sz w:val="22"/>
          <w:szCs w:val="22"/>
        </w:rPr>
        <w:t>Fod</w:t>
      </w:r>
      <w:proofErr w:type="spellEnd"/>
      <w:r w:rsidRPr="004C16A0">
        <w:rPr>
          <w:rFonts w:ascii="Arial" w:hAnsi="Arial" w:cs="Arial"/>
          <w:sz w:val="22"/>
          <w:szCs w:val="22"/>
        </w:rPr>
        <w:t xml:space="preserve"> population structure and production ecology.</w:t>
      </w:r>
    </w:p>
    <w:p w14:paraId="7A7C8105" w14:textId="77777777" w:rsidR="004C16A0" w:rsidRPr="004C16A0" w:rsidRDefault="004C16A0" w:rsidP="00CA1F5D">
      <w:pPr>
        <w:pStyle w:val="NormalWeb"/>
        <w:jc w:val="both"/>
        <w:rPr>
          <w:rFonts w:ascii="Arial" w:hAnsi="Arial" w:cs="Arial"/>
          <w:sz w:val="22"/>
          <w:szCs w:val="22"/>
        </w:rPr>
      </w:pPr>
      <w:r w:rsidRPr="004C16A0">
        <w:rPr>
          <w:rStyle w:val="Strong"/>
          <w:rFonts w:ascii="Arial" w:eastAsiaTheme="majorEastAsia" w:hAnsi="Arial" w:cs="Arial"/>
          <w:sz w:val="22"/>
          <w:szCs w:val="22"/>
        </w:rPr>
        <w:t>Keywords</w:t>
      </w:r>
      <w:r w:rsidRPr="004C16A0">
        <w:rPr>
          <w:rFonts w:ascii="Arial" w:hAnsi="Arial" w:cs="Arial"/>
          <w:sz w:val="22"/>
          <w:szCs w:val="22"/>
        </w:rPr>
        <w:t xml:space="preserve">: </w:t>
      </w:r>
      <w:r w:rsidRPr="004C16A0">
        <w:rPr>
          <w:rStyle w:val="Emphasis"/>
          <w:rFonts w:ascii="Arial" w:eastAsiaTheme="majorEastAsia" w:hAnsi="Arial" w:cs="Arial"/>
          <w:sz w:val="22"/>
          <w:szCs w:val="22"/>
        </w:rPr>
        <w:t xml:space="preserve">Dianthus </w:t>
      </w:r>
      <w:proofErr w:type="spellStart"/>
      <w:r w:rsidRPr="004C16A0">
        <w:rPr>
          <w:rStyle w:val="Emphasis"/>
          <w:rFonts w:ascii="Arial" w:eastAsiaTheme="majorEastAsia" w:hAnsi="Arial" w:cs="Arial"/>
          <w:sz w:val="22"/>
          <w:szCs w:val="22"/>
        </w:rPr>
        <w:t>caryophyllus</w:t>
      </w:r>
      <w:proofErr w:type="spellEnd"/>
      <w:r w:rsidRPr="004C16A0">
        <w:rPr>
          <w:rFonts w:ascii="Arial" w:hAnsi="Arial" w:cs="Arial"/>
          <w:sz w:val="22"/>
          <w:szCs w:val="22"/>
        </w:rPr>
        <w:t xml:space="preserve">; </w:t>
      </w:r>
      <w:r w:rsidRPr="004C16A0">
        <w:rPr>
          <w:rStyle w:val="Emphasis"/>
          <w:rFonts w:ascii="Arial" w:eastAsiaTheme="majorEastAsia" w:hAnsi="Arial" w:cs="Arial"/>
          <w:sz w:val="22"/>
          <w:szCs w:val="22"/>
        </w:rPr>
        <w:t xml:space="preserve">Fusarium </w:t>
      </w:r>
      <w:proofErr w:type="spellStart"/>
      <w:r w:rsidRPr="004C16A0">
        <w:rPr>
          <w:rStyle w:val="Emphasis"/>
          <w:rFonts w:ascii="Arial" w:eastAsiaTheme="majorEastAsia" w:hAnsi="Arial" w:cs="Arial"/>
          <w:sz w:val="22"/>
          <w:szCs w:val="22"/>
        </w:rPr>
        <w:t>oxysporum</w:t>
      </w:r>
      <w:proofErr w:type="spellEnd"/>
      <w:r w:rsidRPr="004C16A0">
        <w:rPr>
          <w:rFonts w:ascii="Arial" w:hAnsi="Arial" w:cs="Arial"/>
          <w:sz w:val="22"/>
          <w:szCs w:val="22"/>
        </w:rPr>
        <w:t xml:space="preserve"> f. sp. </w:t>
      </w:r>
      <w:proofErr w:type="spellStart"/>
      <w:r w:rsidRPr="004C16A0">
        <w:rPr>
          <w:rStyle w:val="Emphasis"/>
          <w:rFonts w:ascii="Arial" w:eastAsiaTheme="majorEastAsia" w:hAnsi="Arial" w:cs="Arial"/>
          <w:sz w:val="22"/>
          <w:szCs w:val="22"/>
        </w:rPr>
        <w:t>dianthi</w:t>
      </w:r>
      <w:proofErr w:type="spellEnd"/>
      <w:r w:rsidRPr="004C16A0">
        <w:rPr>
          <w:rFonts w:ascii="Arial" w:hAnsi="Arial" w:cs="Arial"/>
          <w:sz w:val="22"/>
          <w:szCs w:val="22"/>
        </w:rPr>
        <w:t xml:space="preserve">; biological control; </w:t>
      </w:r>
      <w:r w:rsidRPr="004C16A0">
        <w:rPr>
          <w:rStyle w:val="Emphasis"/>
          <w:rFonts w:ascii="Arial" w:eastAsiaTheme="majorEastAsia" w:hAnsi="Arial" w:cs="Arial"/>
          <w:sz w:val="22"/>
          <w:szCs w:val="22"/>
        </w:rPr>
        <w:t>Trichoderma</w:t>
      </w:r>
      <w:r w:rsidRPr="004C16A0">
        <w:rPr>
          <w:rFonts w:ascii="Arial" w:hAnsi="Arial" w:cs="Arial"/>
          <w:sz w:val="22"/>
          <w:szCs w:val="22"/>
        </w:rPr>
        <w:t>; PGPR; compost suppressiveness; induced systemic resistance; microbiome; integrated disease management</w:t>
      </w:r>
    </w:p>
    <w:p w14:paraId="7583A571"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 Introduction</w:t>
      </w:r>
    </w:p>
    <w:p w14:paraId="61BD1B61" w14:textId="6794E6C7" w:rsidR="00547529" w:rsidRPr="004C16A0" w:rsidRDefault="00547529" w:rsidP="00547529">
      <w:pPr>
        <w:spacing w:before="100" w:beforeAutospacing="1" w:after="100" w:afterAutospacing="1" w:line="240" w:lineRule="auto"/>
        <w:jc w:val="both"/>
        <w:rPr>
          <w:rFonts w:ascii="Arial" w:eastAsia="Times New Roman" w:hAnsi="Arial" w:cs="Arial"/>
          <w:kern w:val="0"/>
          <w:lang w:eastAsia="en-IN"/>
          <w14:ligatures w14:val="none"/>
        </w:rPr>
      </w:pPr>
      <w:r w:rsidRPr="00F07EA0">
        <w:rPr>
          <w:rFonts w:ascii="Arial" w:hAnsi="Arial" w:cs="Arial"/>
          <w:color w:val="222222"/>
          <w:sz w:val="20"/>
          <w:szCs w:val="20"/>
          <w:highlight w:val="yellow"/>
          <w:shd w:val="clear" w:color="auto" w:fill="FFFFFF"/>
        </w:rPr>
        <w:t xml:space="preserve">Horticultural crops are an important source of income with high nutritional, medicinal, and industrial significance. Farmers’ adaptation to horticultural farming has significantly increased in recent times because of the huge demand, substantial income, and technological advancement. Agriculture and economic diversification can be accelerated via horticulture </w:t>
      </w:r>
      <w:proofErr w:type="spellStart"/>
      <w:r w:rsidRPr="00F07EA0">
        <w:rPr>
          <w:rFonts w:ascii="Arial" w:hAnsi="Arial" w:cs="Arial"/>
          <w:color w:val="222222"/>
          <w:sz w:val="20"/>
          <w:szCs w:val="20"/>
          <w:highlight w:val="yellow"/>
          <w:shd w:val="clear" w:color="auto" w:fill="FFFFFF"/>
        </w:rPr>
        <w:t>farmin</w:t>
      </w:r>
      <w:proofErr w:type="spellEnd"/>
      <w:r w:rsidRPr="00F07EA0">
        <w:rPr>
          <w:rFonts w:ascii="Arial" w:hAnsi="Arial" w:cs="Arial"/>
          <w:color w:val="222222"/>
          <w:sz w:val="20"/>
          <w:szCs w:val="20"/>
          <w:highlight w:val="yellow"/>
          <w:shd w:val="clear" w:color="auto" w:fill="FFFFFF"/>
        </w:rPr>
        <w:t>. However, the production of horticulture crops is affected by both biotic and abiotic stresses</w:t>
      </w:r>
      <w:r>
        <w:rPr>
          <w:rFonts w:ascii="Arial" w:hAnsi="Arial" w:cs="Arial"/>
          <w:color w:val="222222"/>
          <w:sz w:val="20"/>
          <w:szCs w:val="20"/>
          <w:highlight w:val="yellow"/>
          <w:shd w:val="clear" w:color="auto" w:fill="FFFFFF"/>
        </w:rPr>
        <w:t xml:space="preserve"> (</w:t>
      </w:r>
      <w:r w:rsidRPr="00F07EA0">
        <w:rPr>
          <w:rFonts w:ascii="Helvetica" w:hAnsi="Helvetica" w:cs="Helvetica"/>
          <w:color w:val="222222"/>
          <w:sz w:val="18"/>
          <w:szCs w:val="18"/>
          <w:highlight w:val="yellow"/>
          <w:shd w:val="clear" w:color="auto" w:fill="FFFFFF"/>
        </w:rPr>
        <w:t>Tyagi et al., 2024</w:t>
      </w:r>
      <w:r w:rsidRPr="00547529">
        <w:rPr>
          <w:rFonts w:ascii="Arial" w:hAnsi="Arial" w:cs="Arial"/>
          <w:color w:val="222222"/>
          <w:sz w:val="20"/>
          <w:szCs w:val="20"/>
          <w:highlight w:val="yellow"/>
          <w:shd w:val="clear" w:color="auto" w:fill="FFFFFF"/>
        </w:rPr>
        <w:t>)</w:t>
      </w:r>
      <w:r w:rsidRPr="00F07EA0">
        <w:rPr>
          <w:rFonts w:ascii="Arial" w:hAnsi="Arial" w:cs="Arial"/>
          <w:color w:val="222222"/>
          <w:sz w:val="20"/>
          <w:szCs w:val="20"/>
          <w:highlight w:val="yellow"/>
          <w:shd w:val="clear" w:color="auto" w:fill="FFFFFF"/>
        </w:rPr>
        <w:t xml:space="preserve">. Among them, </w:t>
      </w:r>
      <w:r w:rsidR="004C16A0" w:rsidRPr="00F07EA0">
        <w:rPr>
          <w:rFonts w:ascii="Arial" w:eastAsia="Times New Roman" w:hAnsi="Arial" w:cs="Arial"/>
          <w:kern w:val="0"/>
          <w:highlight w:val="yellow"/>
          <w:lang w:eastAsia="en-IN"/>
          <w14:ligatures w14:val="none"/>
        </w:rPr>
        <w:t xml:space="preserve">Fusarium wilt of carnation, caused by </w:t>
      </w:r>
      <w:r w:rsidR="004C16A0" w:rsidRPr="00F07EA0">
        <w:rPr>
          <w:rFonts w:ascii="Arial" w:eastAsia="Times New Roman" w:hAnsi="Arial" w:cs="Arial"/>
          <w:i/>
          <w:iCs/>
          <w:kern w:val="0"/>
          <w:highlight w:val="yellow"/>
          <w:lang w:eastAsia="en-IN"/>
          <w14:ligatures w14:val="none"/>
        </w:rPr>
        <w:t xml:space="preserve">Fusarium </w:t>
      </w:r>
      <w:proofErr w:type="spellStart"/>
      <w:r w:rsidR="004C16A0" w:rsidRPr="00F07EA0">
        <w:rPr>
          <w:rFonts w:ascii="Arial" w:eastAsia="Times New Roman" w:hAnsi="Arial" w:cs="Arial"/>
          <w:i/>
          <w:iCs/>
          <w:kern w:val="0"/>
          <w:highlight w:val="yellow"/>
          <w:lang w:eastAsia="en-IN"/>
          <w14:ligatures w14:val="none"/>
        </w:rPr>
        <w:t>oxysporum</w:t>
      </w:r>
      <w:proofErr w:type="spellEnd"/>
      <w:r w:rsidR="004C16A0" w:rsidRPr="00F07EA0">
        <w:rPr>
          <w:rFonts w:ascii="Arial" w:eastAsia="Times New Roman" w:hAnsi="Arial" w:cs="Arial"/>
          <w:kern w:val="0"/>
          <w:highlight w:val="yellow"/>
          <w:lang w:eastAsia="en-IN"/>
          <w14:ligatures w14:val="none"/>
        </w:rPr>
        <w:t xml:space="preserve"> f. sp. </w:t>
      </w:r>
      <w:proofErr w:type="spellStart"/>
      <w:r w:rsidR="004C16A0" w:rsidRPr="00F07EA0">
        <w:rPr>
          <w:rFonts w:ascii="Arial" w:eastAsia="Times New Roman" w:hAnsi="Arial" w:cs="Arial"/>
          <w:i/>
          <w:iCs/>
          <w:kern w:val="0"/>
          <w:highlight w:val="yellow"/>
          <w:lang w:eastAsia="en-IN"/>
          <w14:ligatures w14:val="none"/>
        </w:rPr>
        <w:t>dianthi</w:t>
      </w:r>
      <w:proofErr w:type="spellEnd"/>
      <w:r w:rsidR="004C16A0" w:rsidRPr="00F07EA0">
        <w:rPr>
          <w:rFonts w:ascii="Arial" w:eastAsia="Times New Roman" w:hAnsi="Arial" w:cs="Arial"/>
          <w:kern w:val="0"/>
          <w:highlight w:val="yellow"/>
          <w:lang w:eastAsia="en-IN"/>
          <w14:ligatures w14:val="none"/>
        </w:rPr>
        <w:t xml:space="preserve"> (</w:t>
      </w:r>
      <w:proofErr w:type="spellStart"/>
      <w:r w:rsidR="004C16A0" w:rsidRPr="00F07EA0">
        <w:rPr>
          <w:rFonts w:ascii="Arial" w:eastAsia="Times New Roman" w:hAnsi="Arial" w:cs="Arial"/>
          <w:kern w:val="0"/>
          <w:highlight w:val="yellow"/>
          <w:lang w:eastAsia="en-IN"/>
          <w14:ligatures w14:val="none"/>
        </w:rPr>
        <w:t>Fod</w:t>
      </w:r>
      <w:proofErr w:type="spellEnd"/>
      <w:r w:rsidR="004C16A0" w:rsidRPr="00F07EA0">
        <w:rPr>
          <w:rFonts w:ascii="Arial" w:eastAsia="Times New Roman" w:hAnsi="Arial" w:cs="Arial"/>
          <w:kern w:val="0"/>
          <w:highlight w:val="yellow"/>
          <w:lang w:eastAsia="en-IN"/>
          <w14:ligatures w14:val="none"/>
        </w:rPr>
        <w:t>), is a classic soilborne vascular wilt that continues to challenge</w:t>
      </w:r>
      <w:r w:rsidR="004C16A0" w:rsidRPr="004C16A0">
        <w:rPr>
          <w:rFonts w:ascii="Arial" w:eastAsia="Times New Roman" w:hAnsi="Arial" w:cs="Arial"/>
          <w:kern w:val="0"/>
          <w:lang w:eastAsia="en-IN"/>
          <w14:ligatures w14:val="none"/>
        </w:rPr>
        <w:t xml:space="preserve"> high-value cut-flower production. Carnation is typically cultivated intensively under protected environments, where successive cropping and reuse of benches, substrates, and irrigation infrastructure create conditions </w:t>
      </w:r>
      <w:proofErr w:type="spellStart"/>
      <w:r w:rsidR="004C16A0" w:rsidRPr="004C16A0">
        <w:rPr>
          <w:rFonts w:ascii="Arial" w:eastAsia="Times New Roman" w:hAnsi="Arial" w:cs="Arial"/>
          <w:kern w:val="0"/>
          <w:lang w:eastAsia="en-IN"/>
          <w14:ligatures w14:val="none"/>
        </w:rPr>
        <w:t>favorable</w:t>
      </w:r>
      <w:proofErr w:type="spellEnd"/>
      <w:r w:rsidR="004C16A0" w:rsidRPr="004C16A0">
        <w:rPr>
          <w:rFonts w:ascii="Arial" w:eastAsia="Times New Roman" w:hAnsi="Arial" w:cs="Arial"/>
          <w:kern w:val="0"/>
          <w:lang w:eastAsia="en-IN"/>
          <w14:ligatures w14:val="none"/>
        </w:rPr>
        <w:t xml:space="preserve"> for inoculum persistence and rapid epidemic development. </w:t>
      </w:r>
      <w:r w:rsidR="00F07EA0">
        <w:rPr>
          <w:rFonts w:ascii="Arial" w:eastAsia="Times New Roman" w:hAnsi="Arial" w:cs="Arial"/>
          <w:kern w:val="0"/>
          <w:lang w:eastAsia="en-IN"/>
          <w14:ligatures w14:val="none"/>
        </w:rPr>
        <w:t>T</w:t>
      </w:r>
      <w:r w:rsidR="00F07EA0" w:rsidRPr="004C5F39">
        <w:rPr>
          <w:rFonts w:ascii="Arial" w:hAnsi="Arial" w:cs="Arial"/>
          <w:color w:val="222222"/>
          <w:sz w:val="20"/>
          <w:szCs w:val="20"/>
          <w:highlight w:val="yellow"/>
          <w:shd w:val="clear" w:color="auto" w:fill="FFFFFF"/>
        </w:rPr>
        <w:t>he majority of the farmers use pesticides as a standard method of managing disease in horticultural crops, which has huge implications on human health and the environment. The excessive application of pesticides has polluted water bodies, leading to a growing apprehension regarding the spread of toxic chemicals to humans. Despite the use of antifungals, on a global scale, growers lose about 10–23% of crops due to infestations</w:t>
      </w:r>
      <w:r w:rsidR="00F07EA0">
        <w:rPr>
          <w:rFonts w:ascii="Arial" w:hAnsi="Arial" w:cs="Arial"/>
          <w:color w:val="222222"/>
          <w:sz w:val="20"/>
          <w:szCs w:val="20"/>
          <w:highlight w:val="yellow"/>
          <w:shd w:val="clear" w:color="auto" w:fill="FFFFFF"/>
        </w:rPr>
        <w:t xml:space="preserve"> (</w:t>
      </w:r>
      <w:r w:rsidR="00F07EA0" w:rsidRPr="00F07EA0">
        <w:rPr>
          <w:rFonts w:ascii="Arial" w:hAnsi="Arial" w:cs="Arial"/>
          <w:color w:val="222222"/>
          <w:sz w:val="20"/>
          <w:szCs w:val="20"/>
          <w:highlight w:val="yellow"/>
          <w:shd w:val="clear" w:color="auto" w:fill="FFFFFF"/>
        </w:rPr>
        <w:t xml:space="preserve">Mahalakshmi &amp; </w:t>
      </w:r>
      <w:proofErr w:type="spellStart"/>
      <w:r w:rsidR="00F07EA0" w:rsidRPr="00F07EA0">
        <w:rPr>
          <w:rFonts w:ascii="Arial" w:hAnsi="Arial" w:cs="Arial"/>
          <w:color w:val="222222"/>
          <w:sz w:val="20"/>
          <w:szCs w:val="20"/>
          <w:highlight w:val="yellow"/>
          <w:shd w:val="clear" w:color="auto" w:fill="FFFFFF"/>
        </w:rPr>
        <w:t>Ahiladevi</w:t>
      </w:r>
      <w:proofErr w:type="spellEnd"/>
      <w:r w:rsidR="00F07EA0" w:rsidRPr="00F07EA0">
        <w:rPr>
          <w:rFonts w:ascii="Arial" w:hAnsi="Arial" w:cs="Arial"/>
          <w:color w:val="222222"/>
          <w:sz w:val="20"/>
          <w:szCs w:val="20"/>
          <w:highlight w:val="yellow"/>
          <w:shd w:val="clear" w:color="auto" w:fill="FFFFFF"/>
        </w:rPr>
        <w:t>, 2020</w:t>
      </w:r>
      <w:r w:rsidR="00F07EA0">
        <w:rPr>
          <w:rFonts w:ascii="Arial" w:hAnsi="Arial" w:cs="Arial"/>
          <w:color w:val="222222"/>
          <w:sz w:val="20"/>
          <w:szCs w:val="20"/>
          <w:shd w:val="clear" w:color="auto" w:fill="FFFFFF"/>
        </w:rPr>
        <w:t xml:space="preserve">). </w:t>
      </w:r>
      <w:r w:rsidR="004C16A0" w:rsidRPr="004C16A0">
        <w:rPr>
          <w:rFonts w:ascii="Arial" w:eastAsia="Times New Roman" w:hAnsi="Arial" w:cs="Arial"/>
          <w:kern w:val="0"/>
          <w:lang w:eastAsia="en-IN"/>
          <w14:ligatures w14:val="none"/>
        </w:rPr>
        <w:t xml:space="preserve">The disease is difficult to eradicate once established because </w:t>
      </w:r>
      <w:r w:rsidR="004C16A0" w:rsidRPr="004C16A0">
        <w:rPr>
          <w:rFonts w:ascii="Arial" w:eastAsia="Times New Roman" w:hAnsi="Arial" w:cs="Arial"/>
          <w:i/>
          <w:iCs/>
          <w:kern w:val="0"/>
          <w:lang w:eastAsia="en-IN"/>
          <w14:ligatures w14:val="none"/>
        </w:rPr>
        <w:t xml:space="preserve">F. </w:t>
      </w:r>
      <w:proofErr w:type="spellStart"/>
      <w:r w:rsidR="004C16A0" w:rsidRPr="004C16A0">
        <w:rPr>
          <w:rFonts w:ascii="Arial" w:eastAsia="Times New Roman" w:hAnsi="Arial" w:cs="Arial"/>
          <w:i/>
          <w:iCs/>
          <w:kern w:val="0"/>
          <w:lang w:eastAsia="en-IN"/>
          <w14:ligatures w14:val="none"/>
        </w:rPr>
        <w:t>oxysporum</w:t>
      </w:r>
      <w:proofErr w:type="spellEnd"/>
      <w:r w:rsidR="004C16A0" w:rsidRPr="004C16A0">
        <w:rPr>
          <w:rFonts w:ascii="Arial" w:eastAsia="Times New Roman" w:hAnsi="Arial" w:cs="Arial"/>
          <w:kern w:val="0"/>
          <w:lang w:eastAsia="en-IN"/>
          <w14:ligatures w14:val="none"/>
        </w:rPr>
        <w:t xml:space="preserve"> produces durable chlamydospores, colonizes roots and vascular tissues, and survives in soil or organic debris even in the absence of the host. </w:t>
      </w:r>
      <w:r w:rsidR="004C16A0" w:rsidRPr="004C16A0">
        <w:rPr>
          <w:rFonts w:ascii="Arial" w:eastAsia="Times New Roman" w:hAnsi="Arial" w:cs="Arial"/>
          <w:kern w:val="0"/>
          <w:lang w:eastAsia="en-IN"/>
          <w14:ligatures w14:val="none"/>
        </w:rPr>
        <w:lastRenderedPageBreak/>
        <w:t xml:space="preserve">Moreover, pathogen populations are structured into races and genetic lineages that can overcome host resistance and complicate durable control strategies. Contemporary studies </w:t>
      </w:r>
      <w:r w:rsidR="00F07EA0" w:rsidRPr="00F07EA0">
        <w:rPr>
          <w:rFonts w:ascii="Arial" w:eastAsia="Times New Roman" w:hAnsi="Arial" w:cs="Arial"/>
          <w:kern w:val="0"/>
          <w:highlight w:val="yellow"/>
          <w:lang w:eastAsia="en-IN"/>
          <w14:ligatures w14:val="none"/>
        </w:rPr>
        <w:t xml:space="preserve">emphasise </w:t>
      </w:r>
      <w:proofErr w:type="spellStart"/>
      <w:r w:rsidR="004C16A0" w:rsidRPr="00F07EA0">
        <w:rPr>
          <w:rFonts w:ascii="Arial" w:eastAsia="Times New Roman" w:hAnsi="Arial" w:cs="Arial"/>
          <w:kern w:val="0"/>
          <w:highlight w:val="yellow"/>
          <w:lang w:eastAsia="en-IN"/>
          <w14:ligatures w14:val="none"/>
        </w:rPr>
        <w:t>intrarace</w:t>
      </w:r>
      <w:proofErr w:type="spellEnd"/>
      <w:r w:rsidR="004C16A0" w:rsidRPr="004C16A0">
        <w:rPr>
          <w:rFonts w:ascii="Arial" w:eastAsia="Times New Roman" w:hAnsi="Arial" w:cs="Arial"/>
          <w:kern w:val="0"/>
          <w:lang w:eastAsia="en-IN"/>
          <w14:ligatures w14:val="none"/>
        </w:rPr>
        <w:t xml:space="preserve"> diversity and the need for population-level tools to inform management decisions, especially in regions with long carnation production histories (</w:t>
      </w:r>
      <w:proofErr w:type="spellStart"/>
      <w:r w:rsidR="004C16A0" w:rsidRPr="004C16A0">
        <w:rPr>
          <w:rFonts w:ascii="Arial" w:eastAsia="Times New Roman" w:hAnsi="Arial" w:cs="Arial"/>
          <w:kern w:val="0"/>
          <w:lang w:eastAsia="en-IN"/>
          <w14:ligatures w14:val="none"/>
        </w:rPr>
        <w:t>Cañizares</w:t>
      </w:r>
      <w:proofErr w:type="spellEnd"/>
      <w:r w:rsidR="004C16A0" w:rsidRPr="004C16A0">
        <w:rPr>
          <w:rFonts w:ascii="Arial" w:eastAsia="Times New Roman" w:hAnsi="Arial" w:cs="Arial"/>
          <w:kern w:val="0"/>
          <w:lang w:eastAsia="en-IN"/>
          <w14:ligatures w14:val="none"/>
        </w:rPr>
        <w:t xml:space="preserve"> et al., 2015; </w:t>
      </w:r>
      <w:proofErr w:type="spellStart"/>
      <w:r w:rsidR="004C16A0" w:rsidRPr="004C16A0">
        <w:rPr>
          <w:rFonts w:ascii="Arial" w:eastAsia="Times New Roman" w:hAnsi="Arial" w:cs="Arial"/>
          <w:kern w:val="0"/>
          <w:lang w:eastAsia="en-IN"/>
          <w14:ligatures w14:val="none"/>
        </w:rPr>
        <w:t>Cer</w:t>
      </w:r>
      <w:proofErr w:type="spellEnd"/>
      <w:r w:rsidR="004C16A0" w:rsidRPr="004C16A0">
        <w:rPr>
          <w:rFonts w:ascii="Arial" w:eastAsia="Times New Roman" w:hAnsi="Arial" w:cs="Arial"/>
          <w:kern w:val="0"/>
          <w:lang w:eastAsia="en-IN"/>
          <w14:ligatures w14:val="none"/>
        </w:rPr>
        <w:t xml:space="preserve"> et al., 2022).</w:t>
      </w:r>
      <w:r>
        <w:rPr>
          <w:rFonts w:ascii="Arial" w:eastAsia="Times New Roman" w:hAnsi="Arial" w:cs="Arial"/>
          <w:kern w:val="0"/>
          <w:lang w:eastAsia="en-IN"/>
          <w14:ligatures w14:val="none"/>
        </w:rPr>
        <w:t xml:space="preserve"> </w:t>
      </w:r>
    </w:p>
    <w:p w14:paraId="74C68491" w14:textId="5BEA4262"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Historically, management relied heavily on chemical soil disinfestation and fungicide programs, but these approaches have limitations in efficacy and sustainability, and they may reduce beneficial soil microbiota that otherwise contribute to natural </w:t>
      </w:r>
      <w:proofErr w:type="spellStart"/>
      <w:r w:rsidRPr="004C16A0">
        <w:rPr>
          <w:rFonts w:ascii="Arial" w:eastAsia="Times New Roman" w:hAnsi="Arial" w:cs="Arial"/>
          <w:kern w:val="0"/>
          <w:lang w:eastAsia="en-IN"/>
          <w14:ligatures w14:val="none"/>
        </w:rPr>
        <w:t>suppressiveness</w:t>
      </w:r>
      <w:proofErr w:type="spellEnd"/>
      <w:r w:rsidR="00F07EA0">
        <w:rPr>
          <w:rFonts w:ascii="Arial" w:eastAsia="Times New Roman" w:hAnsi="Arial" w:cs="Arial"/>
          <w:kern w:val="0"/>
          <w:lang w:eastAsia="en-IN"/>
          <w14:ligatures w14:val="none"/>
        </w:rPr>
        <w:t xml:space="preserve"> </w:t>
      </w:r>
      <w:r w:rsidR="00F07EA0" w:rsidRPr="00F07EA0">
        <w:rPr>
          <w:rFonts w:ascii="Arial" w:eastAsia="Times New Roman" w:hAnsi="Arial" w:cs="Arial"/>
          <w:kern w:val="0"/>
          <w:highlight w:val="yellow"/>
          <w:lang w:eastAsia="en-IN"/>
          <w14:ligatures w14:val="none"/>
        </w:rPr>
        <w:t>(</w:t>
      </w:r>
      <w:proofErr w:type="spellStart"/>
      <w:r w:rsidR="00F07EA0" w:rsidRPr="00F07EA0">
        <w:rPr>
          <w:rFonts w:ascii="Arial" w:hAnsi="Arial" w:cs="Arial"/>
          <w:color w:val="222222"/>
          <w:sz w:val="20"/>
          <w:szCs w:val="20"/>
          <w:highlight w:val="yellow"/>
          <w:shd w:val="clear" w:color="auto" w:fill="FFFFFF"/>
        </w:rPr>
        <w:t>Gullino</w:t>
      </w:r>
      <w:proofErr w:type="spellEnd"/>
      <w:r w:rsidR="00F07EA0" w:rsidRPr="00F07EA0">
        <w:rPr>
          <w:rFonts w:ascii="Arial" w:hAnsi="Arial" w:cs="Arial"/>
          <w:color w:val="222222"/>
          <w:sz w:val="20"/>
          <w:szCs w:val="20"/>
          <w:highlight w:val="yellow"/>
          <w:shd w:val="clear" w:color="auto" w:fill="FFFFFF"/>
        </w:rPr>
        <w:t xml:space="preserve"> et al., 2022</w:t>
      </w:r>
      <w:r w:rsidR="00F07EA0" w:rsidRPr="00F07EA0">
        <w:rPr>
          <w:rFonts w:ascii="Arial" w:eastAsia="Times New Roman" w:hAnsi="Arial" w:cs="Arial"/>
          <w:kern w:val="0"/>
          <w:highlight w:val="yellow"/>
          <w:lang w:eastAsia="en-IN"/>
          <w14:ligatures w14:val="none"/>
        </w:rPr>
        <w:t>)</w:t>
      </w:r>
      <w:r w:rsidRPr="00F07EA0">
        <w:rPr>
          <w:rFonts w:ascii="Arial" w:eastAsia="Times New Roman" w:hAnsi="Arial" w:cs="Arial"/>
          <w:kern w:val="0"/>
          <w:highlight w:val="yellow"/>
          <w:lang w:eastAsia="en-IN"/>
          <w14:ligatures w14:val="none"/>
        </w:rPr>
        <w:t xml:space="preserve">. </w:t>
      </w:r>
      <w:r w:rsidRPr="004C16A0">
        <w:rPr>
          <w:rFonts w:ascii="Arial" w:eastAsia="Times New Roman" w:hAnsi="Arial" w:cs="Arial"/>
          <w:kern w:val="0"/>
          <w:lang w:eastAsia="en-IN"/>
          <w14:ligatures w14:val="none"/>
        </w:rPr>
        <w:t xml:space="preserve">The shift away from broad-spectrum soil </w:t>
      </w:r>
      <w:proofErr w:type="spellStart"/>
      <w:r w:rsidRPr="004C16A0">
        <w:rPr>
          <w:rFonts w:ascii="Arial" w:eastAsia="Times New Roman" w:hAnsi="Arial" w:cs="Arial"/>
          <w:kern w:val="0"/>
          <w:lang w:eastAsia="en-IN"/>
          <w14:ligatures w14:val="none"/>
        </w:rPr>
        <w:t>sterilants</w:t>
      </w:r>
      <w:proofErr w:type="spellEnd"/>
      <w:r w:rsidRPr="004C16A0">
        <w:rPr>
          <w:rFonts w:ascii="Arial" w:eastAsia="Times New Roman" w:hAnsi="Arial" w:cs="Arial"/>
          <w:kern w:val="0"/>
          <w:lang w:eastAsia="en-IN"/>
          <w14:ligatures w14:val="none"/>
        </w:rPr>
        <w:t xml:space="preserve"> has renewed attention to biological control and “suppressive” growing media, where disease reduction emerges from predictable ecological processes rather than pathogen elimination. In carnation specifically, compost-based substrates have shown measurable suppression of Fusarium wilt, demonstrating that manipulation of the production medium can be a practical lever for disease control (Borrero et al., 2009). At the same time, targeted microbial antagonists such as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spp. are being evaluated directly against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including under greenhouse conditions relevant to ornamental systems (</w:t>
      </w:r>
      <w:proofErr w:type="spellStart"/>
      <w:r w:rsidRPr="004C16A0">
        <w:rPr>
          <w:rFonts w:ascii="Arial" w:eastAsia="Times New Roman" w:hAnsi="Arial" w:cs="Arial"/>
          <w:kern w:val="0"/>
          <w:lang w:eastAsia="en-IN"/>
          <w14:ligatures w14:val="none"/>
        </w:rPr>
        <w:t>Zandyavari</w:t>
      </w:r>
      <w:proofErr w:type="spellEnd"/>
      <w:r w:rsidRPr="004C16A0">
        <w:rPr>
          <w:rFonts w:ascii="Arial" w:eastAsia="Times New Roman" w:hAnsi="Arial" w:cs="Arial"/>
          <w:kern w:val="0"/>
          <w:lang w:eastAsia="en-IN"/>
          <w14:ligatures w14:val="none"/>
        </w:rPr>
        <w:t xml:space="preserve"> et al., 2024).</w:t>
      </w:r>
    </w:p>
    <w:p w14:paraId="7ED8A6B5"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Biocontrol-based eco-friendly management is not merely the substitution of a chemical input with a microbial product. Rather, it involves aligning multiple biological mechanisms—competition for nutrients and infection sites, antibiosis, mycoparasitism, modification of the rhizosphere microbiome, and plant </w:t>
      </w:r>
      <w:proofErr w:type="spellStart"/>
      <w:r w:rsidRPr="004C16A0">
        <w:rPr>
          <w:rFonts w:ascii="Arial" w:eastAsia="Times New Roman" w:hAnsi="Arial" w:cs="Arial"/>
          <w:kern w:val="0"/>
          <w:lang w:eastAsia="en-IN"/>
          <w14:ligatures w14:val="none"/>
        </w:rPr>
        <w:t>defense</w:t>
      </w:r>
      <w:proofErr w:type="spellEnd"/>
      <w:r w:rsidRPr="004C16A0">
        <w:rPr>
          <w:rFonts w:ascii="Arial" w:eastAsia="Times New Roman" w:hAnsi="Arial" w:cs="Arial"/>
          <w:kern w:val="0"/>
          <w:lang w:eastAsia="en-IN"/>
          <w14:ligatures w14:val="none"/>
        </w:rPr>
        <w:t xml:space="preserve"> priming—within the specific constraints of carnation production systems. The ornamental sector adds further complexity: propagation via cuttings, high sanitary expectations, strict aesthetic quality thresholds, and frequent use of soilless or semi-soilless media. These features require biocontrol strategies that are reliable, compatible with routine fertigation and crop scheduling, and stable across cultivars and environmental conditions.</w:t>
      </w:r>
    </w:p>
    <w:p w14:paraId="58806DA8"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1.1. Disease importance and production context</w:t>
      </w:r>
    </w:p>
    <w:p w14:paraId="51FBA244"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Fusarium wilt reduces plant </w:t>
      </w:r>
      <w:proofErr w:type="spellStart"/>
      <w:r w:rsidRPr="004C16A0">
        <w:rPr>
          <w:rFonts w:ascii="Arial" w:eastAsia="Times New Roman" w:hAnsi="Arial" w:cs="Arial"/>
          <w:kern w:val="0"/>
          <w:lang w:eastAsia="en-IN"/>
          <w14:ligatures w14:val="none"/>
        </w:rPr>
        <w:t>vigor</w:t>
      </w:r>
      <w:proofErr w:type="spellEnd"/>
      <w:r w:rsidRPr="004C16A0">
        <w:rPr>
          <w:rFonts w:ascii="Arial" w:eastAsia="Times New Roman" w:hAnsi="Arial" w:cs="Arial"/>
          <w:kern w:val="0"/>
          <w:lang w:eastAsia="en-IN"/>
          <w14:ligatures w14:val="none"/>
        </w:rPr>
        <w:t xml:space="preserve"> and flower yield and can cause rapid collapse in susceptible cultivars. In protected systems, disease incidence often increases with cropping cycles, reflecting inoculum build-up and “soil fatigue.” Race composition also matters. Race profiling in carnation-growing regions has identified dominance of particular race groups (e.g., race 2 and race 1/8) and variable virulence among isolates, indicating that management must accommodate both genetic and phenotypic diversity of the pathogen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 Phylogenetic analyses further indicate that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 can be genetically diverse even within a geographic area, which can translate into variable responses to host resistance and microbial antagonists (</w:t>
      </w:r>
      <w:proofErr w:type="spellStart"/>
      <w:r w:rsidRPr="004C16A0">
        <w:rPr>
          <w:rFonts w:ascii="Arial" w:eastAsia="Times New Roman" w:hAnsi="Arial" w:cs="Arial"/>
          <w:kern w:val="0"/>
          <w:lang w:eastAsia="en-IN"/>
          <w14:ligatures w14:val="none"/>
        </w:rPr>
        <w:t>Cañizares</w:t>
      </w:r>
      <w:proofErr w:type="spellEnd"/>
      <w:r w:rsidRPr="004C16A0">
        <w:rPr>
          <w:rFonts w:ascii="Arial" w:eastAsia="Times New Roman" w:hAnsi="Arial" w:cs="Arial"/>
          <w:kern w:val="0"/>
          <w:lang w:eastAsia="en-IN"/>
          <w14:ligatures w14:val="none"/>
        </w:rPr>
        <w:t xml:space="preserve"> et al., 2015).</w:t>
      </w:r>
    </w:p>
    <w:p w14:paraId="3D8CFB8C"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At the mechanistic level, Fusarium wilt development involves successive transitions: survival and germination in soil, root attachment, penetration, cortical colonization, vascular invasion, systemic spread, and symptom expression. Each transition offers an ecological “intervention point” where microbial competitors or plant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can reduce the probability of successful infection. A useful conceptual parallel comes from broader work on the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species complex, which emphasizes that disease risk is distributed across these transitions and is therefore potentially modifiable by changes in soil community composition and plant–microbe interactions (Gordon, 2017). Genomic insights into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also demonstrate that pathogenicity can be associated with lineage-specific genomic regions and mobile chromosomes, implying potential for rapid evolutionary change and reinforcing the need for integrated, resilient control strategies rather than single-mechanism solutions (Ma et al., 2010).</w:t>
      </w:r>
    </w:p>
    <w:p w14:paraId="649AF277"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1.2. Scope and objective of the article</w:t>
      </w:r>
    </w:p>
    <w:p w14:paraId="27549972" w14:textId="41FF55A9"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lastRenderedPageBreak/>
        <w:t>This review focuses on biocontrol-based, eco-friendly management of Fusarium wilt in carnation, integrating carnation-specific evidence with mechanistic advances from the broader soilborne disease biocontrol literature. The objectives are to (</w:t>
      </w:r>
      <w:proofErr w:type="spellStart"/>
      <w:r w:rsidRPr="004C16A0">
        <w:rPr>
          <w:rFonts w:ascii="Arial" w:eastAsia="Times New Roman" w:hAnsi="Arial" w:cs="Arial"/>
          <w:kern w:val="0"/>
          <w:lang w:eastAsia="en-IN"/>
          <w14:ligatures w14:val="none"/>
        </w:rPr>
        <w:t>i</w:t>
      </w:r>
      <w:proofErr w:type="spellEnd"/>
      <w:r w:rsidRPr="004C16A0">
        <w:rPr>
          <w:rFonts w:ascii="Arial" w:eastAsia="Times New Roman" w:hAnsi="Arial" w:cs="Arial"/>
          <w:kern w:val="0"/>
          <w:lang w:eastAsia="en-IN"/>
          <w14:ligatures w14:val="none"/>
        </w:rPr>
        <w:t xml:space="preserve">) summarize current understanding of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diversity, epidemiology, and implications for biocontrol deployment; (ii) critically assess the efficacy and modes of action of key biocontrol agents and suppressive substrates relevant to carnation systems; (iii) </w:t>
      </w:r>
      <w:proofErr w:type="spellStart"/>
      <w:r w:rsidRPr="004C16A0">
        <w:rPr>
          <w:rFonts w:ascii="Arial" w:eastAsia="Times New Roman" w:hAnsi="Arial" w:cs="Arial"/>
          <w:kern w:val="0"/>
          <w:lang w:eastAsia="en-IN"/>
          <w14:ligatures w14:val="none"/>
        </w:rPr>
        <w:t>analyze</w:t>
      </w:r>
      <w:proofErr w:type="spellEnd"/>
      <w:r w:rsidRPr="004C16A0">
        <w:rPr>
          <w:rFonts w:ascii="Arial" w:eastAsia="Times New Roman" w:hAnsi="Arial" w:cs="Arial"/>
          <w:kern w:val="0"/>
          <w:lang w:eastAsia="en-IN"/>
          <w14:ligatures w14:val="none"/>
        </w:rPr>
        <w:t xml:space="preserve"> practical considerations for formulation, application timing, and compatibility within protected ornamental production; and (iv) identify research gaps and future directions for microbiome-informed and integrated approaches that minimize residues and improve reliability under commercial conditions.</w:t>
      </w:r>
      <w:r w:rsidR="00547529">
        <w:rPr>
          <w:rFonts w:ascii="Arial" w:eastAsia="Times New Roman" w:hAnsi="Arial" w:cs="Arial"/>
          <w:kern w:val="0"/>
          <w:lang w:eastAsia="en-IN"/>
          <w14:ligatures w14:val="none"/>
        </w:rPr>
        <w:t xml:space="preserve"> </w:t>
      </w:r>
    </w:p>
    <w:p w14:paraId="738F7890" w14:textId="513B269C"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62111775"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2. Methods for literature selection</w:t>
      </w:r>
    </w:p>
    <w:p w14:paraId="44BDDA1E"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Literature was identified using Web of Science, Scopus, Google Scholar, and PubMed. Searches were conducted for publications dated 2000–2025, with emphasis on 2010–2025 for rapidly advancing areas such as microbiome-based suppression, molecular diagnostics, and formulation technologies. Search strings combined pathogen, host, and intervention terms, including “</w:t>
      </w:r>
      <w:r w:rsidRPr="004C16A0">
        <w:rPr>
          <w:rFonts w:ascii="Arial" w:eastAsia="Times New Roman" w:hAnsi="Arial" w:cs="Arial"/>
          <w:i/>
          <w:iCs/>
          <w:kern w:val="0"/>
          <w:lang w:eastAsia="en-IN"/>
          <w14:ligatures w14:val="none"/>
        </w:rPr>
        <w:t xml:space="preserve">Fusarium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f. sp. </w:t>
      </w:r>
      <w:proofErr w:type="spellStart"/>
      <w:r w:rsidRPr="004C16A0">
        <w:rPr>
          <w:rFonts w:ascii="Arial" w:eastAsia="Times New Roman" w:hAnsi="Arial" w:cs="Arial"/>
          <w:i/>
          <w:iCs/>
          <w:kern w:val="0"/>
          <w:lang w:eastAsia="en-IN"/>
          <w14:ligatures w14:val="none"/>
        </w:rPr>
        <w:t>dianthi</w:t>
      </w:r>
      <w:proofErr w:type="spellEnd"/>
      <w:r w:rsidRPr="004C16A0">
        <w:rPr>
          <w:rFonts w:ascii="Arial" w:eastAsia="Times New Roman" w:hAnsi="Arial" w:cs="Arial"/>
          <w:kern w:val="0"/>
          <w:lang w:eastAsia="en-IN"/>
          <w14:ligatures w14:val="none"/>
        </w:rPr>
        <w:t>,” “carnation Fusarium wilt,” “biological control,”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carnation,” “PGPR Fusarium wilt,” “compost </w:t>
      </w:r>
      <w:proofErr w:type="spellStart"/>
      <w:r w:rsidRPr="004C16A0">
        <w:rPr>
          <w:rFonts w:ascii="Arial" w:eastAsia="Times New Roman" w:hAnsi="Arial" w:cs="Arial"/>
          <w:kern w:val="0"/>
          <w:lang w:eastAsia="en-IN"/>
          <w14:ligatures w14:val="none"/>
        </w:rPr>
        <w:t>suppressiveness</w:t>
      </w:r>
      <w:proofErr w:type="spellEnd"/>
      <w:r w:rsidRPr="004C16A0">
        <w:rPr>
          <w:rFonts w:ascii="Arial" w:eastAsia="Times New Roman" w:hAnsi="Arial" w:cs="Arial"/>
          <w:kern w:val="0"/>
          <w:lang w:eastAsia="en-IN"/>
          <w14:ligatures w14:val="none"/>
        </w:rPr>
        <w:t xml:space="preserve"> carnation,”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biocontrol,” and “race detection </w:t>
      </w:r>
      <w:proofErr w:type="spellStart"/>
      <w:r w:rsidRPr="004C16A0">
        <w:rPr>
          <w:rFonts w:ascii="Arial" w:eastAsia="Times New Roman" w:hAnsi="Arial" w:cs="Arial"/>
          <w:i/>
          <w:iCs/>
          <w:kern w:val="0"/>
          <w:lang w:eastAsia="en-IN"/>
          <w14:ligatures w14:val="none"/>
        </w:rPr>
        <w:t>dianthi</w:t>
      </w:r>
      <w:proofErr w:type="spellEnd"/>
      <w:r w:rsidRPr="004C16A0">
        <w:rPr>
          <w:rFonts w:ascii="Arial" w:eastAsia="Times New Roman" w:hAnsi="Arial" w:cs="Arial"/>
          <w:kern w:val="0"/>
          <w:lang w:eastAsia="en-IN"/>
          <w14:ligatures w14:val="none"/>
        </w:rPr>
        <w:t>.” Inclusion criteria prioritized peer-reviewed journal articles and authoritative reviews that reported (</w:t>
      </w:r>
      <w:proofErr w:type="spellStart"/>
      <w:r w:rsidRPr="004C16A0">
        <w:rPr>
          <w:rFonts w:ascii="Arial" w:eastAsia="Times New Roman" w:hAnsi="Arial" w:cs="Arial"/>
          <w:kern w:val="0"/>
          <w:lang w:eastAsia="en-IN"/>
          <w14:ligatures w14:val="none"/>
        </w:rPr>
        <w:t>i</w:t>
      </w:r>
      <w:proofErr w:type="spellEnd"/>
      <w:r w:rsidRPr="004C16A0">
        <w:rPr>
          <w:rFonts w:ascii="Arial" w:eastAsia="Times New Roman" w:hAnsi="Arial" w:cs="Arial"/>
          <w:kern w:val="0"/>
          <w:lang w:eastAsia="en-IN"/>
          <w14:ligatures w14:val="none"/>
        </w:rPr>
        <w:t xml:space="preserve">) carnation-specific findings on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suppression or epidemiology, or (ii) mechanistic or translational advances in biocontrol of soilborne Fusarium wilts applicable to ornamental systems. Exclusion criteria included non-peer-reviewed sources, studies lacking clear experimental design, or reports without adequate taxonomic resolution of agents/pathogens. Reference lists of key papers were screened to identify additional relevant studies, including earlier foundational work where DOI metadata were available.</w:t>
      </w:r>
    </w:p>
    <w:p w14:paraId="426578FB" w14:textId="520225A4"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49DF04FB"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3. Fusarium wilt of carnation: pathogen diversity, epidemiology, and management implications</w:t>
      </w:r>
    </w:p>
    <w:p w14:paraId="5C66CD17"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3.1. Pathogen identity, diversity, and race structure</w:t>
      </w:r>
    </w:p>
    <w:p w14:paraId="6ED6DDD8" w14:textId="77777777"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Fusarium wilt of carnation is caused by </w:t>
      </w:r>
      <w:r w:rsidRPr="004C16A0">
        <w:rPr>
          <w:rFonts w:ascii="Times New Roman" w:eastAsia="Times New Roman" w:hAnsi="Times New Roman" w:cs="Times New Roman"/>
          <w:i/>
          <w:iCs/>
          <w:kern w:val="0"/>
          <w:sz w:val="24"/>
          <w:szCs w:val="24"/>
          <w:lang w:eastAsia="en-IN"/>
          <w14:ligatures w14:val="none"/>
        </w:rPr>
        <w:t xml:space="preserve">Fusarium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f. sp. </w:t>
      </w:r>
      <w:proofErr w:type="spellStart"/>
      <w:r w:rsidRPr="004C16A0">
        <w:rPr>
          <w:rFonts w:ascii="Times New Roman" w:eastAsia="Times New Roman" w:hAnsi="Times New Roman" w:cs="Times New Roman"/>
          <w:i/>
          <w:iCs/>
          <w:kern w:val="0"/>
          <w:sz w:val="24"/>
          <w:szCs w:val="24"/>
          <w:lang w:eastAsia="en-IN"/>
          <w14:ligatures w14:val="none"/>
        </w:rPr>
        <w:t>dianthi</w:t>
      </w:r>
      <w:proofErr w:type="spellEnd"/>
      <w:r w:rsidRPr="004C16A0">
        <w:rPr>
          <w:rFonts w:ascii="Times New Roman" w:eastAsia="Times New Roman" w:hAnsi="Times New Roman" w:cs="Times New Roman"/>
          <w:kern w:val="0"/>
          <w:sz w:val="24"/>
          <w:szCs w:val="24"/>
          <w:lang w:eastAsia="en-IN"/>
          <w14:ligatures w14:val="none"/>
        </w:rPr>
        <w:t xml:space="preserve">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a host-specialized member of the </w:t>
      </w:r>
      <w:r w:rsidRPr="004C16A0">
        <w:rPr>
          <w:rFonts w:ascii="Times New Roman" w:eastAsia="Times New Roman" w:hAnsi="Times New Roman" w:cs="Times New Roman"/>
          <w:i/>
          <w:iCs/>
          <w:kern w:val="0"/>
          <w:sz w:val="24"/>
          <w:szCs w:val="24"/>
          <w:lang w:eastAsia="en-IN"/>
          <w14:ligatures w14:val="none"/>
        </w:rPr>
        <w:t xml:space="preserve">F.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species complex (FOSC). The FOSC is notable for containing numerous pathogenic and </w:t>
      </w:r>
      <w:proofErr w:type="spellStart"/>
      <w:r w:rsidRPr="004C16A0">
        <w:rPr>
          <w:rFonts w:ascii="Times New Roman" w:eastAsia="Times New Roman" w:hAnsi="Times New Roman" w:cs="Times New Roman"/>
          <w:kern w:val="0"/>
          <w:sz w:val="24"/>
          <w:szCs w:val="24"/>
          <w:lang w:eastAsia="en-IN"/>
          <w14:ligatures w14:val="none"/>
        </w:rPr>
        <w:t>nonpathogenic</w:t>
      </w:r>
      <w:proofErr w:type="spellEnd"/>
      <w:r w:rsidRPr="004C16A0">
        <w:rPr>
          <w:rFonts w:ascii="Times New Roman" w:eastAsia="Times New Roman" w:hAnsi="Times New Roman" w:cs="Times New Roman"/>
          <w:kern w:val="0"/>
          <w:sz w:val="24"/>
          <w:szCs w:val="24"/>
          <w:lang w:eastAsia="en-IN"/>
          <w14:ligatures w14:val="none"/>
        </w:rPr>
        <w:t xml:space="preserve"> strains that are morphologically similar but genetically and functionally diverse, and this diversity underpins the uneven performance of many management tactics across locations and seasons (Gordon, 2017). In carnation, pathogenic variability has classically been organized into physiological races, reflecting differential virulence on host genotypes. However, contemporary molecular population studies indicate that “race” does not fully capture the genetic and epidemiological complexity of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Multi-locus phylogenetic and population analyses have confirmed substantial </w:t>
      </w:r>
      <w:proofErr w:type="spellStart"/>
      <w:r w:rsidRPr="004C16A0">
        <w:rPr>
          <w:rFonts w:ascii="Times New Roman" w:eastAsia="Times New Roman" w:hAnsi="Times New Roman" w:cs="Times New Roman"/>
          <w:kern w:val="0"/>
          <w:sz w:val="24"/>
          <w:szCs w:val="24"/>
          <w:lang w:eastAsia="en-IN"/>
          <w14:ligatures w14:val="none"/>
        </w:rPr>
        <w:t>intrarace</w:t>
      </w:r>
      <w:proofErr w:type="spellEnd"/>
      <w:r w:rsidRPr="004C16A0">
        <w:rPr>
          <w:rFonts w:ascii="Times New Roman" w:eastAsia="Times New Roman" w:hAnsi="Times New Roman" w:cs="Times New Roman"/>
          <w:kern w:val="0"/>
          <w:sz w:val="24"/>
          <w:szCs w:val="24"/>
          <w:lang w:eastAsia="en-IN"/>
          <w14:ligatures w14:val="none"/>
        </w:rPr>
        <w:t xml:space="preserve"> diversity, showing that isolates classified within the same race can belong to different genetic lineages and may vary in aggressiveness and epidemiological </w:t>
      </w:r>
      <w:proofErr w:type="spellStart"/>
      <w:r w:rsidRPr="004C16A0">
        <w:rPr>
          <w:rFonts w:ascii="Times New Roman" w:eastAsia="Times New Roman" w:hAnsi="Times New Roman" w:cs="Times New Roman"/>
          <w:kern w:val="0"/>
          <w:sz w:val="24"/>
          <w:szCs w:val="24"/>
          <w:lang w:eastAsia="en-IN"/>
          <w14:ligatures w14:val="none"/>
        </w:rPr>
        <w:t>behavior</w:t>
      </w:r>
      <w:proofErr w:type="spellEnd"/>
      <w:r w:rsidRPr="004C16A0">
        <w:rPr>
          <w:rFonts w:ascii="Times New Roman" w:eastAsia="Times New Roman" w:hAnsi="Times New Roman" w:cs="Times New Roman"/>
          <w:kern w:val="0"/>
          <w:sz w:val="24"/>
          <w:szCs w:val="24"/>
          <w:lang w:eastAsia="en-IN"/>
          <w14:ligatures w14:val="none"/>
        </w:rPr>
        <w:t xml:space="preserve"> (</w:t>
      </w:r>
      <w:proofErr w:type="spellStart"/>
      <w:r w:rsidRPr="004C16A0">
        <w:rPr>
          <w:rFonts w:ascii="Times New Roman" w:eastAsia="Times New Roman" w:hAnsi="Times New Roman" w:cs="Times New Roman"/>
          <w:kern w:val="0"/>
          <w:sz w:val="24"/>
          <w:szCs w:val="24"/>
          <w:lang w:eastAsia="en-IN"/>
          <w14:ligatures w14:val="none"/>
        </w:rPr>
        <w:t>Cañizares</w:t>
      </w:r>
      <w:proofErr w:type="spellEnd"/>
      <w:r w:rsidRPr="004C16A0">
        <w:rPr>
          <w:rFonts w:ascii="Times New Roman" w:eastAsia="Times New Roman" w:hAnsi="Times New Roman" w:cs="Times New Roman"/>
          <w:kern w:val="0"/>
          <w:sz w:val="24"/>
          <w:szCs w:val="24"/>
          <w:lang w:eastAsia="en-IN"/>
          <w14:ligatures w14:val="none"/>
        </w:rPr>
        <w:t xml:space="preserve"> et al., 2015). This matters because biocontrol efficacy frequently depends on the specific pathogen genotype encountered, as antagonists may suppress some isolates more effectively than others due to differences in growth rate, competitive ability, or host colonization dynamics.</w:t>
      </w:r>
    </w:p>
    <w:p w14:paraId="4409964A" w14:textId="77777777"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lastRenderedPageBreak/>
        <w:t xml:space="preserve">A further implication of modern FOSC biology is that pathogenicity determinants can be evolutionarily dynamic. Comparative genomics in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has demonstrated that lineage-specific genomic regions, including mobile pathogenicity chromosomes, can encode virulence traits and contribute to rapid adaptation in some </w:t>
      </w:r>
      <w:r w:rsidRPr="004C16A0">
        <w:rPr>
          <w:rFonts w:ascii="Times New Roman" w:eastAsia="Times New Roman" w:hAnsi="Times New Roman" w:cs="Times New Roman"/>
          <w:i/>
          <w:iCs/>
          <w:kern w:val="0"/>
          <w:sz w:val="24"/>
          <w:szCs w:val="24"/>
          <w:lang w:eastAsia="en-IN"/>
          <w14:ligatures w14:val="none"/>
        </w:rPr>
        <w:t xml:space="preserve">F.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lineages (Ma et al., 2010). While this foundational evidence was established in a tomato-pathogenic lineage rather than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it provides an important conceptual warning for carnation systems: reliance on a single management lever—whether a resistant cultivar, a fungicide program, or a single biocontrol strain—may be less durable when pathogen populations can shift genetically and functionally over time.</w:t>
      </w:r>
    </w:p>
    <w:p w14:paraId="3ED7613C"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3.2. Epidemiology in carnation production systems</w:t>
      </w:r>
    </w:p>
    <w:p w14:paraId="67BA1828" w14:textId="297C59CC"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Epidemiologically, Fusarium wilt is driven by the ability of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to persist in production environments and exploit intensive cropping. The pathogen survives for long periods through chlamydospores and saprophytic growth on organic residues, enabling inoculum to accumulate with repeated cultivation (Gordon, 2017). In protected carnation production, the disease is often amplified by the combination of high planting density, stable warm temperatures, and repeated use of beds, benches, or substrates. Propagation practices can also serve as a key entry point: infected or latently contaminated planting material may introduce the pathogen, after which inoculum can spread via tools, workers’ hands, contaminated trays, splashing irrigation, or shared water systems. Once established, infection typically initiates at the root surface and progresses to the xylem, where vascular colonization leads to systemic dysfunction and irreversible wilt symptoms. </w:t>
      </w:r>
      <w:r w:rsidR="00070566" w:rsidRPr="00070566">
        <w:rPr>
          <w:rFonts w:ascii="Times New Roman" w:eastAsia="Times New Roman" w:hAnsi="Times New Roman" w:cs="Times New Roman"/>
          <w:kern w:val="0"/>
          <w:sz w:val="24"/>
          <w:szCs w:val="24"/>
          <w:lang w:eastAsia="en-IN"/>
          <w14:ligatures w14:val="none"/>
        </w:rPr>
        <w:t xml:space="preserve">Because many ornamentals are propagated vegetatively and traded internationally, Fusarium </w:t>
      </w:r>
      <w:proofErr w:type="spellStart"/>
      <w:r w:rsidR="00070566" w:rsidRPr="00070566">
        <w:rPr>
          <w:rFonts w:ascii="Times New Roman" w:eastAsia="Times New Roman" w:hAnsi="Times New Roman" w:cs="Times New Roman"/>
          <w:kern w:val="0"/>
          <w:sz w:val="24"/>
          <w:szCs w:val="24"/>
          <w:lang w:eastAsia="en-IN"/>
          <w14:ligatures w14:val="none"/>
        </w:rPr>
        <w:t>oxysporum</w:t>
      </w:r>
      <w:proofErr w:type="spellEnd"/>
      <w:r w:rsidR="00070566" w:rsidRPr="00070566">
        <w:rPr>
          <w:rFonts w:ascii="Times New Roman" w:eastAsia="Times New Roman" w:hAnsi="Times New Roman" w:cs="Times New Roman"/>
          <w:kern w:val="0"/>
          <w:sz w:val="24"/>
          <w:szCs w:val="24"/>
          <w:lang w:eastAsia="en-IN"/>
          <w14:ligatures w14:val="none"/>
        </w:rPr>
        <w:t xml:space="preserve"> problems in floriculture often persist as chronic, sanitation-limited </w:t>
      </w:r>
      <w:proofErr w:type="spellStart"/>
      <w:r w:rsidR="00070566" w:rsidRPr="00070566">
        <w:rPr>
          <w:rFonts w:ascii="Times New Roman" w:eastAsia="Times New Roman" w:hAnsi="Times New Roman" w:cs="Times New Roman"/>
          <w:kern w:val="0"/>
          <w:sz w:val="24"/>
          <w:szCs w:val="24"/>
          <w:lang w:eastAsia="en-IN"/>
          <w14:ligatures w14:val="none"/>
        </w:rPr>
        <w:t>pathosystems</w:t>
      </w:r>
      <w:proofErr w:type="spellEnd"/>
      <w:r w:rsidR="00070566" w:rsidRPr="00070566">
        <w:rPr>
          <w:rFonts w:ascii="Times New Roman" w:eastAsia="Times New Roman" w:hAnsi="Times New Roman" w:cs="Times New Roman"/>
          <w:kern w:val="0"/>
          <w:sz w:val="24"/>
          <w:szCs w:val="24"/>
          <w:lang w:eastAsia="en-IN"/>
          <w14:ligatures w14:val="none"/>
        </w:rPr>
        <w:t xml:space="preserve"> where biological control becomes especially attractive as a preventive strategy (</w:t>
      </w:r>
      <w:proofErr w:type="spellStart"/>
      <w:r w:rsidR="00070566" w:rsidRPr="00070566">
        <w:rPr>
          <w:rFonts w:ascii="Times New Roman" w:eastAsia="Times New Roman" w:hAnsi="Times New Roman" w:cs="Times New Roman"/>
          <w:kern w:val="0"/>
          <w:sz w:val="24"/>
          <w:szCs w:val="24"/>
          <w:lang w:eastAsia="en-IN"/>
          <w14:ligatures w14:val="none"/>
        </w:rPr>
        <w:t>Lecomte</w:t>
      </w:r>
      <w:proofErr w:type="spellEnd"/>
      <w:r w:rsidR="00070566" w:rsidRPr="00070566">
        <w:rPr>
          <w:rFonts w:ascii="Times New Roman" w:eastAsia="Times New Roman" w:hAnsi="Times New Roman" w:cs="Times New Roman"/>
          <w:kern w:val="0"/>
          <w:sz w:val="24"/>
          <w:szCs w:val="24"/>
          <w:lang w:eastAsia="en-IN"/>
          <w14:ligatures w14:val="none"/>
        </w:rPr>
        <w:t xml:space="preserve"> et al., 2016).</w:t>
      </w:r>
      <w:r w:rsidR="00070566">
        <w:rPr>
          <w:rFonts w:ascii="Times New Roman" w:eastAsia="Times New Roman" w:hAnsi="Times New Roman" w:cs="Times New Roman"/>
          <w:kern w:val="0"/>
          <w:sz w:val="24"/>
          <w:szCs w:val="24"/>
          <w:lang w:eastAsia="en-IN"/>
          <w14:ligatures w14:val="none"/>
        </w:rPr>
        <w:t xml:space="preserve"> As</w:t>
      </w:r>
      <w:r w:rsidRPr="004C16A0">
        <w:rPr>
          <w:rFonts w:ascii="Times New Roman" w:eastAsia="Times New Roman" w:hAnsi="Times New Roman" w:cs="Times New Roman"/>
          <w:kern w:val="0"/>
          <w:sz w:val="24"/>
          <w:szCs w:val="24"/>
          <w:lang w:eastAsia="en-IN"/>
          <w14:ligatures w14:val="none"/>
        </w:rPr>
        <w:t xml:space="preserve"> the pathogen becomes internally established, interventions after symptom expression are generally ineffective, making prevention and early-stage suppression central to management logic.</w:t>
      </w:r>
    </w:p>
    <w:p w14:paraId="693D9CCE" w14:textId="77777777"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Recent regional surveillance illustrates the practical value of monitoring race composition and isolate diversity within commercial production areas. For example, molecular detection work in protected carnation-growing regions documented the presence of multiple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race signatures and highlighted that isolates may differ in virulence even when categorized similarly by race markers, reinforcing that epidemiological risk is not fully explained by race identity alone (</w:t>
      </w:r>
      <w:proofErr w:type="spellStart"/>
      <w:r w:rsidRPr="004C16A0">
        <w:rPr>
          <w:rFonts w:ascii="Times New Roman" w:eastAsia="Times New Roman" w:hAnsi="Times New Roman" w:cs="Times New Roman"/>
          <w:kern w:val="0"/>
          <w:sz w:val="24"/>
          <w:szCs w:val="24"/>
          <w:lang w:eastAsia="en-IN"/>
          <w14:ligatures w14:val="none"/>
        </w:rPr>
        <w:t>Cer</w:t>
      </w:r>
      <w:proofErr w:type="spellEnd"/>
      <w:r w:rsidRPr="004C16A0">
        <w:rPr>
          <w:rFonts w:ascii="Times New Roman" w:eastAsia="Times New Roman" w:hAnsi="Times New Roman" w:cs="Times New Roman"/>
          <w:kern w:val="0"/>
          <w:sz w:val="24"/>
          <w:szCs w:val="24"/>
          <w:lang w:eastAsia="en-IN"/>
          <w14:ligatures w14:val="none"/>
        </w:rPr>
        <w:t xml:space="preserve"> et al., 2022). Such findings support disease management that is explicitly evidence-driven: routine diagnostic confirmation, attention to inoculum sources, and tailored decisions about cultivar deployment and biocontrol compatibility testing.</w:t>
      </w:r>
    </w:p>
    <w:p w14:paraId="7BB588B6"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3.3. Management implications for eco-friendly and biocontrol strategies</w:t>
      </w:r>
    </w:p>
    <w:p w14:paraId="7E4AB44F" w14:textId="77777777"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The diversity and epidemiology of </w:t>
      </w:r>
      <w:proofErr w:type="spellStart"/>
      <w:r w:rsidRPr="004C16A0">
        <w:rPr>
          <w:rFonts w:ascii="Times New Roman" w:eastAsia="Times New Roman" w:hAnsi="Times New Roman" w:cs="Times New Roman"/>
          <w:kern w:val="0"/>
          <w:sz w:val="24"/>
          <w:szCs w:val="24"/>
          <w:lang w:eastAsia="en-IN"/>
          <w14:ligatures w14:val="none"/>
        </w:rPr>
        <w:t>Fod</w:t>
      </w:r>
      <w:proofErr w:type="spellEnd"/>
      <w:r w:rsidRPr="004C16A0">
        <w:rPr>
          <w:rFonts w:ascii="Times New Roman" w:eastAsia="Times New Roman" w:hAnsi="Times New Roman" w:cs="Times New Roman"/>
          <w:kern w:val="0"/>
          <w:sz w:val="24"/>
          <w:szCs w:val="24"/>
          <w:lang w:eastAsia="en-IN"/>
          <w14:ligatures w14:val="none"/>
        </w:rPr>
        <w:t xml:space="preserve"> imply that eco-friendly management must be framed as risk reduction across multiple infection “transitions,” rather than eradication. Conceptually, disease development requires a sequence of steps—from survival and germination in the production environment, to root infection, to systemic colonization—and each step offers a potential intervention point where biological antagonists, suppressive substrates, or induced resistance can reduce the probability of successful infection (Gordon, 2017). In practical terms, this </w:t>
      </w:r>
      <w:proofErr w:type="spellStart"/>
      <w:r w:rsidRPr="004C16A0">
        <w:rPr>
          <w:rFonts w:ascii="Times New Roman" w:eastAsia="Times New Roman" w:hAnsi="Times New Roman" w:cs="Times New Roman"/>
          <w:kern w:val="0"/>
          <w:sz w:val="24"/>
          <w:szCs w:val="24"/>
          <w:lang w:eastAsia="en-IN"/>
          <w14:ligatures w14:val="none"/>
        </w:rPr>
        <w:t>favors</w:t>
      </w:r>
      <w:proofErr w:type="spellEnd"/>
      <w:r w:rsidRPr="004C16A0">
        <w:rPr>
          <w:rFonts w:ascii="Times New Roman" w:eastAsia="Times New Roman" w:hAnsi="Times New Roman" w:cs="Times New Roman"/>
          <w:kern w:val="0"/>
          <w:sz w:val="24"/>
          <w:szCs w:val="24"/>
          <w:lang w:eastAsia="en-IN"/>
          <w14:ligatures w14:val="none"/>
        </w:rPr>
        <w:t xml:space="preserve"> preventive biocontrol applications that establish beneficial communities on roots during propagation and early establishment, before high pathogen pressure and vascular invasion occur. It also motivates the use of multi-isolate or multi-mechanism strategies, because pathogen populations are heterogeneous and may </w:t>
      </w:r>
      <w:r w:rsidRPr="004C16A0">
        <w:rPr>
          <w:rFonts w:ascii="Times New Roman" w:eastAsia="Times New Roman" w:hAnsi="Times New Roman" w:cs="Times New Roman"/>
          <w:kern w:val="0"/>
          <w:sz w:val="24"/>
          <w:szCs w:val="24"/>
          <w:lang w:eastAsia="en-IN"/>
          <w14:ligatures w14:val="none"/>
        </w:rPr>
        <w:lastRenderedPageBreak/>
        <w:t>respond inconsistently to any single antagonist (</w:t>
      </w:r>
      <w:proofErr w:type="spellStart"/>
      <w:r w:rsidRPr="004C16A0">
        <w:rPr>
          <w:rFonts w:ascii="Times New Roman" w:eastAsia="Times New Roman" w:hAnsi="Times New Roman" w:cs="Times New Roman"/>
          <w:kern w:val="0"/>
          <w:sz w:val="24"/>
          <w:szCs w:val="24"/>
          <w:lang w:eastAsia="en-IN"/>
          <w14:ligatures w14:val="none"/>
        </w:rPr>
        <w:t>Cañizares</w:t>
      </w:r>
      <w:proofErr w:type="spellEnd"/>
      <w:r w:rsidRPr="004C16A0">
        <w:rPr>
          <w:rFonts w:ascii="Times New Roman" w:eastAsia="Times New Roman" w:hAnsi="Times New Roman" w:cs="Times New Roman"/>
          <w:kern w:val="0"/>
          <w:sz w:val="24"/>
          <w:szCs w:val="24"/>
          <w:lang w:eastAsia="en-IN"/>
          <w14:ligatures w14:val="none"/>
        </w:rPr>
        <w:t xml:space="preserve"> et al., 2015; </w:t>
      </w:r>
      <w:proofErr w:type="spellStart"/>
      <w:r w:rsidRPr="004C16A0">
        <w:rPr>
          <w:rFonts w:ascii="Times New Roman" w:eastAsia="Times New Roman" w:hAnsi="Times New Roman" w:cs="Times New Roman"/>
          <w:kern w:val="0"/>
          <w:sz w:val="24"/>
          <w:szCs w:val="24"/>
          <w:lang w:eastAsia="en-IN"/>
          <w14:ligatures w14:val="none"/>
        </w:rPr>
        <w:t>Cer</w:t>
      </w:r>
      <w:proofErr w:type="spellEnd"/>
      <w:r w:rsidRPr="004C16A0">
        <w:rPr>
          <w:rFonts w:ascii="Times New Roman" w:eastAsia="Times New Roman" w:hAnsi="Times New Roman" w:cs="Times New Roman"/>
          <w:kern w:val="0"/>
          <w:sz w:val="24"/>
          <w:szCs w:val="24"/>
          <w:lang w:eastAsia="en-IN"/>
          <w14:ligatures w14:val="none"/>
        </w:rPr>
        <w:t xml:space="preserve"> et al., 2022). Finally, the possibility of dynamic pathogenicity determinants in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strengthens the case for integrated programs that combine sanitation, diagnostics, cultivar choice, and biological suppression, thereby reducing selection pressure on any one tactic and improving durability (Ma et al., 2010).</w:t>
      </w:r>
    </w:p>
    <w:p w14:paraId="2A0A4127" w14:textId="6961BC74"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6672402B"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4. Conceptual basis for biocontrol of Fusarium wilts</w:t>
      </w:r>
    </w:p>
    <w:p w14:paraId="18871B4B"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 xml:space="preserve">4.1. Ecological logic of biocontrol in Fusarium wilt </w:t>
      </w:r>
      <w:proofErr w:type="spellStart"/>
      <w:r w:rsidRPr="004C16A0">
        <w:rPr>
          <w:rFonts w:ascii="Times New Roman" w:eastAsia="Times New Roman" w:hAnsi="Times New Roman" w:cs="Times New Roman"/>
          <w:b/>
          <w:bCs/>
          <w:kern w:val="0"/>
          <w:sz w:val="27"/>
          <w:szCs w:val="27"/>
          <w:lang w:eastAsia="en-IN"/>
          <w14:ligatures w14:val="none"/>
        </w:rPr>
        <w:t>pathosystems</w:t>
      </w:r>
      <w:proofErr w:type="spellEnd"/>
    </w:p>
    <w:p w14:paraId="122ED3CE" w14:textId="77777777"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Biological control of Fusarium wilts is fundamentally an ecological strategy aimed at reshaping the probability that a soilborne pathogen successfully completes the infection sequence from soil survival to root penetration and vascular colonization. Rather than “killing” the pathogen outright, effective biocontrol more often reduces disease by limiting pathogen access to nutrients and infection sites, disrupting pathogen </w:t>
      </w:r>
      <w:proofErr w:type="spellStart"/>
      <w:r w:rsidRPr="004C16A0">
        <w:rPr>
          <w:rFonts w:ascii="Times New Roman" w:eastAsia="Times New Roman" w:hAnsi="Times New Roman" w:cs="Times New Roman"/>
          <w:kern w:val="0"/>
          <w:sz w:val="24"/>
          <w:szCs w:val="24"/>
          <w:lang w:eastAsia="en-IN"/>
          <w14:ligatures w14:val="none"/>
        </w:rPr>
        <w:t>signaling</w:t>
      </w:r>
      <w:proofErr w:type="spellEnd"/>
      <w:r w:rsidRPr="004C16A0">
        <w:rPr>
          <w:rFonts w:ascii="Times New Roman" w:eastAsia="Times New Roman" w:hAnsi="Times New Roman" w:cs="Times New Roman"/>
          <w:kern w:val="0"/>
          <w:sz w:val="24"/>
          <w:szCs w:val="24"/>
          <w:lang w:eastAsia="en-IN"/>
          <w14:ligatures w14:val="none"/>
        </w:rPr>
        <w:t xml:space="preserve"> or virulence expression, and strengthening host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capacity. This perspective is particularly relevant for </w:t>
      </w:r>
      <w:r w:rsidRPr="004C16A0">
        <w:rPr>
          <w:rFonts w:ascii="Times New Roman" w:eastAsia="Times New Roman" w:hAnsi="Times New Roman" w:cs="Times New Roman"/>
          <w:i/>
          <w:iCs/>
          <w:kern w:val="0"/>
          <w:sz w:val="24"/>
          <w:szCs w:val="24"/>
          <w:lang w:eastAsia="en-IN"/>
          <w14:ligatures w14:val="none"/>
        </w:rPr>
        <w:t xml:space="preserve">Fusarium </w:t>
      </w:r>
      <w:proofErr w:type="spellStart"/>
      <w:r w:rsidRPr="004C16A0">
        <w:rPr>
          <w:rFonts w:ascii="Times New Roman" w:eastAsia="Times New Roman" w:hAnsi="Times New Roman" w:cs="Times New Roman"/>
          <w:i/>
          <w:iCs/>
          <w:kern w:val="0"/>
          <w:sz w:val="24"/>
          <w:szCs w:val="24"/>
          <w:lang w:eastAsia="en-IN"/>
          <w14:ligatures w14:val="none"/>
        </w:rPr>
        <w:t>oxysporum</w:t>
      </w:r>
      <w:proofErr w:type="spellEnd"/>
      <w:r w:rsidRPr="004C16A0">
        <w:rPr>
          <w:rFonts w:ascii="Times New Roman" w:eastAsia="Times New Roman" w:hAnsi="Times New Roman" w:cs="Times New Roman"/>
          <w:kern w:val="0"/>
          <w:sz w:val="24"/>
          <w:szCs w:val="24"/>
          <w:lang w:eastAsia="en-IN"/>
          <w14:ligatures w14:val="none"/>
        </w:rPr>
        <w:t xml:space="preserve"> wilts because the pathogen persists as long-lived propagules, can grow saprophytically, and becomes difficult to reach once established within the xylem. Consequently, a conceptual emphasis in contemporary biocontrol is preventive establishment of beneficial microbiota on or near roots, so that the earliest steps of infection are constrained before systemic colonization occurs. The practical implication is that timing and ecological “fit” can be as important as intrinsic antimicrobial potency, because the best antagonist in vitro may fail if it does not colonize roots or persist under real substrate conditions (Haas &amp; </w:t>
      </w:r>
      <w:proofErr w:type="spellStart"/>
      <w:r w:rsidRPr="004C16A0">
        <w:rPr>
          <w:rFonts w:ascii="Times New Roman" w:eastAsia="Times New Roman" w:hAnsi="Times New Roman" w:cs="Times New Roman"/>
          <w:kern w:val="0"/>
          <w:sz w:val="24"/>
          <w:szCs w:val="24"/>
          <w:lang w:eastAsia="en-IN"/>
          <w14:ligatures w14:val="none"/>
        </w:rPr>
        <w:t>Défago</w:t>
      </w:r>
      <w:proofErr w:type="spellEnd"/>
      <w:r w:rsidRPr="004C16A0">
        <w:rPr>
          <w:rFonts w:ascii="Times New Roman" w:eastAsia="Times New Roman" w:hAnsi="Times New Roman" w:cs="Times New Roman"/>
          <w:kern w:val="0"/>
          <w:sz w:val="24"/>
          <w:szCs w:val="24"/>
          <w:lang w:eastAsia="en-IN"/>
          <w14:ligatures w14:val="none"/>
        </w:rPr>
        <w:t>, 2005; Weller, 2007).</w:t>
      </w:r>
    </w:p>
    <w:p w14:paraId="29804B39"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4.2. Core mechanisms: competition, antibiosis, parasitism, and niche pre-emption</w:t>
      </w:r>
    </w:p>
    <w:p w14:paraId="39D284D3" w14:textId="2DFEFE38"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The classic mechanistic pillars of biocontrol—competition, antibiosis, and parasitism—remain central, but are now interpreted through the lens of rhizosphere community assembly and niche occupancy. Competition can operate through rapid resource capture in the rhizosphere, depriving </w:t>
      </w:r>
      <w:r w:rsidRPr="004C16A0">
        <w:rPr>
          <w:rFonts w:ascii="Times New Roman" w:eastAsia="Times New Roman" w:hAnsi="Times New Roman" w:cs="Times New Roman"/>
          <w:i/>
          <w:iCs/>
          <w:kern w:val="0"/>
          <w:sz w:val="24"/>
          <w:szCs w:val="24"/>
          <w:lang w:eastAsia="en-IN"/>
          <w14:ligatures w14:val="none"/>
        </w:rPr>
        <w:t>Fusarium</w:t>
      </w:r>
      <w:r w:rsidRPr="004C16A0">
        <w:rPr>
          <w:rFonts w:ascii="Times New Roman" w:eastAsia="Times New Roman" w:hAnsi="Times New Roman" w:cs="Times New Roman"/>
          <w:kern w:val="0"/>
          <w:sz w:val="24"/>
          <w:szCs w:val="24"/>
          <w:lang w:eastAsia="en-IN"/>
          <w14:ligatures w14:val="none"/>
        </w:rPr>
        <w:t xml:space="preserve"> germlings of carbon sources required to transition from saprophyte to pathogen. </w:t>
      </w:r>
      <w:r w:rsidR="00070566" w:rsidRPr="00070566">
        <w:rPr>
          <w:rFonts w:ascii="Times New Roman" w:eastAsia="Times New Roman" w:hAnsi="Times New Roman" w:cs="Times New Roman"/>
          <w:kern w:val="0"/>
          <w:sz w:val="24"/>
          <w:szCs w:val="24"/>
          <w:lang w:eastAsia="en-IN"/>
          <w14:ligatures w14:val="none"/>
        </w:rPr>
        <w:t>Resource competition can be highly specific; for example, Trichoderma-mediated suppression of Fusarium wilt has been linked to competitive iron sequestration in soilless systems (Segarra et al., 2010).</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Antibiosis involves production of inhibitory metabolites that suppress fungal growth or spore germination; fluorescent </w:t>
      </w:r>
      <w:r w:rsidRPr="004C16A0">
        <w:rPr>
          <w:rFonts w:ascii="Times New Roman" w:eastAsia="Times New Roman" w:hAnsi="Times New Roman" w:cs="Times New Roman"/>
          <w:i/>
          <w:iCs/>
          <w:kern w:val="0"/>
          <w:sz w:val="24"/>
          <w:szCs w:val="24"/>
          <w:lang w:eastAsia="en-IN"/>
          <w14:ligatures w14:val="none"/>
        </w:rPr>
        <w:t>Pseudomonas</w:t>
      </w:r>
      <w:r w:rsidRPr="004C16A0">
        <w:rPr>
          <w:rFonts w:ascii="Times New Roman" w:eastAsia="Times New Roman" w:hAnsi="Times New Roman" w:cs="Times New Roman"/>
          <w:kern w:val="0"/>
          <w:sz w:val="24"/>
          <w:szCs w:val="24"/>
          <w:lang w:eastAsia="en-IN"/>
          <w14:ligatures w14:val="none"/>
        </w:rPr>
        <w:t xml:space="preserve">, for instance, are known to suppress soilborne pathogens through antibiotics while simultaneously relying on robust root colonization to deliver these metabolites where they matter (Haas &amp; </w:t>
      </w:r>
      <w:proofErr w:type="spellStart"/>
      <w:r w:rsidRPr="004C16A0">
        <w:rPr>
          <w:rFonts w:ascii="Times New Roman" w:eastAsia="Times New Roman" w:hAnsi="Times New Roman" w:cs="Times New Roman"/>
          <w:kern w:val="0"/>
          <w:sz w:val="24"/>
          <w:szCs w:val="24"/>
          <w:lang w:eastAsia="en-IN"/>
          <w14:ligatures w14:val="none"/>
        </w:rPr>
        <w:t>Défago</w:t>
      </w:r>
      <w:proofErr w:type="spellEnd"/>
      <w:r w:rsidRPr="004C16A0">
        <w:rPr>
          <w:rFonts w:ascii="Times New Roman" w:eastAsia="Times New Roman" w:hAnsi="Times New Roman" w:cs="Times New Roman"/>
          <w:kern w:val="0"/>
          <w:sz w:val="24"/>
          <w:szCs w:val="24"/>
          <w:lang w:eastAsia="en-IN"/>
          <w14:ligatures w14:val="none"/>
        </w:rPr>
        <w:t xml:space="preserve">, 2005; Weller, 2007). In contrast, fungal biocontrol agents such as </w:t>
      </w:r>
      <w:r w:rsidRPr="004C16A0">
        <w:rPr>
          <w:rFonts w:ascii="Times New Roman" w:eastAsia="Times New Roman" w:hAnsi="Times New Roman" w:cs="Times New Roman"/>
          <w:i/>
          <w:iCs/>
          <w:kern w:val="0"/>
          <w:sz w:val="24"/>
          <w:szCs w:val="24"/>
          <w:lang w:eastAsia="en-IN"/>
          <w14:ligatures w14:val="none"/>
        </w:rPr>
        <w:t>Trichoderma</w:t>
      </w:r>
      <w:r w:rsidRPr="004C16A0">
        <w:rPr>
          <w:rFonts w:ascii="Times New Roman" w:eastAsia="Times New Roman" w:hAnsi="Times New Roman" w:cs="Times New Roman"/>
          <w:kern w:val="0"/>
          <w:sz w:val="24"/>
          <w:szCs w:val="24"/>
          <w:lang w:eastAsia="en-IN"/>
          <w14:ligatures w14:val="none"/>
        </w:rPr>
        <w:t xml:space="preserve"> often add a </w:t>
      </w:r>
      <w:proofErr w:type="spellStart"/>
      <w:r w:rsidRPr="004C16A0">
        <w:rPr>
          <w:rFonts w:ascii="Times New Roman" w:eastAsia="Times New Roman" w:hAnsi="Times New Roman" w:cs="Times New Roman"/>
          <w:kern w:val="0"/>
          <w:sz w:val="24"/>
          <w:szCs w:val="24"/>
          <w:lang w:eastAsia="en-IN"/>
          <w14:ligatures w14:val="none"/>
        </w:rPr>
        <w:t>mycoparasitic</w:t>
      </w:r>
      <w:proofErr w:type="spellEnd"/>
      <w:r w:rsidRPr="004C16A0">
        <w:rPr>
          <w:rFonts w:ascii="Times New Roman" w:eastAsia="Times New Roman" w:hAnsi="Times New Roman" w:cs="Times New Roman"/>
          <w:kern w:val="0"/>
          <w:sz w:val="24"/>
          <w:szCs w:val="24"/>
          <w:lang w:eastAsia="en-IN"/>
          <w14:ligatures w14:val="none"/>
        </w:rPr>
        <w:t xml:space="preserve"> dimension, deploying hydrolytic enzymes and direct hyphal interactions that can degrade pathogen structures, while also competing for space and nutrients in the same microhabitats (Harman et al., 2004). </w:t>
      </w:r>
      <w:r w:rsidR="00070566" w:rsidRPr="00070566">
        <w:rPr>
          <w:rFonts w:ascii="Times New Roman" w:eastAsia="Times New Roman" w:hAnsi="Times New Roman" w:cs="Times New Roman"/>
          <w:kern w:val="0"/>
          <w:sz w:val="24"/>
          <w:szCs w:val="24"/>
          <w:lang w:eastAsia="en-IN"/>
          <w14:ligatures w14:val="none"/>
        </w:rPr>
        <w:t xml:space="preserve">Mycoparasitism in Trichoderma is now understood as a multi-stage program (host sensing, attachment, cell-wall attack, and invasion) integrated with antibiosis and competitive </w:t>
      </w:r>
      <w:proofErr w:type="spellStart"/>
      <w:r w:rsidR="00070566" w:rsidRPr="00070566">
        <w:rPr>
          <w:rFonts w:ascii="Times New Roman" w:eastAsia="Times New Roman" w:hAnsi="Times New Roman" w:cs="Times New Roman"/>
          <w:kern w:val="0"/>
          <w:sz w:val="24"/>
          <w:szCs w:val="24"/>
          <w:lang w:eastAsia="en-IN"/>
          <w14:ligatures w14:val="none"/>
        </w:rPr>
        <w:t>behaviors</w:t>
      </w:r>
      <w:proofErr w:type="spellEnd"/>
      <w:r w:rsidR="00070566" w:rsidRPr="00070566">
        <w:rPr>
          <w:rFonts w:ascii="Times New Roman" w:eastAsia="Times New Roman" w:hAnsi="Times New Roman" w:cs="Times New Roman"/>
          <w:kern w:val="0"/>
          <w:sz w:val="24"/>
          <w:szCs w:val="24"/>
          <w:lang w:eastAsia="en-IN"/>
          <w14:ligatures w14:val="none"/>
        </w:rPr>
        <w:t xml:space="preserve"> (Mukherjee et al., 2022).</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A critical conceptual refinement is that these mechanisms are rarely independent in situ. Instead, they act as interacting traits whose expression is modulated by substrate nutrient status, moisture, and the resident microbial community. Therefore, biocontrol is best </w:t>
      </w:r>
      <w:r w:rsidRPr="004C16A0">
        <w:rPr>
          <w:rFonts w:ascii="Times New Roman" w:eastAsia="Times New Roman" w:hAnsi="Times New Roman" w:cs="Times New Roman"/>
          <w:kern w:val="0"/>
          <w:sz w:val="24"/>
          <w:szCs w:val="24"/>
          <w:lang w:eastAsia="en-IN"/>
          <w14:ligatures w14:val="none"/>
        </w:rPr>
        <w:lastRenderedPageBreak/>
        <w:t>understood as an emergent property of an introduced organism’s ecological performance within a community, not merely as an intrinsic antagonistic “ability.”</w:t>
      </w:r>
    </w:p>
    <w:p w14:paraId="5C3E788E"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 xml:space="preserve">4.3. Plant-mediated mechanisms: induced systemic resistance and </w:t>
      </w:r>
      <w:proofErr w:type="spellStart"/>
      <w:r w:rsidRPr="004C16A0">
        <w:rPr>
          <w:rFonts w:ascii="Times New Roman" w:eastAsia="Times New Roman" w:hAnsi="Times New Roman" w:cs="Times New Roman"/>
          <w:b/>
          <w:bCs/>
          <w:kern w:val="0"/>
          <w:sz w:val="27"/>
          <w:szCs w:val="27"/>
          <w:lang w:eastAsia="en-IN"/>
          <w14:ligatures w14:val="none"/>
        </w:rPr>
        <w:t>defense</w:t>
      </w:r>
      <w:proofErr w:type="spellEnd"/>
      <w:r w:rsidRPr="004C16A0">
        <w:rPr>
          <w:rFonts w:ascii="Times New Roman" w:eastAsia="Times New Roman" w:hAnsi="Times New Roman" w:cs="Times New Roman"/>
          <w:b/>
          <w:bCs/>
          <w:kern w:val="0"/>
          <w:sz w:val="27"/>
          <w:szCs w:val="27"/>
          <w:lang w:eastAsia="en-IN"/>
          <w14:ligatures w14:val="none"/>
        </w:rPr>
        <w:t xml:space="preserve"> priming</w:t>
      </w:r>
    </w:p>
    <w:p w14:paraId="63A3BA9F" w14:textId="77777777"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A major conceptual advance over the last two decades is recognition that many successful biocontrol agents function partly by activating plant immunity, especially induced systemic resistance (ISR) or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priming. ISR describes a physiological state in which root-associated beneficial microbes sensitize the plant to respond faster and more effectively to subsequent pathogen attack, without necessarily triggering costly constitutive </w:t>
      </w:r>
      <w:proofErr w:type="spellStart"/>
      <w:r w:rsidRPr="004C16A0">
        <w:rPr>
          <w:rFonts w:ascii="Times New Roman" w:eastAsia="Times New Roman" w:hAnsi="Times New Roman" w:cs="Times New Roman"/>
          <w:kern w:val="0"/>
          <w:sz w:val="24"/>
          <w:szCs w:val="24"/>
          <w:lang w:eastAsia="en-IN"/>
          <w14:ligatures w14:val="none"/>
        </w:rPr>
        <w:t>defenses</w:t>
      </w:r>
      <w:proofErr w:type="spellEnd"/>
      <w:r w:rsidRPr="004C16A0">
        <w:rPr>
          <w:rFonts w:ascii="Times New Roman" w:eastAsia="Times New Roman" w:hAnsi="Times New Roman" w:cs="Times New Roman"/>
          <w:kern w:val="0"/>
          <w:sz w:val="24"/>
          <w:szCs w:val="24"/>
          <w:lang w:eastAsia="en-IN"/>
          <w14:ligatures w14:val="none"/>
        </w:rPr>
        <w:t xml:space="preserve">. This mechanism broadens protection beyond the immediate rhizosphere and is especially relevant to Fusarium wilts, where internal vascular invasion can proceed rapidly once infection is established. Reviews of ISR emphasize that multiple beneficial taxa—including </w:t>
      </w:r>
      <w:r w:rsidRPr="004C16A0">
        <w:rPr>
          <w:rFonts w:ascii="Times New Roman" w:eastAsia="Times New Roman" w:hAnsi="Times New Roman" w:cs="Times New Roman"/>
          <w:i/>
          <w:iCs/>
          <w:kern w:val="0"/>
          <w:sz w:val="24"/>
          <w:szCs w:val="24"/>
          <w:lang w:eastAsia="en-IN"/>
          <w14:ligatures w14:val="none"/>
        </w:rPr>
        <w:t>Pseudomonas</w:t>
      </w:r>
      <w:r w:rsidRPr="004C16A0">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i/>
          <w:iCs/>
          <w:kern w:val="0"/>
          <w:sz w:val="24"/>
          <w:szCs w:val="24"/>
          <w:lang w:eastAsia="en-IN"/>
          <w14:ligatures w14:val="none"/>
        </w:rPr>
        <w:t>Bacillus</w:t>
      </w:r>
      <w:r w:rsidRPr="004C16A0">
        <w:rPr>
          <w:rFonts w:ascii="Times New Roman" w:eastAsia="Times New Roman" w:hAnsi="Times New Roman" w:cs="Times New Roman"/>
          <w:kern w:val="0"/>
          <w:sz w:val="24"/>
          <w:szCs w:val="24"/>
          <w:lang w:eastAsia="en-IN"/>
          <w14:ligatures w14:val="none"/>
        </w:rPr>
        <w:t xml:space="preserve">, and </w:t>
      </w:r>
      <w:r w:rsidRPr="004C16A0">
        <w:rPr>
          <w:rFonts w:ascii="Times New Roman" w:eastAsia="Times New Roman" w:hAnsi="Times New Roman" w:cs="Times New Roman"/>
          <w:i/>
          <w:iCs/>
          <w:kern w:val="0"/>
          <w:sz w:val="24"/>
          <w:szCs w:val="24"/>
          <w:lang w:eastAsia="en-IN"/>
          <w14:ligatures w14:val="none"/>
        </w:rPr>
        <w:t>Trichoderma</w:t>
      </w:r>
      <w:r w:rsidRPr="004C16A0">
        <w:rPr>
          <w:rFonts w:ascii="Times New Roman" w:eastAsia="Times New Roman" w:hAnsi="Times New Roman" w:cs="Times New Roman"/>
          <w:kern w:val="0"/>
          <w:sz w:val="24"/>
          <w:szCs w:val="24"/>
          <w:lang w:eastAsia="en-IN"/>
          <w14:ligatures w14:val="none"/>
        </w:rPr>
        <w:t xml:space="preserve">—can induce such systemic preparedness, often mediated through </w:t>
      </w:r>
      <w:proofErr w:type="spellStart"/>
      <w:r w:rsidRPr="004C16A0">
        <w:rPr>
          <w:rFonts w:ascii="Times New Roman" w:eastAsia="Times New Roman" w:hAnsi="Times New Roman" w:cs="Times New Roman"/>
          <w:kern w:val="0"/>
          <w:sz w:val="24"/>
          <w:szCs w:val="24"/>
          <w:lang w:eastAsia="en-IN"/>
          <w14:ligatures w14:val="none"/>
        </w:rPr>
        <w:t>jasmonate</w:t>
      </w:r>
      <w:proofErr w:type="spellEnd"/>
      <w:r w:rsidRPr="004C16A0">
        <w:rPr>
          <w:rFonts w:ascii="Times New Roman" w:eastAsia="Times New Roman" w:hAnsi="Times New Roman" w:cs="Times New Roman"/>
          <w:kern w:val="0"/>
          <w:sz w:val="24"/>
          <w:szCs w:val="24"/>
          <w:lang w:eastAsia="en-IN"/>
          <w14:ligatures w14:val="none"/>
        </w:rPr>
        <w:t xml:space="preserve">- and ethylene-associated </w:t>
      </w:r>
      <w:proofErr w:type="spellStart"/>
      <w:r w:rsidRPr="004C16A0">
        <w:rPr>
          <w:rFonts w:ascii="Times New Roman" w:eastAsia="Times New Roman" w:hAnsi="Times New Roman" w:cs="Times New Roman"/>
          <w:kern w:val="0"/>
          <w:sz w:val="24"/>
          <w:szCs w:val="24"/>
          <w:lang w:eastAsia="en-IN"/>
          <w14:ligatures w14:val="none"/>
        </w:rPr>
        <w:t>signaling</w:t>
      </w:r>
      <w:proofErr w:type="spellEnd"/>
      <w:r w:rsidRPr="004C16A0">
        <w:rPr>
          <w:rFonts w:ascii="Times New Roman" w:eastAsia="Times New Roman" w:hAnsi="Times New Roman" w:cs="Times New Roman"/>
          <w:kern w:val="0"/>
          <w:sz w:val="24"/>
          <w:szCs w:val="24"/>
          <w:lang w:eastAsia="en-IN"/>
          <w14:ligatures w14:val="none"/>
        </w:rPr>
        <w:t xml:space="preserve"> networks and cross-talk with other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pathways (Pieterse et al., 2014). The implication for conceptual design is that biocontrol programs should not be evaluated only by pathogen growth suppression, but also by measurable plant responses such as primed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gene expression, strengthened root barrier function, or improved tolerance to vascular stress.</w:t>
      </w:r>
    </w:p>
    <w:p w14:paraId="1B3B5A34" w14:textId="77777777" w:rsidR="004C16A0" w:rsidRPr="004C16A0" w:rsidRDefault="004C16A0" w:rsidP="00CA1F5D">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4C16A0">
        <w:rPr>
          <w:rFonts w:ascii="Times New Roman" w:eastAsia="Times New Roman" w:hAnsi="Times New Roman" w:cs="Times New Roman"/>
          <w:b/>
          <w:bCs/>
          <w:kern w:val="0"/>
          <w:sz w:val="27"/>
          <w:szCs w:val="27"/>
          <w:lang w:eastAsia="en-IN"/>
          <w14:ligatures w14:val="none"/>
        </w:rPr>
        <w:t>4.4. Microbiome perspective, suppressive function, and scope and objective of this section</w:t>
      </w:r>
    </w:p>
    <w:p w14:paraId="4F003AB5" w14:textId="6BF24EE4" w:rsidR="004C16A0" w:rsidRPr="004C16A0" w:rsidRDefault="004C16A0" w:rsidP="00CA1F5D">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C16A0">
        <w:rPr>
          <w:rFonts w:ascii="Times New Roman" w:eastAsia="Times New Roman" w:hAnsi="Times New Roman" w:cs="Times New Roman"/>
          <w:kern w:val="0"/>
          <w:sz w:val="24"/>
          <w:szCs w:val="24"/>
          <w:lang w:eastAsia="en-IN"/>
          <w14:ligatures w14:val="none"/>
        </w:rPr>
        <w:t xml:space="preserve">Increasingly, biocontrol is conceptualized as microbiome management: plants shape rhizosphere communities, and those communities can become predictably suppressive when protective functions are enriched and stabilized. </w:t>
      </w:r>
      <w:r w:rsidR="00070566" w:rsidRPr="00070566">
        <w:rPr>
          <w:rFonts w:ascii="Times New Roman" w:eastAsia="Times New Roman" w:hAnsi="Times New Roman" w:cs="Times New Roman"/>
          <w:kern w:val="0"/>
          <w:sz w:val="24"/>
          <w:szCs w:val="24"/>
          <w:lang w:eastAsia="en-IN"/>
          <w14:ligatures w14:val="none"/>
        </w:rPr>
        <w:t>High-resolution community profiling has shown that Fusarium wilt suppressiveness can coincide with distinct bacterial and fungal community signatures when suppressive and conducive soils are compared within the same region (Siegel-Hertz et al., 2018).</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The rhizosphere microbiome has been described as a “second genome” that strongly influences plant health, including the capacity to recruit protective microbes following pathogen pressure (Berendsen et al., 2012). In this framing, single-strain inoculants can be viewed as “community perturbations” whose success depends on whether they integrate into, and persist within, existing microbial networks. Functional traits such as antibiotic production are also reinterpreted as ecological tools that can structure microbial communities and mediate competitive outcomes at subinhibitory concentrations, not merely as lethal weapons against pathogens (</w:t>
      </w:r>
      <w:proofErr w:type="spellStart"/>
      <w:r w:rsidRPr="004C16A0">
        <w:rPr>
          <w:rFonts w:ascii="Times New Roman" w:eastAsia="Times New Roman" w:hAnsi="Times New Roman" w:cs="Times New Roman"/>
          <w:kern w:val="0"/>
          <w:sz w:val="24"/>
          <w:szCs w:val="24"/>
          <w:lang w:eastAsia="en-IN"/>
          <w14:ligatures w14:val="none"/>
        </w:rPr>
        <w:t>Raaijmakers</w:t>
      </w:r>
      <w:proofErr w:type="spellEnd"/>
      <w:r w:rsidRPr="004C16A0">
        <w:rPr>
          <w:rFonts w:ascii="Times New Roman" w:eastAsia="Times New Roman" w:hAnsi="Times New Roman" w:cs="Times New Roman"/>
          <w:kern w:val="0"/>
          <w:sz w:val="24"/>
          <w:szCs w:val="24"/>
          <w:lang w:eastAsia="en-IN"/>
          <w14:ligatures w14:val="none"/>
        </w:rPr>
        <w:t xml:space="preserve"> &amp; Mazzola, 2012). </w:t>
      </w:r>
      <w:r w:rsidR="00070566" w:rsidRPr="00070566">
        <w:rPr>
          <w:rFonts w:ascii="Times New Roman" w:eastAsia="Times New Roman" w:hAnsi="Times New Roman" w:cs="Times New Roman"/>
          <w:kern w:val="0"/>
          <w:sz w:val="24"/>
          <w:szCs w:val="24"/>
          <w:lang w:eastAsia="en-IN"/>
          <w14:ligatures w14:val="none"/>
        </w:rPr>
        <w:t>Beyond soluble antibiotics, volatile metabolites and transferable microbiome configurations have been implicated in suppressive soils, expanding the functional traits that biocontrol-oriented management can target (</w:t>
      </w:r>
      <w:proofErr w:type="spellStart"/>
      <w:r w:rsidR="00070566" w:rsidRPr="00070566">
        <w:rPr>
          <w:rFonts w:ascii="Times New Roman" w:eastAsia="Times New Roman" w:hAnsi="Times New Roman" w:cs="Times New Roman"/>
          <w:kern w:val="0"/>
          <w:sz w:val="24"/>
          <w:szCs w:val="24"/>
          <w:lang w:eastAsia="en-IN"/>
          <w14:ligatures w14:val="none"/>
        </w:rPr>
        <w:t>Ossowicki</w:t>
      </w:r>
      <w:proofErr w:type="spellEnd"/>
      <w:r w:rsidR="00070566" w:rsidRPr="00070566">
        <w:rPr>
          <w:rFonts w:ascii="Times New Roman" w:eastAsia="Times New Roman" w:hAnsi="Times New Roman" w:cs="Times New Roman"/>
          <w:kern w:val="0"/>
          <w:sz w:val="24"/>
          <w:szCs w:val="24"/>
          <w:lang w:eastAsia="en-IN"/>
          <w14:ligatures w14:val="none"/>
        </w:rPr>
        <w:t xml:space="preserve"> et al., 2020).</w:t>
      </w:r>
      <w:r w:rsidR="00070566">
        <w:rPr>
          <w:rFonts w:ascii="Times New Roman" w:eastAsia="Times New Roman" w:hAnsi="Times New Roman" w:cs="Times New Roman"/>
          <w:kern w:val="0"/>
          <w:sz w:val="24"/>
          <w:szCs w:val="24"/>
          <w:lang w:eastAsia="en-IN"/>
          <w14:ligatures w14:val="none"/>
        </w:rPr>
        <w:t xml:space="preserve"> </w:t>
      </w:r>
      <w:r w:rsidRPr="004C16A0">
        <w:rPr>
          <w:rFonts w:ascii="Times New Roman" w:eastAsia="Times New Roman" w:hAnsi="Times New Roman" w:cs="Times New Roman"/>
          <w:kern w:val="0"/>
          <w:sz w:val="24"/>
          <w:szCs w:val="24"/>
          <w:lang w:eastAsia="en-IN"/>
          <w14:ligatures w14:val="none"/>
        </w:rPr>
        <w:t xml:space="preserve">Meanwhile, </w:t>
      </w:r>
      <w:r w:rsidRPr="004C16A0">
        <w:rPr>
          <w:rFonts w:ascii="Times New Roman" w:eastAsia="Times New Roman" w:hAnsi="Times New Roman" w:cs="Times New Roman"/>
          <w:i/>
          <w:iCs/>
          <w:kern w:val="0"/>
          <w:sz w:val="24"/>
          <w:szCs w:val="24"/>
          <w:lang w:eastAsia="en-IN"/>
          <w14:ligatures w14:val="none"/>
        </w:rPr>
        <w:t>Bacillus</w:t>
      </w:r>
      <w:r w:rsidRPr="004C16A0">
        <w:rPr>
          <w:rFonts w:ascii="Times New Roman" w:eastAsia="Times New Roman" w:hAnsi="Times New Roman" w:cs="Times New Roman"/>
          <w:kern w:val="0"/>
          <w:sz w:val="24"/>
          <w:szCs w:val="24"/>
          <w:lang w:eastAsia="en-IN"/>
          <w14:ligatures w14:val="none"/>
        </w:rPr>
        <w:t xml:space="preserve"> lipopeptides illustrate a conceptually important dual role: they can inhibit pathogens directly and simultaneously enhance ecological fitness (e.g., biofilm formation and root colonization) and stimulate host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responses, integrating microbial ecology with plant physiology (</w:t>
      </w:r>
      <w:proofErr w:type="spellStart"/>
      <w:r w:rsidRPr="004C16A0">
        <w:rPr>
          <w:rFonts w:ascii="Times New Roman" w:eastAsia="Times New Roman" w:hAnsi="Times New Roman" w:cs="Times New Roman"/>
          <w:kern w:val="0"/>
          <w:sz w:val="24"/>
          <w:szCs w:val="24"/>
          <w:lang w:eastAsia="en-IN"/>
          <w14:ligatures w14:val="none"/>
        </w:rPr>
        <w:t>Ongena</w:t>
      </w:r>
      <w:proofErr w:type="spellEnd"/>
      <w:r w:rsidRPr="004C16A0">
        <w:rPr>
          <w:rFonts w:ascii="Times New Roman" w:eastAsia="Times New Roman" w:hAnsi="Times New Roman" w:cs="Times New Roman"/>
          <w:kern w:val="0"/>
          <w:sz w:val="24"/>
          <w:szCs w:val="24"/>
          <w:lang w:eastAsia="en-IN"/>
          <w14:ligatures w14:val="none"/>
        </w:rPr>
        <w:t xml:space="preserve"> &amp; Jacques, 2008). The scope of this section is to consolidate these ecological and plant-mediated principles into a coherent conceptual basis for managing Fusarium wilts. The objective is to clarify why reliable biocontrol typically requires early root colonization, compatibility with the production substrate and resident microbiota, and multi-mechanism action that combines ecological suppression with plant </w:t>
      </w:r>
      <w:proofErr w:type="spellStart"/>
      <w:r w:rsidRPr="004C16A0">
        <w:rPr>
          <w:rFonts w:ascii="Times New Roman" w:eastAsia="Times New Roman" w:hAnsi="Times New Roman" w:cs="Times New Roman"/>
          <w:kern w:val="0"/>
          <w:sz w:val="24"/>
          <w:szCs w:val="24"/>
          <w:lang w:eastAsia="en-IN"/>
          <w14:ligatures w14:val="none"/>
        </w:rPr>
        <w:t>defense</w:t>
      </w:r>
      <w:proofErr w:type="spellEnd"/>
      <w:r w:rsidRPr="004C16A0">
        <w:rPr>
          <w:rFonts w:ascii="Times New Roman" w:eastAsia="Times New Roman" w:hAnsi="Times New Roman" w:cs="Times New Roman"/>
          <w:kern w:val="0"/>
          <w:sz w:val="24"/>
          <w:szCs w:val="24"/>
          <w:lang w:eastAsia="en-IN"/>
          <w14:ligatures w14:val="none"/>
        </w:rPr>
        <w:t xml:space="preserve"> priming.</w:t>
      </w:r>
    </w:p>
    <w:p w14:paraId="07C6A891" w14:textId="77777777" w:rsid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p>
    <w:p w14:paraId="5D78D261" w14:textId="1B00C65D"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lastRenderedPageBreak/>
        <w:t xml:space="preserve">5. Fungal biocontrol agents with emphasis on </w:t>
      </w:r>
      <w:r w:rsidRPr="004C16A0">
        <w:rPr>
          <w:rFonts w:ascii="Arial" w:eastAsia="Times New Roman" w:hAnsi="Arial" w:cs="Arial"/>
          <w:b/>
          <w:bCs/>
          <w:i/>
          <w:iCs/>
          <w:kern w:val="0"/>
          <w:lang w:eastAsia="en-IN"/>
          <w14:ligatures w14:val="none"/>
        </w:rPr>
        <w:t>Trichoderma</w:t>
      </w:r>
      <w:r w:rsidRPr="004C16A0">
        <w:rPr>
          <w:rFonts w:ascii="Arial" w:eastAsia="Times New Roman" w:hAnsi="Arial" w:cs="Arial"/>
          <w:b/>
          <w:bCs/>
          <w:kern w:val="0"/>
          <w:lang w:eastAsia="en-IN"/>
          <w14:ligatures w14:val="none"/>
        </w:rPr>
        <w:t xml:space="preserve"> spp.</w:t>
      </w:r>
    </w:p>
    <w:p w14:paraId="7F2BC0DB"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5.1. Mechanistic foundations of </w:t>
      </w:r>
      <w:r w:rsidRPr="004C16A0">
        <w:rPr>
          <w:rFonts w:ascii="Arial" w:eastAsia="Times New Roman" w:hAnsi="Arial" w:cs="Arial"/>
          <w:b/>
          <w:bCs/>
          <w:i/>
          <w:iCs/>
          <w:kern w:val="0"/>
          <w:lang w:eastAsia="en-IN"/>
          <w14:ligatures w14:val="none"/>
        </w:rPr>
        <w:t>Trichoderma</w:t>
      </w:r>
      <w:r w:rsidRPr="004C16A0">
        <w:rPr>
          <w:rFonts w:ascii="Arial" w:eastAsia="Times New Roman" w:hAnsi="Arial" w:cs="Arial"/>
          <w:b/>
          <w:bCs/>
          <w:kern w:val="0"/>
          <w:lang w:eastAsia="en-IN"/>
          <w14:ligatures w14:val="none"/>
        </w:rPr>
        <w:t xml:space="preserve"> biocontrol</w:t>
      </w:r>
    </w:p>
    <w:p w14:paraId="4C9287CC" w14:textId="377BB535"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spp. are among the most widely studied fungal biocontrol agents, combining mycoparasitism, antibiosis, competition, and plant interaction traits. A seminal synthesis described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as opportunistic, avirulent plant symbionts capable of root colonization, antagonism of other fungi, and induction of localized and systemic resistance responses (Harman et al., 2004). Such multifunctionality is desirable for Fusarium wilt management, where success depends on both direct suppression in the rhizosphere and indirect enhancement of plant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w:t>
      </w:r>
    </w:p>
    <w:p w14:paraId="2C7068DD" w14:textId="1FE387D3" w:rsidR="004C16A0" w:rsidRPr="004C16A0" w:rsidRDefault="00D0226E"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Beyond live inoculation, bioactive Trichoderma culture filtrates have also been evaluated as elicitor-like inputs that can enhance plant growth traits under Fusarium wilt pressure, supporting the idea that metabolite-driven mechanisms can complement organism-based applications (Kumar et al., 2024).</w:t>
      </w:r>
      <w:r>
        <w:rPr>
          <w:rFonts w:ascii="Arial" w:eastAsia="Times New Roman" w:hAnsi="Arial" w:cs="Arial"/>
          <w:kern w:val="0"/>
          <w:lang w:eastAsia="en-IN"/>
          <w14:ligatures w14:val="none"/>
        </w:rPr>
        <w:t xml:space="preserve"> </w:t>
      </w:r>
      <w:r w:rsidR="004C16A0" w:rsidRPr="004C16A0">
        <w:rPr>
          <w:rFonts w:ascii="Arial" w:eastAsia="Times New Roman" w:hAnsi="Arial" w:cs="Arial"/>
          <w:kern w:val="0"/>
          <w:lang w:eastAsia="en-IN"/>
          <w14:ligatures w14:val="none"/>
        </w:rPr>
        <w:t xml:space="preserve">Systemic resistance induced by </w:t>
      </w:r>
      <w:r w:rsidR="004C16A0" w:rsidRPr="004C16A0">
        <w:rPr>
          <w:rFonts w:ascii="Arial" w:eastAsia="Times New Roman" w:hAnsi="Arial" w:cs="Arial"/>
          <w:i/>
          <w:iCs/>
          <w:kern w:val="0"/>
          <w:lang w:eastAsia="en-IN"/>
          <w14:ligatures w14:val="none"/>
        </w:rPr>
        <w:t>Trichoderma</w:t>
      </w:r>
      <w:r w:rsidR="004C16A0" w:rsidRPr="004C16A0">
        <w:rPr>
          <w:rFonts w:ascii="Arial" w:eastAsia="Times New Roman" w:hAnsi="Arial" w:cs="Arial"/>
          <w:kern w:val="0"/>
          <w:lang w:eastAsia="en-IN"/>
          <w14:ligatures w14:val="none"/>
        </w:rPr>
        <w:t xml:space="preserve"> is not uniform; it varies by strain, host genotype, and environmental context. A dedicated review in </w:t>
      </w:r>
      <w:r w:rsidR="004C16A0" w:rsidRPr="004C16A0">
        <w:rPr>
          <w:rFonts w:ascii="Arial" w:eastAsia="Times New Roman" w:hAnsi="Arial" w:cs="Arial"/>
          <w:i/>
          <w:iCs/>
          <w:kern w:val="0"/>
          <w:lang w:eastAsia="en-IN"/>
          <w14:ligatures w14:val="none"/>
        </w:rPr>
        <w:t>Biological Control</w:t>
      </w:r>
      <w:r w:rsidR="004C16A0" w:rsidRPr="004C16A0">
        <w:rPr>
          <w:rFonts w:ascii="Arial" w:eastAsia="Times New Roman" w:hAnsi="Arial" w:cs="Arial"/>
          <w:kern w:val="0"/>
          <w:lang w:eastAsia="en-IN"/>
          <w14:ligatures w14:val="none"/>
        </w:rPr>
        <w:t xml:space="preserve"> emphasized that </w:t>
      </w:r>
      <w:r w:rsidR="004C16A0" w:rsidRPr="004C16A0">
        <w:rPr>
          <w:rFonts w:ascii="Arial" w:eastAsia="Times New Roman" w:hAnsi="Arial" w:cs="Arial"/>
          <w:i/>
          <w:iCs/>
          <w:kern w:val="0"/>
          <w:lang w:eastAsia="en-IN"/>
          <w14:ligatures w14:val="none"/>
        </w:rPr>
        <w:t>Trichoderma</w:t>
      </w:r>
      <w:r w:rsidR="004C16A0" w:rsidRPr="004C16A0">
        <w:rPr>
          <w:rFonts w:ascii="Arial" w:eastAsia="Times New Roman" w:hAnsi="Arial" w:cs="Arial"/>
          <w:kern w:val="0"/>
          <w:lang w:eastAsia="en-IN"/>
          <w14:ligatures w14:val="none"/>
        </w:rPr>
        <w:t xml:space="preserve">-induced resistance can involve ISR and/or SAR-like pathways, mediated through </w:t>
      </w:r>
      <w:proofErr w:type="spellStart"/>
      <w:r w:rsidR="004C16A0" w:rsidRPr="004C16A0">
        <w:rPr>
          <w:rFonts w:ascii="Arial" w:eastAsia="Times New Roman" w:hAnsi="Arial" w:cs="Arial"/>
          <w:kern w:val="0"/>
          <w:lang w:eastAsia="en-IN"/>
          <w14:ligatures w14:val="none"/>
        </w:rPr>
        <w:t>signaling</w:t>
      </w:r>
      <w:proofErr w:type="spellEnd"/>
      <w:r w:rsidR="004C16A0" w:rsidRPr="004C16A0">
        <w:rPr>
          <w:rFonts w:ascii="Arial" w:eastAsia="Times New Roman" w:hAnsi="Arial" w:cs="Arial"/>
          <w:kern w:val="0"/>
          <w:lang w:eastAsia="en-IN"/>
          <w14:ligatures w14:val="none"/>
        </w:rPr>
        <w:t xml:space="preserve"> molecules and </w:t>
      </w:r>
      <w:proofErr w:type="spellStart"/>
      <w:r w:rsidR="004C16A0" w:rsidRPr="004C16A0">
        <w:rPr>
          <w:rFonts w:ascii="Arial" w:eastAsia="Times New Roman" w:hAnsi="Arial" w:cs="Arial"/>
          <w:kern w:val="0"/>
          <w:lang w:eastAsia="en-IN"/>
          <w14:ligatures w14:val="none"/>
        </w:rPr>
        <w:t>defense</w:t>
      </w:r>
      <w:proofErr w:type="spellEnd"/>
      <w:r w:rsidR="004C16A0" w:rsidRPr="004C16A0">
        <w:rPr>
          <w:rFonts w:ascii="Arial" w:eastAsia="Times New Roman" w:hAnsi="Arial" w:cs="Arial"/>
          <w:kern w:val="0"/>
          <w:lang w:eastAsia="en-IN"/>
          <w14:ligatures w14:val="none"/>
        </w:rPr>
        <w:t>-related gene expression, and that variability remains a practical constraint (</w:t>
      </w:r>
      <w:proofErr w:type="spellStart"/>
      <w:r w:rsidR="004C16A0" w:rsidRPr="004C16A0">
        <w:rPr>
          <w:rFonts w:ascii="Arial" w:eastAsia="Times New Roman" w:hAnsi="Arial" w:cs="Arial"/>
          <w:kern w:val="0"/>
          <w:lang w:eastAsia="en-IN"/>
          <w14:ligatures w14:val="none"/>
        </w:rPr>
        <w:t>Nawrocka</w:t>
      </w:r>
      <w:proofErr w:type="spellEnd"/>
      <w:r w:rsidR="004C16A0" w:rsidRPr="004C16A0">
        <w:rPr>
          <w:rFonts w:ascii="Arial" w:eastAsia="Times New Roman" w:hAnsi="Arial" w:cs="Arial"/>
          <w:kern w:val="0"/>
          <w:lang w:eastAsia="en-IN"/>
          <w14:ligatures w14:val="none"/>
        </w:rPr>
        <w:t xml:space="preserve"> &amp; </w:t>
      </w:r>
      <w:proofErr w:type="spellStart"/>
      <w:r w:rsidR="004C16A0" w:rsidRPr="004C16A0">
        <w:rPr>
          <w:rFonts w:ascii="Arial" w:eastAsia="Times New Roman" w:hAnsi="Arial" w:cs="Arial"/>
          <w:kern w:val="0"/>
          <w:lang w:eastAsia="en-IN"/>
          <w14:ligatures w14:val="none"/>
        </w:rPr>
        <w:t>Małolepsza</w:t>
      </w:r>
      <w:proofErr w:type="spellEnd"/>
      <w:r w:rsidR="004C16A0" w:rsidRPr="004C16A0">
        <w:rPr>
          <w:rFonts w:ascii="Arial" w:eastAsia="Times New Roman" w:hAnsi="Arial" w:cs="Arial"/>
          <w:kern w:val="0"/>
          <w:lang w:eastAsia="en-IN"/>
          <w14:ligatures w14:val="none"/>
        </w:rPr>
        <w:t>, 2013). For ornamentals, this variability underscores the need for strain selection under realistic production conditions, including relevant substrates and fertigation regimes.</w:t>
      </w:r>
    </w:p>
    <w:p w14:paraId="6F73B243"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5.2. Evidence in carnation Fusarium wilt systems</w:t>
      </w:r>
    </w:p>
    <w:p w14:paraId="448A9539"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Carnation-specific studies increasingly support the feasibility of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-based suppression of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A recent investigation isolated </w:t>
      </w:r>
      <w:r w:rsidRPr="004C16A0">
        <w:rPr>
          <w:rFonts w:ascii="Arial" w:eastAsia="Times New Roman" w:hAnsi="Arial" w:cs="Arial"/>
          <w:i/>
          <w:iCs/>
          <w:kern w:val="0"/>
          <w:lang w:eastAsia="en-IN"/>
          <w14:ligatures w14:val="none"/>
        </w:rPr>
        <w:t xml:space="preserve">T. </w:t>
      </w:r>
      <w:proofErr w:type="spellStart"/>
      <w:r w:rsidRPr="004C16A0">
        <w:rPr>
          <w:rFonts w:ascii="Arial" w:eastAsia="Times New Roman" w:hAnsi="Arial" w:cs="Arial"/>
          <w:i/>
          <w:iCs/>
          <w:kern w:val="0"/>
          <w:lang w:eastAsia="en-IN"/>
          <w14:ligatures w14:val="none"/>
        </w:rPr>
        <w:t>harzianum</w:t>
      </w:r>
      <w:proofErr w:type="spellEnd"/>
      <w:r w:rsidRPr="004C16A0">
        <w:rPr>
          <w:rFonts w:ascii="Arial" w:eastAsia="Times New Roman" w:hAnsi="Arial" w:cs="Arial"/>
          <w:kern w:val="0"/>
          <w:lang w:eastAsia="en-IN"/>
          <w14:ligatures w14:val="none"/>
        </w:rPr>
        <w:t xml:space="preserve"> and </w:t>
      </w:r>
      <w:r w:rsidRPr="004C16A0">
        <w:rPr>
          <w:rFonts w:ascii="Arial" w:eastAsia="Times New Roman" w:hAnsi="Arial" w:cs="Arial"/>
          <w:i/>
          <w:iCs/>
          <w:kern w:val="0"/>
          <w:lang w:eastAsia="en-IN"/>
          <w14:ligatures w14:val="none"/>
        </w:rPr>
        <w:t xml:space="preserve">T. </w:t>
      </w:r>
      <w:proofErr w:type="spellStart"/>
      <w:r w:rsidRPr="004C16A0">
        <w:rPr>
          <w:rFonts w:ascii="Arial" w:eastAsia="Times New Roman" w:hAnsi="Arial" w:cs="Arial"/>
          <w:i/>
          <w:iCs/>
          <w:kern w:val="0"/>
          <w:lang w:eastAsia="en-IN"/>
          <w14:ligatures w14:val="none"/>
        </w:rPr>
        <w:t>viride</w:t>
      </w:r>
      <w:proofErr w:type="spellEnd"/>
      <w:r w:rsidRPr="004C16A0">
        <w:rPr>
          <w:rFonts w:ascii="Arial" w:eastAsia="Times New Roman" w:hAnsi="Arial" w:cs="Arial"/>
          <w:kern w:val="0"/>
          <w:lang w:eastAsia="en-IN"/>
          <w14:ligatures w14:val="none"/>
        </w:rPr>
        <w:t xml:space="preserve"> from carnation rhizospheres, characterized genetic diversity, and evaluated antagonism against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using dual culture, volatile-mediated inhibition, and greenhouse assays. Notably, selected isolates suppressed pathogen growth in vitro and, in greenhouse experiments, substantially reduced or eliminated disease symptoms relative to pathogen-only controls, suggesting strong potential for preventive application in carnation systems (</w:t>
      </w:r>
      <w:proofErr w:type="spellStart"/>
      <w:r w:rsidRPr="004C16A0">
        <w:rPr>
          <w:rFonts w:ascii="Arial" w:eastAsia="Times New Roman" w:hAnsi="Arial" w:cs="Arial"/>
          <w:kern w:val="0"/>
          <w:lang w:eastAsia="en-IN"/>
          <w14:ligatures w14:val="none"/>
        </w:rPr>
        <w:t>Zandyavari</w:t>
      </w:r>
      <w:proofErr w:type="spellEnd"/>
      <w:r w:rsidRPr="004C16A0">
        <w:rPr>
          <w:rFonts w:ascii="Arial" w:eastAsia="Times New Roman" w:hAnsi="Arial" w:cs="Arial"/>
          <w:kern w:val="0"/>
          <w:lang w:eastAsia="en-IN"/>
          <w14:ligatures w14:val="none"/>
        </w:rPr>
        <w:t xml:space="preserve"> et al., 2024). While such results are promising, translation requires attention to formulation stability, delivery timing (e.g., during rooting), and performance across diverse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w:t>
      </w:r>
    </w:p>
    <w:p w14:paraId="138B804E" w14:textId="2A6DBEE2"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activity often interacts with the substrate microbiome. Earlier work on systemic resistance in compost-amended substrates showed that disease control by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can be enhanced in microbially active media compared with low-microbial-capacity substrates, implying that the “ecological stage” of the medium modulates the expression of biocontrol traits (</w:t>
      </w:r>
      <w:proofErr w:type="spellStart"/>
      <w:r w:rsidR="00D3490B" w:rsidRPr="00D3490B">
        <w:rPr>
          <w:rFonts w:ascii="Arial" w:eastAsia="Times New Roman" w:hAnsi="Arial" w:cs="Arial"/>
          <w:kern w:val="0"/>
          <w:lang w:eastAsia="en-IN"/>
          <w14:ligatures w14:val="none"/>
        </w:rPr>
        <w:t>Hoitink</w:t>
      </w:r>
      <w:proofErr w:type="spellEnd"/>
      <w:r w:rsidR="00D3490B">
        <w:rPr>
          <w:rFonts w:ascii="Arial" w:eastAsia="Times New Roman" w:hAnsi="Arial" w:cs="Arial"/>
          <w:kern w:val="0"/>
          <w:lang w:eastAsia="en-IN"/>
          <w14:ligatures w14:val="none"/>
        </w:rPr>
        <w:t xml:space="preserve"> </w:t>
      </w:r>
      <w:r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In carnation production, where growers may use peat-based, coir-based, or compost-amended mixes, these interactions can help explain inconsistent performance when microbial products are applied without considering substrate ecology.</w:t>
      </w:r>
    </w:p>
    <w:p w14:paraId="69C5E695"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5.3. Practical considerations for deployment in ornamentals</w:t>
      </w:r>
    </w:p>
    <w:p w14:paraId="682BCF72"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In ornamental systems,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is often applied as a drench, incorporated into substrates, or delivered during propagation. Effective colonization during early rooting is particularly important because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infection commonly initiates at the root. However, commercial constraints include sterilized or near-sterilized media, fungicide compatibility, and variable temperature and moisture regimes in propagation benches. The production of volatile organic compounds and secreted enzymes by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can contribute to suppression, but these traits are sensitive to nutrient availability and microbial competition. Consequently, successful programs typically align product choice with a delivery method that ensures early establishment and persistence.</w:t>
      </w:r>
    </w:p>
    <w:p w14:paraId="73C24923" w14:textId="75B77129"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7F7CC629"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 Bacterial biocontrol agents: </w:t>
      </w:r>
      <w:r w:rsidRPr="004C16A0">
        <w:rPr>
          <w:rFonts w:ascii="Arial" w:eastAsia="Times New Roman" w:hAnsi="Arial" w:cs="Arial"/>
          <w:b/>
          <w:bCs/>
          <w:i/>
          <w:iCs/>
          <w:kern w:val="0"/>
          <w:lang w:eastAsia="en-IN"/>
          <w14:ligatures w14:val="none"/>
        </w:rPr>
        <w:t>Pseudomonas</w:t>
      </w:r>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Bacillus</w:t>
      </w:r>
      <w:r w:rsidRPr="004C16A0">
        <w:rPr>
          <w:rFonts w:ascii="Arial" w:eastAsia="Times New Roman" w:hAnsi="Arial" w:cs="Arial"/>
          <w:b/>
          <w:bCs/>
          <w:kern w:val="0"/>
          <w:lang w:eastAsia="en-IN"/>
          <w14:ligatures w14:val="none"/>
        </w:rPr>
        <w:t>, and allied PGPR</w:t>
      </w:r>
    </w:p>
    <w:p w14:paraId="70CB1C3C"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6.1. Fluorescent </w:t>
      </w:r>
      <w:r w:rsidRPr="004C16A0">
        <w:rPr>
          <w:rFonts w:ascii="Arial" w:eastAsia="Times New Roman" w:hAnsi="Arial" w:cs="Arial"/>
          <w:b/>
          <w:bCs/>
          <w:i/>
          <w:iCs/>
          <w:kern w:val="0"/>
          <w:lang w:eastAsia="en-IN"/>
          <w14:ligatures w14:val="none"/>
        </w:rPr>
        <w:t>Pseudomonas</w:t>
      </w:r>
      <w:r w:rsidRPr="004C16A0">
        <w:rPr>
          <w:rFonts w:ascii="Arial" w:eastAsia="Times New Roman" w:hAnsi="Arial" w:cs="Arial"/>
          <w:b/>
          <w:bCs/>
          <w:kern w:val="0"/>
          <w:lang w:eastAsia="en-IN"/>
          <w14:ligatures w14:val="none"/>
        </w:rPr>
        <w:t xml:space="preserve"> and antagonistic rhizobacteria</w:t>
      </w:r>
    </w:p>
    <w:p w14:paraId="3B07280D"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Fluorescent </w:t>
      </w:r>
      <w:r w:rsidRPr="004C16A0">
        <w:rPr>
          <w:rFonts w:ascii="Arial" w:eastAsia="Times New Roman" w:hAnsi="Arial" w:cs="Arial"/>
          <w:i/>
          <w:iCs/>
          <w:kern w:val="0"/>
          <w:lang w:eastAsia="en-IN"/>
          <w14:ligatures w14:val="none"/>
        </w:rPr>
        <w:t>Pseudomonas</w:t>
      </w:r>
      <w:r w:rsidRPr="004C16A0">
        <w:rPr>
          <w:rFonts w:ascii="Arial" w:eastAsia="Times New Roman" w:hAnsi="Arial" w:cs="Arial"/>
          <w:kern w:val="0"/>
          <w:lang w:eastAsia="en-IN"/>
          <w14:ligatures w14:val="none"/>
        </w:rPr>
        <w:t xml:space="preserve"> are model PGPR biocontrol agents against soilborne pathogens due to their rhizosphere competence and production of antifungal metabolites. A foundational review detailed how biocontrol strains suppress pathogens through antibiotics, ISR induction, and interference with fungal pathogenicity factors, emphasizing that successful suppression requires both metabolic capacity and ecological fitness (Haas &amp; </w:t>
      </w:r>
      <w:proofErr w:type="spellStart"/>
      <w:r w:rsidRPr="004C16A0">
        <w:rPr>
          <w:rFonts w:ascii="Arial" w:eastAsia="Times New Roman" w:hAnsi="Arial" w:cs="Arial"/>
          <w:kern w:val="0"/>
          <w:lang w:eastAsia="en-IN"/>
          <w14:ligatures w14:val="none"/>
        </w:rPr>
        <w:t>Défago</w:t>
      </w:r>
      <w:proofErr w:type="spellEnd"/>
      <w:r w:rsidRPr="004C16A0">
        <w:rPr>
          <w:rFonts w:ascii="Arial" w:eastAsia="Times New Roman" w:hAnsi="Arial" w:cs="Arial"/>
          <w:kern w:val="0"/>
          <w:lang w:eastAsia="en-IN"/>
          <w14:ligatures w14:val="none"/>
        </w:rPr>
        <w:t xml:space="preserve">, 2005). In Fusarium wilt contexts, these properties can reduce pathogen establishment in the rhizosphere and prime host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against vascular invasion.</w:t>
      </w:r>
    </w:p>
    <w:p w14:paraId="1C98571D"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 retrospective synthesis of three decades of </w:t>
      </w:r>
      <w:r w:rsidRPr="004C16A0">
        <w:rPr>
          <w:rFonts w:ascii="Arial" w:eastAsia="Times New Roman" w:hAnsi="Arial" w:cs="Arial"/>
          <w:i/>
          <w:iCs/>
          <w:kern w:val="0"/>
          <w:lang w:eastAsia="en-IN"/>
          <w14:ligatures w14:val="none"/>
        </w:rPr>
        <w:t>Pseudomonas</w:t>
      </w:r>
      <w:r w:rsidRPr="004C16A0">
        <w:rPr>
          <w:rFonts w:ascii="Arial" w:eastAsia="Times New Roman" w:hAnsi="Arial" w:cs="Arial"/>
          <w:kern w:val="0"/>
          <w:lang w:eastAsia="en-IN"/>
          <w14:ligatures w14:val="none"/>
        </w:rPr>
        <w:t xml:space="preserve"> biocontrol research highlighted advances in understanding root colonization, environmental determinants of persistence, and mechanisms of pathogen suppression, reinforcing that consistent field outcomes hinge on delivering and maintaining effective populations on roots (Weller, 2007). For carnation, which is commonly grown under protected culture with controlled fertigation, the capacity to manage rhizosphere conditions may offer an advantage for stabilizing bacterial colonization, provided that sanitation and chemical compatibility are managed appropriately.</w:t>
      </w:r>
    </w:p>
    <w:p w14:paraId="1B52A597"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6.2. </w:t>
      </w:r>
      <w:r w:rsidRPr="004C16A0">
        <w:rPr>
          <w:rFonts w:ascii="Arial" w:eastAsia="Times New Roman" w:hAnsi="Arial" w:cs="Arial"/>
          <w:b/>
          <w:bCs/>
          <w:i/>
          <w:iCs/>
          <w:kern w:val="0"/>
          <w:lang w:eastAsia="en-IN"/>
          <w14:ligatures w14:val="none"/>
        </w:rPr>
        <w:t>Bacillus</w:t>
      </w:r>
      <w:r w:rsidRPr="004C16A0">
        <w:rPr>
          <w:rFonts w:ascii="Arial" w:eastAsia="Times New Roman" w:hAnsi="Arial" w:cs="Arial"/>
          <w:b/>
          <w:bCs/>
          <w:kern w:val="0"/>
          <w:lang w:eastAsia="en-IN"/>
          <w14:ligatures w14:val="none"/>
        </w:rPr>
        <w:t xml:space="preserve"> and lipopeptide-mediated suppression</w:t>
      </w:r>
    </w:p>
    <w:p w14:paraId="4CA75238" w14:textId="3B5F85AA"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spp. are attractive for commercial biocontrol because they form endospores, providing shelf stability and resilience under harsh conditions. Practical evidence supporting this approach includes seed/seedling-stage bioproduct applications based on Trichoderma spp. and Bacillus subtilis that reduced Fusarium wilt incidence and severity under controlled conditions (de Farias et al., 2019).</w:t>
      </w:r>
      <w:r>
        <w:rPr>
          <w:rFonts w:ascii="Arial" w:eastAsia="Times New Roman" w:hAnsi="Arial" w:cs="Arial"/>
          <w:kern w:val="0"/>
          <w:lang w:eastAsia="en-IN"/>
          <w14:ligatures w14:val="none"/>
        </w:rPr>
        <w:t xml:space="preserve"> </w:t>
      </w:r>
      <w:r w:rsidRPr="004C16A0">
        <w:rPr>
          <w:rFonts w:ascii="Arial" w:eastAsia="Times New Roman" w:hAnsi="Arial" w:cs="Arial"/>
          <w:kern w:val="0"/>
          <w:lang w:eastAsia="en-IN"/>
          <w14:ligatures w14:val="none"/>
        </w:rPr>
        <w:t>Their efficacy often derives from cyclic lipopeptides (</w:t>
      </w:r>
      <w:proofErr w:type="spellStart"/>
      <w:r w:rsidRPr="004C16A0">
        <w:rPr>
          <w:rFonts w:ascii="Arial" w:eastAsia="Times New Roman" w:hAnsi="Arial" w:cs="Arial"/>
          <w:kern w:val="0"/>
          <w:lang w:eastAsia="en-IN"/>
          <w14:ligatures w14:val="none"/>
        </w:rPr>
        <w:t>surfactins</w:t>
      </w:r>
      <w:proofErr w:type="spellEnd"/>
      <w:r w:rsidRPr="004C16A0">
        <w:rPr>
          <w:rFonts w:ascii="Arial" w:eastAsia="Times New Roman" w:hAnsi="Arial" w:cs="Arial"/>
          <w:kern w:val="0"/>
          <w:lang w:eastAsia="en-IN"/>
          <w14:ligatures w14:val="none"/>
        </w:rPr>
        <w:t xml:space="preserve">, </w:t>
      </w:r>
      <w:proofErr w:type="spellStart"/>
      <w:r w:rsidRPr="004C16A0">
        <w:rPr>
          <w:rFonts w:ascii="Arial" w:eastAsia="Times New Roman" w:hAnsi="Arial" w:cs="Arial"/>
          <w:kern w:val="0"/>
          <w:lang w:eastAsia="en-IN"/>
          <w14:ligatures w14:val="none"/>
        </w:rPr>
        <w:t>iturins</w:t>
      </w:r>
      <w:proofErr w:type="spellEnd"/>
      <w:r w:rsidRPr="004C16A0">
        <w:rPr>
          <w:rFonts w:ascii="Arial" w:eastAsia="Times New Roman" w:hAnsi="Arial" w:cs="Arial"/>
          <w:kern w:val="0"/>
          <w:lang w:eastAsia="en-IN"/>
          <w14:ligatures w14:val="none"/>
        </w:rPr>
        <w:t xml:space="preserve">, </w:t>
      </w:r>
      <w:proofErr w:type="spellStart"/>
      <w:r w:rsidRPr="004C16A0">
        <w:rPr>
          <w:rFonts w:ascii="Arial" w:eastAsia="Times New Roman" w:hAnsi="Arial" w:cs="Arial"/>
          <w:kern w:val="0"/>
          <w:lang w:eastAsia="en-IN"/>
          <w14:ligatures w14:val="none"/>
        </w:rPr>
        <w:t>fengycins</w:t>
      </w:r>
      <w:proofErr w:type="spellEnd"/>
      <w:r w:rsidRPr="004C16A0">
        <w:rPr>
          <w:rFonts w:ascii="Arial" w:eastAsia="Times New Roman" w:hAnsi="Arial" w:cs="Arial"/>
          <w:kern w:val="0"/>
          <w:lang w:eastAsia="en-IN"/>
          <w14:ligatures w14:val="none"/>
        </w:rPr>
        <w:t xml:space="preserve">) that can directly inhibit fungi and also influence biofilm formation, root colonization, and plant </w:t>
      </w:r>
      <w:proofErr w:type="spellStart"/>
      <w:r w:rsidRPr="004C16A0">
        <w:rPr>
          <w:rFonts w:ascii="Arial" w:eastAsia="Times New Roman" w:hAnsi="Arial" w:cs="Arial"/>
          <w:kern w:val="0"/>
          <w:lang w:eastAsia="en-IN"/>
          <w14:ligatures w14:val="none"/>
        </w:rPr>
        <w:t>defense</w:t>
      </w:r>
      <w:proofErr w:type="spellEnd"/>
      <w:r w:rsidRPr="004C16A0">
        <w:rPr>
          <w:rFonts w:ascii="Arial" w:eastAsia="Times New Roman" w:hAnsi="Arial" w:cs="Arial"/>
          <w:kern w:val="0"/>
          <w:lang w:eastAsia="en-IN"/>
          <w14:ligatures w14:val="none"/>
        </w:rPr>
        <w:t xml:space="preserve"> stimulation. A widely cited review emphasized that </w:t>
      </w: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lipopeptides function as “versatile weapons” in biocontrol by combining antimicrobial and plant-interactive roles (</w:t>
      </w:r>
      <w:proofErr w:type="spellStart"/>
      <w:r w:rsidRPr="004C16A0">
        <w:rPr>
          <w:rFonts w:ascii="Arial" w:eastAsia="Times New Roman" w:hAnsi="Arial" w:cs="Arial"/>
          <w:kern w:val="0"/>
          <w:lang w:eastAsia="en-IN"/>
          <w14:ligatures w14:val="none"/>
        </w:rPr>
        <w:t>Ongena</w:t>
      </w:r>
      <w:proofErr w:type="spellEnd"/>
      <w:r w:rsidRPr="004C16A0">
        <w:rPr>
          <w:rFonts w:ascii="Arial" w:eastAsia="Times New Roman" w:hAnsi="Arial" w:cs="Arial"/>
          <w:kern w:val="0"/>
          <w:lang w:eastAsia="en-IN"/>
          <w14:ligatures w14:val="none"/>
        </w:rPr>
        <w:t xml:space="preserve"> &amp; Jacques, 2008). Such multifunctionality is relevant for Fusarium wilt, where both direct antagonism and host priming can contribute to reduced disease.</w:t>
      </w:r>
    </w:p>
    <w:p w14:paraId="4A0A094E" w14:textId="4BC7EF4E"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Beyond single products, bacterial antibiotics and secondary metabolites can shape rhizosphere community dynamics. A comprehensive Annual Review article discussed the diversity and ecological roles of antibiotics produced by beneficial and plant-pathogenic bacteria, emphasizing that antibiotics can function not only as pathogen suppressors but also as </w:t>
      </w:r>
      <w:proofErr w:type="spellStart"/>
      <w:r w:rsidRPr="004C16A0">
        <w:rPr>
          <w:rFonts w:ascii="Arial" w:eastAsia="Times New Roman" w:hAnsi="Arial" w:cs="Arial"/>
          <w:kern w:val="0"/>
          <w:lang w:eastAsia="en-IN"/>
          <w14:ligatures w14:val="none"/>
        </w:rPr>
        <w:t>signaling</w:t>
      </w:r>
      <w:proofErr w:type="spellEnd"/>
      <w:r w:rsidRPr="004C16A0">
        <w:rPr>
          <w:rFonts w:ascii="Arial" w:eastAsia="Times New Roman" w:hAnsi="Arial" w:cs="Arial"/>
          <w:kern w:val="0"/>
          <w:lang w:eastAsia="en-IN"/>
          <w14:ligatures w14:val="none"/>
        </w:rPr>
        <w:t xml:space="preserve"> molecules and determinants of microbial community structure (</w:t>
      </w:r>
      <w:proofErr w:type="spellStart"/>
      <w:r w:rsidR="00D3490B" w:rsidRPr="004C16A0">
        <w:rPr>
          <w:rFonts w:ascii="Times New Roman" w:eastAsia="Times New Roman" w:hAnsi="Times New Roman" w:cs="Times New Roman"/>
          <w:kern w:val="0"/>
          <w:sz w:val="24"/>
          <w:szCs w:val="24"/>
          <w:lang w:eastAsia="en-IN"/>
          <w14:ligatures w14:val="none"/>
        </w:rPr>
        <w:t>Raaijmakers</w:t>
      </w:r>
      <w:proofErr w:type="spellEnd"/>
      <w:r w:rsidR="00D3490B" w:rsidRPr="004C16A0">
        <w:rPr>
          <w:rFonts w:ascii="Times New Roman" w:eastAsia="Times New Roman" w:hAnsi="Times New Roman" w:cs="Times New Roman"/>
          <w:kern w:val="0"/>
          <w:sz w:val="24"/>
          <w:szCs w:val="24"/>
          <w:lang w:eastAsia="en-IN"/>
          <w14:ligatures w14:val="none"/>
        </w:rPr>
        <w:t xml:space="preserve"> &amp; Mazzola, 2012</w:t>
      </w:r>
      <w:r w:rsidRPr="004C16A0">
        <w:rPr>
          <w:rFonts w:ascii="Arial" w:eastAsia="Times New Roman" w:hAnsi="Arial" w:cs="Arial"/>
          <w:kern w:val="0"/>
          <w:lang w:eastAsia="en-IN"/>
          <w14:ligatures w14:val="none"/>
        </w:rPr>
        <w:t>). For carnation, this perspective supports designing programs that foster stable suppressive communities rather than relying solely on transient pathogen inhibition.</w:t>
      </w:r>
    </w:p>
    <w:p w14:paraId="7E13E2CD"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6.3. ISR and </w:t>
      </w:r>
      <w:proofErr w:type="spellStart"/>
      <w:r w:rsidRPr="004C16A0">
        <w:rPr>
          <w:rFonts w:ascii="Arial" w:eastAsia="Times New Roman" w:hAnsi="Arial" w:cs="Arial"/>
          <w:b/>
          <w:bCs/>
          <w:kern w:val="0"/>
          <w:lang w:eastAsia="en-IN"/>
          <w14:ligatures w14:val="none"/>
        </w:rPr>
        <w:t>defense</w:t>
      </w:r>
      <w:proofErr w:type="spellEnd"/>
      <w:r w:rsidRPr="004C16A0">
        <w:rPr>
          <w:rFonts w:ascii="Arial" w:eastAsia="Times New Roman" w:hAnsi="Arial" w:cs="Arial"/>
          <w:b/>
          <w:bCs/>
          <w:kern w:val="0"/>
          <w:lang w:eastAsia="en-IN"/>
          <w14:ligatures w14:val="none"/>
        </w:rPr>
        <w:t xml:space="preserve"> priming as a unifying bacterial mechanism</w:t>
      </w:r>
    </w:p>
    <w:p w14:paraId="5BF0E122"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ISR induced by beneficial microbes is increasingly viewed as a cornerstone mechanism for durable, eco-friendly disease control. A major Annual Review synthesis described how root-associated mutualists prime systemic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often through </w:t>
      </w:r>
      <w:proofErr w:type="spellStart"/>
      <w:r w:rsidRPr="004C16A0">
        <w:rPr>
          <w:rFonts w:ascii="Arial" w:eastAsia="Times New Roman" w:hAnsi="Arial" w:cs="Arial"/>
          <w:kern w:val="0"/>
          <w:lang w:eastAsia="en-IN"/>
          <w14:ligatures w14:val="none"/>
        </w:rPr>
        <w:t>jasmonate</w:t>
      </w:r>
      <w:proofErr w:type="spellEnd"/>
      <w:r w:rsidRPr="004C16A0">
        <w:rPr>
          <w:rFonts w:ascii="Arial" w:eastAsia="Times New Roman" w:hAnsi="Arial" w:cs="Arial"/>
          <w:kern w:val="0"/>
          <w:lang w:eastAsia="en-IN"/>
          <w14:ligatures w14:val="none"/>
        </w:rPr>
        <w:t xml:space="preserve">/ethylene-linked </w:t>
      </w:r>
      <w:proofErr w:type="spellStart"/>
      <w:r w:rsidRPr="004C16A0">
        <w:rPr>
          <w:rFonts w:ascii="Arial" w:eastAsia="Times New Roman" w:hAnsi="Arial" w:cs="Arial"/>
          <w:kern w:val="0"/>
          <w:lang w:eastAsia="en-IN"/>
          <w14:ligatures w14:val="none"/>
        </w:rPr>
        <w:t>signaling</w:t>
      </w:r>
      <w:proofErr w:type="spellEnd"/>
      <w:r w:rsidRPr="004C16A0">
        <w:rPr>
          <w:rFonts w:ascii="Arial" w:eastAsia="Times New Roman" w:hAnsi="Arial" w:cs="Arial"/>
          <w:kern w:val="0"/>
          <w:lang w:eastAsia="en-IN"/>
          <w14:ligatures w14:val="none"/>
        </w:rPr>
        <w:t>, enabling broad-spectrum protection with limited fitness costs (Pieterse et al., 2014). In the context of carnation Fusarium wilt, ISR is particularly valuable because it can enhance resistance at multiple stages of infection, including early root penetration and subsequent vascular spread.</w:t>
      </w:r>
    </w:p>
    <w:p w14:paraId="42F9CF8F" w14:textId="525D462B"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049C849C"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7. Suppressive substrates, composts, and </w:t>
      </w:r>
      <w:proofErr w:type="spellStart"/>
      <w:r w:rsidRPr="004C16A0">
        <w:rPr>
          <w:rFonts w:ascii="Arial" w:eastAsia="Times New Roman" w:hAnsi="Arial" w:cs="Arial"/>
          <w:b/>
          <w:bCs/>
          <w:kern w:val="0"/>
          <w:lang w:eastAsia="en-IN"/>
          <w14:ligatures w14:val="none"/>
        </w:rPr>
        <w:t>nonpathogenic</w:t>
      </w:r>
      <w:proofErr w:type="spellEnd"/>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Fusarium</w:t>
      </w:r>
      <w:r w:rsidRPr="004C16A0">
        <w:rPr>
          <w:rFonts w:ascii="Arial" w:eastAsia="Times New Roman" w:hAnsi="Arial" w:cs="Arial"/>
          <w:b/>
          <w:bCs/>
          <w:kern w:val="0"/>
          <w:lang w:eastAsia="en-IN"/>
          <w14:ligatures w14:val="none"/>
        </w:rPr>
        <w:t>: engineering the disease-suppressive environment</w:t>
      </w:r>
    </w:p>
    <w:p w14:paraId="0397F81E"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7.1. Compost suppressiveness in carnation systems</w:t>
      </w:r>
    </w:p>
    <w:p w14:paraId="78164726"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Suppressive composts and compost-amended media represent a powerful, system-level approach to Fusarium wilt management in ornamentals. Unlike single-agent inoculants, compost suppressiveness can arise from complex microbial communities, resource competition, enzymatic activity, and physicochemical properties that collectively reduce pathogen fitness. In carnation, suppressiveness has been empirically demonstrated across different compost types. A controlled study evaluating multiple growth media found that compost-based media varied in </w:t>
      </w:r>
      <w:proofErr w:type="spellStart"/>
      <w:r w:rsidRPr="004C16A0">
        <w:rPr>
          <w:rFonts w:ascii="Arial" w:eastAsia="Times New Roman" w:hAnsi="Arial" w:cs="Arial"/>
          <w:kern w:val="0"/>
          <w:lang w:eastAsia="en-IN"/>
          <w14:ligatures w14:val="none"/>
        </w:rPr>
        <w:t>suppressiveness</w:t>
      </w:r>
      <w:proofErr w:type="spellEnd"/>
      <w:r w:rsidRPr="004C16A0">
        <w:rPr>
          <w:rFonts w:ascii="Arial" w:eastAsia="Times New Roman" w:hAnsi="Arial" w:cs="Arial"/>
          <w:kern w:val="0"/>
          <w:lang w:eastAsia="en-IN"/>
          <w14:ligatures w14:val="none"/>
        </w:rPr>
        <w:t xml:space="preserve"> to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and that indicators such as enzymatic activity and pH were associated with disease outcomes, supporting the feasibility of selecting or designing media for predictable suppression (Borrero et al., 2009).</w:t>
      </w:r>
    </w:p>
    <w:p w14:paraId="09B47C1D"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From a practical standpoint, compost suppressiveness is attractive because substrates are already integral inputs in carnation cultivation. However, variability in feedstock, composting conditions, maturity, and microbial composition can produce inconsistent results. Therefore, moving from “compost use” to “compost design” is a key translational step, involving standardized maturity indices, microbial profiling, and compatibility testing with introduced biocontrol agents.</w:t>
      </w:r>
    </w:p>
    <w:p w14:paraId="6C0A0906"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 xml:space="preserve">7.2. </w:t>
      </w:r>
      <w:proofErr w:type="spellStart"/>
      <w:r w:rsidRPr="004C16A0">
        <w:rPr>
          <w:rFonts w:ascii="Arial" w:eastAsia="Times New Roman" w:hAnsi="Arial" w:cs="Arial"/>
          <w:b/>
          <w:bCs/>
          <w:kern w:val="0"/>
          <w:lang w:eastAsia="en-IN"/>
          <w14:ligatures w14:val="none"/>
        </w:rPr>
        <w:t>Nonpathogenic</w:t>
      </w:r>
      <w:proofErr w:type="spellEnd"/>
      <w:r w:rsidRPr="004C16A0">
        <w:rPr>
          <w:rFonts w:ascii="Arial" w:eastAsia="Times New Roman" w:hAnsi="Arial" w:cs="Arial"/>
          <w:b/>
          <w:bCs/>
          <w:kern w:val="0"/>
          <w:lang w:eastAsia="en-IN"/>
          <w14:ligatures w14:val="none"/>
        </w:rPr>
        <w:t xml:space="preserve"> </w:t>
      </w:r>
      <w:r w:rsidRPr="004C16A0">
        <w:rPr>
          <w:rFonts w:ascii="Arial" w:eastAsia="Times New Roman" w:hAnsi="Arial" w:cs="Arial"/>
          <w:b/>
          <w:bCs/>
          <w:i/>
          <w:iCs/>
          <w:kern w:val="0"/>
          <w:lang w:eastAsia="en-IN"/>
          <w14:ligatures w14:val="none"/>
        </w:rPr>
        <w:t>Fusarium</w:t>
      </w:r>
      <w:r w:rsidRPr="004C16A0">
        <w:rPr>
          <w:rFonts w:ascii="Arial" w:eastAsia="Times New Roman" w:hAnsi="Arial" w:cs="Arial"/>
          <w:b/>
          <w:bCs/>
          <w:kern w:val="0"/>
          <w:lang w:eastAsia="en-IN"/>
          <w14:ligatures w14:val="none"/>
        </w:rPr>
        <w:t xml:space="preserve"> and niche exclusion</w:t>
      </w:r>
    </w:p>
    <w:p w14:paraId="580916A0"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strains of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can suppress Fusarium wilt by occupying similar ecological niches and competing for nutrients and infection sites. In carnation, classic work demonstrated that a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isolate could colonize stems and substantially reduce Fusarium wilt severity, linking biocontrol efficacy to internal colonization patterns and niche exclusion within host tissues (Postma &amp; </w:t>
      </w:r>
      <w:proofErr w:type="spellStart"/>
      <w:r w:rsidRPr="004C16A0">
        <w:rPr>
          <w:rFonts w:ascii="Arial" w:eastAsia="Times New Roman" w:hAnsi="Arial" w:cs="Arial"/>
          <w:kern w:val="0"/>
          <w:lang w:eastAsia="en-IN"/>
          <w14:ligatures w14:val="none"/>
        </w:rPr>
        <w:t>Luttikholt</w:t>
      </w:r>
      <w:proofErr w:type="spellEnd"/>
      <w:r w:rsidRPr="004C16A0">
        <w:rPr>
          <w:rFonts w:ascii="Arial" w:eastAsia="Times New Roman" w:hAnsi="Arial" w:cs="Arial"/>
          <w:kern w:val="0"/>
          <w:lang w:eastAsia="en-IN"/>
          <w14:ligatures w14:val="none"/>
        </w:rPr>
        <w:t>, 1996). While older, this study remains influential because it illustrates a mechanism especially relevant to vascular pathogens: competitive interactions inside the plant can be as important as those in the soil.</w:t>
      </w:r>
    </w:p>
    <w:p w14:paraId="6FB5E43E"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 broader synthesis on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modes of action emphasizes competition for nutrients in soil, reduced pathogen chlamydospore germination, competition at the root surface, and induction of host </w:t>
      </w:r>
      <w:proofErr w:type="spellStart"/>
      <w:r w:rsidRPr="004C16A0">
        <w:rPr>
          <w:rFonts w:ascii="Arial" w:eastAsia="Times New Roman" w:hAnsi="Arial" w:cs="Arial"/>
          <w:kern w:val="0"/>
          <w:lang w:eastAsia="en-IN"/>
          <w14:ligatures w14:val="none"/>
        </w:rPr>
        <w:t>defenses</w:t>
      </w:r>
      <w:proofErr w:type="spellEnd"/>
      <w:r w:rsidRPr="004C16A0">
        <w:rPr>
          <w:rFonts w:ascii="Arial" w:eastAsia="Times New Roman" w:hAnsi="Arial" w:cs="Arial"/>
          <w:kern w:val="0"/>
          <w:lang w:eastAsia="en-IN"/>
          <w14:ligatures w14:val="none"/>
        </w:rPr>
        <w:t xml:space="preserve">, collectively diminishing the probability that the pathogen reaches and colonizes infection sites (Postma &amp; </w:t>
      </w:r>
      <w:proofErr w:type="spellStart"/>
      <w:r w:rsidRPr="004C16A0">
        <w:rPr>
          <w:rFonts w:ascii="Arial" w:eastAsia="Times New Roman" w:hAnsi="Arial" w:cs="Arial"/>
          <w:kern w:val="0"/>
          <w:lang w:eastAsia="en-IN"/>
          <w14:ligatures w14:val="none"/>
        </w:rPr>
        <w:t>Rattink</w:t>
      </w:r>
      <w:proofErr w:type="spellEnd"/>
      <w:r w:rsidRPr="004C16A0">
        <w:rPr>
          <w:rFonts w:ascii="Arial" w:eastAsia="Times New Roman" w:hAnsi="Arial" w:cs="Arial"/>
          <w:kern w:val="0"/>
          <w:lang w:eastAsia="en-IN"/>
          <w14:ligatures w14:val="none"/>
        </w:rPr>
        <w:t xml:space="preserve">, 2002). These principles suggest that </w:t>
      </w:r>
      <w:proofErr w:type="spellStart"/>
      <w:r w:rsidRPr="004C16A0">
        <w:rPr>
          <w:rFonts w:ascii="Arial" w:eastAsia="Times New Roman" w:hAnsi="Arial" w:cs="Arial"/>
          <w:kern w:val="0"/>
          <w:lang w:eastAsia="en-IN"/>
          <w14:ligatures w14:val="none"/>
        </w:rPr>
        <w:t>nonpathogenic</w:t>
      </w:r>
      <w:proofErr w:type="spellEnd"/>
      <w:r w:rsidRPr="004C16A0">
        <w:rPr>
          <w:rFonts w:ascii="Arial" w:eastAsia="Times New Roman" w:hAnsi="Arial" w:cs="Arial"/>
          <w:kern w:val="0"/>
          <w:lang w:eastAsia="en-IN"/>
          <w14:ligatures w14:val="none"/>
        </w:rPr>
        <w:t xml:space="preserve"> </w:t>
      </w:r>
      <w:r w:rsidRPr="004C16A0">
        <w:rPr>
          <w:rFonts w:ascii="Arial" w:eastAsia="Times New Roman" w:hAnsi="Arial" w:cs="Arial"/>
          <w:i/>
          <w:iCs/>
          <w:kern w:val="0"/>
          <w:lang w:eastAsia="en-IN"/>
          <w14:ligatures w14:val="none"/>
        </w:rPr>
        <w:t>Fusarium</w:t>
      </w:r>
      <w:r w:rsidRPr="004C16A0">
        <w:rPr>
          <w:rFonts w:ascii="Arial" w:eastAsia="Times New Roman" w:hAnsi="Arial" w:cs="Arial"/>
          <w:kern w:val="0"/>
          <w:lang w:eastAsia="en-IN"/>
          <w14:ligatures w14:val="none"/>
        </w:rPr>
        <w:t xml:space="preserve"> may be particularly effective when applied preventively and when establishment is supported by compatible substrates and crop management practices.</w:t>
      </w:r>
    </w:p>
    <w:p w14:paraId="300222D9" w14:textId="77777777" w:rsidR="004C16A0" w:rsidRPr="004C16A0" w:rsidRDefault="004C16A0" w:rsidP="00CA1F5D">
      <w:pPr>
        <w:spacing w:before="100" w:beforeAutospacing="1" w:after="100" w:afterAutospacing="1" w:line="240" w:lineRule="auto"/>
        <w:jc w:val="both"/>
        <w:outlineLvl w:val="2"/>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7.3. Linking suppressiveness to pathogen diversity and diagnostics</w:t>
      </w:r>
    </w:p>
    <w:p w14:paraId="5CFFB047"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Because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 are diverse and race-structured, suppressive strategies should be informed by diagnostics. Race detection tools in carnation production regions can guide cultivar choice and may also influence which biocontrol strategies are prioritized, especially if certain pathogen lineages exhibit differential sensitivity to microbial antagonists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 Similarly, phylogenetic and population analyses provide a framework for monitoring whether management practices are selecting for particular genetic clusters over time (</w:t>
      </w:r>
      <w:proofErr w:type="spellStart"/>
      <w:r w:rsidRPr="004C16A0">
        <w:rPr>
          <w:rFonts w:ascii="Arial" w:eastAsia="Times New Roman" w:hAnsi="Arial" w:cs="Arial"/>
          <w:kern w:val="0"/>
          <w:lang w:eastAsia="en-IN"/>
          <w14:ligatures w14:val="none"/>
        </w:rPr>
        <w:t>Cañizares</w:t>
      </w:r>
      <w:proofErr w:type="spellEnd"/>
      <w:r w:rsidRPr="004C16A0">
        <w:rPr>
          <w:rFonts w:ascii="Arial" w:eastAsia="Times New Roman" w:hAnsi="Arial" w:cs="Arial"/>
          <w:kern w:val="0"/>
          <w:lang w:eastAsia="en-IN"/>
          <w14:ligatures w14:val="none"/>
        </w:rPr>
        <w:t xml:space="preserve"> et al., 2015). Integrating diagnostics with biocontrol is therefore a pathway to adaptive management rather than static protocols.</w:t>
      </w:r>
    </w:p>
    <w:p w14:paraId="581A7EA4" w14:textId="52CC6F1A"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0B79342C"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8. Integration strategies in protected carnation production</w:t>
      </w:r>
    </w:p>
    <w:p w14:paraId="43D32040"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Successful eco-friendly management of carnation Fusarium wilt typically requires integration across propagation, substrate management, microbial interventions, and hygiene. In protected systems, propagation represents a critical control point because cuttings can introduce inoculum, and early root colonization by beneficials is often decisive. Applying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or PGPR during rooting can establish a protective microbiome before plants encounter high pathogen pressure. Evidence from carnation-specific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 work suggests that greenhouse efficacy is attainable when antagonists are present early and persist through the initial infection window (</w:t>
      </w:r>
      <w:proofErr w:type="spellStart"/>
      <w:r w:rsidRPr="004C16A0">
        <w:rPr>
          <w:rFonts w:ascii="Arial" w:eastAsia="Times New Roman" w:hAnsi="Arial" w:cs="Arial"/>
          <w:kern w:val="0"/>
          <w:lang w:eastAsia="en-IN"/>
          <w14:ligatures w14:val="none"/>
        </w:rPr>
        <w:t>Zandyavari</w:t>
      </w:r>
      <w:proofErr w:type="spellEnd"/>
      <w:r w:rsidRPr="004C16A0">
        <w:rPr>
          <w:rFonts w:ascii="Arial" w:eastAsia="Times New Roman" w:hAnsi="Arial" w:cs="Arial"/>
          <w:kern w:val="0"/>
          <w:lang w:eastAsia="en-IN"/>
          <w14:ligatures w14:val="none"/>
        </w:rPr>
        <w:t xml:space="preserve"> et al., 2024).</w:t>
      </w:r>
    </w:p>
    <w:p w14:paraId="15890DCC" w14:textId="12C513FC"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Substrate selection and conditioning form a second pillar. Compost-amended media can provide baseline suppressiveness and may enhance the performance of introduced antagonists by increasing microbial carrying capacity and resource competition against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(Borrero et al., 2009; </w:t>
      </w:r>
      <w:proofErr w:type="spellStart"/>
      <w:r w:rsidR="00D3490B" w:rsidRPr="00D3490B">
        <w:rPr>
          <w:rFonts w:ascii="Arial" w:eastAsia="Times New Roman" w:hAnsi="Arial" w:cs="Arial"/>
          <w:kern w:val="0"/>
          <w:lang w:eastAsia="en-IN"/>
          <w14:ligatures w14:val="none"/>
        </w:rPr>
        <w:t>Hoitink</w:t>
      </w:r>
      <w:proofErr w:type="spellEnd"/>
      <w:r w:rsidR="00D3490B">
        <w:rPr>
          <w:rFonts w:ascii="Arial" w:eastAsia="Times New Roman" w:hAnsi="Arial" w:cs="Arial"/>
          <w:kern w:val="0"/>
          <w:lang w:eastAsia="en-IN"/>
          <w14:ligatures w14:val="none"/>
        </w:rPr>
        <w:t xml:space="preserve"> </w:t>
      </w:r>
      <w:r w:rsidR="00D3490B"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However, the integration must be operationally realistic: growers need consistent substrate batches, predictable physical properties for root health, and compatibility with fertigation regimes.</w:t>
      </w:r>
    </w:p>
    <w:p w14:paraId="45E2F6B8"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A third pillar is rational integration with reduced-risk chemical tools and sanitation. Although this review focuses on biocontrol, in practice microbial agents are often deployed alongside targeted, lower-impact interventions such as sanitation measures, clean stock programs, and careful management of irrigation and drainage to avoid pathogen dissemination. The goal is to reduce the baseline inoculum and prevent rapid population expansion, thereby allowing biocontrol and plant immunity mechanisms to operate effectively.</w:t>
      </w:r>
    </w:p>
    <w:p w14:paraId="2F1FBFBF"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Finally, integration should be adaptive to pathogen population structure. In regions where race composition shifts or </w:t>
      </w:r>
      <w:proofErr w:type="spellStart"/>
      <w:r w:rsidRPr="004C16A0">
        <w:rPr>
          <w:rFonts w:ascii="Arial" w:eastAsia="Times New Roman" w:hAnsi="Arial" w:cs="Arial"/>
          <w:kern w:val="0"/>
          <w:lang w:eastAsia="en-IN"/>
          <w14:ligatures w14:val="none"/>
        </w:rPr>
        <w:t>intrarace</w:t>
      </w:r>
      <w:proofErr w:type="spellEnd"/>
      <w:r w:rsidRPr="004C16A0">
        <w:rPr>
          <w:rFonts w:ascii="Arial" w:eastAsia="Times New Roman" w:hAnsi="Arial" w:cs="Arial"/>
          <w:kern w:val="0"/>
          <w:lang w:eastAsia="en-IN"/>
          <w14:ligatures w14:val="none"/>
        </w:rPr>
        <w:t xml:space="preserve"> diversity is high, monitoring tools can inform whether disease outbreaks reflect new introductions, shifts in dominance, or failures in hygiene. Carnation </w:t>
      </w:r>
      <w:proofErr w:type="spellStart"/>
      <w:r w:rsidRPr="004C16A0">
        <w:rPr>
          <w:rFonts w:ascii="Arial" w:eastAsia="Times New Roman" w:hAnsi="Arial" w:cs="Arial"/>
          <w:kern w:val="0"/>
          <w:lang w:eastAsia="en-IN"/>
          <w14:ligatures w14:val="none"/>
        </w:rPr>
        <w:t>pathosystem</w:t>
      </w:r>
      <w:proofErr w:type="spellEnd"/>
      <w:r w:rsidRPr="004C16A0">
        <w:rPr>
          <w:rFonts w:ascii="Arial" w:eastAsia="Times New Roman" w:hAnsi="Arial" w:cs="Arial"/>
          <w:kern w:val="0"/>
          <w:lang w:eastAsia="en-IN"/>
          <w14:ligatures w14:val="none"/>
        </w:rPr>
        <w:t xml:space="preserve"> studies show that race identity alone may not predict virulence, reinforcing the need for integrated surveillance that links molecular diagnostics to biological outcomes (</w:t>
      </w:r>
      <w:proofErr w:type="spellStart"/>
      <w:r w:rsidRPr="004C16A0">
        <w:rPr>
          <w:rFonts w:ascii="Arial" w:eastAsia="Times New Roman" w:hAnsi="Arial" w:cs="Arial"/>
          <w:kern w:val="0"/>
          <w:lang w:eastAsia="en-IN"/>
          <w14:ligatures w14:val="none"/>
        </w:rPr>
        <w:t>Cer</w:t>
      </w:r>
      <w:proofErr w:type="spellEnd"/>
      <w:r w:rsidRPr="004C16A0">
        <w:rPr>
          <w:rFonts w:ascii="Arial" w:eastAsia="Times New Roman" w:hAnsi="Arial" w:cs="Arial"/>
          <w:kern w:val="0"/>
          <w:lang w:eastAsia="en-IN"/>
          <w14:ligatures w14:val="none"/>
        </w:rPr>
        <w:t xml:space="preserve"> et al., 2022).</w:t>
      </w:r>
    </w:p>
    <w:p w14:paraId="700BC020" w14:textId="5AB153F3"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0DD67F3E"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9. Emerging directions: genomics, microbiome engineering, and robust delivery</w:t>
      </w:r>
    </w:p>
    <w:p w14:paraId="78DC2B7C"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Genomic insights into </w:t>
      </w:r>
      <w:r w:rsidRPr="004C16A0">
        <w:rPr>
          <w:rFonts w:ascii="Arial" w:eastAsia="Times New Roman" w:hAnsi="Arial" w:cs="Arial"/>
          <w:i/>
          <w:iCs/>
          <w:kern w:val="0"/>
          <w:lang w:eastAsia="en-IN"/>
          <w14:ligatures w14:val="none"/>
        </w:rPr>
        <w:t xml:space="preserve">F. </w:t>
      </w:r>
      <w:proofErr w:type="spellStart"/>
      <w:r w:rsidRPr="004C16A0">
        <w:rPr>
          <w:rFonts w:ascii="Arial" w:eastAsia="Times New Roman" w:hAnsi="Arial" w:cs="Arial"/>
          <w:i/>
          <w:iCs/>
          <w:kern w:val="0"/>
          <w:lang w:eastAsia="en-IN"/>
          <w14:ligatures w14:val="none"/>
        </w:rPr>
        <w:t>oxysporum</w:t>
      </w:r>
      <w:proofErr w:type="spellEnd"/>
      <w:r w:rsidRPr="004C16A0">
        <w:rPr>
          <w:rFonts w:ascii="Arial" w:eastAsia="Times New Roman" w:hAnsi="Arial" w:cs="Arial"/>
          <w:kern w:val="0"/>
          <w:lang w:eastAsia="en-IN"/>
          <w14:ligatures w14:val="none"/>
        </w:rPr>
        <w:t xml:space="preserve"> pathogenicity reinforce the need for durable, multi-layered control. The discovery of mobile pathogenicity chromosomes and lineage-specific regions indicates that pathogenic traits can be evolutionarily dynamic, potentially enabling rapid adaptation (Ma et al., 2010). From a biocontrol perspective, this supports strategies that reduce overall infection probability through multiple mechanisms rather than relying on single-pathway inhibition.</w:t>
      </w:r>
    </w:p>
    <w:p w14:paraId="317D3C91"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At the microbial product level, the future likely involves consortia and synthetic communities designed to provide complementary functions: one component optimized for root colonization, another for antibiosis, another for </w:t>
      </w:r>
      <w:proofErr w:type="spellStart"/>
      <w:r w:rsidRPr="004C16A0">
        <w:rPr>
          <w:rFonts w:ascii="Arial" w:eastAsia="Times New Roman" w:hAnsi="Arial" w:cs="Arial"/>
          <w:kern w:val="0"/>
          <w:lang w:eastAsia="en-IN"/>
          <w14:ligatures w14:val="none"/>
        </w:rPr>
        <w:t>defense</w:t>
      </w:r>
      <w:proofErr w:type="spellEnd"/>
      <w:r w:rsidRPr="004C16A0">
        <w:rPr>
          <w:rFonts w:ascii="Arial" w:eastAsia="Times New Roman" w:hAnsi="Arial" w:cs="Arial"/>
          <w:kern w:val="0"/>
          <w:lang w:eastAsia="en-IN"/>
          <w14:ligatures w14:val="none"/>
        </w:rPr>
        <w:t xml:space="preserve"> priming, and potentially substrate-conditioning partners that stabilize community persistence. The scientific rationale aligns with ISR theory and microbial ecology: diverse mutualists can sensitize immunity and occupy a broader niche space than single strains (Pieterse et al., 2014). For carnation, such consortia must also be compatible with propagation systems and maintain performance across cultivar and substrate variation.</w:t>
      </w:r>
    </w:p>
    <w:p w14:paraId="2C895EB8" w14:textId="65708DF4"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lastRenderedPageBreak/>
        <w:t xml:space="preserve">Delivery and formulation remain decisive constraints. Spore-forming bacteria such as </w:t>
      </w:r>
      <w:r w:rsidRPr="004C16A0">
        <w:rPr>
          <w:rFonts w:ascii="Arial" w:eastAsia="Times New Roman" w:hAnsi="Arial" w:cs="Arial"/>
          <w:i/>
          <w:iCs/>
          <w:kern w:val="0"/>
          <w:lang w:eastAsia="en-IN"/>
          <w14:ligatures w14:val="none"/>
        </w:rPr>
        <w:t>Bacillus</w:t>
      </w:r>
      <w:r w:rsidRPr="004C16A0">
        <w:rPr>
          <w:rFonts w:ascii="Arial" w:eastAsia="Times New Roman" w:hAnsi="Arial" w:cs="Arial"/>
          <w:kern w:val="0"/>
          <w:lang w:eastAsia="en-IN"/>
          <w14:ligatures w14:val="none"/>
        </w:rPr>
        <w:t xml:space="preserve"> offer stability advantages (</w:t>
      </w:r>
      <w:proofErr w:type="spellStart"/>
      <w:r w:rsidRPr="004C16A0">
        <w:rPr>
          <w:rFonts w:ascii="Arial" w:eastAsia="Times New Roman" w:hAnsi="Arial" w:cs="Arial"/>
          <w:kern w:val="0"/>
          <w:lang w:eastAsia="en-IN"/>
          <w14:ligatures w14:val="none"/>
        </w:rPr>
        <w:t>Ongena</w:t>
      </w:r>
      <w:proofErr w:type="spellEnd"/>
      <w:r w:rsidRPr="004C16A0">
        <w:rPr>
          <w:rFonts w:ascii="Arial" w:eastAsia="Times New Roman" w:hAnsi="Arial" w:cs="Arial"/>
          <w:kern w:val="0"/>
          <w:lang w:eastAsia="en-IN"/>
          <w14:ligatures w14:val="none"/>
        </w:rPr>
        <w:t xml:space="preserve"> &amp; Jacques, 2008), while fungal agents require formulations that preserve viability and enable rapid establishment. Additionally, substrate microbiology can amplify or suppress introduced agents, making it necessary to evaluate products within the target medium rather than assuming universal performance (</w:t>
      </w:r>
      <w:proofErr w:type="spellStart"/>
      <w:r w:rsidR="00D3490B" w:rsidRPr="00D3490B">
        <w:rPr>
          <w:rFonts w:ascii="Arial" w:eastAsia="Times New Roman" w:hAnsi="Arial" w:cs="Arial"/>
          <w:kern w:val="0"/>
          <w:lang w:eastAsia="en-IN"/>
          <w14:ligatures w14:val="none"/>
        </w:rPr>
        <w:t>Hoitink</w:t>
      </w:r>
      <w:proofErr w:type="spellEnd"/>
      <w:r w:rsidR="00D3490B">
        <w:rPr>
          <w:rFonts w:ascii="Arial" w:eastAsia="Times New Roman" w:hAnsi="Arial" w:cs="Arial"/>
          <w:kern w:val="0"/>
          <w:lang w:eastAsia="en-IN"/>
          <w14:ligatures w14:val="none"/>
        </w:rPr>
        <w:t xml:space="preserve"> </w:t>
      </w:r>
      <w:r w:rsidR="00D3490B" w:rsidRPr="004C16A0">
        <w:rPr>
          <w:rFonts w:ascii="Arial" w:eastAsia="Times New Roman" w:hAnsi="Arial" w:cs="Arial"/>
          <w:kern w:val="0"/>
          <w:lang w:eastAsia="en-IN"/>
          <w14:ligatures w14:val="none"/>
        </w:rPr>
        <w:t>et al., 200</w:t>
      </w:r>
      <w:r w:rsidR="00D3490B">
        <w:rPr>
          <w:rFonts w:ascii="Arial" w:eastAsia="Times New Roman" w:hAnsi="Arial" w:cs="Arial"/>
          <w:kern w:val="0"/>
          <w:lang w:eastAsia="en-IN"/>
          <w14:ligatures w14:val="none"/>
        </w:rPr>
        <w:t>6</w:t>
      </w:r>
      <w:r w:rsidRPr="004C16A0">
        <w:rPr>
          <w:rFonts w:ascii="Arial" w:eastAsia="Times New Roman" w:hAnsi="Arial" w:cs="Arial"/>
          <w:kern w:val="0"/>
          <w:lang w:eastAsia="en-IN"/>
          <w14:ligatures w14:val="none"/>
        </w:rPr>
        <w:t>). The practical direction is toward validated “packages” that specify not only the microbe but also the recommended substrate conditions, application stage, and compatible crop inputs.</w:t>
      </w:r>
    </w:p>
    <w:p w14:paraId="2D037CBB" w14:textId="3F0D204D"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79D4DB23"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10. Conclusions</w:t>
      </w:r>
    </w:p>
    <w:p w14:paraId="75E7B94F" w14:textId="77777777" w:rsidR="004C16A0" w:rsidRP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 xml:space="preserve">Biocontrol-based eco-friendly management of carnation Fusarium wilt has advanced from concept to demonstrable efficacy in carnation-relevant systems, particularly through </w:t>
      </w:r>
      <w:r w:rsidRPr="004C16A0">
        <w:rPr>
          <w:rFonts w:ascii="Arial" w:eastAsia="Times New Roman" w:hAnsi="Arial" w:cs="Arial"/>
          <w:i/>
          <w:iCs/>
          <w:kern w:val="0"/>
          <w:lang w:eastAsia="en-IN"/>
          <w14:ligatures w14:val="none"/>
        </w:rPr>
        <w:t>Trichoderma</w:t>
      </w:r>
      <w:r w:rsidRPr="004C16A0">
        <w:rPr>
          <w:rFonts w:ascii="Arial" w:eastAsia="Times New Roman" w:hAnsi="Arial" w:cs="Arial"/>
          <w:kern w:val="0"/>
          <w:lang w:eastAsia="en-IN"/>
          <w14:ligatures w14:val="none"/>
        </w:rPr>
        <w:t xml:space="preserve">-based interventions, suppressive compost media, and ecologically grounded approaches that promote stable root-associated beneficial communities. The strongest evidence supports preventive deployment—establishing antagonists and suppressive conditions early—combined with production hygiene and informed by diagnostics that reflect the diversity of </w:t>
      </w:r>
      <w:proofErr w:type="spellStart"/>
      <w:r w:rsidRPr="004C16A0">
        <w:rPr>
          <w:rFonts w:ascii="Arial" w:eastAsia="Times New Roman" w:hAnsi="Arial" w:cs="Arial"/>
          <w:kern w:val="0"/>
          <w:lang w:eastAsia="en-IN"/>
          <w14:ligatures w14:val="none"/>
        </w:rPr>
        <w:t>Fod</w:t>
      </w:r>
      <w:proofErr w:type="spellEnd"/>
      <w:r w:rsidRPr="004C16A0">
        <w:rPr>
          <w:rFonts w:ascii="Arial" w:eastAsia="Times New Roman" w:hAnsi="Arial" w:cs="Arial"/>
          <w:kern w:val="0"/>
          <w:lang w:eastAsia="en-IN"/>
          <w14:ligatures w14:val="none"/>
        </w:rPr>
        <w:t xml:space="preserve"> populations. Future progress will depend on integrating microbial ecology, formulation science, and pathogen population biology into practical protocols that deliver consistent suppression under protected ornamental production. Ultimately, durable control is most likely when multiple biological mechanisms operate together to reduce pathogen transitions from soil survival to vascular colonization.</w:t>
      </w:r>
    </w:p>
    <w:p w14:paraId="55BD059B" w14:textId="3FB96EB7" w:rsidR="004C16A0" w:rsidRPr="004C16A0" w:rsidRDefault="004C16A0" w:rsidP="00CA1F5D">
      <w:pPr>
        <w:spacing w:after="0" w:line="240" w:lineRule="auto"/>
        <w:jc w:val="both"/>
        <w:rPr>
          <w:rFonts w:ascii="Arial" w:eastAsia="Times New Roman" w:hAnsi="Arial" w:cs="Arial"/>
          <w:kern w:val="0"/>
          <w:lang w:eastAsia="en-IN"/>
          <w14:ligatures w14:val="none"/>
        </w:rPr>
      </w:pPr>
    </w:p>
    <w:p w14:paraId="4F8CF987" w14:textId="77777777" w:rsidR="004C16A0" w:rsidRPr="004C16A0" w:rsidRDefault="004C16A0" w:rsidP="00CA1F5D">
      <w:pPr>
        <w:spacing w:before="100" w:beforeAutospacing="1" w:after="100" w:afterAutospacing="1" w:line="240" w:lineRule="auto"/>
        <w:jc w:val="both"/>
        <w:outlineLvl w:val="1"/>
        <w:rPr>
          <w:rFonts w:ascii="Arial" w:eastAsia="Times New Roman" w:hAnsi="Arial" w:cs="Arial"/>
          <w:b/>
          <w:bCs/>
          <w:kern w:val="0"/>
          <w:lang w:eastAsia="en-IN"/>
          <w14:ligatures w14:val="none"/>
        </w:rPr>
      </w:pPr>
      <w:r w:rsidRPr="004C16A0">
        <w:rPr>
          <w:rFonts w:ascii="Arial" w:eastAsia="Times New Roman" w:hAnsi="Arial" w:cs="Arial"/>
          <w:b/>
          <w:bCs/>
          <w:kern w:val="0"/>
          <w:lang w:eastAsia="en-IN"/>
          <w14:ligatures w14:val="none"/>
        </w:rPr>
        <w:t>11. Limitations</w:t>
      </w:r>
    </w:p>
    <w:p w14:paraId="6E4D914C" w14:textId="2E1B6313" w:rsidR="004C16A0" w:rsidRDefault="004C16A0" w:rsidP="00CA1F5D">
      <w:pPr>
        <w:spacing w:before="100" w:beforeAutospacing="1" w:after="100" w:afterAutospacing="1" w:line="240" w:lineRule="auto"/>
        <w:jc w:val="both"/>
        <w:rPr>
          <w:rFonts w:ascii="Arial" w:eastAsia="Times New Roman" w:hAnsi="Arial" w:cs="Arial"/>
          <w:kern w:val="0"/>
          <w:lang w:eastAsia="en-IN"/>
          <w14:ligatures w14:val="none"/>
        </w:rPr>
      </w:pPr>
      <w:r w:rsidRPr="004C16A0">
        <w:rPr>
          <w:rFonts w:ascii="Arial" w:eastAsia="Times New Roman" w:hAnsi="Arial" w:cs="Arial"/>
          <w:kern w:val="0"/>
          <w:lang w:eastAsia="en-IN"/>
          <w14:ligatures w14:val="none"/>
        </w:rPr>
        <w:t>This review emphasizes peer-reviewed studies with accessible DOI metadata and prioritizes evidence that can inform practical implementation. Nevertheless, translation to commercial carnation production is constrained by region-specific variability in substrates, climate control, cultivar portfolios, and sanitation practices. Many promising biocontrol findings come from controlled assays and may not capture the full complexity of commercial operations, including fluctuating irrigation regimes, mixed microbial communities, and variable inoculum pressure. Additionally, direct carnation-specific studies on certain agent groups (e.g., bacterial consortia or mycorrhiza-focused strategies) remain comparatively limited relative to food crop systems, requiring cautious extrapolation of mechanisms across hosts and production contexts.</w:t>
      </w:r>
    </w:p>
    <w:p w14:paraId="6BB490DD" w14:textId="09265AA3" w:rsidR="00E16FD7" w:rsidRDefault="00E16FD7" w:rsidP="00CA1F5D">
      <w:pPr>
        <w:spacing w:before="100" w:beforeAutospacing="1" w:after="100" w:afterAutospacing="1" w:line="240" w:lineRule="auto"/>
        <w:jc w:val="both"/>
        <w:rPr>
          <w:rFonts w:ascii="Arial" w:eastAsia="Times New Roman" w:hAnsi="Arial" w:cs="Arial"/>
          <w:kern w:val="0"/>
          <w:lang w:eastAsia="en-IN"/>
          <w14:ligatures w14:val="none"/>
        </w:rPr>
      </w:pPr>
    </w:p>
    <w:p w14:paraId="3D9A89DA" w14:textId="77777777" w:rsidR="00E16FD7" w:rsidRDefault="00E16FD7" w:rsidP="00E16FD7">
      <w:pPr>
        <w:pStyle w:val="NoSpacing"/>
        <w:rPr>
          <w:rFonts w:ascii="Arial" w:hAnsi="Arial" w:cs="Arial"/>
          <w:highlight w:val="yellow"/>
        </w:rPr>
      </w:pPr>
      <w:bookmarkStart w:id="1" w:name="_Hlk198031404"/>
      <w:r>
        <w:rPr>
          <w:rFonts w:ascii="Arial" w:hAnsi="Arial" w:cs="Arial"/>
          <w:highlight w:val="yellow"/>
        </w:rPr>
        <w:t>Disclaimer (Artificial intelligence)</w:t>
      </w:r>
    </w:p>
    <w:p w14:paraId="6CA74948" w14:textId="77777777" w:rsidR="00E16FD7" w:rsidRDefault="00E16FD7" w:rsidP="00E16FD7">
      <w:pPr>
        <w:pStyle w:val="NoSpacing"/>
        <w:rPr>
          <w:rFonts w:ascii="Arial" w:hAnsi="Arial" w:cs="Arial"/>
          <w:highlight w:val="yellow"/>
        </w:rPr>
      </w:pPr>
    </w:p>
    <w:p w14:paraId="68B34E3C" w14:textId="77777777" w:rsidR="00E16FD7" w:rsidRDefault="00E16FD7" w:rsidP="00E16FD7">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41CD3009" w14:textId="77777777" w:rsidR="00E16FD7" w:rsidRDefault="00E16FD7" w:rsidP="00E16FD7">
      <w:pPr>
        <w:pStyle w:val="NoSpacing"/>
        <w:rPr>
          <w:rFonts w:ascii="Arial" w:hAnsi="Arial" w:cs="Arial"/>
        </w:rPr>
      </w:pPr>
    </w:p>
    <w:p w14:paraId="77B893BF" w14:textId="77777777" w:rsidR="00E16FD7" w:rsidRDefault="00E16FD7" w:rsidP="00E16FD7">
      <w:pPr>
        <w:pStyle w:val="NoSpacing"/>
        <w:rPr>
          <w:rFonts w:ascii="Arial" w:hAnsi="Arial" w:cs="Arial"/>
        </w:rPr>
      </w:pPr>
    </w:p>
    <w:p w14:paraId="7F08F55A" w14:textId="77777777" w:rsidR="00E16FD7" w:rsidRDefault="00E16FD7" w:rsidP="00E16FD7">
      <w:pPr>
        <w:pStyle w:val="NoSpacing"/>
        <w:rPr>
          <w:rFonts w:ascii="Arial" w:hAnsi="Arial" w:cs="Arial"/>
        </w:rPr>
      </w:pPr>
    </w:p>
    <w:p w14:paraId="1F6FC581" w14:textId="77777777" w:rsidR="00E16FD7" w:rsidRPr="004C16A0" w:rsidRDefault="00E16FD7" w:rsidP="00CA1F5D">
      <w:pPr>
        <w:spacing w:before="100" w:beforeAutospacing="1" w:after="100" w:afterAutospacing="1" w:line="240" w:lineRule="auto"/>
        <w:jc w:val="both"/>
        <w:rPr>
          <w:rFonts w:ascii="Arial" w:eastAsia="Times New Roman" w:hAnsi="Arial" w:cs="Arial"/>
          <w:kern w:val="0"/>
          <w:lang w:eastAsia="en-IN"/>
          <w14:ligatures w14:val="none"/>
        </w:rPr>
      </w:pPr>
    </w:p>
    <w:p w14:paraId="5044DABC" w14:textId="5109C426" w:rsidR="00D3490B" w:rsidRDefault="00D3490B" w:rsidP="00CA1F5D">
      <w:pPr>
        <w:jc w:val="both"/>
      </w:pPr>
      <w:r>
        <w:rPr>
          <w:rFonts w:ascii="Arial" w:eastAsia="Times New Roman" w:hAnsi="Arial" w:cs="Arial"/>
          <w:b/>
          <w:bCs/>
          <w:kern w:val="0"/>
          <w:lang w:eastAsia="en-IN"/>
          <w14:ligatures w14:val="none"/>
        </w:rPr>
        <w:t>References</w:t>
      </w:r>
    </w:p>
    <w:p w14:paraId="6BDB570A"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lastRenderedPageBreak/>
        <w:t xml:space="preserve">Berendsen, R. L., Pieterse, C. M. J., &amp; Bakker, P. A. H. M. (2012). The rhizosphere microbiome and plant health. </w:t>
      </w:r>
      <w:r w:rsidRPr="00DC49EA">
        <w:rPr>
          <w:rFonts w:ascii="Arial" w:eastAsia="Times New Roman" w:hAnsi="Arial" w:cs="Arial"/>
          <w:i/>
          <w:iCs/>
          <w:kern w:val="0"/>
          <w:lang w:eastAsia="en-IN"/>
          <w14:ligatures w14:val="none"/>
        </w:rPr>
        <w:t>Trends in Plant Science, 17</w:t>
      </w:r>
      <w:r w:rsidRPr="00DC49EA">
        <w:rPr>
          <w:rFonts w:ascii="Arial" w:eastAsia="Times New Roman" w:hAnsi="Arial" w:cs="Arial"/>
          <w:kern w:val="0"/>
          <w:lang w:eastAsia="en-IN"/>
          <w14:ligatures w14:val="none"/>
        </w:rPr>
        <w:t>(8), 478–486. https://doi.org/10.1016/j.tplants.2012.04.001</w:t>
      </w:r>
    </w:p>
    <w:p w14:paraId="58A70687"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Borrero, C., </w:t>
      </w:r>
      <w:proofErr w:type="spellStart"/>
      <w:r w:rsidRPr="00DC49EA">
        <w:rPr>
          <w:rFonts w:ascii="Arial" w:eastAsia="Times New Roman" w:hAnsi="Arial" w:cs="Arial"/>
          <w:kern w:val="0"/>
          <w:lang w:eastAsia="en-IN"/>
          <w14:ligatures w14:val="none"/>
        </w:rPr>
        <w:t>Trillas</w:t>
      </w:r>
      <w:proofErr w:type="spellEnd"/>
      <w:r w:rsidRPr="00DC49EA">
        <w:rPr>
          <w:rFonts w:ascii="Arial" w:eastAsia="Times New Roman" w:hAnsi="Arial" w:cs="Arial"/>
          <w:kern w:val="0"/>
          <w:lang w:eastAsia="en-IN"/>
          <w14:ligatures w14:val="none"/>
        </w:rPr>
        <w:t xml:space="preserve">, M. I., &amp; </w:t>
      </w:r>
      <w:proofErr w:type="spellStart"/>
      <w:r w:rsidRPr="00DC49EA">
        <w:rPr>
          <w:rFonts w:ascii="Arial" w:eastAsia="Times New Roman" w:hAnsi="Arial" w:cs="Arial"/>
          <w:kern w:val="0"/>
          <w:lang w:eastAsia="en-IN"/>
          <w14:ligatures w14:val="none"/>
        </w:rPr>
        <w:t>Avilés</w:t>
      </w:r>
      <w:proofErr w:type="spellEnd"/>
      <w:r w:rsidRPr="00DC49EA">
        <w:rPr>
          <w:rFonts w:ascii="Arial" w:eastAsia="Times New Roman" w:hAnsi="Arial" w:cs="Arial"/>
          <w:kern w:val="0"/>
          <w:lang w:eastAsia="en-IN"/>
          <w14:ligatures w14:val="none"/>
        </w:rPr>
        <w:t xml:space="preserve">, M. (2009). Carnation Fusarium wilt suppression in four composts. </w:t>
      </w:r>
      <w:r w:rsidRPr="00DC49EA">
        <w:rPr>
          <w:rFonts w:ascii="Arial" w:eastAsia="Times New Roman" w:hAnsi="Arial" w:cs="Arial"/>
          <w:i/>
          <w:iCs/>
          <w:kern w:val="0"/>
          <w:lang w:eastAsia="en-IN"/>
          <w14:ligatures w14:val="none"/>
        </w:rPr>
        <w:t>European Journal of Plant Pathology, 123</w:t>
      </w:r>
      <w:r w:rsidRPr="00DC49EA">
        <w:rPr>
          <w:rFonts w:ascii="Arial" w:eastAsia="Times New Roman" w:hAnsi="Arial" w:cs="Arial"/>
          <w:kern w:val="0"/>
          <w:lang w:eastAsia="en-IN"/>
          <w14:ligatures w14:val="none"/>
        </w:rPr>
        <w:t>(4), 425–433. https://doi.org/10.1007/s10658-008-9380-4</w:t>
      </w:r>
    </w:p>
    <w:p w14:paraId="1AB25877"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Cañizares</w:t>
      </w:r>
      <w:proofErr w:type="spellEnd"/>
      <w:r w:rsidRPr="00DC49EA">
        <w:rPr>
          <w:rFonts w:ascii="Arial" w:eastAsia="Times New Roman" w:hAnsi="Arial" w:cs="Arial"/>
          <w:kern w:val="0"/>
          <w:lang w:eastAsia="en-IN"/>
          <w14:ligatures w14:val="none"/>
        </w:rPr>
        <w:t xml:space="preserve">, M. C., Gómez-Lama </w:t>
      </w:r>
      <w:proofErr w:type="spellStart"/>
      <w:r w:rsidRPr="00DC49EA">
        <w:rPr>
          <w:rFonts w:ascii="Arial" w:eastAsia="Times New Roman" w:hAnsi="Arial" w:cs="Arial"/>
          <w:kern w:val="0"/>
          <w:lang w:eastAsia="en-IN"/>
          <w14:ligatures w14:val="none"/>
        </w:rPr>
        <w:t>Cabanás</w:t>
      </w:r>
      <w:proofErr w:type="spellEnd"/>
      <w:r w:rsidRPr="00DC49EA">
        <w:rPr>
          <w:rFonts w:ascii="Arial" w:eastAsia="Times New Roman" w:hAnsi="Arial" w:cs="Arial"/>
          <w:kern w:val="0"/>
          <w:lang w:eastAsia="en-IN"/>
          <w14:ligatures w14:val="none"/>
        </w:rPr>
        <w:t>, C., García-</w:t>
      </w:r>
      <w:proofErr w:type="spellStart"/>
      <w:r w:rsidRPr="00DC49EA">
        <w:rPr>
          <w:rFonts w:ascii="Arial" w:eastAsia="Times New Roman" w:hAnsi="Arial" w:cs="Arial"/>
          <w:kern w:val="0"/>
          <w:lang w:eastAsia="en-IN"/>
          <w14:ligatures w14:val="none"/>
        </w:rPr>
        <w:t>Pedrajas</w:t>
      </w:r>
      <w:proofErr w:type="spellEnd"/>
      <w:r w:rsidRPr="00DC49EA">
        <w:rPr>
          <w:rFonts w:ascii="Arial" w:eastAsia="Times New Roman" w:hAnsi="Arial" w:cs="Arial"/>
          <w:kern w:val="0"/>
          <w:lang w:eastAsia="en-IN"/>
          <w14:ligatures w14:val="none"/>
        </w:rPr>
        <w:t>, M. D., &amp; Pérez-</w:t>
      </w:r>
      <w:proofErr w:type="spellStart"/>
      <w:r w:rsidRPr="00DC49EA">
        <w:rPr>
          <w:rFonts w:ascii="Arial" w:eastAsia="Times New Roman" w:hAnsi="Arial" w:cs="Arial"/>
          <w:kern w:val="0"/>
          <w:lang w:eastAsia="en-IN"/>
          <w14:ligatures w14:val="none"/>
        </w:rPr>
        <w:t>Artés</w:t>
      </w:r>
      <w:proofErr w:type="spellEnd"/>
      <w:r w:rsidRPr="00DC49EA">
        <w:rPr>
          <w:rFonts w:ascii="Arial" w:eastAsia="Times New Roman" w:hAnsi="Arial" w:cs="Arial"/>
          <w:kern w:val="0"/>
          <w:lang w:eastAsia="en-IN"/>
          <w14:ligatures w14:val="none"/>
        </w:rPr>
        <w:t xml:space="preserve">, E. (2015). Study of phylogenetic relationships among </w:t>
      </w:r>
      <w:r w:rsidRPr="00DC49EA">
        <w:rPr>
          <w:rFonts w:ascii="Arial" w:eastAsia="Times New Roman" w:hAnsi="Arial" w:cs="Arial"/>
          <w:i/>
          <w:iCs/>
          <w:kern w:val="0"/>
          <w:lang w:eastAsia="en-IN"/>
          <w14:ligatures w14:val="none"/>
        </w:rPr>
        <w:t xml:space="preserve">Fusarium </w:t>
      </w:r>
      <w:proofErr w:type="spellStart"/>
      <w:r w:rsidRPr="00DC49EA">
        <w:rPr>
          <w:rFonts w:ascii="Arial" w:eastAsia="Times New Roman" w:hAnsi="Arial" w:cs="Arial"/>
          <w:i/>
          <w:iCs/>
          <w:kern w:val="0"/>
          <w:lang w:eastAsia="en-IN"/>
          <w14:ligatures w14:val="none"/>
        </w:rPr>
        <w:t>oxysporum</w:t>
      </w:r>
      <w:proofErr w:type="spellEnd"/>
      <w:r w:rsidRPr="00DC49EA">
        <w:rPr>
          <w:rFonts w:ascii="Arial" w:eastAsia="Times New Roman" w:hAnsi="Arial" w:cs="Arial"/>
          <w:kern w:val="0"/>
          <w:lang w:eastAsia="en-IN"/>
          <w14:ligatures w14:val="none"/>
        </w:rPr>
        <w:t xml:space="preserve"> f. sp. </w:t>
      </w:r>
      <w:proofErr w:type="spellStart"/>
      <w:r w:rsidRPr="00DC49EA">
        <w:rPr>
          <w:rFonts w:ascii="Arial" w:eastAsia="Times New Roman" w:hAnsi="Arial" w:cs="Arial"/>
          <w:i/>
          <w:iCs/>
          <w:kern w:val="0"/>
          <w:lang w:eastAsia="en-IN"/>
          <w14:ligatures w14:val="none"/>
        </w:rPr>
        <w:t>dianthi</w:t>
      </w:r>
      <w:proofErr w:type="spellEnd"/>
      <w:r w:rsidRPr="00DC49EA">
        <w:rPr>
          <w:rFonts w:ascii="Arial" w:eastAsia="Times New Roman" w:hAnsi="Arial" w:cs="Arial"/>
          <w:kern w:val="0"/>
          <w:lang w:eastAsia="en-IN"/>
          <w14:ligatures w14:val="none"/>
        </w:rPr>
        <w:t xml:space="preserve"> isolates: Confirmation of </w:t>
      </w:r>
      <w:proofErr w:type="spellStart"/>
      <w:r w:rsidRPr="00DC49EA">
        <w:rPr>
          <w:rFonts w:ascii="Arial" w:eastAsia="Times New Roman" w:hAnsi="Arial" w:cs="Arial"/>
          <w:kern w:val="0"/>
          <w:lang w:eastAsia="en-IN"/>
          <w14:ligatures w14:val="none"/>
        </w:rPr>
        <w:t>intrarace</w:t>
      </w:r>
      <w:proofErr w:type="spellEnd"/>
      <w:r w:rsidRPr="00DC49EA">
        <w:rPr>
          <w:rFonts w:ascii="Arial" w:eastAsia="Times New Roman" w:hAnsi="Arial" w:cs="Arial"/>
          <w:kern w:val="0"/>
          <w:lang w:eastAsia="en-IN"/>
          <w14:ligatures w14:val="none"/>
        </w:rPr>
        <w:t xml:space="preserve"> diversity and development of a practical tool for simple population analyses. </w:t>
      </w:r>
      <w:r w:rsidRPr="00DC49EA">
        <w:rPr>
          <w:rFonts w:ascii="Arial" w:eastAsia="Times New Roman" w:hAnsi="Arial" w:cs="Arial"/>
          <w:i/>
          <w:iCs/>
          <w:kern w:val="0"/>
          <w:lang w:eastAsia="en-IN"/>
          <w14:ligatures w14:val="none"/>
        </w:rPr>
        <w:t>Plant Disease, 99</w:t>
      </w:r>
      <w:r w:rsidRPr="00DC49EA">
        <w:rPr>
          <w:rFonts w:ascii="Arial" w:eastAsia="Times New Roman" w:hAnsi="Arial" w:cs="Arial"/>
          <w:kern w:val="0"/>
          <w:lang w:eastAsia="en-IN"/>
          <w14:ligatures w14:val="none"/>
        </w:rPr>
        <w:t>(6), 780–787. https://doi.org/10.1094/PDIS-07-14-0680-RE</w:t>
      </w:r>
    </w:p>
    <w:p w14:paraId="46F88487"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Cer</w:t>
      </w:r>
      <w:proofErr w:type="spellEnd"/>
      <w:r w:rsidRPr="00DC49EA">
        <w:rPr>
          <w:rFonts w:ascii="Arial" w:eastAsia="Times New Roman" w:hAnsi="Arial" w:cs="Arial"/>
          <w:kern w:val="0"/>
          <w:lang w:eastAsia="en-IN"/>
          <w14:ligatures w14:val="none"/>
        </w:rPr>
        <w:t xml:space="preserve">, C., </w:t>
      </w:r>
      <w:proofErr w:type="spellStart"/>
      <w:r w:rsidRPr="00DC49EA">
        <w:rPr>
          <w:rFonts w:ascii="Arial" w:eastAsia="Times New Roman" w:hAnsi="Arial" w:cs="Arial"/>
          <w:kern w:val="0"/>
          <w:lang w:eastAsia="en-IN"/>
          <w14:ligatures w14:val="none"/>
        </w:rPr>
        <w:t>Benlioğlu</w:t>
      </w:r>
      <w:proofErr w:type="spellEnd"/>
      <w:r w:rsidRPr="00DC49EA">
        <w:rPr>
          <w:rFonts w:ascii="Arial" w:eastAsia="Times New Roman" w:hAnsi="Arial" w:cs="Arial"/>
          <w:kern w:val="0"/>
          <w:lang w:eastAsia="en-IN"/>
          <w14:ligatures w14:val="none"/>
        </w:rPr>
        <w:t xml:space="preserve">, S., &amp; </w:t>
      </w:r>
      <w:proofErr w:type="spellStart"/>
      <w:r w:rsidRPr="00DC49EA">
        <w:rPr>
          <w:rFonts w:ascii="Arial" w:eastAsia="Times New Roman" w:hAnsi="Arial" w:cs="Arial"/>
          <w:kern w:val="0"/>
          <w:lang w:eastAsia="en-IN"/>
          <w14:ligatures w14:val="none"/>
        </w:rPr>
        <w:t>Egerci</w:t>
      </w:r>
      <w:proofErr w:type="spellEnd"/>
      <w:r w:rsidRPr="00DC49EA">
        <w:rPr>
          <w:rFonts w:ascii="Arial" w:eastAsia="Times New Roman" w:hAnsi="Arial" w:cs="Arial"/>
          <w:kern w:val="0"/>
          <w:lang w:eastAsia="en-IN"/>
          <w14:ligatures w14:val="none"/>
        </w:rPr>
        <w:t xml:space="preserve">, Y. (2022). The molecular detection of </w:t>
      </w:r>
      <w:r w:rsidRPr="00DC49EA">
        <w:rPr>
          <w:rFonts w:ascii="Arial" w:eastAsia="Times New Roman" w:hAnsi="Arial" w:cs="Arial"/>
          <w:i/>
          <w:iCs/>
          <w:kern w:val="0"/>
          <w:lang w:eastAsia="en-IN"/>
          <w14:ligatures w14:val="none"/>
        </w:rPr>
        <w:t xml:space="preserve">Fusarium </w:t>
      </w:r>
      <w:proofErr w:type="spellStart"/>
      <w:r w:rsidRPr="00DC49EA">
        <w:rPr>
          <w:rFonts w:ascii="Arial" w:eastAsia="Times New Roman" w:hAnsi="Arial" w:cs="Arial"/>
          <w:i/>
          <w:iCs/>
          <w:kern w:val="0"/>
          <w:lang w:eastAsia="en-IN"/>
          <w14:ligatures w14:val="none"/>
        </w:rPr>
        <w:t>oxysporum</w:t>
      </w:r>
      <w:proofErr w:type="spellEnd"/>
      <w:r w:rsidRPr="00DC49EA">
        <w:rPr>
          <w:rFonts w:ascii="Arial" w:eastAsia="Times New Roman" w:hAnsi="Arial" w:cs="Arial"/>
          <w:kern w:val="0"/>
          <w:lang w:eastAsia="en-IN"/>
          <w14:ligatures w14:val="none"/>
        </w:rPr>
        <w:t xml:space="preserve"> f. sp. </w:t>
      </w:r>
      <w:proofErr w:type="spellStart"/>
      <w:r w:rsidRPr="00DC49EA">
        <w:rPr>
          <w:rFonts w:ascii="Arial" w:eastAsia="Times New Roman" w:hAnsi="Arial" w:cs="Arial"/>
          <w:i/>
          <w:iCs/>
          <w:kern w:val="0"/>
          <w:lang w:eastAsia="en-IN"/>
          <w14:ligatures w14:val="none"/>
        </w:rPr>
        <w:t>dianthi</w:t>
      </w:r>
      <w:proofErr w:type="spellEnd"/>
      <w:r w:rsidRPr="00DC49EA">
        <w:rPr>
          <w:rFonts w:ascii="Arial" w:eastAsia="Times New Roman" w:hAnsi="Arial" w:cs="Arial"/>
          <w:kern w:val="0"/>
          <w:lang w:eastAsia="en-IN"/>
          <w14:ligatures w14:val="none"/>
        </w:rPr>
        <w:t xml:space="preserve"> races in protected carnation growing areas in western Turkey. </w:t>
      </w:r>
      <w:r w:rsidRPr="00DC49EA">
        <w:rPr>
          <w:rFonts w:ascii="Arial" w:eastAsia="Times New Roman" w:hAnsi="Arial" w:cs="Arial"/>
          <w:i/>
          <w:iCs/>
          <w:kern w:val="0"/>
          <w:lang w:eastAsia="en-IN"/>
          <w14:ligatures w14:val="none"/>
        </w:rPr>
        <w:t>Journal of Plant Diseases and Protection, 129</w:t>
      </w:r>
      <w:r w:rsidRPr="00DC49EA">
        <w:rPr>
          <w:rFonts w:ascii="Arial" w:eastAsia="Times New Roman" w:hAnsi="Arial" w:cs="Arial"/>
          <w:kern w:val="0"/>
          <w:lang w:eastAsia="en-IN"/>
          <w14:ligatures w14:val="none"/>
        </w:rPr>
        <w:t>, 231–242. https://doi.org/10.1007/s41348-021-00545-9</w:t>
      </w:r>
    </w:p>
    <w:p w14:paraId="47010AD4"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de Farias, O. R., de Nascimento, L. C., Cruz, J. M. F. L., Silva, H. A. O., de Mello Oliveira, M. D., Bruno, R. de L. A., &amp; </w:t>
      </w:r>
      <w:proofErr w:type="spellStart"/>
      <w:r w:rsidRPr="00DC49EA">
        <w:rPr>
          <w:rFonts w:ascii="Arial" w:eastAsia="Times New Roman" w:hAnsi="Arial" w:cs="Arial"/>
          <w:kern w:val="0"/>
          <w:lang w:eastAsia="en-IN"/>
          <w14:ligatures w14:val="none"/>
        </w:rPr>
        <w:t>Arriel</w:t>
      </w:r>
      <w:proofErr w:type="spellEnd"/>
      <w:r w:rsidRPr="00DC49EA">
        <w:rPr>
          <w:rFonts w:ascii="Arial" w:eastAsia="Times New Roman" w:hAnsi="Arial" w:cs="Arial"/>
          <w:kern w:val="0"/>
          <w:lang w:eastAsia="en-IN"/>
          <w14:ligatures w14:val="none"/>
        </w:rPr>
        <w:t xml:space="preserve">, N. H. C. (2019). Biocontrol potential of Trichoderma and Bacillus species on Fusarium </w:t>
      </w:r>
      <w:proofErr w:type="spellStart"/>
      <w:r w:rsidRPr="00DC49EA">
        <w:rPr>
          <w:rFonts w:ascii="Arial" w:eastAsia="Times New Roman" w:hAnsi="Arial" w:cs="Arial"/>
          <w:kern w:val="0"/>
          <w:lang w:eastAsia="en-IN"/>
          <w14:ligatures w14:val="none"/>
        </w:rPr>
        <w:t>oxysporum</w:t>
      </w:r>
      <w:proofErr w:type="spellEnd"/>
      <w:r w:rsidRPr="00DC49EA">
        <w:rPr>
          <w:rFonts w:ascii="Arial" w:eastAsia="Times New Roman" w:hAnsi="Arial" w:cs="Arial"/>
          <w:kern w:val="0"/>
          <w:lang w:eastAsia="en-IN"/>
          <w14:ligatures w14:val="none"/>
        </w:rPr>
        <w:t xml:space="preserve"> f. sp. </w:t>
      </w:r>
      <w:proofErr w:type="spellStart"/>
      <w:r w:rsidRPr="00DC49EA">
        <w:rPr>
          <w:rFonts w:ascii="Arial" w:eastAsia="Times New Roman" w:hAnsi="Arial" w:cs="Arial"/>
          <w:kern w:val="0"/>
          <w:lang w:eastAsia="en-IN"/>
          <w14:ligatures w14:val="none"/>
        </w:rPr>
        <w:t>vasinfectum</w:t>
      </w:r>
      <w:proofErr w:type="spellEnd"/>
      <w:r w:rsidRPr="00DC49EA">
        <w:rPr>
          <w:rFonts w:ascii="Arial" w:eastAsia="Times New Roman" w:hAnsi="Arial" w:cs="Arial"/>
          <w:kern w:val="0"/>
          <w:lang w:eastAsia="en-IN"/>
          <w14:ligatures w14:val="none"/>
        </w:rPr>
        <w:t xml:space="preserve">. Journal of Experimental Agriculture International, 34(1), 1–11. </w:t>
      </w:r>
      <w:hyperlink r:id="rId8" w:history="1">
        <w:r w:rsidRPr="00DC49EA">
          <w:rPr>
            <w:rStyle w:val="Hyperlink"/>
            <w:rFonts w:ascii="Arial" w:eastAsia="Times New Roman" w:hAnsi="Arial" w:cs="Arial"/>
            <w:kern w:val="0"/>
            <w:lang w:eastAsia="en-IN"/>
            <w14:ligatures w14:val="none"/>
          </w:rPr>
          <w:t>https://doi.org/10.9734/jeai/2019/v34i130166</w:t>
        </w:r>
      </w:hyperlink>
    </w:p>
    <w:p w14:paraId="0E09546A"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Gordon, T. R. (2017). </w:t>
      </w:r>
      <w:r w:rsidRPr="00DC49EA">
        <w:rPr>
          <w:rFonts w:ascii="Arial" w:eastAsia="Times New Roman" w:hAnsi="Arial" w:cs="Arial"/>
          <w:i/>
          <w:iCs/>
          <w:kern w:val="0"/>
          <w:lang w:eastAsia="en-IN"/>
          <w14:ligatures w14:val="none"/>
        </w:rPr>
        <w:t xml:space="preserve">Fusarium </w:t>
      </w:r>
      <w:proofErr w:type="spellStart"/>
      <w:r w:rsidRPr="00DC49EA">
        <w:rPr>
          <w:rFonts w:ascii="Arial" w:eastAsia="Times New Roman" w:hAnsi="Arial" w:cs="Arial"/>
          <w:i/>
          <w:iCs/>
          <w:kern w:val="0"/>
          <w:lang w:eastAsia="en-IN"/>
          <w14:ligatures w14:val="none"/>
        </w:rPr>
        <w:t>oxysporum</w:t>
      </w:r>
      <w:proofErr w:type="spellEnd"/>
      <w:r w:rsidRPr="00DC49EA">
        <w:rPr>
          <w:rFonts w:ascii="Arial" w:eastAsia="Times New Roman" w:hAnsi="Arial" w:cs="Arial"/>
          <w:kern w:val="0"/>
          <w:lang w:eastAsia="en-IN"/>
          <w14:ligatures w14:val="none"/>
        </w:rPr>
        <w:t xml:space="preserve"> and the Fusarium wilt syndrome. </w:t>
      </w:r>
      <w:r w:rsidRPr="00DC49EA">
        <w:rPr>
          <w:rFonts w:ascii="Arial" w:eastAsia="Times New Roman" w:hAnsi="Arial" w:cs="Arial"/>
          <w:i/>
          <w:iCs/>
          <w:kern w:val="0"/>
          <w:lang w:eastAsia="en-IN"/>
          <w14:ligatures w14:val="none"/>
        </w:rPr>
        <w:t>Annual Review of Phytopathology, 55</w:t>
      </w:r>
      <w:r w:rsidRPr="00DC49EA">
        <w:rPr>
          <w:rFonts w:ascii="Arial" w:eastAsia="Times New Roman" w:hAnsi="Arial" w:cs="Arial"/>
          <w:kern w:val="0"/>
          <w:lang w:eastAsia="en-IN"/>
          <w14:ligatures w14:val="none"/>
        </w:rPr>
        <w:t>, 23–39. https://doi.org/10.1146/annurev-phyto-080615-095919</w:t>
      </w:r>
    </w:p>
    <w:p w14:paraId="16F8217B"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Haas, D., &amp; </w:t>
      </w:r>
      <w:proofErr w:type="spellStart"/>
      <w:r w:rsidRPr="00DC49EA">
        <w:rPr>
          <w:rFonts w:ascii="Arial" w:eastAsia="Times New Roman" w:hAnsi="Arial" w:cs="Arial"/>
          <w:kern w:val="0"/>
          <w:lang w:eastAsia="en-IN"/>
          <w14:ligatures w14:val="none"/>
        </w:rPr>
        <w:t>Défago</w:t>
      </w:r>
      <w:proofErr w:type="spellEnd"/>
      <w:r w:rsidRPr="00DC49EA">
        <w:rPr>
          <w:rFonts w:ascii="Arial" w:eastAsia="Times New Roman" w:hAnsi="Arial" w:cs="Arial"/>
          <w:kern w:val="0"/>
          <w:lang w:eastAsia="en-IN"/>
          <w14:ligatures w14:val="none"/>
        </w:rPr>
        <w:t xml:space="preserve">, G. (2005). Biological control of soil-borne pathogens by fluorescent pseudomonads. </w:t>
      </w:r>
      <w:r w:rsidRPr="00DC49EA">
        <w:rPr>
          <w:rFonts w:ascii="Arial" w:eastAsia="Times New Roman" w:hAnsi="Arial" w:cs="Arial"/>
          <w:i/>
          <w:iCs/>
          <w:kern w:val="0"/>
          <w:lang w:eastAsia="en-IN"/>
          <w14:ligatures w14:val="none"/>
        </w:rPr>
        <w:t>Nature Reviews Microbiology, 3</w:t>
      </w:r>
      <w:r w:rsidRPr="00DC49EA">
        <w:rPr>
          <w:rFonts w:ascii="Arial" w:eastAsia="Times New Roman" w:hAnsi="Arial" w:cs="Arial"/>
          <w:kern w:val="0"/>
          <w:lang w:eastAsia="en-IN"/>
          <w14:ligatures w14:val="none"/>
        </w:rPr>
        <w:t>(4), 307–319. https://doi.org/10.1038/nrmicro1129</w:t>
      </w:r>
    </w:p>
    <w:p w14:paraId="48291D49"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Harman, G. E., Howell, C. R., </w:t>
      </w:r>
      <w:proofErr w:type="spellStart"/>
      <w:r w:rsidRPr="00DC49EA">
        <w:rPr>
          <w:rFonts w:ascii="Arial" w:eastAsia="Times New Roman" w:hAnsi="Arial" w:cs="Arial"/>
          <w:kern w:val="0"/>
          <w:lang w:eastAsia="en-IN"/>
          <w14:ligatures w14:val="none"/>
        </w:rPr>
        <w:t>Viterbo</w:t>
      </w:r>
      <w:proofErr w:type="spellEnd"/>
      <w:r w:rsidRPr="00DC49EA">
        <w:rPr>
          <w:rFonts w:ascii="Arial" w:eastAsia="Times New Roman" w:hAnsi="Arial" w:cs="Arial"/>
          <w:kern w:val="0"/>
          <w:lang w:eastAsia="en-IN"/>
          <w14:ligatures w14:val="none"/>
        </w:rPr>
        <w:t xml:space="preserve">, A., Chet, I., &amp; </w:t>
      </w:r>
      <w:proofErr w:type="spellStart"/>
      <w:r w:rsidRPr="00DC49EA">
        <w:rPr>
          <w:rFonts w:ascii="Arial" w:eastAsia="Times New Roman" w:hAnsi="Arial" w:cs="Arial"/>
          <w:kern w:val="0"/>
          <w:lang w:eastAsia="en-IN"/>
          <w14:ligatures w14:val="none"/>
        </w:rPr>
        <w:t>Lorito</w:t>
      </w:r>
      <w:proofErr w:type="spellEnd"/>
      <w:r w:rsidRPr="00DC49EA">
        <w:rPr>
          <w:rFonts w:ascii="Arial" w:eastAsia="Times New Roman" w:hAnsi="Arial" w:cs="Arial"/>
          <w:kern w:val="0"/>
          <w:lang w:eastAsia="en-IN"/>
          <w14:ligatures w14:val="none"/>
        </w:rPr>
        <w:t xml:space="preserve">, M. (2004). </w:t>
      </w:r>
      <w:r w:rsidRPr="00DC49EA">
        <w:rPr>
          <w:rFonts w:ascii="Arial" w:eastAsia="Times New Roman" w:hAnsi="Arial" w:cs="Arial"/>
          <w:i/>
          <w:iCs/>
          <w:kern w:val="0"/>
          <w:lang w:eastAsia="en-IN"/>
          <w14:ligatures w14:val="none"/>
        </w:rPr>
        <w:t>Trichoderma</w:t>
      </w:r>
      <w:r w:rsidRPr="00DC49EA">
        <w:rPr>
          <w:rFonts w:ascii="Arial" w:eastAsia="Times New Roman" w:hAnsi="Arial" w:cs="Arial"/>
          <w:kern w:val="0"/>
          <w:lang w:eastAsia="en-IN"/>
          <w14:ligatures w14:val="none"/>
        </w:rPr>
        <w:t xml:space="preserve"> species—Opportunistic, avirulent plant symbionts. </w:t>
      </w:r>
      <w:r w:rsidRPr="00DC49EA">
        <w:rPr>
          <w:rFonts w:ascii="Arial" w:eastAsia="Times New Roman" w:hAnsi="Arial" w:cs="Arial"/>
          <w:i/>
          <w:iCs/>
          <w:kern w:val="0"/>
          <w:lang w:eastAsia="en-IN"/>
          <w14:ligatures w14:val="none"/>
        </w:rPr>
        <w:t>Nature Reviews Microbiology, 2</w:t>
      </w:r>
      <w:r w:rsidRPr="00DC49EA">
        <w:rPr>
          <w:rFonts w:ascii="Arial" w:eastAsia="Times New Roman" w:hAnsi="Arial" w:cs="Arial"/>
          <w:kern w:val="0"/>
          <w:lang w:eastAsia="en-IN"/>
          <w14:ligatures w14:val="none"/>
        </w:rPr>
        <w:t>(1), 43–56. https://doi.org/10.1038/nrmicro797</w:t>
      </w:r>
    </w:p>
    <w:p w14:paraId="6C555CCC"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Hoitink</w:t>
      </w:r>
      <w:proofErr w:type="spellEnd"/>
      <w:r w:rsidRPr="00DC49EA">
        <w:rPr>
          <w:rFonts w:ascii="Arial" w:eastAsia="Times New Roman" w:hAnsi="Arial" w:cs="Arial"/>
          <w:kern w:val="0"/>
          <w:lang w:eastAsia="en-IN"/>
          <w14:ligatures w14:val="none"/>
        </w:rPr>
        <w:t xml:space="preserve">, H. A. J., Madden, L. V., &amp; Dorrance, A. E. (2006). Systemic resistance induced by Trichoderma spp.: Interactions between the host, the pathogen, the biocontrol agent, and soil organic matter quality. Phytopathology, 96(2), 186–189. </w:t>
      </w:r>
      <w:hyperlink r:id="rId9" w:history="1">
        <w:r w:rsidRPr="00DC49EA">
          <w:rPr>
            <w:rStyle w:val="Hyperlink"/>
            <w:rFonts w:ascii="Arial" w:eastAsia="Times New Roman" w:hAnsi="Arial" w:cs="Arial"/>
            <w:kern w:val="0"/>
            <w:lang w:eastAsia="en-IN"/>
            <w14:ligatures w14:val="none"/>
          </w:rPr>
          <w:t>https://doi.org/10.1094/PHYTO-96-0186</w:t>
        </w:r>
      </w:hyperlink>
      <w:r w:rsidRPr="00DC49EA">
        <w:rPr>
          <w:rFonts w:ascii="Arial" w:eastAsia="Times New Roman" w:hAnsi="Arial" w:cs="Arial"/>
          <w:kern w:val="0"/>
          <w:lang w:eastAsia="en-IN"/>
          <w14:ligatures w14:val="none"/>
        </w:rPr>
        <w:t xml:space="preserve"> </w:t>
      </w:r>
    </w:p>
    <w:p w14:paraId="21D5F1CD"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Kumar, R., Biswas, S. K., Kumar, S., Kumar, S., &amp; Lal, K. (2024). Effect of Trichoderma culture filtrates as inducer on growth parameters of tomato (Solanum </w:t>
      </w:r>
      <w:proofErr w:type="spellStart"/>
      <w:r w:rsidRPr="00DC49EA">
        <w:rPr>
          <w:rFonts w:ascii="Arial" w:eastAsia="Times New Roman" w:hAnsi="Arial" w:cs="Arial"/>
          <w:kern w:val="0"/>
          <w:lang w:eastAsia="en-IN"/>
          <w14:ligatures w14:val="none"/>
        </w:rPr>
        <w:t>lycopersicum</w:t>
      </w:r>
      <w:proofErr w:type="spellEnd"/>
      <w:r w:rsidRPr="00DC49EA">
        <w:rPr>
          <w:rFonts w:ascii="Arial" w:eastAsia="Times New Roman" w:hAnsi="Arial" w:cs="Arial"/>
          <w:kern w:val="0"/>
          <w:lang w:eastAsia="en-IN"/>
          <w14:ligatures w14:val="none"/>
        </w:rPr>
        <w:t xml:space="preserve"> L.) against Fusarium wilt. Journal of Advances in Biology &amp; Biotechnology, 27(10), 636–649. </w:t>
      </w:r>
      <w:hyperlink r:id="rId10" w:history="1">
        <w:r w:rsidRPr="00DC49EA">
          <w:rPr>
            <w:rStyle w:val="Hyperlink"/>
            <w:rFonts w:ascii="Arial" w:eastAsia="Times New Roman" w:hAnsi="Arial" w:cs="Arial"/>
            <w:kern w:val="0"/>
            <w:lang w:eastAsia="en-IN"/>
            <w14:ligatures w14:val="none"/>
          </w:rPr>
          <w:t>https://doi.org/10.9734/jabb/2024/v27i101485</w:t>
        </w:r>
      </w:hyperlink>
      <w:r w:rsidRPr="00DC49EA">
        <w:rPr>
          <w:rFonts w:ascii="Arial" w:eastAsia="Times New Roman" w:hAnsi="Arial" w:cs="Arial"/>
          <w:kern w:val="0"/>
          <w:lang w:eastAsia="en-IN"/>
          <w14:ligatures w14:val="none"/>
        </w:rPr>
        <w:t xml:space="preserve"> </w:t>
      </w:r>
    </w:p>
    <w:p w14:paraId="27AA0A55"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Lecomte</w:t>
      </w:r>
      <w:proofErr w:type="spellEnd"/>
      <w:r w:rsidRPr="00DC49EA">
        <w:rPr>
          <w:rFonts w:ascii="Arial" w:eastAsia="Times New Roman" w:hAnsi="Arial" w:cs="Arial"/>
          <w:kern w:val="0"/>
          <w:lang w:eastAsia="en-IN"/>
          <w14:ligatures w14:val="none"/>
        </w:rPr>
        <w:t xml:space="preserve">, C., </w:t>
      </w:r>
      <w:proofErr w:type="spellStart"/>
      <w:r w:rsidRPr="00DC49EA">
        <w:rPr>
          <w:rFonts w:ascii="Arial" w:eastAsia="Times New Roman" w:hAnsi="Arial" w:cs="Arial"/>
          <w:kern w:val="0"/>
          <w:lang w:eastAsia="en-IN"/>
          <w14:ligatures w14:val="none"/>
        </w:rPr>
        <w:t>Alabouvette</w:t>
      </w:r>
      <w:proofErr w:type="spellEnd"/>
      <w:r w:rsidRPr="00DC49EA">
        <w:rPr>
          <w:rFonts w:ascii="Arial" w:eastAsia="Times New Roman" w:hAnsi="Arial" w:cs="Arial"/>
          <w:kern w:val="0"/>
          <w:lang w:eastAsia="en-IN"/>
          <w14:ligatures w14:val="none"/>
        </w:rPr>
        <w:t xml:space="preserve">, C., </w:t>
      </w:r>
      <w:proofErr w:type="spellStart"/>
      <w:r w:rsidRPr="00DC49EA">
        <w:rPr>
          <w:rFonts w:ascii="Arial" w:eastAsia="Times New Roman" w:hAnsi="Arial" w:cs="Arial"/>
          <w:kern w:val="0"/>
          <w:lang w:eastAsia="en-IN"/>
          <w14:ligatures w14:val="none"/>
        </w:rPr>
        <w:t>Edel</w:t>
      </w:r>
      <w:proofErr w:type="spellEnd"/>
      <w:r w:rsidRPr="00DC49EA">
        <w:rPr>
          <w:rFonts w:ascii="Arial" w:eastAsia="Times New Roman" w:hAnsi="Arial" w:cs="Arial"/>
          <w:kern w:val="0"/>
          <w:lang w:eastAsia="en-IN"/>
          <w14:ligatures w14:val="none"/>
        </w:rPr>
        <w:t xml:space="preserve">-Hermann, V., Robert, F., &amp; Steinberg, C. (2016). Biological control of ornamental plant diseases caused by Fusarium </w:t>
      </w:r>
      <w:proofErr w:type="spellStart"/>
      <w:r w:rsidRPr="00DC49EA">
        <w:rPr>
          <w:rFonts w:ascii="Arial" w:eastAsia="Times New Roman" w:hAnsi="Arial" w:cs="Arial"/>
          <w:kern w:val="0"/>
          <w:lang w:eastAsia="en-IN"/>
          <w14:ligatures w14:val="none"/>
        </w:rPr>
        <w:t>oxysporum</w:t>
      </w:r>
      <w:proofErr w:type="spellEnd"/>
      <w:r w:rsidRPr="00DC49EA">
        <w:rPr>
          <w:rFonts w:ascii="Arial" w:eastAsia="Times New Roman" w:hAnsi="Arial" w:cs="Arial"/>
          <w:kern w:val="0"/>
          <w:lang w:eastAsia="en-IN"/>
          <w14:ligatures w14:val="none"/>
        </w:rPr>
        <w:t>: A review. Biological Control, 101, 17–30. https://doi.org/10.1016/j.biocontrol.2016.06.004</w:t>
      </w:r>
    </w:p>
    <w:p w14:paraId="415B35F2"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Ma, L.-J., van der Does, H. C., </w:t>
      </w:r>
      <w:proofErr w:type="spellStart"/>
      <w:r w:rsidRPr="00DC49EA">
        <w:rPr>
          <w:rFonts w:ascii="Arial" w:eastAsia="Times New Roman" w:hAnsi="Arial" w:cs="Arial"/>
          <w:kern w:val="0"/>
          <w:lang w:eastAsia="en-IN"/>
          <w14:ligatures w14:val="none"/>
        </w:rPr>
        <w:t>Borkovich</w:t>
      </w:r>
      <w:proofErr w:type="spellEnd"/>
      <w:r w:rsidRPr="00DC49EA">
        <w:rPr>
          <w:rFonts w:ascii="Arial" w:eastAsia="Times New Roman" w:hAnsi="Arial" w:cs="Arial"/>
          <w:kern w:val="0"/>
          <w:lang w:eastAsia="en-IN"/>
          <w14:ligatures w14:val="none"/>
        </w:rPr>
        <w:t xml:space="preserve">, K. A., Coleman, J. J., </w:t>
      </w:r>
      <w:proofErr w:type="spellStart"/>
      <w:r w:rsidRPr="00DC49EA">
        <w:rPr>
          <w:rFonts w:ascii="Arial" w:eastAsia="Times New Roman" w:hAnsi="Arial" w:cs="Arial"/>
          <w:kern w:val="0"/>
          <w:lang w:eastAsia="en-IN"/>
          <w14:ligatures w14:val="none"/>
        </w:rPr>
        <w:t>Daboussi</w:t>
      </w:r>
      <w:proofErr w:type="spellEnd"/>
      <w:r w:rsidRPr="00DC49EA">
        <w:rPr>
          <w:rFonts w:ascii="Arial" w:eastAsia="Times New Roman" w:hAnsi="Arial" w:cs="Arial"/>
          <w:kern w:val="0"/>
          <w:lang w:eastAsia="en-IN"/>
          <w14:ligatures w14:val="none"/>
        </w:rPr>
        <w:t xml:space="preserve">, M.-J., Di Pietro, A., Dufresne, M., Freitag, M., </w:t>
      </w:r>
      <w:proofErr w:type="spellStart"/>
      <w:r w:rsidRPr="00DC49EA">
        <w:rPr>
          <w:rFonts w:ascii="Arial" w:eastAsia="Times New Roman" w:hAnsi="Arial" w:cs="Arial"/>
          <w:kern w:val="0"/>
          <w:lang w:eastAsia="en-IN"/>
          <w14:ligatures w14:val="none"/>
        </w:rPr>
        <w:t>Grabherr</w:t>
      </w:r>
      <w:proofErr w:type="spellEnd"/>
      <w:r w:rsidRPr="00DC49EA">
        <w:rPr>
          <w:rFonts w:ascii="Arial" w:eastAsia="Times New Roman" w:hAnsi="Arial" w:cs="Arial"/>
          <w:kern w:val="0"/>
          <w:lang w:eastAsia="en-IN"/>
          <w14:ligatures w14:val="none"/>
        </w:rPr>
        <w:t xml:space="preserve">, M., </w:t>
      </w:r>
      <w:proofErr w:type="spellStart"/>
      <w:r w:rsidRPr="00DC49EA">
        <w:rPr>
          <w:rFonts w:ascii="Arial" w:eastAsia="Times New Roman" w:hAnsi="Arial" w:cs="Arial"/>
          <w:kern w:val="0"/>
          <w:lang w:eastAsia="en-IN"/>
          <w14:ligatures w14:val="none"/>
        </w:rPr>
        <w:t>Henrissat</w:t>
      </w:r>
      <w:proofErr w:type="spellEnd"/>
      <w:r w:rsidRPr="00DC49EA">
        <w:rPr>
          <w:rFonts w:ascii="Arial" w:eastAsia="Times New Roman" w:hAnsi="Arial" w:cs="Arial"/>
          <w:kern w:val="0"/>
          <w:lang w:eastAsia="en-IN"/>
          <w14:ligatures w14:val="none"/>
        </w:rPr>
        <w:t xml:space="preserve">, B., </w:t>
      </w:r>
      <w:proofErr w:type="spellStart"/>
      <w:r w:rsidRPr="00DC49EA">
        <w:rPr>
          <w:rFonts w:ascii="Arial" w:eastAsia="Times New Roman" w:hAnsi="Arial" w:cs="Arial"/>
          <w:kern w:val="0"/>
          <w:lang w:eastAsia="en-IN"/>
          <w14:ligatures w14:val="none"/>
        </w:rPr>
        <w:t>Houterman</w:t>
      </w:r>
      <w:proofErr w:type="spellEnd"/>
      <w:r w:rsidRPr="00DC49EA">
        <w:rPr>
          <w:rFonts w:ascii="Arial" w:eastAsia="Times New Roman" w:hAnsi="Arial" w:cs="Arial"/>
          <w:kern w:val="0"/>
          <w:lang w:eastAsia="en-IN"/>
          <w14:ligatures w14:val="none"/>
        </w:rPr>
        <w:t xml:space="preserve">, P. M., Kang, S., Shim, W.-B., </w:t>
      </w:r>
      <w:proofErr w:type="spellStart"/>
      <w:r w:rsidRPr="00DC49EA">
        <w:rPr>
          <w:rFonts w:ascii="Arial" w:eastAsia="Times New Roman" w:hAnsi="Arial" w:cs="Arial"/>
          <w:kern w:val="0"/>
          <w:lang w:eastAsia="en-IN"/>
          <w14:ligatures w14:val="none"/>
        </w:rPr>
        <w:t>Woloshuk</w:t>
      </w:r>
      <w:proofErr w:type="spellEnd"/>
      <w:r w:rsidRPr="00DC49EA">
        <w:rPr>
          <w:rFonts w:ascii="Arial" w:eastAsia="Times New Roman" w:hAnsi="Arial" w:cs="Arial"/>
          <w:kern w:val="0"/>
          <w:lang w:eastAsia="en-IN"/>
          <w14:ligatures w14:val="none"/>
        </w:rPr>
        <w:t xml:space="preserve">, C., </w:t>
      </w:r>
      <w:proofErr w:type="spellStart"/>
      <w:r w:rsidRPr="00DC49EA">
        <w:rPr>
          <w:rFonts w:ascii="Arial" w:eastAsia="Times New Roman" w:hAnsi="Arial" w:cs="Arial"/>
          <w:kern w:val="0"/>
          <w:lang w:eastAsia="en-IN"/>
          <w14:ligatures w14:val="none"/>
        </w:rPr>
        <w:t>Xie</w:t>
      </w:r>
      <w:proofErr w:type="spellEnd"/>
      <w:r w:rsidRPr="00DC49EA">
        <w:rPr>
          <w:rFonts w:ascii="Arial" w:eastAsia="Times New Roman" w:hAnsi="Arial" w:cs="Arial"/>
          <w:kern w:val="0"/>
          <w:lang w:eastAsia="en-IN"/>
          <w14:ligatures w14:val="none"/>
        </w:rPr>
        <w:t xml:space="preserve">, X., Xu, J.-R., </w:t>
      </w:r>
      <w:proofErr w:type="spellStart"/>
      <w:r w:rsidRPr="00DC49EA">
        <w:rPr>
          <w:rFonts w:ascii="Arial" w:eastAsia="Times New Roman" w:hAnsi="Arial" w:cs="Arial"/>
          <w:kern w:val="0"/>
          <w:lang w:eastAsia="en-IN"/>
          <w14:ligatures w14:val="none"/>
        </w:rPr>
        <w:t>Antoniw</w:t>
      </w:r>
      <w:proofErr w:type="spellEnd"/>
      <w:r w:rsidRPr="00DC49EA">
        <w:rPr>
          <w:rFonts w:ascii="Arial" w:eastAsia="Times New Roman" w:hAnsi="Arial" w:cs="Arial"/>
          <w:kern w:val="0"/>
          <w:lang w:eastAsia="en-IN"/>
          <w14:ligatures w14:val="none"/>
        </w:rPr>
        <w:t xml:space="preserve">, J., Baker, S. E., Bluhm, B. H., … Rep, M. (2010). Comparative genomics reveals mobile pathogenicity chromosomes in </w:t>
      </w:r>
      <w:r w:rsidRPr="00DC49EA">
        <w:rPr>
          <w:rFonts w:ascii="Arial" w:eastAsia="Times New Roman" w:hAnsi="Arial" w:cs="Arial"/>
          <w:i/>
          <w:iCs/>
          <w:kern w:val="0"/>
          <w:lang w:eastAsia="en-IN"/>
          <w14:ligatures w14:val="none"/>
        </w:rPr>
        <w:t>Fusarium</w:t>
      </w:r>
      <w:r w:rsidRPr="00DC49EA">
        <w:rPr>
          <w:rFonts w:ascii="Arial" w:eastAsia="Times New Roman" w:hAnsi="Arial" w:cs="Arial"/>
          <w:kern w:val="0"/>
          <w:lang w:eastAsia="en-IN"/>
          <w14:ligatures w14:val="none"/>
        </w:rPr>
        <w:t xml:space="preserve">. </w:t>
      </w:r>
      <w:r w:rsidRPr="00DC49EA">
        <w:rPr>
          <w:rFonts w:ascii="Arial" w:eastAsia="Times New Roman" w:hAnsi="Arial" w:cs="Arial"/>
          <w:i/>
          <w:iCs/>
          <w:kern w:val="0"/>
          <w:lang w:eastAsia="en-IN"/>
          <w14:ligatures w14:val="none"/>
        </w:rPr>
        <w:t>Nature, 464</w:t>
      </w:r>
      <w:r w:rsidRPr="00DC49EA">
        <w:rPr>
          <w:rFonts w:ascii="Arial" w:eastAsia="Times New Roman" w:hAnsi="Arial" w:cs="Arial"/>
          <w:kern w:val="0"/>
          <w:lang w:eastAsia="en-IN"/>
          <w14:ligatures w14:val="none"/>
        </w:rPr>
        <w:t xml:space="preserve">(7287), 367–373. </w:t>
      </w:r>
      <w:hyperlink r:id="rId11" w:tgtFrame="_new" w:history="1">
        <w:r w:rsidRPr="00DC49EA">
          <w:rPr>
            <w:rFonts w:ascii="Arial" w:eastAsia="Times New Roman" w:hAnsi="Arial" w:cs="Arial"/>
            <w:color w:val="0000FF"/>
            <w:kern w:val="0"/>
            <w:u w:val="single"/>
            <w:lang w:eastAsia="en-IN"/>
            <w14:ligatures w14:val="none"/>
          </w:rPr>
          <w:t>https://doi.org/10.1038/nature08850</w:t>
        </w:r>
      </w:hyperlink>
    </w:p>
    <w:p w14:paraId="6331614C"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Mukherjee, P. K., Mendoza-Mendoza, A., </w:t>
      </w:r>
      <w:proofErr w:type="spellStart"/>
      <w:r w:rsidRPr="00DC49EA">
        <w:rPr>
          <w:rFonts w:ascii="Arial" w:eastAsia="Times New Roman" w:hAnsi="Arial" w:cs="Arial"/>
          <w:kern w:val="0"/>
          <w:lang w:eastAsia="en-IN"/>
          <w14:ligatures w14:val="none"/>
        </w:rPr>
        <w:t>Zeilinger</w:t>
      </w:r>
      <w:proofErr w:type="spellEnd"/>
      <w:r w:rsidRPr="00DC49EA">
        <w:rPr>
          <w:rFonts w:ascii="Arial" w:eastAsia="Times New Roman" w:hAnsi="Arial" w:cs="Arial"/>
          <w:kern w:val="0"/>
          <w:lang w:eastAsia="en-IN"/>
          <w14:ligatures w14:val="none"/>
        </w:rPr>
        <w:t>, S., &amp; Horwitz, B. A. (2022). Mycoparasitism as a mechanism of Trichoderma-mediated suppression of plant diseases. Fungal Biology Reviews, 39, 15–33. https://doi.org/10.1016/j.fbr.2021.11.004</w:t>
      </w:r>
    </w:p>
    <w:p w14:paraId="786E9F63"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Nawrocka</w:t>
      </w:r>
      <w:proofErr w:type="spellEnd"/>
      <w:r w:rsidRPr="00DC49EA">
        <w:rPr>
          <w:rFonts w:ascii="Arial" w:eastAsia="Times New Roman" w:hAnsi="Arial" w:cs="Arial"/>
          <w:kern w:val="0"/>
          <w:lang w:eastAsia="en-IN"/>
          <w14:ligatures w14:val="none"/>
        </w:rPr>
        <w:t xml:space="preserve">, J., &amp; </w:t>
      </w:r>
      <w:proofErr w:type="spellStart"/>
      <w:r w:rsidRPr="00DC49EA">
        <w:rPr>
          <w:rFonts w:ascii="Arial" w:eastAsia="Times New Roman" w:hAnsi="Arial" w:cs="Arial"/>
          <w:kern w:val="0"/>
          <w:lang w:eastAsia="en-IN"/>
          <w14:ligatures w14:val="none"/>
        </w:rPr>
        <w:t>Małolepsza</w:t>
      </w:r>
      <w:proofErr w:type="spellEnd"/>
      <w:r w:rsidRPr="00DC49EA">
        <w:rPr>
          <w:rFonts w:ascii="Arial" w:eastAsia="Times New Roman" w:hAnsi="Arial" w:cs="Arial"/>
          <w:kern w:val="0"/>
          <w:lang w:eastAsia="en-IN"/>
          <w14:ligatures w14:val="none"/>
        </w:rPr>
        <w:t xml:space="preserve">, U. (2013). Diversity in plant systemic resistance induced by </w:t>
      </w:r>
      <w:r w:rsidRPr="00DC49EA">
        <w:rPr>
          <w:rFonts w:ascii="Arial" w:eastAsia="Times New Roman" w:hAnsi="Arial" w:cs="Arial"/>
          <w:i/>
          <w:iCs/>
          <w:kern w:val="0"/>
          <w:lang w:eastAsia="en-IN"/>
          <w14:ligatures w14:val="none"/>
        </w:rPr>
        <w:t>Trichoderma</w:t>
      </w:r>
      <w:r w:rsidRPr="00DC49EA">
        <w:rPr>
          <w:rFonts w:ascii="Arial" w:eastAsia="Times New Roman" w:hAnsi="Arial" w:cs="Arial"/>
          <w:kern w:val="0"/>
          <w:lang w:eastAsia="en-IN"/>
          <w14:ligatures w14:val="none"/>
        </w:rPr>
        <w:t xml:space="preserve">. </w:t>
      </w:r>
      <w:r w:rsidRPr="00DC49EA">
        <w:rPr>
          <w:rFonts w:ascii="Arial" w:eastAsia="Times New Roman" w:hAnsi="Arial" w:cs="Arial"/>
          <w:i/>
          <w:iCs/>
          <w:kern w:val="0"/>
          <w:lang w:eastAsia="en-IN"/>
          <w14:ligatures w14:val="none"/>
        </w:rPr>
        <w:t>Biological Control, 67</w:t>
      </w:r>
      <w:r w:rsidRPr="00DC49EA">
        <w:rPr>
          <w:rFonts w:ascii="Arial" w:eastAsia="Times New Roman" w:hAnsi="Arial" w:cs="Arial"/>
          <w:kern w:val="0"/>
          <w:lang w:eastAsia="en-IN"/>
          <w14:ligatures w14:val="none"/>
        </w:rPr>
        <w:t>(2), 149–156. https://doi.org/10.1016/j.biocontrol.2013.07.005</w:t>
      </w:r>
    </w:p>
    <w:p w14:paraId="46E57FB1"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lastRenderedPageBreak/>
        <w:t>Ongena</w:t>
      </w:r>
      <w:proofErr w:type="spellEnd"/>
      <w:r w:rsidRPr="00DC49EA">
        <w:rPr>
          <w:rFonts w:ascii="Arial" w:eastAsia="Times New Roman" w:hAnsi="Arial" w:cs="Arial"/>
          <w:kern w:val="0"/>
          <w:lang w:eastAsia="en-IN"/>
          <w14:ligatures w14:val="none"/>
        </w:rPr>
        <w:t xml:space="preserve">, M., &amp; Jacques, P. (2008). Bacillus lipopeptides: Versatile weapons for plant disease biocontrol. </w:t>
      </w:r>
      <w:r w:rsidRPr="00DC49EA">
        <w:rPr>
          <w:rFonts w:ascii="Arial" w:eastAsia="Times New Roman" w:hAnsi="Arial" w:cs="Arial"/>
          <w:i/>
          <w:iCs/>
          <w:kern w:val="0"/>
          <w:lang w:eastAsia="en-IN"/>
          <w14:ligatures w14:val="none"/>
        </w:rPr>
        <w:t>Trends in Microbiology, 16</w:t>
      </w:r>
      <w:r w:rsidRPr="00DC49EA">
        <w:rPr>
          <w:rFonts w:ascii="Arial" w:eastAsia="Times New Roman" w:hAnsi="Arial" w:cs="Arial"/>
          <w:kern w:val="0"/>
          <w:lang w:eastAsia="en-IN"/>
          <w14:ligatures w14:val="none"/>
        </w:rPr>
        <w:t>(3), 115–125. https://doi.org/10.1016/j.tim.2007.12.009</w:t>
      </w:r>
    </w:p>
    <w:p w14:paraId="6D608456"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Ossowicki</w:t>
      </w:r>
      <w:proofErr w:type="spellEnd"/>
      <w:r w:rsidRPr="00DC49EA">
        <w:rPr>
          <w:rFonts w:ascii="Arial" w:eastAsia="Times New Roman" w:hAnsi="Arial" w:cs="Arial"/>
          <w:kern w:val="0"/>
          <w:lang w:eastAsia="en-IN"/>
          <w14:ligatures w14:val="none"/>
        </w:rPr>
        <w:t xml:space="preserve">, A., </w:t>
      </w:r>
      <w:proofErr w:type="spellStart"/>
      <w:r w:rsidRPr="00DC49EA">
        <w:rPr>
          <w:rFonts w:ascii="Arial" w:eastAsia="Times New Roman" w:hAnsi="Arial" w:cs="Arial"/>
          <w:kern w:val="0"/>
          <w:lang w:eastAsia="en-IN"/>
          <w14:ligatures w14:val="none"/>
        </w:rPr>
        <w:t>Tracanna</w:t>
      </w:r>
      <w:proofErr w:type="spellEnd"/>
      <w:r w:rsidRPr="00DC49EA">
        <w:rPr>
          <w:rFonts w:ascii="Arial" w:eastAsia="Times New Roman" w:hAnsi="Arial" w:cs="Arial"/>
          <w:kern w:val="0"/>
          <w:lang w:eastAsia="en-IN"/>
          <w14:ligatures w14:val="none"/>
        </w:rPr>
        <w:t xml:space="preserve">, V., Petrus, M. L. C., van </w:t>
      </w:r>
      <w:proofErr w:type="spellStart"/>
      <w:r w:rsidRPr="00DC49EA">
        <w:rPr>
          <w:rFonts w:ascii="Arial" w:eastAsia="Times New Roman" w:hAnsi="Arial" w:cs="Arial"/>
          <w:kern w:val="0"/>
          <w:lang w:eastAsia="en-IN"/>
          <w14:ligatures w14:val="none"/>
        </w:rPr>
        <w:t>Wezel</w:t>
      </w:r>
      <w:proofErr w:type="spellEnd"/>
      <w:r w:rsidRPr="00DC49EA">
        <w:rPr>
          <w:rFonts w:ascii="Arial" w:eastAsia="Times New Roman" w:hAnsi="Arial" w:cs="Arial"/>
          <w:kern w:val="0"/>
          <w:lang w:eastAsia="en-IN"/>
          <w14:ligatures w14:val="none"/>
        </w:rPr>
        <w:t xml:space="preserve">, G., </w:t>
      </w:r>
      <w:proofErr w:type="spellStart"/>
      <w:r w:rsidRPr="00DC49EA">
        <w:rPr>
          <w:rFonts w:ascii="Arial" w:eastAsia="Times New Roman" w:hAnsi="Arial" w:cs="Arial"/>
          <w:kern w:val="0"/>
          <w:lang w:eastAsia="en-IN"/>
          <w14:ligatures w14:val="none"/>
        </w:rPr>
        <w:t>Raaijmakers</w:t>
      </w:r>
      <w:proofErr w:type="spellEnd"/>
      <w:r w:rsidRPr="00DC49EA">
        <w:rPr>
          <w:rFonts w:ascii="Arial" w:eastAsia="Times New Roman" w:hAnsi="Arial" w:cs="Arial"/>
          <w:kern w:val="0"/>
          <w:lang w:eastAsia="en-IN"/>
          <w14:ligatures w14:val="none"/>
        </w:rPr>
        <w:t xml:space="preserve">, J. M., </w:t>
      </w:r>
      <w:proofErr w:type="spellStart"/>
      <w:r w:rsidRPr="00DC49EA">
        <w:rPr>
          <w:rFonts w:ascii="Arial" w:eastAsia="Times New Roman" w:hAnsi="Arial" w:cs="Arial"/>
          <w:kern w:val="0"/>
          <w:lang w:eastAsia="en-IN"/>
          <w14:ligatures w14:val="none"/>
        </w:rPr>
        <w:t>Medema</w:t>
      </w:r>
      <w:proofErr w:type="spellEnd"/>
      <w:r w:rsidRPr="00DC49EA">
        <w:rPr>
          <w:rFonts w:ascii="Arial" w:eastAsia="Times New Roman" w:hAnsi="Arial" w:cs="Arial"/>
          <w:kern w:val="0"/>
          <w:lang w:eastAsia="en-IN"/>
          <w14:ligatures w14:val="none"/>
        </w:rPr>
        <w:t xml:space="preserve">, M. H., &amp; </w:t>
      </w:r>
      <w:proofErr w:type="spellStart"/>
      <w:r w:rsidRPr="00DC49EA">
        <w:rPr>
          <w:rFonts w:ascii="Arial" w:eastAsia="Times New Roman" w:hAnsi="Arial" w:cs="Arial"/>
          <w:kern w:val="0"/>
          <w:lang w:eastAsia="en-IN"/>
          <w14:ligatures w14:val="none"/>
        </w:rPr>
        <w:t>Garbeva</w:t>
      </w:r>
      <w:proofErr w:type="spellEnd"/>
      <w:r w:rsidRPr="00DC49EA">
        <w:rPr>
          <w:rFonts w:ascii="Arial" w:eastAsia="Times New Roman" w:hAnsi="Arial" w:cs="Arial"/>
          <w:kern w:val="0"/>
          <w:lang w:eastAsia="en-IN"/>
          <w14:ligatures w14:val="none"/>
        </w:rPr>
        <w:t xml:space="preserve">, P. (2020). Microbial and volatile profiling of soils suppressive to Fusarium </w:t>
      </w:r>
      <w:proofErr w:type="spellStart"/>
      <w:r w:rsidRPr="00DC49EA">
        <w:rPr>
          <w:rFonts w:ascii="Arial" w:eastAsia="Times New Roman" w:hAnsi="Arial" w:cs="Arial"/>
          <w:kern w:val="0"/>
          <w:lang w:eastAsia="en-IN"/>
          <w14:ligatures w14:val="none"/>
        </w:rPr>
        <w:t>culmorum</w:t>
      </w:r>
      <w:proofErr w:type="spellEnd"/>
      <w:r w:rsidRPr="00DC49EA">
        <w:rPr>
          <w:rFonts w:ascii="Arial" w:eastAsia="Times New Roman" w:hAnsi="Arial" w:cs="Arial"/>
          <w:kern w:val="0"/>
          <w:lang w:eastAsia="en-IN"/>
          <w14:ligatures w14:val="none"/>
        </w:rPr>
        <w:t xml:space="preserve"> of wheat. Proceedings of the Royal Society B: Biological Sciences, 287(1921), 20192527. https://doi.org/10.1098/rspb.2019.2527</w:t>
      </w:r>
    </w:p>
    <w:p w14:paraId="2AC1CBAF"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Pieterse, C. M. J., </w:t>
      </w:r>
      <w:proofErr w:type="spellStart"/>
      <w:r w:rsidRPr="00DC49EA">
        <w:rPr>
          <w:rFonts w:ascii="Arial" w:eastAsia="Times New Roman" w:hAnsi="Arial" w:cs="Arial"/>
          <w:kern w:val="0"/>
          <w:lang w:eastAsia="en-IN"/>
          <w14:ligatures w14:val="none"/>
        </w:rPr>
        <w:t>Zamioudis</w:t>
      </w:r>
      <w:proofErr w:type="spellEnd"/>
      <w:r w:rsidRPr="00DC49EA">
        <w:rPr>
          <w:rFonts w:ascii="Arial" w:eastAsia="Times New Roman" w:hAnsi="Arial" w:cs="Arial"/>
          <w:kern w:val="0"/>
          <w:lang w:eastAsia="en-IN"/>
          <w14:ligatures w14:val="none"/>
        </w:rPr>
        <w:t xml:space="preserve">, C., Berendsen, R. L., Weller, D. M., Van Wees, S. C. M., &amp; Bakker, P. A. H. M. (2014). Induced systemic resistance by beneficial microbes. </w:t>
      </w:r>
      <w:r w:rsidRPr="00DC49EA">
        <w:rPr>
          <w:rFonts w:ascii="Arial" w:eastAsia="Times New Roman" w:hAnsi="Arial" w:cs="Arial"/>
          <w:i/>
          <w:iCs/>
          <w:kern w:val="0"/>
          <w:lang w:eastAsia="en-IN"/>
          <w14:ligatures w14:val="none"/>
        </w:rPr>
        <w:t>Annual Review of Phytopathology, 52</w:t>
      </w:r>
      <w:r w:rsidRPr="00DC49EA">
        <w:rPr>
          <w:rFonts w:ascii="Arial" w:eastAsia="Times New Roman" w:hAnsi="Arial" w:cs="Arial"/>
          <w:kern w:val="0"/>
          <w:lang w:eastAsia="en-IN"/>
          <w14:ligatures w14:val="none"/>
        </w:rPr>
        <w:t>, 347–375. https://doi.org/10.1146/annurev-phyto-082712-102340</w:t>
      </w:r>
    </w:p>
    <w:p w14:paraId="67AFB68A"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Postma, J., &amp; </w:t>
      </w:r>
      <w:proofErr w:type="spellStart"/>
      <w:r w:rsidRPr="00DC49EA">
        <w:rPr>
          <w:rFonts w:ascii="Arial" w:eastAsia="Times New Roman" w:hAnsi="Arial" w:cs="Arial"/>
          <w:kern w:val="0"/>
          <w:lang w:eastAsia="en-IN"/>
          <w14:ligatures w14:val="none"/>
        </w:rPr>
        <w:t>Luttikholt</w:t>
      </w:r>
      <w:proofErr w:type="spellEnd"/>
      <w:r w:rsidRPr="00DC49EA">
        <w:rPr>
          <w:rFonts w:ascii="Arial" w:eastAsia="Times New Roman" w:hAnsi="Arial" w:cs="Arial"/>
          <w:kern w:val="0"/>
          <w:lang w:eastAsia="en-IN"/>
          <w14:ligatures w14:val="none"/>
        </w:rPr>
        <w:t xml:space="preserve">, A. J. G. (1996). Colonization of carnation stems by a </w:t>
      </w:r>
      <w:proofErr w:type="spellStart"/>
      <w:r w:rsidRPr="00DC49EA">
        <w:rPr>
          <w:rFonts w:ascii="Arial" w:eastAsia="Times New Roman" w:hAnsi="Arial" w:cs="Arial"/>
          <w:kern w:val="0"/>
          <w:lang w:eastAsia="en-IN"/>
          <w14:ligatures w14:val="none"/>
        </w:rPr>
        <w:t>nonpathogenic</w:t>
      </w:r>
      <w:proofErr w:type="spellEnd"/>
      <w:r w:rsidRPr="00DC49EA">
        <w:rPr>
          <w:rFonts w:ascii="Arial" w:eastAsia="Times New Roman" w:hAnsi="Arial" w:cs="Arial"/>
          <w:kern w:val="0"/>
          <w:lang w:eastAsia="en-IN"/>
          <w14:ligatures w14:val="none"/>
        </w:rPr>
        <w:t xml:space="preserve"> isolate of </w:t>
      </w:r>
      <w:r w:rsidRPr="00DC49EA">
        <w:rPr>
          <w:rFonts w:ascii="Arial" w:eastAsia="Times New Roman" w:hAnsi="Arial" w:cs="Arial"/>
          <w:i/>
          <w:iCs/>
          <w:kern w:val="0"/>
          <w:lang w:eastAsia="en-IN"/>
          <w14:ligatures w14:val="none"/>
        </w:rPr>
        <w:t xml:space="preserve">Fusarium </w:t>
      </w:r>
      <w:proofErr w:type="spellStart"/>
      <w:r w:rsidRPr="00DC49EA">
        <w:rPr>
          <w:rFonts w:ascii="Arial" w:eastAsia="Times New Roman" w:hAnsi="Arial" w:cs="Arial"/>
          <w:i/>
          <w:iCs/>
          <w:kern w:val="0"/>
          <w:lang w:eastAsia="en-IN"/>
          <w14:ligatures w14:val="none"/>
        </w:rPr>
        <w:t>oxysporum</w:t>
      </w:r>
      <w:proofErr w:type="spellEnd"/>
      <w:r w:rsidRPr="00DC49EA">
        <w:rPr>
          <w:rFonts w:ascii="Arial" w:eastAsia="Times New Roman" w:hAnsi="Arial" w:cs="Arial"/>
          <w:kern w:val="0"/>
          <w:lang w:eastAsia="en-IN"/>
          <w14:ligatures w14:val="none"/>
        </w:rPr>
        <w:t xml:space="preserve"> and its effect on </w:t>
      </w:r>
      <w:r w:rsidRPr="00DC49EA">
        <w:rPr>
          <w:rFonts w:ascii="Arial" w:eastAsia="Times New Roman" w:hAnsi="Arial" w:cs="Arial"/>
          <w:i/>
          <w:iCs/>
          <w:kern w:val="0"/>
          <w:lang w:eastAsia="en-IN"/>
          <w14:ligatures w14:val="none"/>
        </w:rPr>
        <w:t xml:space="preserve">Fusarium </w:t>
      </w:r>
      <w:proofErr w:type="spellStart"/>
      <w:r w:rsidRPr="00DC49EA">
        <w:rPr>
          <w:rFonts w:ascii="Arial" w:eastAsia="Times New Roman" w:hAnsi="Arial" w:cs="Arial"/>
          <w:i/>
          <w:iCs/>
          <w:kern w:val="0"/>
          <w:lang w:eastAsia="en-IN"/>
          <w14:ligatures w14:val="none"/>
        </w:rPr>
        <w:t>oxysporum</w:t>
      </w:r>
      <w:proofErr w:type="spellEnd"/>
      <w:r w:rsidRPr="00DC49EA">
        <w:rPr>
          <w:rFonts w:ascii="Arial" w:eastAsia="Times New Roman" w:hAnsi="Arial" w:cs="Arial"/>
          <w:kern w:val="0"/>
          <w:lang w:eastAsia="en-IN"/>
          <w14:ligatures w14:val="none"/>
        </w:rPr>
        <w:t xml:space="preserve"> f. sp. </w:t>
      </w:r>
      <w:proofErr w:type="spellStart"/>
      <w:r w:rsidRPr="00DC49EA">
        <w:rPr>
          <w:rFonts w:ascii="Arial" w:eastAsia="Times New Roman" w:hAnsi="Arial" w:cs="Arial"/>
          <w:i/>
          <w:iCs/>
          <w:kern w:val="0"/>
          <w:lang w:eastAsia="en-IN"/>
          <w14:ligatures w14:val="none"/>
        </w:rPr>
        <w:t>dianthi</w:t>
      </w:r>
      <w:proofErr w:type="spellEnd"/>
      <w:r w:rsidRPr="00DC49EA">
        <w:rPr>
          <w:rFonts w:ascii="Arial" w:eastAsia="Times New Roman" w:hAnsi="Arial" w:cs="Arial"/>
          <w:kern w:val="0"/>
          <w:lang w:eastAsia="en-IN"/>
          <w14:ligatures w14:val="none"/>
        </w:rPr>
        <w:t xml:space="preserve">. </w:t>
      </w:r>
      <w:r w:rsidRPr="00DC49EA">
        <w:rPr>
          <w:rFonts w:ascii="Arial" w:eastAsia="Times New Roman" w:hAnsi="Arial" w:cs="Arial"/>
          <w:i/>
          <w:iCs/>
          <w:kern w:val="0"/>
          <w:lang w:eastAsia="en-IN"/>
          <w14:ligatures w14:val="none"/>
        </w:rPr>
        <w:t>Canadian Journal of Botany, 74</w:t>
      </w:r>
      <w:r w:rsidRPr="00DC49EA">
        <w:rPr>
          <w:rFonts w:ascii="Arial" w:eastAsia="Times New Roman" w:hAnsi="Arial" w:cs="Arial"/>
          <w:kern w:val="0"/>
          <w:lang w:eastAsia="en-IN"/>
          <w14:ligatures w14:val="none"/>
        </w:rPr>
        <w:t>(11), 1841–1851. https://doi.org/10.1139/b96-221</w:t>
      </w:r>
    </w:p>
    <w:p w14:paraId="5AFAAE4A"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Postma, J., &amp; </w:t>
      </w:r>
      <w:proofErr w:type="spellStart"/>
      <w:r w:rsidRPr="00DC49EA">
        <w:rPr>
          <w:rFonts w:ascii="Arial" w:eastAsia="Times New Roman" w:hAnsi="Arial" w:cs="Arial"/>
          <w:kern w:val="0"/>
          <w:lang w:eastAsia="en-IN"/>
          <w14:ligatures w14:val="none"/>
        </w:rPr>
        <w:t>Rattink</w:t>
      </w:r>
      <w:proofErr w:type="spellEnd"/>
      <w:r w:rsidRPr="00DC49EA">
        <w:rPr>
          <w:rFonts w:ascii="Arial" w:eastAsia="Times New Roman" w:hAnsi="Arial" w:cs="Arial"/>
          <w:kern w:val="0"/>
          <w:lang w:eastAsia="en-IN"/>
          <w14:ligatures w14:val="none"/>
        </w:rPr>
        <w:t xml:space="preserve">, H. (2002). Modes of action of non-pathogenic strains of Fusarium </w:t>
      </w:r>
      <w:proofErr w:type="spellStart"/>
      <w:r w:rsidRPr="00DC49EA">
        <w:rPr>
          <w:rFonts w:ascii="Arial" w:eastAsia="Times New Roman" w:hAnsi="Arial" w:cs="Arial"/>
          <w:kern w:val="0"/>
          <w:lang w:eastAsia="en-IN"/>
          <w14:ligatures w14:val="none"/>
        </w:rPr>
        <w:t>oxysporum</w:t>
      </w:r>
      <w:proofErr w:type="spellEnd"/>
      <w:r w:rsidRPr="00DC49EA">
        <w:rPr>
          <w:rFonts w:ascii="Arial" w:eastAsia="Times New Roman" w:hAnsi="Arial" w:cs="Arial"/>
          <w:kern w:val="0"/>
          <w:lang w:eastAsia="en-IN"/>
          <w14:ligatures w14:val="none"/>
        </w:rPr>
        <w:t xml:space="preserve"> in controlling Fusarium wilt diseases. Plant Protection Science, 38(10), 195–199. </w:t>
      </w:r>
      <w:hyperlink r:id="rId12" w:history="1">
        <w:r w:rsidRPr="00DC49EA">
          <w:rPr>
            <w:rStyle w:val="Hyperlink"/>
            <w:rFonts w:ascii="Arial" w:eastAsia="Times New Roman" w:hAnsi="Arial" w:cs="Arial"/>
            <w:kern w:val="0"/>
            <w:lang w:eastAsia="en-IN"/>
            <w14:ligatures w14:val="none"/>
          </w:rPr>
          <w:t>https://doi.org/10.17221/10354-PPS</w:t>
        </w:r>
      </w:hyperlink>
      <w:r w:rsidRPr="00DC49EA">
        <w:rPr>
          <w:rFonts w:ascii="Arial" w:eastAsia="Times New Roman" w:hAnsi="Arial" w:cs="Arial"/>
          <w:kern w:val="0"/>
          <w:lang w:eastAsia="en-IN"/>
          <w14:ligatures w14:val="none"/>
        </w:rPr>
        <w:t xml:space="preserve"> </w:t>
      </w:r>
    </w:p>
    <w:p w14:paraId="5DFD24C6"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lang w:eastAsia="en-IN"/>
          <w14:ligatures w14:val="none"/>
        </w:rPr>
        <w:t>Raaijmakers</w:t>
      </w:r>
      <w:proofErr w:type="spellEnd"/>
      <w:r w:rsidRPr="00DC49EA">
        <w:rPr>
          <w:rFonts w:ascii="Arial" w:eastAsia="Times New Roman" w:hAnsi="Arial" w:cs="Arial"/>
          <w:kern w:val="0"/>
          <w:lang w:eastAsia="en-IN"/>
          <w14:ligatures w14:val="none"/>
        </w:rPr>
        <w:t xml:space="preserve">, J. M., &amp; Mazzola, M. (2012). Diversity and natural functions of antibiotics produced by beneficial and plant pathogenic bacteria. Annual Review of Phytopathology, 50, 403–424. </w:t>
      </w:r>
      <w:hyperlink r:id="rId13" w:history="1">
        <w:r w:rsidRPr="00DC49EA">
          <w:rPr>
            <w:rStyle w:val="Hyperlink"/>
            <w:rFonts w:ascii="Arial" w:eastAsia="Times New Roman" w:hAnsi="Arial" w:cs="Arial"/>
            <w:kern w:val="0"/>
            <w:lang w:eastAsia="en-IN"/>
            <w14:ligatures w14:val="none"/>
          </w:rPr>
          <w:t>https://doi.org/10.1146/annurev-phyto-081211-172908</w:t>
        </w:r>
      </w:hyperlink>
      <w:r w:rsidRPr="00DC49EA">
        <w:rPr>
          <w:rFonts w:ascii="Arial" w:eastAsia="Times New Roman" w:hAnsi="Arial" w:cs="Arial"/>
          <w:kern w:val="0"/>
          <w:lang w:eastAsia="en-IN"/>
          <w14:ligatures w14:val="none"/>
        </w:rPr>
        <w:t xml:space="preserve"> </w:t>
      </w:r>
    </w:p>
    <w:p w14:paraId="53789C3E"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Segarra, G., Casanova, E., </w:t>
      </w:r>
      <w:proofErr w:type="spellStart"/>
      <w:r w:rsidRPr="00DC49EA">
        <w:rPr>
          <w:rFonts w:ascii="Arial" w:eastAsia="Times New Roman" w:hAnsi="Arial" w:cs="Arial"/>
          <w:kern w:val="0"/>
          <w:lang w:eastAsia="en-IN"/>
          <w14:ligatures w14:val="none"/>
        </w:rPr>
        <w:t>Avilés</w:t>
      </w:r>
      <w:proofErr w:type="spellEnd"/>
      <w:r w:rsidRPr="00DC49EA">
        <w:rPr>
          <w:rFonts w:ascii="Arial" w:eastAsia="Times New Roman" w:hAnsi="Arial" w:cs="Arial"/>
          <w:kern w:val="0"/>
          <w:lang w:eastAsia="en-IN"/>
          <w14:ligatures w14:val="none"/>
        </w:rPr>
        <w:t xml:space="preserve">, M., &amp; </w:t>
      </w:r>
      <w:proofErr w:type="spellStart"/>
      <w:r w:rsidRPr="00DC49EA">
        <w:rPr>
          <w:rFonts w:ascii="Arial" w:eastAsia="Times New Roman" w:hAnsi="Arial" w:cs="Arial"/>
          <w:kern w:val="0"/>
          <w:lang w:eastAsia="en-IN"/>
          <w14:ligatures w14:val="none"/>
        </w:rPr>
        <w:t>Trillas</w:t>
      </w:r>
      <w:proofErr w:type="spellEnd"/>
      <w:r w:rsidRPr="00DC49EA">
        <w:rPr>
          <w:rFonts w:ascii="Arial" w:eastAsia="Times New Roman" w:hAnsi="Arial" w:cs="Arial"/>
          <w:kern w:val="0"/>
          <w:lang w:eastAsia="en-IN"/>
          <w14:ligatures w14:val="none"/>
        </w:rPr>
        <w:t xml:space="preserve">, I. (2010). Trichoderma </w:t>
      </w:r>
      <w:proofErr w:type="spellStart"/>
      <w:r w:rsidRPr="00DC49EA">
        <w:rPr>
          <w:rFonts w:ascii="Arial" w:eastAsia="Times New Roman" w:hAnsi="Arial" w:cs="Arial"/>
          <w:kern w:val="0"/>
          <w:lang w:eastAsia="en-IN"/>
          <w14:ligatures w14:val="none"/>
        </w:rPr>
        <w:t>asperellum</w:t>
      </w:r>
      <w:proofErr w:type="spellEnd"/>
      <w:r w:rsidRPr="00DC49EA">
        <w:rPr>
          <w:rFonts w:ascii="Arial" w:eastAsia="Times New Roman" w:hAnsi="Arial" w:cs="Arial"/>
          <w:kern w:val="0"/>
          <w:lang w:eastAsia="en-IN"/>
          <w14:ligatures w14:val="none"/>
        </w:rPr>
        <w:t xml:space="preserve"> strain T34 controls Fusarium wilt disease in tomato plants in soilless culture through competition for iron. Microbial Ecology, 59, 141–149. https://doi.org/10.1007/s00248-009-9545-5</w:t>
      </w:r>
    </w:p>
    <w:p w14:paraId="550EC7F8"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r w:rsidRPr="00DC49EA">
        <w:rPr>
          <w:rFonts w:ascii="Arial" w:eastAsia="Times New Roman" w:hAnsi="Arial" w:cs="Arial"/>
          <w:kern w:val="0"/>
          <w:lang w:eastAsia="en-IN"/>
          <w14:ligatures w14:val="none"/>
        </w:rPr>
        <w:t xml:space="preserve">Siegel-Hertz, K., </w:t>
      </w:r>
      <w:proofErr w:type="spellStart"/>
      <w:r w:rsidRPr="00DC49EA">
        <w:rPr>
          <w:rFonts w:ascii="Arial" w:eastAsia="Times New Roman" w:hAnsi="Arial" w:cs="Arial"/>
          <w:kern w:val="0"/>
          <w:lang w:eastAsia="en-IN"/>
          <w14:ligatures w14:val="none"/>
        </w:rPr>
        <w:t>Edel</w:t>
      </w:r>
      <w:proofErr w:type="spellEnd"/>
      <w:r w:rsidRPr="00DC49EA">
        <w:rPr>
          <w:rFonts w:ascii="Arial" w:eastAsia="Times New Roman" w:hAnsi="Arial" w:cs="Arial"/>
          <w:kern w:val="0"/>
          <w:lang w:eastAsia="en-IN"/>
          <w14:ligatures w14:val="none"/>
        </w:rPr>
        <w:t xml:space="preserve">-Hermann, V., Chapelle, E., </w:t>
      </w:r>
      <w:proofErr w:type="spellStart"/>
      <w:r w:rsidRPr="00DC49EA">
        <w:rPr>
          <w:rFonts w:ascii="Arial" w:eastAsia="Times New Roman" w:hAnsi="Arial" w:cs="Arial"/>
          <w:kern w:val="0"/>
          <w:lang w:eastAsia="en-IN"/>
          <w14:ligatures w14:val="none"/>
        </w:rPr>
        <w:t>Terrat</w:t>
      </w:r>
      <w:proofErr w:type="spellEnd"/>
      <w:r w:rsidRPr="00DC49EA">
        <w:rPr>
          <w:rFonts w:ascii="Arial" w:eastAsia="Times New Roman" w:hAnsi="Arial" w:cs="Arial"/>
          <w:kern w:val="0"/>
          <w:lang w:eastAsia="en-IN"/>
          <w14:ligatures w14:val="none"/>
        </w:rPr>
        <w:t xml:space="preserve">, S., </w:t>
      </w:r>
      <w:proofErr w:type="spellStart"/>
      <w:r w:rsidRPr="00DC49EA">
        <w:rPr>
          <w:rFonts w:ascii="Arial" w:eastAsia="Times New Roman" w:hAnsi="Arial" w:cs="Arial"/>
          <w:kern w:val="0"/>
          <w:lang w:eastAsia="en-IN"/>
          <w14:ligatures w14:val="none"/>
        </w:rPr>
        <w:t>Raaijmakers</w:t>
      </w:r>
      <w:proofErr w:type="spellEnd"/>
      <w:r w:rsidRPr="00DC49EA">
        <w:rPr>
          <w:rFonts w:ascii="Arial" w:eastAsia="Times New Roman" w:hAnsi="Arial" w:cs="Arial"/>
          <w:kern w:val="0"/>
          <w:lang w:eastAsia="en-IN"/>
          <w14:ligatures w14:val="none"/>
        </w:rPr>
        <w:t xml:space="preserve">, J. M., &amp; Steinberg, C. (2018). Comparative microbiome analysis of a Fusarium wilt suppressive soil and a Fusarium wilt conducive soil from the </w:t>
      </w:r>
      <w:proofErr w:type="spellStart"/>
      <w:r w:rsidRPr="00DC49EA">
        <w:rPr>
          <w:rFonts w:ascii="Arial" w:eastAsia="Times New Roman" w:hAnsi="Arial" w:cs="Arial"/>
          <w:kern w:val="0"/>
          <w:lang w:eastAsia="en-IN"/>
          <w14:ligatures w14:val="none"/>
        </w:rPr>
        <w:t>Châteaurenard</w:t>
      </w:r>
      <w:proofErr w:type="spellEnd"/>
      <w:r w:rsidRPr="00DC49EA">
        <w:rPr>
          <w:rFonts w:ascii="Arial" w:eastAsia="Times New Roman" w:hAnsi="Arial" w:cs="Arial"/>
          <w:kern w:val="0"/>
          <w:lang w:eastAsia="en-IN"/>
          <w14:ligatures w14:val="none"/>
        </w:rPr>
        <w:t xml:space="preserve"> region. Frontiers in Microbiology, 9, 568. https://doi.org/10.3389/fmicb.2018.00568</w:t>
      </w:r>
    </w:p>
    <w:p w14:paraId="331A5FF1"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highlight w:val="yellow"/>
          <w:lang w:eastAsia="en-IN"/>
          <w14:ligatures w14:val="none"/>
        </w:rPr>
      </w:pPr>
      <w:r w:rsidRPr="00DC49EA">
        <w:rPr>
          <w:rFonts w:ascii="Arial" w:eastAsia="Times New Roman" w:hAnsi="Arial" w:cs="Arial"/>
          <w:kern w:val="0"/>
          <w:highlight w:val="yellow"/>
          <w:lang w:eastAsia="en-IN"/>
          <w14:ligatures w14:val="none"/>
        </w:rPr>
        <w:t xml:space="preserve">Weller, D. M. (2007). Pseudomonas biocontrol agents of soilborne pathogens: Looking back over 30 years. </w:t>
      </w:r>
      <w:r w:rsidRPr="00DC49EA">
        <w:rPr>
          <w:rFonts w:ascii="Arial" w:eastAsia="Times New Roman" w:hAnsi="Arial" w:cs="Arial"/>
          <w:i/>
          <w:iCs/>
          <w:kern w:val="0"/>
          <w:highlight w:val="yellow"/>
          <w:lang w:eastAsia="en-IN"/>
          <w14:ligatures w14:val="none"/>
        </w:rPr>
        <w:t>Phytopathology, 97</w:t>
      </w:r>
      <w:r w:rsidRPr="00DC49EA">
        <w:rPr>
          <w:rFonts w:ascii="Arial" w:eastAsia="Times New Roman" w:hAnsi="Arial" w:cs="Arial"/>
          <w:kern w:val="0"/>
          <w:highlight w:val="yellow"/>
          <w:lang w:eastAsia="en-IN"/>
          <w14:ligatures w14:val="none"/>
        </w:rPr>
        <w:t>(2), 250–256. https://doi.org/10.1094/PHYTO-97-2-0250</w:t>
      </w:r>
    </w:p>
    <w:p w14:paraId="15DF7B24" w14:textId="77777777" w:rsidR="00070566" w:rsidRPr="00DC49EA" w:rsidRDefault="00070566" w:rsidP="00DC49EA">
      <w:pPr>
        <w:pStyle w:val="ListParagraph"/>
        <w:numPr>
          <w:ilvl w:val="0"/>
          <w:numId w:val="1"/>
        </w:numPr>
        <w:spacing w:before="100" w:beforeAutospacing="1" w:after="100" w:afterAutospacing="1" w:line="240" w:lineRule="auto"/>
        <w:jc w:val="both"/>
        <w:rPr>
          <w:rFonts w:ascii="Arial" w:eastAsia="Times New Roman" w:hAnsi="Arial" w:cs="Arial"/>
          <w:kern w:val="0"/>
          <w:lang w:eastAsia="en-IN"/>
          <w14:ligatures w14:val="none"/>
        </w:rPr>
      </w:pPr>
      <w:proofErr w:type="spellStart"/>
      <w:r w:rsidRPr="00DC49EA">
        <w:rPr>
          <w:rFonts w:ascii="Arial" w:eastAsia="Times New Roman" w:hAnsi="Arial" w:cs="Arial"/>
          <w:kern w:val="0"/>
          <w:highlight w:val="yellow"/>
          <w:lang w:eastAsia="en-IN"/>
          <w14:ligatures w14:val="none"/>
        </w:rPr>
        <w:t>Zandyavari</w:t>
      </w:r>
      <w:proofErr w:type="spellEnd"/>
      <w:r w:rsidRPr="00DC49EA">
        <w:rPr>
          <w:rFonts w:ascii="Arial" w:eastAsia="Times New Roman" w:hAnsi="Arial" w:cs="Arial"/>
          <w:kern w:val="0"/>
          <w:highlight w:val="yellow"/>
          <w:lang w:eastAsia="en-IN"/>
          <w14:ligatures w14:val="none"/>
        </w:rPr>
        <w:t xml:space="preserve">, N., </w:t>
      </w:r>
      <w:proofErr w:type="spellStart"/>
      <w:r w:rsidRPr="00DC49EA">
        <w:rPr>
          <w:rFonts w:ascii="Arial" w:eastAsia="Times New Roman" w:hAnsi="Arial" w:cs="Arial"/>
          <w:kern w:val="0"/>
          <w:highlight w:val="yellow"/>
          <w:lang w:eastAsia="en-IN"/>
          <w14:ligatures w14:val="none"/>
        </w:rPr>
        <w:t>Sulaiman</w:t>
      </w:r>
      <w:proofErr w:type="spellEnd"/>
      <w:r w:rsidRPr="00DC49EA">
        <w:rPr>
          <w:rFonts w:ascii="Arial" w:eastAsia="Times New Roman" w:hAnsi="Arial" w:cs="Arial"/>
          <w:kern w:val="0"/>
          <w:highlight w:val="yellow"/>
          <w:lang w:eastAsia="en-IN"/>
          <w14:ligatures w14:val="none"/>
        </w:rPr>
        <w:t xml:space="preserve">, M. A., &amp; </w:t>
      </w:r>
      <w:proofErr w:type="spellStart"/>
      <w:r w:rsidRPr="00DC49EA">
        <w:rPr>
          <w:rFonts w:ascii="Arial" w:eastAsia="Times New Roman" w:hAnsi="Arial" w:cs="Arial"/>
          <w:kern w:val="0"/>
          <w:highlight w:val="yellow"/>
          <w:lang w:eastAsia="en-IN"/>
          <w14:ligatures w14:val="none"/>
        </w:rPr>
        <w:t>Hassanzadeh</w:t>
      </w:r>
      <w:proofErr w:type="spellEnd"/>
      <w:r w:rsidRPr="00DC49EA">
        <w:rPr>
          <w:rFonts w:ascii="Arial" w:eastAsia="Times New Roman" w:hAnsi="Arial" w:cs="Arial"/>
          <w:kern w:val="0"/>
          <w:highlight w:val="yellow"/>
          <w:lang w:eastAsia="en-IN"/>
          <w14:ligatures w14:val="none"/>
        </w:rPr>
        <w:t>, N. (2024). Molecular characterization and biocontrol potential of Trichoderma spp. against</w:t>
      </w:r>
      <w:r w:rsidRPr="00DC49EA">
        <w:rPr>
          <w:rFonts w:ascii="Arial" w:eastAsia="Times New Roman" w:hAnsi="Arial" w:cs="Arial"/>
          <w:kern w:val="0"/>
          <w:lang w:eastAsia="en-IN"/>
          <w14:ligatures w14:val="none"/>
        </w:rPr>
        <w:t xml:space="preserve"> Fusarium </w:t>
      </w:r>
      <w:proofErr w:type="spellStart"/>
      <w:r w:rsidRPr="00DC49EA">
        <w:rPr>
          <w:rFonts w:ascii="Arial" w:eastAsia="Times New Roman" w:hAnsi="Arial" w:cs="Arial"/>
          <w:kern w:val="0"/>
          <w:lang w:eastAsia="en-IN"/>
          <w14:ligatures w14:val="none"/>
        </w:rPr>
        <w:t>oxysporum</w:t>
      </w:r>
      <w:proofErr w:type="spellEnd"/>
      <w:r w:rsidRPr="00DC49EA">
        <w:rPr>
          <w:rFonts w:ascii="Arial" w:eastAsia="Times New Roman" w:hAnsi="Arial" w:cs="Arial"/>
          <w:kern w:val="0"/>
          <w:lang w:eastAsia="en-IN"/>
          <w14:ligatures w14:val="none"/>
        </w:rPr>
        <w:t xml:space="preserve"> f. sp. </w:t>
      </w:r>
      <w:proofErr w:type="spellStart"/>
      <w:r w:rsidRPr="00DC49EA">
        <w:rPr>
          <w:rFonts w:ascii="Arial" w:eastAsia="Times New Roman" w:hAnsi="Arial" w:cs="Arial"/>
          <w:kern w:val="0"/>
          <w:lang w:eastAsia="en-IN"/>
          <w14:ligatures w14:val="none"/>
        </w:rPr>
        <w:t>dianthi</w:t>
      </w:r>
      <w:proofErr w:type="spellEnd"/>
      <w:r w:rsidRPr="00DC49EA">
        <w:rPr>
          <w:rFonts w:ascii="Arial" w:eastAsia="Times New Roman" w:hAnsi="Arial" w:cs="Arial"/>
          <w:kern w:val="0"/>
          <w:lang w:eastAsia="en-IN"/>
          <w14:ligatures w14:val="none"/>
        </w:rPr>
        <w:t xml:space="preserve"> in carnation. Egyptian Journal of Biological Pest Control, 34(1), 1–10. </w:t>
      </w:r>
      <w:hyperlink r:id="rId14" w:history="1">
        <w:r w:rsidRPr="00DC49EA">
          <w:rPr>
            <w:rStyle w:val="Hyperlink"/>
            <w:rFonts w:ascii="Arial" w:eastAsia="Times New Roman" w:hAnsi="Arial" w:cs="Arial"/>
            <w:kern w:val="0"/>
            <w:lang w:eastAsia="en-IN"/>
            <w14:ligatures w14:val="none"/>
          </w:rPr>
          <w:t>https://doi.org/10.1186/s41938-023-00765-1</w:t>
        </w:r>
      </w:hyperlink>
      <w:r w:rsidRPr="00DC49EA">
        <w:rPr>
          <w:rFonts w:ascii="Arial" w:eastAsia="Times New Roman" w:hAnsi="Arial" w:cs="Arial"/>
          <w:kern w:val="0"/>
          <w:lang w:eastAsia="en-IN"/>
          <w14:ligatures w14:val="none"/>
        </w:rPr>
        <w:t xml:space="preserve"> </w:t>
      </w:r>
    </w:p>
    <w:p w14:paraId="72179D75" w14:textId="77777777" w:rsidR="00F07EA0" w:rsidRPr="00DC49EA" w:rsidRDefault="00F07EA0" w:rsidP="00DC49EA">
      <w:pPr>
        <w:pStyle w:val="ListParagraph"/>
        <w:numPr>
          <w:ilvl w:val="0"/>
          <w:numId w:val="1"/>
        </w:numPr>
        <w:shd w:val="clear" w:color="auto" w:fill="FFFFFF"/>
        <w:spacing w:after="150" w:line="240" w:lineRule="auto"/>
        <w:rPr>
          <w:rFonts w:ascii="inherit" w:eastAsia="Times New Roman" w:hAnsi="inherit" w:cs="Helvetica"/>
          <w:color w:val="222222"/>
          <w:kern w:val="0"/>
          <w:sz w:val="18"/>
          <w:szCs w:val="18"/>
          <w:lang w:val="en-US"/>
          <w14:ligatures w14:val="none"/>
        </w:rPr>
      </w:pPr>
      <w:r w:rsidRPr="00DC49EA">
        <w:rPr>
          <w:rFonts w:ascii="inherit" w:eastAsia="Times New Roman" w:hAnsi="inherit" w:cs="Helvetica"/>
          <w:color w:val="222222"/>
          <w:kern w:val="0"/>
          <w:sz w:val="18"/>
          <w:szCs w:val="18"/>
          <w:highlight w:val="yellow"/>
          <w:lang w:val="en-US"/>
          <w14:ligatures w14:val="none"/>
        </w:rPr>
        <w:t xml:space="preserve">Tyagi, A., Lama Tamang, T., </w:t>
      </w:r>
      <w:proofErr w:type="spellStart"/>
      <w:r w:rsidRPr="00DC49EA">
        <w:rPr>
          <w:rFonts w:ascii="inherit" w:eastAsia="Times New Roman" w:hAnsi="inherit" w:cs="Helvetica"/>
          <w:color w:val="222222"/>
          <w:kern w:val="0"/>
          <w:sz w:val="18"/>
          <w:szCs w:val="18"/>
          <w:highlight w:val="yellow"/>
          <w:lang w:val="en-US"/>
          <w14:ligatures w14:val="none"/>
        </w:rPr>
        <w:t>Kashtoh</w:t>
      </w:r>
      <w:proofErr w:type="spellEnd"/>
      <w:r w:rsidRPr="00DC49EA">
        <w:rPr>
          <w:rFonts w:ascii="inherit" w:eastAsia="Times New Roman" w:hAnsi="inherit" w:cs="Helvetica"/>
          <w:color w:val="222222"/>
          <w:kern w:val="0"/>
          <w:sz w:val="18"/>
          <w:szCs w:val="18"/>
          <w:highlight w:val="yellow"/>
          <w:lang w:val="en-US"/>
          <w14:ligatures w14:val="none"/>
        </w:rPr>
        <w:t xml:space="preserve">, H., Mir, R. A., Mir, Z. A., Manzoor, S., Manzar, N., </w:t>
      </w:r>
      <w:proofErr w:type="spellStart"/>
      <w:r w:rsidRPr="00DC49EA">
        <w:rPr>
          <w:rFonts w:ascii="inherit" w:eastAsia="Times New Roman" w:hAnsi="inherit" w:cs="Helvetica"/>
          <w:color w:val="222222"/>
          <w:kern w:val="0"/>
          <w:sz w:val="18"/>
          <w:szCs w:val="18"/>
          <w:highlight w:val="yellow"/>
          <w:lang w:val="en-US"/>
          <w14:ligatures w14:val="none"/>
        </w:rPr>
        <w:t>Gani</w:t>
      </w:r>
      <w:proofErr w:type="spellEnd"/>
      <w:r w:rsidRPr="00DC49EA">
        <w:rPr>
          <w:rFonts w:ascii="inherit" w:eastAsia="Times New Roman" w:hAnsi="inherit" w:cs="Helvetica"/>
          <w:color w:val="222222"/>
          <w:kern w:val="0"/>
          <w:sz w:val="18"/>
          <w:szCs w:val="18"/>
          <w:highlight w:val="yellow"/>
          <w:lang w:val="en-US"/>
          <w14:ligatures w14:val="none"/>
        </w:rPr>
        <w:t xml:space="preserve">, G., Vishwakarma, S. K., </w:t>
      </w:r>
      <w:proofErr w:type="spellStart"/>
      <w:r w:rsidRPr="00DC49EA">
        <w:rPr>
          <w:rFonts w:ascii="inherit" w:eastAsia="Times New Roman" w:hAnsi="inherit" w:cs="Helvetica"/>
          <w:color w:val="222222"/>
          <w:kern w:val="0"/>
          <w:sz w:val="18"/>
          <w:szCs w:val="18"/>
          <w:highlight w:val="yellow"/>
          <w:lang w:val="en-US"/>
          <w14:ligatures w14:val="none"/>
        </w:rPr>
        <w:t>Almalki</w:t>
      </w:r>
      <w:proofErr w:type="spellEnd"/>
      <w:r w:rsidRPr="00DC49EA">
        <w:rPr>
          <w:rFonts w:ascii="inherit" w:eastAsia="Times New Roman" w:hAnsi="inherit" w:cs="Helvetica"/>
          <w:color w:val="222222"/>
          <w:kern w:val="0"/>
          <w:sz w:val="18"/>
          <w:szCs w:val="18"/>
          <w:highlight w:val="yellow"/>
          <w:lang w:val="en-US"/>
          <w14:ligatures w14:val="none"/>
        </w:rPr>
        <w:t>, M. A., &amp; Ali, S. (2024). A Review on Biocontrol Agents as Sustainable Approach for Crop Disease Management: Applications, Production, and Future Perspectives. </w:t>
      </w:r>
      <w:proofErr w:type="spellStart"/>
      <w:r w:rsidRPr="00DC49EA">
        <w:rPr>
          <w:rFonts w:ascii="inherit" w:eastAsia="Times New Roman" w:hAnsi="inherit" w:cs="Helvetica"/>
          <w:i/>
          <w:iCs/>
          <w:color w:val="222222"/>
          <w:kern w:val="0"/>
          <w:sz w:val="18"/>
          <w:szCs w:val="18"/>
          <w:highlight w:val="yellow"/>
          <w:lang w:val="en-US"/>
          <w14:ligatures w14:val="none"/>
        </w:rPr>
        <w:t>Horticulturae</w:t>
      </w:r>
      <w:proofErr w:type="spellEnd"/>
      <w:r w:rsidRPr="00DC49EA">
        <w:rPr>
          <w:rFonts w:ascii="inherit" w:eastAsia="Times New Roman" w:hAnsi="inherit" w:cs="Helvetica"/>
          <w:color w:val="222222"/>
          <w:kern w:val="0"/>
          <w:sz w:val="18"/>
          <w:szCs w:val="18"/>
          <w:highlight w:val="yellow"/>
          <w:lang w:val="en-US"/>
          <w14:ligatures w14:val="none"/>
        </w:rPr>
        <w:t>, </w:t>
      </w:r>
      <w:r w:rsidRPr="00DC49EA">
        <w:rPr>
          <w:rFonts w:ascii="inherit" w:eastAsia="Times New Roman" w:hAnsi="inherit" w:cs="Helvetica"/>
          <w:i/>
          <w:iCs/>
          <w:color w:val="222222"/>
          <w:kern w:val="0"/>
          <w:sz w:val="18"/>
          <w:szCs w:val="18"/>
          <w:highlight w:val="yellow"/>
          <w:lang w:val="en-US"/>
          <w14:ligatures w14:val="none"/>
        </w:rPr>
        <w:t>10</w:t>
      </w:r>
      <w:r w:rsidRPr="00DC49EA">
        <w:rPr>
          <w:rFonts w:ascii="inherit" w:eastAsia="Times New Roman" w:hAnsi="inherit" w:cs="Helvetica"/>
          <w:color w:val="222222"/>
          <w:kern w:val="0"/>
          <w:sz w:val="18"/>
          <w:szCs w:val="18"/>
          <w:highlight w:val="yellow"/>
          <w:lang w:val="en-US"/>
          <w14:ligatures w14:val="none"/>
        </w:rPr>
        <w:t>(8), 805. https://doi.org/10.3390/horticulturae10080805</w:t>
      </w:r>
    </w:p>
    <w:p w14:paraId="14ADA291" w14:textId="19864691" w:rsidR="004C16A0" w:rsidRPr="00DC49EA" w:rsidRDefault="00F07EA0" w:rsidP="00DC49EA">
      <w:pPr>
        <w:pStyle w:val="ListParagraph"/>
        <w:numPr>
          <w:ilvl w:val="0"/>
          <w:numId w:val="1"/>
        </w:numPr>
        <w:jc w:val="both"/>
        <w:rPr>
          <w:rFonts w:ascii="Arial" w:hAnsi="Arial" w:cs="Arial"/>
        </w:rPr>
      </w:pPr>
      <w:r w:rsidRPr="00DC49EA">
        <w:rPr>
          <w:rFonts w:ascii="Arial" w:hAnsi="Arial" w:cs="Arial"/>
          <w:color w:val="222222"/>
          <w:sz w:val="20"/>
          <w:szCs w:val="20"/>
          <w:highlight w:val="yellow"/>
          <w:shd w:val="clear" w:color="auto" w:fill="FFFFFF"/>
        </w:rPr>
        <w:t xml:space="preserve">Mahalakshmi, P., &amp; </w:t>
      </w:r>
      <w:proofErr w:type="spellStart"/>
      <w:r w:rsidRPr="00DC49EA">
        <w:rPr>
          <w:rFonts w:ascii="Arial" w:hAnsi="Arial" w:cs="Arial"/>
          <w:color w:val="222222"/>
          <w:sz w:val="20"/>
          <w:szCs w:val="20"/>
          <w:highlight w:val="yellow"/>
          <w:shd w:val="clear" w:color="auto" w:fill="FFFFFF"/>
        </w:rPr>
        <w:t>Ahiladevi</w:t>
      </w:r>
      <w:proofErr w:type="spellEnd"/>
      <w:r w:rsidRPr="00DC49EA">
        <w:rPr>
          <w:rFonts w:ascii="Arial" w:hAnsi="Arial" w:cs="Arial"/>
          <w:color w:val="222222"/>
          <w:sz w:val="20"/>
          <w:szCs w:val="20"/>
          <w:highlight w:val="yellow"/>
          <w:shd w:val="clear" w:color="auto" w:fill="FFFFFF"/>
        </w:rPr>
        <w:t xml:space="preserve">, P. (2020). </w:t>
      </w:r>
      <w:proofErr w:type="spellStart"/>
      <w:r w:rsidRPr="00DC49EA">
        <w:rPr>
          <w:rFonts w:ascii="Arial" w:hAnsi="Arial" w:cs="Arial"/>
          <w:color w:val="222222"/>
          <w:sz w:val="20"/>
          <w:szCs w:val="20"/>
          <w:highlight w:val="yellow"/>
          <w:shd w:val="clear" w:color="auto" w:fill="FFFFFF"/>
        </w:rPr>
        <w:t>Ecofriendly</w:t>
      </w:r>
      <w:proofErr w:type="spellEnd"/>
      <w:r w:rsidRPr="00DC49EA">
        <w:rPr>
          <w:rFonts w:ascii="Arial" w:hAnsi="Arial" w:cs="Arial"/>
          <w:color w:val="222222"/>
          <w:sz w:val="20"/>
          <w:szCs w:val="20"/>
          <w:highlight w:val="yellow"/>
          <w:shd w:val="clear" w:color="auto" w:fill="FFFFFF"/>
        </w:rPr>
        <w:t xml:space="preserve"> management of fusarium wilt of carnation (Dianthus </w:t>
      </w:r>
      <w:proofErr w:type="spellStart"/>
      <w:r w:rsidRPr="00DC49EA">
        <w:rPr>
          <w:rFonts w:ascii="Arial" w:hAnsi="Arial" w:cs="Arial"/>
          <w:color w:val="222222"/>
          <w:sz w:val="20"/>
          <w:szCs w:val="20"/>
          <w:highlight w:val="yellow"/>
          <w:shd w:val="clear" w:color="auto" w:fill="FFFFFF"/>
        </w:rPr>
        <w:t>caryophyllus</w:t>
      </w:r>
      <w:proofErr w:type="spellEnd"/>
      <w:r w:rsidRPr="00DC49EA">
        <w:rPr>
          <w:rFonts w:ascii="Arial" w:hAnsi="Arial" w:cs="Arial"/>
          <w:color w:val="222222"/>
          <w:sz w:val="20"/>
          <w:szCs w:val="20"/>
          <w:highlight w:val="yellow"/>
          <w:shd w:val="clear" w:color="auto" w:fill="FFFFFF"/>
        </w:rPr>
        <w:t xml:space="preserve"> L.) by application of organic amendments. </w:t>
      </w:r>
      <w:r w:rsidRPr="00DC49EA">
        <w:rPr>
          <w:rFonts w:ascii="Arial" w:hAnsi="Arial" w:cs="Arial"/>
          <w:i/>
          <w:iCs/>
          <w:color w:val="222222"/>
          <w:sz w:val="20"/>
          <w:szCs w:val="20"/>
          <w:highlight w:val="yellow"/>
          <w:shd w:val="clear" w:color="auto" w:fill="FFFFFF"/>
        </w:rPr>
        <w:t>Advances in Applied Research</w:t>
      </w:r>
      <w:r w:rsidRPr="00DC49EA">
        <w:rPr>
          <w:rFonts w:ascii="Arial" w:hAnsi="Arial" w:cs="Arial"/>
          <w:color w:val="222222"/>
          <w:sz w:val="20"/>
          <w:szCs w:val="20"/>
          <w:highlight w:val="yellow"/>
          <w:shd w:val="clear" w:color="auto" w:fill="FFFFFF"/>
        </w:rPr>
        <w:t>, </w:t>
      </w:r>
      <w:r w:rsidRPr="00DC49EA">
        <w:rPr>
          <w:rFonts w:ascii="Arial" w:hAnsi="Arial" w:cs="Arial"/>
          <w:i/>
          <w:iCs/>
          <w:color w:val="222222"/>
          <w:sz w:val="20"/>
          <w:szCs w:val="20"/>
          <w:highlight w:val="yellow"/>
          <w:shd w:val="clear" w:color="auto" w:fill="FFFFFF"/>
        </w:rPr>
        <w:t>12</w:t>
      </w:r>
      <w:r w:rsidRPr="00DC49EA">
        <w:rPr>
          <w:rFonts w:ascii="Arial" w:hAnsi="Arial" w:cs="Arial"/>
          <w:color w:val="222222"/>
          <w:sz w:val="20"/>
          <w:szCs w:val="20"/>
          <w:highlight w:val="yellow"/>
          <w:shd w:val="clear" w:color="auto" w:fill="FFFFFF"/>
        </w:rPr>
        <w:t>(1), 7-11.</w:t>
      </w:r>
    </w:p>
    <w:sectPr w:rsidR="004C16A0" w:rsidRPr="00DC49EA" w:rsidSect="001E337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22902" w16cex:dateUtc="2026-02-07T15:11:00Z"/>
  <w16cex:commentExtensible w16cex:durableId="2D32295D" w16cex:dateUtc="2026-02-07T15:13:00Z"/>
  <w16cex:commentExtensible w16cex:durableId="2D322935" w16cex:dateUtc="2026-02-07T15:12:00Z"/>
  <w16cex:commentExtensible w16cex:durableId="2D3229A4" w16cex:dateUtc="2026-02-07T15:14:00Z"/>
  <w16cex:commentExtensible w16cex:durableId="2D322A19" w16cex:dateUtc="2026-02-07T15:16:00Z"/>
  <w16cex:commentExtensible w16cex:durableId="2D3229D0" w16cex:dateUtc="2026-02-07T15:14:00Z"/>
  <w16cex:commentExtensible w16cex:durableId="2D322A3E" w16cex:dateUtc="2026-02-07T15:16:00Z"/>
  <w16cex:commentExtensible w16cex:durableId="2D322A68" w16cex:dateUtc="2026-02-07T15:17:00Z"/>
  <w16cex:commentExtensible w16cex:durableId="2D322A8E" w16cex:dateUtc="2026-02-07T15:18:00Z"/>
  <w16cex:commentExtensible w16cex:durableId="2D322AE8" w16cex:dateUtc="2026-02-07T15:19:00Z"/>
  <w16cex:commentExtensible w16cex:durableId="2D322AF5" w16cex:dateUtc="2026-02-07T15:19:00Z"/>
  <w16cex:commentExtensible w16cex:durableId="2D322B9E" w16cex:dateUtc="2026-02-07T15:22:00Z"/>
  <w16cex:commentExtensible w16cex:durableId="2D322BF5" w16cex:dateUtc="2026-02-07T15:24:00Z"/>
  <w16cex:commentExtensible w16cex:durableId="2D322C02" w16cex:dateUtc="2026-02-07T15:24:00Z"/>
  <w16cex:commentExtensible w16cex:durableId="2D322C18" w16cex:dateUtc="2026-02-07T15:24:00Z"/>
  <w16cex:commentExtensible w16cex:durableId="2D322C2B" w16cex:dateUtc="2026-02-07T15:24:00Z"/>
  <w16cex:commentExtensible w16cex:durableId="2D322D2B" w16cex:dateUtc="2026-02-07T15:29:00Z"/>
  <w16cex:commentExtensible w16cex:durableId="2D322D1D" w16cex:dateUtc="2026-02-07T15:29:00Z"/>
  <w16cex:commentExtensible w16cex:durableId="2D322D0D" w16cex:dateUtc="2026-02-07T15:28:00Z"/>
  <w16cex:commentExtensible w16cex:durableId="2D322CF9" w16cex:dateUtc="2026-02-07T15:28:00Z"/>
  <w16cex:commentExtensible w16cex:durableId="2D322CED" w16cex:dateUtc="2026-02-07T15: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6C79C" w14:textId="77777777" w:rsidR="00B5439C" w:rsidRDefault="00B5439C" w:rsidP="00191C45">
      <w:pPr>
        <w:spacing w:after="0" w:line="240" w:lineRule="auto"/>
      </w:pPr>
      <w:r>
        <w:separator/>
      </w:r>
    </w:p>
  </w:endnote>
  <w:endnote w:type="continuationSeparator" w:id="0">
    <w:p w14:paraId="63EEE57B" w14:textId="77777777" w:rsidR="00B5439C" w:rsidRDefault="00B5439C" w:rsidP="0019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E072" w14:textId="77777777" w:rsidR="00191C45" w:rsidRDefault="00191C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2C81" w14:textId="77777777" w:rsidR="00191C45" w:rsidRDefault="00191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4A85" w14:textId="77777777" w:rsidR="00191C45" w:rsidRDefault="00191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C1B2E" w14:textId="77777777" w:rsidR="00B5439C" w:rsidRDefault="00B5439C" w:rsidP="00191C45">
      <w:pPr>
        <w:spacing w:after="0" w:line="240" w:lineRule="auto"/>
      </w:pPr>
      <w:r>
        <w:separator/>
      </w:r>
    </w:p>
  </w:footnote>
  <w:footnote w:type="continuationSeparator" w:id="0">
    <w:p w14:paraId="5BEF3D5E" w14:textId="77777777" w:rsidR="00B5439C" w:rsidRDefault="00B5439C" w:rsidP="00191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227F" w14:textId="7927CC1F" w:rsidR="00191C45" w:rsidRDefault="00B5439C">
    <w:pPr>
      <w:pStyle w:val="Header"/>
    </w:pPr>
    <w:r>
      <w:rPr>
        <w:noProof/>
      </w:rPr>
      <w:pict w14:anchorId="352C2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3171C" w14:textId="7504139F" w:rsidR="00191C45" w:rsidRDefault="00B5439C">
    <w:pPr>
      <w:pStyle w:val="Header"/>
    </w:pPr>
    <w:r>
      <w:rPr>
        <w:noProof/>
      </w:rPr>
      <w:pict w14:anchorId="03A53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5CFD9" w14:textId="6D967381" w:rsidR="00191C45" w:rsidRDefault="00B5439C">
    <w:pPr>
      <w:pStyle w:val="Header"/>
    </w:pPr>
    <w:r>
      <w:rPr>
        <w:noProof/>
      </w:rPr>
      <w:pict w14:anchorId="57478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E1D65"/>
    <w:multiLevelType w:val="hybridMultilevel"/>
    <w:tmpl w:val="BA061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NLE0NDMwNTawMDUxM7FU0lEKTi0uzszPAykwqgUARsQVrSwAAAA="/>
  </w:docVars>
  <w:rsids>
    <w:rsidRoot w:val="001B2F04"/>
    <w:rsid w:val="00070566"/>
    <w:rsid w:val="00116A75"/>
    <w:rsid w:val="00191C45"/>
    <w:rsid w:val="001B2F04"/>
    <w:rsid w:val="001C69F9"/>
    <w:rsid w:val="001E337C"/>
    <w:rsid w:val="0031542E"/>
    <w:rsid w:val="003C63E4"/>
    <w:rsid w:val="004C16A0"/>
    <w:rsid w:val="00547529"/>
    <w:rsid w:val="00731879"/>
    <w:rsid w:val="00804FD1"/>
    <w:rsid w:val="008E26AE"/>
    <w:rsid w:val="00954179"/>
    <w:rsid w:val="00A37AC3"/>
    <w:rsid w:val="00AC093C"/>
    <w:rsid w:val="00B04FBC"/>
    <w:rsid w:val="00B5439C"/>
    <w:rsid w:val="00C16CA8"/>
    <w:rsid w:val="00C41461"/>
    <w:rsid w:val="00CA1F5D"/>
    <w:rsid w:val="00D0226E"/>
    <w:rsid w:val="00D22838"/>
    <w:rsid w:val="00D3490B"/>
    <w:rsid w:val="00DC49EA"/>
    <w:rsid w:val="00DE728E"/>
    <w:rsid w:val="00E010AF"/>
    <w:rsid w:val="00E16FD7"/>
    <w:rsid w:val="00E43D8C"/>
    <w:rsid w:val="00F07E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576D2"/>
  <w15:chartTrackingRefBased/>
  <w15:docId w15:val="{D6FD5042-3A2B-48B5-A106-C88C0E02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1B2F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B2F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B2F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2F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2F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2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F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B2F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B2F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2F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2F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2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F04"/>
    <w:rPr>
      <w:rFonts w:eastAsiaTheme="majorEastAsia" w:cstheme="majorBidi"/>
      <w:color w:val="272727" w:themeColor="text1" w:themeTint="D8"/>
    </w:rPr>
  </w:style>
  <w:style w:type="paragraph" w:styleId="Title">
    <w:name w:val="Title"/>
    <w:basedOn w:val="Normal"/>
    <w:next w:val="Normal"/>
    <w:link w:val="TitleChar"/>
    <w:uiPriority w:val="10"/>
    <w:qFormat/>
    <w:rsid w:val="001B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F04"/>
    <w:pPr>
      <w:spacing w:before="160"/>
      <w:jc w:val="center"/>
    </w:pPr>
    <w:rPr>
      <w:i/>
      <w:iCs/>
      <w:color w:val="404040" w:themeColor="text1" w:themeTint="BF"/>
    </w:rPr>
  </w:style>
  <w:style w:type="character" w:customStyle="1" w:styleId="QuoteChar">
    <w:name w:val="Quote Char"/>
    <w:basedOn w:val="DefaultParagraphFont"/>
    <w:link w:val="Quote"/>
    <w:uiPriority w:val="29"/>
    <w:rsid w:val="001B2F04"/>
    <w:rPr>
      <w:i/>
      <w:iCs/>
      <w:color w:val="404040" w:themeColor="text1" w:themeTint="BF"/>
    </w:rPr>
  </w:style>
  <w:style w:type="paragraph" w:styleId="ListParagraph">
    <w:name w:val="List Paragraph"/>
    <w:basedOn w:val="Normal"/>
    <w:uiPriority w:val="34"/>
    <w:qFormat/>
    <w:rsid w:val="001B2F04"/>
    <w:pPr>
      <w:ind w:left="720"/>
      <w:contextualSpacing/>
    </w:pPr>
  </w:style>
  <w:style w:type="character" w:styleId="IntenseEmphasis">
    <w:name w:val="Intense Emphasis"/>
    <w:basedOn w:val="DefaultParagraphFont"/>
    <w:uiPriority w:val="21"/>
    <w:qFormat/>
    <w:rsid w:val="001B2F04"/>
    <w:rPr>
      <w:i/>
      <w:iCs/>
      <w:color w:val="2F5496" w:themeColor="accent1" w:themeShade="BF"/>
    </w:rPr>
  </w:style>
  <w:style w:type="paragraph" w:styleId="IntenseQuote">
    <w:name w:val="Intense Quote"/>
    <w:basedOn w:val="Normal"/>
    <w:next w:val="Normal"/>
    <w:link w:val="IntenseQuoteChar"/>
    <w:uiPriority w:val="30"/>
    <w:qFormat/>
    <w:rsid w:val="001B2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2F04"/>
    <w:rPr>
      <w:i/>
      <w:iCs/>
      <w:color w:val="2F5496" w:themeColor="accent1" w:themeShade="BF"/>
    </w:rPr>
  </w:style>
  <w:style w:type="character" w:styleId="IntenseReference">
    <w:name w:val="Intense Reference"/>
    <w:basedOn w:val="DefaultParagraphFont"/>
    <w:uiPriority w:val="32"/>
    <w:qFormat/>
    <w:rsid w:val="001B2F04"/>
    <w:rPr>
      <w:b/>
      <w:bCs/>
      <w:smallCaps/>
      <w:color w:val="2F5496" w:themeColor="accent1" w:themeShade="BF"/>
      <w:spacing w:val="5"/>
    </w:rPr>
  </w:style>
  <w:style w:type="paragraph" w:styleId="NormalWeb">
    <w:name w:val="Normal (Web)"/>
    <w:basedOn w:val="Normal"/>
    <w:uiPriority w:val="99"/>
    <w:semiHidden/>
    <w:unhideWhenUsed/>
    <w:rsid w:val="004C16A0"/>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C16A0"/>
    <w:rPr>
      <w:b/>
      <w:bCs/>
    </w:rPr>
  </w:style>
  <w:style w:type="character" w:styleId="Emphasis">
    <w:name w:val="Emphasis"/>
    <w:basedOn w:val="DefaultParagraphFont"/>
    <w:uiPriority w:val="20"/>
    <w:qFormat/>
    <w:rsid w:val="004C16A0"/>
    <w:rPr>
      <w:i/>
      <w:iCs/>
    </w:rPr>
  </w:style>
  <w:style w:type="character" w:styleId="Hyperlink">
    <w:name w:val="Hyperlink"/>
    <w:basedOn w:val="DefaultParagraphFont"/>
    <w:uiPriority w:val="99"/>
    <w:unhideWhenUsed/>
    <w:rsid w:val="00D3490B"/>
    <w:rPr>
      <w:color w:val="0000FF"/>
      <w:u w:val="single"/>
    </w:rPr>
  </w:style>
  <w:style w:type="paragraph" w:styleId="Header">
    <w:name w:val="header"/>
    <w:basedOn w:val="Normal"/>
    <w:link w:val="HeaderChar"/>
    <w:uiPriority w:val="99"/>
    <w:unhideWhenUsed/>
    <w:rsid w:val="00191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C45"/>
  </w:style>
  <w:style w:type="paragraph" w:styleId="Footer">
    <w:name w:val="footer"/>
    <w:basedOn w:val="Normal"/>
    <w:link w:val="FooterChar"/>
    <w:uiPriority w:val="99"/>
    <w:unhideWhenUsed/>
    <w:rsid w:val="00191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C45"/>
  </w:style>
  <w:style w:type="character" w:styleId="CommentReference">
    <w:name w:val="annotation reference"/>
    <w:basedOn w:val="DefaultParagraphFont"/>
    <w:uiPriority w:val="99"/>
    <w:semiHidden/>
    <w:unhideWhenUsed/>
    <w:rsid w:val="00A37AC3"/>
    <w:rPr>
      <w:sz w:val="16"/>
      <w:szCs w:val="16"/>
    </w:rPr>
  </w:style>
  <w:style w:type="paragraph" w:styleId="CommentText">
    <w:name w:val="annotation text"/>
    <w:basedOn w:val="Normal"/>
    <w:link w:val="CommentTextChar"/>
    <w:uiPriority w:val="99"/>
    <w:semiHidden/>
    <w:unhideWhenUsed/>
    <w:rsid w:val="00A37AC3"/>
    <w:pPr>
      <w:spacing w:line="240" w:lineRule="auto"/>
    </w:pPr>
    <w:rPr>
      <w:sz w:val="20"/>
      <w:szCs w:val="20"/>
    </w:rPr>
  </w:style>
  <w:style w:type="character" w:customStyle="1" w:styleId="CommentTextChar">
    <w:name w:val="Comment Text Char"/>
    <w:basedOn w:val="DefaultParagraphFont"/>
    <w:link w:val="CommentText"/>
    <w:uiPriority w:val="99"/>
    <w:semiHidden/>
    <w:rsid w:val="00A37AC3"/>
    <w:rPr>
      <w:sz w:val="20"/>
      <w:szCs w:val="20"/>
    </w:rPr>
  </w:style>
  <w:style w:type="paragraph" w:styleId="CommentSubject">
    <w:name w:val="annotation subject"/>
    <w:basedOn w:val="CommentText"/>
    <w:next w:val="CommentText"/>
    <w:link w:val="CommentSubjectChar"/>
    <w:uiPriority w:val="99"/>
    <w:semiHidden/>
    <w:unhideWhenUsed/>
    <w:rsid w:val="00A37AC3"/>
    <w:rPr>
      <w:b/>
      <w:bCs/>
    </w:rPr>
  </w:style>
  <w:style w:type="character" w:customStyle="1" w:styleId="CommentSubjectChar">
    <w:name w:val="Comment Subject Char"/>
    <w:basedOn w:val="CommentTextChar"/>
    <w:link w:val="CommentSubject"/>
    <w:uiPriority w:val="99"/>
    <w:semiHidden/>
    <w:rsid w:val="00A37AC3"/>
    <w:rPr>
      <w:b/>
      <w:bCs/>
      <w:sz w:val="20"/>
      <w:szCs w:val="20"/>
    </w:rPr>
  </w:style>
  <w:style w:type="paragraph" w:styleId="BalloonText">
    <w:name w:val="Balloon Text"/>
    <w:basedOn w:val="Normal"/>
    <w:link w:val="BalloonTextChar"/>
    <w:uiPriority w:val="99"/>
    <w:semiHidden/>
    <w:unhideWhenUsed/>
    <w:rsid w:val="00CA1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F5D"/>
    <w:rPr>
      <w:rFonts w:ascii="Segoe UI" w:hAnsi="Segoe UI" w:cs="Segoe UI"/>
      <w:sz w:val="18"/>
      <w:szCs w:val="18"/>
    </w:rPr>
  </w:style>
  <w:style w:type="paragraph" w:styleId="NoSpacing">
    <w:name w:val="No Spacing"/>
    <w:uiPriority w:val="1"/>
    <w:qFormat/>
    <w:rsid w:val="00E16F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670287">
      <w:bodyDiv w:val="1"/>
      <w:marLeft w:val="0"/>
      <w:marRight w:val="0"/>
      <w:marTop w:val="0"/>
      <w:marBottom w:val="0"/>
      <w:divBdr>
        <w:top w:val="none" w:sz="0" w:space="0" w:color="auto"/>
        <w:left w:val="none" w:sz="0" w:space="0" w:color="auto"/>
        <w:bottom w:val="none" w:sz="0" w:space="0" w:color="auto"/>
        <w:right w:val="none" w:sz="0" w:space="0" w:color="auto"/>
      </w:divBdr>
      <w:divsChild>
        <w:div w:id="898517193">
          <w:marLeft w:val="0"/>
          <w:marRight w:val="0"/>
          <w:marTop w:val="0"/>
          <w:marBottom w:val="0"/>
          <w:divBdr>
            <w:top w:val="none" w:sz="0" w:space="0" w:color="auto"/>
            <w:left w:val="none" w:sz="0" w:space="0" w:color="auto"/>
            <w:bottom w:val="none" w:sz="0" w:space="0" w:color="auto"/>
            <w:right w:val="none" w:sz="0" w:space="0" w:color="auto"/>
          </w:divBdr>
          <w:divsChild>
            <w:div w:id="172675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2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19/v34i130166" TargetMode="External"/><Relationship Id="rId13" Type="http://schemas.openxmlformats.org/officeDocument/2006/relationships/hyperlink" Target="https://doi.org/10.1146/annurev-phyto-081211-172908"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7221/10354-PP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nature08850"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doi.org/10.9734/jabb/2024/v27i101485"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94/PHYTO-96-0186" TargetMode="External"/><Relationship Id="rId14" Type="http://schemas.openxmlformats.org/officeDocument/2006/relationships/hyperlink" Target="https://doi.org/10.1186/s41938-023-00765-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FC73D13-171A-419E-9205-48C13426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6995</Words>
  <Characters>39876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Editor GP 005</cp:lastModifiedBy>
  <cp:revision>18</cp:revision>
  <dcterms:created xsi:type="dcterms:W3CDTF">2026-02-07T05:34:00Z</dcterms:created>
  <dcterms:modified xsi:type="dcterms:W3CDTF">2026-02-11T05:49:00Z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476e2ba4-e094-4791-959c-30eb37129559</vt:lpwstr>
  </property>
</Properties>
</file>