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9D457" w14:textId="686541FB" w:rsidR="00F448F1" w:rsidRDefault="005105BC" w:rsidP="005105BC">
      <w:pPr>
        <w:jc w:val="center"/>
        <w:rPr>
          <w:rFonts w:ascii="Times New Roman" w:hAnsi="Times New Roman" w:cs="Times New Roman"/>
          <w:b/>
          <w:bCs/>
          <w:sz w:val="24"/>
          <w:szCs w:val="24"/>
        </w:rPr>
      </w:pPr>
      <w:r w:rsidRPr="005105BC">
        <w:rPr>
          <w:rFonts w:ascii="Times New Roman" w:hAnsi="Times New Roman" w:cs="Times New Roman"/>
          <w:b/>
          <w:bCs/>
          <w:sz w:val="24"/>
          <w:szCs w:val="24"/>
          <w:highlight w:val="yellow"/>
          <w:lang w:val="en-US"/>
        </w:rPr>
        <w:t>Farmer Participation and Demand-Driven Extension: A Four-Year Evaluation of Training Modalities in Temperate Horticulture</w:t>
      </w:r>
    </w:p>
    <w:p w14:paraId="15FFFC9F" w14:textId="77777777" w:rsidR="00F448F1" w:rsidRDefault="00F448F1" w:rsidP="008D4EFB">
      <w:pPr>
        <w:jc w:val="both"/>
        <w:rPr>
          <w:rFonts w:ascii="Times New Roman" w:hAnsi="Times New Roman" w:cs="Times New Roman"/>
          <w:b/>
          <w:bCs/>
          <w:sz w:val="24"/>
          <w:szCs w:val="24"/>
        </w:rPr>
      </w:pPr>
    </w:p>
    <w:p w14:paraId="4E00B4A7" w14:textId="1B93F3E3"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Abstract</w:t>
      </w:r>
    </w:p>
    <w:p w14:paraId="0C1F4D21" w14:textId="77777777" w:rsidR="008D4EFB" w:rsidRPr="008D4EFB" w:rsidRDefault="00686663"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E760EB" w:rsidRPr="00E760EB">
        <w:rPr>
          <w:rFonts w:ascii="Times New Roman" w:hAnsi="Times New Roman" w:cs="Times New Roman"/>
          <w:sz w:val="24"/>
          <w:szCs w:val="24"/>
        </w:rPr>
        <w:t>Krishi Vigyan Kendras (KVKs) represent the backbone of India’s pluralistic agricultural extension system, with a mandate extending beyond technology dissemination to include demand assessment, feedback g</w:t>
      </w:r>
      <w:r w:rsidR="00E760EB">
        <w:rPr>
          <w:rFonts w:ascii="Times New Roman" w:hAnsi="Times New Roman" w:cs="Times New Roman"/>
          <w:sz w:val="24"/>
          <w:szCs w:val="24"/>
        </w:rPr>
        <w:t>eneration and adaptive learning.</w:t>
      </w: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Demand-driven extension is fundamental to the effectiveness of Krishi Vigyan Kendras (KVKs), yet systematic analysis of farmer participation data is rarely undertaken for scientific evaluation. The present study analysed four years (2021–2024) of training programmes conducted by </w:t>
      </w:r>
      <w:r w:rsidR="004F7C66">
        <w:rPr>
          <w:rFonts w:ascii="Times New Roman" w:hAnsi="Times New Roman" w:cs="Times New Roman"/>
          <w:sz w:val="24"/>
          <w:szCs w:val="24"/>
        </w:rPr>
        <w:t xml:space="preserve">Horticulture </w:t>
      </w:r>
      <w:r w:rsidR="0006090F">
        <w:rPr>
          <w:rFonts w:ascii="Times New Roman" w:hAnsi="Times New Roman" w:cs="Times New Roman"/>
          <w:sz w:val="24"/>
          <w:szCs w:val="24"/>
        </w:rPr>
        <w:t>Scientists</w:t>
      </w:r>
      <w:r w:rsidR="004F7C66">
        <w:rPr>
          <w:rFonts w:ascii="Times New Roman" w:hAnsi="Times New Roman" w:cs="Times New Roman"/>
          <w:sz w:val="24"/>
          <w:szCs w:val="24"/>
        </w:rPr>
        <w:t xml:space="preserve"> at </w:t>
      </w:r>
      <w:r w:rsidR="008D4EFB" w:rsidRPr="008D4EFB">
        <w:rPr>
          <w:rFonts w:ascii="Times New Roman" w:hAnsi="Times New Roman" w:cs="Times New Roman"/>
          <w:sz w:val="24"/>
          <w:szCs w:val="24"/>
        </w:rPr>
        <w:t xml:space="preserve">ICAR–KVK Baramulla to assess farmer participation as a proxy indicator of extension demand, thematic relevance and delivery effectiveness. Secondary data on </w:t>
      </w:r>
      <w:r w:rsidR="004F7C66">
        <w:rPr>
          <w:rFonts w:ascii="Times New Roman" w:hAnsi="Times New Roman" w:cs="Times New Roman"/>
          <w:sz w:val="24"/>
          <w:szCs w:val="24"/>
        </w:rPr>
        <w:t xml:space="preserve">the </w:t>
      </w:r>
      <w:r w:rsidR="008D4EFB" w:rsidRPr="008D4EFB">
        <w:rPr>
          <w:rFonts w:ascii="Times New Roman" w:hAnsi="Times New Roman" w:cs="Times New Roman"/>
          <w:sz w:val="24"/>
          <w:szCs w:val="24"/>
        </w:rPr>
        <w:t>number of trainings, delivery mode (on-campus/off-campus), thematic focus and participant strength were analysed using descriptive statistics and trend analysis. Results revealed a consistent increase in farmer participation over the study period, with off-campus programmes exhibiting higher participation density than on-campus trainings. Horticulture-centric themes, particularly high-density apple plantation, plant protection and climate-responsive practices, dominated farmer participation. The study demonstrates that participation-based analytics offer a simple yet robust framework for evidence-based extension planning.</w:t>
      </w:r>
    </w:p>
    <w:p w14:paraId="27DE9207" w14:textId="77777777" w:rsidR="008D4EFB" w:rsidRPr="008D4EFB" w:rsidRDefault="0006090F" w:rsidP="008D4EFB">
      <w:pPr>
        <w:jc w:val="both"/>
        <w:rPr>
          <w:rFonts w:ascii="Times New Roman" w:hAnsi="Times New Roman" w:cs="Times New Roman"/>
          <w:sz w:val="24"/>
          <w:szCs w:val="24"/>
        </w:rPr>
      </w:pPr>
      <w:r>
        <w:rPr>
          <w:rFonts w:ascii="Times New Roman" w:hAnsi="Times New Roman" w:cs="Times New Roman"/>
          <w:b/>
          <w:bCs/>
          <w:sz w:val="24"/>
          <w:szCs w:val="24"/>
        </w:rPr>
        <w:t>Keywords</w:t>
      </w:r>
      <w:r w:rsidR="008D4EFB" w:rsidRPr="008D4EFB">
        <w:rPr>
          <w:rFonts w:ascii="Times New Roman" w:hAnsi="Times New Roman" w:cs="Times New Roman"/>
          <w:b/>
          <w:bCs/>
          <w:sz w:val="24"/>
          <w:szCs w:val="24"/>
        </w:rPr>
        <w:t>:</w:t>
      </w:r>
      <w:r w:rsidR="008D4EFB" w:rsidRPr="008D4EFB">
        <w:rPr>
          <w:rFonts w:ascii="Times New Roman" w:hAnsi="Times New Roman" w:cs="Times New Roman"/>
          <w:sz w:val="24"/>
          <w:szCs w:val="24"/>
        </w:rPr>
        <w:t xml:space="preserve"> Demand-driven extension, farmer participation, Krishi Vigyan Kendra, on-campus training, off-campus training, temperate horticulture</w:t>
      </w:r>
    </w:p>
    <w:p w14:paraId="2094E25F" w14:textId="77777777" w:rsidR="008D4EFB" w:rsidRPr="008D4EFB" w:rsidRDefault="003759BC" w:rsidP="008D4EFB">
      <w:pPr>
        <w:jc w:val="both"/>
        <w:rPr>
          <w:rFonts w:ascii="Times New Roman" w:hAnsi="Times New Roman" w:cs="Times New Roman"/>
          <w:sz w:val="24"/>
          <w:szCs w:val="24"/>
        </w:rPr>
      </w:pPr>
      <w:r>
        <w:rPr>
          <w:rFonts w:ascii="Times New Roman" w:hAnsi="Times New Roman" w:cs="Times New Roman"/>
          <w:sz w:val="24"/>
          <w:szCs w:val="24"/>
        </w:rPr>
        <w:pict w14:anchorId="2C72FC30">
          <v:rect id="_x0000_i1025" style="width:0;height:1.5pt" o:hralign="center" o:hrstd="t" o:hr="t" fillcolor="#a0a0a0" stroked="f"/>
        </w:pict>
      </w:r>
    </w:p>
    <w:p w14:paraId="0ABD2976"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Introduction</w:t>
      </w:r>
    </w:p>
    <w:p w14:paraId="15EC4A45"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Krishi Vigyan Kendras (KVKs) constitute the primary institutional mechanism for technology assessment, refinement and dissemination in Indian agriculture (Anderson and Feder, 2007; Swanson and Rajalahti, 2010; ICAR, 2014). Their effectiveness increasingly depends on how well extension interventions align with farmers’ needs, priorities and emerging production challenges rather than merely the number of activities conducted (Feder et al., 2001; Singh et al., 2013).</w:t>
      </w:r>
      <w:r w:rsidR="007F1BB6" w:rsidRPr="007F1BB6">
        <w:t xml:space="preserve"> </w:t>
      </w:r>
      <w:r w:rsidR="007F1BB6" w:rsidRPr="007F1BB6">
        <w:rPr>
          <w:rFonts w:ascii="Times New Roman" w:hAnsi="Times New Roman" w:cs="Times New Roman"/>
          <w:sz w:val="24"/>
          <w:szCs w:val="24"/>
        </w:rPr>
        <w:t xml:space="preserve">Contemporary extension theory increasingly emphasizes demand-driven, participatory and outcome-oriented approaches, wherein farmers’ engagement itself is treated as a critical indicator of programme relevance and effectiveness </w:t>
      </w:r>
      <w:r w:rsidR="007F1BB6" w:rsidRPr="007F1BB6">
        <w:rPr>
          <w:rFonts w:ascii="Times New Roman" w:hAnsi="Times New Roman" w:cs="Times New Roman"/>
          <w:sz w:val="24"/>
          <w:szCs w:val="24"/>
          <w:u w:val="single"/>
        </w:rPr>
        <w:t>(Birner et al., 2020; Meena et al., 2022).</w:t>
      </w:r>
    </w:p>
    <w:p w14:paraId="24E9E799"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Farmer participation is widely recognised as an important indicator of perceived relevance, accessibility and trust in extension services (Rogers, 2003; Oakley and Marsden, 1984; Meena and Singh, 2014). Participation behaviour reflects </w:t>
      </w:r>
      <w:r w:rsidRPr="008D4EFB">
        <w:rPr>
          <w:rFonts w:ascii="Times New Roman" w:hAnsi="Times New Roman" w:cs="Times New Roman"/>
          <w:sz w:val="24"/>
          <w:szCs w:val="24"/>
        </w:rPr>
        <w:t>farmers</w:t>
      </w:r>
      <w:r w:rsidR="008D4EFB" w:rsidRPr="008D4EFB">
        <w:rPr>
          <w:rFonts w:ascii="Times New Roman" w:hAnsi="Times New Roman" w:cs="Times New Roman"/>
          <w:sz w:val="24"/>
          <w:szCs w:val="24"/>
        </w:rPr>
        <w:t xml:space="preserve"> revealed preferences for specific technologies and advisory themes and can therefore serve as a proxy for extension demand (Birner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2009; Meena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2015).</w:t>
      </w:r>
      <w:r w:rsidR="00CF5244">
        <w:rPr>
          <w:rFonts w:ascii="Times New Roman" w:hAnsi="Times New Roman" w:cs="Times New Roman"/>
          <w:sz w:val="24"/>
          <w:szCs w:val="24"/>
        </w:rPr>
        <w:t xml:space="preserve"> Experiments</w:t>
      </w:r>
      <w:r w:rsidR="00CF5244" w:rsidRPr="00CF5244">
        <w:rPr>
          <w:rFonts w:ascii="Times New Roman" w:hAnsi="Times New Roman" w:cs="Times New Roman"/>
          <w:sz w:val="24"/>
          <w:szCs w:val="24"/>
        </w:rPr>
        <w:t xml:space="preserve"> show a steady move from general awareness programs to more structured training</w:t>
      </w:r>
      <w:r w:rsidR="00CF5244">
        <w:rPr>
          <w:rFonts w:ascii="Times New Roman" w:hAnsi="Times New Roman" w:cs="Times New Roman"/>
          <w:sz w:val="24"/>
          <w:szCs w:val="24"/>
        </w:rPr>
        <w:t>s</w:t>
      </w:r>
      <w:r w:rsidR="00CF5244" w:rsidRPr="00CF5244">
        <w:rPr>
          <w:rFonts w:ascii="Times New Roman" w:hAnsi="Times New Roman" w:cs="Times New Roman"/>
          <w:sz w:val="24"/>
          <w:szCs w:val="24"/>
        </w:rPr>
        <w:t>, with a greater focus</w:t>
      </w:r>
      <w:r w:rsidR="00CF5244">
        <w:rPr>
          <w:rFonts w:ascii="Times New Roman" w:hAnsi="Times New Roman" w:cs="Times New Roman"/>
          <w:sz w:val="24"/>
          <w:szCs w:val="24"/>
        </w:rPr>
        <w:t xml:space="preserve"> on skill-building and climate responsive activities. Studies</w:t>
      </w:r>
      <w:r w:rsidR="00CF5244" w:rsidRPr="00CF5244">
        <w:rPr>
          <w:rFonts w:ascii="Times New Roman" w:hAnsi="Times New Roman" w:cs="Times New Roman"/>
          <w:sz w:val="24"/>
          <w:szCs w:val="24"/>
        </w:rPr>
        <w:t xml:space="preserve"> show that regular institutional data can reveal important changes in extension priorities and help with adaptive planning</w:t>
      </w:r>
      <w:r w:rsidR="00CF5244">
        <w:rPr>
          <w:rFonts w:ascii="Times New Roman" w:hAnsi="Times New Roman" w:cs="Times New Roman"/>
          <w:sz w:val="24"/>
          <w:szCs w:val="24"/>
        </w:rPr>
        <w:t xml:space="preserve"> (Kirmani </w:t>
      </w:r>
      <w:r w:rsidR="00CF5244" w:rsidRPr="00CF5244">
        <w:rPr>
          <w:rFonts w:ascii="Times New Roman" w:hAnsi="Times New Roman" w:cs="Times New Roman"/>
          <w:i/>
          <w:sz w:val="24"/>
          <w:szCs w:val="24"/>
        </w:rPr>
        <w:t>et al.,</w:t>
      </w:r>
      <w:r w:rsidR="00CF5244">
        <w:rPr>
          <w:rFonts w:ascii="Times New Roman" w:hAnsi="Times New Roman" w:cs="Times New Roman"/>
          <w:sz w:val="24"/>
          <w:szCs w:val="24"/>
        </w:rPr>
        <w:t xml:space="preserve"> 2026)</w:t>
      </w:r>
    </w:p>
    <w:p w14:paraId="3C66AAB4" w14:textId="2437D90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D4EFB" w:rsidRPr="008D4EFB">
        <w:rPr>
          <w:rFonts w:ascii="Times New Roman" w:hAnsi="Times New Roman" w:cs="Times New Roman"/>
          <w:sz w:val="24"/>
          <w:szCs w:val="24"/>
        </w:rPr>
        <w:t>In temperate horticulture systems such as Jammu &amp; Kashmir, apple-based farming dominates rural livelihoods and faces increasing challenges due to climate variability, pest dynamics and orchard intensification pre</w:t>
      </w:r>
      <w:r w:rsidR="005105BC">
        <w:rPr>
          <w:rFonts w:ascii="Times New Roman" w:hAnsi="Times New Roman" w:cs="Times New Roman"/>
          <w:sz w:val="24"/>
          <w:szCs w:val="24"/>
        </w:rPr>
        <w:t>ssures (Morton, 2007; FAO, 2021)</w:t>
      </w:r>
      <w:r w:rsidR="008D4EFB" w:rsidRPr="008D4EFB">
        <w:rPr>
          <w:rFonts w:ascii="Times New Roman" w:hAnsi="Times New Roman" w:cs="Times New Roman"/>
          <w:sz w:val="24"/>
          <w:szCs w:val="24"/>
        </w:rPr>
        <w:t xml:space="preserve">. Extension systems in such regions must continuously adapt their training portfolios to address climate risks, productivity constraints and sustainability concerns (Swanson, 2011; Chapke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2019).</w:t>
      </w:r>
    </w:p>
    <w:p w14:paraId="49AF983A" w14:textId="77777777" w:rsid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B4D" w:rsidRPr="008D4B4D">
        <w:rPr>
          <w:rFonts w:ascii="Times New Roman" w:hAnsi="Times New Roman" w:cs="Times New Roman"/>
          <w:sz w:val="24"/>
          <w:szCs w:val="24"/>
        </w:rPr>
        <w:t>Apple-based farming systems, especially the rapid expansion of high-density plantation (HDP) models, have substantially altered knowledge and skill requirements of farmers, thereby redefining extension priorities (</w:t>
      </w:r>
      <w:r w:rsidR="008D4B4D" w:rsidRPr="008D4B4D">
        <w:rPr>
          <w:rFonts w:ascii="Times New Roman" w:hAnsi="Times New Roman" w:cs="Times New Roman"/>
          <w:sz w:val="24"/>
          <w:szCs w:val="24"/>
          <w:u w:val="single"/>
        </w:rPr>
        <w:t>Sharma et al., 2021;</w:t>
      </w:r>
      <w:r w:rsidR="008D4B4D" w:rsidRPr="008D4B4D">
        <w:rPr>
          <w:rFonts w:ascii="Times New Roman" w:hAnsi="Times New Roman" w:cs="Times New Roman"/>
          <w:sz w:val="24"/>
          <w:szCs w:val="24"/>
        </w:rPr>
        <w:t xml:space="preserve"> Kirmani et al., 2026).</w:t>
      </w:r>
      <w:r w:rsidR="008D4B4D">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Despite extensive documentation of training activities in KVK records, systematic research utilising secondary participation data for scientific analysis remains limited in Indian extension literature (Kumar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2019; Singh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2021; Meena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2022). The present study attempts to bridge this gap by analysing four years of training and participation data from ICAR–KVK Baramulla to generate evidence for demand-driven extension planning.</w:t>
      </w:r>
    </w:p>
    <w:p w14:paraId="706FC4EE" w14:textId="77777777" w:rsidR="00246438" w:rsidRPr="00246438" w:rsidRDefault="00246438" w:rsidP="008D4EFB">
      <w:pPr>
        <w:jc w:val="both"/>
        <w:rPr>
          <w:rFonts w:ascii="Times New Roman" w:hAnsi="Times New Roman" w:cs="Times New Roman"/>
          <w:b/>
          <w:sz w:val="24"/>
          <w:szCs w:val="24"/>
        </w:rPr>
      </w:pPr>
      <w:r w:rsidRPr="00246438">
        <w:rPr>
          <w:rFonts w:ascii="Times New Roman" w:hAnsi="Times New Roman" w:cs="Times New Roman"/>
          <w:b/>
          <w:sz w:val="24"/>
          <w:szCs w:val="24"/>
        </w:rPr>
        <w:t xml:space="preserve">Indian Scenario:- </w:t>
      </w:r>
    </w:p>
    <w:p w14:paraId="0AE2D2D4"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In India, agricultural extension has undergone significant conceptual and operational transitions over the past two decades, shifting from a top–down, technology-transfer paradigm toward a more participatory, demand-driven and pluralistic system. With nearly 86 per cent of operational holdings classified as small and marginal, farmers’ production decisions are increasingly shaped by risk, resource constraints, climatic uncertainty and market volatility, making their active participation in extension programmes a critical indicator of relevance and demand. Public extension institutions, particularly the Krishi Vigyan Kendras (KVKs) under the Indian Council of Agricultural Research (ICAR), occupy a central position in this evolving landscape due to their mandate of technology assessment, refinement and frontline extension. While the numerical expansion of KVKs across agro-ecological regions has strengthened outreach, the challenge has shifted toward ensuring that extension interventions are responsive to farmers’ real and emerging needs. In this context, farmer participation in training programmes—both on-campus and off-campus—has gained recognition as a revealed-preference indicator of demand-driven extension, reflecting farmers’ willingness to invest time and effort in learning activities perceived as useful and contextually relevant.</w:t>
      </w:r>
    </w:p>
    <w:p w14:paraId="3ABEC5F0"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The Indian extension system today operates within a pluralistic environment involving public agencies, private advisory services, farmer producer organisations, NGOs and digital platforms. However, for a majority of smallholders, especially in remote and hill regions, KVK-led trainings remain the most accessible and trusted source of technical guidance. Participation patterns in these trainings are influenced by multiple factors, including relevance of subject matter, delivery mode, proximity, seasonal workload and perceived credibility of trainers. Off-campus trainings conducted at village or cluster levels have increasingly emerged as a preferred mode, as they reduce transaction costs for farmers and enable location-specific learning. Conversely, on-campus trainings continue to play a vital role in skill-intensive areas requiring infrastructure, demonstrations and controlled learning environments. The balance between these two modes, and farmers’ differential participation in them, provides valuable insights into extension demand dynamics that are often overlooked in conventional impact assessments.</w:t>
      </w:r>
    </w:p>
    <w:p w14:paraId="43BC677F"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246438">
        <w:rPr>
          <w:rFonts w:ascii="Times New Roman" w:hAnsi="Times New Roman" w:cs="Times New Roman"/>
          <w:sz w:val="24"/>
          <w:szCs w:val="24"/>
          <w:lang w:val="en-US"/>
        </w:rPr>
        <w:t>Horticulture, as a rapidly expanding sub-sector in Indian agriculture, has further intensified the importance of demand-driven extension. India is the second largest producer of fruits and vegetables globally, and horticulture now contributes over one-third of agricultural gross value added. In temperate regions such as Jammu &amp; Kashmir, Himachal Pradesh and parts of Uttarakhand, apple-based farming systems dominate rural livelihoods and are undergoing structural transformation driven by high-density plantations, varietal replacement, precision nutrient management and market-oriented quality standards. These transitions have significantly altered farmers’ knowledge and skill requirements, thereby reshaping extension demand. Participation in horticulture-focused trainings—particularly on pruning, canopy management, pest surveillance, nutrient scheduling and climate risk mitigation—has increased markedly, indicating farmers’ adaptive learning behaviour in response to technological and environmental change.</w:t>
      </w:r>
    </w:p>
    <w:p w14:paraId="2DDB4EC7"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Climate variability and the increasing incidence of biotic and abiotic stresses have further heightened farmers’ dependence on timely and relevant advisory services. In India, extension demand is no longer static or seasonal but continuous and problem-driven, especially in perennial horticultural systems where management decisions have long-term consequences. Farmer participation in extension programmes thus reflects not only interest but also perceived urgency and risk perception. Studies across agro-climatic zones have shown that farmers are more likely to participate in trainings that address immediate production constraints, emerging pest outbreaks and climate-related uncertainties, reinforcing the value of participation metrics as real-time feedback for extension planning.</w:t>
      </w:r>
    </w:p>
    <w:p w14:paraId="5169E163"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Despite the routine generation of participation data within KVKs, systematic analysis of these data over time remains limited in Indian extension research. Most evaluations continue to rely on ex-post adoption or impact studies, which are resource-intensive and often delayed. Analysing participation trends across years, themes and delivery modes offers a pragmatic and cost-effective alternative for assessing extension responsiveness, particularly in publicly funded systems. Such analyses can reveal shifts in farmer priorities, effectiveness of delivery strategies and emerging knowledge gaps, thereby strengthening evidence-based extension management. In the Indian context, where extension systems are expected to simultaneously address productivity, sustainability and livelihood resilience, integrating participation analytics into programme evaluation can significantly enhance accountability and impact orientation.</w:t>
      </w:r>
    </w:p>
    <w:p w14:paraId="65F87C89" w14:textId="77777777" w:rsidR="00246438" w:rsidRPr="00246438" w:rsidRDefault="00246438" w:rsidP="008D4EF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Overall, farmer participation in on- and off-campus training programmes represents a powerful yet underutilised indicator of demand-driven extension in India. Especially within temperate horticulture systems, where production risks are high and knowledge needs are rapidly evolving, participation patterns provide actionable insights into farmers’ learning behaviour and institutional relevance. A longitudinal analysis of such participation data, therefore, contributes not only to extension science but also to policy discourse on strengthening India’s agricultural advisory systems in a changing agrarian landscape.</w:t>
      </w:r>
    </w:p>
    <w:p w14:paraId="08CE915A"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Materials and Methods</w:t>
      </w:r>
    </w:p>
    <w:p w14:paraId="77AAEDA7"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Study area</w:t>
      </w:r>
    </w:p>
    <w:p w14:paraId="736C1634"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D4EFB" w:rsidRPr="008D4EFB">
        <w:rPr>
          <w:rFonts w:ascii="Times New Roman" w:hAnsi="Times New Roman" w:cs="Times New Roman"/>
          <w:sz w:val="24"/>
          <w:szCs w:val="24"/>
        </w:rPr>
        <w:t xml:space="preserve">The study utilised secondary data from ICAR–Krishi Vigyan Kendra, Baramulla, located in the temperate horticulture zone of Jammu &amp; Kashmir. The district is characterised by apple-based farming systems, predominance of small and marginal landholdings and increasing exposure to climatic and biotic stresses (FAO, 2019; Kumar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2018).</w:t>
      </w:r>
    </w:p>
    <w:p w14:paraId="149CB085"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Data source</w:t>
      </w:r>
    </w:p>
    <w:p w14:paraId="5A2C99E2"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Secondary data for the period 2021–2024 were compiled from officially maintained Annual Performance Appraisal Reports (APARs) and training records of the KVK, following ICAR operational guidelines (ICAR, 2020; ICAR, 2021–2024). The dataset included year-wise information on </w:t>
      </w:r>
      <w:r>
        <w:rPr>
          <w:rFonts w:ascii="Times New Roman" w:hAnsi="Times New Roman" w:cs="Times New Roman"/>
          <w:sz w:val="24"/>
          <w:szCs w:val="24"/>
        </w:rPr>
        <w:t xml:space="preserve">the </w:t>
      </w:r>
      <w:r w:rsidR="008D4EFB" w:rsidRPr="008D4EFB">
        <w:rPr>
          <w:rFonts w:ascii="Times New Roman" w:hAnsi="Times New Roman" w:cs="Times New Roman"/>
          <w:sz w:val="24"/>
          <w:szCs w:val="24"/>
        </w:rPr>
        <w:t>number of trainings conducted, delivery mode (on-campus/off-campus), thematic focus and number of participants.</w:t>
      </w:r>
    </w:p>
    <w:p w14:paraId="7C185C73"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Data analysis</w:t>
      </w:r>
    </w:p>
    <w:p w14:paraId="4D9F9074"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Trainings were classified into major thematic domains, namely apple production and high-density planting (HDP), plant protection, climate-resilient practices, natural farming</w:t>
      </w:r>
      <w:r>
        <w:rPr>
          <w:rFonts w:ascii="Times New Roman" w:hAnsi="Times New Roman" w:cs="Times New Roman"/>
          <w:sz w:val="24"/>
          <w:szCs w:val="24"/>
        </w:rPr>
        <w:t xml:space="preserve">, </w:t>
      </w:r>
      <w:r w:rsidR="008D4EFB" w:rsidRPr="008D4EFB">
        <w:rPr>
          <w:rFonts w:ascii="Times New Roman" w:hAnsi="Times New Roman" w:cs="Times New Roman"/>
          <w:sz w:val="24"/>
          <w:szCs w:val="24"/>
        </w:rPr>
        <w:t>soil health and allied agricultural activities. Descriptive statistics, participation density (participants per programme) and trend analysis were employed to assess extension demand patterns, as suggested by extension evaluation frameworks (Birner et al., 2009; Singh and Meena, 2020).</w:t>
      </w:r>
    </w:p>
    <w:p w14:paraId="7D758289"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Results and Discussion</w:t>
      </w:r>
    </w:p>
    <w:p w14:paraId="201DBE27" w14:textId="77777777"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Trend in trainings and farmer participation</w:t>
      </w:r>
    </w:p>
    <w:p w14:paraId="3014A5BA" w14:textId="77777777" w:rsidR="00E760EB" w:rsidRDefault="00E760EB" w:rsidP="008D4EFB">
      <w:pPr>
        <w:jc w:val="both"/>
        <w:rPr>
          <w:rFonts w:ascii="Times New Roman" w:hAnsi="Times New Roman" w:cs="Times New Roman"/>
          <w:sz w:val="24"/>
          <w:szCs w:val="24"/>
        </w:rPr>
      </w:pPr>
      <w:r w:rsidRPr="00E760EB">
        <w:rPr>
          <w:rFonts w:ascii="Times New Roman" w:hAnsi="Times New Roman" w:cs="Times New Roman"/>
          <w:sz w:val="24"/>
          <w:szCs w:val="24"/>
        </w:rPr>
        <w:t xml:space="preserve">The consistent increase in farmer participation from 2021 to 2024 reflects not only numerical expansion of extension activities but also a qualitative strengthening of farmer–institution engagement </w:t>
      </w:r>
      <w:r w:rsidR="008D4EFB" w:rsidRPr="008D4EFB">
        <w:rPr>
          <w:rFonts w:ascii="Times New Roman" w:hAnsi="Times New Roman" w:cs="Times New Roman"/>
          <w:sz w:val="24"/>
          <w:szCs w:val="24"/>
        </w:rPr>
        <w:t xml:space="preserve">(Table 1; Fig. 1). Total participation increased from 2,150 farmers in 2021 to 3,740 farmers in 2024, indicating growing farmer engagement and trust in KVK extension programmes. Similar upward trends in farmer participation have been reported in other KVK-based studies (Chauhan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2016; Singh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2018).</w:t>
      </w:r>
      <w:r w:rsidR="00CF5244" w:rsidRPr="00CF5244">
        <w:t xml:space="preserve"> </w:t>
      </w:r>
      <w:r w:rsidR="00CF5244">
        <w:rPr>
          <w:rFonts w:ascii="Times New Roman" w:hAnsi="Times New Roman" w:cs="Times New Roman"/>
          <w:sz w:val="24"/>
          <w:szCs w:val="24"/>
        </w:rPr>
        <w:t>P</w:t>
      </w:r>
      <w:r w:rsidR="00CF5244" w:rsidRPr="00CF5244">
        <w:rPr>
          <w:rFonts w:ascii="Times New Roman" w:hAnsi="Times New Roman" w:cs="Times New Roman"/>
          <w:sz w:val="24"/>
          <w:szCs w:val="24"/>
        </w:rPr>
        <w:t>ronounced qualitative shift in extension strategies, moving away from predominantly awareness-oriented and lecture</w:t>
      </w:r>
      <w:r w:rsidR="00CF5244">
        <w:rPr>
          <w:rFonts w:ascii="Times New Roman" w:hAnsi="Times New Roman" w:cs="Times New Roman"/>
          <w:sz w:val="24"/>
          <w:szCs w:val="24"/>
        </w:rPr>
        <w:t xml:space="preserve"> </w:t>
      </w:r>
      <w:r w:rsidR="00CF5244" w:rsidRPr="00CF5244">
        <w:rPr>
          <w:rFonts w:ascii="Times New Roman" w:hAnsi="Times New Roman" w:cs="Times New Roman"/>
          <w:sz w:val="24"/>
          <w:szCs w:val="24"/>
        </w:rPr>
        <w:t>based approaches toward more structured, skill-intensive, and experiential learning interventions</w:t>
      </w:r>
      <w:r w:rsidR="00CF5244">
        <w:rPr>
          <w:rFonts w:ascii="Times New Roman" w:hAnsi="Times New Roman" w:cs="Times New Roman"/>
          <w:sz w:val="24"/>
          <w:szCs w:val="24"/>
        </w:rPr>
        <w:t xml:space="preserve"> (Kirmani </w:t>
      </w:r>
      <w:r w:rsidR="00CF5244" w:rsidRPr="00CF5244">
        <w:rPr>
          <w:rFonts w:ascii="Times New Roman" w:hAnsi="Times New Roman" w:cs="Times New Roman"/>
          <w:i/>
          <w:sz w:val="24"/>
          <w:szCs w:val="24"/>
        </w:rPr>
        <w:t>et. al.,</w:t>
      </w:r>
      <w:r w:rsidR="00CF5244">
        <w:rPr>
          <w:rFonts w:ascii="Times New Roman" w:hAnsi="Times New Roman" w:cs="Times New Roman"/>
          <w:sz w:val="24"/>
          <w:szCs w:val="24"/>
        </w:rPr>
        <w:t xml:space="preserve"> 2026)</w:t>
      </w:r>
      <w:r>
        <w:rPr>
          <w:rFonts w:ascii="Times New Roman" w:hAnsi="Times New Roman" w:cs="Times New Roman"/>
          <w:sz w:val="24"/>
          <w:szCs w:val="24"/>
        </w:rPr>
        <w:t xml:space="preserve">. </w:t>
      </w:r>
      <w:r w:rsidRPr="00E760EB">
        <w:rPr>
          <w:rFonts w:ascii="Times New Roman" w:hAnsi="Times New Roman" w:cs="Times New Roman"/>
          <w:sz w:val="24"/>
          <w:szCs w:val="24"/>
        </w:rPr>
        <w:t>The sharper rise observed after 2022 coincides with increased emphasis on orchard rejuvenation, HDP systems and climate-responsive advisory services, indicating closer alignment between extension supply and farmer demand. Similar participation-led growth patterns have been reported in KVKs operating in high-value horticulture regions (Singh et al., 2018; Kumar et al., 2019; Meena et al., 2022).</w:t>
      </w:r>
      <w:r>
        <w:rPr>
          <w:rFonts w:ascii="Times New Roman" w:hAnsi="Times New Roman" w:cs="Times New Roman"/>
          <w:sz w:val="24"/>
          <w:szCs w:val="24"/>
        </w:rPr>
        <w:t xml:space="preserve"> </w:t>
      </w:r>
      <w:r w:rsidRPr="00E760EB">
        <w:rPr>
          <w:rFonts w:ascii="Times New Roman" w:hAnsi="Times New Roman" w:cs="Times New Roman"/>
          <w:sz w:val="24"/>
          <w:szCs w:val="24"/>
        </w:rPr>
        <w:t>Importantly, rising participation density suggests improved programme credibility and perceived utility, rather than mere activity inflation. This supports recent arguments that participation trends can act as a proxy indicator for extension effectiveness in the abse</w:t>
      </w:r>
      <w:r>
        <w:rPr>
          <w:rFonts w:ascii="Times New Roman" w:hAnsi="Times New Roman" w:cs="Times New Roman"/>
          <w:sz w:val="24"/>
          <w:szCs w:val="24"/>
        </w:rPr>
        <w:t>nce of long-term adoption data.</w:t>
      </w:r>
    </w:p>
    <w:p w14:paraId="232695F5" w14:textId="77777777" w:rsidR="003809F0" w:rsidRPr="00EC59FF" w:rsidRDefault="003809F0" w:rsidP="00121089">
      <w:pPr>
        <w:jc w:val="center"/>
        <w:rPr>
          <w:rFonts w:ascii="Times New Roman" w:hAnsi="Times New Roman" w:cs="Times New Roman"/>
          <w:b/>
          <w:bCs/>
          <w:sz w:val="24"/>
          <w:szCs w:val="24"/>
        </w:rPr>
      </w:pPr>
      <w:r w:rsidRPr="00EC59FF">
        <w:rPr>
          <w:rFonts w:ascii="Times New Roman" w:hAnsi="Times New Roman" w:cs="Times New Roman"/>
          <w:b/>
          <w:bCs/>
          <w:sz w:val="24"/>
          <w:szCs w:val="24"/>
        </w:rPr>
        <w:t>Table 1. Year-wise Trainings and Farmer Participation (2021–2024)</w:t>
      </w:r>
    </w:p>
    <w:tbl>
      <w:tblPr>
        <w:tblStyle w:val="TableGrid"/>
        <w:tblW w:w="9180" w:type="dxa"/>
        <w:tblLook w:val="04A0" w:firstRow="1" w:lastRow="0" w:firstColumn="1" w:lastColumn="0" w:noHBand="0" w:noVBand="1"/>
      </w:tblPr>
      <w:tblGrid>
        <w:gridCol w:w="903"/>
        <w:gridCol w:w="1749"/>
        <w:gridCol w:w="1783"/>
        <w:gridCol w:w="2173"/>
        <w:gridCol w:w="2572"/>
      </w:tblGrid>
      <w:tr w:rsidR="00E016EB" w:rsidRPr="00E016EB" w14:paraId="787B1254" w14:textId="77777777" w:rsidTr="00E760EB">
        <w:trPr>
          <w:trHeight w:val="314"/>
        </w:trPr>
        <w:tc>
          <w:tcPr>
            <w:tcW w:w="0" w:type="auto"/>
            <w:hideMark/>
          </w:tcPr>
          <w:p w14:paraId="1A539320"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Year</w:t>
            </w:r>
          </w:p>
        </w:tc>
        <w:tc>
          <w:tcPr>
            <w:tcW w:w="0" w:type="auto"/>
            <w:hideMark/>
          </w:tcPr>
          <w:p w14:paraId="133FF22B"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On-campus</w:t>
            </w:r>
          </w:p>
        </w:tc>
        <w:tc>
          <w:tcPr>
            <w:tcW w:w="0" w:type="auto"/>
            <w:hideMark/>
          </w:tcPr>
          <w:p w14:paraId="173A104C"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Off-campus</w:t>
            </w:r>
          </w:p>
        </w:tc>
        <w:tc>
          <w:tcPr>
            <w:tcW w:w="0" w:type="auto"/>
            <w:hideMark/>
          </w:tcPr>
          <w:p w14:paraId="299001B0"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Total trainings</w:t>
            </w:r>
          </w:p>
        </w:tc>
        <w:tc>
          <w:tcPr>
            <w:tcW w:w="0" w:type="auto"/>
            <w:hideMark/>
          </w:tcPr>
          <w:p w14:paraId="149D7AC2"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Total participants</w:t>
            </w:r>
          </w:p>
        </w:tc>
      </w:tr>
      <w:tr w:rsidR="00E016EB" w:rsidRPr="00E016EB" w14:paraId="4C9F2ADC" w14:textId="77777777" w:rsidTr="00E760EB">
        <w:trPr>
          <w:trHeight w:val="303"/>
        </w:trPr>
        <w:tc>
          <w:tcPr>
            <w:tcW w:w="0" w:type="auto"/>
            <w:hideMark/>
          </w:tcPr>
          <w:p w14:paraId="247B2704"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2021</w:t>
            </w:r>
          </w:p>
        </w:tc>
        <w:tc>
          <w:tcPr>
            <w:tcW w:w="0" w:type="auto"/>
            <w:hideMark/>
          </w:tcPr>
          <w:p w14:paraId="239479BB"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18</w:t>
            </w:r>
          </w:p>
        </w:tc>
        <w:tc>
          <w:tcPr>
            <w:tcW w:w="0" w:type="auto"/>
            <w:hideMark/>
          </w:tcPr>
          <w:p w14:paraId="120EB408"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42</w:t>
            </w:r>
          </w:p>
        </w:tc>
        <w:tc>
          <w:tcPr>
            <w:tcW w:w="0" w:type="auto"/>
            <w:hideMark/>
          </w:tcPr>
          <w:p w14:paraId="591D5A1E"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60</w:t>
            </w:r>
          </w:p>
        </w:tc>
        <w:tc>
          <w:tcPr>
            <w:tcW w:w="0" w:type="auto"/>
            <w:hideMark/>
          </w:tcPr>
          <w:p w14:paraId="5617081D"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2,150</w:t>
            </w:r>
          </w:p>
        </w:tc>
      </w:tr>
      <w:tr w:rsidR="00E016EB" w:rsidRPr="00E016EB" w14:paraId="667FBD99" w14:textId="77777777" w:rsidTr="00E760EB">
        <w:trPr>
          <w:trHeight w:val="303"/>
        </w:trPr>
        <w:tc>
          <w:tcPr>
            <w:tcW w:w="0" w:type="auto"/>
            <w:hideMark/>
          </w:tcPr>
          <w:p w14:paraId="113C0A19"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2022</w:t>
            </w:r>
          </w:p>
        </w:tc>
        <w:tc>
          <w:tcPr>
            <w:tcW w:w="0" w:type="auto"/>
            <w:hideMark/>
          </w:tcPr>
          <w:p w14:paraId="475C2232"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22</w:t>
            </w:r>
          </w:p>
        </w:tc>
        <w:tc>
          <w:tcPr>
            <w:tcW w:w="0" w:type="auto"/>
            <w:hideMark/>
          </w:tcPr>
          <w:p w14:paraId="3498AC16"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48</w:t>
            </w:r>
          </w:p>
        </w:tc>
        <w:tc>
          <w:tcPr>
            <w:tcW w:w="0" w:type="auto"/>
            <w:hideMark/>
          </w:tcPr>
          <w:p w14:paraId="600E8C40"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70</w:t>
            </w:r>
          </w:p>
        </w:tc>
        <w:tc>
          <w:tcPr>
            <w:tcW w:w="0" w:type="auto"/>
            <w:hideMark/>
          </w:tcPr>
          <w:p w14:paraId="29275F4C"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2,620</w:t>
            </w:r>
          </w:p>
        </w:tc>
      </w:tr>
      <w:tr w:rsidR="00E016EB" w:rsidRPr="00E016EB" w14:paraId="5554BD9B" w14:textId="77777777" w:rsidTr="00E760EB">
        <w:trPr>
          <w:trHeight w:val="303"/>
        </w:trPr>
        <w:tc>
          <w:tcPr>
            <w:tcW w:w="0" w:type="auto"/>
            <w:hideMark/>
          </w:tcPr>
          <w:p w14:paraId="4D99925D"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2023</w:t>
            </w:r>
          </w:p>
        </w:tc>
        <w:tc>
          <w:tcPr>
            <w:tcW w:w="0" w:type="auto"/>
            <w:hideMark/>
          </w:tcPr>
          <w:p w14:paraId="1790D653"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26</w:t>
            </w:r>
          </w:p>
        </w:tc>
        <w:tc>
          <w:tcPr>
            <w:tcW w:w="0" w:type="auto"/>
            <w:hideMark/>
          </w:tcPr>
          <w:p w14:paraId="2A7AEE25"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55</w:t>
            </w:r>
          </w:p>
        </w:tc>
        <w:tc>
          <w:tcPr>
            <w:tcW w:w="0" w:type="auto"/>
            <w:hideMark/>
          </w:tcPr>
          <w:p w14:paraId="490EB990"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81</w:t>
            </w:r>
          </w:p>
        </w:tc>
        <w:tc>
          <w:tcPr>
            <w:tcW w:w="0" w:type="auto"/>
            <w:hideMark/>
          </w:tcPr>
          <w:p w14:paraId="54F1A506"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3,180</w:t>
            </w:r>
          </w:p>
        </w:tc>
      </w:tr>
      <w:tr w:rsidR="00E016EB" w:rsidRPr="00E016EB" w14:paraId="0A265B8F" w14:textId="77777777" w:rsidTr="00E760EB">
        <w:trPr>
          <w:trHeight w:val="303"/>
        </w:trPr>
        <w:tc>
          <w:tcPr>
            <w:tcW w:w="0" w:type="auto"/>
            <w:hideMark/>
          </w:tcPr>
          <w:p w14:paraId="2EFAC8C3"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lastRenderedPageBreak/>
              <w:t>2024</w:t>
            </w:r>
          </w:p>
        </w:tc>
        <w:tc>
          <w:tcPr>
            <w:tcW w:w="0" w:type="auto"/>
            <w:hideMark/>
          </w:tcPr>
          <w:p w14:paraId="65F4B86E"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29</w:t>
            </w:r>
          </w:p>
        </w:tc>
        <w:tc>
          <w:tcPr>
            <w:tcW w:w="0" w:type="auto"/>
            <w:hideMark/>
          </w:tcPr>
          <w:p w14:paraId="78543AC2"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61</w:t>
            </w:r>
          </w:p>
        </w:tc>
        <w:tc>
          <w:tcPr>
            <w:tcW w:w="0" w:type="auto"/>
            <w:hideMark/>
          </w:tcPr>
          <w:p w14:paraId="525F2CC5"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90</w:t>
            </w:r>
          </w:p>
        </w:tc>
        <w:tc>
          <w:tcPr>
            <w:tcW w:w="0" w:type="auto"/>
            <w:hideMark/>
          </w:tcPr>
          <w:p w14:paraId="28456AFE"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3,740</w:t>
            </w:r>
          </w:p>
        </w:tc>
      </w:tr>
    </w:tbl>
    <w:p w14:paraId="7C9322C9" w14:textId="77777777" w:rsidR="00723065" w:rsidRPr="008D4EFB" w:rsidRDefault="00723065" w:rsidP="008D4EFB">
      <w:pPr>
        <w:jc w:val="both"/>
        <w:rPr>
          <w:rFonts w:ascii="Times New Roman" w:hAnsi="Times New Roman" w:cs="Times New Roman"/>
          <w:sz w:val="24"/>
          <w:szCs w:val="24"/>
        </w:rPr>
      </w:pPr>
    </w:p>
    <w:p w14:paraId="33AA6ECF" w14:textId="77777777" w:rsidR="007D0896" w:rsidRPr="007D0896" w:rsidRDefault="005E310D" w:rsidP="007D0896">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52417C87" wp14:editId="35531EA3">
            <wp:extent cx="5378450" cy="4212039"/>
            <wp:effectExtent l="19050" t="0" r="0" b="0"/>
            <wp:docPr id="27247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8450" cy="4212039"/>
                    </a:xfrm>
                    <a:prstGeom prst="rect">
                      <a:avLst/>
                    </a:prstGeom>
                    <a:noFill/>
                  </pic:spPr>
                </pic:pic>
              </a:graphicData>
            </a:graphic>
          </wp:inline>
        </w:drawing>
      </w:r>
      <w:r w:rsidR="007D0896" w:rsidRPr="007D0896">
        <w:rPr>
          <w:rFonts w:ascii="Times New Roman" w:hAnsi="Times New Roman" w:cs="Times New Roman"/>
          <w:b/>
          <w:bCs/>
          <w:sz w:val="24"/>
          <w:szCs w:val="24"/>
        </w:rPr>
        <w:t>Figure 1. Trend in Farmer Participation (2021–2024)</w:t>
      </w:r>
      <w:r w:rsidR="007D0896">
        <w:rPr>
          <w:rFonts w:ascii="Times New Roman" w:hAnsi="Times New Roman" w:cs="Times New Roman"/>
          <w:b/>
          <w:bCs/>
          <w:sz w:val="24"/>
          <w:szCs w:val="24"/>
        </w:rPr>
        <w:t xml:space="preserve"> </w:t>
      </w:r>
    </w:p>
    <w:p w14:paraId="2C69C35B" w14:textId="77777777" w:rsidR="007D0896" w:rsidRPr="007D0896" w:rsidRDefault="007D0896" w:rsidP="007D0896">
      <w:pPr>
        <w:jc w:val="both"/>
        <w:rPr>
          <w:rFonts w:ascii="Times New Roman" w:hAnsi="Times New Roman" w:cs="Times New Roman"/>
          <w:b/>
          <w:bCs/>
          <w:sz w:val="24"/>
          <w:szCs w:val="24"/>
        </w:rPr>
      </w:pPr>
      <w:r w:rsidRPr="007D0896">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sidRPr="007D0896">
        <w:rPr>
          <w:rFonts w:ascii="Times New Roman" w:hAnsi="Times New Roman" w:cs="Times New Roman"/>
          <w:b/>
          <w:bCs/>
          <w:sz w:val="24"/>
          <w:szCs w:val="24"/>
        </w:rPr>
        <w:t>The figure shows a steady upward trajectory in total farmer participation, with a sharper rise after 2022, reflecting increased farmer engagement and trust in KVK advisories.</w:t>
      </w:r>
    </w:p>
    <w:p w14:paraId="707850D3" w14:textId="77777777"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Effect of delivery mode on participation</w:t>
      </w:r>
    </w:p>
    <w:p w14:paraId="52C19587" w14:textId="53F21A15" w:rsidR="00E760EB" w:rsidRPr="00E760EB" w:rsidRDefault="00B700D5" w:rsidP="00E760EB">
      <w:pPr>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Off-campus programmes accounted for nearly three-fourths of total farmer participation and recorded higher participation density compared to on-campus trainings</w:t>
      </w:r>
      <w:r w:rsidR="00EC59FF">
        <w:rPr>
          <w:rFonts w:ascii="Times New Roman" w:hAnsi="Times New Roman" w:cs="Times New Roman"/>
          <w:sz w:val="24"/>
          <w:szCs w:val="24"/>
        </w:rPr>
        <w:t xml:space="preserve"> from 2021 to 2024 </w:t>
      </w:r>
      <w:r w:rsidR="0006090F">
        <w:rPr>
          <w:rFonts w:ascii="Times New Roman" w:hAnsi="Times New Roman" w:cs="Times New Roman"/>
          <w:sz w:val="24"/>
          <w:szCs w:val="24"/>
        </w:rPr>
        <w:t>(Table</w:t>
      </w:r>
      <w:r w:rsidR="00EC59FF">
        <w:rPr>
          <w:rFonts w:ascii="Times New Roman" w:hAnsi="Times New Roman" w:cs="Times New Roman"/>
          <w:sz w:val="24"/>
          <w:szCs w:val="24"/>
        </w:rPr>
        <w:t xml:space="preserve"> </w:t>
      </w:r>
      <w:r w:rsidR="0006090F">
        <w:rPr>
          <w:rFonts w:ascii="Times New Roman" w:hAnsi="Times New Roman" w:cs="Times New Roman"/>
          <w:sz w:val="24"/>
          <w:szCs w:val="24"/>
        </w:rPr>
        <w:t>2:</w:t>
      </w:r>
      <w:r w:rsidR="00EC59FF">
        <w:rPr>
          <w:rFonts w:ascii="Times New Roman" w:hAnsi="Times New Roman" w:cs="Times New Roman"/>
          <w:sz w:val="24"/>
          <w:szCs w:val="24"/>
        </w:rPr>
        <w:t xml:space="preserve"> Fig. 2)</w:t>
      </w:r>
      <w:r w:rsidR="008D4EFB" w:rsidRPr="008D4EFB">
        <w:rPr>
          <w:rFonts w:ascii="Times New Roman" w:hAnsi="Times New Roman" w:cs="Times New Roman"/>
          <w:sz w:val="24"/>
          <w:szCs w:val="24"/>
        </w:rPr>
        <w:t>. This finding highlights the effectiveness of decentralised, village-level and context-specific extension delivery, as also reported by Burman et al. (2013) and Meena et al. (2016). Such approaches enhance inclusiveness by reducing access barriers related to distance and time (Sulaiman and Davis, 2012).</w:t>
      </w:r>
      <w:r w:rsidR="00E760EB">
        <w:rPr>
          <w:rFonts w:ascii="Times New Roman" w:hAnsi="Times New Roman" w:cs="Times New Roman"/>
          <w:sz w:val="24"/>
          <w:szCs w:val="24"/>
        </w:rPr>
        <w:t xml:space="preserve"> </w:t>
      </w:r>
      <w:r w:rsidR="00E760EB" w:rsidRPr="00E760EB">
        <w:rPr>
          <w:rFonts w:ascii="Times New Roman" w:hAnsi="Times New Roman" w:cs="Times New Roman"/>
          <w:sz w:val="24"/>
          <w:szCs w:val="24"/>
          <w:lang w:val="en-US"/>
        </w:rPr>
        <w:t>Off-campus programmes facilitate contextual learning, peer interaction and immediate problem-solving, which are critical for perennial fruit crops where site-specific management decisions strongly influence outcomes. Higher participation density in off-campus programmes also reflects reduced transaction costs for farmers, particularly small and marginal orchardists. This finding aligns with recent evidence that village-level, problem-focused trainings enhance inclusiveness and equity in extension outreach</w:t>
      </w:r>
      <w:r w:rsidR="005105BC">
        <w:rPr>
          <w:rFonts w:ascii="Times New Roman" w:hAnsi="Times New Roman" w:cs="Times New Roman"/>
          <w:sz w:val="24"/>
          <w:szCs w:val="24"/>
          <w:lang w:val="en-US"/>
        </w:rPr>
        <w:t xml:space="preserve"> (</w:t>
      </w:r>
      <w:r w:rsidR="005105BC" w:rsidRPr="005105BC">
        <w:rPr>
          <w:rFonts w:ascii="Times New Roman" w:hAnsi="Times New Roman" w:cs="Times New Roman"/>
          <w:sz w:val="24"/>
          <w:szCs w:val="24"/>
          <w:highlight w:val="yellow"/>
        </w:rPr>
        <w:t>Mungai,</w:t>
      </w:r>
      <w:r w:rsidR="005105BC">
        <w:rPr>
          <w:rFonts w:ascii="Times New Roman" w:hAnsi="Times New Roman" w:cs="Times New Roman"/>
          <w:sz w:val="24"/>
          <w:szCs w:val="24"/>
        </w:rPr>
        <w:t xml:space="preserve"> et al., 2024)</w:t>
      </w:r>
      <w:bookmarkStart w:id="0" w:name="_GoBack"/>
      <w:bookmarkEnd w:id="0"/>
      <w:r w:rsidR="00E760EB" w:rsidRPr="00E760EB">
        <w:rPr>
          <w:rFonts w:ascii="Times New Roman" w:hAnsi="Times New Roman" w:cs="Times New Roman"/>
          <w:sz w:val="24"/>
          <w:szCs w:val="24"/>
          <w:lang w:val="en-US"/>
        </w:rPr>
        <w:t xml:space="preserve">. </w:t>
      </w:r>
    </w:p>
    <w:p w14:paraId="67924504" w14:textId="77777777" w:rsidR="008D4EFB" w:rsidRDefault="008D4EFB" w:rsidP="008D4EFB">
      <w:pPr>
        <w:jc w:val="both"/>
        <w:rPr>
          <w:rFonts w:ascii="Times New Roman" w:hAnsi="Times New Roman" w:cs="Times New Roman"/>
          <w:sz w:val="24"/>
          <w:szCs w:val="24"/>
        </w:rPr>
      </w:pPr>
    </w:p>
    <w:p w14:paraId="716E96A6" w14:textId="77777777" w:rsidR="00E760EB" w:rsidRDefault="00E760EB" w:rsidP="008D4EFB">
      <w:pPr>
        <w:jc w:val="both"/>
        <w:rPr>
          <w:rFonts w:ascii="Times New Roman" w:hAnsi="Times New Roman" w:cs="Times New Roman"/>
          <w:sz w:val="24"/>
          <w:szCs w:val="24"/>
        </w:rPr>
      </w:pPr>
    </w:p>
    <w:p w14:paraId="3A96433C" w14:textId="77777777" w:rsidR="00E760EB" w:rsidRDefault="00E760EB" w:rsidP="008D4EFB">
      <w:pPr>
        <w:jc w:val="both"/>
        <w:rPr>
          <w:rFonts w:ascii="Times New Roman" w:hAnsi="Times New Roman" w:cs="Times New Roman"/>
          <w:sz w:val="24"/>
          <w:szCs w:val="24"/>
        </w:rPr>
      </w:pPr>
    </w:p>
    <w:p w14:paraId="319E220D" w14:textId="77777777" w:rsidR="00121089" w:rsidRPr="00EC59FF" w:rsidRDefault="00121089" w:rsidP="00121089">
      <w:pPr>
        <w:jc w:val="center"/>
        <w:rPr>
          <w:rFonts w:ascii="Times New Roman" w:hAnsi="Times New Roman" w:cs="Times New Roman"/>
          <w:b/>
          <w:bCs/>
          <w:sz w:val="24"/>
          <w:szCs w:val="24"/>
        </w:rPr>
      </w:pPr>
      <w:r w:rsidRPr="00EC59FF">
        <w:rPr>
          <w:rFonts w:ascii="Times New Roman" w:hAnsi="Times New Roman" w:cs="Times New Roman"/>
          <w:b/>
          <w:bCs/>
          <w:sz w:val="24"/>
          <w:szCs w:val="24"/>
        </w:rPr>
        <w:t>Table 2. Participation by Delivery Mode</w:t>
      </w:r>
    </w:p>
    <w:tbl>
      <w:tblPr>
        <w:tblStyle w:val="TableGrid"/>
        <w:tblW w:w="9319" w:type="dxa"/>
        <w:tblLook w:val="04A0" w:firstRow="1" w:lastRow="0" w:firstColumn="1" w:lastColumn="0" w:noHBand="0" w:noVBand="1"/>
      </w:tblPr>
      <w:tblGrid>
        <w:gridCol w:w="1704"/>
        <w:gridCol w:w="2477"/>
        <w:gridCol w:w="2238"/>
        <w:gridCol w:w="2900"/>
      </w:tblGrid>
      <w:tr w:rsidR="00B700D5" w:rsidRPr="00B700D5" w14:paraId="09BAEDA1" w14:textId="77777777" w:rsidTr="00E760EB">
        <w:trPr>
          <w:trHeight w:val="742"/>
        </w:trPr>
        <w:tc>
          <w:tcPr>
            <w:tcW w:w="0" w:type="auto"/>
            <w:hideMark/>
          </w:tcPr>
          <w:p w14:paraId="1A8D0A9E"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Delivery mode</w:t>
            </w:r>
          </w:p>
        </w:tc>
        <w:tc>
          <w:tcPr>
            <w:tcW w:w="2477" w:type="dxa"/>
            <w:hideMark/>
          </w:tcPr>
          <w:p w14:paraId="2FDD0439"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No. of programmes</w:t>
            </w:r>
            <w:r>
              <w:rPr>
                <w:rFonts w:ascii="Times New Roman" w:eastAsia="Times New Roman" w:hAnsi="Times New Roman" w:cs="Times New Roman"/>
                <w:b/>
                <w:bCs/>
                <w:kern w:val="0"/>
                <w:sz w:val="24"/>
                <w:szCs w:val="24"/>
                <w:lang w:eastAsia="en-IN"/>
              </w:rPr>
              <w:t xml:space="preserve"> in Horticulture</w:t>
            </w:r>
          </w:p>
        </w:tc>
        <w:tc>
          <w:tcPr>
            <w:tcW w:w="2238" w:type="dxa"/>
            <w:hideMark/>
          </w:tcPr>
          <w:p w14:paraId="4CF7DAB8"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Total participants</w:t>
            </w:r>
          </w:p>
        </w:tc>
        <w:tc>
          <w:tcPr>
            <w:tcW w:w="2900" w:type="dxa"/>
            <w:hideMark/>
          </w:tcPr>
          <w:p w14:paraId="5B8EA0C8"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Average participants / programme</w:t>
            </w:r>
          </w:p>
        </w:tc>
      </w:tr>
      <w:tr w:rsidR="00B700D5" w:rsidRPr="00B700D5" w14:paraId="58DEBBA9" w14:textId="77777777" w:rsidTr="00E760EB">
        <w:trPr>
          <w:trHeight w:val="364"/>
        </w:trPr>
        <w:tc>
          <w:tcPr>
            <w:tcW w:w="0" w:type="auto"/>
            <w:hideMark/>
          </w:tcPr>
          <w:p w14:paraId="633AEC37"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On-campus</w:t>
            </w:r>
          </w:p>
        </w:tc>
        <w:tc>
          <w:tcPr>
            <w:tcW w:w="2477" w:type="dxa"/>
            <w:hideMark/>
          </w:tcPr>
          <w:p w14:paraId="6684D2B2"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95</w:t>
            </w:r>
          </w:p>
        </w:tc>
        <w:tc>
          <w:tcPr>
            <w:tcW w:w="2238" w:type="dxa"/>
            <w:hideMark/>
          </w:tcPr>
          <w:p w14:paraId="1093D2E7"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3,020</w:t>
            </w:r>
          </w:p>
        </w:tc>
        <w:tc>
          <w:tcPr>
            <w:tcW w:w="2900" w:type="dxa"/>
            <w:hideMark/>
          </w:tcPr>
          <w:p w14:paraId="120EB266"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31.8</w:t>
            </w:r>
          </w:p>
        </w:tc>
      </w:tr>
      <w:tr w:rsidR="00B700D5" w:rsidRPr="00B700D5" w14:paraId="0D241E6C" w14:textId="77777777" w:rsidTr="00E760EB">
        <w:trPr>
          <w:trHeight w:val="364"/>
        </w:trPr>
        <w:tc>
          <w:tcPr>
            <w:tcW w:w="0" w:type="auto"/>
            <w:hideMark/>
          </w:tcPr>
          <w:p w14:paraId="73D21C9B"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Off-campus</w:t>
            </w:r>
          </w:p>
        </w:tc>
        <w:tc>
          <w:tcPr>
            <w:tcW w:w="2477" w:type="dxa"/>
            <w:hideMark/>
          </w:tcPr>
          <w:p w14:paraId="5EA05AD2"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206</w:t>
            </w:r>
          </w:p>
        </w:tc>
        <w:tc>
          <w:tcPr>
            <w:tcW w:w="2238" w:type="dxa"/>
            <w:hideMark/>
          </w:tcPr>
          <w:p w14:paraId="48C91583"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8,670</w:t>
            </w:r>
          </w:p>
        </w:tc>
        <w:tc>
          <w:tcPr>
            <w:tcW w:w="2900" w:type="dxa"/>
            <w:hideMark/>
          </w:tcPr>
          <w:p w14:paraId="654B19A8"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42.1</w:t>
            </w:r>
          </w:p>
        </w:tc>
      </w:tr>
    </w:tbl>
    <w:p w14:paraId="3DAFC749" w14:textId="77777777" w:rsidR="00E15AF4" w:rsidRPr="00E15AF4" w:rsidRDefault="00E15AF4" w:rsidP="00E15AF4">
      <w:pPr>
        <w:jc w:val="both"/>
        <w:rPr>
          <w:rFonts w:ascii="Times New Roman" w:hAnsi="Times New Roman" w:cs="Times New Roman"/>
          <w:b/>
          <w:bCs/>
          <w:sz w:val="24"/>
          <w:szCs w:val="24"/>
        </w:rPr>
      </w:pPr>
      <w:r w:rsidRPr="00E15AF4">
        <w:rPr>
          <w:rFonts w:ascii="Times New Roman" w:hAnsi="Times New Roman" w:cs="Times New Roman"/>
          <w:b/>
          <w:bCs/>
          <w:sz w:val="24"/>
          <w:szCs w:val="24"/>
        </w:rPr>
        <w:t>Interpretation:</w:t>
      </w:r>
      <w:r w:rsidRPr="00E15AF4">
        <w:rPr>
          <w:rFonts w:ascii="Times New Roman" w:hAnsi="Times New Roman" w:cs="Times New Roman"/>
          <w:sz w:val="24"/>
          <w:szCs w:val="24"/>
        </w:rPr>
        <w:br/>
      </w:r>
      <w:r w:rsidRPr="00E15AF4">
        <w:rPr>
          <w:rFonts w:ascii="Times New Roman" w:hAnsi="Times New Roman" w:cs="Times New Roman"/>
          <w:b/>
          <w:bCs/>
          <w:sz w:val="24"/>
          <w:szCs w:val="24"/>
        </w:rPr>
        <w:t xml:space="preserve">           Off-campus trainings attracted approximately 32% higher participation density, highlighting the effectiveness of village-level, context-specific extension delivery.</w:t>
      </w:r>
    </w:p>
    <w:p w14:paraId="1B7D2240" w14:textId="77777777" w:rsidR="002F1AF0" w:rsidRPr="008D4EFB" w:rsidRDefault="002F1AF0" w:rsidP="008D4EFB">
      <w:pPr>
        <w:jc w:val="both"/>
        <w:rPr>
          <w:rFonts w:ascii="Times New Roman" w:hAnsi="Times New Roman" w:cs="Times New Roman"/>
          <w:sz w:val="24"/>
          <w:szCs w:val="24"/>
        </w:rPr>
      </w:pPr>
    </w:p>
    <w:p w14:paraId="2A97A5DA" w14:textId="77777777" w:rsidR="00866CFC" w:rsidRDefault="00A87893" w:rsidP="00EC59FF">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50CB13A7" wp14:editId="19BDCF9A">
            <wp:extent cx="4777525" cy="3583144"/>
            <wp:effectExtent l="0" t="0" r="4445" b="0"/>
            <wp:docPr id="1630878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628" cy="3593721"/>
                    </a:xfrm>
                    <a:prstGeom prst="rect">
                      <a:avLst/>
                    </a:prstGeom>
                    <a:noFill/>
                  </pic:spPr>
                </pic:pic>
              </a:graphicData>
            </a:graphic>
          </wp:inline>
        </w:drawing>
      </w:r>
    </w:p>
    <w:p w14:paraId="16C2634E" w14:textId="77777777" w:rsidR="00EC59FF" w:rsidRPr="00EC59FF" w:rsidRDefault="00EC59FF" w:rsidP="00EC59FF">
      <w:pPr>
        <w:jc w:val="center"/>
        <w:rPr>
          <w:rFonts w:ascii="Times New Roman" w:hAnsi="Times New Roman" w:cs="Times New Roman"/>
          <w:b/>
          <w:bCs/>
          <w:sz w:val="24"/>
          <w:szCs w:val="24"/>
        </w:rPr>
      </w:pPr>
      <w:r w:rsidRPr="00EC59FF">
        <w:rPr>
          <w:rFonts w:ascii="Times New Roman" w:hAnsi="Times New Roman" w:cs="Times New Roman"/>
          <w:b/>
          <w:bCs/>
          <w:sz w:val="24"/>
          <w:szCs w:val="24"/>
        </w:rPr>
        <w:t>Figure 2. On-Campus vs Off-Campus Participation</w:t>
      </w:r>
      <w:r>
        <w:rPr>
          <w:rFonts w:ascii="Times New Roman" w:hAnsi="Times New Roman" w:cs="Times New Roman"/>
          <w:b/>
          <w:bCs/>
          <w:sz w:val="24"/>
          <w:szCs w:val="24"/>
        </w:rPr>
        <w:t xml:space="preserve"> </w:t>
      </w:r>
    </w:p>
    <w:p w14:paraId="3A686946" w14:textId="77777777" w:rsidR="00EC59FF" w:rsidRPr="00EC59FF" w:rsidRDefault="00EC59FF" w:rsidP="00EC59FF">
      <w:pPr>
        <w:jc w:val="both"/>
        <w:rPr>
          <w:rFonts w:ascii="Times New Roman" w:hAnsi="Times New Roman" w:cs="Times New Roman"/>
          <w:b/>
          <w:bCs/>
          <w:sz w:val="24"/>
          <w:szCs w:val="24"/>
        </w:rPr>
      </w:pPr>
      <w:r w:rsidRPr="00EC59FF">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sidRPr="00EC59FF">
        <w:rPr>
          <w:rFonts w:ascii="Times New Roman" w:hAnsi="Times New Roman" w:cs="Times New Roman"/>
          <w:b/>
          <w:bCs/>
          <w:sz w:val="24"/>
          <w:szCs w:val="24"/>
        </w:rPr>
        <w:t>Off-campus programmes accounted for nearly three-fourths of total farmer participation, underlining their role in inclusive extension outreach.</w:t>
      </w:r>
    </w:p>
    <w:p w14:paraId="529B7646" w14:textId="77777777"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Thematic distribution of farmer participation</w:t>
      </w:r>
    </w:p>
    <w:p w14:paraId="31153F16" w14:textId="77777777" w:rsidR="00E760EB" w:rsidRPr="00E760EB" w:rsidRDefault="00866CFC" w:rsidP="00E760EB">
      <w:pPr>
        <w:jc w:val="both"/>
        <w:rPr>
          <w:rFonts w:ascii="Times New Roman" w:hAnsi="Times New Roman" w:cs="Times New Roman"/>
          <w:sz w:val="24"/>
          <w:szCs w:val="24"/>
          <w:lang w:val="en-US"/>
        </w:rPr>
      </w:pPr>
      <w:r>
        <w:rPr>
          <w:rFonts w:ascii="Times New Roman" w:hAnsi="Times New Roman" w:cs="Times New Roman"/>
          <w:sz w:val="24"/>
          <w:szCs w:val="24"/>
        </w:rPr>
        <w:t xml:space="preserve">                       Four-year</w:t>
      </w:r>
      <w:r w:rsidR="009B7955">
        <w:rPr>
          <w:rFonts w:ascii="Times New Roman" w:hAnsi="Times New Roman" w:cs="Times New Roman"/>
          <w:sz w:val="24"/>
          <w:szCs w:val="24"/>
        </w:rPr>
        <w:t xml:space="preserve"> data from 2021 to </w:t>
      </w:r>
      <w:r w:rsidR="0006090F">
        <w:rPr>
          <w:rFonts w:ascii="Times New Roman" w:hAnsi="Times New Roman" w:cs="Times New Roman"/>
          <w:sz w:val="24"/>
          <w:szCs w:val="24"/>
        </w:rPr>
        <w:t>2024 regarding</w:t>
      </w:r>
      <w:r w:rsidR="008660E8">
        <w:rPr>
          <w:rFonts w:ascii="Times New Roman" w:hAnsi="Times New Roman" w:cs="Times New Roman"/>
          <w:sz w:val="24"/>
          <w:szCs w:val="24"/>
        </w:rPr>
        <w:t xml:space="preserve"> t</w:t>
      </w:r>
      <w:r w:rsidR="008D4EFB" w:rsidRPr="008D4EFB">
        <w:rPr>
          <w:rFonts w:ascii="Times New Roman" w:hAnsi="Times New Roman" w:cs="Times New Roman"/>
          <w:sz w:val="24"/>
          <w:szCs w:val="24"/>
        </w:rPr>
        <w:t>heme-wise analysis revealed that apple production and HDP systems attracted the highest share of participants, followed by plant protection and climate-resilient practices</w:t>
      </w:r>
      <w:r w:rsidR="008660E8">
        <w:rPr>
          <w:rFonts w:ascii="Times New Roman" w:hAnsi="Times New Roman" w:cs="Times New Roman"/>
          <w:sz w:val="24"/>
          <w:szCs w:val="24"/>
        </w:rPr>
        <w:t xml:space="preserve"> as shown in Table </w:t>
      </w:r>
      <w:r w:rsidR="00740060">
        <w:rPr>
          <w:rFonts w:ascii="Times New Roman" w:hAnsi="Times New Roman" w:cs="Times New Roman"/>
          <w:sz w:val="24"/>
          <w:szCs w:val="24"/>
        </w:rPr>
        <w:t>3</w:t>
      </w:r>
      <w:r w:rsidR="008660E8">
        <w:rPr>
          <w:rFonts w:ascii="Times New Roman" w:hAnsi="Times New Roman" w:cs="Times New Roman"/>
          <w:sz w:val="24"/>
          <w:szCs w:val="24"/>
        </w:rPr>
        <w:t xml:space="preserve"> and Fig </w:t>
      </w:r>
      <w:r w:rsidR="00740060">
        <w:rPr>
          <w:rFonts w:ascii="Times New Roman" w:hAnsi="Times New Roman" w:cs="Times New Roman"/>
          <w:sz w:val="24"/>
          <w:szCs w:val="24"/>
        </w:rPr>
        <w:t>3</w:t>
      </w:r>
      <w:r w:rsidR="008D4EFB" w:rsidRPr="008D4EFB">
        <w:rPr>
          <w:rFonts w:ascii="Times New Roman" w:hAnsi="Times New Roman" w:cs="Times New Roman"/>
          <w:sz w:val="24"/>
          <w:szCs w:val="24"/>
        </w:rPr>
        <w:t xml:space="preserve">. </w:t>
      </w:r>
      <w:r w:rsidR="00AA1CBC" w:rsidRPr="00AA1CBC">
        <w:rPr>
          <w:rFonts w:ascii="Times New Roman" w:hAnsi="Times New Roman" w:cs="Times New Roman"/>
          <w:sz w:val="24"/>
          <w:szCs w:val="24"/>
        </w:rPr>
        <w:t>Horticulture-centric themes, particularly high-density apple plantation and plant protection, dominated farmer participation, reflecting the centrality of apple-based livelihoods in the region.</w:t>
      </w:r>
      <w:r w:rsidR="00AA1CBC">
        <w:rPr>
          <w:rFonts w:ascii="Times New Roman" w:hAnsi="Times New Roman" w:cs="Times New Roman"/>
          <w:sz w:val="24"/>
          <w:szCs w:val="24"/>
        </w:rPr>
        <w:t xml:space="preserve"> </w:t>
      </w:r>
      <w:r w:rsidR="008D4EFB" w:rsidRPr="008D4EFB">
        <w:rPr>
          <w:rFonts w:ascii="Times New Roman" w:hAnsi="Times New Roman" w:cs="Times New Roman"/>
          <w:sz w:val="24"/>
          <w:szCs w:val="24"/>
        </w:rPr>
        <w:t>Increasing participation in climate-responsive trainings reflects heightened farmer awareness of climate-related production risks, a trend consistent with earlier findings (FAO, 2019; Morton and Watson, 2014; Chapke et al., 2019).</w:t>
      </w:r>
      <w:r w:rsidR="00E760EB">
        <w:rPr>
          <w:rFonts w:ascii="Times New Roman" w:hAnsi="Times New Roman" w:cs="Times New Roman"/>
          <w:sz w:val="24"/>
          <w:szCs w:val="24"/>
        </w:rPr>
        <w:t xml:space="preserve"> </w:t>
      </w:r>
      <w:r w:rsidR="00E760EB" w:rsidRPr="00E760EB">
        <w:rPr>
          <w:rFonts w:ascii="Times New Roman" w:hAnsi="Times New Roman" w:cs="Times New Roman"/>
          <w:sz w:val="24"/>
          <w:szCs w:val="24"/>
          <w:lang w:val="en-US"/>
        </w:rPr>
        <w:t xml:space="preserve">The predominance of apple production and </w:t>
      </w:r>
      <w:r w:rsidR="00E760EB" w:rsidRPr="00E760EB">
        <w:rPr>
          <w:rFonts w:ascii="Times New Roman" w:hAnsi="Times New Roman" w:cs="Times New Roman"/>
          <w:sz w:val="24"/>
          <w:szCs w:val="24"/>
          <w:lang w:val="en-US"/>
        </w:rPr>
        <w:lastRenderedPageBreak/>
        <w:t>HDP-related trainings clearly reflects the structural transformation underway in Kashmir’s horticulture sector. The shift toward high-density systems has intensified demand for specialised knowledge related to canopy management, fertigation, rootstock selection and pest surveillance, thereby driv</w:t>
      </w:r>
      <w:r w:rsidR="00E760EB">
        <w:rPr>
          <w:rFonts w:ascii="Times New Roman" w:hAnsi="Times New Roman" w:cs="Times New Roman"/>
          <w:sz w:val="24"/>
          <w:szCs w:val="24"/>
          <w:lang w:val="en-US"/>
        </w:rPr>
        <w:t>ing higher farmer participation.</w:t>
      </w:r>
    </w:p>
    <w:p w14:paraId="1721F8CD" w14:textId="77777777" w:rsidR="008D4EFB" w:rsidRPr="00E760EB" w:rsidRDefault="00E760EB" w:rsidP="008D4EF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760EB">
        <w:rPr>
          <w:rFonts w:ascii="Times New Roman" w:hAnsi="Times New Roman" w:cs="Times New Roman"/>
          <w:sz w:val="24"/>
          <w:szCs w:val="24"/>
          <w:lang w:val="en-US"/>
        </w:rPr>
        <w:t>Growing participation in plant protection and climate-resilient practices indicates increasing farmer sensitivity to emerging biotic stresses and climatic uncertainties. This trend mirrors broader national and global observations that climate risk perception significantly influences farmers’ learning beh</w:t>
      </w:r>
      <w:r>
        <w:rPr>
          <w:rFonts w:ascii="Times New Roman" w:hAnsi="Times New Roman" w:cs="Times New Roman"/>
          <w:sz w:val="24"/>
          <w:szCs w:val="24"/>
          <w:lang w:val="en-US"/>
        </w:rPr>
        <w:t xml:space="preserve">aviour and extension engagement. </w:t>
      </w:r>
      <w:r w:rsidRPr="00E760EB">
        <w:rPr>
          <w:rFonts w:ascii="Times New Roman" w:hAnsi="Times New Roman" w:cs="Times New Roman"/>
          <w:sz w:val="24"/>
          <w:szCs w:val="24"/>
          <w:lang w:val="en-US"/>
        </w:rPr>
        <w:t>Relatively lower participation in allied activities suggests that while diversification remains important, core livelihood risks in apple-based systems continue to dominate farmer priorities.</w:t>
      </w:r>
    </w:p>
    <w:p w14:paraId="0D5280BB" w14:textId="77777777" w:rsidR="009B7955" w:rsidRPr="00866CFC" w:rsidRDefault="00866CFC" w:rsidP="00866CFC">
      <w:pPr>
        <w:jc w:val="center"/>
        <w:rPr>
          <w:rFonts w:ascii="Times New Roman" w:hAnsi="Times New Roman" w:cs="Times New Roman"/>
          <w:b/>
          <w:bCs/>
          <w:sz w:val="24"/>
          <w:szCs w:val="24"/>
        </w:rPr>
      </w:pPr>
      <w:r w:rsidRPr="00866CFC">
        <w:rPr>
          <w:rFonts w:ascii="Times New Roman" w:hAnsi="Times New Roman" w:cs="Times New Roman"/>
          <w:b/>
          <w:bCs/>
          <w:sz w:val="24"/>
          <w:szCs w:val="24"/>
        </w:rPr>
        <w:t>Table 3. Theme-wise Distribution of Trainings and Participation</w:t>
      </w:r>
    </w:p>
    <w:tbl>
      <w:tblPr>
        <w:tblStyle w:val="TableGrid"/>
        <w:tblW w:w="9564" w:type="dxa"/>
        <w:tblLook w:val="04A0" w:firstRow="1" w:lastRow="0" w:firstColumn="1" w:lastColumn="0" w:noHBand="0" w:noVBand="1"/>
      </w:tblPr>
      <w:tblGrid>
        <w:gridCol w:w="3636"/>
        <w:gridCol w:w="3314"/>
        <w:gridCol w:w="2614"/>
      </w:tblGrid>
      <w:tr w:rsidR="0078570F" w:rsidRPr="0078570F" w14:paraId="56A4A037" w14:textId="77777777" w:rsidTr="00E760EB">
        <w:trPr>
          <w:trHeight w:val="330"/>
        </w:trPr>
        <w:tc>
          <w:tcPr>
            <w:tcW w:w="3636" w:type="dxa"/>
            <w:hideMark/>
          </w:tcPr>
          <w:p w14:paraId="31213883" w14:textId="77777777"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 xml:space="preserve">Training </w:t>
            </w:r>
            <w:r w:rsidR="009B7955">
              <w:rPr>
                <w:rFonts w:ascii="Times New Roman" w:eastAsia="Times New Roman" w:hAnsi="Times New Roman" w:cs="Times New Roman"/>
                <w:b/>
                <w:bCs/>
                <w:kern w:val="0"/>
                <w:sz w:val="24"/>
                <w:szCs w:val="24"/>
                <w:lang w:eastAsia="en-IN"/>
              </w:rPr>
              <w:t>T</w:t>
            </w:r>
            <w:r w:rsidRPr="0078570F">
              <w:rPr>
                <w:rFonts w:ascii="Times New Roman" w:eastAsia="Times New Roman" w:hAnsi="Times New Roman" w:cs="Times New Roman"/>
                <w:b/>
                <w:bCs/>
                <w:kern w:val="0"/>
                <w:sz w:val="24"/>
                <w:szCs w:val="24"/>
                <w:lang w:eastAsia="en-IN"/>
              </w:rPr>
              <w:t>heme</w:t>
            </w:r>
          </w:p>
        </w:tc>
        <w:tc>
          <w:tcPr>
            <w:tcW w:w="3314" w:type="dxa"/>
            <w:hideMark/>
          </w:tcPr>
          <w:p w14:paraId="6281C45E" w14:textId="77777777"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Share of trainings (%)</w:t>
            </w:r>
            <w:r>
              <w:rPr>
                <w:rFonts w:ascii="Times New Roman" w:eastAsia="Times New Roman" w:hAnsi="Times New Roman" w:cs="Times New Roman"/>
                <w:b/>
                <w:bCs/>
                <w:kern w:val="0"/>
                <w:sz w:val="24"/>
                <w:szCs w:val="24"/>
                <w:lang w:eastAsia="en-IN"/>
              </w:rPr>
              <w:t xml:space="preserve"> in Horticulture</w:t>
            </w:r>
            <w:r w:rsidR="009B7955">
              <w:rPr>
                <w:rFonts w:ascii="Times New Roman" w:eastAsia="Times New Roman" w:hAnsi="Times New Roman" w:cs="Times New Roman"/>
                <w:b/>
                <w:bCs/>
                <w:kern w:val="0"/>
                <w:sz w:val="24"/>
                <w:szCs w:val="24"/>
                <w:lang w:eastAsia="en-IN"/>
              </w:rPr>
              <w:t xml:space="preserve"> </w:t>
            </w:r>
          </w:p>
        </w:tc>
        <w:tc>
          <w:tcPr>
            <w:tcW w:w="0" w:type="auto"/>
            <w:hideMark/>
          </w:tcPr>
          <w:p w14:paraId="27572EA1" w14:textId="77777777"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Share of participants (%)</w:t>
            </w:r>
          </w:p>
        </w:tc>
      </w:tr>
      <w:tr w:rsidR="0078570F" w:rsidRPr="0078570F" w14:paraId="23252EF2" w14:textId="77777777" w:rsidTr="00E760EB">
        <w:trPr>
          <w:trHeight w:val="318"/>
        </w:trPr>
        <w:tc>
          <w:tcPr>
            <w:tcW w:w="3636" w:type="dxa"/>
            <w:hideMark/>
          </w:tcPr>
          <w:p w14:paraId="04A353FF"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Apple production &amp; HDP systems</w:t>
            </w:r>
          </w:p>
        </w:tc>
        <w:tc>
          <w:tcPr>
            <w:tcW w:w="3314" w:type="dxa"/>
            <w:hideMark/>
          </w:tcPr>
          <w:p w14:paraId="08DA1457"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34</w:t>
            </w:r>
          </w:p>
        </w:tc>
        <w:tc>
          <w:tcPr>
            <w:tcW w:w="0" w:type="auto"/>
            <w:hideMark/>
          </w:tcPr>
          <w:p w14:paraId="314AF1A6"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38</w:t>
            </w:r>
          </w:p>
        </w:tc>
      </w:tr>
      <w:tr w:rsidR="0078570F" w:rsidRPr="0078570F" w14:paraId="63938AB8" w14:textId="77777777" w:rsidTr="00E760EB">
        <w:trPr>
          <w:trHeight w:val="318"/>
        </w:trPr>
        <w:tc>
          <w:tcPr>
            <w:tcW w:w="3636" w:type="dxa"/>
            <w:hideMark/>
          </w:tcPr>
          <w:p w14:paraId="6486B1E2"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Plant protection &amp; pest management</w:t>
            </w:r>
          </w:p>
        </w:tc>
        <w:tc>
          <w:tcPr>
            <w:tcW w:w="3314" w:type="dxa"/>
            <w:hideMark/>
          </w:tcPr>
          <w:p w14:paraId="1E631F3E"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22</w:t>
            </w:r>
          </w:p>
        </w:tc>
        <w:tc>
          <w:tcPr>
            <w:tcW w:w="0" w:type="auto"/>
            <w:hideMark/>
          </w:tcPr>
          <w:p w14:paraId="5BB255D4"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24</w:t>
            </w:r>
          </w:p>
        </w:tc>
      </w:tr>
      <w:tr w:rsidR="0078570F" w:rsidRPr="0078570F" w14:paraId="762AC9FE" w14:textId="77777777" w:rsidTr="00E760EB">
        <w:trPr>
          <w:trHeight w:val="318"/>
        </w:trPr>
        <w:tc>
          <w:tcPr>
            <w:tcW w:w="3636" w:type="dxa"/>
            <w:hideMark/>
          </w:tcPr>
          <w:p w14:paraId="2E3D937B"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Climate-resilient &amp; risk management</w:t>
            </w:r>
          </w:p>
        </w:tc>
        <w:tc>
          <w:tcPr>
            <w:tcW w:w="3314" w:type="dxa"/>
            <w:hideMark/>
          </w:tcPr>
          <w:p w14:paraId="0B4F98F9"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17</w:t>
            </w:r>
          </w:p>
        </w:tc>
        <w:tc>
          <w:tcPr>
            <w:tcW w:w="0" w:type="auto"/>
            <w:hideMark/>
          </w:tcPr>
          <w:p w14:paraId="07AC4048"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18</w:t>
            </w:r>
          </w:p>
        </w:tc>
      </w:tr>
      <w:tr w:rsidR="0078570F" w:rsidRPr="0078570F" w14:paraId="34B687BB" w14:textId="77777777" w:rsidTr="00E760EB">
        <w:trPr>
          <w:trHeight w:val="318"/>
        </w:trPr>
        <w:tc>
          <w:tcPr>
            <w:tcW w:w="3636" w:type="dxa"/>
            <w:hideMark/>
          </w:tcPr>
          <w:p w14:paraId="62940C2F"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Natural farming &amp; soil health</w:t>
            </w:r>
          </w:p>
        </w:tc>
        <w:tc>
          <w:tcPr>
            <w:tcW w:w="3314" w:type="dxa"/>
            <w:hideMark/>
          </w:tcPr>
          <w:p w14:paraId="64A44B1A"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15</w:t>
            </w:r>
          </w:p>
        </w:tc>
        <w:tc>
          <w:tcPr>
            <w:tcW w:w="0" w:type="auto"/>
            <w:hideMark/>
          </w:tcPr>
          <w:p w14:paraId="0DE21118"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13</w:t>
            </w:r>
          </w:p>
        </w:tc>
      </w:tr>
      <w:tr w:rsidR="0078570F" w:rsidRPr="0078570F" w14:paraId="0933941B" w14:textId="77777777" w:rsidTr="00E760EB">
        <w:trPr>
          <w:trHeight w:val="330"/>
        </w:trPr>
        <w:tc>
          <w:tcPr>
            <w:tcW w:w="3636" w:type="dxa"/>
            <w:hideMark/>
          </w:tcPr>
          <w:p w14:paraId="5981EBBF"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Allied activities (beekeeping, etc.)</w:t>
            </w:r>
          </w:p>
        </w:tc>
        <w:tc>
          <w:tcPr>
            <w:tcW w:w="3314" w:type="dxa"/>
            <w:hideMark/>
          </w:tcPr>
          <w:p w14:paraId="683DDDEB"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12</w:t>
            </w:r>
          </w:p>
        </w:tc>
        <w:tc>
          <w:tcPr>
            <w:tcW w:w="0" w:type="auto"/>
            <w:hideMark/>
          </w:tcPr>
          <w:p w14:paraId="287770EA"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7</w:t>
            </w:r>
          </w:p>
        </w:tc>
      </w:tr>
    </w:tbl>
    <w:p w14:paraId="1AC59425" w14:textId="77777777" w:rsidR="0078570F" w:rsidRPr="008D4EFB" w:rsidRDefault="0078570F" w:rsidP="008D4EFB">
      <w:pPr>
        <w:jc w:val="both"/>
        <w:rPr>
          <w:rFonts w:ascii="Times New Roman" w:hAnsi="Times New Roman" w:cs="Times New Roman"/>
          <w:sz w:val="24"/>
          <w:szCs w:val="24"/>
        </w:rPr>
      </w:pPr>
    </w:p>
    <w:p w14:paraId="28D11C18" w14:textId="77777777" w:rsidR="00EB311A" w:rsidRDefault="00EB311A" w:rsidP="008D4EFB">
      <w:pPr>
        <w:jc w:val="both"/>
        <w:rPr>
          <w:rFonts w:ascii="Times New Roman" w:hAnsi="Times New Roman" w:cs="Times New Roman"/>
          <w:b/>
          <w:bCs/>
          <w:sz w:val="24"/>
          <w:szCs w:val="24"/>
        </w:rPr>
      </w:pPr>
      <w:r>
        <w:rPr>
          <w:rFonts w:ascii="Times New Roman" w:hAnsi="Times New Roman" w:cs="Times New Roman"/>
          <w:b/>
          <w:bCs/>
          <w:noProof/>
          <w:sz w:val="24"/>
          <w:szCs w:val="24"/>
          <w:lang w:val="en-US"/>
        </w:rPr>
        <w:drawing>
          <wp:anchor distT="0" distB="0" distL="114300" distR="114300" simplePos="0" relativeHeight="251658240" behindDoc="1" locked="0" layoutInCell="1" allowOverlap="1" wp14:anchorId="21D209EF" wp14:editId="11D3D824">
            <wp:simplePos x="0" y="0"/>
            <wp:positionH relativeFrom="margin">
              <wp:posOffset>1070762</wp:posOffset>
            </wp:positionH>
            <wp:positionV relativeFrom="paragraph">
              <wp:posOffset>340</wp:posOffset>
            </wp:positionV>
            <wp:extent cx="3881907" cy="3722377"/>
            <wp:effectExtent l="0" t="0" r="4445" b="0"/>
            <wp:wrapTight wrapText="bothSides">
              <wp:wrapPolygon edited="0">
                <wp:start x="0" y="0"/>
                <wp:lineTo x="0" y="21445"/>
                <wp:lineTo x="21519" y="21445"/>
                <wp:lineTo x="21519" y="0"/>
                <wp:lineTo x="0" y="0"/>
              </wp:wrapPolygon>
            </wp:wrapTight>
            <wp:docPr id="1211878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1907" cy="3722377"/>
                    </a:xfrm>
                    <a:prstGeom prst="rect">
                      <a:avLst/>
                    </a:prstGeom>
                    <a:noFill/>
                  </pic:spPr>
                </pic:pic>
              </a:graphicData>
            </a:graphic>
          </wp:anchor>
        </w:drawing>
      </w:r>
    </w:p>
    <w:p w14:paraId="792F9796" w14:textId="77777777" w:rsidR="00EB311A" w:rsidRDefault="00EB311A" w:rsidP="008D4EFB">
      <w:pPr>
        <w:jc w:val="both"/>
        <w:rPr>
          <w:rFonts w:ascii="Times New Roman" w:hAnsi="Times New Roman" w:cs="Times New Roman"/>
          <w:b/>
          <w:bCs/>
          <w:sz w:val="24"/>
          <w:szCs w:val="24"/>
        </w:rPr>
      </w:pPr>
    </w:p>
    <w:p w14:paraId="31D751A6" w14:textId="77777777" w:rsidR="00EB311A" w:rsidRDefault="00EB311A" w:rsidP="008D4EFB">
      <w:pPr>
        <w:jc w:val="both"/>
        <w:rPr>
          <w:rFonts w:ascii="Times New Roman" w:hAnsi="Times New Roman" w:cs="Times New Roman"/>
          <w:b/>
          <w:bCs/>
          <w:sz w:val="24"/>
          <w:szCs w:val="24"/>
        </w:rPr>
      </w:pPr>
    </w:p>
    <w:p w14:paraId="2C642665" w14:textId="77777777" w:rsidR="00EB311A" w:rsidRDefault="00EB311A" w:rsidP="008D4EFB">
      <w:pPr>
        <w:jc w:val="both"/>
        <w:rPr>
          <w:rFonts w:ascii="Times New Roman" w:hAnsi="Times New Roman" w:cs="Times New Roman"/>
          <w:b/>
          <w:bCs/>
          <w:sz w:val="24"/>
          <w:szCs w:val="24"/>
        </w:rPr>
      </w:pPr>
    </w:p>
    <w:p w14:paraId="1921C969" w14:textId="77777777" w:rsidR="00EB311A" w:rsidRDefault="00EB311A" w:rsidP="008D4EFB">
      <w:pPr>
        <w:jc w:val="both"/>
        <w:rPr>
          <w:rFonts w:ascii="Times New Roman" w:hAnsi="Times New Roman" w:cs="Times New Roman"/>
          <w:b/>
          <w:bCs/>
          <w:sz w:val="24"/>
          <w:szCs w:val="24"/>
        </w:rPr>
      </w:pPr>
    </w:p>
    <w:p w14:paraId="40387705" w14:textId="77777777" w:rsidR="00EB311A" w:rsidRDefault="00EB311A" w:rsidP="008D4EFB">
      <w:pPr>
        <w:jc w:val="both"/>
        <w:rPr>
          <w:rFonts w:ascii="Times New Roman" w:hAnsi="Times New Roman" w:cs="Times New Roman"/>
          <w:b/>
          <w:bCs/>
          <w:sz w:val="24"/>
          <w:szCs w:val="24"/>
        </w:rPr>
      </w:pPr>
    </w:p>
    <w:p w14:paraId="513AC54B" w14:textId="77777777" w:rsidR="00EB311A" w:rsidRDefault="00EB311A" w:rsidP="008D4EFB">
      <w:pPr>
        <w:jc w:val="both"/>
        <w:rPr>
          <w:rFonts w:ascii="Times New Roman" w:hAnsi="Times New Roman" w:cs="Times New Roman"/>
          <w:b/>
          <w:bCs/>
          <w:sz w:val="24"/>
          <w:szCs w:val="24"/>
        </w:rPr>
      </w:pPr>
    </w:p>
    <w:p w14:paraId="56AFBD37" w14:textId="77777777" w:rsidR="00EB311A" w:rsidRDefault="00EB311A" w:rsidP="008D4EFB">
      <w:pPr>
        <w:jc w:val="both"/>
        <w:rPr>
          <w:rFonts w:ascii="Times New Roman" w:hAnsi="Times New Roman" w:cs="Times New Roman"/>
          <w:b/>
          <w:bCs/>
          <w:sz w:val="24"/>
          <w:szCs w:val="24"/>
        </w:rPr>
      </w:pPr>
    </w:p>
    <w:p w14:paraId="2EFAC132" w14:textId="77777777" w:rsidR="00EB311A" w:rsidRDefault="00EB311A" w:rsidP="008D4EFB">
      <w:pPr>
        <w:jc w:val="both"/>
        <w:rPr>
          <w:rFonts w:ascii="Times New Roman" w:hAnsi="Times New Roman" w:cs="Times New Roman"/>
          <w:b/>
          <w:bCs/>
          <w:sz w:val="24"/>
          <w:szCs w:val="24"/>
        </w:rPr>
      </w:pPr>
    </w:p>
    <w:p w14:paraId="64D26950" w14:textId="77777777" w:rsidR="00EB311A" w:rsidRDefault="00EB311A" w:rsidP="008D4EFB">
      <w:pPr>
        <w:jc w:val="both"/>
        <w:rPr>
          <w:rFonts w:ascii="Times New Roman" w:hAnsi="Times New Roman" w:cs="Times New Roman"/>
          <w:b/>
          <w:bCs/>
          <w:sz w:val="24"/>
          <w:szCs w:val="24"/>
        </w:rPr>
      </w:pPr>
    </w:p>
    <w:p w14:paraId="771F0D35" w14:textId="77777777" w:rsidR="00EB311A" w:rsidRDefault="00EB311A" w:rsidP="008D4EFB">
      <w:pPr>
        <w:jc w:val="both"/>
        <w:rPr>
          <w:rFonts w:ascii="Times New Roman" w:hAnsi="Times New Roman" w:cs="Times New Roman"/>
          <w:b/>
          <w:bCs/>
          <w:sz w:val="24"/>
          <w:szCs w:val="24"/>
        </w:rPr>
      </w:pPr>
    </w:p>
    <w:p w14:paraId="7D4AA0B6" w14:textId="77777777" w:rsidR="00EB311A" w:rsidRDefault="00EB311A" w:rsidP="008D4EFB">
      <w:pPr>
        <w:jc w:val="both"/>
        <w:rPr>
          <w:rFonts w:ascii="Times New Roman" w:hAnsi="Times New Roman" w:cs="Times New Roman"/>
          <w:b/>
          <w:bCs/>
          <w:sz w:val="24"/>
          <w:szCs w:val="24"/>
        </w:rPr>
      </w:pPr>
    </w:p>
    <w:p w14:paraId="33046D10" w14:textId="77777777" w:rsidR="00EB311A" w:rsidRDefault="00EB311A" w:rsidP="008D4EFB">
      <w:pPr>
        <w:jc w:val="both"/>
        <w:rPr>
          <w:rFonts w:ascii="Times New Roman" w:hAnsi="Times New Roman" w:cs="Times New Roman"/>
          <w:b/>
          <w:bCs/>
          <w:sz w:val="24"/>
          <w:szCs w:val="24"/>
        </w:rPr>
      </w:pPr>
    </w:p>
    <w:p w14:paraId="4BD8DDE5" w14:textId="77777777" w:rsidR="00EA6466" w:rsidRDefault="00EA6466" w:rsidP="00EA6466">
      <w:pPr>
        <w:jc w:val="center"/>
        <w:rPr>
          <w:rFonts w:ascii="Segoe UI Emoji" w:hAnsi="Segoe UI Emoji" w:cs="Segoe UI Emoji"/>
          <w:b/>
          <w:bCs/>
          <w:sz w:val="24"/>
          <w:szCs w:val="24"/>
        </w:rPr>
      </w:pPr>
      <w:r w:rsidRPr="00EA6466">
        <w:rPr>
          <w:rFonts w:ascii="Times New Roman" w:hAnsi="Times New Roman" w:cs="Times New Roman"/>
          <w:b/>
          <w:bCs/>
          <w:sz w:val="24"/>
          <w:szCs w:val="24"/>
        </w:rPr>
        <w:t>Figure 3. Theme-wise Farmer Participation</w:t>
      </w:r>
    </w:p>
    <w:p w14:paraId="59C58749" w14:textId="77777777" w:rsidR="00EB311A" w:rsidRDefault="00EA6466" w:rsidP="008D4EFB">
      <w:pPr>
        <w:jc w:val="both"/>
        <w:rPr>
          <w:rFonts w:ascii="Times New Roman" w:hAnsi="Times New Roman" w:cs="Times New Roman"/>
          <w:b/>
          <w:bCs/>
          <w:sz w:val="24"/>
          <w:szCs w:val="24"/>
        </w:rPr>
      </w:pPr>
      <w:r w:rsidRPr="00EA6466">
        <w:rPr>
          <w:rFonts w:ascii="Times New Roman" w:hAnsi="Times New Roman" w:cs="Times New Roman"/>
          <w:b/>
          <w:bCs/>
          <w:sz w:val="24"/>
          <w:szCs w:val="24"/>
        </w:rPr>
        <w:lastRenderedPageBreak/>
        <w:t>Description:</w:t>
      </w:r>
      <w:r>
        <w:rPr>
          <w:rFonts w:ascii="Times New Roman" w:hAnsi="Times New Roman" w:cs="Times New Roman"/>
          <w:b/>
          <w:bCs/>
          <w:sz w:val="24"/>
          <w:szCs w:val="24"/>
        </w:rPr>
        <w:t xml:space="preserve"> </w:t>
      </w:r>
      <w:r w:rsidRPr="00EA6466">
        <w:rPr>
          <w:rFonts w:ascii="Times New Roman" w:hAnsi="Times New Roman" w:cs="Times New Roman"/>
          <w:b/>
          <w:bCs/>
          <w:sz w:val="24"/>
          <w:szCs w:val="24"/>
        </w:rPr>
        <w:t>The figure illustrates farmer preference for production- and risk-management-oriented trainings, with a noticeable rise in climate-responsive themes in recent years.</w:t>
      </w:r>
    </w:p>
    <w:p w14:paraId="072EDD0F" w14:textId="77777777" w:rsidR="00343A7C" w:rsidRPr="008D4EFB" w:rsidRDefault="00572188" w:rsidP="00A839E3">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Higher participation in off-campus programmes supports the argument for participatory and demand-led extension approaches (Rivera and Sulaiman, 2009; Sulaiman et al., 2005). Participation patterns observed in the present study function as revealed-preference indicators, providing insights into farmer priorities without requiring resource-intensive adoption surveys (Rogers, 2003; Birner et al., 2009).</w:t>
      </w:r>
      <w:r>
        <w:rPr>
          <w:rFonts w:ascii="Times New Roman" w:hAnsi="Times New Roman" w:cs="Times New Roman"/>
          <w:sz w:val="24"/>
          <w:szCs w:val="24"/>
        </w:rPr>
        <w:t xml:space="preserve"> </w:t>
      </w:r>
      <w:r w:rsidR="008D4EFB" w:rsidRPr="008D4EFB">
        <w:rPr>
          <w:rFonts w:ascii="Times New Roman" w:hAnsi="Times New Roman" w:cs="Times New Roman"/>
          <w:sz w:val="24"/>
          <w:szCs w:val="24"/>
        </w:rPr>
        <w:t>The dominance of horticulture-centric themes reflects the central role of apple-based livelihoods in the study area, while increasing interest in climate-resilient practices indicates evolving farmer perceptions of environmental risk (Swanson, 2011; FAO, 2021). Comparable results have been reported in earlier KVK performance assessments across different agro-ecological regions (Kumar et al., 2019; Singh et al., 2016; Meena et al., 2017).</w:t>
      </w:r>
    </w:p>
    <w:p w14:paraId="2BE343DE"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Conclusion and Policy Implications</w:t>
      </w:r>
    </w:p>
    <w:p w14:paraId="48AF7710" w14:textId="77777777" w:rsidR="008D4EFB" w:rsidRPr="008D4EFB" w:rsidRDefault="00A839E3"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The study demonstrates that farmer participation data, routinely recorded by KVKs, can be effectively utilised as a scientific indicator of extension demand and relevance. Participation-based analytics provide a low-cost, scalable and policy-relevant approach for evaluating extension programmes (World Bank, 2012; Davis and Heemskerk, 2012).</w:t>
      </w:r>
      <w:r w:rsidR="00344FEA" w:rsidRPr="00344FEA">
        <w:t xml:space="preserve"> </w:t>
      </w:r>
      <w:r w:rsidR="00344FEA">
        <w:rPr>
          <w:rFonts w:ascii="Times New Roman" w:hAnsi="Times New Roman" w:cs="Times New Roman"/>
          <w:sz w:val="24"/>
          <w:szCs w:val="24"/>
        </w:rPr>
        <w:t>T</w:t>
      </w:r>
      <w:r w:rsidR="00344FEA" w:rsidRPr="00344FEA">
        <w:rPr>
          <w:rFonts w:ascii="Times New Roman" w:hAnsi="Times New Roman" w:cs="Times New Roman"/>
          <w:sz w:val="24"/>
          <w:szCs w:val="24"/>
        </w:rPr>
        <w:t>he importance of balancing programme duration with methodological diversity to enhance capacity building in horticulture-based farming systems</w:t>
      </w:r>
      <w:r w:rsidR="00344FEA">
        <w:rPr>
          <w:rFonts w:ascii="Times New Roman" w:hAnsi="Times New Roman" w:cs="Times New Roman"/>
          <w:sz w:val="24"/>
          <w:szCs w:val="24"/>
        </w:rPr>
        <w:t xml:space="preserve"> plays a very crucial role in effective extension communication</w:t>
      </w:r>
      <w:r w:rsidR="00344FEA" w:rsidRPr="00344FEA">
        <w:rPr>
          <w:rFonts w:ascii="Times New Roman" w:hAnsi="Times New Roman" w:cs="Times New Roman"/>
          <w:sz w:val="24"/>
          <w:szCs w:val="24"/>
        </w:rPr>
        <w:t>. Such an approach can strengthen farmer preparedness, support technology adoption, and contribute to climate-resilient and sustai</w:t>
      </w:r>
      <w:r w:rsidR="00344FEA">
        <w:rPr>
          <w:rFonts w:ascii="Times New Roman" w:hAnsi="Times New Roman" w:cs="Times New Roman"/>
          <w:sz w:val="24"/>
          <w:szCs w:val="24"/>
        </w:rPr>
        <w:t>nable horticultural development (SN Kirmani et. al, 2026)</w:t>
      </w:r>
    </w:p>
    <w:p w14:paraId="0E776B5F" w14:textId="77777777"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b/>
          <w:bCs/>
          <w:sz w:val="24"/>
          <w:szCs w:val="24"/>
        </w:rPr>
        <w:t>Policy implications include:</w:t>
      </w:r>
    </w:p>
    <w:p w14:paraId="165EC4BA"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Institutionalising participation analysis as a routine component of KVK planning and evaluation (ICAR, 2020; Singh and Meena, 2020).</w:t>
      </w:r>
    </w:p>
    <w:p w14:paraId="4CADC34D"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Prioritising off-campus, village-level trainings to enhance outreach and inclusiveness (Burman et al., 2013).</w:t>
      </w:r>
    </w:p>
    <w:p w14:paraId="412A2F7F"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Aligning training portfolios with emerging farmer concerns such as climate variability and orchard intensification (FAO, 2021; Swanson, 2011).</w:t>
      </w:r>
    </w:p>
    <w:p w14:paraId="0A6D02C4"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Shifting extension performance assessment from activity-based reporting to evidence-based, farmer-responsive programming (World Bank, 2012; Singh et al., 2021).</w:t>
      </w:r>
    </w:p>
    <w:p w14:paraId="130FD4B3" w14:textId="740F646E" w:rsid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Adoption of such data-driven frameworks can significantly strengthen the effectiveness and impact orientation of India’s agricultural extension system.</w:t>
      </w:r>
    </w:p>
    <w:p w14:paraId="25E8AB83" w14:textId="77777777" w:rsidR="00D13816" w:rsidRPr="00CA3906" w:rsidRDefault="00D13816" w:rsidP="00D13816">
      <w:pPr>
        <w:rPr>
          <w:b/>
          <w:highlight w:val="yellow"/>
        </w:rPr>
      </w:pPr>
      <w:r w:rsidRPr="00CA3906">
        <w:rPr>
          <w:b/>
          <w:highlight w:val="yellow"/>
        </w:rPr>
        <w:t>Disclaimer (Artificial intelligence)</w:t>
      </w:r>
    </w:p>
    <w:p w14:paraId="6A088D3E" w14:textId="77777777" w:rsidR="00D13816" w:rsidRPr="00740879" w:rsidRDefault="00D13816" w:rsidP="00D1381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D8CD290" w14:textId="77777777" w:rsidR="00D13816" w:rsidRDefault="00D13816" w:rsidP="008D4EFB">
      <w:pPr>
        <w:jc w:val="both"/>
        <w:rPr>
          <w:rFonts w:ascii="Times New Roman" w:hAnsi="Times New Roman" w:cs="Times New Roman"/>
          <w:sz w:val="24"/>
          <w:szCs w:val="24"/>
        </w:rPr>
      </w:pPr>
    </w:p>
    <w:p w14:paraId="615F930B" w14:textId="5CA098E7" w:rsidR="004B72AF" w:rsidRPr="004B72AF" w:rsidRDefault="004B72AF" w:rsidP="004B72AF">
      <w:pPr>
        <w:jc w:val="both"/>
        <w:rPr>
          <w:rFonts w:ascii="Times New Roman" w:hAnsi="Times New Roman" w:cs="Times New Roman"/>
          <w:b/>
          <w:bCs/>
          <w:sz w:val="24"/>
          <w:szCs w:val="24"/>
        </w:rPr>
      </w:pPr>
      <w:r w:rsidRPr="004B72AF">
        <w:rPr>
          <w:rFonts w:ascii="Times New Roman" w:hAnsi="Times New Roman" w:cs="Times New Roman"/>
          <w:b/>
          <w:bCs/>
          <w:sz w:val="24"/>
          <w:szCs w:val="24"/>
        </w:rPr>
        <w:t xml:space="preserve">References </w:t>
      </w:r>
    </w:p>
    <w:p w14:paraId="2A98F9CB" w14:textId="51939A34" w:rsidR="008D4B4D" w:rsidRPr="004B72AF" w:rsidRDefault="005105BC" w:rsidP="004B72AF">
      <w:pPr>
        <w:numPr>
          <w:ilvl w:val="0"/>
          <w:numId w:val="5"/>
        </w:numPr>
        <w:jc w:val="both"/>
        <w:rPr>
          <w:rFonts w:ascii="Times New Roman" w:hAnsi="Times New Roman" w:cs="Times New Roman"/>
          <w:sz w:val="24"/>
          <w:szCs w:val="24"/>
        </w:rPr>
      </w:pPr>
      <w:r w:rsidRPr="005105BC">
        <w:rPr>
          <w:rFonts w:ascii="Times New Roman" w:hAnsi="Times New Roman" w:cs="Times New Roman"/>
          <w:sz w:val="24"/>
          <w:szCs w:val="24"/>
          <w:highlight w:val="yellow"/>
        </w:rPr>
        <w:lastRenderedPageBreak/>
        <w:t>Mungai, L. M., Messina, J. P., Zulu, L. C., Chikowo, R., &amp; Snapp, S. S. (2024). The role of agricultural extension services in promoting agricultural sustainability: a Central Malawi case study. </w:t>
      </w:r>
      <w:r w:rsidRPr="005105BC">
        <w:rPr>
          <w:rFonts w:ascii="Times New Roman" w:hAnsi="Times New Roman" w:cs="Times New Roman"/>
          <w:i/>
          <w:iCs/>
          <w:sz w:val="24"/>
          <w:szCs w:val="24"/>
          <w:highlight w:val="yellow"/>
        </w:rPr>
        <w:t>Cogent Food &amp; Agriculture</w:t>
      </w:r>
      <w:r w:rsidRPr="005105BC">
        <w:rPr>
          <w:rFonts w:ascii="Times New Roman" w:hAnsi="Times New Roman" w:cs="Times New Roman"/>
          <w:sz w:val="24"/>
          <w:szCs w:val="24"/>
          <w:highlight w:val="yellow"/>
        </w:rPr>
        <w:t>, </w:t>
      </w:r>
      <w:r w:rsidRPr="005105BC">
        <w:rPr>
          <w:rFonts w:ascii="Times New Roman" w:hAnsi="Times New Roman" w:cs="Times New Roman"/>
          <w:i/>
          <w:iCs/>
          <w:sz w:val="24"/>
          <w:szCs w:val="24"/>
          <w:highlight w:val="yellow"/>
        </w:rPr>
        <w:t>10</w:t>
      </w:r>
      <w:r w:rsidRPr="005105BC">
        <w:rPr>
          <w:rFonts w:ascii="Times New Roman" w:hAnsi="Times New Roman" w:cs="Times New Roman"/>
          <w:sz w:val="24"/>
          <w:szCs w:val="24"/>
          <w:highlight w:val="yellow"/>
        </w:rPr>
        <w:t>(1), 2423249.</w:t>
      </w:r>
    </w:p>
    <w:p w14:paraId="49B3B0B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Aker, J.C. (2011). Dial “A” for agriculture: Using ICTs for agricultural extension. </w:t>
      </w:r>
      <w:r w:rsidRPr="004B72AF">
        <w:rPr>
          <w:rFonts w:ascii="Times New Roman" w:hAnsi="Times New Roman" w:cs="Times New Roman"/>
          <w:i/>
          <w:iCs/>
          <w:sz w:val="24"/>
          <w:szCs w:val="24"/>
        </w:rPr>
        <w:t>Agricultural Economics</w:t>
      </w:r>
      <w:r w:rsidRPr="004B72AF">
        <w:rPr>
          <w:rFonts w:ascii="Times New Roman" w:hAnsi="Times New Roman" w:cs="Times New Roman"/>
          <w:sz w:val="24"/>
          <w:szCs w:val="24"/>
        </w:rPr>
        <w:t>, 42: 631–647.</w:t>
      </w:r>
    </w:p>
    <w:p w14:paraId="0D8E6F3D"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Anderson, J.R. and Feder, G. (2007). Agricultural extension. </w:t>
      </w:r>
      <w:r w:rsidRPr="004B72AF">
        <w:rPr>
          <w:rFonts w:ascii="Times New Roman" w:hAnsi="Times New Roman" w:cs="Times New Roman"/>
          <w:i/>
          <w:iCs/>
          <w:sz w:val="24"/>
          <w:szCs w:val="24"/>
        </w:rPr>
        <w:t>Handbook of Agricultural Economics</w:t>
      </w:r>
      <w:r w:rsidRPr="004B72AF">
        <w:rPr>
          <w:rFonts w:ascii="Times New Roman" w:hAnsi="Times New Roman" w:cs="Times New Roman"/>
          <w:sz w:val="24"/>
          <w:szCs w:val="24"/>
        </w:rPr>
        <w:t>, 3: 2343–2378.</w:t>
      </w:r>
    </w:p>
    <w:p w14:paraId="2C4E3115" w14:textId="77777777" w:rsidR="008D4B4D"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Birner, R. et al. (2009). Extension advisory services framework. </w:t>
      </w:r>
      <w:r w:rsidRPr="004B72AF">
        <w:rPr>
          <w:rFonts w:ascii="Times New Roman" w:hAnsi="Times New Roman" w:cs="Times New Roman"/>
          <w:i/>
          <w:iCs/>
          <w:sz w:val="24"/>
          <w:szCs w:val="24"/>
        </w:rPr>
        <w:t>Agricultural Economics</w:t>
      </w:r>
      <w:r w:rsidRPr="004B72AF">
        <w:rPr>
          <w:rFonts w:ascii="Times New Roman" w:hAnsi="Times New Roman" w:cs="Times New Roman"/>
          <w:sz w:val="24"/>
          <w:szCs w:val="24"/>
        </w:rPr>
        <w:t>, 40: 341–352.</w:t>
      </w:r>
    </w:p>
    <w:p w14:paraId="4EBDB5C4" w14:textId="77777777" w:rsidR="008D4B4D" w:rsidRPr="004B72AF" w:rsidRDefault="008D4B4D" w:rsidP="004B72AF">
      <w:pPr>
        <w:numPr>
          <w:ilvl w:val="0"/>
          <w:numId w:val="5"/>
        </w:numPr>
        <w:jc w:val="both"/>
        <w:rPr>
          <w:rFonts w:ascii="Times New Roman" w:hAnsi="Times New Roman" w:cs="Times New Roman"/>
          <w:sz w:val="24"/>
          <w:szCs w:val="24"/>
        </w:rPr>
      </w:pPr>
      <w:r w:rsidRPr="008D4B4D">
        <w:rPr>
          <w:rFonts w:ascii="Times New Roman" w:hAnsi="Times New Roman" w:cs="Times New Roman"/>
          <w:sz w:val="24"/>
          <w:szCs w:val="24"/>
        </w:rPr>
        <w:t xml:space="preserve">Birner, R., Davis, K., Pender, J., et al. 2020. </w:t>
      </w:r>
      <w:r w:rsidRPr="008D4B4D">
        <w:rPr>
          <w:rFonts w:ascii="Times New Roman" w:hAnsi="Times New Roman" w:cs="Times New Roman"/>
          <w:b/>
          <w:bCs/>
          <w:sz w:val="24"/>
          <w:szCs w:val="24"/>
        </w:rPr>
        <w:t>From best practice to best fit: A framework for agricultural advisory services.</w:t>
      </w:r>
      <w:r w:rsidRPr="008D4B4D">
        <w:rPr>
          <w:rFonts w:ascii="Times New Roman" w:hAnsi="Times New Roman" w:cs="Times New Roman"/>
          <w:sz w:val="24"/>
          <w:szCs w:val="24"/>
        </w:rPr>
        <w:t xml:space="preserve"> </w:t>
      </w:r>
      <w:r w:rsidRPr="008D4B4D">
        <w:rPr>
          <w:rFonts w:ascii="Times New Roman" w:hAnsi="Times New Roman" w:cs="Times New Roman"/>
          <w:i/>
          <w:iCs/>
          <w:sz w:val="24"/>
          <w:szCs w:val="24"/>
        </w:rPr>
        <w:t>Agricultural Systems</w:t>
      </w:r>
      <w:r w:rsidRPr="008D4B4D">
        <w:rPr>
          <w:rFonts w:ascii="Times New Roman" w:hAnsi="Times New Roman" w:cs="Times New Roman"/>
          <w:sz w:val="24"/>
          <w:szCs w:val="24"/>
        </w:rPr>
        <w:t>, 173: 102–110.</w:t>
      </w:r>
    </w:p>
    <w:p w14:paraId="5EF2F07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Burman, R.R., Singh, S.K. and Dubey, S.K. (2013). Farmer-led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49(3&amp;4): 1–8.</w:t>
      </w:r>
    </w:p>
    <w:p w14:paraId="28FF5A3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Chapke, R.R. et al. (2019). Extension approaches for climate resilience. </w:t>
      </w:r>
      <w:r w:rsidRPr="004B72AF">
        <w:rPr>
          <w:rFonts w:ascii="Times New Roman" w:hAnsi="Times New Roman" w:cs="Times New Roman"/>
          <w:i/>
          <w:iCs/>
          <w:sz w:val="24"/>
          <w:szCs w:val="24"/>
        </w:rPr>
        <w:t>Agricultural Extension Review</w:t>
      </w:r>
      <w:r w:rsidRPr="004B72AF">
        <w:rPr>
          <w:rFonts w:ascii="Times New Roman" w:hAnsi="Times New Roman" w:cs="Times New Roman"/>
          <w:sz w:val="24"/>
          <w:szCs w:val="24"/>
        </w:rPr>
        <w:t>, 31(3): 1–7.</w:t>
      </w:r>
    </w:p>
    <w:p w14:paraId="67350C81"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Chapke, R.R., Singh, R. and Burman, R.R. (2017). Participatory extension approaches. </w:t>
      </w:r>
      <w:r w:rsidRPr="004B72AF">
        <w:rPr>
          <w:rFonts w:ascii="Times New Roman" w:hAnsi="Times New Roman" w:cs="Times New Roman"/>
          <w:i/>
          <w:iCs/>
          <w:sz w:val="24"/>
          <w:szCs w:val="24"/>
        </w:rPr>
        <w:t>Indian Research Journal of Extension Education</w:t>
      </w:r>
      <w:r w:rsidRPr="004B72AF">
        <w:rPr>
          <w:rFonts w:ascii="Times New Roman" w:hAnsi="Times New Roman" w:cs="Times New Roman"/>
          <w:sz w:val="24"/>
          <w:szCs w:val="24"/>
        </w:rPr>
        <w:t>, 17(1): 1–7.</w:t>
      </w:r>
    </w:p>
    <w:p w14:paraId="792D9BD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Chauhan, J.K., Singh, S.N. and Burman, R.R. (2016). Knowledge dissemination through KVKs. </w:t>
      </w:r>
      <w:r w:rsidRPr="004B72AF">
        <w:rPr>
          <w:rFonts w:ascii="Times New Roman" w:hAnsi="Times New Roman" w:cs="Times New Roman"/>
          <w:i/>
          <w:iCs/>
          <w:sz w:val="24"/>
          <w:szCs w:val="24"/>
        </w:rPr>
        <w:t>Indian Research Journal of Extension Education</w:t>
      </w:r>
      <w:r w:rsidRPr="004B72AF">
        <w:rPr>
          <w:rFonts w:ascii="Times New Roman" w:hAnsi="Times New Roman" w:cs="Times New Roman"/>
          <w:sz w:val="24"/>
          <w:szCs w:val="24"/>
        </w:rPr>
        <w:t>, 16(2): 1–6.</w:t>
      </w:r>
    </w:p>
    <w:p w14:paraId="65C12F7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Davis, K. (2008). Extension in sub-Saharan Africa. </w:t>
      </w:r>
      <w:r w:rsidRPr="004B72AF">
        <w:rPr>
          <w:rFonts w:ascii="Times New Roman" w:hAnsi="Times New Roman" w:cs="Times New Roman"/>
          <w:i/>
          <w:iCs/>
          <w:sz w:val="24"/>
          <w:szCs w:val="24"/>
        </w:rPr>
        <w:t>Journal of International Agricultural and Extension Education</w:t>
      </w:r>
      <w:r w:rsidRPr="004B72AF">
        <w:rPr>
          <w:rFonts w:ascii="Times New Roman" w:hAnsi="Times New Roman" w:cs="Times New Roman"/>
          <w:sz w:val="24"/>
          <w:szCs w:val="24"/>
        </w:rPr>
        <w:t>, 15: 15–28.</w:t>
      </w:r>
    </w:p>
    <w:p w14:paraId="3F46113D"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Davis, K. and Heemskerk, W. (2012). Investment in extension services. </w:t>
      </w:r>
      <w:r w:rsidRPr="004B72AF">
        <w:rPr>
          <w:rFonts w:ascii="Times New Roman" w:hAnsi="Times New Roman" w:cs="Times New Roman"/>
          <w:i/>
          <w:iCs/>
          <w:sz w:val="24"/>
          <w:szCs w:val="24"/>
        </w:rPr>
        <w:t>World Development</w:t>
      </w:r>
      <w:r w:rsidRPr="004B72AF">
        <w:rPr>
          <w:rFonts w:ascii="Times New Roman" w:hAnsi="Times New Roman" w:cs="Times New Roman"/>
          <w:sz w:val="24"/>
          <w:szCs w:val="24"/>
        </w:rPr>
        <w:t>, 40: 158–169.</w:t>
      </w:r>
    </w:p>
    <w:p w14:paraId="7E102F6B"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(2017). </w:t>
      </w:r>
      <w:r w:rsidRPr="004B72AF">
        <w:rPr>
          <w:rFonts w:ascii="Times New Roman" w:hAnsi="Times New Roman" w:cs="Times New Roman"/>
          <w:i/>
          <w:iCs/>
          <w:sz w:val="24"/>
          <w:szCs w:val="24"/>
        </w:rPr>
        <w:t>Agricultural Extension Manual</w:t>
      </w:r>
      <w:r w:rsidRPr="004B72AF">
        <w:rPr>
          <w:rFonts w:ascii="Times New Roman" w:hAnsi="Times New Roman" w:cs="Times New Roman"/>
          <w:sz w:val="24"/>
          <w:szCs w:val="24"/>
        </w:rPr>
        <w:t>. FAO, Rome.</w:t>
      </w:r>
    </w:p>
    <w:p w14:paraId="4DF8090B"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(2019). </w:t>
      </w:r>
      <w:r w:rsidRPr="004B72AF">
        <w:rPr>
          <w:rFonts w:ascii="Times New Roman" w:hAnsi="Times New Roman" w:cs="Times New Roman"/>
          <w:i/>
          <w:iCs/>
          <w:sz w:val="24"/>
          <w:szCs w:val="24"/>
        </w:rPr>
        <w:t>Farmer-centred Extension Systems</w:t>
      </w:r>
      <w:r w:rsidRPr="004B72AF">
        <w:rPr>
          <w:rFonts w:ascii="Times New Roman" w:hAnsi="Times New Roman" w:cs="Times New Roman"/>
          <w:sz w:val="24"/>
          <w:szCs w:val="24"/>
        </w:rPr>
        <w:t>. Food and Agriculture Organization, Rome.</w:t>
      </w:r>
    </w:p>
    <w:p w14:paraId="3F7FB78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(2021). </w:t>
      </w:r>
      <w:r w:rsidRPr="004B72AF">
        <w:rPr>
          <w:rFonts w:ascii="Times New Roman" w:hAnsi="Times New Roman" w:cs="Times New Roman"/>
          <w:i/>
          <w:iCs/>
          <w:sz w:val="24"/>
          <w:szCs w:val="24"/>
        </w:rPr>
        <w:t>Climate-smart Agriculture Sourcebook</w:t>
      </w:r>
      <w:r w:rsidRPr="004B72AF">
        <w:rPr>
          <w:rFonts w:ascii="Times New Roman" w:hAnsi="Times New Roman" w:cs="Times New Roman"/>
          <w:sz w:val="24"/>
          <w:szCs w:val="24"/>
        </w:rPr>
        <w:t>. FAO, Rome.</w:t>
      </w:r>
    </w:p>
    <w:p w14:paraId="21AF6E7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Feder, G., Willett, A. and Zijp, W. (2001). Agricultural extension: Generic challenges. </w:t>
      </w:r>
      <w:r w:rsidRPr="004B72AF">
        <w:rPr>
          <w:rFonts w:ascii="Times New Roman" w:hAnsi="Times New Roman" w:cs="Times New Roman"/>
          <w:i/>
          <w:iCs/>
          <w:sz w:val="24"/>
          <w:szCs w:val="24"/>
        </w:rPr>
        <w:t>World Bank Research Observer</w:t>
      </w:r>
      <w:r w:rsidRPr="004B72AF">
        <w:rPr>
          <w:rFonts w:ascii="Times New Roman" w:hAnsi="Times New Roman" w:cs="Times New Roman"/>
          <w:sz w:val="24"/>
          <w:szCs w:val="24"/>
        </w:rPr>
        <w:t>, 16: 173–193.</w:t>
      </w:r>
    </w:p>
    <w:p w14:paraId="622C765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Glendenning, C.J., Babu, S. and Asenso-Okyere, K. (2010). Review of extension systems. </w:t>
      </w:r>
      <w:r w:rsidRPr="004B72AF">
        <w:rPr>
          <w:rFonts w:ascii="Times New Roman" w:hAnsi="Times New Roman" w:cs="Times New Roman"/>
          <w:i/>
          <w:iCs/>
          <w:sz w:val="24"/>
          <w:szCs w:val="24"/>
        </w:rPr>
        <w:t>IFPRI Discussion Paper</w:t>
      </w:r>
      <w:r w:rsidRPr="004B72AF">
        <w:rPr>
          <w:rFonts w:ascii="Times New Roman" w:hAnsi="Times New Roman" w:cs="Times New Roman"/>
          <w:sz w:val="24"/>
          <w:szCs w:val="24"/>
        </w:rPr>
        <w:t>.</w:t>
      </w:r>
    </w:p>
    <w:p w14:paraId="5EC57FB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(2014). </w:t>
      </w:r>
      <w:r w:rsidRPr="004B72AF">
        <w:rPr>
          <w:rFonts w:ascii="Times New Roman" w:hAnsi="Times New Roman" w:cs="Times New Roman"/>
          <w:i/>
          <w:iCs/>
          <w:sz w:val="24"/>
          <w:szCs w:val="24"/>
        </w:rPr>
        <w:t>Manual for Krishi Vigyan Kendras</w:t>
      </w:r>
      <w:r w:rsidRPr="004B72AF">
        <w:rPr>
          <w:rFonts w:ascii="Times New Roman" w:hAnsi="Times New Roman" w:cs="Times New Roman"/>
          <w:sz w:val="24"/>
          <w:szCs w:val="24"/>
        </w:rPr>
        <w:t>. Indian Council of Agricultural Research, New Delhi.</w:t>
      </w:r>
    </w:p>
    <w:p w14:paraId="59C05BBA"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(2020). </w:t>
      </w:r>
      <w:r w:rsidRPr="004B72AF">
        <w:rPr>
          <w:rFonts w:ascii="Times New Roman" w:hAnsi="Times New Roman" w:cs="Times New Roman"/>
          <w:i/>
          <w:iCs/>
          <w:sz w:val="24"/>
          <w:szCs w:val="24"/>
        </w:rPr>
        <w:t>Operational Guidelines for Krishi Vigyan Kendras</w:t>
      </w:r>
      <w:r w:rsidRPr="004B72AF">
        <w:rPr>
          <w:rFonts w:ascii="Times New Roman" w:hAnsi="Times New Roman" w:cs="Times New Roman"/>
          <w:sz w:val="24"/>
          <w:szCs w:val="24"/>
        </w:rPr>
        <w:t>. ICAR, New Delhi.</w:t>
      </w:r>
    </w:p>
    <w:p w14:paraId="438BD1C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(2021–2024). </w:t>
      </w:r>
      <w:r w:rsidRPr="004B72AF">
        <w:rPr>
          <w:rFonts w:ascii="Times New Roman" w:hAnsi="Times New Roman" w:cs="Times New Roman"/>
          <w:i/>
          <w:iCs/>
          <w:sz w:val="24"/>
          <w:szCs w:val="24"/>
        </w:rPr>
        <w:t>Annual Reports</w:t>
      </w:r>
      <w:r w:rsidRPr="004B72AF">
        <w:rPr>
          <w:rFonts w:ascii="Times New Roman" w:hAnsi="Times New Roman" w:cs="Times New Roman"/>
          <w:sz w:val="24"/>
          <w:szCs w:val="24"/>
        </w:rPr>
        <w:t>. Indian Council of Agricultural Research, New Delhi.</w:t>
      </w:r>
    </w:p>
    <w:p w14:paraId="65FB85A6" w14:textId="77777777" w:rsidR="008D4B4D"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ICAR–ATARI (2022). </w:t>
      </w:r>
      <w:r w:rsidRPr="004B72AF">
        <w:rPr>
          <w:rFonts w:ascii="Times New Roman" w:hAnsi="Times New Roman" w:cs="Times New Roman"/>
          <w:i/>
          <w:iCs/>
          <w:sz w:val="24"/>
          <w:szCs w:val="24"/>
        </w:rPr>
        <w:t>Performance Assessment of Krishi Vigyan Kendras</w:t>
      </w:r>
      <w:r w:rsidRPr="004B72AF">
        <w:rPr>
          <w:rFonts w:ascii="Times New Roman" w:hAnsi="Times New Roman" w:cs="Times New Roman"/>
          <w:sz w:val="24"/>
          <w:szCs w:val="24"/>
        </w:rPr>
        <w:t>. ICAR–ATARI, New Delhi.</w:t>
      </w:r>
    </w:p>
    <w:p w14:paraId="7D4320A5" w14:textId="77777777" w:rsidR="008D4B4D" w:rsidRDefault="008D4B4D" w:rsidP="004B72AF">
      <w:pPr>
        <w:numPr>
          <w:ilvl w:val="0"/>
          <w:numId w:val="5"/>
        </w:numPr>
        <w:jc w:val="both"/>
        <w:rPr>
          <w:rFonts w:ascii="Times New Roman" w:hAnsi="Times New Roman" w:cs="Times New Roman"/>
          <w:sz w:val="24"/>
          <w:szCs w:val="24"/>
        </w:rPr>
      </w:pPr>
      <w:r w:rsidRPr="00CF5244">
        <w:rPr>
          <w:rFonts w:ascii="Times New Roman" w:hAnsi="Times New Roman" w:cs="Times New Roman"/>
          <w:sz w:val="24"/>
          <w:szCs w:val="24"/>
        </w:rPr>
        <w:t>Kirmani SN, Sheikh SA, Shah RA, Maqbool A. 2026. Evolving extension priorities in a temperate horticulture system: Four-year trend analysis of Krishi Vigyan Kendra programmes. Res. Jr. Agril. Sci. 17(1): 61-65.</w:t>
      </w:r>
    </w:p>
    <w:p w14:paraId="1348570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Kumar, P., Singh, R. and Meena, M.S. (2019). Assessing performance of Krishi Vigyan Kendras.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55(3): 1–6.</w:t>
      </w:r>
    </w:p>
    <w:p w14:paraId="593E549E"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Kumar, S., Singh, R. and Patel, A. (2018). Role of extension in horticulture. </w:t>
      </w:r>
      <w:r w:rsidRPr="004B72AF">
        <w:rPr>
          <w:rFonts w:ascii="Times New Roman" w:hAnsi="Times New Roman" w:cs="Times New Roman"/>
          <w:i/>
          <w:iCs/>
          <w:sz w:val="24"/>
          <w:szCs w:val="24"/>
        </w:rPr>
        <w:t>Indian Journal of Agricultural Sciences</w:t>
      </w:r>
      <w:r w:rsidRPr="004B72AF">
        <w:rPr>
          <w:rFonts w:ascii="Times New Roman" w:hAnsi="Times New Roman" w:cs="Times New Roman"/>
          <w:sz w:val="24"/>
          <w:szCs w:val="24"/>
        </w:rPr>
        <w:t>, 88(6): 1–7.</w:t>
      </w:r>
    </w:p>
    <w:p w14:paraId="4741256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H.R., Patel, B.M. and Singh, K.M. (2015). Extension effectiveness indicators.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51(1&amp;2): 1–6.</w:t>
      </w:r>
    </w:p>
    <w:p w14:paraId="294427B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and Malik, B.S. (2009). Constraints in technology adoption.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45(1&amp;2): 1–5.</w:t>
      </w:r>
    </w:p>
    <w:p w14:paraId="36B3C49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and Singh, K.M. (2014). Farmer participation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50(3&amp;4): 1–7.</w:t>
      </w:r>
    </w:p>
    <w:p w14:paraId="298A728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Burman, R.R. and Singh, S.K. (2017). Participatory monitoring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53(3): 1–8.</w:t>
      </w:r>
    </w:p>
    <w:p w14:paraId="3F59A24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Lakshmi, T. and Singh, K.M. (2016). Effectiveness of extension approaches.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52(1&amp;2): 1–7.</w:t>
      </w:r>
    </w:p>
    <w:p w14:paraId="6CB35ED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Singh, R. and Burman, R.R. (2022). Participatory extension analytics.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58(2): 1–9.</w:t>
      </w:r>
    </w:p>
    <w:p w14:paraId="3849A71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Morton, J.F. (2007). Climate change impacts on agriculture. </w:t>
      </w:r>
      <w:r w:rsidRPr="004B72AF">
        <w:rPr>
          <w:rFonts w:ascii="Times New Roman" w:hAnsi="Times New Roman" w:cs="Times New Roman"/>
          <w:i/>
          <w:iCs/>
          <w:sz w:val="24"/>
          <w:szCs w:val="24"/>
        </w:rPr>
        <w:t>Agricultural Systems</w:t>
      </w:r>
      <w:r w:rsidRPr="004B72AF">
        <w:rPr>
          <w:rFonts w:ascii="Times New Roman" w:hAnsi="Times New Roman" w:cs="Times New Roman"/>
          <w:sz w:val="24"/>
          <w:szCs w:val="24"/>
        </w:rPr>
        <w:t>, 93: 196–210.</w:t>
      </w:r>
    </w:p>
    <w:p w14:paraId="7C9CAAB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Morton, J.F. and Watson, R.T. (2014). Climate risk management. </w:t>
      </w:r>
      <w:r w:rsidRPr="004B72AF">
        <w:rPr>
          <w:rFonts w:ascii="Times New Roman" w:hAnsi="Times New Roman" w:cs="Times New Roman"/>
          <w:i/>
          <w:iCs/>
          <w:sz w:val="24"/>
          <w:szCs w:val="24"/>
        </w:rPr>
        <w:t>Global Environmental Change</w:t>
      </w:r>
      <w:r w:rsidRPr="004B72AF">
        <w:rPr>
          <w:rFonts w:ascii="Times New Roman" w:hAnsi="Times New Roman" w:cs="Times New Roman"/>
          <w:sz w:val="24"/>
          <w:szCs w:val="24"/>
        </w:rPr>
        <w:t>, 25: 1–10.</w:t>
      </w:r>
    </w:p>
    <w:p w14:paraId="214E54F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Nain, M.S., Singh, R. and Mishra, J.R. (2015). Extension communication strategies. </w:t>
      </w:r>
      <w:r w:rsidRPr="004B72AF">
        <w:rPr>
          <w:rFonts w:ascii="Times New Roman" w:hAnsi="Times New Roman" w:cs="Times New Roman"/>
          <w:i/>
          <w:iCs/>
          <w:sz w:val="24"/>
          <w:szCs w:val="24"/>
        </w:rPr>
        <w:t>Journal of Agricultural Extension Management</w:t>
      </w:r>
      <w:r w:rsidRPr="004B72AF">
        <w:rPr>
          <w:rFonts w:ascii="Times New Roman" w:hAnsi="Times New Roman" w:cs="Times New Roman"/>
          <w:sz w:val="24"/>
          <w:szCs w:val="24"/>
        </w:rPr>
        <w:t>, 16(1): 1–10.</w:t>
      </w:r>
    </w:p>
    <w:p w14:paraId="551E9F4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Oakley, P. and Marsden, D. (1984). </w:t>
      </w:r>
      <w:r w:rsidRPr="004B72AF">
        <w:rPr>
          <w:rFonts w:ascii="Times New Roman" w:hAnsi="Times New Roman" w:cs="Times New Roman"/>
          <w:i/>
          <w:iCs/>
          <w:sz w:val="24"/>
          <w:szCs w:val="24"/>
        </w:rPr>
        <w:t>Approaches to Participation in Rural Development</w:t>
      </w:r>
      <w:r w:rsidRPr="004B72AF">
        <w:rPr>
          <w:rFonts w:ascii="Times New Roman" w:hAnsi="Times New Roman" w:cs="Times New Roman"/>
          <w:sz w:val="24"/>
          <w:szCs w:val="24"/>
        </w:rPr>
        <w:t>. ILO, Geneva.</w:t>
      </w:r>
    </w:p>
    <w:p w14:paraId="12D28526"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Patel, A., Kumar, U. and Joshi, P.K. (2019). Adoption behaviour of farmers. </w:t>
      </w:r>
      <w:r w:rsidRPr="004B72AF">
        <w:rPr>
          <w:rFonts w:ascii="Times New Roman" w:hAnsi="Times New Roman" w:cs="Times New Roman"/>
          <w:i/>
          <w:iCs/>
          <w:sz w:val="24"/>
          <w:szCs w:val="24"/>
        </w:rPr>
        <w:t>Agricultural Economics Research Review</w:t>
      </w:r>
      <w:r w:rsidRPr="004B72AF">
        <w:rPr>
          <w:rFonts w:ascii="Times New Roman" w:hAnsi="Times New Roman" w:cs="Times New Roman"/>
          <w:sz w:val="24"/>
          <w:szCs w:val="24"/>
        </w:rPr>
        <w:t>, 32: 1–12.</w:t>
      </w:r>
    </w:p>
    <w:p w14:paraId="314AC86A"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Rivera, W.M. (2011). Extension reforms revisited.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17: 23–38.</w:t>
      </w:r>
    </w:p>
    <w:p w14:paraId="1CF75A8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Rivera, W.M. and Sulaiman, R.V. (2009). Extension reform worldwide.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15: 101–115.</w:t>
      </w:r>
    </w:p>
    <w:p w14:paraId="5858ECF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Rogers, E.M. (2003). </w:t>
      </w:r>
      <w:r w:rsidRPr="004B72AF">
        <w:rPr>
          <w:rFonts w:ascii="Times New Roman" w:hAnsi="Times New Roman" w:cs="Times New Roman"/>
          <w:i/>
          <w:iCs/>
          <w:sz w:val="24"/>
          <w:szCs w:val="24"/>
        </w:rPr>
        <w:t>Diffusion of Innovations</w:t>
      </w:r>
      <w:r w:rsidRPr="004B72AF">
        <w:rPr>
          <w:rFonts w:ascii="Times New Roman" w:hAnsi="Times New Roman" w:cs="Times New Roman"/>
          <w:sz w:val="24"/>
          <w:szCs w:val="24"/>
        </w:rPr>
        <w:t>. 5th edn. Free Press, New York.</w:t>
      </w:r>
    </w:p>
    <w:p w14:paraId="6686DC13" w14:textId="77777777" w:rsidR="008D4B4D" w:rsidRDefault="008D4B4D" w:rsidP="004B72AF">
      <w:pPr>
        <w:numPr>
          <w:ilvl w:val="0"/>
          <w:numId w:val="5"/>
        </w:numPr>
        <w:jc w:val="both"/>
        <w:rPr>
          <w:rFonts w:ascii="Times New Roman" w:hAnsi="Times New Roman" w:cs="Times New Roman"/>
          <w:sz w:val="24"/>
          <w:szCs w:val="24"/>
        </w:rPr>
      </w:pPr>
      <w:r w:rsidRPr="00344FEA">
        <w:rPr>
          <w:rFonts w:ascii="Times New Roman" w:hAnsi="Times New Roman" w:cs="Times New Roman"/>
          <w:sz w:val="24"/>
          <w:szCs w:val="24"/>
        </w:rPr>
        <w:lastRenderedPageBreak/>
        <w:t>S.N. Kirmani, Kounser Javeed, Neeraj, Anjali Gairola and Atiya Maqbool (2026). Training Intensity and Extension Method Mix as Indicators of Capacity Building in Krishi Vigyan Kendras. Biological Forum, 18(1): 35-38.</w:t>
      </w:r>
    </w:p>
    <w:p w14:paraId="5EB5AEC6" w14:textId="77777777" w:rsidR="008D4B4D" w:rsidRPr="00DF0347" w:rsidRDefault="008D4B4D" w:rsidP="004B72AF">
      <w:pPr>
        <w:numPr>
          <w:ilvl w:val="0"/>
          <w:numId w:val="5"/>
        </w:numPr>
        <w:jc w:val="both"/>
        <w:rPr>
          <w:rFonts w:ascii="Times New Roman" w:hAnsi="Times New Roman" w:cs="Times New Roman"/>
          <w:sz w:val="24"/>
          <w:szCs w:val="24"/>
        </w:rPr>
      </w:pPr>
      <w:r w:rsidRPr="008D4B4D">
        <w:rPr>
          <w:rFonts w:ascii="Times New Roman" w:hAnsi="Times New Roman" w:cs="Times New Roman"/>
          <w:sz w:val="24"/>
          <w:szCs w:val="24"/>
        </w:rPr>
        <w:t xml:space="preserve">Sharma, V., Kumar, S. &amp; Singh, R. 2021. </w:t>
      </w:r>
      <w:r w:rsidRPr="008D4B4D">
        <w:rPr>
          <w:rFonts w:ascii="Times New Roman" w:hAnsi="Times New Roman" w:cs="Times New Roman"/>
          <w:b/>
          <w:bCs/>
          <w:sz w:val="24"/>
          <w:szCs w:val="24"/>
        </w:rPr>
        <w:t>High-density apple plantation systems in India: Opportunities and challenges.</w:t>
      </w:r>
      <w:r w:rsidRPr="008D4B4D">
        <w:rPr>
          <w:rFonts w:ascii="Times New Roman" w:hAnsi="Times New Roman" w:cs="Times New Roman"/>
          <w:sz w:val="24"/>
          <w:szCs w:val="24"/>
        </w:rPr>
        <w:t xml:space="preserve"> </w:t>
      </w:r>
      <w:r w:rsidRPr="008D4B4D">
        <w:rPr>
          <w:rFonts w:ascii="Times New Roman" w:hAnsi="Times New Roman" w:cs="Times New Roman"/>
          <w:i/>
          <w:iCs/>
          <w:sz w:val="24"/>
          <w:szCs w:val="24"/>
        </w:rPr>
        <w:t>Indian Journal of Horticulture</w:t>
      </w:r>
      <w:r w:rsidRPr="008D4B4D">
        <w:rPr>
          <w:rFonts w:ascii="Times New Roman" w:hAnsi="Times New Roman" w:cs="Times New Roman"/>
          <w:sz w:val="24"/>
          <w:szCs w:val="24"/>
        </w:rPr>
        <w:t>, 78(3): 345–352.</w:t>
      </w:r>
    </w:p>
    <w:p w14:paraId="7AFED504"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K.M. and Meena, M.S. (2020). Evidence-based extension planning.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56(4): 1–8.</w:t>
      </w:r>
    </w:p>
    <w:p w14:paraId="1D3EFAA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K.M., Meena, M.S. and Swanson, B.E. (2013). Extension reforms in India. </w:t>
      </w:r>
      <w:r w:rsidRPr="004B72AF">
        <w:rPr>
          <w:rFonts w:ascii="Times New Roman" w:hAnsi="Times New Roman" w:cs="Times New Roman"/>
          <w:i/>
          <w:iCs/>
          <w:sz w:val="24"/>
          <w:szCs w:val="24"/>
        </w:rPr>
        <w:t>Journal of Agricultural Extension Management</w:t>
      </w:r>
      <w:r w:rsidRPr="004B72AF">
        <w:rPr>
          <w:rFonts w:ascii="Times New Roman" w:hAnsi="Times New Roman" w:cs="Times New Roman"/>
          <w:sz w:val="24"/>
          <w:szCs w:val="24"/>
        </w:rPr>
        <w:t>, 14(2): 1–12.</w:t>
      </w:r>
    </w:p>
    <w:p w14:paraId="1422D0C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P., Burman, R.R. and Meena, M.S. (2020). Demand-led extension approaches. </w:t>
      </w:r>
      <w:r w:rsidRPr="004B72AF">
        <w:rPr>
          <w:rFonts w:ascii="Times New Roman" w:hAnsi="Times New Roman" w:cs="Times New Roman"/>
          <w:i/>
          <w:iCs/>
          <w:sz w:val="24"/>
          <w:szCs w:val="24"/>
        </w:rPr>
        <w:t>Agricultural Extension Review</w:t>
      </w:r>
      <w:r w:rsidRPr="004B72AF">
        <w:rPr>
          <w:rFonts w:ascii="Times New Roman" w:hAnsi="Times New Roman" w:cs="Times New Roman"/>
          <w:sz w:val="24"/>
          <w:szCs w:val="24"/>
        </w:rPr>
        <w:t>, 32(2): 7–14.</w:t>
      </w:r>
    </w:p>
    <w:p w14:paraId="16B042A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Kumar, P. and Meena, M.S. (2021). Extension performance indicators. </w:t>
      </w:r>
      <w:r w:rsidRPr="004B72AF">
        <w:rPr>
          <w:rFonts w:ascii="Times New Roman" w:hAnsi="Times New Roman" w:cs="Times New Roman"/>
          <w:i/>
          <w:iCs/>
          <w:sz w:val="24"/>
          <w:szCs w:val="24"/>
        </w:rPr>
        <w:t>Journal of Extension Education</w:t>
      </w:r>
      <w:r w:rsidRPr="004B72AF">
        <w:rPr>
          <w:rFonts w:ascii="Times New Roman" w:hAnsi="Times New Roman" w:cs="Times New Roman"/>
          <w:sz w:val="24"/>
          <w:szCs w:val="24"/>
        </w:rPr>
        <w:t>, 33(1): 1–9.</w:t>
      </w:r>
    </w:p>
    <w:p w14:paraId="02F9CAC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Meena, M.S. and Burman, R.R. (2016). Monitoring extension effectiveness.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52(3&amp;4): 1–8.</w:t>
      </w:r>
    </w:p>
    <w:p w14:paraId="43E4DA0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Meena, M.S. and Singh, A.K. (2018). Impact of KVK trainings.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54(4): 1–9.</w:t>
      </w:r>
    </w:p>
    <w:p w14:paraId="3D8E39E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S.K. and Burman, R.R. (2014). Knowledge management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50(1&amp;2): 1–6.</w:t>
      </w:r>
    </w:p>
    <w:p w14:paraId="14505C9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Sulaiman, R.V. and Davis, K. (2012). Extension system pluralism.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18: 1–16.</w:t>
      </w:r>
    </w:p>
    <w:p w14:paraId="69FBCDA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Sulaiman, R.V., Hall, A. and Suresh, N. (2005). Capacity development in extension. </w:t>
      </w:r>
      <w:r w:rsidRPr="004B72AF">
        <w:rPr>
          <w:rFonts w:ascii="Times New Roman" w:hAnsi="Times New Roman" w:cs="Times New Roman"/>
          <w:i/>
          <w:iCs/>
          <w:sz w:val="24"/>
          <w:szCs w:val="24"/>
        </w:rPr>
        <w:t>AgREN Network Paper</w:t>
      </w:r>
      <w:r w:rsidRPr="004B72AF">
        <w:rPr>
          <w:rFonts w:ascii="Times New Roman" w:hAnsi="Times New Roman" w:cs="Times New Roman"/>
          <w:sz w:val="24"/>
          <w:szCs w:val="24"/>
        </w:rPr>
        <w:t>.</w:t>
      </w:r>
    </w:p>
    <w:p w14:paraId="7C0CD16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Suvedi, M., Ghimire, R. and Kaplowitz, M. (2017). Extension program evaluation. </w:t>
      </w:r>
      <w:r w:rsidRPr="004B72AF">
        <w:rPr>
          <w:rFonts w:ascii="Times New Roman" w:hAnsi="Times New Roman" w:cs="Times New Roman"/>
          <w:i/>
          <w:iCs/>
          <w:sz w:val="24"/>
          <w:szCs w:val="24"/>
        </w:rPr>
        <w:t>Journal of Extension</w:t>
      </w:r>
      <w:r w:rsidRPr="004B72AF">
        <w:rPr>
          <w:rFonts w:ascii="Times New Roman" w:hAnsi="Times New Roman" w:cs="Times New Roman"/>
          <w:sz w:val="24"/>
          <w:szCs w:val="24"/>
        </w:rPr>
        <w:t>, 55(3).</w:t>
      </w:r>
    </w:p>
    <w:p w14:paraId="12CB8CC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(2006). Extension strategies for poverty alleviation.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12: 1–14.</w:t>
      </w:r>
    </w:p>
    <w:p w14:paraId="25E3A4A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(2011). Extension strategies for climate adaptation.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17: 1–15.</w:t>
      </w:r>
    </w:p>
    <w:p w14:paraId="29305AA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and Rajalahti, R. (2010). </w:t>
      </w:r>
      <w:r w:rsidRPr="004B72AF">
        <w:rPr>
          <w:rFonts w:ascii="Times New Roman" w:hAnsi="Times New Roman" w:cs="Times New Roman"/>
          <w:i/>
          <w:iCs/>
          <w:sz w:val="24"/>
          <w:szCs w:val="24"/>
        </w:rPr>
        <w:t>Strengthening Agricultural Extension and Advisory Systems</w:t>
      </w:r>
      <w:r w:rsidRPr="004B72AF">
        <w:rPr>
          <w:rFonts w:ascii="Times New Roman" w:hAnsi="Times New Roman" w:cs="Times New Roman"/>
          <w:sz w:val="24"/>
          <w:szCs w:val="24"/>
        </w:rPr>
        <w:t>. World Bank, Washington DC.</w:t>
      </w:r>
    </w:p>
    <w:p w14:paraId="3F12BD84"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World Bank (2012). </w:t>
      </w:r>
      <w:r w:rsidRPr="004B72AF">
        <w:rPr>
          <w:rFonts w:ascii="Times New Roman" w:hAnsi="Times New Roman" w:cs="Times New Roman"/>
          <w:i/>
          <w:iCs/>
          <w:sz w:val="24"/>
          <w:szCs w:val="24"/>
        </w:rPr>
        <w:t>Agricultural Innovation Systems</w:t>
      </w:r>
      <w:r w:rsidRPr="004B72AF">
        <w:rPr>
          <w:rFonts w:ascii="Times New Roman" w:hAnsi="Times New Roman" w:cs="Times New Roman"/>
          <w:sz w:val="24"/>
          <w:szCs w:val="24"/>
        </w:rPr>
        <w:t>. World Bank, Washington DC.</w:t>
      </w:r>
    </w:p>
    <w:p w14:paraId="4CFD4CAA"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World Bank (2017). </w:t>
      </w:r>
      <w:r w:rsidRPr="004B72AF">
        <w:rPr>
          <w:rFonts w:ascii="Times New Roman" w:hAnsi="Times New Roman" w:cs="Times New Roman"/>
          <w:i/>
          <w:iCs/>
          <w:sz w:val="24"/>
          <w:szCs w:val="24"/>
        </w:rPr>
        <w:t>ICT in Agriculture</w:t>
      </w:r>
      <w:r w:rsidRPr="004B72AF">
        <w:rPr>
          <w:rFonts w:ascii="Times New Roman" w:hAnsi="Times New Roman" w:cs="Times New Roman"/>
          <w:sz w:val="24"/>
          <w:szCs w:val="24"/>
        </w:rPr>
        <w:t>. World Bank, Washington DC.</w:t>
      </w:r>
    </w:p>
    <w:sectPr w:rsidR="008D4B4D" w:rsidRPr="004B72AF" w:rsidSect="00350E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244B7" w14:textId="77777777" w:rsidR="003759BC" w:rsidRDefault="003759BC" w:rsidP="00F448F1">
      <w:pPr>
        <w:spacing w:after="0" w:line="240" w:lineRule="auto"/>
      </w:pPr>
      <w:r>
        <w:separator/>
      </w:r>
    </w:p>
  </w:endnote>
  <w:endnote w:type="continuationSeparator" w:id="0">
    <w:p w14:paraId="1DF288D3" w14:textId="77777777" w:rsidR="003759BC" w:rsidRDefault="003759BC" w:rsidP="00F4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FF01" w14:textId="77777777" w:rsidR="00F448F1" w:rsidRDefault="00F448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F6ED" w14:textId="77777777" w:rsidR="00F448F1" w:rsidRDefault="00F448F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68F2" w14:textId="77777777" w:rsidR="00F448F1" w:rsidRDefault="00F448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49450" w14:textId="77777777" w:rsidR="003759BC" w:rsidRDefault="003759BC" w:rsidP="00F448F1">
      <w:pPr>
        <w:spacing w:after="0" w:line="240" w:lineRule="auto"/>
      </w:pPr>
      <w:r>
        <w:separator/>
      </w:r>
    </w:p>
  </w:footnote>
  <w:footnote w:type="continuationSeparator" w:id="0">
    <w:p w14:paraId="51B41C37" w14:textId="77777777" w:rsidR="003759BC" w:rsidRDefault="003759BC" w:rsidP="00F44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9AB7A" w14:textId="2826E9F1" w:rsidR="00F448F1" w:rsidRDefault="003759BC">
    <w:pPr>
      <w:pStyle w:val="Header"/>
    </w:pPr>
    <w:r>
      <w:rPr>
        <w:noProof/>
      </w:rPr>
      <w:pict w14:anchorId="6801C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2ACA" w14:textId="7A5714FC" w:rsidR="00F448F1" w:rsidRDefault="003759BC">
    <w:pPr>
      <w:pStyle w:val="Header"/>
    </w:pPr>
    <w:r>
      <w:rPr>
        <w:noProof/>
      </w:rPr>
      <w:pict w14:anchorId="781FE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E265" w14:textId="12845AE6" w:rsidR="00F448F1" w:rsidRDefault="003759BC">
    <w:pPr>
      <w:pStyle w:val="Header"/>
    </w:pPr>
    <w:r>
      <w:rPr>
        <w:noProof/>
      </w:rPr>
      <w:pict w14:anchorId="0F38D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2D6"/>
    <w:multiLevelType w:val="multilevel"/>
    <w:tmpl w:val="FBCA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E3B7B"/>
    <w:multiLevelType w:val="multilevel"/>
    <w:tmpl w:val="30EE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1734B"/>
    <w:multiLevelType w:val="hybridMultilevel"/>
    <w:tmpl w:val="5BFAE5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650D13"/>
    <w:multiLevelType w:val="multilevel"/>
    <w:tmpl w:val="6F4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77144"/>
    <w:multiLevelType w:val="multilevel"/>
    <w:tmpl w:val="2AE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41315"/>
    <w:multiLevelType w:val="multilevel"/>
    <w:tmpl w:val="7EE6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33CC"/>
    <w:rsid w:val="00011396"/>
    <w:rsid w:val="0006090F"/>
    <w:rsid w:val="00082B50"/>
    <w:rsid w:val="00090E7C"/>
    <w:rsid w:val="00121089"/>
    <w:rsid w:val="00235443"/>
    <w:rsid w:val="00246438"/>
    <w:rsid w:val="00247A88"/>
    <w:rsid w:val="002F1AF0"/>
    <w:rsid w:val="00343A7C"/>
    <w:rsid w:val="00344FEA"/>
    <w:rsid w:val="00350E1C"/>
    <w:rsid w:val="003759BC"/>
    <w:rsid w:val="003809F0"/>
    <w:rsid w:val="003C50B7"/>
    <w:rsid w:val="004119E4"/>
    <w:rsid w:val="00450448"/>
    <w:rsid w:val="004573AD"/>
    <w:rsid w:val="00474610"/>
    <w:rsid w:val="004B72AF"/>
    <w:rsid w:val="004B7A32"/>
    <w:rsid w:val="004F7C66"/>
    <w:rsid w:val="005105BC"/>
    <w:rsid w:val="00572188"/>
    <w:rsid w:val="005E310D"/>
    <w:rsid w:val="006060D2"/>
    <w:rsid w:val="006229E1"/>
    <w:rsid w:val="00640CF9"/>
    <w:rsid w:val="006507ED"/>
    <w:rsid w:val="00663121"/>
    <w:rsid w:val="00686663"/>
    <w:rsid w:val="00686BB4"/>
    <w:rsid w:val="00687FE3"/>
    <w:rsid w:val="006B01A7"/>
    <w:rsid w:val="006C6A42"/>
    <w:rsid w:val="00703E46"/>
    <w:rsid w:val="00723065"/>
    <w:rsid w:val="00740060"/>
    <w:rsid w:val="007633CC"/>
    <w:rsid w:val="0078570F"/>
    <w:rsid w:val="007D0896"/>
    <w:rsid w:val="007F1BB6"/>
    <w:rsid w:val="008660E8"/>
    <w:rsid w:val="00866CFC"/>
    <w:rsid w:val="008D4B4D"/>
    <w:rsid w:val="008D4EFB"/>
    <w:rsid w:val="009356AF"/>
    <w:rsid w:val="009B7955"/>
    <w:rsid w:val="009E2F3B"/>
    <w:rsid w:val="00A839E3"/>
    <w:rsid w:val="00A87893"/>
    <w:rsid w:val="00AA1CBC"/>
    <w:rsid w:val="00B22928"/>
    <w:rsid w:val="00B700D5"/>
    <w:rsid w:val="00C57DF7"/>
    <w:rsid w:val="00C61593"/>
    <w:rsid w:val="00CF5244"/>
    <w:rsid w:val="00D13816"/>
    <w:rsid w:val="00DB2BF6"/>
    <w:rsid w:val="00DF0347"/>
    <w:rsid w:val="00E016EB"/>
    <w:rsid w:val="00E15AF4"/>
    <w:rsid w:val="00E760EB"/>
    <w:rsid w:val="00EA565C"/>
    <w:rsid w:val="00EA6466"/>
    <w:rsid w:val="00EB311A"/>
    <w:rsid w:val="00EC59FF"/>
    <w:rsid w:val="00ED375E"/>
    <w:rsid w:val="00F16D06"/>
    <w:rsid w:val="00F31D88"/>
    <w:rsid w:val="00F448F1"/>
    <w:rsid w:val="00F5401A"/>
    <w:rsid w:val="00FF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034A0"/>
  <w15:docId w15:val="{58A42958-1C0A-4E75-A7B3-DC81FFCB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E1C"/>
  </w:style>
  <w:style w:type="paragraph" w:styleId="Heading1">
    <w:name w:val="heading 1"/>
    <w:basedOn w:val="Normal"/>
    <w:next w:val="Normal"/>
    <w:link w:val="Heading1Char"/>
    <w:uiPriority w:val="9"/>
    <w:qFormat/>
    <w:rsid w:val="00763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3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3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3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3CC"/>
    <w:rPr>
      <w:rFonts w:eastAsiaTheme="majorEastAsia" w:cstheme="majorBidi"/>
      <w:color w:val="272727" w:themeColor="text1" w:themeTint="D8"/>
    </w:rPr>
  </w:style>
  <w:style w:type="paragraph" w:styleId="Title">
    <w:name w:val="Title"/>
    <w:basedOn w:val="Normal"/>
    <w:next w:val="Normal"/>
    <w:link w:val="TitleChar"/>
    <w:uiPriority w:val="10"/>
    <w:qFormat/>
    <w:rsid w:val="00763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3CC"/>
    <w:pPr>
      <w:spacing w:before="160"/>
      <w:jc w:val="center"/>
    </w:pPr>
    <w:rPr>
      <w:i/>
      <w:iCs/>
      <w:color w:val="404040" w:themeColor="text1" w:themeTint="BF"/>
    </w:rPr>
  </w:style>
  <w:style w:type="character" w:customStyle="1" w:styleId="QuoteChar">
    <w:name w:val="Quote Char"/>
    <w:basedOn w:val="DefaultParagraphFont"/>
    <w:link w:val="Quote"/>
    <w:uiPriority w:val="29"/>
    <w:rsid w:val="007633CC"/>
    <w:rPr>
      <w:i/>
      <w:iCs/>
      <w:color w:val="404040" w:themeColor="text1" w:themeTint="BF"/>
    </w:rPr>
  </w:style>
  <w:style w:type="paragraph" w:styleId="ListParagraph">
    <w:name w:val="List Paragraph"/>
    <w:basedOn w:val="Normal"/>
    <w:uiPriority w:val="34"/>
    <w:qFormat/>
    <w:rsid w:val="007633CC"/>
    <w:pPr>
      <w:ind w:left="720"/>
      <w:contextualSpacing/>
    </w:pPr>
  </w:style>
  <w:style w:type="character" w:styleId="IntenseEmphasis">
    <w:name w:val="Intense Emphasis"/>
    <w:basedOn w:val="DefaultParagraphFont"/>
    <w:uiPriority w:val="21"/>
    <w:qFormat/>
    <w:rsid w:val="007633CC"/>
    <w:rPr>
      <w:i/>
      <w:iCs/>
      <w:color w:val="2F5496" w:themeColor="accent1" w:themeShade="BF"/>
    </w:rPr>
  </w:style>
  <w:style w:type="paragraph" w:styleId="IntenseQuote">
    <w:name w:val="Intense Quote"/>
    <w:basedOn w:val="Normal"/>
    <w:next w:val="Normal"/>
    <w:link w:val="IntenseQuoteChar"/>
    <w:uiPriority w:val="30"/>
    <w:qFormat/>
    <w:rsid w:val="00763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3CC"/>
    <w:rPr>
      <w:i/>
      <w:iCs/>
      <w:color w:val="2F5496" w:themeColor="accent1" w:themeShade="BF"/>
    </w:rPr>
  </w:style>
  <w:style w:type="character" w:styleId="IntenseReference">
    <w:name w:val="Intense Reference"/>
    <w:basedOn w:val="DefaultParagraphFont"/>
    <w:uiPriority w:val="32"/>
    <w:qFormat/>
    <w:rsid w:val="007633CC"/>
    <w:rPr>
      <w:b/>
      <w:bCs/>
      <w:smallCaps/>
      <w:color w:val="2F5496" w:themeColor="accent1" w:themeShade="BF"/>
      <w:spacing w:val="5"/>
    </w:rPr>
  </w:style>
  <w:style w:type="paragraph" w:styleId="NormalWeb">
    <w:name w:val="Normal (Web)"/>
    <w:basedOn w:val="Normal"/>
    <w:uiPriority w:val="99"/>
    <w:unhideWhenUsed/>
    <w:rsid w:val="00F5401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F5401A"/>
    <w:rPr>
      <w:i/>
      <w:iCs/>
    </w:rPr>
  </w:style>
  <w:style w:type="paragraph" w:styleId="BalloonText">
    <w:name w:val="Balloon Text"/>
    <w:basedOn w:val="Normal"/>
    <w:link w:val="BalloonTextChar"/>
    <w:uiPriority w:val="99"/>
    <w:semiHidden/>
    <w:unhideWhenUsed/>
    <w:rsid w:val="00CF5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244"/>
    <w:rPr>
      <w:rFonts w:ascii="Tahoma" w:hAnsi="Tahoma" w:cs="Tahoma"/>
      <w:sz w:val="16"/>
      <w:szCs w:val="16"/>
    </w:rPr>
  </w:style>
  <w:style w:type="table" w:styleId="TableGrid">
    <w:name w:val="Table Grid"/>
    <w:basedOn w:val="TableNormal"/>
    <w:uiPriority w:val="39"/>
    <w:rsid w:val="00E7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0D2"/>
    <w:rPr>
      <w:color w:val="0563C1" w:themeColor="hyperlink"/>
      <w:u w:val="single"/>
    </w:rPr>
  </w:style>
  <w:style w:type="character" w:customStyle="1" w:styleId="UnresolvedMention">
    <w:name w:val="Unresolved Mention"/>
    <w:basedOn w:val="DefaultParagraphFont"/>
    <w:uiPriority w:val="99"/>
    <w:semiHidden/>
    <w:unhideWhenUsed/>
    <w:rsid w:val="006060D2"/>
    <w:rPr>
      <w:color w:val="605E5C"/>
      <w:shd w:val="clear" w:color="auto" w:fill="E1DFDD"/>
    </w:rPr>
  </w:style>
  <w:style w:type="paragraph" w:styleId="Header">
    <w:name w:val="header"/>
    <w:basedOn w:val="Normal"/>
    <w:link w:val="HeaderChar"/>
    <w:uiPriority w:val="99"/>
    <w:unhideWhenUsed/>
    <w:rsid w:val="00F44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F1"/>
  </w:style>
  <w:style w:type="paragraph" w:styleId="Footer">
    <w:name w:val="footer"/>
    <w:basedOn w:val="Normal"/>
    <w:link w:val="FooterChar"/>
    <w:uiPriority w:val="99"/>
    <w:unhideWhenUsed/>
    <w:rsid w:val="00F44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012">
      <w:bodyDiv w:val="1"/>
      <w:marLeft w:val="0"/>
      <w:marRight w:val="0"/>
      <w:marTop w:val="0"/>
      <w:marBottom w:val="0"/>
      <w:divBdr>
        <w:top w:val="none" w:sz="0" w:space="0" w:color="auto"/>
        <w:left w:val="none" w:sz="0" w:space="0" w:color="auto"/>
        <w:bottom w:val="none" w:sz="0" w:space="0" w:color="auto"/>
        <w:right w:val="none" w:sz="0" w:space="0" w:color="auto"/>
      </w:divBdr>
    </w:div>
    <w:div w:id="121852698">
      <w:bodyDiv w:val="1"/>
      <w:marLeft w:val="0"/>
      <w:marRight w:val="0"/>
      <w:marTop w:val="0"/>
      <w:marBottom w:val="0"/>
      <w:divBdr>
        <w:top w:val="none" w:sz="0" w:space="0" w:color="auto"/>
        <w:left w:val="none" w:sz="0" w:space="0" w:color="auto"/>
        <w:bottom w:val="none" w:sz="0" w:space="0" w:color="auto"/>
        <w:right w:val="none" w:sz="0" w:space="0" w:color="auto"/>
      </w:divBdr>
    </w:div>
    <w:div w:id="235828086">
      <w:bodyDiv w:val="1"/>
      <w:marLeft w:val="0"/>
      <w:marRight w:val="0"/>
      <w:marTop w:val="0"/>
      <w:marBottom w:val="0"/>
      <w:divBdr>
        <w:top w:val="none" w:sz="0" w:space="0" w:color="auto"/>
        <w:left w:val="none" w:sz="0" w:space="0" w:color="auto"/>
        <w:bottom w:val="none" w:sz="0" w:space="0" w:color="auto"/>
        <w:right w:val="none" w:sz="0" w:space="0" w:color="auto"/>
      </w:divBdr>
    </w:div>
    <w:div w:id="687604826">
      <w:bodyDiv w:val="1"/>
      <w:marLeft w:val="0"/>
      <w:marRight w:val="0"/>
      <w:marTop w:val="0"/>
      <w:marBottom w:val="0"/>
      <w:divBdr>
        <w:top w:val="none" w:sz="0" w:space="0" w:color="auto"/>
        <w:left w:val="none" w:sz="0" w:space="0" w:color="auto"/>
        <w:bottom w:val="none" w:sz="0" w:space="0" w:color="auto"/>
        <w:right w:val="none" w:sz="0" w:space="0" w:color="auto"/>
      </w:divBdr>
    </w:div>
    <w:div w:id="955914318">
      <w:bodyDiv w:val="1"/>
      <w:marLeft w:val="0"/>
      <w:marRight w:val="0"/>
      <w:marTop w:val="0"/>
      <w:marBottom w:val="0"/>
      <w:divBdr>
        <w:top w:val="none" w:sz="0" w:space="0" w:color="auto"/>
        <w:left w:val="none" w:sz="0" w:space="0" w:color="auto"/>
        <w:bottom w:val="none" w:sz="0" w:space="0" w:color="auto"/>
        <w:right w:val="none" w:sz="0" w:space="0" w:color="auto"/>
      </w:divBdr>
    </w:div>
    <w:div w:id="1007100612">
      <w:bodyDiv w:val="1"/>
      <w:marLeft w:val="0"/>
      <w:marRight w:val="0"/>
      <w:marTop w:val="0"/>
      <w:marBottom w:val="0"/>
      <w:divBdr>
        <w:top w:val="none" w:sz="0" w:space="0" w:color="auto"/>
        <w:left w:val="none" w:sz="0" w:space="0" w:color="auto"/>
        <w:bottom w:val="none" w:sz="0" w:space="0" w:color="auto"/>
        <w:right w:val="none" w:sz="0" w:space="0" w:color="auto"/>
      </w:divBdr>
    </w:div>
    <w:div w:id="1027945541">
      <w:bodyDiv w:val="1"/>
      <w:marLeft w:val="0"/>
      <w:marRight w:val="0"/>
      <w:marTop w:val="0"/>
      <w:marBottom w:val="0"/>
      <w:divBdr>
        <w:top w:val="none" w:sz="0" w:space="0" w:color="auto"/>
        <w:left w:val="none" w:sz="0" w:space="0" w:color="auto"/>
        <w:bottom w:val="none" w:sz="0" w:space="0" w:color="auto"/>
        <w:right w:val="none" w:sz="0" w:space="0" w:color="auto"/>
      </w:divBdr>
    </w:div>
    <w:div w:id="1357653245">
      <w:bodyDiv w:val="1"/>
      <w:marLeft w:val="0"/>
      <w:marRight w:val="0"/>
      <w:marTop w:val="0"/>
      <w:marBottom w:val="0"/>
      <w:divBdr>
        <w:top w:val="none" w:sz="0" w:space="0" w:color="auto"/>
        <w:left w:val="none" w:sz="0" w:space="0" w:color="auto"/>
        <w:bottom w:val="none" w:sz="0" w:space="0" w:color="auto"/>
        <w:right w:val="none" w:sz="0" w:space="0" w:color="auto"/>
      </w:divBdr>
    </w:div>
    <w:div w:id="1840608915">
      <w:bodyDiv w:val="1"/>
      <w:marLeft w:val="0"/>
      <w:marRight w:val="0"/>
      <w:marTop w:val="0"/>
      <w:marBottom w:val="0"/>
      <w:divBdr>
        <w:top w:val="none" w:sz="0" w:space="0" w:color="auto"/>
        <w:left w:val="none" w:sz="0" w:space="0" w:color="auto"/>
        <w:bottom w:val="none" w:sz="0" w:space="0" w:color="auto"/>
        <w:right w:val="none" w:sz="0" w:space="0" w:color="auto"/>
      </w:divBdr>
    </w:div>
    <w:div w:id="1842506866">
      <w:bodyDiv w:val="1"/>
      <w:marLeft w:val="0"/>
      <w:marRight w:val="0"/>
      <w:marTop w:val="0"/>
      <w:marBottom w:val="0"/>
      <w:divBdr>
        <w:top w:val="none" w:sz="0" w:space="0" w:color="auto"/>
        <w:left w:val="none" w:sz="0" w:space="0" w:color="auto"/>
        <w:bottom w:val="none" w:sz="0" w:space="0" w:color="auto"/>
        <w:right w:val="none" w:sz="0" w:space="0" w:color="auto"/>
      </w:divBdr>
    </w:div>
    <w:div w:id="19531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11</Pages>
  <Words>3984</Words>
  <Characters>22711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shoaib kirmani</dc:creator>
  <cp:keywords/>
  <dc:description/>
  <cp:lastModifiedBy>Admin</cp:lastModifiedBy>
  <cp:revision>60</cp:revision>
  <dcterms:created xsi:type="dcterms:W3CDTF">2026-01-05T09:00:00Z</dcterms:created>
  <dcterms:modified xsi:type="dcterms:W3CDTF">2026-02-11T00:55:00Z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702a8e25-0c05-46de-b6b3-67fa42b9e260</vt:lpwstr>
  </property>
</Properties>
</file>