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A9293" w14:textId="3D05A210" w:rsidR="00163BC4" w:rsidRPr="00163BC4" w:rsidRDefault="008E425E" w:rsidP="00441B6F">
      <w:pPr>
        <w:pStyle w:val="Author"/>
        <w:spacing w:line="240" w:lineRule="auto"/>
        <w:rPr>
          <w:rFonts w:ascii="Arial" w:hAnsi="Arial" w:cs="Arial"/>
          <w:bCs/>
          <w:iCs/>
          <w:kern w:val="28"/>
          <w:sz w:val="36"/>
        </w:rPr>
      </w:pPr>
      <w:r w:rsidRPr="008E425E">
        <w:rPr>
          <w:rFonts w:ascii="Arial" w:hAnsi="Arial" w:cs="Arial"/>
          <w:bCs/>
          <w:iCs/>
          <w:kern w:val="28"/>
          <w:sz w:val="36"/>
        </w:rPr>
        <w:t>Sustainable Poultry Farming in Tanzania through Insect-Based Feeds: A Review of the Potential of Black Soldier Fly Larvae as an Alternative Feed Resource</w:t>
      </w:r>
      <w:r w:rsidR="00231920">
        <w:rPr>
          <w:rFonts w:ascii="Arial" w:hAnsi="Arial" w:cs="Arial"/>
          <w:bCs/>
          <w:iCs/>
          <w:kern w:val="28"/>
          <w:sz w:val="36"/>
        </w:rPr>
        <w:t xml:space="preserve"> </w:t>
      </w:r>
    </w:p>
    <w:p w14:paraId="0295D046" w14:textId="77777777" w:rsidR="00A258C3" w:rsidRPr="00790ADA" w:rsidRDefault="00A258C3" w:rsidP="00441B6F">
      <w:pPr>
        <w:pStyle w:val="Author"/>
        <w:spacing w:line="240" w:lineRule="auto"/>
        <w:jc w:val="both"/>
        <w:rPr>
          <w:rFonts w:ascii="Arial" w:hAnsi="Arial" w:cs="Arial"/>
          <w:sz w:val="36"/>
        </w:rPr>
      </w:pPr>
    </w:p>
    <w:p w14:paraId="0F4C817C" w14:textId="77777777" w:rsidR="002C57D2" w:rsidRPr="00FB3A86" w:rsidRDefault="002C57D2" w:rsidP="00441B6F">
      <w:pPr>
        <w:pStyle w:val="Affiliation"/>
        <w:spacing w:after="0" w:line="240" w:lineRule="auto"/>
        <w:jc w:val="both"/>
        <w:rPr>
          <w:rFonts w:ascii="Arial" w:hAnsi="Arial" w:cs="Arial"/>
        </w:rPr>
      </w:pPr>
    </w:p>
    <w:p w14:paraId="051029B9" w14:textId="53816615" w:rsidR="00B01FCD" w:rsidRPr="00FB3A86" w:rsidRDefault="00740087" w:rsidP="00441B6F">
      <w:pPr>
        <w:pStyle w:val="Copyright"/>
        <w:spacing w:after="0" w:line="240" w:lineRule="auto"/>
        <w:jc w:val="both"/>
        <w:rPr>
          <w:rFonts w:ascii="Arial" w:hAnsi="Arial" w:cs="Arial"/>
        </w:rPr>
        <w:sectPr w:rsidR="00B01FCD" w:rsidRPr="00FB3A86" w:rsidSect="008B6515">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4679328" wp14:editId="7E4C6310">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7752881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77971AF5" w14:textId="0B94D786"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30C9CC0" w14:textId="77777777" w:rsidTr="001E44FE">
        <w:tc>
          <w:tcPr>
            <w:tcW w:w="9576" w:type="dxa"/>
            <w:shd w:val="clear" w:color="auto" w:fill="F2F2F2"/>
          </w:tcPr>
          <w:p w14:paraId="56F0E84C" w14:textId="58974CB9" w:rsidR="00505F06" w:rsidRPr="00BA1B01" w:rsidRDefault="004706E6" w:rsidP="00441B6F">
            <w:pPr>
              <w:pStyle w:val="Body"/>
              <w:spacing w:after="0"/>
              <w:rPr>
                <w:rFonts w:ascii="Arial" w:eastAsia="Calibri" w:hAnsi="Arial" w:cs="Arial"/>
                <w:szCs w:val="22"/>
              </w:rPr>
            </w:pPr>
            <w:r w:rsidRPr="004706E6">
              <w:rPr>
                <w:rFonts w:ascii="Arial" w:eastAsia="Calibri" w:hAnsi="Arial" w:cs="Arial"/>
                <w:szCs w:val="22"/>
              </w:rPr>
              <w:t>Poultry farming is one of the fastest-growing livestock subsectors in Tanzania, contributing significantly to food security, nutrition, employment, and rural livelihoods. However, its expansion is severely constrained by high feed costs, which account for 60–70% of total production expenses, largely due to reliance on conventional protein sources such as fishmeal and soybean meal. These feed ingredients are expensive, environmentally unsustainable, and often limited in supply. This review examines the potential of Black Soldier Fly (</w:t>
            </w:r>
            <w:proofErr w:type="spellStart"/>
            <w:r w:rsidRPr="004706E6">
              <w:rPr>
                <w:rFonts w:ascii="Arial" w:eastAsia="Calibri" w:hAnsi="Arial" w:cs="Arial"/>
                <w:szCs w:val="22"/>
              </w:rPr>
              <w:t>Hermetia</w:t>
            </w:r>
            <w:proofErr w:type="spellEnd"/>
            <w:r w:rsidRPr="004706E6">
              <w:rPr>
                <w:rFonts w:ascii="Arial" w:eastAsia="Calibri" w:hAnsi="Arial" w:cs="Arial"/>
                <w:szCs w:val="22"/>
              </w:rPr>
              <w:t xml:space="preserve"> </w:t>
            </w:r>
            <w:proofErr w:type="spellStart"/>
            <w:r w:rsidRPr="004706E6">
              <w:rPr>
                <w:rFonts w:ascii="Arial" w:eastAsia="Calibri" w:hAnsi="Arial" w:cs="Arial"/>
                <w:szCs w:val="22"/>
              </w:rPr>
              <w:t>illucens</w:t>
            </w:r>
            <w:proofErr w:type="spellEnd"/>
            <w:r w:rsidRPr="004706E6">
              <w:rPr>
                <w:rFonts w:ascii="Arial" w:eastAsia="Calibri" w:hAnsi="Arial" w:cs="Arial"/>
                <w:szCs w:val="22"/>
              </w:rPr>
              <w:t xml:space="preserve">) larvae (BSFL) as a sustainable, locally producible alternative protein source for poultry feed in Tanzania. The paper synthesizes existing literature on the biology and production of BSF, optimal rearing conditions, substrate utilization, nutritional composition, digestibility, poultry performance outcomes, and the environmental and economic sustainability of BSFL production. </w:t>
            </w:r>
            <w:r w:rsidR="00534E87" w:rsidRPr="00534E87">
              <w:rPr>
                <w:rFonts w:ascii="Arial" w:eastAsia="Calibri" w:hAnsi="Arial" w:cs="Arial"/>
                <w:szCs w:val="22"/>
              </w:rPr>
              <w:t>This review synthesizes existing literature and identifies key research and policy gaps</w:t>
            </w:r>
            <w:r w:rsidR="00534E87">
              <w:rPr>
                <w:rFonts w:ascii="Arial" w:eastAsia="Calibri" w:hAnsi="Arial" w:cs="Arial"/>
                <w:szCs w:val="22"/>
              </w:rPr>
              <w:t xml:space="preserve">. </w:t>
            </w:r>
            <w:r w:rsidRPr="004706E6">
              <w:rPr>
                <w:rFonts w:ascii="Arial" w:eastAsia="Calibri" w:hAnsi="Arial" w:cs="Arial"/>
                <w:szCs w:val="22"/>
              </w:rPr>
              <w:t>Evidence indicates that BSFL are rich in protein (35–60%), lipids (15–40%), essential amino acids, minerals, and bioactive compounds, with high digestibility comparable to or exceeding that of fishmeal. Feeding trials demonstrate that partial or complete replacement of fishmeal or soybean meal with BSFL meal maintains or improves growth performance, feed conversion efficiency, egg production, gut health, and immunity in poultry. Additionally, BSFL production supports circular bioeconomy principles by converting organic waste into valuable feed and frass fertilizer, reducing waste volumes, greenhouse gas emissions, and overall feed costs. Despite these advantages, adoption of BSFL farming in Tanzania remains limited due to low farmer awareness, cultural perceptions, regulatory and policy gaps, inadequate technical capacity, limited access to finance, and underdeveloped markets. The review identifies key gaps and proposes integrated strategies for scaling up BSFL-based feed systems, including development of national guidelines and standards, integration into livestock development policies, strengthened research and technology transfer, private sector and development partner engagement, innovative financing mechanisms, and consumer sensitization. Coordinated implementation of these measures can enhance feed security, promote sustainable poultry production, and position Tanzania as a regional leader in insect-based feed systems aligned with Vision 2050 goals.</w:t>
            </w:r>
          </w:p>
        </w:tc>
      </w:tr>
    </w:tbl>
    <w:p w14:paraId="45E6563B" w14:textId="77777777" w:rsidR="00636EB2" w:rsidRDefault="00636EB2" w:rsidP="00441B6F">
      <w:pPr>
        <w:pStyle w:val="Body"/>
        <w:spacing w:after="0"/>
        <w:rPr>
          <w:rFonts w:ascii="Arial" w:hAnsi="Arial" w:cs="Arial"/>
          <w:i/>
        </w:rPr>
      </w:pPr>
    </w:p>
    <w:p w14:paraId="3086DF3D" w14:textId="018CB915" w:rsidR="00A24E7E" w:rsidRDefault="00A24E7E" w:rsidP="00441B6F">
      <w:pPr>
        <w:pStyle w:val="Body"/>
        <w:spacing w:after="0"/>
        <w:rPr>
          <w:rFonts w:ascii="Arial" w:hAnsi="Arial" w:cs="Arial"/>
          <w:i/>
        </w:rPr>
      </w:pPr>
      <w:r>
        <w:rPr>
          <w:rFonts w:ascii="Arial" w:hAnsi="Arial" w:cs="Arial"/>
          <w:i/>
        </w:rPr>
        <w:t xml:space="preserve">Keywords: </w:t>
      </w:r>
      <w:r w:rsidR="006103E5" w:rsidRPr="006103E5">
        <w:rPr>
          <w:rFonts w:ascii="Arial" w:hAnsi="Arial" w:cs="Arial"/>
          <w:i/>
        </w:rPr>
        <w:t>Poultry nutrition, Organic waste valorization, Sustainable livestock, Feed conversion efficiency</w:t>
      </w:r>
    </w:p>
    <w:p w14:paraId="412EFDC7" w14:textId="77777777" w:rsidR="00790ADA" w:rsidRDefault="00790ADA" w:rsidP="00441B6F">
      <w:pPr>
        <w:pStyle w:val="Body"/>
        <w:spacing w:after="0"/>
        <w:rPr>
          <w:rFonts w:ascii="Arial" w:hAnsi="Arial" w:cs="Arial"/>
          <w:i/>
        </w:rPr>
      </w:pPr>
    </w:p>
    <w:p w14:paraId="4416F2E8" w14:textId="77777777" w:rsidR="0024282C" w:rsidRDefault="0024282C" w:rsidP="00441B6F">
      <w:pPr>
        <w:pStyle w:val="Body"/>
        <w:spacing w:after="0"/>
        <w:rPr>
          <w:rFonts w:ascii="Arial" w:hAnsi="Arial" w:cs="Arial"/>
          <w:i/>
          <w:sz w:val="18"/>
        </w:rPr>
      </w:pPr>
    </w:p>
    <w:p w14:paraId="01044480" w14:textId="6EFE5CE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BC486EB" w14:textId="77777777" w:rsidR="00790ADA" w:rsidRPr="00FB3A86" w:rsidRDefault="00790ADA" w:rsidP="00441B6F">
      <w:pPr>
        <w:pStyle w:val="AbstHead"/>
        <w:spacing w:after="0"/>
        <w:jc w:val="both"/>
        <w:rPr>
          <w:rFonts w:ascii="Arial" w:hAnsi="Arial" w:cs="Arial"/>
        </w:rPr>
      </w:pPr>
    </w:p>
    <w:p w14:paraId="4F2B276E" w14:textId="0DDFCFE6" w:rsidR="00443909" w:rsidRPr="00443909" w:rsidRDefault="00443909" w:rsidP="00443909">
      <w:pPr>
        <w:pStyle w:val="Body"/>
        <w:rPr>
          <w:rFonts w:ascii="Arial" w:hAnsi="Arial" w:cs="Arial"/>
        </w:rPr>
      </w:pPr>
      <w:r w:rsidRPr="00443909">
        <w:rPr>
          <w:rFonts w:ascii="Arial" w:hAnsi="Arial" w:cs="Arial"/>
        </w:rPr>
        <w:t>Poultry farming is one of the fastest-growing and most important livestock enterprises in Tanzania, contributing substantially to household nutrition, food security and rural livelihoods (</w:t>
      </w:r>
      <w:proofErr w:type="spellStart"/>
      <w:r w:rsidRPr="00443909">
        <w:rPr>
          <w:rFonts w:ascii="Arial" w:hAnsi="Arial" w:cs="Arial"/>
        </w:rPr>
        <w:t>Msoffe</w:t>
      </w:r>
      <w:proofErr w:type="spellEnd"/>
      <w:r w:rsidRPr="00443909">
        <w:rPr>
          <w:rFonts w:ascii="Arial" w:hAnsi="Arial" w:cs="Arial"/>
        </w:rPr>
        <w:t xml:space="preserve"> and </w:t>
      </w:r>
      <w:proofErr w:type="spellStart"/>
      <w:r w:rsidRPr="00443909">
        <w:rPr>
          <w:rFonts w:ascii="Arial" w:hAnsi="Arial" w:cs="Arial"/>
        </w:rPr>
        <w:t>Ngulube</w:t>
      </w:r>
      <w:proofErr w:type="spellEnd"/>
      <w:r w:rsidRPr="00443909">
        <w:rPr>
          <w:rFonts w:ascii="Arial" w:hAnsi="Arial" w:cs="Arial"/>
        </w:rPr>
        <w:t xml:space="preserve"> 2017; De Bruyn et al., 2018; </w:t>
      </w:r>
      <w:proofErr w:type="spellStart"/>
      <w:r w:rsidRPr="00443909">
        <w:rPr>
          <w:rFonts w:ascii="Arial" w:hAnsi="Arial" w:cs="Arial"/>
        </w:rPr>
        <w:t>Ngongolo</w:t>
      </w:r>
      <w:proofErr w:type="spellEnd"/>
      <w:r w:rsidRPr="00443909">
        <w:rPr>
          <w:rFonts w:ascii="Arial" w:hAnsi="Arial" w:cs="Arial"/>
        </w:rPr>
        <w:t xml:space="preserve"> et al., 2020). However, this growth trajectory is constrained by many challenges, most notably the high and rising cost of poultry feeds, which accounts for 60-70 % of total production costs (Wilson et al., 2023). Conventional protein sources such as soybean meal and fishmeal are either imported or produced locally in limited quantities, creating supply bottlenecks and exposing farmers to volatile prices (Larive International, 2022; Wilson et al., 2023; TAFMA and Feed &amp; Additive magazine, 202</w:t>
      </w:r>
      <w:r w:rsidR="00F24E22">
        <w:rPr>
          <w:rFonts w:ascii="Arial" w:hAnsi="Arial" w:cs="Arial"/>
        </w:rPr>
        <w:t>2</w:t>
      </w:r>
      <w:r w:rsidRPr="00443909">
        <w:rPr>
          <w:rFonts w:ascii="Arial" w:hAnsi="Arial" w:cs="Arial"/>
        </w:rPr>
        <w:t xml:space="preserve">). Fishmeal production, in particular, faces sustainability concerns due to overfishing and ecosystem degradation (Munguti et al., 2024), while soybean meal competes with human consumption and food crop cultivation for scarce land and water resources (Wilson et al., 2021). As a result, many poultry farmers struggle with low profit margins, reduced productivity, and limited opportunities for scale-up. Addressing these feed-related challenges is therefore critical to ensuring </w:t>
      </w:r>
      <w:r w:rsidRPr="00443909">
        <w:rPr>
          <w:rFonts w:ascii="Arial" w:hAnsi="Arial" w:cs="Arial"/>
        </w:rPr>
        <w:lastRenderedPageBreak/>
        <w:t>the long-term sustainability and competitiveness of the poultry subsector in Tanzania (</w:t>
      </w:r>
      <w:r w:rsidR="00D57FAC">
        <w:rPr>
          <w:rFonts w:ascii="Arial" w:hAnsi="Arial" w:cs="Arial"/>
        </w:rPr>
        <w:t xml:space="preserve">Ringo and </w:t>
      </w:r>
      <w:proofErr w:type="spellStart"/>
      <w:r w:rsidR="00D57FAC">
        <w:rPr>
          <w:rFonts w:ascii="Arial" w:hAnsi="Arial" w:cs="Arial"/>
        </w:rPr>
        <w:t>Lekule</w:t>
      </w:r>
      <w:proofErr w:type="spellEnd"/>
      <w:r w:rsidRPr="00443909">
        <w:rPr>
          <w:rFonts w:ascii="Arial" w:hAnsi="Arial" w:cs="Arial"/>
        </w:rPr>
        <w:t xml:space="preserve">, 2020; </w:t>
      </w:r>
      <w:proofErr w:type="spellStart"/>
      <w:r w:rsidRPr="00443909">
        <w:rPr>
          <w:rFonts w:ascii="Arial" w:hAnsi="Arial" w:cs="Arial"/>
        </w:rPr>
        <w:t>Marwa</w:t>
      </w:r>
      <w:proofErr w:type="spellEnd"/>
      <w:r w:rsidRPr="00443909">
        <w:rPr>
          <w:rFonts w:ascii="Arial" w:hAnsi="Arial" w:cs="Arial"/>
        </w:rPr>
        <w:t>, 2021).</w:t>
      </w:r>
    </w:p>
    <w:p w14:paraId="459498A1" w14:textId="1012FC00" w:rsidR="00443909" w:rsidRPr="00443909" w:rsidRDefault="00443909" w:rsidP="00443909">
      <w:pPr>
        <w:pStyle w:val="Body"/>
        <w:rPr>
          <w:rFonts w:ascii="Arial" w:hAnsi="Arial" w:cs="Arial"/>
        </w:rPr>
      </w:pPr>
      <w:r w:rsidRPr="00443909">
        <w:rPr>
          <w:rFonts w:ascii="Arial" w:hAnsi="Arial" w:cs="Arial"/>
        </w:rPr>
        <w:t>Globally, the search for alternative protein sources has turned attention to insects, which offer unique advantages in terms of nutritional quality, feed conversion efficiency, and environmental sustainability. Among them, the Black Soldier Fly (</w:t>
      </w:r>
      <w:proofErr w:type="spellStart"/>
      <w:r w:rsidRPr="0046769D">
        <w:rPr>
          <w:rFonts w:ascii="Arial" w:hAnsi="Arial" w:cs="Arial"/>
          <w:i/>
          <w:iCs/>
        </w:rPr>
        <w:t>Hermetia</w:t>
      </w:r>
      <w:proofErr w:type="spellEnd"/>
      <w:r w:rsidRPr="0046769D">
        <w:rPr>
          <w:rFonts w:ascii="Arial" w:hAnsi="Arial" w:cs="Arial"/>
          <w:i/>
          <w:iCs/>
        </w:rPr>
        <w:t xml:space="preserve"> </w:t>
      </w:r>
      <w:proofErr w:type="spellStart"/>
      <w:r w:rsidRPr="0046769D">
        <w:rPr>
          <w:rFonts w:ascii="Arial" w:hAnsi="Arial" w:cs="Arial"/>
          <w:i/>
          <w:iCs/>
        </w:rPr>
        <w:t>illucens</w:t>
      </w:r>
      <w:proofErr w:type="spellEnd"/>
      <w:r w:rsidRPr="00443909">
        <w:rPr>
          <w:rFonts w:ascii="Arial" w:hAnsi="Arial" w:cs="Arial"/>
        </w:rPr>
        <w:t>) larvae (BSFL) have emerged as a particularly promising candidate for incorporation into animal feeds (</w:t>
      </w:r>
      <w:r w:rsidR="00F1304C">
        <w:rPr>
          <w:rFonts w:ascii="Arial" w:hAnsi="Arial" w:cs="Arial"/>
        </w:rPr>
        <w:t xml:space="preserve">Raman et al., 2022; </w:t>
      </w:r>
      <w:proofErr w:type="spellStart"/>
      <w:r w:rsidRPr="00443909">
        <w:rPr>
          <w:rFonts w:ascii="Arial" w:hAnsi="Arial" w:cs="Arial"/>
        </w:rPr>
        <w:t>Zulkifli</w:t>
      </w:r>
      <w:proofErr w:type="spellEnd"/>
      <w:r w:rsidRPr="00443909">
        <w:rPr>
          <w:rFonts w:ascii="Arial" w:hAnsi="Arial" w:cs="Arial"/>
        </w:rPr>
        <w:t xml:space="preserve"> et al., 2022). BSFL are rich in protein (35-60%), essential amino acids, fats and minerals, and can be produced locally using organic waste streams such as food residues, agro-industrial by-products, and livestock manure (Schneider et al., 2025). Beyond providing a sustainable feed source, BSFL production contributes to waste reduction, nutrient recycling and climate change mitigation through circular bioeconomy pathways (Bosch et al., 20</w:t>
      </w:r>
      <w:r w:rsidR="00347D8A">
        <w:rPr>
          <w:rFonts w:ascii="Arial" w:hAnsi="Arial" w:cs="Arial"/>
        </w:rPr>
        <w:t>19</w:t>
      </w:r>
      <w:r w:rsidRPr="00443909">
        <w:rPr>
          <w:rFonts w:ascii="Arial" w:hAnsi="Arial" w:cs="Arial"/>
        </w:rPr>
        <w:t>; Ramzy et al., 2025).</w:t>
      </w:r>
    </w:p>
    <w:p w14:paraId="70B02104" w14:textId="48001C6C" w:rsidR="00443909" w:rsidRPr="00443909" w:rsidRDefault="00443909" w:rsidP="00443909">
      <w:pPr>
        <w:pStyle w:val="Body"/>
        <w:rPr>
          <w:rFonts w:ascii="Arial" w:hAnsi="Arial" w:cs="Arial"/>
        </w:rPr>
      </w:pPr>
      <w:r w:rsidRPr="00443909">
        <w:rPr>
          <w:rFonts w:ascii="Arial" w:hAnsi="Arial" w:cs="Arial"/>
        </w:rPr>
        <w:t>Despite their potential, like in other Sub-Saharan African countries (</w:t>
      </w:r>
      <w:proofErr w:type="spellStart"/>
      <w:r w:rsidRPr="00443909">
        <w:rPr>
          <w:rFonts w:ascii="Arial" w:hAnsi="Arial" w:cs="Arial"/>
        </w:rPr>
        <w:t>Nyamuhirwa</w:t>
      </w:r>
      <w:proofErr w:type="spellEnd"/>
      <w:r w:rsidRPr="00443909">
        <w:rPr>
          <w:rFonts w:ascii="Arial" w:hAnsi="Arial" w:cs="Arial"/>
        </w:rPr>
        <w:t xml:space="preserve"> et al., 2025), the integration of insect-based feeds in Tanzania remains at an early stage, hindered by many factors including limited awareness among livestock farmers and other stakeholders, regulatory gaps, and technical challenges in large-scale BSFL rearing and processing. Nevertheless, with increasing research interest, pilot initiatives and global momentum toward insect-based proteins, BSFL present a viable pathway for transforming poultry production in Tanzania.</w:t>
      </w:r>
    </w:p>
    <w:p w14:paraId="360BBCD7" w14:textId="2535ABA5" w:rsidR="00B01FCD" w:rsidRDefault="00443909" w:rsidP="00441B6F">
      <w:pPr>
        <w:pStyle w:val="Body"/>
        <w:spacing w:after="0"/>
        <w:rPr>
          <w:rFonts w:ascii="Arial" w:hAnsi="Arial" w:cs="Arial"/>
        </w:rPr>
      </w:pPr>
      <w:r w:rsidRPr="00443909">
        <w:rPr>
          <w:rFonts w:ascii="Arial" w:hAnsi="Arial" w:cs="Arial"/>
        </w:rPr>
        <w:t>This paper reviews the life cycle of Black Soldier Fly (BSF); production of BSFL; and the potential of BSFL as an alternative feed resource focusing on their nutritional, economic and environmental benefits, as well as the barriers to adoption of BSFL-based feed within the Tanzanian context. In addition to that, the article highlights opportunities for scaling up insect farming as part of a broader strategy for sustainable poultry production, enhanced food security and resilient rural livelihoods in the country.</w:t>
      </w:r>
    </w:p>
    <w:p w14:paraId="7B584B0F" w14:textId="77777777" w:rsidR="00790ADA" w:rsidRPr="00FB3A86" w:rsidRDefault="00790ADA" w:rsidP="00441B6F">
      <w:pPr>
        <w:pStyle w:val="Body"/>
        <w:spacing w:after="0"/>
        <w:rPr>
          <w:rFonts w:ascii="Arial" w:hAnsi="Arial" w:cs="Arial"/>
        </w:rPr>
      </w:pPr>
    </w:p>
    <w:p w14:paraId="05447F2E" w14:textId="7B8F148B" w:rsidR="007F7B32" w:rsidRDefault="00902823" w:rsidP="00441B6F">
      <w:pPr>
        <w:pStyle w:val="AbstHead"/>
        <w:spacing w:after="0"/>
        <w:jc w:val="both"/>
        <w:rPr>
          <w:rFonts w:ascii="Arial" w:hAnsi="Arial" w:cs="Arial"/>
        </w:rPr>
      </w:pPr>
      <w:r>
        <w:rPr>
          <w:rFonts w:ascii="Arial" w:hAnsi="Arial" w:cs="Arial"/>
        </w:rPr>
        <w:t xml:space="preserve">2. </w:t>
      </w:r>
      <w:r w:rsidR="00C21A2D" w:rsidRPr="00C21A2D">
        <w:rPr>
          <w:rFonts w:ascii="Arial" w:hAnsi="Arial" w:cs="Arial"/>
        </w:rPr>
        <w:t>BIOLOGY AND PRODUCTION OF BSF</w:t>
      </w:r>
    </w:p>
    <w:p w14:paraId="2FCFBD96" w14:textId="77777777" w:rsidR="00790ADA" w:rsidRPr="00FB3A86" w:rsidRDefault="00790ADA" w:rsidP="00441B6F">
      <w:pPr>
        <w:pStyle w:val="AbstHead"/>
        <w:spacing w:after="0"/>
        <w:jc w:val="both"/>
        <w:rPr>
          <w:rFonts w:ascii="Arial" w:hAnsi="Arial" w:cs="Arial"/>
        </w:rPr>
      </w:pPr>
    </w:p>
    <w:p w14:paraId="4FA8EDF8" w14:textId="426B4DE6" w:rsidR="00B95236" w:rsidRDefault="0046769D" w:rsidP="00441B6F">
      <w:pPr>
        <w:pStyle w:val="Body"/>
        <w:spacing w:after="0"/>
        <w:rPr>
          <w:rFonts w:ascii="Arial" w:hAnsi="Arial" w:cs="Arial"/>
        </w:rPr>
      </w:pPr>
      <w:r w:rsidRPr="0046769D">
        <w:rPr>
          <w:rFonts w:ascii="Arial" w:hAnsi="Arial" w:cs="Arial"/>
        </w:rPr>
        <w:t>The BSF (</w:t>
      </w:r>
      <w:r w:rsidRPr="0046769D">
        <w:rPr>
          <w:rFonts w:ascii="Arial" w:hAnsi="Arial" w:cs="Arial"/>
          <w:i/>
          <w:iCs/>
        </w:rPr>
        <w:t xml:space="preserve">H. </w:t>
      </w:r>
      <w:proofErr w:type="spellStart"/>
      <w:r w:rsidRPr="0046769D">
        <w:rPr>
          <w:rFonts w:ascii="Arial" w:hAnsi="Arial" w:cs="Arial"/>
          <w:i/>
          <w:iCs/>
        </w:rPr>
        <w:t>illucens</w:t>
      </w:r>
      <w:proofErr w:type="spellEnd"/>
      <w:r w:rsidRPr="0046769D">
        <w:rPr>
          <w:rFonts w:ascii="Arial" w:hAnsi="Arial" w:cs="Arial"/>
        </w:rPr>
        <w:t xml:space="preserve">) has gained global attention as a sustainable bio-converter of organic waste into high-value protein and lipid biomass for animal feed. Originally native to the Americas, the species is now cosmopolitan, thriving in tropical and subtropical environments (Diener et al., 2009). Unlike houseflies, adult BSF do not feed or transmit pathogens, as their short lifespan is primarily dedicated to mating and oviposition (Sheppard et al., 1994). The larval stage, which constitutes the major productive phase, has shown exceptional potential for valorizing organic waste streams while producing nutrient-rich biomass for poultry feed. </w:t>
      </w:r>
    </w:p>
    <w:p w14:paraId="73ECA750" w14:textId="6839075A" w:rsidR="00A03B96" w:rsidRDefault="00A03B96" w:rsidP="00441B6F">
      <w:pPr>
        <w:pStyle w:val="Body"/>
        <w:spacing w:after="0"/>
        <w:rPr>
          <w:rFonts w:ascii="Arial" w:hAnsi="Arial" w:cs="Arial"/>
        </w:rPr>
      </w:pPr>
    </w:p>
    <w:p w14:paraId="0BDC8F5B" w14:textId="425911F9" w:rsidR="0046769D" w:rsidRDefault="00AA74E0" w:rsidP="0046769D">
      <w:pPr>
        <w:pStyle w:val="Body"/>
        <w:spacing w:after="0"/>
        <w:jc w:val="left"/>
        <w:rPr>
          <w:rFonts w:ascii="Arial" w:hAnsi="Arial" w:cs="Arial"/>
          <w:b/>
          <w:caps/>
          <w:sz w:val="22"/>
        </w:rPr>
      </w:pPr>
      <w:r w:rsidRPr="00C30A0F">
        <w:rPr>
          <w:rFonts w:ascii="Arial" w:hAnsi="Arial" w:cs="Arial"/>
          <w:b/>
          <w:caps/>
          <w:sz w:val="22"/>
        </w:rPr>
        <w:t xml:space="preserve">2.1 </w:t>
      </w:r>
      <w:r w:rsidR="0046769D" w:rsidRPr="0046769D">
        <w:rPr>
          <w:rFonts w:ascii="Arial" w:hAnsi="Arial" w:cs="Arial"/>
          <w:b/>
          <w:caps/>
          <w:sz w:val="22"/>
        </w:rPr>
        <w:t>Life Cycle of BSF</w:t>
      </w:r>
    </w:p>
    <w:p w14:paraId="6E134D1A" w14:textId="77777777" w:rsidR="0046769D" w:rsidRDefault="0046769D" w:rsidP="0046769D">
      <w:pPr>
        <w:pStyle w:val="Body"/>
        <w:spacing w:after="0"/>
        <w:jc w:val="left"/>
        <w:rPr>
          <w:rFonts w:ascii="Arial" w:hAnsi="Arial" w:cs="Arial"/>
          <w:b/>
          <w:caps/>
          <w:sz w:val="22"/>
        </w:rPr>
      </w:pPr>
    </w:p>
    <w:p w14:paraId="3881B585" w14:textId="77777777" w:rsidR="0046769D" w:rsidRPr="0046769D" w:rsidRDefault="0046769D" w:rsidP="0046769D">
      <w:pPr>
        <w:pStyle w:val="Body"/>
        <w:rPr>
          <w:rFonts w:ascii="Arial" w:hAnsi="Arial" w:cs="Arial"/>
        </w:rPr>
      </w:pPr>
      <w:r w:rsidRPr="0046769D">
        <w:rPr>
          <w:rFonts w:ascii="Arial" w:hAnsi="Arial" w:cs="Arial"/>
        </w:rPr>
        <w:t xml:space="preserve">The BSF undergoes a complete metamorphosis comprising five developmental stages: egg, larva, prepupa, pupa and adult. Each stage is influenced by environmental conditions such as temperature, humidity and substrate quality. </w:t>
      </w:r>
    </w:p>
    <w:p w14:paraId="631D9418" w14:textId="77777777" w:rsidR="0046769D" w:rsidRPr="0046769D" w:rsidRDefault="0046769D" w:rsidP="0046769D">
      <w:pPr>
        <w:pStyle w:val="Body"/>
        <w:rPr>
          <w:rFonts w:ascii="Arial" w:hAnsi="Arial" w:cs="Arial"/>
        </w:rPr>
      </w:pPr>
      <w:r w:rsidRPr="0046769D">
        <w:rPr>
          <w:rFonts w:ascii="Arial" w:hAnsi="Arial" w:cs="Arial"/>
        </w:rPr>
        <w:t>Adult females typically lay between 500 and 900 eggs in clusters, preferring crevices or dry surfaces adjacent to decomposing organic material (Tomberlin et al., 2002). The incubation period ranges from three to four days under optimal conditions of 27-30 °C and 60-70% relative humidity (RH). Eggs require sufficient moisture to prevent desiccation, and temperature directly affects embryonic development rate (Diener et al., 2009).</w:t>
      </w:r>
    </w:p>
    <w:p w14:paraId="00C74253" w14:textId="77777777" w:rsidR="0046769D" w:rsidRPr="0046769D" w:rsidRDefault="0046769D" w:rsidP="0046769D">
      <w:pPr>
        <w:pStyle w:val="Body"/>
        <w:rPr>
          <w:rFonts w:ascii="Arial" w:hAnsi="Arial" w:cs="Arial"/>
        </w:rPr>
      </w:pPr>
      <w:r w:rsidRPr="0046769D">
        <w:rPr>
          <w:rFonts w:ascii="Arial" w:hAnsi="Arial" w:cs="Arial"/>
        </w:rPr>
        <w:t>The larval stage is the most economically significant phase, lasting approximately 12-18 days under tropical conditions (</w:t>
      </w:r>
      <w:proofErr w:type="spellStart"/>
      <w:r w:rsidRPr="0046769D">
        <w:rPr>
          <w:rFonts w:ascii="Arial" w:hAnsi="Arial" w:cs="Arial"/>
        </w:rPr>
        <w:t>Lalander</w:t>
      </w:r>
      <w:proofErr w:type="spellEnd"/>
      <w:r w:rsidRPr="0046769D">
        <w:rPr>
          <w:rFonts w:ascii="Arial" w:hAnsi="Arial" w:cs="Arial"/>
        </w:rPr>
        <w:t xml:space="preserve"> et al., 2013). During this period, larvae feed on organic substrates such as food residues, livestock manure and agro-industrial by-products, converting them into high-protein biomass. The larval body typically contains 35-60% crude protein and 15-40% fat on a dry matter basis, depending on the substrate composition (</w:t>
      </w:r>
      <w:proofErr w:type="spellStart"/>
      <w:r w:rsidRPr="0046769D">
        <w:rPr>
          <w:rFonts w:ascii="Arial" w:hAnsi="Arial" w:cs="Arial"/>
        </w:rPr>
        <w:t>Oonincx</w:t>
      </w:r>
      <w:proofErr w:type="spellEnd"/>
      <w:r w:rsidRPr="0046769D">
        <w:rPr>
          <w:rFonts w:ascii="Arial" w:hAnsi="Arial" w:cs="Arial"/>
        </w:rPr>
        <w:t xml:space="preserve"> and Finke, 2021). The optimum rearing conditions for larval growth include a temperature range of 27-35 °C, 60-70% RH and substrate moisture content of 60-70% (</w:t>
      </w:r>
      <w:proofErr w:type="spellStart"/>
      <w:r w:rsidRPr="0046769D">
        <w:rPr>
          <w:rFonts w:ascii="Arial" w:hAnsi="Arial" w:cs="Arial"/>
        </w:rPr>
        <w:t>Čičková</w:t>
      </w:r>
      <w:proofErr w:type="spellEnd"/>
      <w:r w:rsidRPr="0046769D">
        <w:rPr>
          <w:rFonts w:ascii="Arial" w:hAnsi="Arial" w:cs="Arial"/>
        </w:rPr>
        <w:t xml:space="preserve"> et al., 2015). Excess moisture can lead to anaerobic conditions and larval mortality, whereas dryness slows growth and feeding activity.</w:t>
      </w:r>
    </w:p>
    <w:p w14:paraId="77482950" w14:textId="77777777" w:rsidR="0046769D" w:rsidRPr="0046769D" w:rsidRDefault="0046769D" w:rsidP="0046769D">
      <w:pPr>
        <w:pStyle w:val="Body"/>
        <w:rPr>
          <w:rFonts w:ascii="Arial" w:hAnsi="Arial" w:cs="Arial"/>
        </w:rPr>
      </w:pPr>
      <w:r w:rsidRPr="0046769D">
        <w:rPr>
          <w:rFonts w:ascii="Arial" w:hAnsi="Arial" w:cs="Arial"/>
        </w:rPr>
        <w:t>When larvae reach their maximum size, they enter the prepupal stage, characterized by cessation of feeding and migration to drier, darker areas for pupation. The cuticle darkens during this phase and the larvae reduce mobility (</w:t>
      </w:r>
      <w:proofErr w:type="spellStart"/>
      <w:r w:rsidRPr="0046769D">
        <w:rPr>
          <w:rFonts w:ascii="Arial" w:hAnsi="Arial" w:cs="Arial"/>
        </w:rPr>
        <w:t>Dortmans</w:t>
      </w:r>
      <w:proofErr w:type="spellEnd"/>
      <w:r w:rsidRPr="0046769D">
        <w:rPr>
          <w:rFonts w:ascii="Arial" w:hAnsi="Arial" w:cs="Arial"/>
        </w:rPr>
        <w:t xml:space="preserve"> et al., 2017). This behavior allows for the design of self-harvesting systems that exploit the natural migration tendency of prepupae, thus reducing labor in production systems.</w:t>
      </w:r>
    </w:p>
    <w:p w14:paraId="2665E6FD" w14:textId="2B07D070" w:rsidR="0046769D" w:rsidRPr="0046769D" w:rsidRDefault="0046769D" w:rsidP="0046769D">
      <w:pPr>
        <w:pStyle w:val="Body"/>
        <w:rPr>
          <w:rFonts w:ascii="Arial" w:hAnsi="Arial" w:cs="Arial"/>
        </w:rPr>
      </w:pPr>
      <w:r w:rsidRPr="0046769D">
        <w:rPr>
          <w:rFonts w:ascii="Arial" w:hAnsi="Arial" w:cs="Arial"/>
        </w:rPr>
        <w:t>The prepupae transform into pupae within 6-10 days, depending on ambient conditions. No feeding occurs at this stage; instead, metamorphosis into the adult fly takes place (Holmes et al., 201</w:t>
      </w:r>
      <w:r w:rsidR="004563B2">
        <w:rPr>
          <w:rFonts w:ascii="Arial" w:hAnsi="Arial" w:cs="Arial"/>
        </w:rPr>
        <w:t>2</w:t>
      </w:r>
      <w:r w:rsidRPr="0046769D">
        <w:rPr>
          <w:rFonts w:ascii="Arial" w:hAnsi="Arial" w:cs="Arial"/>
        </w:rPr>
        <w:t>). Temperature and humidity are critical during pupation, as extreme conditions can reduce emergence rates or cause deformations in adults.</w:t>
      </w:r>
    </w:p>
    <w:p w14:paraId="6318CBAC" w14:textId="77777777" w:rsidR="0046769D" w:rsidRDefault="0046769D" w:rsidP="0046769D">
      <w:pPr>
        <w:pStyle w:val="Body"/>
        <w:spacing w:after="0"/>
        <w:rPr>
          <w:rFonts w:ascii="Arial" w:hAnsi="Arial" w:cs="Arial"/>
        </w:rPr>
      </w:pPr>
      <w:r w:rsidRPr="0046769D">
        <w:rPr>
          <w:rFonts w:ascii="Arial" w:hAnsi="Arial" w:cs="Arial"/>
        </w:rPr>
        <w:lastRenderedPageBreak/>
        <w:t>The adult BSF emerges from the pupal case and reaches sexual maturity within 24-48 hours. Mating usually occurs in the presence of natural or artificial light at intensities of 2000-4000 lux and temperatures between 25-30 °C (Tomberlin et al., 2002). Adults rely on water and humidity rather than food intake for survival, with a typical lifespan of 8-10 days. Females oviposit within four to five days post-emergence, completing the life cycle. Under optimal tropical conditions, one generation of BSF can be completed in approximately 30-45 days (</w:t>
      </w:r>
      <w:proofErr w:type="spellStart"/>
      <w:r w:rsidRPr="0046769D">
        <w:rPr>
          <w:rFonts w:ascii="Arial" w:hAnsi="Arial" w:cs="Arial"/>
        </w:rPr>
        <w:t>Lalander</w:t>
      </w:r>
      <w:proofErr w:type="spellEnd"/>
      <w:r w:rsidRPr="0046769D">
        <w:rPr>
          <w:rFonts w:ascii="Arial" w:hAnsi="Arial" w:cs="Arial"/>
        </w:rPr>
        <w:t xml:space="preserve"> et al., 2013).</w:t>
      </w:r>
    </w:p>
    <w:p w14:paraId="62A23048" w14:textId="77777777" w:rsidR="0046769D" w:rsidRDefault="0046769D" w:rsidP="0046769D">
      <w:pPr>
        <w:pStyle w:val="Body"/>
        <w:spacing w:after="0"/>
        <w:rPr>
          <w:rFonts w:ascii="Arial" w:hAnsi="Arial" w:cs="Arial"/>
        </w:rPr>
      </w:pPr>
    </w:p>
    <w:p w14:paraId="3A48CAEA" w14:textId="570EC631" w:rsidR="00AA74E0" w:rsidRPr="00855F95" w:rsidRDefault="0046769D" w:rsidP="0046769D">
      <w:pPr>
        <w:pStyle w:val="Body"/>
        <w:spacing w:after="0"/>
        <w:jc w:val="left"/>
        <w:rPr>
          <w:rFonts w:ascii="Arial" w:hAnsi="Arial" w:cs="Arial"/>
          <w:b/>
          <w:bCs/>
          <w:sz w:val="22"/>
          <w:szCs w:val="22"/>
        </w:rPr>
      </w:pPr>
      <w:r w:rsidRPr="00855F95">
        <w:rPr>
          <w:rFonts w:ascii="Arial" w:hAnsi="Arial" w:cs="Arial"/>
          <w:b/>
          <w:bCs/>
          <w:sz w:val="22"/>
          <w:szCs w:val="22"/>
        </w:rPr>
        <w:t>2.2 Optimal Conditions for BSFL Rearing</w:t>
      </w:r>
      <w:r w:rsidR="00AA74E0" w:rsidRPr="00855F95">
        <w:rPr>
          <w:rFonts w:ascii="Arial" w:hAnsi="Arial" w:cs="Arial"/>
          <w:b/>
          <w:bCs/>
          <w:sz w:val="22"/>
          <w:szCs w:val="22"/>
        </w:rPr>
        <w:t xml:space="preserve">  </w:t>
      </w:r>
    </w:p>
    <w:p w14:paraId="6CD626C1" w14:textId="15B35E8B" w:rsidR="0046769D" w:rsidRDefault="0046769D" w:rsidP="0046769D">
      <w:pPr>
        <w:pStyle w:val="Body"/>
        <w:spacing w:after="0"/>
        <w:rPr>
          <w:rFonts w:ascii="Arial" w:hAnsi="Arial" w:cs="Arial"/>
        </w:rPr>
      </w:pPr>
    </w:p>
    <w:p w14:paraId="3939A1D1" w14:textId="77777777" w:rsidR="0046769D" w:rsidRPr="0046769D" w:rsidRDefault="0046769D" w:rsidP="0046769D">
      <w:pPr>
        <w:pStyle w:val="Body"/>
        <w:rPr>
          <w:rFonts w:ascii="Arial" w:hAnsi="Arial" w:cs="Arial"/>
        </w:rPr>
      </w:pPr>
      <w:r w:rsidRPr="0046769D">
        <w:rPr>
          <w:rFonts w:ascii="Arial" w:hAnsi="Arial" w:cs="Arial"/>
        </w:rPr>
        <w:t>Efficient rearing of BSFL requires control of key abiotic and biotic factors that influence survival, growth rate and biomass yield. Temperature and relative humidity are the most influential parameters. Optimum larval growth occurs at 27-35 °C, while growth slows significantly below 20 °C and mortality increases above 37 °C (</w:t>
      </w:r>
      <w:proofErr w:type="spellStart"/>
      <w:r w:rsidRPr="0046769D">
        <w:rPr>
          <w:rFonts w:ascii="Arial" w:hAnsi="Arial" w:cs="Arial"/>
        </w:rPr>
        <w:t>Čičková</w:t>
      </w:r>
      <w:proofErr w:type="spellEnd"/>
      <w:r w:rsidRPr="0046769D">
        <w:rPr>
          <w:rFonts w:ascii="Arial" w:hAnsi="Arial" w:cs="Arial"/>
        </w:rPr>
        <w:t xml:space="preserve"> et al., 2015). Relative humidity should be maintained at 60-70% to support egg hatching and larval survival. Substrate moisture between 60-70% ensures sufficient microbial activity and larval feeding efficiency (Gold et al., 2019).</w:t>
      </w:r>
    </w:p>
    <w:p w14:paraId="1D3EC38E" w14:textId="4984C25D" w:rsidR="0046769D" w:rsidRDefault="0046769D" w:rsidP="0046769D">
      <w:pPr>
        <w:pStyle w:val="Body"/>
        <w:spacing w:after="0"/>
        <w:rPr>
          <w:rFonts w:ascii="Arial" w:hAnsi="Arial" w:cs="Arial"/>
        </w:rPr>
      </w:pPr>
      <w:r w:rsidRPr="0046769D">
        <w:rPr>
          <w:rFonts w:ascii="Arial" w:hAnsi="Arial" w:cs="Arial"/>
        </w:rPr>
        <w:t>BSFL can tolerate a wide pH range of 6.0-8.0, though slightly acidic conditions favor substrate degradation and microbial symbiosis. The depth of substrate should ideally be maintained between 5 and 10 cm to allow aeration and reduce heat buildup (</w:t>
      </w:r>
      <w:proofErr w:type="spellStart"/>
      <w:r w:rsidRPr="0046769D">
        <w:rPr>
          <w:rFonts w:ascii="Arial" w:hAnsi="Arial" w:cs="Arial"/>
        </w:rPr>
        <w:t>Dortmans</w:t>
      </w:r>
      <w:proofErr w:type="spellEnd"/>
      <w:r w:rsidRPr="0046769D">
        <w:rPr>
          <w:rFonts w:ascii="Arial" w:hAnsi="Arial" w:cs="Arial"/>
        </w:rPr>
        <w:t xml:space="preserve"> et al., 2017). Larval stocking density, another critical factor, is usually set at 5-10 g of larvae per 100 g of substrate; overcrowding can cause overheating and nutrient competition. Light exposure is primarily required for the adult stage as mating behavior is light-dependent (Tomberlin et al., 2002).</w:t>
      </w:r>
    </w:p>
    <w:p w14:paraId="05214B1F" w14:textId="663C06F3" w:rsidR="0046769D" w:rsidRPr="002C4230" w:rsidRDefault="0046769D" w:rsidP="002C4230">
      <w:pPr>
        <w:pStyle w:val="Body"/>
        <w:spacing w:after="0"/>
        <w:jc w:val="left"/>
        <w:rPr>
          <w:rFonts w:ascii="Arial" w:hAnsi="Arial" w:cs="Arial"/>
          <w:b/>
          <w:bCs/>
          <w:sz w:val="22"/>
          <w:szCs w:val="22"/>
        </w:rPr>
      </w:pPr>
    </w:p>
    <w:p w14:paraId="27E38154" w14:textId="2EA12F3F" w:rsidR="0046769D" w:rsidRPr="002C4230" w:rsidRDefault="0046769D" w:rsidP="002C4230">
      <w:pPr>
        <w:pStyle w:val="Body"/>
        <w:spacing w:after="0"/>
        <w:jc w:val="left"/>
        <w:rPr>
          <w:rFonts w:ascii="Arial" w:hAnsi="Arial" w:cs="Arial"/>
          <w:b/>
          <w:bCs/>
          <w:sz w:val="22"/>
          <w:szCs w:val="22"/>
        </w:rPr>
      </w:pPr>
      <w:r w:rsidRPr="002C4230">
        <w:rPr>
          <w:rFonts w:ascii="Arial" w:hAnsi="Arial" w:cs="Arial"/>
          <w:b/>
          <w:bCs/>
          <w:sz w:val="22"/>
          <w:szCs w:val="22"/>
        </w:rPr>
        <w:t xml:space="preserve">2.3 </w:t>
      </w:r>
      <w:r w:rsidR="002C4230" w:rsidRPr="002C4230">
        <w:rPr>
          <w:rFonts w:ascii="Arial" w:hAnsi="Arial" w:cs="Arial"/>
          <w:b/>
          <w:bCs/>
          <w:sz w:val="22"/>
          <w:szCs w:val="22"/>
        </w:rPr>
        <w:t>Substrate Utilization and Feed Conversion</w:t>
      </w:r>
    </w:p>
    <w:p w14:paraId="159D46C8" w14:textId="29E4D97C" w:rsidR="00505F06" w:rsidRDefault="00505F06" w:rsidP="00441B6F">
      <w:pPr>
        <w:pStyle w:val="Body"/>
        <w:spacing w:after="0"/>
        <w:rPr>
          <w:rFonts w:ascii="Arial" w:hAnsi="Arial" w:cs="Arial"/>
        </w:rPr>
      </w:pPr>
    </w:p>
    <w:p w14:paraId="7B9ACB5E" w14:textId="402C4882" w:rsidR="00095C0F" w:rsidRDefault="002C4230" w:rsidP="00095C0F">
      <w:pPr>
        <w:pStyle w:val="Body"/>
        <w:rPr>
          <w:rFonts w:ascii="Arial" w:hAnsi="Arial" w:cs="Arial"/>
        </w:rPr>
      </w:pPr>
      <w:r w:rsidRPr="002C4230">
        <w:rPr>
          <w:rFonts w:ascii="Arial" w:hAnsi="Arial" w:cs="Arial"/>
        </w:rPr>
        <w:t>BSFL exhibit remarkable plasticity in substrate utilization, feeding efficiently on diverse organic wastes, including kitchen refuse, market waste, animal manure, brewery residues and agricultural by-products (Nyakeri et al., 201</w:t>
      </w:r>
      <w:r w:rsidR="0002160B">
        <w:rPr>
          <w:rFonts w:ascii="Arial" w:hAnsi="Arial" w:cs="Arial"/>
        </w:rPr>
        <w:t>7</w:t>
      </w:r>
      <w:r w:rsidRPr="002C4230">
        <w:rPr>
          <w:rFonts w:ascii="Arial" w:hAnsi="Arial" w:cs="Arial"/>
        </w:rPr>
        <w:t>). The feed conversion ratio (FCR) of BSFL is highly dependent on substrate composition, moisture and larval density</w:t>
      </w:r>
      <w:r w:rsidR="00A97D77">
        <w:rPr>
          <w:rFonts w:ascii="Arial" w:hAnsi="Arial" w:cs="Arial"/>
        </w:rPr>
        <w:t xml:space="preserve"> (</w:t>
      </w:r>
      <w:proofErr w:type="spellStart"/>
      <w:r w:rsidR="00F1304C">
        <w:rPr>
          <w:rFonts w:ascii="Arial" w:hAnsi="Arial" w:cs="Arial"/>
        </w:rPr>
        <w:t>Hosseindoust</w:t>
      </w:r>
      <w:proofErr w:type="spellEnd"/>
      <w:r w:rsidR="00A97D77">
        <w:rPr>
          <w:rFonts w:ascii="Arial" w:hAnsi="Arial" w:cs="Arial"/>
        </w:rPr>
        <w:t xml:space="preserve"> et al., 2024)</w:t>
      </w:r>
      <w:r w:rsidRPr="002C4230">
        <w:rPr>
          <w:rFonts w:ascii="Arial" w:hAnsi="Arial" w:cs="Arial"/>
        </w:rPr>
        <w:t>. Typically, the larvae can reduce organic waste mass by 50-70% while converting 20% into larval biomass and 30% into frass (Diener et al., 2011). The frass, rich in nitrogen, phosphorus and potassium, serves as an organic fertilizer, closing the nutrient cycle and supporting sustainable agriculture.</w:t>
      </w:r>
    </w:p>
    <w:p w14:paraId="4B783666" w14:textId="2808FB3B" w:rsidR="002C4230" w:rsidRDefault="002C4230" w:rsidP="00095C0F">
      <w:pPr>
        <w:pStyle w:val="Body"/>
        <w:rPr>
          <w:rFonts w:ascii="Arial" w:hAnsi="Arial" w:cs="Arial"/>
        </w:rPr>
      </w:pPr>
      <w:r w:rsidRPr="002C4230">
        <w:rPr>
          <w:rFonts w:ascii="Arial" w:hAnsi="Arial" w:cs="Arial"/>
        </w:rPr>
        <w:t>Furthermore, BSFL can be reared using regionally available materials, promoting localized circular economies. Studies have shown that the efficiency of conversion and the nutritional profile of larvae can be optimized by adjusting substrate protein and carbohydrate ratios (Gold et al., 2019). This flexibility makes BSFL production systems adaptable for both small-scale farmers and commercial feed producers in Tanzania.</w:t>
      </w:r>
    </w:p>
    <w:p w14:paraId="0F59468B" w14:textId="6D4E5ED9" w:rsidR="002C4230" w:rsidRPr="00080FD9" w:rsidRDefault="002C4230" w:rsidP="00080FD9">
      <w:pPr>
        <w:pStyle w:val="Body"/>
        <w:spacing w:after="0"/>
        <w:jc w:val="left"/>
        <w:rPr>
          <w:rFonts w:ascii="Arial" w:hAnsi="Arial" w:cs="Arial"/>
          <w:b/>
          <w:bCs/>
          <w:sz w:val="22"/>
          <w:szCs w:val="22"/>
        </w:rPr>
      </w:pPr>
    </w:p>
    <w:p w14:paraId="7299905B" w14:textId="0AEC1218" w:rsidR="002C4230" w:rsidRPr="00080FD9" w:rsidRDefault="00080FD9" w:rsidP="00080FD9">
      <w:pPr>
        <w:pStyle w:val="Body"/>
        <w:spacing w:after="0"/>
        <w:jc w:val="left"/>
        <w:rPr>
          <w:rFonts w:ascii="Arial" w:hAnsi="Arial" w:cs="Arial"/>
          <w:b/>
          <w:bCs/>
          <w:sz w:val="22"/>
          <w:szCs w:val="22"/>
        </w:rPr>
      </w:pPr>
      <w:r w:rsidRPr="00080FD9">
        <w:rPr>
          <w:rFonts w:ascii="Arial" w:hAnsi="Arial" w:cs="Arial"/>
          <w:b/>
          <w:bCs/>
          <w:sz w:val="22"/>
          <w:szCs w:val="22"/>
        </w:rPr>
        <w:t>2.4 Practical BSFL Rearing Systems and Scalability</w:t>
      </w:r>
    </w:p>
    <w:p w14:paraId="1D7EEA34" w14:textId="20343AEA" w:rsidR="00080FD9" w:rsidRDefault="00080FD9" w:rsidP="002C4230">
      <w:pPr>
        <w:pStyle w:val="Body"/>
        <w:spacing w:after="0"/>
        <w:rPr>
          <w:rFonts w:ascii="Arial" w:hAnsi="Arial" w:cs="Arial"/>
        </w:rPr>
      </w:pPr>
    </w:p>
    <w:p w14:paraId="13DF38B4" w14:textId="77777777" w:rsidR="00080FD9" w:rsidRPr="00080FD9" w:rsidRDefault="00080FD9" w:rsidP="00080FD9">
      <w:pPr>
        <w:pStyle w:val="Body"/>
        <w:rPr>
          <w:rFonts w:ascii="Arial" w:hAnsi="Arial" w:cs="Arial"/>
        </w:rPr>
      </w:pPr>
      <w:r w:rsidRPr="00080FD9">
        <w:rPr>
          <w:rFonts w:ascii="Arial" w:hAnsi="Arial" w:cs="Arial"/>
        </w:rPr>
        <w:t>Rearing systems vary from smallholder setups to large-scale industrial facilities. Small-scale systems often utilize simple containers or bins made of plastic or wood, relying on natural temperature and humidity conditions. These systems are suitable for rural communities and small poultry producers seeking affordable protein sources. Medium and large-scale operations integrate controlled environmental systems, self-harvesting mechanisms and automated feeding, which improve consistency and yield (</w:t>
      </w:r>
      <w:proofErr w:type="spellStart"/>
      <w:r w:rsidRPr="00080FD9">
        <w:rPr>
          <w:rFonts w:ascii="Arial" w:hAnsi="Arial" w:cs="Arial"/>
        </w:rPr>
        <w:t>Dortmans</w:t>
      </w:r>
      <w:proofErr w:type="spellEnd"/>
      <w:r w:rsidRPr="00080FD9">
        <w:rPr>
          <w:rFonts w:ascii="Arial" w:hAnsi="Arial" w:cs="Arial"/>
        </w:rPr>
        <w:t xml:space="preserve"> et al., 2017).</w:t>
      </w:r>
    </w:p>
    <w:p w14:paraId="0EC4DE34" w14:textId="758F11C0" w:rsidR="00080FD9" w:rsidRDefault="00080FD9" w:rsidP="00080FD9">
      <w:pPr>
        <w:pStyle w:val="Body"/>
        <w:spacing w:after="0"/>
        <w:rPr>
          <w:rFonts w:ascii="Arial" w:hAnsi="Arial" w:cs="Arial"/>
        </w:rPr>
      </w:pPr>
      <w:r w:rsidRPr="00080FD9">
        <w:rPr>
          <w:rFonts w:ascii="Arial" w:hAnsi="Arial" w:cs="Arial"/>
        </w:rPr>
        <w:t xml:space="preserve">From a sustainability perspective, BSFL farming contributes to waste valorization, environmental protection and livelihood improvement. In the Tanzanian context, where organic waste from households, markets and </w:t>
      </w:r>
      <w:proofErr w:type="spellStart"/>
      <w:r w:rsidRPr="00080FD9">
        <w:rPr>
          <w:rFonts w:ascii="Arial" w:hAnsi="Arial" w:cs="Arial"/>
        </w:rPr>
        <w:t>agro</w:t>
      </w:r>
      <w:proofErr w:type="spellEnd"/>
      <w:r w:rsidRPr="00080FD9">
        <w:rPr>
          <w:rFonts w:ascii="Arial" w:hAnsi="Arial" w:cs="Arial"/>
        </w:rPr>
        <w:t>-processing is abundant, BSFL farming presents a practical approach to circular bioeconomy. By integrating BSFL rearing into local poultry feed systems, farmers can reduce feed costs while mitigating waste management challenges.</w:t>
      </w:r>
    </w:p>
    <w:p w14:paraId="7DCC0CEC" w14:textId="5CC6A889"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sidR="00CF7760">
        <w:rPr>
          <w:rFonts w:ascii="Arial" w:hAnsi="Arial" w:cs="Arial"/>
        </w:rPr>
        <w:t>0</w:t>
      </w:r>
      <w:r w:rsidR="00902823">
        <w:rPr>
          <w:rFonts w:ascii="Arial" w:hAnsi="Arial" w:cs="Arial"/>
        </w:rPr>
        <w:t xml:space="preserve"> </w:t>
      </w:r>
      <w:r w:rsidR="00095C0F" w:rsidRPr="00095C0F">
        <w:rPr>
          <w:rFonts w:ascii="Arial" w:hAnsi="Arial" w:cs="Arial"/>
        </w:rPr>
        <w:t>NUTRITIONAL PROFILE AND BENEFITS OF BSFL FOR POULTRY</w:t>
      </w:r>
    </w:p>
    <w:p w14:paraId="1A46A8CE" w14:textId="6C0686B4" w:rsidR="00095C0F" w:rsidRDefault="00095C0F" w:rsidP="00441B6F">
      <w:pPr>
        <w:pStyle w:val="Head1"/>
        <w:spacing w:after="0"/>
        <w:jc w:val="both"/>
        <w:rPr>
          <w:rFonts w:ascii="Arial" w:hAnsi="Arial" w:cs="Arial"/>
        </w:rPr>
      </w:pPr>
    </w:p>
    <w:p w14:paraId="516A8666" w14:textId="30911D95" w:rsidR="00095C0F" w:rsidRDefault="00095C0F" w:rsidP="00441B6F">
      <w:pPr>
        <w:pStyle w:val="Head1"/>
        <w:spacing w:after="0"/>
        <w:jc w:val="both"/>
        <w:rPr>
          <w:rFonts w:ascii="Arial" w:hAnsi="Arial" w:cs="Arial"/>
          <w:b w:val="0"/>
          <w:bCs/>
          <w:caps w:val="0"/>
          <w:sz w:val="20"/>
        </w:rPr>
      </w:pPr>
      <w:r>
        <w:rPr>
          <w:rFonts w:ascii="Arial" w:hAnsi="Arial" w:cs="Arial"/>
          <w:b w:val="0"/>
          <w:bCs/>
          <w:caps w:val="0"/>
          <w:sz w:val="20"/>
        </w:rPr>
        <w:t>T</w:t>
      </w:r>
      <w:r w:rsidRPr="00095C0F">
        <w:rPr>
          <w:rFonts w:ascii="Arial" w:hAnsi="Arial" w:cs="Arial"/>
          <w:b w:val="0"/>
          <w:bCs/>
          <w:caps w:val="0"/>
          <w:sz w:val="20"/>
        </w:rPr>
        <w:t xml:space="preserve">he </w:t>
      </w:r>
      <w:r>
        <w:rPr>
          <w:rFonts w:ascii="Arial" w:hAnsi="Arial" w:cs="Arial"/>
          <w:b w:val="0"/>
          <w:bCs/>
          <w:caps w:val="0"/>
          <w:sz w:val="20"/>
        </w:rPr>
        <w:t>BSFL</w:t>
      </w:r>
      <w:r w:rsidRPr="00095C0F">
        <w:rPr>
          <w:rFonts w:ascii="Arial" w:hAnsi="Arial" w:cs="Arial"/>
          <w:b w:val="0"/>
          <w:bCs/>
          <w:caps w:val="0"/>
          <w:sz w:val="20"/>
        </w:rPr>
        <w:t xml:space="preserve"> are increasingly recognized as a sustainable, locally available and nutritionally rich alternative protein source for poultry feed formulation. </w:t>
      </w:r>
      <w:r>
        <w:rPr>
          <w:rFonts w:ascii="Arial" w:hAnsi="Arial" w:cs="Arial"/>
          <w:b w:val="0"/>
          <w:bCs/>
          <w:caps w:val="0"/>
          <w:sz w:val="20"/>
        </w:rPr>
        <w:t>T</w:t>
      </w:r>
      <w:r w:rsidRPr="00095C0F">
        <w:rPr>
          <w:rFonts w:ascii="Arial" w:hAnsi="Arial" w:cs="Arial"/>
          <w:b w:val="0"/>
          <w:bCs/>
          <w:caps w:val="0"/>
          <w:sz w:val="20"/>
        </w:rPr>
        <w:t>heir nutrient composition, digestibility and functional bioactive compounds make them a suitable replacement for conventional ingredients such as fishmeal and soybean meal, which are costly and environmentally burdensome (</w:t>
      </w:r>
      <w:r>
        <w:rPr>
          <w:rFonts w:ascii="Arial" w:hAnsi="Arial" w:cs="Arial"/>
          <w:b w:val="0"/>
          <w:bCs/>
          <w:caps w:val="0"/>
          <w:sz w:val="20"/>
        </w:rPr>
        <w:t>M</w:t>
      </w:r>
      <w:r w:rsidRPr="00095C0F">
        <w:rPr>
          <w:rFonts w:ascii="Arial" w:hAnsi="Arial" w:cs="Arial"/>
          <w:b w:val="0"/>
          <w:bCs/>
          <w:caps w:val="0"/>
          <w:sz w:val="20"/>
        </w:rPr>
        <w:t xml:space="preserve">akkar et al., 2014; </w:t>
      </w:r>
      <w:r>
        <w:rPr>
          <w:rFonts w:ascii="Arial" w:hAnsi="Arial" w:cs="Arial"/>
          <w:b w:val="0"/>
          <w:bCs/>
          <w:caps w:val="0"/>
          <w:sz w:val="20"/>
        </w:rPr>
        <w:t>B</w:t>
      </w:r>
      <w:r w:rsidRPr="00095C0F">
        <w:rPr>
          <w:rFonts w:ascii="Arial" w:hAnsi="Arial" w:cs="Arial"/>
          <w:b w:val="0"/>
          <w:bCs/>
          <w:caps w:val="0"/>
          <w:sz w:val="20"/>
        </w:rPr>
        <w:t>arragan-</w:t>
      </w:r>
      <w:r>
        <w:rPr>
          <w:rFonts w:ascii="Arial" w:hAnsi="Arial" w:cs="Arial"/>
          <w:b w:val="0"/>
          <w:bCs/>
          <w:caps w:val="0"/>
          <w:sz w:val="20"/>
        </w:rPr>
        <w:t>F</w:t>
      </w:r>
      <w:r w:rsidRPr="00095C0F">
        <w:rPr>
          <w:rFonts w:ascii="Arial" w:hAnsi="Arial" w:cs="Arial"/>
          <w:b w:val="0"/>
          <w:bCs/>
          <w:caps w:val="0"/>
          <w:sz w:val="20"/>
        </w:rPr>
        <w:t>onseca et al., 2017).</w:t>
      </w:r>
    </w:p>
    <w:p w14:paraId="4A28A24A" w14:textId="77777777" w:rsidR="00BE7C5A" w:rsidRDefault="00BE7C5A" w:rsidP="00441B6F">
      <w:pPr>
        <w:pStyle w:val="Head1"/>
        <w:spacing w:after="0"/>
        <w:jc w:val="both"/>
        <w:rPr>
          <w:rFonts w:ascii="Arial" w:hAnsi="Arial" w:cs="Arial"/>
          <w:b w:val="0"/>
          <w:bCs/>
          <w:caps w:val="0"/>
          <w:sz w:val="20"/>
        </w:rPr>
      </w:pPr>
    </w:p>
    <w:p w14:paraId="7D6176C5" w14:textId="53160337" w:rsidR="00095C0F" w:rsidRDefault="00095C0F" w:rsidP="00BE7C5A">
      <w:pPr>
        <w:pStyle w:val="Head1"/>
        <w:spacing w:after="0"/>
        <w:rPr>
          <w:rFonts w:ascii="Arial" w:hAnsi="Arial" w:cs="Arial"/>
          <w:caps w:val="0"/>
          <w:szCs w:val="22"/>
        </w:rPr>
      </w:pPr>
      <w:r w:rsidRPr="00BE7C5A">
        <w:rPr>
          <w:rFonts w:ascii="Arial" w:hAnsi="Arial" w:cs="Arial"/>
          <w:caps w:val="0"/>
          <w:szCs w:val="22"/>
        </w:rPr>
        <w:t xml:space="preserve">3.1 </w:t>
      </w:r>
      <w:r w:rsidR="00BE7C5A" w:rsidRPr="00BE7C5A">
        <w:rPr>
          <w:rFonts w:ascii="Arial" w:hAnsi="Arial" w:cs="Arial"/>
          <w:caps w:val="0"/>
          <w:szCs w:val="22"/>
        </w:rPr>
        <w:t>Nutritional Composition</w:t>
      </w:r>
    </w:p>
    <w:p w14:paraId="0E8646A6" w14:textId="0F407B4F" w:rsidR="00BE7C5A" w:rsidRDefault="00BE7C5A" w:rsidP="00BE7C5A">
      <w:pPr>
        <w:pStyle w:val="Head1"/>
        <w:spacing w:after="0"/>
        <w:rPr>
          <w:rFonts w:ascii="Arial" w:hAnsi="Arial" w:cs="Arial"/>
          <w:caps w:val="0"/>
          <w:szCs w:val="22"/>
        </w:rPr>
      </w:pPr>
    </w:p>
    <w:p w14:paraId="244E6120" w14:textId="77777777" w:rsidR="00BE7C5A" w:rsidRPr="00BE7C5A" w:rsidRDefault="00BE7C5A" w:rsidP="00BE7C5A">
      <w:pPr>
        <w:pStyle w:val="Head1"/>
        <w:rPr>
          <w:rFonts w:ascii="Arial" w:hAnsi="Arial" w:cs="Arial"/>
          <w:b w:val="0"/>
          <w:bCs/>
          <w:caps w:val="0"/>
          <w:sz w:val="20"/>
        </w:rPr>
      </w:pPr>
      <w:r w:rsidRPr="00BE7C5A">
        <w:rPr>
          <w:rFonts w:ascii="Arial" w:hAnsi="Arial" w:cs="Arial"/>
          <w:b w:val="0"/>
          <w:bCs/>
          <w:caps w:val="0"/>
          <w:sz w:val="20"/>
        </w:rPr>
        <w:t>BSFL are rich in high-quality protein and lipids, essential amino acids, minerals and bioactive compounds that support poultry growth and health. Reported crude protein content ranges from 35% to 60% dry matter (DM) depending on the substrate and processing method (</w:t>
      </w:r>
      <w:proofErr w:type="spellStart"/>
      <w:r w:rsidRPr="00BE7C5A">
        <w:rPr>
          <w:rFonts w:ascii="Arial" w:hAnsi="Arial" w:cs="Arial"/>
          <w:b w:val="0"/>
          <w:bCs/>
          <w:caps w:val="0"/>
          <w:sz w:val="20"/>
        </w:rPr>
        <w:t>Oonincx</w:t>
      </w:r>
      <w:proofErr w:type="spellEnd"/>
      <w:r w:rsidRPr="00BE7C5A">
        <w:rPr>
          <w:rFonts w:ascii="Arial" w:hAnsi="Arial" w:cs="Arial"/>
          <w:b w:val="0"/>
          <w:bCs/>
          <w:caps w:val="0"/>
          <w:sz w:val="20"/>
        </w:rPr>
        <w:t xml:space="preserve"> et al., 2015). Crude fat content varies between 15% and 40% DM, offering an </w:t>
      </w:r>
      <w:r w:rsidRPr="00BE7C5A">
        <w:rPr>
          <w:rFonts w:ascii="Arial" w:hAnsi="Arial" w:cs="Arial"/>
          <w:b w:val="0"/>
          <w:bCs/>
          <w:caps w:val="0"/>
          <w:sz w:val="20"/>
        </w:rPr>
        <w:lastRenderedPageBreak/>
        <w:t>additional energy source for poultry. The larval protein fraction is particularly rich in essential amino acids such as lysine, methionine, threonine and valine, comparable to fishmeal and superior to many plant-based feedstuffs (Barragan-Fonseca et al., 2017).</w:t>
      </w:r>
    </w:p>
    <w:p w14:paraId="6DF0BCC6" w14:textId="77777777" w:rsidR="00BE7C5A" w:rsidRPr="00BE7C5A" w:rsidRDefault="00BE7C5A" w:rsidP="00BE7C5A">
      <w:pPr>
        <w:pStyle w:val="Head1"/>
        <w:rPr>
          <w:rFonts w:ascii="Arial" w:hAnsi="Arial" w:cs="Arial"/>
          <w:b w:val="0"/>
          <w:bCs/>
          <w:caps w:val="0"/>
          <w:sz w:val="20"/>
        </w:rPr>
      </w:pPr>
      <w:r w:rsidRPr="00BE7C5A">
        <w:rPr>
          <w:rFonts w:ascii="Arial" w:hAnsi="Arial" w:cs="Arial"/>
          <w:b w:val="0"/>
          <w:bCs/>
          <w:caps w:val="0"/>
          <w:sz w:val="20"/>
        </w:rPr>
        <w:t>Mineral composition studies indicate significant levels of calcium (5-8%), phosphorus (0.6-1.2%), magnesium and trace elements such as zinc and iron, making BSFL an ideal feed ingredient for bone development and egg production (</w:t>
      </w:r>
      <w:proofErr w:type="spellStart"/>
      <w:r w:rsidRPr="00BE7C5A">
        <w:rPr>
          <w:rFonts w:ascii="Arial" w:hAnsi="Arial" w:cs="Arial"/>
          <w:b w:val="0"/>
          <w:bCs/>
          <w:caps w:val="0"/>
          <w:sz w:val="20"/>
        </w:rPr>
        <w:t>Spranghers</w:t>
      </w:r>
      <w:proofErr w:type="spellEnd"/>
      <w:r w:rsidRPr="00BE7C5A">
        <w:rPr>
          <w:rFonts w:ascii="Arial" w:hAnsi="Arial" w:cs="Arial"/>
          <w:b w:val="0"/>
          <w:bCs/>
          <w:caps w:val="0"/>
          <w:sz w:val="20"/>
        </w:rPr>
        <w:t xml:space="preserve"> et al., 2017). The </w:t>
      </w:r>
      <w:proofErr w:type="spellStart"/>
      <w:r w:rsidRPr="00BE7C5A">
        <w:rPr>
          <w:rFonts w:ascii="Arial" w:hAnsi="Arial" w:cs="Arial"/>
          <w:b w:val="0"/>
          <w:bCs/>
          <w:caps w:val="0"/>
          <w:sz w:val="20"/>
        </w:rPr>
        <w:t>Ca:P</w:t>
      </w:r>
      <w:proofErr w:type="spellEnd"/>
      <w:r w:rsidRPr="00BE7C5A">
        <w:rPr>
          <w:rFonts w:ascii="Arial" w:hAnsi="Arial" w:cs="Arial"/>
          <w:b w:val="0"/>
          <w:bCs/>
          <w:caps w:val="0"/>
          <w:sz w:val="20"/>
        </w:rPr>
        <w:t xml:space="preserve"> ratio (5:1) in BSFL is beneficial for layer diets, although adjustments may be needed for broiler rations to maintain balanced phosphorus availability.</w:t>
      </w:r>
    </w:p>
    <w:p w14:paraId="37C73E59" w14:textId="69F2D64D" w:rsidR="00BE7C5A" w:rsidRDefault="00BE7C5A" w:rsidP="00BE7C5A">
      <w:pPr>
        <w:pStyle w:val="Head1"/>
        <w:spacing w:after="0"/>
        <w:rPr>
          <w:rFonts w:ascii="Arial" w:hAnsi="Arial" w:cs="Arial"/>
          <w:b w:val="0"/>
          <w:bCs/>
          <w:caps w:val="0"/>
          <w:sz w:val="20"/>
        </w:rPr>
      </w:pPr>
      <w:r w:rsidRPr="00BE7C5A">
        <w:rPr>
          <w:rFonts w:ascii="Arial" w:hAnsi="Arial" w:cs="Arial"/>
          <w:b w:val="0"/>
          <w:bCs/>
          <w:caps w:val="0"/>
          <w:sz w:val="20"/>
        </w:rPr>
        <w:t>BSFL also contain chitin, a polysaccharide in the exoskeleton, constituting about 5-10% of dry mass. While chitin is indigestible by monogastric animals, it has been shown to enhance gut health, modulate immune response and act as a natural prebiotic when included at moderate levels (Gasco et al., 2020). Proximate composition of BSFL is shown in Table 1.</w:t>
      </w:r>
    </w:p>
    <w:p w14:paraId="24142A95" w14:textId="3C5468A5" w:rsidR="00BE7C5A" w:rsidRDefault="00BE7C5A" w:rsidP="00BE7C5A">
      <w:pPr>
        <w:pStyle w:val="Head1"/>
        <w:spacing w:after="0"/>
        <w:rPr>
          <w:rFonts w:ascii="Arial" w:hAnsi="Arial" w:cs="Arial"/>
          <w:b w:val="0"/>
          <w:bCs/>
          <w:caps w:val="0"/>
          <w:sz w:val="20"/>
        </w:rPr>
      </w:pPr>
    </w:p>
    <w:p w14:paraId="0D3F4E99" w14:textId="147EBB11" w:rsidR="00BE7C5A" w:rsidRPr="008933BD" w:rsidRDefault="00BE7C5A" w:rsidP="00BE7C5A">
      <w:pPr>
        <w:pStyle w:val="Head1"/>
        <w:spacing w:after="0"/>
        <w:rPr>
          <w:rFonts w:ascii="Arial" w:hAnsi="Arial" w:cs="Arial"/>
          <w:caps w:val="0"/>
          <w:sz w:val="20"/>
        </w:rPr>
      </w:pPr>
      <w:r w:rsidRPr="008933BD">
        <w:rPr>
          <w:rFonts w:ascii="Arial" w:hAnsi="Arial" w:cs="Arial"/>
          <w:caps w:val="0"/>
          <w:sz w:val="20"/>
        </w:rPr>
        <w:t xml:space="preserve">Table 1: </w:t>
      </w:r>
      <w:r w:rsidR="008933BD" w:rsidRPr="008933BD">
        <w:rPr>
          <w:rFonts w:ascii="Arial" w:hAnsi="Arial" w:cs="Arial"/>
          <w:caps w:val="0"/>
          <w:sz w:val="20"/>
        </w:rPr>
        <w:t>Typical Proximate Composition of BSFL (Dry Matter Basis)</w:t>
      </w:r>
    </w:p>
    <w:p w14:paraId="053C5C79" w14:textId="7326AB9F" w:rsidR="00BE7C5A" w:rsidRPr="008933BD" w:rsidRDefault="00BE7C5A" w:rsidP="00BE7C5A">
      <w:pPr>
        <w:pStyle w:val="Head1"/>
        <w:spacing w:after="0"/>
        <w:rPr>
          <w:rFonts w:ascii="Arial" w:hAnsi="Arial" w:cs="Arial"/>
          <w:b w:val="0"/>
          <w:bCs/>
          <w:caps w:val="0"/>
          <w:sz w:val="20"/>
        </w:rPr>
      </w:pPr>
    </w:p>
    <w:tbl>
      <w:tblPr>
        <w:tblW w:w="0" w:type="auto"/>
        <w:tblLook w:val="04A0" w:firstRow="1" w:lastRow="0" w:firstColumn="1" w:lastColumn="0" w:noHBand="0" w:noVBand="1"/>
      </w:tblPr>
      <w:tblGrid>
        <w:gridCol w:w="2835"/>
        <w:gridCol w:w="2768"/>
        <w:gridCol w:w="2821"/>
      </w:tblGrid>
      <w:tr w:rsidR="00BE7C5A" w:rsidRPr="008933BD" w14:paraId="4683C971" w14:textId="77777777" w:rsidTr="00BE7C5A">
        <w:tc>
          <w:tcPr>
            <w:tcW w:w="2835" w:type="dxa"/>
            <w:tcBorders>
              <w:top w:val="single" w:sz="4" w:space="0" w:color="auto"/>
              <w:bottom w:val="single" w:sz="4" w:space="0" w:color="auto"/>
            </w:tcBorders>
          </w:tcPr>
          <w:p w14:paraId="507A58BB" w14:textId="77777777" w:rsidR="00BE7C5A" w:rsidRPr="008933BD" w:rsidRDefault="00BE7C5A" w:rsidP="00C32504">
            <w:pPr>
              <w:spacing w:line="360" w:lineRule="auto"/>
              <w:jc w:val="center"/>
              <w:rPr>
                <w:rFonts w:ascii="Arial" w:hAnsi="Arial" w:cs="Arial"/>
                <w:b/>
                <w:bCs/>
              </w:rPr>
            </w:pPr>
            <w:r w:rsidRPr="008933BD">
              <w:rPr>
                <w:rFonts w:ascii="Arial" w:hAnsi="Arial" w:cs="Arial"/>
                <w:b/>
                <w:bCs/>
              </w:rPr>
              <w:t>Component</w:t>
            </w:r>
          </w:p>
        </w:tc>
        <w:tc>
          <w:tcPr>
            <w:tcW w:w="2768" w:type="dxa"/>
            <w:tcBorders>
              <w:top w:val="single" w:sz="4" w:space="0" w:color="auto"/>
              <w:bottom w:val="single" w:sz="4" w:space="0" w:color="auto"/>
            </w:tcBorders>
          </w:tcPr>
          <w:p w14:paraId="00AACE1C" w14:textId="77777777" w:rsidR="00BE7C5A" w:rsidRPr="008933BD" w:rsidRDefault="00BE7C5A" w:rsidP="00C32504">
            <w:pPr>
              <w:spacing w:line="360" w:lineRule="auto"/>
              <w:jc w:val="center"/>
              <w:rPr>
                <w:rFonts w:ascii="Arial" w:hAnsi="Arial" w:cs="Arial"/>
                <w:b/>
                <w:bCs/>
              </w:rPr>
            </w:pPr>
            <w:r w:rsidRPr="008933BD">
              <w:rPr>
                <w:rFonts w:ascii="Arial" w:hAnsi="Arial" w:cs="Arial"/>
                <w:b/>
                <w:bCs/>
              </w:rPr>
              <w:t>Range (%)</w:t>
            </w:r>
          </w:p>
        </w:tc>
        <w:tc>
          <w:tcPr>
            <w:tcW w:w="2821" w:type="dxa"/>
            <w:tcBorders>
              <w:top w:val="single" w:sz="4" w:space="0" w:color="auto"/>
              <w:bottom w:val="single" w:sz="4" w:space="0" w:color="auto"/>
            </w:tcBorders>
          </w:tcPr>
          <w:p w14:paraId="33B1C949" w14:textId="77777777" w:rsidR="00BE7C5A" w:rsidRPr="008933BD" w:rsidRDefault="00BE7C5A" w:rsidP="00C32504">
            <w:pPr>
              <w:spacing w:line="360" w:lineRule="auto"/>
              <w:jc w:val="center"/>
              <w:rPr>
                <w:rFonts w:ascii="Arial" w:hAnsi="Arial" w:cs="Arial"/>
                <w:b/>
                <w:bCs/>
              </w:rPr>
            </w:pPr>
            <w:r w:rsidRPr="008933BD">
              <w:rPr>
                <w:rFonts w:ascii="Arial" w:hAnsi="Arial" w:cs="Arial"/>
                <w:b/>
                <w:bCs/>
              </w:rPr>
              <w:t>Reference</w:t>
            </w:r>
          </w:p>
        </w:tc>
      </w:tr>
      <w:tr w:rsidR="00BE7C5A" w:rsidRPr="00E513BA" w14:paraId="59A172CD" w14:textId="77777777" w:rsidTr="00BE7C5A">
        <w:tc>
          <w:tcPr>
            <w:tcW w:w="2835" w:type="dxa"/>
            <w:tcBorders>
              <w:top w:val="single" w:sz="4" w:space="0" w:color="auto"/>
            </w:tcBorders>
          </w:tcPr>
          <w:p w14:paraId="48D3C3D0" w14:textId="77777777" w:rsidR="00BE7C5A" w:rsidRPr="008933BD" w:rsidRDefault="00BE7C5A" w:rsidP="00C32504">
            <w:pPr>
              <w:spacing w:line="360" w:lineRule="auto"/>
              <w:jc w:val="center"/>
              <w:rPr>
                <w:rFonts w:ascii="Arial" w:hAnsi="Arial" w:cs="Arial"/>
              </w:rPr>
            </w:pPr>
            <w:r w:rsidRPr="008933BD">
              <w:rPr>
                <w:rFonts w:ascii="Arial" w:hAnsi="Arial" w:cs="Arial"/>
              </w:rPr>
              <w:t>Crude Protein</w:t>
            </w:r>
          </w:p>
        </w:tc>
        <w:tc>
          <w:tcPr>
            <w:tcW w:w="2768" w:type="dxa"/>
            <w:tcBorders>
              <w:top w:val="single" w:sz="4" w:space="0" w:color="auto"/>
            </w:tcBorders>
          </w:tcPr>
          <w:p w14:paraId="7F0BD6EE" w14:textId="77777777" w:rsidR="00BE7C5A" w:rsidRPr="008933BD" w:rsidRDefault="00BE7C5A" w:rsidP="00C32504">
            <w:pPr>
              <w:spacing w:line="360" w:lineRule="auto"/>
              <w:jc w:val="center"/>
              <w:rPr>
                <w:rFonts w:ascii="Arial" w:hAnsi="Arial" w:cs="Arial"/>
              </w:rPr>
            </w:pPr>
            <w:r w:rsidRPr="008933BD">
              <w:rPr>
                <w:rFonts w:ascii="Arial" w:hAnsi="Arial" w:cs="Arial"/>
              </w:rPr>
              <w:t>35-60</w:t>
            </w:r>
          </w:p>
        </w:tc>
        <w:tc>
          <w:tcPr>
            <w:tcW w:w="2821" w:type="dxa"/>
            <w:tcBorders>
              <w:top w:val="single" w:sz="4" w:space="0" w:color="auto"/>
            </w:tcBorders>
          </w:tcPr>
          <w:p w14:paraId="04415689" w14:textId="1F61169B" w:rsidR="00BE7C5A" w:rsidRPr="00E513BA" w:rsidRDefault="00BE7C5A" w:rsidP="00C32504">
            <w:pPr>
              <w:spacing w:line="360" w:lineRule="auto"/>
              <w:jc w:val="center"/>
              <w:rPr>
                <w:rFonts w:ascii="Arial" w:hAnsi="Arial" w:cs="Arial"/>
                <w:lang w:val="fr-FR"/>
              </w:rPr>
            </w:pPr>
            <w:proofErr w:type="spellStart"/>
            <w:r w:rsidRPr="00E513BA">
              <w:rPr>
                <w:rFonts w:ascii="Arial" w:hAnsi="Arial" w:cs="Arial"/>
                <w:lang w:val="fr-FR"/>
              </w:rPr>
              <w:t>Makkar</w:t>
            </w:r>
            <w:proofErr w:type="spellEnd"/>
            <w:r w:rsidRPr="00E513BA">
              <w:rPr>
                <w:rFonts w:ascii="Arial" w:hAnsi="Arial" w:cs="Arial"/>
                <w:lang w:val="fr-FR"/>
              </w:rPr>
              <w:t xml:space="preserve"> et al., 2014; </w:t>
            </w:r>
            <w:proofErr w:type="spellStart"/>
            <w:r w:rsidRPr="00E513BA">
              <w:rPr>
                <w:rFonts w:ascii="Arial" w:hAnsi="Arial" w:cs="Arial"/>
                <w:lang w:val="fr-FR"/>
              </w:rPr>
              <w:t>Oonincx</w:t>
            </w:r>
            <w:proofErr w:type="spellEnd"/>
            <w:r w:rsidRPr="00E513BA">
              <w:rPr>
                <w:rFonts w:ascii="Arial" w:hAnsi="Arial" w:cs="Arial"/>
                <w:lang w:val="fr-FR"/>
              </w:rPr>
              <w:t xml:space="preserve"> et al., 2015; </w:t>
            </w:r>
            <w:proofErr w:type="spellStart"/>
            <w:r w:rsidRPr="00E513BA">
              <w:rPr>
                <w:rFonts w:ascii="Arial" w:hAnsi="Arial" w:cs="Arial"/>
                <w:lang w:val="fr-FR"/>
              </w:rPr>
              <w:t>Limbu</w:t>
            </w:r>
            <w:proofErr w:type="spellEnd"/>
            <w:r w:rsidRPr="00E513BA">
              <w:rPr>
                <w:rFonts w:ascii="Arial" w:hAnsi="Arial" w:cs="Arial"/>
                <w:lang w:val="fr-FR"/>
              </w:rPr>
              <w:t xml:space="preserve"> et al., 2022; Salinas et al., 2023 </w:t>
            </w:r>
          </w:p>
        </w:tc>
      </w:tr>
      <w:tr w:rsidR="00BE7C5A" w:rsidRPr="00E513BA" w14:paraId="3A484A66" w14:textId="77777777" w:rsidTr="00BE7C5A">
        <w:tc>
          <w:tcPr>
            <w:tcW w:w="2835" w:type="dxa"/>
          </w:tcPr>
          <w:p w14:paraId="21BE02AF" w14:textId="77777777" w:rsidR="00BE7C5A" w:rsidRPr="008933BD" w:rsidRDefault="00BE7C5A" w:rsidP="00C32504">
            <w:pPr>
              <w:spacing w:line="360" w:lineRule="auto"/>
              <w:jc w:val="center"/>
              <w:rPr>
                <w:rFonts w:ascii="Arial" w:hAnsi="Arial" w:cs="Arial"/>
              </w:rPr>
            </w:pPr>
            <w:r w:rsidRPr="008933BD">
              <w:rPr>
                <w:rFonts w:ascii="Arial" w:hAnsi="Arial" w:cs="Arial"/>
              </w:rPr>
              <w:t>Crude Fat</w:t>
            </w:r>
          </w:p>
        </w:tc>
        <w:tc>
          <w:tcPr>
            <w:tcW w:w="2768" w:type="dxa"/>
          </w:tcPr>
          <w:p w14:paraId="1179AFBF" w14:textId="77777777" w:rsidR="00BE7C5A" w:rsidRPr="008933BD" w:rsidRDefault="00BE7C5A" w:rsidP="00C32504">
            <w:pPr>
              <w:spacing w:line="360" w:lineRule="auto"/>
              <w:jc w:val="center"/>
              <w:rPr>
                <w:rFonts w:ascii="Arial" w:hAnsi="Arial" w:cs="Arial"/>
              </w:rPr>
            </w:pPr>
            <w:r w:rsidRPr="008933BD">
              <w:rPr>
                <w:rFonts w:ascii="Arial" w:hAnsi="Arial" w:cs="Arial"/>
              </w:rPr>
              <w:t>15-40</w:t>
            </w:r>
          </w:p>
        </w:tc>
        <w:tc>
          <w:tcPr>
            <w:tcW w:w="2821" w:type="dxa"/>
          </w:tcPr>
          <w:p w14:paraId="0457E066" w14:textId="1CE84766" w:rsidR="00BE7C5A" w:rsidRPr="00E513BA" w:rsidRDefault="00BE7C5A" w:rsidP="00C32504">
            <w:pPr>
              <w:spacing w:line="360" w:lineRule="auto"/>
              <w:jc w:val="center"/>
              <w:rPr>
                <w:rFonts w:ascii="Arial" w:hAnsi="Arial" w:cs="Arial"/>
                <w:lang w:val="fr-FR"/>
              </w:rPr>
            </w:pPr>
            <w:proofErr w:type="spellStart"/>
            <w:r w:rsidRPr="00E513BA">
              <w:rPr>
                <w:rFonts w:ascii="Arial" w:hAnsi="Arial" w:cs="Arial"/>
                <w:lang w:val="fr-FR"/>
              </w:rPr>
              <w:t>Spranghers</w:t>
            </w:r>
            <w:proofErr w:type="spellEnd"/>
            <w:r w:rsidRPr="00E513BA">
              <w:rPr>
                <w:rFonts w:ascii="Arial" w:hAnsi="Arial" w:cs="Arial"/>
                <w:lang w:val="fr-FR"/>
              </w:rPr>
              <w:t xml:space="preserve"> et al., 2017; </w:t>
            </w:r>
            <w:proofErr w:type="spellStart"/>
            <w:r w:rsidRPr="00E513BA">
              <w:rPr>
                <w:rFonts w:ascii="Arial" w:hAnsi="Arial" w:cs="Arial"/>
                <w:lang w:val="fr-FR"/>
              </w:rPr>
              <w:t>Limbu</w:t>
            </w:r>
            <w:proofErr w:type="spellEnd"/>
            <w:r w:rsidRPr="00E513BA">
              <w:rPr>
                <w:rFonts w:ascii="Arial" w:hAnsi="Arial" w:cs="Arial"/>
                <w:lang w:val="fr-FR"/>
              </w:rPr>
              <w:t xml:space="preserve"> et al., 2022; Salinas et al., 2023; </w:t>
            </w:r>
            <w:proofErr w:type="spellStart"/>
            <w:r w:rsidRPr="00E513BA">
              <w:rPr>
                <w:rFonts w:ascii="Arial" w:hAnsi="Arial" w:cs="Arial"/>
                <w:lang w:val="fr-FR"/>
              </w:rPr>
              <w:t>Mašková</w:t>
            </w:r>
            <w:proofErr w:type="spellEnd"/>
            <w:r w:rsidRPr="00E513BA">
              <w:rPr>
                <w:rFonts w:ascii="Arial" w:hAnsi="Arial" w:cs="Arial"/>
                <w:lang w:val="fr-FR"/>
              </w:rPr>
              <w:t xml:space="preserve"> et al., 2025</w:t>
            </w:r>
          </w:p>
        </w:tc>
      </w:tr>
      <w:tr w:rsidR="00BE7C5A" w:rsidRPr="008933BD" w14:paraId="23971183" w14:textId="77777777" w:rsidTr="00BE7C5A">
        <w:tc>
          <w:tcPr>
            <w:tcW w:w="2835" w:type="dxa"/>
          </w:tcPr>
          <w:p w14:paraId="025AFE61" w14:textId="77777777" w:rsidR="00BE7C5A" w:rsidRPr="008933BD" w:rsidRDefault="00BE7C5A" w:rsidP="00C32504">
            <w:pPr>
              <w:spacing w:line="360" w:lineRule="auto"/>
              <w:jc w:val="center"/>
              <w:rPr>
                <w:rFonts w:ascii="Arial" w:hAnsi="Arial" w:cs="Arial"/>
              </w:rPr>
            </w:pPr>
            <w:r w:rsidRPr="008933BD">
              <w:rPr>
                <w:rFonts w:ascii="Arial" w:hAnsi="Arial" w:cs="Arial"/>
              </w:rPr>
              <w:t>Ash</w:t>
            </w:r>
          </w:p>
        </w:tc>
        <w:tc>
          <w:tcPr>
            <w:tcW w:w="2768" w:type="dxa"/>
          </w:tcPr>
          <w:p w14:paraId="77DD821D" w14:textId="77777777" w:rsidR="00BE7C5A" w:rsidRPr="008933BD" w:rsidRDefault="00BE7C5A" w:rsidP="00C32504">
            <w:pPr>
              <w:spacing w:line="360" w:lineRule="auto"/>
              <w:jc w:val="center"/>
              <w:rPr>
                <w:rFonts w:ascii="Arial" w:hAnsi="Arial" w:cs="Arial"/>
              </w:rPr>
            </w:pPr>
            <w:r w:rsidRPr="008933BD">
              <w:rPr>
                <w:rFonts w:ascii="Arial" w:hAnsi="Arial" w:cs="Arial"/>
              </w:rPr>
              <w:t>10-20</w:t>
            </w:r>
          </w:p>
        </w:tc>
        <w:tc>
          <w:tcPr>
            <w:tcW w:w="2821" w:type="dxa"/>
          </w:tcPr>
          <w:p w14:paraId="07D57931" w14:textId="77777777" w:rsidR="00BE7C5A" w:rsidRPr="008933BD" w:rsidRDefault="00BE7C5A" w:rsidP="00C32504">
            <w:pPr>
              <w:spacing w:line="360" w:lineRule="auto"/>
              <w:jc w:val="center"/>
              <w:rPr>
                <w:rFonts w:ascii="Arial" w:hAnsi="Arial" w:cs="Arial"/>
              </w:rPr>
            </w:pPr>
            <w:r w:rsidRPr="008933BD">
              <w:rPr>
                <w:rFonts w:ascii="Arial" w:hAnsi="Arial" w:cs="Arial"/>
              </w:rPr>
              <w:t>Diener et al., 2009</w:t>
            </w:r>
          </w:p>
        </w:tc>
      </w:tr>
      <w:tr w:rsidR="00BE7C5A" w:rsidRPr="00E513BA" w14:paraId="389C787A" w14:textId="77777777" w:rsidTr="00BE7C5A">
        <w:tc>
          <w:tcPr>
            <w:tcW w:w="2835" w:type="dxa"/>
          </w:tcPr>
          <w:p w14:paraId="758797B8" w14:textId="77777777" w:rsidR="00BE7C5A" w:rsidRPr="008933BD" w:rsidRDefault="00BE7C5A" w:rsidP="00C32504">
            <w:pPr>
              <w:spacing w:line="360" w:lineRule="auto"/>
              <w:jc w:val="center"/>
              <w:rPr>
                <w:rFonts w:ascii="Arial" w:hAnsi="Arial" w:cs="Arial"/>
              </w:rPr>
            </w:pPr>
            <w:r w:rsidRPr="008933BD">
              <w:rPr>
                <w:rFonts w:ascii="Arial" w:hAnsi="Arial" w:cs="Arial"/>
              </w:rPr>
              <w:t>Fiber (chitin)</w:t>
            </w:r>
          </w:p>
        </w:tc>
        <w:tc>
          <w:tcPr>
            <w:tcW w:w="2768" w:type="dxa"/>
          </w:tcPr>
          <w:p w14:paraId="6DD45278" w14:textId="77777777" w:rsidR="00BE7C5A" w:rsidRPr="008933BD" w:rsidRDefault="00BE7C5A" w:rsidP="00C32504">
            <w:pPr>
              <w:spacing w:line="360" w:lineRule="auto"/>
              <w:jc w:val="center"/>
              <w:rPr>
                <w:rFonts w:ascii="Arial" w:hAnsi="Arial" w:cs="Arial"/>
              </w:rPr>
            </w:pPr>
            <w:r w:rsidRPr="008933BD">
              <w:rPr>
                <w:rFonts w:ascii="Arial" w:hAnsi="Arial" w:cs="Arial"/>
              </w:rPr>
              <w:t>5-10</w:t>
            </w:r>
          </w:p>
        </w:tc>
        <w:tc>
          <w:tcPr>
            <w:tcW w:w="2821" w:type="dxa"/>
          </w:tcPr>
          <w:p w14:paraId="056CC3B4" w14:textId="77777777" w:rsidR="00BE7C5A" w:rsidRPr="00E513BA" w:rsidRDefault="00BE7C5A" w:rsidP="00C32504">
            <w:pPr>
              <w:spacing w:line="360" w:lineRule="auto"/>
              <w:jc w:val="center"/>
              <w:rPr>
                <w:rFonts w:ascii="Arial" w:hAnsi="Arial" w:cs="Arial"/>
                <w:lang w:val="fr-FR"/>
              </w:rPr>
            </w:pPr>
            <w:proofErr w:type="spellStart"/>
            <w:r w:rsidRPr="00E513BA">
              <w:rPr>
                <w:rFonts w:ascii="Arial" w:hAnsi="Arial" w:cs="Arial"/>
                <w:lang w:val="fr-FR"/>
              </w:rPr>
              <w:t>Gasco</w:t>
            </w:r>
            <w:proofErr w:type="spellEnd"/>
            <w:r w:rsidRPr="00E513BA">
              <w:rPr>
                <w:rFonts w:ascii="Arial" w:hAnsi="Arial" w:cs="Arial"/>
                <w:lang w:val="fr-FR"/>
              </w:rPr>
              <w:t xml:space="preserve"> et al., 2020; </w:t>
            </w:r>
            <w:proofErr w:type="spellStart"/>
            <w:r w:rsidRPr="00E513BA">
              <w:rPr>
                <w:rFonts w:ascii="Arial" w:hAnsi="Arial" w:cs="Arial"/>
                <w:lang w:val="fr-FR"/>
              </w:rPr>
              <w:t>Limbu</w:t>
            </w:r>
            <w:proofErr w:type="spellEnd"/>
            <w:r w:rsidRPr="00E513BA">
              <w:rPr>
                <w:rFonts w:ascii="Arial" w:hAnsi="Arial" w:cs="Arial"/>
                <w:lang w:val="fr-FR"/>
              </w:rPr>
              <w:t xml:space="preserve"> et al., 2022</w:t>
            </w:r>
          </w:p>
        </w:tc>
      </w:tr>
      <w:tr w:rsidR="00BE7C5A" w:rsidRPr="008933BD" w14:paraId="1C6A68DB" w14:textId="77777777" w:rsidTr="00BE7C5A">
        <w:tc>
          <w:tcPr>
            <w:tcW w:w="2835" w:type="dxa"/>
          </w:tcPr>
          <w:p w14:paraId="65C6C0FA" w14:textId="77777777" w:rsidR="00BE7C5A" w:rsidRPr="008933BD" w:rsidRDefault="00BE7C5A" w:rsidP="00C32504">
            <w:pPr>
              <w:spacing w:line="360" w:lineRule="auto"/>
              <w:jc w:val="center"/>
              <w:rPr>
                <w:rFonts w:ascii="Arial" w:hAnsi="Arial" w:cs="Arial"/>
              </w:rPr>
            </w:pPr>
            <w:r w:rsidRPr="008933BD">
              <w:rPr>
                <w:rFonts w:ascii="Arial" w:hAnsi="Arial" w:cs="Arial"/>
              </w:rPr>
              <w:t>Calcium</w:t>
            </w:r>
          </w:p>
        </w:tc>
        <w:tc>
          <w:tcPr>
            <w:tcW w:w="2768" w:type="dxa"/>
          </w:tcPr>
          <w:p w14:paraId="14E61CCD" w14:textId="77777777" w:rsidR="00BE7C5A" w:rsidRPr="008933BD" w:rsidRDefault="00BE7C5A" w:rsidP="00C32504">
            <w:pPr>
              <w:spacing w:line="360" w:lineRule="auto"/>
              <w:jc w:val="center"/>
              <w:rPr>
                <w:rFonts w:ascii="Arial" w:hAnsi="Arial" w:cs="Arial"/>
              </w:rPr>
            </w:pPr>
            <w:r w:rsidRPr="008933BD">
              <w:rPr>
                <w:rFonts w:ascii="Arial" w:hAnsi="Arial" w:cs="Arial"/>
              </w:rPr>
              <w:t>5-8</w:t>
            </w:r>
          </w:p>
        </w:tc>
        <w:tc>
          <w:tcPr>
            <w:tcW w:w="2821" w:type="dxa"/>
          </w:tcPr>
          <w:p w14:paraId="5AEBA01D" w14:textId="77777777" w:rsidR="00BE7C5A" w:rsidRPr="008933BD" w:rsidRDefault="00BE7C5A" w:rsidP="00C32504">
            <w:pPr>
              <w:spacing w:line="360" w:lineRule="auto"/>
              <w:jc w:val="center"/>
              <w:rPr>
                <w:rFonts w:ascii="Arial" w:hAnsi="Arial" w:cs="Arial"/>
              </w:rPr>
            </w:pPr>
            <w:proofErr w:type="spellStart"/>
            <w:r w:rsidRPr="008933BD">
              <w:rPr>
                <w:rFonts w:ascii="Arial" w:hAnsi="Arial" w:cs="Arial"/>
              </w:rPr>
              <w:t>Spranghers</w:t>
            </w:r>
            <w:proofErr w:type="spellEnd"/>
            <w:r w:rsidRPr="008933BD">
              <w:rPr>
                <w:rFonts w:ascii="Arial" w:hAnsi="Arial" w:cs="Arial"/>
              </w:rPr>
              <w:t xml:space="preserve"> et al., 2017</w:t>
            </w:r>
          </w:p>
        </w:tc>
      </w:tr>
      <w:tr w:rsidR="00BE7C5A" w:rsidRPr="008933BD" w14:paraId="5AC291C5" w14:textId="77777777" w:rsidTr="00BE7C5A">
        <w:tc>
          <w:tcPr>
            <w:tcW w:w="2835" w:type="dxa"/>
            <w:tcBorders>
              <w:bottom w:val="single" w:sz="4" w:space="0" w:color="auto"/>
            </w:tcBorders>
          </w:tcPr>
          <w:p w14:paraId="394557C0" w14:textId="77777777" w:rsidR="00BE7C5A" w:rsidRPr="008933BD" w:rsidRDefault="00BE7C5A" w:rsidP="00C32504">
            <w:pPr>
              <w:spacing w:line="360" w:lineRule="auto"/>
              <w:jc w:val="center"/>
              <w:rPr>
                <w:rFonts w:ascii="Arial" w:hAnsi="Arial" w:cs="Arial"/>
              </w:rPr>
            </w:pPr>
            <w:r w:rsidRPr="008933BD">
              <w:rPr>
                <w:rFonts w:ascii="Arial" w:hAnsi="Arial" w:cs="Arial"/>
              </w:rPr>
              <w:t>Phosphorus</w:t>
            </w:r>
          </w:p>
        </w:tc>
        <w:tc>
          <w:tcPr>
            <w:tcW w:w="2768" w:type="dxa"/>
            <w:tcBorders>
              <w:bottom w:val="single" w:sz="4" w:space="0" w:color="auto"/>
            </w:tcBorders>
          </w:tcPr>
          <w:p w14:paraId="34443173" w14:textId="77777777" w:rsidR="00BE7C5A" w:rsidRPr="008933BD" w:rsidRDefault="00BE7C5A" w:rsidP="00C32504">
            <w:pPr>
              <w:spacing w:line="360" w:lineRule="auto"/>
              <w:jc w:val="center"/>
              <w:rPr>
                <w:rFonts w:ascii="Arial" w:hAnsi="Arial" w:cs="Arial"/>
              </w:rPr>
            </w:pPr>
            <w:r w:rsidRPr="008933BD">
              <w:rPr>
                <w:rFonts w:ascii="Arial" w:hAnsi="Arial" w:cs="Arial"/>
              </w:rPr>
              <w:t>0.6–1.2</w:t>
            </w:r>
          </w:p>
        </w:tc>
        <w:tc>
          <w:tcPr>
            <w:tcW w:w="2821" w:type="dxa"/>
            <w:tcBorders>
              <w:bottom w:val="single" w:sz="4" w:space="0" w:color="auto"/>
            </w:tcBorders>
          </w:tcPr>
          <w:p w14:paraId="3729D44E" w14:textId="77777777" w:rsidR="00BE7C5A" w:rsidRPr="008933BD" w:rsidRDefault="00BE7C5A" w:rsidP="00C32504">
            <w:pPr>
              <w:spacing w:line="360" w:lineRule="auto"/>
              <w:jc w:val="center"/>
              <w:rPr>
                <w:rFonts w:ascii="Arial" w:hAnsi="Arial" w:cs="Arial"/>
              </w:rPr>
            </w:pPr>
            <w:proofErr w:type="spellStart"/>
            <w:r w:rsidRPr="008933BD">
              <w:rPr>
                <w:rFonts w:ascii="Arial" w:hAnsi="Arial" w:cs="Arial"/>
              </w:rPr>
              <w:t>Oonincx</w:t>
            </w:r>
            <w:proofErr w:type="spellEnd"/>
            <w:r w:rsidRPr="008933BD">
              <w:rPr>
                <w:rFonts w:ascii="Arial" w:hAnsi="Arial" w:cs="Arial"/>
              </w:rPr>
              <w:t xml:space="preserve"> &amp; Finke, 2021</w:t>
            </w:r>
          </w:p>
        </w:tc>
      </w:tr>
    </w:tbl>
    <w:p w14:paraId="4F2FCD9C" w14:textId="2E1CC5EC" w:rsidR="00855F95" w:rsidRPr="00855F95" w:rsidRDefault="00855F95" w:rsidP="00855F95">
      <w:pPr>
        <w:pStyle w:val="Head1"/>
        <w:rPr>
          <w:rFonts w:ascii="Arial" w:hAnsi="Arial" w:cs="Arial"/>
          <w:caps w:val="0"/>
          <w:szCs w:val="22"/>
        </w:rPr>
      </w:pPr>
      <w:r>
        <w:rPr>
          <w:rFonts w:ascii="Arial" w:hAnsi="Arial" w:cs="Arial"/>
          <w:caps w:val="0"/>
          <w:szCs w:val="22"/>
        </w:rPr>
        <w:t xml:space="preserve">3.2 </w:t>
      </w:r>
      <w:r w:rsidRPr="00855F95">
        <w:rPr>
          <w:rFonts w:ascii="Arial" w:hAnsi="Arial" w:cs="Arial"/>
          <w:caps w:val="0"/>
          <w:szCs w:val="22"/>
        </w:rPr>
        <w:t>Digestibility and Amino Acid Profile</w:t>
      </w:r>
    </w:p>
    <w:p w14:paraId="2D92DB4A" w14:textId="6DF06E85" w:rsidR="00BE7C5A" w:rsidRDefault="00855F95" w:rsidP="00855F95">
      <w:pPr>
        <w:pStyle w:val="Head1"/>
        <w:spacing w:after="0"/>
        <w:jc w:val="both"/>
        <w:rPr>
          <w:rFonts w:ascii="Arial" w:hAnsi="Arial" w:cs="Arial"/>
          <w:b w:val="0"/>
          <w:bCs/>
          <w:caps w:val="0"/>
          <w:sz w:val="20"/>
        </w:rPr>
      </w:pPr>
      <w:r w:rsidRPr="00855F95">
        <w:rPr>
          <w:rFonts w:ascii="Arial" w:hAnsi="Arial" w:cs="Arial"/>
          <w:b w:val="0"/>
          <w:bCs/>
          <w:caps w:val="0"/>
          <w:sz w:val="20"/>
        </w:rPr>
        <w:t>The digestibility of BSFL protein is generally high, with reported values of 80-95%, comparable to or exceeding that of fishmeal (Makkar et al., 2014). Amino acid analysis shows that BSFL contain all essential amino acids required by poultry, particularly high concentrations of lysine (4.2-6.0%) and methionine (1.2-2.0%) on a protein basis (Barragan-Fonseca et al., 2017). This profile supports optimal growth performance and muscle development in broilers and improved egg mass in layers. However, the amino acid composition and digestibility can vary with the rearing substrate and processing methods (drying, defatting, or fermentation). For instance, defatted BSFL meals tend to have higher protein concentration (up to 60%) but lower energy content, making them more suitable for protein balancing in poultry feed (</w:t>
      </w:r>
      <w:proofErr w:type="spellStart"/>
      <w:r w:rsidRPr="00855F95">
        <w:rPr>
          <w:rFonts w:ascii="Arial" w:hAnsi="Arial" w:cs="Arial"/>
          <w:b w:val="0"/>
          <w:bCs/>
          <w:caps w:val="0"/>
          <w:sz w:val="20"/>
        </w:rPr>
        <w:t>Elwert</w:t>
      </w:r>
      <w:proofErr w:type="spellEnd"/>
      <w:r w:rsidRPr="00855F95">
        <w:rPr>
          <w:rFonts w:ascii="Arial" w:hAnsi="Arial" w:cs="Arial"/>
          <w:b w:val="0"/>
          <w:bCs/>
          <w:caps w:val="0"/>
          <w:sz w:val="20"/>
        </w:rPr>
        <w:t xml:space="preserve"> et al., 2010).</w:t>
      </w:r>
    </w:p>
    <w:p w14:paraId="3BCCE7D1" w14:textId="0DF6F332" w:rsidR="007E23F8" w:rsidRDefault="007E23F8" w:rsidP="00855F95">
      <w:pPr>
        <w:pStyle w:val="Head1"/>
        <w:spacing w:after="0"/>
        <w:jc w:val="both"/>
        <w:rPr>
          <w:rFonts w:ascii="Arial" w:hAnsi="Arial" w:cs="Arial"/>
          <w:b w:val="0"/>
          <w:bCs/>
          <w:caps w:val="0"/>
          <w:sz w:val="20"/>
        </w:rPr>
      </w:pPr>
    </w:p>
    <w:p w14:paraId="55DC884C" w14:textId="77777777" w:rsidR="007E23F8" w:rsidRPr="00BE7C5A" w:rsidRDefault="007E23F8" w:rsidP="00855F95">
      <w:pPr>
        <w:pStyle w:val="Head1"/>
        <w:spacing w:after="0"/>
        <w:jc w:val="both"/>
        <w:rPr>
          <w:rFonts w:ascii="Arial" w:hAnsi="Arial" w:cs="Arial"/>
          <w:b w:val="0"/>
          <w:bCs/>
          <w:caps w:val="0"/>
          <w:sz w:val="20"/>
        </w:rPr>
      </w:pPr>
    </w:p>
    <w:p w14:paraId="6B9B85ED" w14:textId="486DCB69" w:rsidR="00095C0F" w:rsidRDefault="00095C0F" w:rsidP="00855F95">
      <w:pPr>
        <w:pStyle w:val="Head1"/>
        <w:spacing w:after="0"/>
        <w:jc w:val="both"/>
        <w:rPr>
          <w:rFonts w:ascii="Arial" w:hAnsi="Arial" w:cs="Arial"/>
          <w:b w:val="0"/>
          <w:bCs/>
          <w:caps w:val="0"/>
          <w:sz w:val="20"/>
        </w:rPr>
      </w:pPr>
    </w:p>
    <w:p w14:paraId="73FB35B2" w14:textId="60086B6A" w:rsidR="00E55E18" w:rsidRDefault="00E55E18" w:rsidP="00E55E18">
      <w:pPr>
        <w:rPr>
          <w:rFonts w:ascii="Arial" w:hAnsi="Arial" w:cs="Arial"/>
          <w:b/>
          <w:bCs/>
          <w:sz w:val="22"/>
          <w:szCs w:val="22"/>
        </w:rPr>
      </w:pPr>
      <w:r w:rsidRPr="00E55E18">
        <w:rPr>
          <w:rFonts w:ascii="Arial" w:hAnsi="Arial" w:cs="Arial"/>
          <w:b/>
          <w:bCs/>
          <w:sz w:val="22"/>
          <w:szCs w:val="22"/>
        </w:rPr>
        <w:t>3.3 Growth Performance and Feed Conversion in Poultry</w:t>
      </w:r>
    </w:p>
    <w:p w14:paraId="3E0DA889" w14:textId="77777777" w:rsidR="00E55E18" w:rsidRPr="00E55E18" w:rsidRDefault="00E55E18" w:rsidP="00E55E18">
      <w:pPr>
        <w:rPr>
          <w:rFonts w:ascii="Arial" w:hAnsi="Arial" w:cs="Arial"/>
          <w:b/>
          <w:bCs/>
          <w:sz w:val="22"/>
          <w:szCs w:val="22"/>
        </w:rPr>
      </w:pPr>
    </w:p>
    <w:p w14:paraId="0747D645" w14:textId="3C09DBD8" w:rsidR="00E55E18" w:rsidRPr="00E55E18" w:rsidRDefault="00E55E18" w:rsidP="00E55E18">
      <w:pPr>
        <w:jc w:val="both"/>
        <w:rPr>
          <w:rFonts w:ascii="Arial" w:hAnsi="Arial" w:cs="Arial"/>
        </w:rPr>
      </w:pPr>
      <w:r w:rsidRPr="00E55E18">
        <w:rPr>
          <w:rFonts w:ascii="Arial" w:hAnsi="Arial" w:cs="Arial"/>
        </w:rPr>
        <w:t xml:space="preserve">Several feeding trials have demonstrated that partial or full replacement of fishmeal or soybean meal with BSFL meal does not compromise poultry growth or production performance. Studies report that broilers fed diets containing up to 50% BSFL protein substitution achieved comparable body weight gain, feed intake, and FCR to those on conventional diets (Maurer et al., 2016; </w:t>
      </w:r>
      <w:r w:rsidR="00C6702B">
        <w:rPr>
          <w:rFonts w:ascii="Arial" w:hAnsi="Arial" w:cs="Arial"/>
        </w:rPr>
        <w:t>Adam</w:t>
      </w:r>
      <w:r w:rsidRPr="00E55E18">
        <w:rPr>
          <w:rFonts w:ascii="Arial" w:hAnsi="Arial" w:cs="Arial"/>
        </w:rPr>
        <w:t>., 202</w:t>
      </w:r>
      <w:r w:rsidR="00C6702B">
        <w:rPr>
          <w:rFonts w:ascii="Arial" w:hAnsi="Arial" w:cs="Arial"/>
        </w:rPr>
        <w:t>4</w:t>
      </w:r>
      <w:r w:rsidRPr="00E55E18">
        <w:rPr>
          <w:rFonts w:ascii="Arial" w:hAnsi="Arial" w:cs="Arial"/>
        </w:rPr>
        <w:t>). In layers, partial inclusion of BSFL meal (10–15%) has been associated with increased egg weight, improved shell thickness, and enhanced yolk color due to carotenoid pigments in larvae (</w:t>
      </w:r>
      <w:proofErr w:type="spellStart"/>
      <w:r w:rsidRPr="00E55E18">
        <w:rPr>
          <w:rFonts w:ascii="Arial" w:hAnsi="Arial" w:cs="Arial"/>
        </w:rPr>
        <w:t>Cullere</w:t>
      </w:r>
      <w:proofErr w:type="spellEnd"/>
      <w:r w:rsidRPr="00E55E18">
        <w:rPr>
          <w:rFonts w:ascii="Arial" w:hAnsi="Arial" w:cs="Arial"/>
        </w:rPr>
        <w:t xml:space="preserve"> et al., 2016). BSFL oil, when included as a lipid source, can further enhance energy density in poultry diets and contribute to better growth performance.</w:t>
      </w:r>
    </w:p>
    <w:p w14:paraId="69F3B80E" w14:textId="77777777" w:rsidR="00E55E18" w:rsidRPr="00E55E18" w:rsidRDefault="00E55E18" w:rsidP="00E55E18">
      <w:pPr>
        <w:jc w:val="both"/>
        <w:rPr>
          <w:rFonts w:ascii="Arial" w:hAnsi="Arial" w:cs="Arial"/>
        </w:rPr>
      </w:pPr>
      <w:r w:rsidRPr="00E55E18">
        <w:rPr>
          <w:rFonts w:ascii="Arial" w:hAnsi="Arial" w:cs="Arial"/>
        </w:rPr>
        <w:t>Furthermore, BSFL-based diets have been linked to improved gut morphology and immunity, reducing the need for antibiotic growth promoters. Chitin and antimicrobial peptides found in BSFL are believed to contribute to these benefits (Gasco et al., 2020).</w:t>
      </w:r>
    </w:p>
    <w:p w14:paraId="37214DCB" w14:textId="77777777" w:rsidR="00095C0F" w:rsidRPr="00E55E18" w:rsidRDefault="00095C0F" w:rsidP="00855F95">
      <w:pPr>
        <w:pStyle w:val="Head1"/>
        <w:spacing w:after="0"/>
        <w:jc w:val="both"/>
        <w:rPr>
          <w:rFonts w:ascii="Arial" w:hAnsi="Arial" w:cs="Arial"/>
          <w:b w:val="0"/>
          <w:bCs/>
          <w:sz w:val="20"/>
        </w:rPr>
      </w:pPr>
    </w:p>
    <w:p w14:paraId="19A29484" w14:textId="1C286E00" w:rsidR="00D15FC2" w:rsidRPr="00D15FC2" w:rsidRDefault="00D15FC2" w:rsidP="00D15FC2">
      <w:pPr>
        <w:rPr>
          <w:rFonts w:ascii="Arial" w:hAnsi="Arial" w:cs="Arial"/>
          <w:b/>
          <w:bCs/>
          <w:sz w:val="22"/>
          <w:szCs w:val="22"/>
        </w:rPr>
      </w:pPr>
      <w:r>
        <w:rPr>
          <w:rFonts w:ascii="Arial" w:hAnsi="Arial" w:cs="Arial"/>
          <w:b/>
          <w:bCs/>
          <w:sz w:val="22"/>
          <w:szCs w:val="22"/>
        </w:rPr>
        <w:t xml:space="preserve">3.4 </w:t>
      </w:r>
      <w:r w:rsidRPr="00D15FC2">
        <w:rPr>
          <w:rFonts w:ascii="Arial" w:hAnsi="Arial" w:cs="Arial"/>
          <w:b/>
          <w:bCs/>
          <w:sz w:val="22"/>
          <w:szCs w:val="22"/>
        </w:rPr>
        <w:t>Fatty Acid Composition and Health Benefits</w:t>
      </w:r>
    </w:p>
    <w:p w14:paraId="7153A979" w14:textId="089EA376" w:rsidR="00790ADA" w:rsidRDefault="00790ADA" w:rsidP="00441B6F">
      <w:pPr>
        <w:pStyle w:val="Body"/>
        <w:spacing w:after="0"/>
        <w:rPr>
          <w:rFonts w:ascii="Arial" w:hAnsi="Arial" w:cs="Arial"/>
        </w:rPr>
      </w:pPr>
    </w:p>
    <w:p w14:paraId="48F1A4A8" w14:textId="29708169" w:rsidR="00FF307D" w:rsidRDefault="00B15F16" w:rsidP="00441B6F">
      <w:pPr>
        <w:pStyle w:val="Body"/>
        <w:spacing w:after="0"/>
        <w:rPr>
          <w:rFonts w:ascii="Arial" w:hAnsi="Arial" w:cs="Arial"/>
        </w:rPr>
      </w:pPr>
      <w:r w:rsidRPr="00B15F16">
        <w:rPr>
          <w:rFonts w:ascii="Arial" w:hAnsi="Arial" w:cs="Arial"/>
        </w:rPr>
        <w:t>BSFL lipids are rich in lauric acid (C12:0), which constitutes 40-60% of total fatty acids (</w:t>
      </w:r>
      <w:proofErr w:type="spellStart"/>
      <w:r w:rsidRPr="00B15F16">
        <w:rPr>
          <w:rFonts w:ascii="Arial" w:hAnsi="Arial" w:cs="Arial"/>
        </w:rPr>
        <w:t>Spranghers</w:t>
      </w:r>
      <w:proofErr w:type="spellEnd"/>
      <w:r w:rsidRPr="00B15F16">
        <w:rPr>
          <w:rFonts w:ascii="Arial" w:hAnsi="Arial" w:cs="Arial"/>
        </w:rPr>
        <w:t xml:space="preserve"> et al., 2017). Lauric acid possesses potent antimicrobial properties that inhibit harmful gut bacteria such as Salmonella and Clostridium perfringens (Li et al., 2011). This contributes to improved poultry health and feed efficiency. The fatty acid profile of BSFL can be manipulated by modifying the rearing substrate. Diets rich in unsaturated fats (e.g., vegetable residues) can increase the proportion of oleic and linoleic acids in BSFL oil (</w:t>
      </w:r>
      <w:proofErr w:type="spellStart"/>
      <w:r w:rsidRPr="00B15F16">
        <w:rPr>
          <w:rFonts w:ascii="Arial" w:hAnsi="Arial" w:cs="Arial"/>
        </w:rPr>
        <w:t>Oonincx</w:t>
      </w:r>
      <w:proofErr w:type="spellEnd"/>
      <w:r w:rsidRPr="00B15F16">
        <w:rPr>
          <w:rFonts w:ascii="Arial" w:hAnsi="Arial" w:cs="Arial"/>
        </w:rPr>
        <w:t xml:space="preserve"> &amp; Finke, 2021). Such flexibility provides opportunities to tailor BSFL nutritional profiles to specific poultry production needs, such as energy-dense diets for broilers or omega-3-enriched eggs for human health markets.</w:t>
      </w:r>
    </w:p>
    <w:p w14:paraId="5C2162CC" w14:textId="1DA182BF" w:rsidR="00B15F16" w:rsidRDefault="00B15F16" w:rsidP="0063107C">
      <w:pPr>
        <w:pStyle w:val="Body"/>
        <w:spacing w:after="0"/>
        <w:jc w:val="left"/>
        <w:rPr>
          <w:rFonts w:ascii="Arial" w:hAnsi="Arial" w:cs="Arial"/>
        </w:rPr>
      </w:pPr>
    </w:p>
    <w:p w14:paraId="5821AAD5" w14:textId="15EB1D73" w:rsidR="00F97A5A" w:rsidRPr="0090599C" w:rsidRDefault="0090599C" w:rsidP="00441B6F">
      <w:pPr>
        <w:pStyle w:val="Body"/>
        <w:spacing w:after="0"/>
        <w:rPr>
          <w:rFonts w:ascii="Arial" w:hAnsi="Arial" w:cs="Arial"/>
          <w:b/>
          <w:bCs/>
          <w:sz w:val="22"/>
          <w:szCs w:val="22"/>
        </w:rPr>
      </w:pPr>
      <w:r w:rsidRPr="0090599C">
        <w:rPr>
          <w:rFonts w:ascii="Arial" w:hAnsi="Arial" w:cs="Arial"/>
          <w:b/>
          <w:bCs/>
          <w:sz w:val="22"/>
          <w:szCs w:val="22"/>
        </w:rPr>
        <w:t>3.5 Safety and Feed Quality Considerations</w:t>
      </w:r>
    </w:p>
    <w:p w14:paraId="53B91248" w14:textId="68BA8C73" w:rsidR="00B15F16" w:rsidRDefault="00B15F16" w:rsidP="00441B6F">
      <w:pPr>
        <w:pStyle w:val="Body"/>
        <w:spacing w:after="0"/>
        <w:rPr>
          <w:rFonts w:ascii="Arial" w:hAnsi="Arial" w:cs="Arial"/>
        </w:rPr>
      </w:pPr>
    </w:p>
    <w:p w14:paraId="57AAF776" w14:textId="0299555B" w:rsidR="0090599C" w:rsidRDefault="0090599C" w:rsidP="00441B6F">
      <w:pPr>
        <w:pStyle w:val="Body"/>
        <w:spacing w:after="0"/>
        <w:rPr>
          <w:rFonts w:ascii="Arial" w:hAnsi="Arial" w:cs="Arial"/>
        </w:rPr>
      </w:pPr>
      <w:r w:rsidRPr="0090599C">
        <w:rPr>
          <w:rFonts w:ascii="Arial" w:hAnsi="Arial" w:cs="Arial"/>
        </w:rPr>
        <w:t>From a food safety perspective, BSFL are considered safe when reared under hygienic and controlled conditions. They are efficient bio-converters of organic matter but can accumulate heavy metals if fed on contaminated substrates (</w:t>
      </w:r>
      <w:proofErr w:type="spellStart"/>
      <w:r w:rsidRPr="0090599C">
        <w:rPr>
          <w:rFonts w:ascii="Arial" w:hAnsi="Arial" w:cs="Arial"/>
        </w:rPr>
        <w:t>Lalander</w:t>
      </w:r>
      <w:proofErr w:type="spellEnd"/>
      <w:r w:rsidRPr="0090599C">
        <w:rPr>
          <w:rFonts w:ascii="Arial" w:hAnsi="Arial" w:cs="Arial"/>
        </w:rPr>
        <w:t xml:space="preserve"> et al., 201</w:t>
      </w:r>
      <w:r w:rsidR="000E4CF2">
        <w:rPr>
          <w:rFonts w:ascii="Arial" w:hAnsi="Arial" w:cs="Arial"/>
        </w:rPr>
        <w:t>3</w:t>
      </w:r>
      <w:r w:rsidRPr="0090599C">
        <w:rPr>
          <w:rFonts w:ascii="Arial" w:hAnsi="Arial" w:cs="Arial"/>
        </w:rPr>
        <w:t>). Therefore, substrate selection and quality control are critical. Heat treatment or drying at ≥90 °C effectively inactivates pathogens and preserves feed quality (EFSA, 2015). BSFL meal has good shelf stability, and defatted forms exhibit longer storage life due to reduced lipid oxidation. Incorporation of antioxidants during processing can further improve feed stability and safety.</w:t>
      </w:r>
    </w:p>
    <w:p w14:paraId="6149E3AC" w14:textId="479028F3" w:rsidR="0090599C" w:rsidRDefault="0090599C" w:rsidP="00441B6F">
      <w:pPr>
        <w:pStyle w:val="Body"/>
        <w:spacing w:after="0"/>
        <w:rPr>
          <w:rFonts w:ascii="Arial" w:hAnsi="Arial" w:cs="Arial"/>
        </w:rPr>
      </w:pPr>
    </w:p>
    <w:p w14:paraId="007FD5B6" w14:textId="77777777" w:rsidR="0090599C" w:rsidRDefault="0090599C" w:rsidP="00441B6F">
      <w:pPr>
        <w:pStyle w:val="Body"/>
        <w:spacing w:after="0"/>
        <w:rPr>
          <w:rFonts w:ascii="Arial" w:hAnsi="Arial" w:cs="Arial"/>
        </w:rPr>
      </w:pPr>
    </w:p>
    <w:p w14:paraId="6310AB07" w14:textId="00E9AE11" w:rsidR="0090599C" w:rsidRDefault="0090599C" w:rsidP="00441B6F">
      <w:pPr>
        <w:pStyle w:val="Body"/>
        <w:spacing w:after="0"/>
        <w:rPr>
          <w:rFonts w:ascii="Arial" w:hAnsi="Arial" w:cs="Arial"/>
        </w:rPr>
      </w:pPr>
    </w:p>
    <w:p w14:paraId="1FC76D09" w14:textId="5443D0CD" w:rsidR="0090599C" w:rsidRPr="0090599C" w:rsidRDefault="0090599C" w:rsidP="00441B6F">
      <w:pPr>
        <w:pStyle w:val="Body"/>
        <w:spacing w:after="0"/>
        <w:rPr>
          <w:rFonts w:ascii="Arial" w:hAnsi="Arial" w:cs="Arial"/>
          <w:b/>
          <w:bCs/>
          <w:sz w:val="22"/>
          <w:szCs w:val="22"/>
        </w:rPr>
      </w:pPr>
      <w:r w:rsidRPr="0090599C">
        <w:rPr>
          <w:rFonts w:ascii="Arial" w:hAnsi="Arial" w:cs="Arial"/>
          <w:b/>
          <w:bCs/>
          <w:sz w:val="22"/>
          <w:szCs w:val="22"/>
        </w:rPr>
        <w:t>4.0 ENVIRONMENTAL AND ECONOMIC SUSTAINABILITY OF BSFL PRODUCTION</w:t>
      </w:r>
    </w:p>
    <w:p w14:paraId="605A854E" w14:textId="40844C68" w:rsidR="0090599C" w:rsidRDefault="0090599C" w:rsidP="00441B6F">
      <w:pPr>
        <w:pStyle w:val="Body"/>
        <w:spacing w:after="0"/>
        <w:rPr>
          <w:rFonts w:ascii="Arial" w:hAnsi="Arial" w:cs="Arial"/>
        </w:rPr>
      </w:pPr>
      <w:r w:rsidRPr="0090599C">
        <w:rPr>
          <w:rFonts w:ascii="Arial" w:hAnsi="Arial" w:cs="Arial"/>
        </w:rPr>
        <w:t>The integration of BSFL</w:t>
      </w:r>
      <w:r>
        <w:rPr>
          <w:rFonts w:ascii="Arial" w:hAnsi="Arial" w:cs="Arial"/>
        </w:rPr>
        <w:t xml:space="preserve"> </w:t>
      </w:r>
      <w:r w:rsidRPr="0090599C">
        <w:rPr>
          <w:rFonts w:ascii="Arial" w:hAnsi="Arial" w:cs="Arial"/>
        </w:rPr>
        <w:t>production into poultry feeding systems offers significant environmental and economic advantages, particularly in countries like Tanzania, where feed costs are high and organic waste management remains a persistent challenge. BSFL production embodies principles of circular bioeconomy, turning organic residues into high-value protein while simultaneously reducing environmental pollution and operational costs.</w:t>
      </w:r>
    </w:p>
    <w:p w14:paraId="2E741031" w14:textId="58220F80" w:rsidR="0090599C" w:rsidRDefault="0090599C" w:rsidP="00441B6F">
      <w:pPr>
        <w:pStyle w:val="Body"/>
        <w:spacing w:after="0"/>
        <w:rPr>
          <w:rFonts w:ascii="Arial" w:hAnsi="Arial" w:cs="Arial"/>
        </w:rPr>
      </w:pPr>
    </w:p>
    <w:p w14:paraId="0CFE0A0F" w14:textId="3F1C8B46" w:rsidR="0090599C" w:rsidRPr="002E2FC0" w:rsidRDefault="002E2FC0" w:rsidP="0063107C">
      <w:pPr>
        <w:pStyle w:val="Body"/>
        <w:jc w:val="left"/>
        <w:rPr>
          <w:rFonts w:ascii="Arial" w:hAnsi="Arial" w:cs="Arial"/>
          <w:b/>
          <w:bCs/>
          <w:sz w:val="22"/>
          <w:szCs w:val="22"/>
        </w:rPr>
      </w:pPr>
      <w:r w:rsidRPr="002E2FC0">
        <w:rPr>
          <w:rFonts w:ascii="Arial" w:hAnsi="Arial" w:cs="Arial"/>
          <w:b/>
          <w:bCs/>
          <w:sz w:val="22"/>
          <w:szCs w:val="22"/>
        </w:rPr>
        <w:t>4</w:t>
      </w:r>
      <w:r>
        <w:rPr>
          <w:rFonts w:ascii="Arial" w:hAnsi="Arial" w:cs="Arial"/>
          <w:b/>
          <w:bCs/>
          <w:sz w:val="22"/>
          <w:szCs w:val="22"/>
        </w:rPr>
        <w:t>.</w:t>
      </w:r>
      <w:r w:rsidRPr="002E2FC0">
        <w:rPr>
          <w:rFonts w:ascii="Arial" w:hAnsi="Arial" w:cs="Arial"/>
          <w:b/>
          <w:bCs/>
          <w:sz w:val="22"/>
          <w:szCs w:val="22"/>
        </w:rPr>
        <w:t>1</w:t>
      </w:r>
      <w:r>
        <w:rPr>
          <w:rFonts w:ascii="Arial" w:hAnsi="Arial" w:cs="Arial"/>
          <w:b/>
          <w:bCs/>
          <w:sz w:val="22"/>
          <w:szCs w:val="22"/>
        </w:rPr>
        <w:t xml:space="preserve"> </w:t>
      </w:r>
      <w:r w:rsidR="0090599C" w:rsidRPr="002E2FC0">
        <w:rPr>
          <w:rFonts w:ascii="Arial" w:hAnsi="Arial" w:cs="Arial"/>
          <w:b/>
          <w:bCs/>
          <w:sz w:val="22"/>
          <w:szCs w:val="22"/>
        </w:rPr>
        <w:t>Organic Waste Management</w:t>
      </w:r>
    </w:p>
    <w:p w14:paraId="08D4ABEE" w14:textId="4995DD96" w:rsidR="0090599C" w:rsidRPr="0090599C" w:rsidRDefault="0090599C" w:rsidP="0090599C">
      <w:pPr>
        <w:pStyle w:val="Body"/>
        <w:rPr>
          <w:rFonts w:ascii="Arial" w:hAnsi="Arial" w:cs="Arial"/>
        </w:rPr>
      </w:pPr>
      <w:r w:rsidRPr="0090599C">
        <w:rPr>
          <w:rFonts w:ascii="Arial" w:hAnsi="Arial" w:cs="Arial"/>
        </w:rPr>
        <w:t xml:space="preserve">Tanzania generates substantial amounts of organic waste from households, markets, </w:t>
      </w:r>
      <w:proofErr w:type="spellStart"/>
      <w:r w:rsidRPr="0090599C">
        <w:rPr>
          <w:rFonts w:ascii="Arial" w:hAnsi="Arial" w:cs="Arial"/>
        </w:rPr>
        <w:t>agro</w:t>
      </w:r>
      <w:proofErr w:type="spellEnd"/>
      <w:r w:rsidRPr="0090599C">
        <w:rPr>
          <w:rFonts w:ascii="Arial" w:hAnsi="Arial" w:cs="Arial"/>
        </w:rPr>
        <w:t xml:space="preserve">-processing industries and livestock operations. Traditional disposal methods, such as open dumping or burning, contribute to greenhouse gas emissions, water contamination and disease spread. BSFL provide an environmentally friendly solution by bio-converting these wastes into larval biomass and frass, effectively reducing waste volume by 50-70% within 10-18 days (Diener et al., 2011; </w:t>
      </w:r>
      <w:proofErr w:type="spellStart"/>
      <w:r w:rsidRPr="0090599C">
        <w:rPr>
          <w:rFonts w:ascii="Arial" w:hAnsi="Arial" w:cs="Arial"/>
        </w:rPr>
        <w:t>Lalander</w:t>
      </w:r>
      <w:proofErr w:type="spellEnd"/>
      <w:r w:rsidRPr="0090599C">
        <w:rPr>
          <w:rFonts w:ascii="Arial" w:hAnsi="Arial" w:cs="Arial"/>
        </w:rPr>
        <w:t xml:space="preserve"> et al., 201</w:t>
      </w:r>
      <w:r w:rsidR="000E4CF2">
        <w:rPr>
          <w:rFonts w:ascii="Arial" w:hAnsi="Arial" w:cs="Arial"/>
        </w:rPr>
        <w:t>3</w:t>
      </w:r>
      <w:r w:rsidRPr="0090599C">
        <w:rPr>
          <w:rFonts w:ascii="Arial" w:hAnsi="Arial" w:cs="Arial"/>
        </w:rPr>
        <w:t>). The larvae consume a wide range of substrates, including vegetable market residues, food processing by-products and livestock manure, making them versatile agents in organic waste valorization (Nyakeri et al., 201</w:t>
      </w:r>
      <w:r w:rsidR="0002160B">
        <w:rPr>
          <w:rFonts w:ascii="Arial" w:hAnsi="Arial" w:cs="Arial"/>
        </w:rPr>
        <w:t>7</w:t>
      </w:r>
      <w:r w:rsidRPr="0090599C">
        <w:rPr>
          <w:rFonts w:ascii="Arial" w:hAnsi="Arial" w:cs="Arial"/>
        </w:rPr>
        <w:t>). The residual frass is a nutrient-rich organic fertilizer containing nitrogen, phosphorus and potassium, which can be applied to crops, reducing the need for synthetic fertilizers and promoting sustainable soil management (</w:t>
      </w:r>
      <w:proofErr w:type="spellStart"/>
      <w:r w:rsidRPr="0090599C">
        <w:rPr>
          <w:rFonts w:ascii="Arial" w:hAnsi="Arial" w:cs="Arial"/>
        </w:rPr>
        <w:t>Lalander</w:t>
      </w:r>
      <w:proofErr w:type="spellEnd"/>
      <w:r w:rsidRPr="0090599C">
        <w:rPr>
          <w:rFonts w:ascii="Arial" w:hAnsi="Arial" w:cs="Arial"/>
        </w:rPr>
        <w:t xml:space="preserve"> et al., 2013).</w:t>
      </w:r>
    </w:p>
    <w:p w14:paraId="61D49211" w14:textId="46F2B795" w:rsidR="0090599C" w:rsidRPr="002E2FC0" w:rsidRDefault="002E2FC0" w:rsidP="0063107C">
      <w:pPr>
        <w:pStyle w:val="Body"/>
        <w:jc w:val="left"/>
        <w:rPr>
          <w:rFonts w:ascii="Arial" w:hAnsi="Arial" w:cs="Arial"/>
          <w:b/>
          <w:bCs/>
          <w:sz w:val="22"/>
          <w:szCs w:val="22"/>
        </w:rPr>
      </w:pPr>
      <w:r w:rsidRPr="002E2FC0">
        <w:rPr>
          <w:rFonts w:ascii="Arial" w:hAnsi="Arial" w:cs="Arial"/>
          <w:b/>
          <w:bCs/>
          <w:sz w:val="22"/>
          <w:szCs w:val="22"/>
        </w:rPr>
        <w:t xml:space="preserve">4.2 </w:t>
      </w:r>
      <w:r w:rsidR="0090599C" w:rsidRPr="002E2FC0">
        <w:rPr>
          <w:rFonts w:ascii="Arial" w:hAnsi="Arial" w:cs="Arial"/>
          <w:b/>
          <w:bCs/>
          <w:sz w:val="22"/>
          <w:szCs w:val="22"/>
        </w:rPr>
        <w:t>Reduction of Greenhouse Gas Emissions</w:t>
      </w:r>
    </w:p>
    <w:p w14:paraId="32F47064" w14:textId="77777777" w:rsidR="0090599C" w:rsidRPr="0090599C" w:rsidRDefault="0090599C" w:rsidP="0090599C">
      <w:pPr>
        <w:pStyle w:val="Body"/>
        <w:rPr>
          <w:rFonts w:ascii="Arial" w:hAnsi="Arial" w:cs="Arial"/>
        </w:rPr>
      </w:pPr>
      <w:r w:rsidRPr="0090599C">
        <w:rPr>
          <w:rFonts w:ascii="Arial" w:hAnsi="Arial" w:cs="Arial"/>
        </w:rPr>
        <w:t xml:space="preserve">BSFL rearing reduces environmental impact by lowering methane and nitrous oxide emissions associated with traditional waste decomposition methods such as landfilling or unmanaged manure heaps. Compared to conventional protein sources such as fishmeal or soybean meal, BSFL production requires less land, water and energy, resulting in a smaller carbon footprint (Makkar et al., 2014; </w:t>
      </w:r>
      <w:proofErr w:type="spellStart"/>
      <w:r w:rsidRPr="0090599C">
        <w:rPr>
          <w:rFonts w:ascii="Arial" w:hAnsi="Arial" w:cs="Arial"/>
        </w:rPr>
        <w:t>Oonincx</w:t>
      </w:r>
      <w:proofErr w:type="spellEnd"/>
      <w:r w:rsidRPr="0090599C">
        <w:rPr>
          <w:rFonts w:ascii="Arial" w:hAnsi="Arial" w:cs="Arial"/>
        </w:rPr>
        <w:t xml:space="preserve"> et al., 2015). Life-cycle analyses indicate that substituting BSFL for 50% of conventional protein in poultry feed can reduce CO</w:t>
      </w:r>
      <w:r w:rsidRPr="0090599C">
        <w:rPr>
          <w:rFonts w:ascii="Cambria Math" w:hAnsi="Cambria Math" w:cs="Cambria Math"/>
        </w:rPr>
        <w:t>₂</w:t>
      </w:r>
      <w:r w:rsidRPr="0090599C">
        <w:rPr>
          <w:rFonts w:ascii="Arial" w:hAnsi="Arial" w:cs="Arial"/>
        </w:rPr>
        <w:t>-equivalent emissions by up to 30-40% per ton of feed (Barragan-Fonseca et al., 2017).</w:t>
      </w:r>
    </w:p>
    <w:p w14:paraId="1CCF8578" w14:textId="191BCE2D" w:rsidR="0090599C" w:rsidRPr="002E2FC0" w:rsidRDefault="002E2FC0" w:rsidP="0063107C">
      <w:pPr>
        <w:pStyle w:val="Body"/>
        <w:jc w:val="left"/>
        <w:rPr>
          <w:rFonts w:ascii="Arial" w:hAnsi="Arial" w:cs="Arial"/>
          <w:b/>
          <w:bCs/>
          <w:sz w:val="22"/>
          <w:szCs w:val="22"/>
        </w:rPr>
      </w:pPr>
      <w:r>
        <w:rPr>
          <w:rFonts w:ascii="Arial" w:hAnsi="Arial" w:cs="Arial"/>
          <w:b/>
          <w:bCs/>
          <w:sz w:val="22"/>
          <w:szCs w:val="22"/>
        </w:rPr>
        <w:t xml:space="preserve">4.3 </w:t>
      </w:r>
      <w:r w:rsidR="0090599C" w:rsidRPr="002E2FC0">
        <w:rPr>
          <w:rFonts w:ascii="Arial" w:hAnsi="Arial" w:cs="Arial"/>
          <w:b/>
          <w:bCs/>
          <w:sz w:val="22"/>
          <w:szCs w:val="22"/>
        </w:rPr>
        <w:t>Contribution to Circular Economy</w:t>
      </w:r>
    </w:p>
    <w:p w14:paraId="60401CB1" w14:textId="77777777" w:rsidR="0090599C" w:rsidRPr="0090599C" w:rsidRDefault="0090599C" w:rsidP="0090599C">
      <w:pPr>
        <w:pStyle w:val="Body"/>
        <w:rPr>
          <w:rFonts w:ascii="Arial" w:hAnsi="Arial" w:cs="Arial"/>
        </w:rPr>
      </w:pPr>
      <w:r w:rsidRPr="0090599C">
        <w:rPr>
          <w:rFonts w:ascii="Arial" w:hAnsi="Arial" w:cs="Arial"/>
        </w:rPr>
        <w:t>BSFL farming exemplifies circular bioeconomy principles by closing nutrient loops. Organic waste streams are converted into larval protein for poultry and frass fertilizer for crop production; linking livestock, crop production, and waste management systems (</w:t>
      </w:r>
      <w:proofErr w:type="spellStart"/>
      <w:r w:rsidRPr="0090599C">
        <w:rPr>
          <w:rFonts w:ascii="Arial" w:hAnsi="Arial" w:cs="Arial"/>
        </w:rPr>
        <w:t>Dortmans</w:t>
      </w:r>
      <w:proofErr w:type="spellEnd"/>
      <w:r w:rsidRPr="0090599C">
        <w:rPr>
          <w:rFonts w:ascii="Arial" w:hAnsi="Arial" w:cs="Arial"/>
        </w:rPr>
        <w:t xml:space="preserve"> et al., 2017). In Tanzania, this approach aligns with national sustainable agriculture goals, reducing dependency on imported feed ingredients while addressing waste management challenges in urban and peri-urban areas.</w:t>
      </w:r>
    </w:p>
    <w:p w14:paraId="169992D0" w14:textId="282D15D2" w:rsidR="0090599C" w:rsidRPr="002E2FC0" w:rsidRDefault="002E2FC0" w:rsidP="0063107C">
      <w:pPr>
        <w:pStyle w:val="Body"/>
        <w:jc w:val="left"/>
        <w:rPr>
          <w:rFonts w:ascii="Arial" w:hAnsi="Arial" w:cs="Arial"/>
          <w:b/>
          <w:bCs/>
          <w:sz w:val="22"/>
          <w:szCs w:val="22"/>
        </w:rPr>
      </w:pPr>
      <w:r>
        <w:rPr>
          <w:rFonts w:ascii="Arial" w:hAnsi="Arial" w:cs="Arial"/>
          <w:b/>
          <w:bCs/>
          <w:sz w:val="22"/>
          <w:szCs w:val="22"/>
        </w:rPr>
        <w:t xml:space="preserve">4.4 </w:t>
      </w:r>
      <w:r w:rsidR="0090599C" w:rsidRPr="002E2FC0">
        <w:rPr>
          <w:rFonts w:ascii="Arial" w:hAnsi="Arial" w:cs="Arial"/>
          <w:b/>
          <w:bCs/>
          <w:sz w:val="22"/>
          <w:szCs w:val="22"/>
        </w:rPr>
        <w:t>Reduction in Feed Costs</w:t>
      </w:r>
    </w:p>
    <w:p w14:paraId="1CA1E73E" w14:textId="2D6DE57F" w:rsidR="0090599C" w:rsidRPr="0090599C" w:rsidRDefault="0090599C" w:rsidP="0090599C">
      <w:pPr>
        <w:pStyle w:val="Body"/>
        <w:rPr>
          <w:rFonts w:ascii="Arial" w:hAnsi="Arial" w:cs="Arial"/>
        </w:rPr>
      </w:pPr>
      <w:r w:rsidRPr="0090599C">
        <w:rPr>
          <w:rFonts w:ascii="Arial" w:hAnsi="Arial" w:cs="Arial"/>
        </w:rPr>
        <w:lastRenderedPageBreak/>
        <w:t>Feed represents the largest cost component in Tanzanian poultry production, often accounting for 60-70% of total production expenses (FAO, 2021). BSFL offer a locally producible, nutrient-dense alternative protein source, capable of replacing part of soybean meal or fishmeal. Smallholder farmers can use kitchen waste, market refuse, and poultry manure as substrates to produce larval biomass, significantly lowering feed costs (Nyakeri et al., 201</w:t>
      </w:r>
      <w:r w:rsidR="0002160B">
        <w:rPr>
          <w:rFonts w:ascii="Arial" w:hAnsi="Arial" w:cs="Arial"/>
        </w:rPr>
        <w:t>7</w:t>
      </w:r>
      <w:r w:rsidRPr="0090599C">
        <w:rPr>
          <w:rFonts w:ascii="Arial" w:hAnsi="Arial" w:cs="Arial"/>
        </w:rPr>
        <w:t>). Studies have shown that replacing 20-50% of conventional protein with BSFL meal can reduce overall feed costs by 10-25%, depending on substrate availability and processing methods (</w:t>
      </w:r>
      <w:r w:rsidR="00C6702B">
        <w:rPr>
          <w:rFonts w:ascii="Arial" w:hAnsi="Arial" w:cs="Arial"/>
        </w:rPr>
        <w:t>Adam</w:t>
      </w:r>
      <w:r w:rsidRPr="0090599C">
        <w:rPr>
          <w:rFonts w:ascii="Arial" w:hAnsi="Arial" w:cs="Arial"/>
        </w:rPr>
        <w:t xml:space="preserve"> et al., 202</w:t>
      </w:r>
      <w:r w:rsidR="00C6702B">
        <w:rPr>
          <w:rFonts w:ascii="Arial" w:hAnsi="Arial" w:cs="Arial"/>
        </w:rPr>
        <w:t>4</w:t>
      </w:r>
      <w:r w:rsidRPr="0090599C">
        <w:rPr>
          <w:rFonts w:ascii="Arial" w:hAnsi="Arial" w:cs="Arial"/>
        </w:rPr>
        <w:t>).</w:t>
      </w:r>
    </w:p>
    <w:p w14:paraId="0A30F969" w14:textId="6663E3EC" w:rsidR="0090599C" w:rsidRPr="002E2FC0" w:rsidRDefault="002E2FC0" w:rsidP="0063107C">
      <w:pPr>
        <w:pStyle w:val="Body"/>
        <w:jc w:val="left"/>
        <w:rPr>
          <w:rFonts w:ascii="Arial" w:hAnsi="Arial" w:cs="Arial"/>
          <w:b/>
          <w:bCs/>
          <w:sz w:val="22"/>
          <w:szCs w:val="22"/>
        </w:rPr>
      </w:pPr>
      <w:r>
        <w:rPr>
          <w:rFonts w:ascii="Arial" w:hAnsi="Arial" w:cs="Arial"/>
          <w:b/>
          <w:bCs/>
          <w:sz w:val="22"/>
          <w:szCs w:val="22"/>
        </w:rPr>
        <w:t xml:space="preserve">4.5 </w:t>
      </w:r>
      <w:r w:rsidR="0090599C" w:rsidRPr="002E2FC0">
        <w:rPr>
          <w:rFonts w:ascii="Arial" w:hAnsi="Arial" w:cs="Arial"/>
          <w:b/>
          <w:bCs/>
          <w:sz w:val="22"/>
          <w:szCs w:val="22"/>
        </w:rPr>
        <w:t>Income Generation and Employment</w:t>
      </w:r>
    </w:p>
    <w:p w14:paraId="13DCFA5A" w14:textId="77777777" w:rsidR="0090599C" w:rsidRPr="0090599C" w:rsidRDefault="0090599C" w:rsidP="0090599C">
      <w:pPr>
        <w:pStyle w:val="Body"/>
        <w:rPr>
          <w:rFonts w:ascii="Arial" w:hAnsi="Arial" w:cs="Arial"/>
        </w:rPr>
      </w:pPr>
      <w:r w:rsidRPr="0090599C">
        <w:rPr>
          <w:rFonts w:ascii="Arial" w:hAnsi="Arial" w:cs="Arial"/>
        </w:rPr>
        <w:t>BSFL production creates income opportunities for smallholders and entrepreneurs, particularly women and youth, who can collect organic waste, manage larval rearing and sell larvae to poultry farmers. Medium-scale production facilities can integrate automated feeding and self-harvesting systems, generating employment in waste collection, processing and logistics (Diener et al., 2011).</w:t>
      </w:r>
    </w:p>
    <w:p w14:paraId="1F7D13EE" w14:textId="62205522" w:rsidR="0090599C" w:rsidRPr="002E2FC0" w:rsidRDefault="002E2FC0" w:rsidP="0063107C">
      <w:pPr>
        <w:pStyle w:val="Body"/>
        <w:jc w:val="left"/>
        <w:rPr>
          <w:rFonts w:ascii="Arial" w:hAnsi="Arial" w:cs="Arial"/>
          <w:b/>
          <w:bCs/>
          <w:sz w:val="22"/>
          <w:szCs w:val="22"/>
        </w:rPr>
      </w:pPr>
      <w:r>
        <w:rPr>
          <w:rFonts w:ascii="Arial" w:hAnsi="Arial" w:cs="Arial"/>
          <w:b/>
          <w:bCs/>
          <w:sz w:val="22"/>
          <w:szCs w:val="22"/>
        </w:rPr>
        <w:t xml:space="preserve">4.6 </w:t>
      </w:r>
      <w:r w:rsidR="0090599C" w:rsidRPr="002E2FC0">
        <w:rPr>
          <w:rFonts w:ascii="Arial" w:hAnsi="Arial" w:cs="Arial"/>
          <w:b/>
          <w:bCs/>
          <w:sz w:val="22"/>
          <w:szCs w:val="22"/>
        </w:rPr>
        <w:t>Potential for Local Industry Development</w:t>
      </w:r>
    </w:p>
    <w:p w14:paraId="1C726502" w14:textId="77777777" w:rsidR="0090599C" w:rsidRPr="0090599C" w:rsidRDefault="0090599C" w:rsidP="0090599C">
      <w:pPr>
        <w:pStyle w:val="Body"/>
        <w:rPr>
          <w:rFonts w:ascii="Arial" w:hAnsi="Arial" w:cs="Arial"/>
        </w:rPr>
      </w:pPr>
      <w:r w:rsidRPr="0090599C">
        <w:rPr>
          <w:rFonts w:ascii="Arial" w:hAnsi="Arial" w:cs="Arial"/>
        </w:rPr>
        <w:t>The BSFL industry provides a platform for value-added feed production, contributing to local industrial development. With increasing poultry demand in Tanzania, commercial-scale BSFL operations can supply poultry feed mills, reducing dependence on imported fishmeal and soy products. This can lead to enhanced food security, local economic growth and price stabilization for poultry products.</w:t>
      </w:r>
    </w:p>
    <w:p w14:paraId="4A7B84EE" w14:textId="5818B8A8" w:rsidR="007A17C0" w:rsidRPr="007A17C0" w:rsidRDefault="007A17C0" w:rsidP="007A17C0">
      <w:pPr>
        <w:pStyle w:val="Body"/>
        <w:rPr>
          <w:rFonts w:ascii="Arial" w:hAnsi="Arial" w:cs="Arial"/>
          <w:b/>
          <w:bCs/>
          <w:sz w:val="22"/>
          <w:szCs w:val="22"/>
        </w:rPr>
      </w:pPr>
      <w:r>
        <w:rPr>
          <w:rFonts w:ascii="Arial" w:hAnsi="Arial" w:cs="Arial"/>
          <w:b/>
          <w:bCs/>
          <w:sz w:val="22"/>
          <w:szCs w:val="22"/>
        </w:rPr>
        <w:t xml:space="preserve">5.0 </w:t>
      </w:r>
      <w:r w:rsidRPr="007A17C0">
        <w:rPr>
          <w:rFonts w:ascii="Arial" w:hAnsi="Arial" w:cs="Arial"/>
          <w:b/>
          <w:bCs/>
          <w:sz w:val="22"/>
          <w:szCs w:val="22"/>
        </w:rPr>
        <w:t>ADOPTION AND CHALLENGES OF BSFL FARMING IN TANZANIA</w:t>
      </w:r>
    </w:p>
    <w:p w14:paraId="7FA76C62" w14:textId="77777777" w:rsidR="007A17C0" w:rsidRPr="007A17C0" w:rsidRDefault="007A17C0" w:rsidP="007A17C0">
      <w:pPr>
        <w:pStyle w:val="Body"/>
        <w:rPr>
          <w:rFonts w:ascii="Arial" w:hAnsi="Arial" w:cs="Arial"/>
        </w:rPr>
      </w:pPr>
      <w:r w:rsidRPr="007A17C0">
        <w:rPr>
          <w:rFonts w:ascii="Arial" w:hAnsi="Arial" w:cs="Arial"/>
        </w:rPr>
        <w:t>Despite the increasing global interest in BSFL as a sustainable protein source for animal feed, its adoption in Tanzania remains in its early stages. Although a few research institutions, startups and development organizations have initiated pilot projects, the majority of smallholder farmers are still unfamiliar with BSFL farming techniques and benefits. The challenges of BSFL farming in Tanzania are as described below:</w:t>
      </w:r>
    </w:p>
    <w:p w14:paraId="54F5E835" w14:textId="6A1B3C46" w:rsidR="007A17C0" w:rsidRPr="007A17C0" w:rsidRDefault="007A17C0" w:rsidP="0063107C">
      <w:pPr>
        <w:pStyle w:val="Body"/>
        <w:jc w:val="left"/>
        <w:rPr>
          <w:rFonts w:ascii="Arial" w:hAnsi="Arial" w:cs="Arial"/>
          <w:b/>
          <w:bCs/>
          <w:sz w:val="22"/>
          <w:szCs w:val="22"/>
        </w:rPr>
      </w:pPr>
      <w:r w:rsidRPr="007A17C0">
        <w:rPr>
          <w:rFonts w:ascii="Arial" w:hAnsi="Arial" w:cs="Arial"/>
          <w:b/>
          <w:bCs/>
          <w:sz w:val="22"/>
          <w:szCs w:val="22"/>
        </w:rPr>
        <w:t>5.1 Limited Farmers Awareness</w:t>
      </w:r>
    </w:p>
    <w:p w14:paraId="78DA15CA" w14:textId="6BCFEBD4" w:rsidR="007A17C0" w:rsidRDefault="007A17C0" w:rsidP="007A17C0">
      <w:pPr>
        <w:pStyle w:val="Body"/>
        <w:rPr>
          <w:rFonts w:ascii="Arial" w:hAnsi="Arial" w:cs="Arial"/>
        </w:rPr>
      </w:pPr>
      <w:r w:rsidRPr="007A17C0">
        <w:rPr>
          <w:rFonts w:ascii="Arial" w:hAnsi="Arial" w:cs="Arial"/>
        </w:rPr>
        <w:t xml:space="preserve">Most Tanzanian poultry farmers, particularly smallholders, have limited knowledge about insect farming technologies and their potential role in feed cost reduction and waste management. Traditional feed sources such as maize bran, sunflower cake and fishmeal remain dominant, while the concept of BSFL as an alternative feed ingredient is still relatively new. The lack of extension services and training programs dedicated to insect farming has contributed to slow dissemination of knowledge. </w:t>
      </w:r>
    </w:p>
    <w:p w14:paraId="0BC9E640" w14:textId="77777777" w:rsidR="00347D8A" w:rsidRPr="007A17C0" w:rsidRDefault="00347D8A" w:rsidP="007A17C0">
      <w:pPr>
        <w:pStyle w:val="Body"/>
        <w:rPr>
          <w:rFonts w:ascii="Arial" w:hAnsi="Arial" w:cs="Arial"/>
        </w:rPr>
      </w:pPr>
    </w:p>
    <w:p w14:paraId="6182CCBC" w14:textId="2BDD2934" w:rsidR="007A17C0" w:rsidRPr="007A17C0" w:rsidRDefault="007A17C0" w:rsidP="0063107C">
      <w:pPr>
        <w:pStyle w:val="Body"/>
        <w:jc w:val="left"/>
        <w:rPr>
          <w:rFonts w:ascii="Arial" w:hAnsi="Arial" w:cs="Arial"/>
          <w:b/>
          <w:bCs/>
          <w:sz w:val="22"/>
          <w:szCs w:val="22"/>
        </w:rPr>
      </w:pPr>
      <w:r>
        <w:rPr>
          <w:rFonts w:ascii="Arial" w:hAnsi="Arial" w:cs="Arial"/>
          <w:b/>
          <w:bCs/>
          <w:sz w:val="22"/>
          <w:szCs w:val="22"/>
        </w:rPr>
        <w:t xml:space="preserve">5.2 </w:t>
      </w:r>
      <w:r w:rsidRPr="007A17C0">
        <w:rPr>
          <w:rFonts w:ascii="Arial" w:hAnsi="Arial" w:cs="Arial"/>
          <w:b/>
          <w:bCs/>
          <w:sz w:val="22"/>
          <w:szCs w:val="22"/>
        </w:rPr>
        <w:t>Research-Farmer Disconnect</w:t>
      </w:r>
    </w:p>
    <w:p w14:paraId="71F526EE" w14:textId="2AB73B3B" w:rsidR="007A17C0" w:rsidRPr="007A17C0" w:rsidRDefault="007A17C0" w:rsidP="007A17C0">
      <w:pPr>
        <w:pStyle w:val="Body"/>
        <w:rPr>
          <w:rFonts w:ascii="Arial" w:hAnsi="Arial" w:cs="Arial"/>
        </w:rPr>
      </w:pPr>
      <w:r w:rsidRPr="007A17C0">
        <w:rPr>
          <w:rFonts w:ascii="Arial" w:hAnsi="Arial" w:cs="Arial"/>
        </w:rPr>
        <w:t>Although research on BSFL has been conducted in Tanzania by institutions like the University of Dar es Salaam (UDSM), Tanzania Livestock Research Institute (TALIRI), and Tanzania Fisheries Research Institute (TAFIRI) (Ouma et al., 2025); UDSM in collaboration with the Swedish University of Agricultural Science and the Swiss Federal Institute of Aquatic Science and Technology (</w:t>
      </w:r>
      <w:proofErr w:type="spellStart"/>
      <w:r w:rsidRPr="007A17C0">
        <w:rPr>
          <w:rFonts w:ascii="Arial" w:hAnsi="Arial" w:cs="Arial"/>
        </w:rPr>
        <w:t>Isibika</w:t>
      </w:r>
      <w:proofErr w:type="spellEnd"/>
      <w:r w:rsidRPr="007A17C0">
        <w:rPr>
          <w:rFonts w:ascii="Arial" w:hAnsi="Arial" w:cs="Arial"/>
        </w:rPr>
        <w:t xml:space="preserve"> et al., 2023); Ardhi University (AU) in collaboration with the University of Calgary, University of Bonn, AMREF Health Africa Tanzania, and the Environmental Resources Consultancy based in Dar es Salaam, Tanzania; and currently there is a project being implemented by the International Livestock Research Institute (ILRI) (Ouma et al., 2025; Ouma and Lukuyu 2025),  the results are rarely translated into farmer-friendly guidelines or demonstration models. </w:t>
      </w:r>
    </w:p>
    <w:p w14:paraId="64E3621C" w14:textId="41A8CEAB" w:rsidR="007A17C0" w:rsidRPr="007A17C0" w:rsidRDefault="007A17C0" w:rsidP="0063107C">
      <w:pPr>
        <w:pStyle w:val="Body"/>
        <w:jc w:val="left"/>
        <w:rPr>
          <w:rFonts w:ascii="Arial" w:hAnsi="Arial" w:cs="Arial"/>
          <w:b/>
          <w:bCs/>
          <w:sz w:val="22"/>
          <w:szCs w:val="22"/>
        </w:rPr>
      </w:pPr>
      <w:r>
        <w:rPr>
          <w:rFonts w:ascii="Arial" w:hAnsi="Arial" w:cs="Arial"/>
          <w:b/>
          <w:bCs/>
          <w:sz w:val="22"/>
          <w:szCs w:val="22"/>
        </w:rPr>
        <w:t xml:space="preserve">5.3 </w:t>
      </w:r>
      <w:r w:rsidRPr="007A17C0">
        <w:rPr>
          <w:rFonts w:ascii="Arial" w:hAnsi="Arial" w:cs="Arial"/>
          <w:b/>
          <w:bCs/>
          <w:sz w:val="22"/>
          <w:szCs w:val="22"/>
        </w:rPr>
        <w:t>Insufficient Gender and Youth Inclusion in BSFL Enterprises</w:t>
      </w:r>
    </w:p>
    <w:p w14:paraId="0237AA83" w14:textId="685E18C7" w:rsidR="007A17C0" w:rsidRPr="007A17C0" w:rsidRDefault="007A17C0" w:rsidP="007A17C0">
      <w:pPr>
        <w:pStyle w:val="Body"/>
        <w:rPr>
          <w:rFonts w:ascii="Arial" w:hAnsi="Arial" w:cs="Arial"/>
        </w:rPr>
      </w:pPr>
      <w:r w:rsidRPr="007A17C0">
        <w:rPr>
          <w:rFonts w:ascii="Arial" w:hAnsi="Arial" w:cs="Arial"/>
        </w:rPr>
        <w:t>BSFL farming presents an opportunity for gender and youth empowerment due to its low capital requirement, minimal land use, and potential for integration with household waste systems (Chia et al., 20</w:t>
      </w:r>
      <w:r w:rsidR="00B42DC5">
        <w:rPr>
          <w:rFonts w:ascii="Arial" w:hAnsi="Arial" w:cs="Arial"/>
        </w:rPr>
        <w:t>18</w:t>
      </w:r>
      <w:r w:rsidRPr="007A17C0">
        <w:rPr>
          <w:rFonts w:ascii="Arial" w:hAnsi="Arial" w:cs="Arial"/>
        </w:rPr>
        <w:t>). However, gender norms and limited access to credit often restrict women’s participation in agribusiness ventures. Promoting women- and youth-led BSFL enterprises can enhance household income and promote social inclusion. Incorporating BSFL farming into youth agribusiness incubation programs can foster innovation and entrepreneurship in waste recycling and feed production.</w:t>
      </w:r>
    </w:p>
    <w:p w14:paraId="4E6B5EB7" w14:textId="77777777" w:rsidR="00C766D2" w:rsidRDefault="00C766D2" w:rsidP="0063107C">
      <w:pPr>
        <w:pStyle w:val="Body"/>
        <w:jc w:val="left"/>
        <w:rPr>
          <w:rFonts w:ascii="Arial" w:hAnsi="Arial" w:cs="Arial"/>
          <w:b/>
          <w:bCs/>
          <w:sz w:val="22"/>
          <w:szCs w:val="22"/>
        </w:rPr>
      </w:pPr>
    </w:p>
    <w:p w14:paraId="6A5308A9" w14:textId="77777777" w:rsidR="00C766D2" w:rsidRDefault="00C766D2" w:rsidP="0063107C">
      <w:pPr>
        <w:pStyle w:val="Body"/>
        <w:jc w:val="left"/>
        <w:rPr>
          <w:rFonts w:ascii="Arial" w:hAnsi="Arial" w:cs="Arial"/>
          <w:b/>
          <w:bCs/>
          <w:sz w:val="22"/>
          <w:szCs w:val="22"/>
        </w:rPr>
      </w:pPr>
    </w:p>
    <w:p w14:paraId="2C950B01" w14:textId="081D625C" w:rsidR="007A17C0" w:rsidRPr="007A17C0" w:rsidRDefault="007A17C0" w:rsidP="0063107C">
      <w:pPr>
        <w:pStyle w:val="Body"/>
        <w:jc w:val="left"/>
        <w:rPr>
          <w:rFonts w:ascii="Arial" w:hAnsi="Arial" w:cs="Arial"/>
          <w:b/>
          <w:bCs/>
          <w:sz w:val="22"/>
          <w:szCs w:val="22"/>
        </w:rPr>
      </w:pPr>
      <w:r>
        <w:rPr>
          <w:rFonts w:ascii="Arial" w:hAnsi="Arial" w:cs="Arial"/>
          <w:b/>
          <w:bCs/>
          <w:sz w:val="22"/>
          <w:szCs w:val="22"/>
        </w:rPr>
        <w:lastRenderedPageBreak/>
        <w:t xml:space="preserve">5.4 </w:t>
      </w:r>
      <w:r w:rsidRPr="007A17C0">
        <w:rPr>
          <w:rFonts w:ascii="Arial" w:hAnsi="Arial" w:cs="Arial"/>
          <w:b/>
          <w:bCs/>
          <w:sz w:val="22"/>
          <w:szCs w:val="22"/>
        </w:rPr>
        <w:t>Cultural Perceptions</w:t>
      </w:r>
    </w:p>
    <w:p w14:paraId="6CD3EDAB" w14:textId="77777777" w:rsidR="007A17C0" w:rsidRPr="007A17C0" w:rsidRDefault="007A17C0" w:rsidP="007A17C0">
      <w:pPr>
        <w:pStyle w:val="Body"/>
        <w:rPr>
          <w:rFonts w:ascii="Arial" w:hAnsi="Arial" w:cs="Arial"/>
        </w:rPr>
      </w:pPr>
      <w:r w:rsidRPr="007A17C0">
        <w:rPr>
          <w:rFonts w:ascii="Arial" w:hAnsi="Arial" w:cs="Arial"/>
        </w:rPr>
        <w:t>Cultural attitudes toward insects can also influence adoption. While insects such as grasshoppers are widely accepted as food in Tanzania, the use of insect-derived ingredients in animal feed may initially face skepticism among farmers and consumers. Lack of Technical Knowledge and Infrastructure</w:t>
      </w:r>
    </w:p>
    <w:p w14:paraId="1951B4D5" w14:textId="77777777" w:rsidR="007A17C0" w:rsidRPr="007A17C0" w:rsidRDefault="007A17C0" w:rsidP="007A17C0">
      <w:pPr>
        <w:pStyle w:val="Body"/>
        <w:rPr>
          <w:rFonts w:ascii="Arial" w:hAnsi="Arial" w:cs="Arial"/>
        </w:rPr>
      </w:pPr>
      <w:r w:rsidRPr="007A17C0">
        <w:rPr>
          <w:rFonts w:ascii="Arial" w:hAnsi="Arial" w:cs="Arial"/>
        </w:rPr>
        <w:t>Effective BSFL farming requires understanding optimal rearing conditions, such as temperature control, substrate composition, moisture and hygiene management. Smallholder farmers often lack access to training, equipment and reliable substrates, making large-scale or consistent production difficult (Makkar et al., 2014). Additionally, post-harvest processing (drying, grinding, packaging) is a major challenge, as it requires basic machinery and energy sources that may be unavailable in rural areas.</w:t>
      </w:r>
    </w:p>
    <w:p w14:paraId="6E92FEA8" w14:textId="5539E7B0" w:rsidR="007A17C0" w:rsidRPr="007A17C0" w:rsidRDefault="007A17C0" w:rsidP="0063107C">
      <w:pPr>
        <w:pStyle w:val="Body"/>
        <w:jc w:val="left"/>
        <w:rPr>
          <w:rFonts w:ascii="Arial" w:hAnsi="Arial" w:cs="Arial"/>
          <w:b/>
          <w:bCs/>
          <w:sz w:val="22"/>
          <w:szCs w:val="22"/>
        </w:rPr>
      </w:pPr>
      <w:r>
        <w:rPr>
          <w:rFonts w:ascii="Arial" w:hAnsi="Arial" w:cs="Arial"/>
          <w:b/>
          <w:bCs/>
          <w:sz w:val="22"/>
          <w:szCs w:val="22"/>
        </w:rPr>
        <w:t>5.</w:t>
      </w:r>
      <w:r w:rsidR="00776C9D">
        <w:rPr>
          <w:rFonts w:ascii="Arial" w:hAnsi="Arial" w:cs="Arial"/>
          <w:b/>
          <w:bCs/>
          <w:sz w:val="22"/>
          <w:szCs w:val="22"/>
        </w:rPr>
        <w:t>5</w:t>
      </w:r>
      <w:r>
        <w:rPr>
          <w:rFonts w:ascii="Arial" w:hAnsi="Arial" w:cs="Arial"/>
          <w:b/>
          <w:bCs/>
          <w:sz w:val="22"/>
          <w:szCs w:val="22"/>
        </w:rPr>
        <w:t xml:space="preserve"> </w:t>
      </w:r>
      <w:r w:rsidRPr="007A17C0">
        <w:rPr>
          <w:rFonts w:ascii="Arial" w:hAnsi="Arial" w:cs="Arial"/>
          <w:b/>
          <w:bCs/>
          <w:sz w:val="22"/>
          <w:szCs w:val="22"/>
        </w:rPr>
        <w:t>Financial and Market Constraints</w:t>
      </w:r>
    </w:p>
    <w:p w14:paraId="1840647A" w14:textId="77777777" w:rsidR="007A17C0" w:rsidRPr="007A17C0" w:rsidRDefault="007A17C0" w:rsidP="007A17C0">
      <w:pPr>
        <w:pStyle w:val="Body"/>
        <w:rPr>
          <w:rFonts w:ascii="Arial" w:hAnsi="Arial" w:cs="Arial"/>
        </w:rPr>
      </w:pPr>
      <w:r w:rsidRPr="007A17C0">
        <w:rPr>
          <w:rFonts w:ascii="Arial" w:hAnsi="Arial" w:cs="Arial"/>
        </w:rPr>
        <w:t>Initial investment costs for setting up BSFL units, though lower than most livestock enterprises, can still be a barrier for low-income farmers. Access to credit facilities and microfinance support for small-scale insect farming is limited in Tanzania. Moreover, the absence of established markets for BSFL products (larvae, frass, or formulated feed) reduces farmers’ incentives to invest in BSFL production. Until a stable supply chain and pricing structure are developed, many potential adopters will remain hesitant.</w:t>
      </w:r>
    </w:p>
    <w:p w14:paraId="3F1C9644" w14:textId="4E74515E" w:rsidR="007A17C0" w:rsidRPr="007A17C0" w:rsidRDefault="007A17C0" w:rsidP="0063107C">
      <w:pPr>
        <w:pStyle w:val="Body"/>
        <w:jc w:val="left"/>
        <w:rPr>
          <w:rFonts w:ascii="Arial" w:hAnsi="Arial" w:cs="Arial"/>
          <w:b/>
          <w:bCs/>
          <w:sz w:val="22"/>
          <w:szCs w:val="22"/>
        </w:rPr>
      </w:pPr>
      <w:r w:rsidRPr="007A17C0">
        <w:rPr>
          <w:rFonts w:ascii="Arial" w:hAnsi="Arial" w:cs="Arial"/>
          <w:b/>
          <w:bCs/>
          <w:sz w:val="22"/>
          <w:szCs w:val="22"/>
        </w:rPr>
        <w:t>5.</w:t>
      </w:r>
      <w:r w:rsidR="00776C9D">
        <w:rPr>
          <w:rFonts w:ascii="Arial" w:hAnsi="Arial" w:cs="Arial"/>
          <w:b/>
          <w:bCs/>
          <w:sz w:val="22"/>
          <w:szCs w:val="22"/>
        </w:rPr>
        <w:t>6</w:t>
      </w:r>
      <w:r w:rsidRPr="007A17C0">
        <w:rPr>
          <w:rFonts w:ascii="Arial" w:hAnsi="Arial" w:cs="Arial"/>
          <w:b/>
          <w:bCs/>
          <w:sz w:val="22"/>
          <w:szCs w:val="22"/>
        </w:rPr>
        <w:t xml:space="preserve"> Institutional and Policy Challenges</w:t>
      </w:r>
    </w:p>
    <w:p w14:paraId="2DB9835C" w14:textId="46BD77C2" w:rsidR="0090599C" w:rsidRDefault="007A17C0" w:rsidP="007A17C0">
      <w:pPr>
        <w:pStyle w:val="Body"/>
        <w:spacing w:after="0"/>
        <w:rPr>
          <w:rFonts w:ascii="Arial" w:hAnsi="Arial" w:cs="Arial"/>
        </w:rPr>
      </w:pPr>
      <w:r w:rsidRPr="007A17C0">
        <w:rPr>
          <w:rFonts w:ascii="Arial" w:hAnsi="Arial" w:cs="Arial"/>
        </w:rPr>
        <w:t>The absence of a formal regulatory framework for insect farming and feed inclusion in Tanzania further constrains adoption. Without clear guidelines, quality standards, or legal recognition, many potential investors perceive the sector as risky. Additionally, weak institutional coordination among government agencies, research institutions and private actors limits the development of national strategies for BSFL integration into livestock systems.</w:t>
      </w:r>
    </w:p>
    <w:p w14:paraId="6C893E87" w14:textId="0905376A" w:rsidR="0090599C" w:rsidRDefault="0090599C" w:rsidP="00441B6F">
      <w:pPr>
        <w:pStyle w:val="Body"/>
        <w:spacing w:after="0"/>
        <w:rPr>
          <w:rFonts w:ascii="Arial" w:hAnsi="Arial" w:cs="Arial"/>
        </w:rPr>
      </w:pPr>
    </w:p>
    <w:p w14:paraId="3F645782" w14:textId="637E0B53" w:rsidR="0063107C" w:rsidRPr="0063107C" w:rsidRDefault="0063107C" w:rsidP="003243CC">
      <w:pPr>
        <w:pStyle w:val="Body"/>
        <w:rPr>
          <w:rFonts w:ascii="Arial" w:hAnsi="Arial" w:cs="Arial"/>
          <w:b/>
          <w:bCs/>
          <w:sz w:val="22"/>
          <w:szCs w:val="22"/>
        </w:rPr>
      </w:pPr>
      <w:r>
        <w:rPr>
          <w:rFonts w:ascii="Arial" w:hAnsi="Arial" w:cs="Arial"/>
          <w:b/>
          <w:bCs/>
          <w:sz w:val="22"/>
          <w:szCs w:val="22"/>
        </w:rPr>
        <w:t xml:space="preserve">6.0 </w:t>
      </w:r>
      <w:r w:rsidRPr="0063107C">
        <w:rPr>
          <w:rFonts w:ascii="Arial" w:hAnsi="Arial" w:cs="Arial"/>
          <w:b/>
          <w:bCs/>
          <w:sz w:val="22"/>
          <w:szCs w:val="22"/>
        </w:rPr>
        <w:t xml:space="preserve">LITERATURE SYNTHESIS </w:t>
      </w:r>
    </w:p>
    <w:p w14:paraId="077DDB04" w14:textId="77777777" w:rsidR="0063107C" w:rsidRPr="0063107C" w:rsidRDefault="0063107C" w:rsidP="0063107C">
      <w:pPr>
        <w:pStyle w:val="Body"/>
        <w:rPr>
          <w:rFonts w:ascii="Arial" w:hAnsi="Arial" w:cs="Arial"/>
        </w:rPr>
      </w:pPr>
      <w:r w:rsidRPr="0063107C">
        <w:rPr>
          <w:rFonts w:ascii="Arial" w:hAnsi="Arial" w:cs="Arial"/>
        </w:rPr>
        <w:t xml:space="preserve">The reviewed literature demonstrated the importance of the poultry subsector in Tanzania, nutritional profile and benefits of BSFL for poultry, as well as environmental and economic sustainability of BSFL production in Tanzania; indicating that BSFL is a potential alternative poultry feed resource to conventional protein sources particularly fishmeal and soybean meal. However, insufficient participatory research on BSFL involving livestock farmers and other stakeholders; insufficient interventions to disseminate BSFL-based feed to livestock farmers and other stakeholders; lack of national guidelines and standards for use of BSFL as feed ingredients; lack of BSFL farming in the national livestock development strategies; lack of engagement of the private sector, development partners, and non-governmental organizations (NGOs); insufficient digital and innovative funding platforms; and insufficient consumer sensitization on the quality and safety of poultry products raised on BSFL-based feed were identified as the main gaps towards sustainable integration of BSFL into poultry feed systems in </w:t>
      </w:r>
      <w:proofErr w:type="spellStart"/>
      <w:r w:rsidRPr="0063107C">
        <w:rPr>
          <w:rFonts w:ascii="Arial" w:hAnsi="Arial" w:cs="Arial"/>
        </w:rPr>
        <w:t>Tanzaia</w:t>
      </w:r>
      <w:proofErr w:type="spellEnd"/>
      <w:r w:rsidRPr="0063107C">
        <w:rPr>
          <w:rFonts w:ascii="Arial" w:hAnsi="Arial" w:cs="Arial"/>
        </w:rPr>
        <w:t xml:space="preserve">.     </w:t>
      </w:r>
    </w:p>
    <w:p w14:paraId="0247D231" w14:textId="77777777" w:rsidR="0063107C" w:rsidRPr="0063107C" w:rsidRDefault="0063107C" w:rsidP="0063107C">
      <w:pPr>
        <w:pStyle w:val="Body"/>
        <w:rPr>
          <w:rFonts w:ascii="Arial" w:hAnsi="Arial" w:cs="Arial"/>
        </w:rPr>
      </w:pPr>
      <w:r w:rsidRPr="0063107C">
        <w:rPr>
          <w:rFonts w:ascii="Arial" w:hAnsi="Arial" w:cs="Arial"/>
        </w:rPr>
        <w:t>The sustainable integration of BSFL into poultry feed systems in the country requires a coordinated and multi-sectoral strategy encompassing policy support, innovation and partnerships. Although BSFL farming presents a viable solution to feed shortages and environmental degradation, scaling up its adoption will depend on enabling frameworks that promote investment, awareness, and institutional collaboration. In order to bridge the gaps, implementation of the following strategies could be the way forward:</w:t>
      </w:r>
    </w:p>
    <w:p w14:paraId="18575BF3" w14:textId="4BE20BF9" w:rsidR="0063107C" w:rsidRPr="003243CC" w:rsidRDefault="003243CC" w:rsidP="003243CC">
      <w:pPr>
        <w:pStyle w:val="Body"/>
        <w:jc w:val="left"/>
        <w:rPr>
          <w:rFonts w:ascii="Arial" w:hAnsi="Arial" w:cs="Arial"/>
          <w:b/>
          <w:bCs/>
          <w:sz w:val="22"/>
          <w:szCs w:val="22"/>
        </w:rPr>
      </w:pPr>
      <w:r w:rsidRPr="003243CC">
        <w:rPr>
          <w:rFonts w:ascii="Arial" w:hAnsi="Arial" w:cs="Arial"/>
          <w:b/>
          <w:bCs/>
          <w:sz w:val="22"/>
          <w:szCs w:val="22"/>
        </w:rPr>
        <w:t xml:space="preserve">6.1 </w:t>
      </w:r>
      <w:r w:rsidR="0063107C" w:rsidRPr="003243CC">
        <w:rPr>
          <w:rFonts w:ascii="Arial" w:hAnsi="Arial" w:cs="Arial"/>
          <w:b/>
          <w:bCs/>
          <w:sz w:val="22"/>
          <w:szCs w:val="22"/>
        </w:rPr>
        <w:t>Development of National Guidelines and Standards for Production, Processing, and Use of Insects in Animal Feed</w:t>
      </w:r>
    </w:p>
    <w:p w14:paraId="6A6F2AF4" w14:textId="5BE2E348" w:rsidR="0063107C" w:rsidRPr="0063107C" w:rsidRDefault="0063107C" w:rsidP="0063107C">
      <w:pPr>
        <w:pStyle w:val="Body"/>
        <w:rPr>
          <w:rFonts w:ascii="Arial" w:hAnsi="Arial" w:cs="Arial"/>
        </w:rPr>
      </w:pPr>
      <w:r w:rsidRPr="0063107C">
        <w:rPr>
          <w:rFonts w:ascii="Arial" w:hAnsi="Arial" w:cs="Arial"/>
        </w:rPr>
        <w:t>Currently, Tanzania lacks a formal policy or legal framework governing the production, processing and use of insects in animal feeds. The absence of standards creates uncertainty among producers, feed manufacturers and consumers. To address this gap, the Tanzania Bureau of Standards (TBS) could collaborate with research institutions and regional bodies to establish quality and safety standards for BSFL-based feed ingredients, certification protocols for production facilities to ensure hygiene and traceability, and regulations recognizing insect-based proteins as legitimate feed materials under the Livestock Policy and Feed Act. Such measures would enhance investor confidence, facilitate trade and align Tanzania with the international standards on novel feed ingredients.</w:t>
      </w:r>
    </w:p>
    <w:p w14:paraId="6450BE3B" w14:textId="77777777" w:rsidR="00C766D2" w:rsidRDefault="00C766D2" w:rsidP="003243CC">
      <w:pPr>
        <w:pStyle w:val="Body"/>
        <w:jc w:val="left"/>
        <w:rPr>
          <w:rFonts w:ascii="Arial" w:hAnsi="Arial" w:cs="Arial"/>
          <w:b/>
          <w:bCs/>
          <w:sz w:val="22"/>
          <w:szCs w:val="22"/>
        </w:rPr>
      </w:pPr>
    </w:p>
    <w:p w14:paraId="45CFD3E4" w14:textId="0E801FCD" w:rsidR="0063107C" w:rsidRPr="003243CC" w:rsidRDefault="003243CC" w:rsidP="003243CC">
      <w:pPr>
        <w:pStyle w:val="Body"/>
        <w:jc w:val="left"/>
        <w:rPr>
          <w:rFonts w:ascii="Arial" w:hAnsi="Arial" w:cs="Arial"/>
          <w:b/>
          <w:bCs/>
          <w:sz w:val="22"/>
          <w:szCs w:val="22"/>
        </w:rPr>
      </w:pPr>
      <w:r>
        <w:rPr>
          <w:rFonts w:ascii="Arial" w:hAnsi="Arial" w:cs="Arial"/>
          <w:b/>
          <w:bCs/>
          <w:sz w:val="22"/>
          <w:szCs w:val="22"/>
        </w:rPr>
        <w:lastRenderedPageBreak/>
        <w:t xml:space="preserve">6.2 </w:t>
      </w:r>
      <w:r w:rsidR="0063107C" w:rsidRPr="003243CC">
        <w:rPr>
          <w:rFonts w:ascii="Arial" w:hAnsi="Arial" w:cs="Arial"/>
          <w:b/>
          <w:bCs/>
          <w:sz w:val="22"/>
          <w:szCs w:val="22"/>
        </w:rPr>
        <w:t>Integration of BSFL farming in the National Livestock Development Strategies</w:t>
      </w:r>
    </w:p>
    <w:p w14:paraId="5100B854" w14:textId="77777777" w:rsidR="0063107C" w:rsidRPr="0063107C" w:rsidRDefault="0063107C" w:rsidP="0063107C">
      <w:pPr>
        <w:pStyle w:val="Body"/>
        <w:rPr>
          <w:rFonts w:ascii="Arial" w:hAnsi="Arial" w:cs="Arial"/>
        </w:rPr>
      </w:pPr>
      <w:r w:rsidRPr="0063107C">
        <w:rPr>
          <w:rFonts w:ascii="Arial" w:hAnsi="Arial" w:cs="Arial"/>
        </w:rPr>
        <w:t xml:space="preserve">BSFL farming should be embedded into existing national livestock and feed development programs such as the Tanzania Livestock Master Plan (TLMP) and Agricultural Sector Development </w:t>
      </w:r>
      <w:proofErr w:type="spellStart"/>
      <w:r w:rsidRPr="0063107C">
        <w:rPr>
          <w:rFonts w:ascii="Arial" w:hAnsi="Arial" w:cs="Arial"/>
        </w:rPr>
        <w:t>Programme</w:t>
      </w:r>
      <w:proofErr w:type="spellEnd"/>
      <w:r w:rsidRPr="0063107C">
        <w:rPr>
          <w:rFonts w:ascii="Arial" w:hAnsi="Arial" w:cs="Arial"/>
        </w:rPr>
        <w:t xml:space="preserve"> II (ASDP II). This integration will recognize BSFL as a climate-smart feed innovation, encourage funding allocation for research and extension services and support local governments to promote insect farming under community-based agribusiness programs. This policy alignment is essential for scaling up insect-based feed technologies within Tanzania’s broader agenda of sustainable agriculture and food security.</w:t>
      </w:r>
    </w:p>
    <w:p w14:paraId="23AC5AF0" w14:textId="5E8597F9" w:rsidR="0063107C" w:rsidRPr="003243CC" w:rsidRDefault="003243CC" w:rsidP="003243CC">
      <w:pPr>
        <w:pStyle w:val="Body"/>
        <w:jc w:val="left"/>
        <w:rPr>
          <w:rFonts w:ascii="Arial" w:hAnsi="Arial" w:cs="Arial"/>
          <w:b/>
          <w:bCs/>
          <w:sz w:val="22"/>
          <w:szCs w:val="22"/>
        </w:rPr>
      </w:pPr>
      <w:r>
        <w:rPr>
          <w:rFonts w:ascii="Arial" w:hAnsi="Arial" w:cs="Arial"/>
          <w:b/>
          <w:bCs/>
          <w:sz w:val="22"/>
          <w:szCs w:val="22"/>
        </w:rPr>
        <w:t xml:space="preserve">6.3 </w:t>
      </w:r>
      <w:r w:rsidR="0063107C" w:rsidRPr="003243CC">
        <w:rPr>
          <w:rFonts w:ascii="Arial" w:hAnsi="Arial" w:cs="Arial"/>
          <w:b/>
          <w:bCs/>
          <w:sz w:val="22"/>
          <w:szCs w:val="22"/>
        </w:rPr>
        <w:t>Strengthening Research and Technology Transfer</w:t>
      </w:r>
    </w:p>
    <w:p w14:paraId="26297CA9" w14:textId="77777777" w:rsidR="0063107C" w:rsidRPr="0063107C" w:rsidRDefault="0063107C" w:rsidP="0063107C">
      <w:pPr>
        <w:pStyle w:val="Body"/>
        <w:rPr>
          <w:rFonts w:ascii="Arial" w:hAnsi="Arial" w:cs="Arial"/>
        </w:rPr>
      </w:pPr>
      <w:r w:rsidRPr="0063107C">
        <w:rPr>
          <w:rFonts w:ascii="Arial" w:hAnsi="Arial" w:cs="Arial"/>
        </w:rPr>
        <w:t>Research institutions such as TALIRI, AU, UDSM, TAFIRI, ILRI, AMREF Health Africa Tanzania, and Sokoine University of Agriculture (SUA) play a pivotal role in developing context-specific innovations for BSFL production. Key areas for advancement include optimizing substrate compositions using locally available organic wastes (</w:t>
      </w:r>
      <w:proofErr w:type="spellStart"/>
      <w:r w:rsidRPr="0063107C">
        <w:rPr>
          <w:rFonts w:ascii="Arial" w:hAnsi="Arial" w:cs="Arial"/>
        </w:rPr>
        <w:t>e.g</w:t>
      </w:r>
      <w:proofErr w:type="spellEnd"/>
      <w:r w:rsidRPr="0063107C">
        <w:rPr>
          <w:rFonts w:ascii="Arial" w:hAnsi="Arial" w:cs="Arial"/>
        </w:rPr>
        <w:t xml:space="preserve"> maize husks, brewery waste, vegetable residues), enhancing larval growth and conversion efficiency under Tanzanian climatic conditions, developing low-cost drying and processing technologies for rural farmers and establishing feed formulation databases incorporating BSFL meal for broilers, layers and indigenous chicken systems. </w:t>
      </w:r>
    </w:p>
    <w:p w14:paraId="20A02036" w14:textId="198374AE" w:rsidR="0063107C" w:rsidRDefault="0063107C" w:rsidP="0063107C">
      <w:pPr>
        <w:pStyle w:val="Body"/>
        <w:rPr>
          <w:rFonts w:ascii="Arial" w:hAnsi="Arial" w:cs="Arial"/>
        </w:rPr>
      </w:pPr>
      <w:r w:rsidRPr="0063107C">
        <w:rPr>
          <w:rFonts w:ascii="Arial" w:hAnsi="Arial" w:cs="Arial"/>
        </w:rPr>
        <w:t xml:space="preserve">In order to strengthen research and technology transfer more participatory research on BSFL involving livestock farmers; and interventions to disseminate the technologies (BSFL-based feed) to livestock farmers and other stakeholders through different dissemination pathways including agricultural exhibitions, trade fairs, and farmers field school are required. Partnerships between academia, the private sector and local communities can facilitate technology transfer. </w:t>
      </w:r>
    </w:p>
    <w:p w14:paraId="3A006FAA" w14:textId="7F7C6011" w:rsidR="0063107C" w:rsidRPr="003243CC" w:rsidRDefault="003243CC" w:rsidP="003243CC">
      <w:pPr>
        <w:pStyle w:val="Body"/>
        <w:jc w:val="left"/>
        <w:rPr>
          <w:rFonts w:ascii="Arial" w:hAnsi="Arial" w:cs="Arial"/>
          <w:b/>
          <w:bCs/>
          <w:sz w:val="22"/>
          <w:szCs w:val="22"/>
        </w:rPr>
      </w:pPr>
      <w:r>
        <w:rPr>
          <w:rFonts w:ascii="Arial" w:hAnsi="Arial" w:cs="Arial"/>
          <w:b/>
          <w:bCs/>
          <w:sz w:val="22"/>
          <w:szCs w:val="22"/>
        </w:rPr>
        <w:t xml:space="preserve">6.4 </w:t>
      </w:r>
      <w:r w:rsidR="0063107C" w:rsidRPr="003243CC">
        <w:rPr>
          <w:rFonts w:ascii="Arial" w:hAnsi="Arial" w:cs="Arial"/>
          <w:b/>
          <w:bCs/>
          <w:sz w:val="22"/>
          <w:szCs w:val="22"/>
        </w:rPr>
        <w:t>Strengthening Digital and Innovative Financing Platforms</w:t>
      </w:r>
    </w:p>
    <w:p w14:paraId="3DC8A181" w14:textId="77777777" w:rsidR="0063107C" w:rsidRPr="0063107C" w:rsidRDefault="0063107C" w:rsidP="0063107C">
      <w:pPr>
        <w:pStyle w:val="Body"/>
        <w:rPr>
          <w:rFonts w:ascii="Arial" w:hAnsi="Arial" w:cs="Arial"/>
        </w:rPr>
      </w:pPr>
      <w:r w:rsidRPr="0063107C">
        <w:rPr>
          <w:rFonts w:ascii="Arial" w:hAnsi="Arial" w:cs="Arial"/>
        </w:rPr>
        <w:t>Digital innovations can boost the BSFL sector by connecting producers, feed manufacturers and consumers. Potential interventions include mobile-based advisory platforms providing technical guidance and market information, crowd funding and microfinance schemes that allow youth and women entrepreneurs to access startup capital and block chain traceability systems to ensure transparency and safety of BSFL-derived feeds. These innovations can enhance efficiency, build trust and create inclusive participation across the value chain.</w:t>
      </w:r>
    </w:p>
    <w:p w14:paraId="54E8960C" w14:textId="600D0B4B" w:rsidR="0063107C" w:rsidRPr="003243CC" w:rsidRDefault="003243CC" w:rsidP="003243CC">
      <w:pPr>
        <w:pStyle w:val="Body"/>
        <w:jc w:val="left"/>
        <w:rPr>
          <w:rFonts w:ascii="Arial" w:hAnsi="Arial" w:cs="Arial"/>
          <w:b/>
          <w:bCs/>
          <w:sz w:val="22"/>
          <w:szCs w:val="22"/>
        </w:rPr>
      </w:pPr>
      <w:r>
        <w:rPr>
          <w:rFonts w:ascii="Arial" w:hAnsi="Arial" w:cs="Arial"/>
          <w:b/>
          <w:bCs/>
          <w:sz w:val="22"/>
          <w:szCs w:val="22"/>
        </w:rPr>
        <w:t xml:space="preserve">6.5 </w:t>
      </w:r>
      <w:r w:rsidR="0063107C" w:rsidRPr="003243CC">
        <w:rPr>
          <w:rFonts w:ascii="Arial" w:hAnsi="Arial" w:cs="Arial"/>
          <w:b/>
          <w:bCs/>
          <w:sz w:val="22"/>
          <w:szCs w:val="22"/>
        </w:rPr>
        <w:t>Private Sector, Development Partners, and NGOs Engagement</w:t>
      </w:r>
    </w:p>
    <w:p w14:paraId="79D12F6F" w14:textId="77777777" w:rsidR="0063107C" w:rsidRPr="0063107C" w:rsidRDefault="0063107C" w:rsidP="0063107C">
      <w:pPr>
        <w:pStyle w:val="Body"/>
        <w:rPr>
          <w:rFonts w:ascii="Arial" w:hAnsi="Arial" w:cs="Arial"/>
        </w:rPr>
      </w:pPr>
      <w:r w:rsidRPr="0063107C">
        <w:rPr>
          <w:rFonts w:ascii="Arial" w:hAnsi="Arial" w:cs="Arial"/>
        </w:rPr>
        <w:t>The private sector plays a critical role in scaling BSFL production through investment, market creation and supply chain development. Feed manufacturers, hatcheries and poultry associations such as the Tanzania Poultry Association (TPA) can partner with smallholder BSFL producers to establish contract farming schemes that ensure steady supply and fair pricing. Moreover, agribusiness incubators and innovation hubs can support start-ups with technical and business management training to enhance competitiveness and sustainability.</w:t>
      </w:r>
    </w:p>
    <w:p w14:paraId="0112AB85" w14:textId="77777777" w:rsidR="0063107C" w:rsidRPr="0063107C" w:rsidRDefault="0063107C" w:rsidP="0063107C">
      <w:pPr>
        <w:pStyle w:val="Body"/>
        <w:rPr>
          <w:rFonts w:ascii="Arial" w:hAnsi="Arial" w:cs="Arial"/>
        </w:rPr>
      </w:pPr>
      <w:r w:rsidRPr="0063107C">
        <w:rPr>
          <w:rFonts w:ascii="Arial" w:hAnsi="Arial" w:cs="Arial"/>
        </w:rPr>
        <w:t>Development organizations such as FAO, IFAD, SNV, and Heifer International have experience of supporting inclusive agribusiness models. Their involvement in capacity building, pilot projects, and market linkage can accelerate BSFL adoption. Collaborative projects focusing on waste-to-feed systems can demonstrate how BSFL farming supports circular economies, aligns with SDG 12 (Responsible Consumption and Production), and contributes to climate resilience (SDG 13).</w:t>
      </w:r>
    </w:p>
    <w:p w14:paraId="34252BA7" w14:textId="26F79831" w:rsidR="0063107C" w:rsidRPr="003243CC" w:rsidRDefault="003243CC" w:rsidP="003243CC">
      <w:pPr>
        <w:pStyle w:val="Body"/>
        <w:jc w:val="left"/>
        <w:rPr>
          <w:rFonts w:ascii="Arial" w:hAnsi="Arial" w:cs="Arial"/>
          <w:b/>
          <w:bCs/>
          <w:sz w:val="22"/>
          <w:szCs w:val="22"/>
        </w:rPr>
      </w:pPr>
      <w:r w:rsidRPr="003243CC">
        <w:rPr>
          <w:rFonts w:ascii="Arial" w:hAnsi="Arial" w:cs="Arial"/>
          <w:b/>
          <w:bCs/>
          <w:sz w:val="22"/>
          <w:szCs w:val="22"/>
        </w:rPr>
        <w:t xml:space="preserve">6.6 </w:t>
      </w:r>
      <w:r w:rsidR="0063107C" w:rsidRPr="003243CC">
        <w:rPr>
          <w:rFonts w:ascii="Arial" w:hAnsi="Arial" w:cs="Arial"/>
          <w:b/>
          <w:bCs/>
          <w:sz w:val="22"/>
          <w:szCs w:val="22"/>
        </w:rPr>
        <w:t>Strengthening Consumer Sensitization on Quality and Safety of Poultry Products Raised on BSFL-based Feed</w:t>
      </w:r>
    </w:p>
    <w:p w14:paraId="282B85F9" w14:textId="1108649C" w:rsidR="0063107C" w:rsidRDefault="0063107C" w:rsidP="0063107C">
      <w:pPr>
        <w:pStyle w:val="Body"/>
        <w:spacing w:after="0"/>
        <w:rPr>
          <w:rFonts w:ascii="Arial" w:hAnsi="Arial" w:cs="Arial"/>
        </w:rPr>
      </w:pPr>
      <w:r w:rsidRPr="0063107C">
        <w:rPr>
          <w:rFonts w:ascii="Arial" w:hAnsi="Arial" w:cs="Arial"/>
        </w:rPr>
        <w:t>Efforts must also focus on consumer confidence in poultry products raised on BSFL-based feeds. Public education campaigns should emphasize that BSFL meal is safe, nutritious and environmentally sustainable, helping to build market demand and social acceptance.</w:t>
      </w:r>
    </w:p>
    <w:p w14:paraId="064E774A" w14:textId="7D76A997" w:rsidR="0090599C" w:rsidRDefault="0090599C" w:rsidP="00441B6F">
      <w:pPr>
        <w:pStyle w:val="Body"/>
        <w:spacing w:after="0"/>
        <w:rPr>
          <w:rFonts w:ascii="Arial" w:hAnsi="Arial" w:cs="Arial"/>
        </w:rPr>
      </w:pPr>
    </w:p>
    <w:p w14:paraId="31996FA2" w14:textId="6A480442" w:rsidR="00B01FCD" w:rsidRDefault="005D5AE0" w:rsidP="00441B6F">
      <w:pPr>
        <w:pStyle w:val="ConcHead"/>
        <w:spacing w:after="0"/>
        <w:jc w:val="both"/>
        <w:rPr>
          <w:rFonts w:ascii="Arial" w:hAnsi="Arial" w:cs="Arial"/>
        </w:rPr>
      </w:pPr>
      <w:r>
        <w:rPr>
          <w:rFonts w:ascii="Arial" w:hAnsi="Arial" w:cs="Arial"/>
        </w:rPr>
        <w:t>7</w:t>
      </w:r>
      <w:r w:rsidR="00000F8F">
        <w:rPr>
          <w:rFonts w:ascii="Arial" w:hAnsi="Arial" w:cs="Arial"/>
        </w:rPr>
        <w:t xml:space="preserve">. </w:t>
      </w:r>
      <w:r w:rsidR="00B01FCD" w:rsidRPr="00FB3A86">
        <w:rPr>
          <w:rFonts w:ascii="Arial" w:hAnsi="Arial" w:cs="Arial"/>
        </w:rPr>
        <w:t>Conclusion</w:t>
      </w:r>
    </w:p>
    <w:p w14:paraId="665C6A3F" w14:textId="77777777" w:rsidR="00790ADA" w:rsidRPr="00FB3A86" w:rsidRDefault="00790ADA" w:rsidP="00441B6F">
      <w:pPr>
        <w:pStyle w:val="ConcHead"/>
        <w:spacing w:after="0"/>
        <w:jc w:val="both"/>
        <w:rPr>
          <w:rFonts w:ascii="Arial" w:hAnsi="Arial" w:cs="Arial"/>
        </w:rPr>
      </w:pPr>
    </w:p>
    <w:p w14:paraId="2C032D01" w14:textId="77777777" w:rsidR="005D5AE0" w:rsidRPr="005D5AE0" w:rsidRDefault="005D5AE0" w:rsidP="005D5AE0">
      <w:pPr>
        <w:pStyle w:val="Body"/>
        <w:rPr>
          <w:rFonts w:ascii="Arial" w:hAnsi="Arial" w:cs="Arial"/>
        </w:rPr>
      </w:pPr>
      <w:r w:rsidRPr="005D5AE0">
        <w:rPr>
          <w:rFonts w:ascii="Arial" w:hAnsi="Arial" w:cs="Arial"/>
        </w:rPr>
        <w:t>In conclusion, BSFL present a transformative opportunity for Tanzania to achieve feed security, environmental sustainability and rural empowerment. By embracing this innovation through supportive policies, strategic investments and strong partnerships, Tanzania can position itself as a regional leader in sustainable livestock production and circular bioeconomy development.</w:t>
      </w:r>
    </w:p>
    <w:p w14:paraId="67184DBF" w14:textId="179721AB" w:rsidR="005D5AE0" w:rsidRDefault="005D5AE0" w:rsidP="005D5AE0">
      <w:pPr>
        <w:pStyle w:val="Body"/>
        <w:spacing w:after="0"/>
        <w:rPr>
          <w:rFonts w:ascii="Arial" w:hAnsi="Arial" w:cs="Arial"/>
        </w:rPr>
      </w:pPr>
      <w:r w:rsidRPr="005D5AE0">
        <w:rPr>
          <w:rFonts w:ascii="Arial" w:hAnsi="Arial" w:cs="Arial"/>
        </w:rPr>
        <w:lastRenderedPageBreak/>
        <w:t xml:space="preserve">A well-coordinated national approach-anchored in science, inclusivity and sustainability will be crucial to realize the full potential of BSFL in advancing Tanzania’s poultry sector and contributing to achievement of the country’s Vision 2050 goals of green growth and resilient food systems. </w:t>
      </w:r>
    </w:p>
    <w:p w14:paraId="1BF359AA" w14:textId="61C39F9B" w:rsidR="00BF0894" w:rsidRDefault="00BF0894" w:rsidP="005D5AE0">
      <w:pPr>
        <w:pStyle w:val="Body"/>
        <w:spacing w:after="0"/>
        <w:rPr>
          <w:rFonts w:ascii="Arial" w:hAnsi="Arial" w:cs="Arial"/>
        </w:rPr>
      </w:pPr>
    </w:p>
    <w:p w14:paraId="28CED6C6" w14:textId="22123F20" w:rsidR="00BF0894" w:rsidRDefault="00BF0894" w:rsidP="005D5AE0">
      <w:pPr>
        <w:pStyle w:val="Body"/>
        <w:spacing w:after="0"/>
        <w:rPr>
          <w:rFonts w:ascii="Arial" w:hAnsi="Arial" w:cs="Arial"/>
        </w:rPr>
      </w:pPr>
    </w:p>
    <w:p w14:paraId="310C7642" w14:textId="46218E54" w:rsidR="00BF0894" w:rsidRDefault="00BF0894" w:rsidP="005D5AE0">
      <w:pPr>
        <w:pStyle w:val="Body"/>
        <w:spacing w:after="0"/>
        <w:rPr>
          <w:rFonts w:ascii="Arial" w:hAnsi="Arial" w:cs="Arial"/>
        </w:rPr>
      </w:pPr>
    </w:p>
    <w:p w14:paraId="105E09E1" w14:textId="02ADBCA8" w:rsidR="00BF0894" w:rsidRDefault="00BF0894" w:rsidP="005D5AE0">
      <w:pPr>
        <w:pStyle w:val="Body"/>
        <w:spacing w:after="0"/>
        <w:rPr>
          <w:rFonts w:ascii="Arial" w:hAnsi="Arial" w:cs="Arial"/>
        </w:rPr>
      </w:pPr>
    </w:p>
    <w:p w14:paraId="5E2B2A2F" w14:textId="048B9D75" w:rsidR="00BF0894" w:rsidRDefault="00BF0894" w:rsidP="005D5AE0">
      <w:pPr>
        <w:pStyle w:val="Body"/>
        <w:spacing w:after="0"/>
        <w:rPr>
          <w:rFonts w:ascii="Arial" w:hAnsi="Arial" w:cs="Arial"/>
        </w:rPr>
      </w:pPr>
      <w:r w:rsidRPr="00BF0894">
        <w:rPr>
          <w:noProof/>
        </w:rPr>
        <w:drawing>
          <wp:inline distT="0" distB="0" distL="0" distR="0" wp14:anchorId="6E9FE3D5" wp14:editId="1050BDBC">
            <wp:extent cx="5880100" cy="421195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0100" cy="4211955"/>
                    </a:xfrm>
                    <a:prstGeom prst="rect">
                      <a:avLst/>
                    </a:prstGeom>
                    <a:noFill/>
                    <a:ln>
                      <a:noFill/>
                    </a:ln>
                  </pic:spPr>
                </pic:pic>
              </a:graphicData>
            </a:graphic>
          </wp:inline>
        </w:drawing>
      </w:r>
    </w:p>
    <w:p w14:paraId="3ECE0F37" w14:textId="77777777" w:rsidR="005D5AE0" w:rsidRDefault="005D5AE0" w:rsidP="005D5AE0">
      <w:pPr>
        <w:pStyle w:val="Body"/>
        <w:spacing w:after="0"/>
        <w:rPr>
          <w:rFonts w:ascii="Arial" w:hAnsi="Arial" w:cs="Arial"/>
        </w:rPr>
      </w:pPr>
    </w:p>
    <w:p w14:paraId="753BF19F" w14:textId="77777777" w:rsidR="00790ADA" w:rsidRPr="00FB3A86" w:rsidRDefault="00790ADA" w:rsidP="00441B6F">
      <w:pPr>
        <w:pStyle w:val="Body"/>
        <w:spacing w:after="0"/>
        <w:rPr>
          <w:rFonts w:ascii="Arial" w:hAnsi="Arial" w:cs="Arial"/>
        </w:rPr>
      </w:pPr>
    </w:p>
    <w:p w14:paraId="42C48396" w14:textId="77777777" w:rsidR="005C784C" w:rsidRDefault="005C784C" w:rsidP="00441B6F">
      <w:pPr>
        <w:pStyle w:val="ReferHead"/>
        <w:spacing w:after="0"/>
        <w:jc w:val="both"/>
        <w:rPr>
          <w:rFonts w:ascii="Arial" w:hAnsi="Arial" w:cs="Arial"/>
          <w:b w:val="0"/>
          <w:caps w:val="0"/>
          <w:sz w:val="20"/>
        </w:rPr>
      </w:pPr>
    </w:p>
    <w:p w14:paraId="27F4E71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751A72F" w14:textId="77777777" w:rsidR="005D217D" w:rsidRDefault="005D217D" w:rsidP="00E410D3">
      <w:pPr>
        <w:jc w:val="both"/>
        <w:rPr>
          <w:rFonts w:ascii="Arial" w:hAnsi="Arial" w:cs="Arial"/>
        </w:rPr>
      </w:pPr>
    </w:p>
    <w:p w14:paraId="0AAA71CA" w14:textId="44C19EF9" w:rsidR="005D217D" w:rsidRPr="003F687C" w:rsidRDefault="005D217D" w:rsidP="003F687C">
      <w:pPr>
        <w:pStyle w:val="ListParagraph"/>
        <w:numPr>
          <w:ilvl w:val="0"/>
          <w:numId w:val="31"/>
        </w:numPr>
        <w:jc w:val="both"/>
        <w:rPr>
          <w:rFonts w:ascii="Arial" w:hAnsi="Arial" w:cs="Arial"/>
          <w:sz w:val="22"/>
          <w:szCs w:val="22"/>
        </w:rPr>
      </w:pPr>
      <w:r w:rsidRPr="003F687C">
        <w:rPr>
          <w:rFonts w:ascii="Arial" w:hAnsi="Arial" w:cs="Arial"/>
          <w:sz w:val="22"/>
          <w:szCs w:val="22"/>
          <w:lang w:val="pt-BR"/>
        </w:rPr>
        <w:t xml:space="preserve">Adam, N. R., Adjorlolo, L. K., Obese, F. Y., Osae, M., Ayizanga, R. A., Osei-Amponsah, R., &amp; Nagetey, A. (2024). </w:t>
      </w:r>
      <w:r w:rsidRPr="003F687C">
        <w:rPr>
          <w:rFonts w:ascii="Arial" w:hAnsi="Arial" w:cs="Arial"/>
          <w:sz w:val="22"/>
          <w:szCs w:val="22"/>
        </w:rPr>
        <w:t xml:space="preserve">Intake, growth performance and nutrient digestibility of broiler chicken fed diets containing black soldier fly larvae meal. Livestock Research for Rural Development. </w:t>
      </w:r>
      <w:hyperlink r:id="rId14" w:history="1">
        <w:r w:rsidRPr="003F687C">
          <w:rPr>
            <w:rStyle w:val="Hyperlink"/>
            <w:rFonts w:ascii="Arial" w:hAnsi="Arial" w:cs="Arial"/>
            <w:sz w:val="22"/>
            <w:szCs w:val="22"/>
          </w:rPr>
          <w:t>http://www.lrrd.org/lrrd36/5/3652LKad.html</w:t>
        </w:r>
      </w:hyperlink>
      <w:r w:rsidRPr="003F687C">
        <w:rPr>
          <w:rFonts w:ascii="Arial" w:hAnsi="Arial" w:cs="Arial"/>
          <w:sz w:val="22"/>
          <w:szCs w:val="22"/>
        </w:rPr>
        <w:t xml:space="preserve"> </w:t>
      </w:r>
    </w:p>
    <w:p w14:paraId="52FC98B0" w14:textId="77777777" w:rsidR="005D217D" w:rsidRPr="005D217D" w:rsidRDefault="005D217D" w:rsidP="00E513BA">
      <w:pPr>
        <w:jc w:val="both"/>
        <w:rPr>
          <w:rFonts w:ascii="Arial" w:hAnsi="Arial" w:cs="Arial"/>
          <w:sz w:val="22"/>
          <w:szCs w:val="22"/>
        </w:rPr>
      </w:pPr>
    </w:p>
    <w:p w14:paraId="47DC0542" w14:textId="5CC0A423" w:rsidR="005D217D" w:rsidRPr="003F687C" w:rsidRDefault="005D217D" w:rsidP="003F687C">
      <w:pPr>
        <w:pStyle w:val="ListParagraph"/>
        <w:numPr>
          <w:ilvl w:val="0"/>
          <w:numId w:val="31"/>
        </w:numPr>
        <w:jc w:val="both"/>
        <w:rPr>
          <w:rFonts w:ascii="Arial" w:hAnsi="Arial" w:cs="Arial"/>
          <w:sz w:val="22"/>
          <w:szCs w:val="22"/>
        </w:rPr>
      </w:pPr>
      <w:r w:rsidRPr="003F687C">
        <w:rPr>
          <w:rFonts w:ascii="Arial" w:hAnsi="Arial" w:cs="Arial"/>
          <w:sz w:val="22"/>
          <w:szCs w:val="22"/>
        </w:rPr>
        <w:t xml:space="preserve">Barragan-Fonseca, K. B., </w:t>
      </w:r>
      <w:proofErr w:type="spellStart"/>
      <w:r w:rsidRPr="003F687C">
        <w:rPr>
          <w:rFonts w:ascii="Arial" w:hAnsi="Arial" w:cs="Arial"/>
          <w:sz w:val="22"/>
          <w:szCs w:val="22"/>
        </w:rPr>
        <w:t>Dicke</w:t>
      </w:r>
      <w:proofErr w:type="spellEnd"/>
      <w:r w:rsidRPr="003F687C">
        <w:rPr>
          <w:rFonts w:ascii="Arial" w:hAnsi="Arial" w:cs="Arial"/>
          <w:sz w:val="22"/>
          <w:szCs w:val="22"/>
        </w:rPr>
        <w:t>, M., &amp; van Loon, J. J. A. (2017). Nutritional value of the black soldier fly (</w:t>
      </w:r>
      <w:proofErr w:type="spellStart"/>
      <w:r w:rsidRPr="003F687C">
        <w:rPr>
          <w:rFonts w:ascii="Arial" w:hAnsi="Arial" w:cs="Arial"/>
          <w:sz w:val="22"/>
          <w:szCs w:val="22"/>
        </w:rPr>
        <w:t>Hermetia</w:t>
      </w:r>
      <w:proofErr w:type="spellEnd"/>
      <w:r w:rsidRPr="003F687C">
        <w:rPr>
          <w:rFonts w:ascii="Arial" w:hAnsi="Arial" w:cs="Arial"/>
          <w:sz w:val="22"/>
          <w:szCs w:val="22"/>
        </w:rPr>
        <w:t xml:space="preserve"> </w:t>
      </w:r>
      <w:proofErr w:type="spellStart"/>
      <w:r w:rsidRPr="003F687C">
        <w:rPr>
          <w:rFonts w:ascii="Arial" w:hAnsi="Arial" w:cs="Arial"/>
          <w:sz w:val="22"/>
          <w:szCs w:val="22"/>
        </w:rPr>
        <w:t>illucens</w:t>
      </w:r>
      <w:proofErr w:type="spellEnd"/>
      <w:r w:rsidRPr="003F687C">
        <w:rPr>
          <w:rFonts w:ascii="Arial" w:hAnsi="Arial" w:cs="Arial"/>
          <w:sz w:val="22"/>
          <w:szCs w:val="22"/>
        </w:rPr>
        <w:t xml:space="preserve"> L.) and its suitability as animal feed – a review. Journal of Insects as Food and Feed, 3(2), 105–120. </w:t>
      </w:r>
      <w:hyperlink r:id="rId15" w:history="1">
        <w:r w:rsidRPr="003F687C">
          <w:rPr>
            <w:rStyle w:val="Hyperlink"/>
            <w:rFonts w:ascii="Arial" w:hAnsi="Arial" w:cs="Arial"/>
            <w:sz w:val="22"/>
            <w:szCs w:val="22"/>
          </w:rPr>
          <w:t>https://doi.org/10.3920/JIFF2016.0055</w:t>
        </w:r>
      </w:hyperlink>
      <w:r w:rsidRPr="003F687C">
        <w:rPr>
          <w:rFonts w:ascii="Arial" w:hAnsi="Arial" w:cs="Arial"/>
          <w:sz w:val="22"/>
          <w:szCs w:val="22"/>
        </w:rPr>
        <w:t xml:space="preserve"> </w:t>
      </w:r>
    </w:p>
    <w:p w14:paraId="6565BFBC" w14:textId="77777777" w:rsidR="005D217D" w:rsidRPr="005D217D" w:rsidRDefault="005D217D" w:rsidP="00E513BA">
      <w:pPr>
        <w:jc w:val="both"/>
        <w:rPr>
          <w:rFonts w:ascii="Arial" w:hAnsi="Arial" w:cs="Arial"/>
          <w:sz w:val="22"/>
          <w:szCs w:val="22"/>
        </w:rPr>
      </w:pPr>
    </w:p>
    <w:p w14:paraId="5EC29BA0" w14:textId="0B797427" w:rsidR="005D217D" w:rsidRPr="003F687C" w:rsidRDefault="005D217D" w:rsidP="003F687C">
      <w:pPr>
        <w:pStyle w:val="ListParagraph"/>
        <w:numPr>
          <w:ilvl w:val="0"/>
          <w:numId w:val="31"/>
        </w:numPr>
        <w:jc w:val="both"/>
        <w:rPr>
          <w:rFonts w:ascii="Arial" w:hAnsi="Arial" w:cs="Arial"/>
          <w:sz w:val="22"/>
          <w:szCs w:val="22"/>
        </w:rPr>
      </w:pPr>
      <w:r w:rsidRPr="003F687C">
        <w:rPr>
          <w:rFonts w:ascii="Arial" w:hAnsi="Arial" w:cs="Arial"/>
          <w:sz w:val="22"/>
          <w:szCs w:val="22"/>
        </w:rPr>
        <w:t xml:space="preserve">Bosch, G., Van </w:t>
      </w:r>
      <w:proofErr w:type="spellStart"/>
      <w:r w:rsidRPr="003F687C">
        <w:rPr>
          <w:rFonts w:ascii="Arial" w:hAnsi="Arial" w:cs="Arial"/>
          <w:sz w:val="22"/>
          <w:szCs w:val="22"/>
        </w:rPr>
        <w:t>Zanten</w:t>
      </w:r>
      <w:proofErr w:type="spellEnd"/>
      <w:r w:rsidRPr="003F687C">
        <w:rPr>
          <w:rFonts w:ascii="Arial" w:hAnsi="Arial" w:cs="Arial"/>
          <w:sz w:val="22"/>
          <w:szCs w:val="22"/>
        </w:rPr>
        <w:t xml:space="preserve">, H. H. E., </w:t>
      </w:r>
      <w:proofErr w:type="spellStart"/>
      <w:r w:rsidRPr="003F687C">
        <w:rPr>
          <w:rFonts w:ascii="Arial" w:hAnsi="Arial" w:cs="Arial"/>
          <w:sz w:val="22"/>
          <w:szCs w:val="22"/>
        </w:rPr>
        <w:t>Zamprogna</w:t>
      </w:r>
      <w:proofErr w:type="spellEnd"/>
      <w:r w:rsidRPr="003F687C">
        <w:rPr>
          <w:rFonts w:ascii="Arial" w:hAnsi="Arial" w:cs="Arial"/>
          <w:sz w:val="22"/>
          <w:szCs w:val="22"/>
        </w:rPr>
        <w:t xml:space="preserve">, A., </w:t>
      </w:r>
      <w:proofErr w:type="spellStart"/>
      <w:r w:rsidRPr="003F687C">
        <w:rPr>
          <w:rFonts w:ascii="Arial" w:hAnsi="Arial" w:cs="Arial"/>
          <w:sz w:val="22"/>
          <w:szCs w:val="22"/>
        </w:rPr>
        <w:t>Veenenbos</w:t>
      </w:r>
      <w:proofErr w:type="spellEnd"/>
      <w:r w:rsidRPr="003F687C">
        <w:rPr>
          <w:rFonts w:ascii="Arial" w:hAnsi="Arial" w:cs="Arial"/>
          <w:sz w:val="22"/>
          <w:szCs w:val="22"/>
        </w:rPr>
        <w:t>, M., Meijer, N. P., Van der Fels-</w:t>
      </w:r>
      <w:proofErr w:type="spellStart"/>
      <w:r w:rsidRPr="003F687C">
        <w:rPr>
          <w:rFonts w:ascii="Arial" w:hAnsi="Arial" w:cs="Arial"/>
          <w:sz w:val="22"/>
          <w:szCs w:val="22"/>
        </w:rPr>
        <w:t>Klerx</w:t>
      </w:r>
      <w:proofErr w:type="spellEnd"/>
      <w:r w:rsidRPr="003F687C">
        <w:rPr>
          <w:rFonts w:ascii="Arial" w:hAnsi="Arial" w:cs="Arial"/>
          <w:sz w:val="22"/>
          <w:szCs w:val="22"/>
        </w:rPr>
        <w:t xml:space="preserve">, H. J., &amp; Van Loon, J. J. A. (2019). Conversion of organic resources by black soldier fly larvae: Legislation, efficiency and environmental impact. Journal of Cleaner Production </w:t>
      </w:r>
      <w:hyperlink r:id="rId16" w:history="1">
        <w:r w:rsidRPr="003F687C">
          <w:rPr>
            <w:rStyle w:val="Hyperlink"/>
            <w:rFonts w:ascii="Arial" w:hAnsi="Arial" w:cs="Arial"/>
            <w:sz w:val="22"/>
            <w:szCs w:val="22"/>
          </w:rPr>
          <w:t>https://doi.org/10.1016/j.jclepro.2019.02.270</w:t>
        </w:r>
      </w:hyperlink>
      <w:r w:rsidRPr="003F687C">
        <w:rPr>
          <w:rFonts w:ascii="Arial" w:hAnsi="Arial" w:cs="Arial"/>
          <w:sz w:val="22"/>
          <w:szCs w:val="22"/>
        </w:rPr>
        <w:t xml:space="preserve"> </w:t>
      </w:r>
    </w:p>
    <w:p w14:paraId="4D69C260" w14:textId="77777777" w:rsidR="005D217D" w:rsidRPr="005D217D" w:rsidRDefault="005D217D" w:rsidP="00E513BA">
      <w:pPr>
        <w:jc w:val="both"/>
        <w:rPr>
          <w:rFonts w:ascii="Arial" w:hAnsi="Arial" w:cs="Arial"/>
          <w:sz w:val="22"/>
          <w:szCs w:val="22"/>
        </w:rPr>
      </w:pPr>
    </w:p>
    <w:p w14:paraId="6AD9437B" w14:textId="77777777" w:rsidR="005D217D" w:rsidRPr="003F687C" w:rsidRDefault="005D217D" w:rsidP="003F687C">
      <w:pPr>
        <w:pStyle w:val="ListParagraph"/>
        <w:numPr>
          <w:ilvl w:val="0"/>
          <w:numId w:val="31"/>
        </w:numPr>
        <w:jc w:val="both"/>
        <w:rPr>
          <w:rFonts w:ascii="Arial" w:hAnsi="Arial" w:cs="Arial"/>
          <w:sz w:val="22"/>
          <w:szCs w:val="22"/>
        </w:rPr>
      </w:pPr>
      <w:r w:rsidRPr="003F687C">
        <w:rPr>
          <w:rFonts w:ascii="Arial" w:hAnsi="Arial" w:cs="Arial"/>
          <w:sz w:val="22"/>
          <w:szCs w:val="22"/>
        </w:rPr>
        <w:t xml:space="preserve">Chia, S. Y., Tanga, C. M., Khamis, F. M., Mohamed, S. A., Salifu, D., </w:t>
      </w:r>
      <w:proofErr w:type="spellStart"/>
      <w:r w:rsidRPr="003F687C">
        <w:rPr>
          <w:rFonts w:ascii="Arial" w:hAnsi="Arial" w:cs="Arial"/>
          <w:sz w:val="22"/>
          <w:szCs w:val="22"/>
        </w:rPr>
        <w:t>Sevgan</w:t>
      </w:r>
      <w:proofErr w:type="spellEnd"/>
      <w:r w:rsidRPr="003F687C">
        <w:rPr>
          <w:rFonts w:ascii="Arial" w:hAnsi="Arial" w:cs="Arial"/>
          <w:sz w:val="22"/>
          <w:szCs w:val="22"/>
        </w:rPr>
        <w:t xml:space="preserve">, S., </w:t>
      </w:r>
      <w:proofErr w:type="spellStart"/>
      <w:r w:rsidRPr="003F687C">
        <w:rPr>
          <w:rFonts w:ascii="Arial" w:hAnsi="Arial" w:cs="Arial"/>
          <w:sz w:val="22"/>
          <w:szCs w:val="22"/>
        </w:rPr>
        <w:t>Fiaboe</w:t>
      </w:r>
      <w:proofErr w:type="spellEnd"/>
      <w:r w:rsidRPr="003F687C">
        <w:rPr>
          <w:rFonts w:ascii="Arial" w:hAnsi="Arial" w:cs="Arial"/>
          <w:sz w:val="22"/>
          <w:szCs w:val="22"/>
        </w:rPr>
        <w:t xml:space="preserve">, K. K. M., Niassy, S., van Loon, J. J. A., Dicke, M., &amp; </w:t>
      </w:r>
      <w:proofErr w:type="spellStart"/>
      <w:r w:rsidRPr="003F687C">
        <w:rPr>
          <w:rFonts w:ascii="Arial" w:hAnsi="Arial" w:cs="Arial"/>
          <w:sz w:val="22"/>
          <w:szCs w:val="22"/>
        </w:rPr>
        <w:t>Ekesi</w:t>
      </w:r>
      <w:proofErr w:type="spellEnd"/>
      <w:r w:rsidRPr="003F687C">
        <w:rPr>
          <w:rFonts w:ascii="Arial" w:hAnsi="Arial" w:cs="Arial"/>
          <w:sz w:val="22"/>
          <w:szCs w:val="22"/>
        </w:rPr>
        <w:t xml:space="preserve">, S. (2018). Threshold temperatures and thermal </w:t>
      </w:r>
      <w:r w:rsidRPr="003F687C">
        <w:rPr>
          <w:rFonts w:ascii="Arial" w:hAnsi="Arial" w:cs="Arial"/>
          <w:sz w:val="22"/>
          <w:szCs w:val="22"/>
        </w:rPr>
        <w:lastRenderedPageBreak/>
        <w:t xml:space="preserve">requirements of black soldier fly </w:t>
      </w:r>
      <w:proofErr w:type="spellStart"/>
      <w:r w:rsidRPr="003F687C">
        <w:rPr>
          <w:rFonts w:ascii="Arial" w:hAnsi="Arial" w:cs="Arial"/>
          <w:sz w:val="22"/>
          <w:szCs w:val="22"/>
        </w:rPr>
        <w:t>Hermetia</w:t>
      </w:r>
      <w:proofErr w:type="spellEnd"/>
      <w:r w:rsidRPr="003F687C">
        <w:rPr>
          <w:rFonts w:ascii="Arial" w:hAnsi="Arial" w:cs="Arial"/>
          <w:sz w:val="22"/>
          <w:szCs w:val="22"/>
        </w:rPr>
        <w:t xml:space="preserve"> </w:t>
      </w:r>
      <w:proofErr w:type="spellStart"/>
      <w:r w:rsidRPr="003F687C">
        <w:rPr>
          <w:rFonts w:ascii="Arial" w:hAnsi="Arial" w:cs="Arial"/>
          <w:sz w:val="22"/>
          <w:szCs w:val="22"/>
        </w:rPr>
        <w:t>illucens</w:t>
      </w:r>
      <w:proofErr w:type="spellEnd"/>
      <w:r w:rsidRPr="003F687C">
        <w:rPr>
          <w:rFonts w:ascii="Arial" w:hAnsi="Arial" w:cs="Arial"/>
          <w:sz w:val="22"/>
          <w:szCs w:val="22"/>
        </w:rPr>
        <w:t xml:space="preserve">: Implications for mass production. PLOS ONE, 13(11), e0206097. </w:t>
      </w:r>
      <w:hyperlink r:id="rId17" w:history="1">
        <w:r w:rsidRPr="003F687C">
          <w:rPr>
            <w:rStyle w:val="Hyperlink"/>
            <w:rFonts w:ascii="Arial" w:hAnsi="Arial" w:cs="Arial"/>
            <w:sz w:val="22"/>
            <w:szCs w:val="22"/>
          </w:rPr>
          <w:t>https://doi.org/10.1371/journal.pone.0206097</w:t>
        </w:r>
      </w:hyperlink>
    </w:p>
    <w:p w14:paraId="2BFEB747" w14:textId="6D52BE48" w:rsidR="005D217D" w:rsidRPr="003F687C" w:rsidRDefault="005D217D" w:rsidP="003F687C">
      <w:pPr>
        <w:pStyle w:val="ListParagraph"/>
        <w:numPr>
          <w:ilvl w:val="0"/>
          <w:numId w:val="31"/>
        </w:numPr>
        <w:jc w:val="both"/>
        <w:rPr>
          <w:rFonts w:ascii="Arial" w:hAnsi="Arial" w:cs="Arial"/>
          <w:sz w:val="22"/>
          <w:szCs w:val="22"/>
          <w:lang w:val="fr-FR"/>
        </w:rPr>
      </w:pPr>
      <w:proofErr w:type="spellStart"/>
      <w:r w:rsidRPr="003F687C">
        <w:rPr>
          <w:rFonts w:ascii="Arial" w:hAnsi="Arial" w:cs="Arial"/>
          <w:sz w:val="22"/>
          <w:szCs w:val="22"/>
        </w:rPr>
        <w:t>Čičková</w:t>
      </w:r>
      <w:proofErr w:type="spellEnd"/>
      <w:r w:rsidRPr="003F687C">
        <w:rPr>
          <w:rFonts w:ascii="Arial" w:hAnsi="Arial" w:cs="Arial"/>
          <w:sz w:val="22"/>
          <w:szCs w:val="22"/>
        </w:rPr>
        <w:t xml:space="preserve">, H., Newton, G. L., Lacy, R. C., &amp; </w:t>
      </w:r>
      <w:proofErr w:type="spellStart"/>
      <w:r w:rsidRPr="003F687C">
        <w:rPr>
          <w:rFonts w:ascii="Arial" w:hAnsi="Arial" w:cs="Arial"/>
          <w:sz w:val="22"/>
          <w:szCs w:val="22"/>
        </w:rPr>
        <w:t>Kozánek</w:t>
      </w:r>
      <w:proofErr w:type="spellEnd"/>
      <w:r w:rsidRPr="003F687C">
        <w:rPr>
          <w:rFonts w:ascii="Arial" w:hAnsi="Arial" w:cs="Arial"/>
          <w:sz w:val="22"/>
          <w:szCs w:val="22"/>
        </w:rPr>
        <w:t xml:space="preserve">, M. (2015). The use of fly larvae for organic waste treatment. Waste Management, 35, 68–80. </w:t>
      </w:r>
      <w:hyperlink r:id="rId18" w:history="1">
        <w:r w:rsidRPr="003F687C">
          <w:rPr>
            <w:rStyle w:val="Hyperlink"/>
            <w:rFonts w:ascii="Arial" w:hAnsi="Arial" w:cs="Arial"/>
            <w:sz w:val="22"/>
            <w:szCs w:val="22"/>
            <w:lang w:val="fr-FR"/>
          </w:rPr>
          <w:t>https://doi.org/10.1016/j.wasman.2014.09.026</w:t>
        </w:r>
      </w:hyperlink>
      <w:r w:rsidRPr="003F687C">
        <w:rPr>
          <w:rFonts w:ascii="Arial" w:hAnsi="Arial" w:cs="Arial"/>
          <w:sz w:val="22"/>
          <w:szCs w:val="22"/>
          <w:lang w:val="fr-FR"/>
        </w:rPr>
        <w:t xml:space="preserve"> </w:t>
      </w:r>
    </w:p>
    <w:p w14:paraId="1A5AAF18" w14:textId="77777777" w:rsidR="005D217D" w:rsidRPr="005D217D" w:rsidRDefault="005D217D" w:rsidP="00E513BA">
      <w:pPr>
        <w:jc w:val="both"/>
        <w:rPr>
          <w:rFonts w:ascii="Arial" w:hAnsi="Arial" w:cs="Arial"/>
          <w:sz w:val="22"/>
          <w:szCs w:val="22"/>
          <w:lang w:val="fr-FR"/>
        </w:rPr>
      </w:pPr>
    </w:p>
    <w:p w14:paraId="65C9E05A" w14:textId="23FBE497" w:rsidR="005D217D" w:rsidRPr="003F687C" w:rsidRDefault="005D217D" w:rsidP="003F687C">
      <w:pPr>
        <w:pStyle w:val="ListParagraph"/>
        <w:numPr>
          <w:ilvl w:val="0"/>
          <w:numId w:val="31"/>
        </w:numPr>
        <w:jc w:val="both"/>
        <w:rPr>
          <w:rFonts w:ascii="Arial" w:hAnsi="Arial" w:cs="Arial"/>
          <w:sz w:val="22"/>
          <w:szCs w:val="22"/>
        </w:rPr>
      </w:pPr>
      <w:proofErr w:type="spellStart"/>
      <w:r w:rsidRPr="003F687C">
        <w:rPr>
          <w:rFonts w:ascii="Arial" w:hAnsi="Arial" w:cs="Arial"/>
          <w:sz w:val="22"/>
          <w:szCs w:val="22"/>
          <w:lang w:val="fr-FR"/>
        </w:rPr>
        <w:t>Cullere</w:t>
      </w:r>
      <w:proofErr w:type="spellEnd"/>
      <w:r w:rsidRPr="003F687C">
        <w:rPr>
          <w:rFonts w:ascii="Arial" w:hAnsi="Arial" w:cs="Arial"/>
          <w:sz w:val="22"/>
          <w:szCs w:val="22"/>
          <w:lang w:val="fr-FR"/>
        </w:rPr>
        <w:t xml:space="preserve">, M., </w:t>
      </w:r>
      <w:proofErr w:type="spellStart"/>
      <w:r w:rsidRPr="003F687C">
        <w:rPr>
          <w:rFonts w:ascii="Arial" w:hAnsi="Arial" w:cs="Arial"/>
          <w:sz w:val="22"/>
          <w:szCs w:val="22"/>
          <w:lang w:val="fr-FR"/>
        </w:rPr>
        <w:t>Tasoniero</w:t>
      </w:r>
      <w:proofErr w:type="spellEnd"/>
      <w:r w:rsidRPr="003F687C">
        <w:rPr>
          <w:rFonts w:ascii="Arial" w:hAnsi="Arial" w:cs="Arial"/>
          <w:sz w:val="22"/>
          <w:szCs w:val="22"/>
          <w:lang w:val="fr-FR"/>
        </w:rPr>
        <w:t xml:space="preserve">, G., </w:t>
      </w:r>
      <w:proofErr w:type="spellStart"/>
      <w:r w:rsidRPr="003F687C">
        <w:rPr>
          <w:rFonts w:ascii="Arial" w:hAnsi="Arial" w:cs="Arial"/>
          <w:sz w:val="22"/>
          <w:szCs w:val="22"/>
          <w:lang w:val="fr-FR"/>
        </w:rPr>
        <w:t>Giaccone</w:t>
      </w:r>
      <w:proofErr w:type="spellEnd"/>
      <w:r w:rsidRPr="003F687C">
        <w:rPr>
          <w:rFonts w:ascii="Arial" w:hAnsi="Arial" w:cs="Arial"/>
          <w:sz w:val="22"/>
          <w:szCs w:val="22"/>
          <w:lang w:val="fr-FR"/>
        </w:rPr>
        <w:t xml:space="preserve">, V., </w:t>
      </w:r>
      <w:proofErr w:type="spellStart"/>
      <w:r w:rsidRPr="003F687C">
        <w:rPr>
          <w:rFonts w:ascii="Arial" w:hAnsi="Arial" w:cs="Arial"/>
          <w:sz w:val="22"/>
          <w:szCs w:val="22"/>
          <w:lang w:val="fr-FR"/>
        </w:rPr>
        <w:t>Miotti</w:t>
      </w:r>
      <w:proofErr w:type="spellEnd"/>
      <w:r w:rsidRPr="003F687C">
        <w:rPr>
          <w:rFonts w:ascii="Arial" w:hAnsi="Arial" w:cs="Arial"/>
          <w:sz w:val="22"/>
          <w:szCs w:val="22"/>
          <w:lang w:val="fr-FR"/>
        </w:rPr>
        <w:t xml:space="preserve">-Scapin, R., Claeys, E., De Smet, S., &amp; Dalle </w:t>
      </w:r>
      <w:proofErr w:type="spellStart"/>
      <w:r w:rsidRPr="003F687C">
        <w:rPr>
          <w:rFonts w:ascii="Arial" w:hAnsi="Arial" w:cs="Arial"/>
          <w:sz w:val="22"/>
          <w:szCs w:val="22"/>
          <w:lang w:val="fr-FR"/>
        </w:rPr>
        <w:t>Zotte</w:t>
      </w:r>
      <w:proofErr w:type="spellEnd"/>
      <w:r w:rsidRPr="003F687C">
        <w:rPr>
          <w:rFonts w:ascii="Arial" w:hAnsi="Arial" w:cs="Arial"/>
          <w:sz w:val="22"/>
          <w:szCs w:val="22"/>
          <w:lang w:val="fr-FR"/>
        </w:rPr>
        <w:t xml:space="preserve">, A. (2016). </w:t>
      </w:r>
      <w:r w:rsidRPr="003F687C">
        <w:rPr>
          <w:rFonts w:ascii="Arial" w:hAnsi="Arial" w:cs="Arial"/>
          <w:sz w:val="22"/>
          <w:szCs w:val="22"/>
        </w:rPr>
        <w:t xml:space="preserve">Black soldier fly as dietary protein source for broiler quails: apparent digestibility, excreta microbial load, feed choice, performance, carcass and meat traits. Animal, 10(12), 1923–1930. </w:t>
      </w:r>
      <w:hyperlink r:id="rId19" w:history="1">
        <w:r w:rsidRPr="003F687C">
          <w:rPr>
            <w:rStyle w:val="Hyperlink"/>
            <w:rFonts w:ascii="Arial" w:hAnsi="Arial" w:cs="Arial"/>
            <w:sz w:val="22"/>
            <w:szCs w:val="22"/>
          </w:rPr>
          <w:t>https://doi.org/10.1017/S1751731116001270</w:t>
        </w:r>
      </w:hyperlink>
      <w:r w:rsidRPr="003F687C">
        <w:rPr>
          <w:rFonts w:ascii="Arial" w:hAnsi="Arial" w:cs="Arial"/>
          <w:sz w:val="22"/>
          <w:szCs w:val="22"/>
        </w:rPr>
        <w:t xml:space="preserve"> </w:t>
      </w:r>
    </w:p>
    <w:p w14:paraId="117D4987" w14:textId="77777777" w:rsidR="005D217D" w:rsidRPr="005D217D" w:rsidRDefault="005D217D" w:rsidP="00E513BA">
      <w:pPr>
        <w:jc w:val="both"/>
        <w:rPr>
          <w:rFonts w:ascii="Arial" w:hAnsi="Arial" w:cs="Arial"/>
          <w:sz w:val="22"/>
          <w:szCs w:val="22"/>
        </w:rPr>
      </w:pPr>
    </w:p>
    <w:p w14:paraId="0CB0DA6E" w14:textId="0E7A7D43" w:rsidR="005D217D" w:rsidRPr="003F687C" w:rsidRDefault="005D217D" w:rsidP="003F687C">
      <w:pPr>
        <w:pStyle w:val="ListParagraph"/>
        <w:numPr>
          <w:ilvl w:val="0"/>
          <w:numId w:val="31"/>
        </w:numPr>
        <w:jc w:val="both"/>
        <w:rPr>
          <w:rStyle w:val="Hyperlink"/>
          <w:rFonts w:ascii="Arial" w:hAnsi="Arial" w:cs="Arial"/>
          <w:sz w:val="22"/>
          <w:szCs w:val="22"/>
        </w:rPr>
      </w:pPr>
      <w:r w:rsidRPr="003F687C">
        <w:rPr>
          <w:rFonts w:ascii="Arial" w:hAnsi="Arial" w:cs="Arial"/>
          <w:sz w:val="22"/>
          <w:szCs w:val="22"/>
        </w:rPr>
        <w:t xml:space="preserve">De </w:t>
      </w:r>
      <w:proofErr w:type="spellStart"/>
      <w:r w:rsidRPr="003F687C">
        <w:rPr>
          <w:rFonts w:ascii="Arial" w:hAnsi="Arial" w:cs="Arial"/>
          <w:sz w:val="22"/>
          <w:szCs w:val="22"/>
        </w:rPr>
        <w:t>Bruyn</w:t>
      </w:r>
      <w:proofErr w:type="spellEnd"/>
      <w:r w:rsidRPr="003F687C">
        <w:rPr>
          <w:rFonts w:ascii="Arial" w:hAnsi="Arial" w:cs="Arial"/>
          <w:sz w:val="22"/>
          <w:szCs w:val="22"/>
        </w:rPr>
        <w:t xml:space="preserve">, J., Thomson, P. C., Darnton-Hill, I., </w:t>
      </w:r>
      <w:proofErr w:type="spellStart"/>
      <w:r w:rsidRPr="003F687C">
        <w:rPr>
          <w:rFonts w:ascii="Arial" w:hAnsi="Arial" w:cs="Arial"/>
          <w:sz w:val="22"/>
          <w:szCs w:val="22"/>
        </w:rPr>
        <w:t>Bagnol</w:t>
      </w:r>
      <w:proofErr w:type="spellEnd"/>
      <w:r w:rsidRPr="003F687C">
        <w:rPr>
          <w:rFonts w:ascii="Arial" w:hAnsi="Arial" w:cs="Arial"/>
          <w:sz w:val="22"/>
          <w:szCs w:val="22"/>
        </w:rPr>
        <w:t xml:space="preserve">, B., </w:t>
      </w:r>
      <w:proofErr w:type="spellStart"/>
      <w:r w:rsidRPr="003F687C">
        <w:rPr>
          <w:rFonts w:ascii="Arial" w:hAnsi="Arial" w:cs="Arial"/>
          <w:sz w:val="22"/>
          <w:szCs w:val="22"/>
        </w:rPr>
        <w:t>Maulaga</w:t>
      </w:r>
      <w:proofErr w:type="spellEnd"/>
      <w:r w:rsidRPr="003F687C">
        <w:rPr>
          <w:rFonts w:ascii="Arial" w:hAnsi="Arial" w:cs="Arial"/>
          <w:sz w:val="22"/>
          <w:szCs w:val="22"/>
        </w:rPr>
        <w:t xml:space="preserve">, W., &amp; Alders, R. G. (2018). Does Village Chicken-Keeping Contribute to Young Children’s Diets and Growth? A Longitudinal Observational Study in Rural Tanzania. Nutrients, 10(11), 1799. </w:t>
      </w:r>
      <w:hyperlink r:id="rId20" w:history="1">
        <w:r w:rsidRPr="003F687C">
          <w:rPr>
            <w:rStyle w:val="Hyperlink"/>
            <w:rFonts w:ascii="Arial" w:hAnsi="Arial" w:cs="Arial"/>
            <w:sz w:val="22"/>
            <w:szCs w:val="22"/>
          </w:rPr>
          <w:t>https://doi.org/10.3390/nu10111799</w:t>
        </w:r>
      </w:hyperlink>
    </w:p>
    <w:p w14:paraId="0C24362E" w14:textId="77777777" w:rsidR="005D217D" w:rsidRPr="005D217D" w:rsidRDefault="005D217D" w:rsidP="00E410D3">
      <w:pPr>
        <w:jc w:val="both"/>
        <w:rPr>
          <w:rFonts w:ascii="Arial" w:hAnsi="Arial" w:cs="Arial"/>
          <w:sz w:val="22"/>
          <w:szCs w:val="22"/>
        </w:rPr>
      </w:pPr>
    </w:p>
    <w:p w14:paraId="77B8597E" w14:textId="643F3715" w:rsidR="005D217D" w:rsidRPr="003F687C" w:rsidRDefault="005D217D" w:rsidP="003F687C">
      <w:pPr>
        <w:pStyle w:val="ListParagraph"/>
        <w:numPr>
          <w:ilvl w:val="0"/>
          <w:numId w:val="31"/>
        </w:numPr>
        <w:jc w:val="both"/>
        <w:rPr>
          <w:rStyle w:val="Hyperlink"/>
          <w:rFonts w:ascii="Arial" w:hAnsi="Arial" w:cs="Arial"/>
          <w:sz w:val="22"/>
          <w:szCs w:val="22"/>
        </w:rPr>
      </w:pPr>
      <w:r w:rsidRPr="003F687C">
        <w:rPr>
          <w:rFonts w:ascii="Arial" w:hAnsi="Arial" w:cs="Arial"/>
          <w:sz w:val="22"/>
          <w:szCs w:val="22"/>
        </w:rPr>
        <w:t xml:space="preserve">Diener, S., Studt Solano, N. M., Roa Gutiérrez, F., </w:t>
      </w:r>
      <w:proofErr w:type="spellStart"/>
      <w:r w:rsidRPr="003F687C">
        <w:rPr>
          <w:rFonts w:ascii="Arial" w:hAnsi="Arial" w:cs="Arial"/>
          <w:sz w:val="22"/>
          <w:szCs w:val="22"/>
        </w:rPr>
        <w:t>Zurbrügg</w:t>
      </w:r>
      <w:proofErr w:type="spellEnd"/>
      <w:r w:rsidRPr="003F687C">
        <w:rPr>
          <w:rFonts w:ascii="Arial" w:hAnsi="Arial" w:cs="Arial"/>
          <w:sz w:val="22"/>
          <w:szCs w:val="22"/>
        </w:rPr>
        <w:t xml:space="preserve">, C., &amp; </w:t>
      </w:r>
      <w:proofErr w:type="spellStart"/>
      <w:r w:rsidRPr="003F687C">
        <w:rPr>
          <w:rFonts w:ascii="Arial" w:hAnsi="Arial" w:cs="Arial"/>
          <w:sz w:val="22"/>
          <w:szCs w:val="22"/>
        </w:rPr>
        <w:t>Tockner</w:t>
      </w:r>
      <w:proofErr w:type="spellEnd"/>
      <w:r w:rsidRPr="003F687C">
        <w:rPr>
          <w:rFonts w:ascii="Arial" w:hAnsi="Arial" w:cs="Arial"/>
          <w:sz w:val="22"/>
          <w:szCs w:val="22"/>
        </w:rPr>
        <w:t xml:space="preserve">, K. (2011). Biological Treatment of Municipal Organic Waste Using Black Soldier Fly Larvae. Waste and Biomass Valorization, 2(4), 357-363. </w:t>
      </w:r>
      <w:hyperlink r:id="rId21" w:history="1">
        <w:r w:rsidRPr="003F687C">
          <w:rPr>
            <w:rStyle w:val="Hyperlink"/>
            <w:rFonts w:ascii="Arial" w:hAnsi="Arial" w:cs="Arial"/>
            <w:sz w:val="22"/>
            <w:szCs w:val="22"/>
          </w:rPr>
          <w:t>https://doi.org/10.1007/s12649-011-9079-1</w:t>
        </w:r>
      </w:hyperlink>
    </w:p>
    <w:p w14:paraId="68311F8E" w14:textId="77777777" w:rsidR="005D217D" w:rsidRPr="005D217D" w:rsidRDefault="005D217D" w:rsidP="00E410D3">
      <w:pPr>
        <w:jc w:val="both"/>
        <w:rPr>
          <w:rFonts w:ascii="Arial" w:hAnsi="Arial" w:cs="Arial"/>
          <w:sz w:val="22"/>
          <w:szCs w:val="22"/>
        </w:rPr>
      </w:pPr>
    </w:p>
    <w:p w14:paraId="764E2511" w14:textId="3F947F40" w:rsidR="005D217D" w:rsidRPr="003F687C" w:rsidRDefault="005D217D" w:rsidP="003F687C">
      <w:pPr>
        <w:pStyle w:val="ListParagraph"/>
        <w:numPr>
          <w:ilvl w:val="0"/>
          <w:numId w:val="31"/>
        </w:numPr>
        <w:jc w:val="both"/>
        <w:rPr>
          <w:rStyle w:val="Hyperlink"/>
          <w:rFonts w:ascii="Arial" w:hAnsi="Arial" w:cs="Arial"/>
          <w:sz w:val="22"/>
          <w:szCs w:val="22"/>
        </w:rPr>
      </w:pPr>
      <w:r w:rsidRPr="003F687C">
        <w:rPr>
          <w:rFonts w:ascii="Arial" w:hAnsi="Arial" w:cs="Arial"/>
          <w:sz w:val="22"/>
          <w:szCs w:val="22"/>
        </w:rPr>
        <w:t xml:space="preserve">Diener, S., </w:t>
      </w:r>
      <w:proofErr w:type="spellStart"/>
      <w:r w:rsidRPr="003F687C">
        <w:rPr>
          <w:rFonts w:ascii="Arial" w:hAnsi="Arial" w:cs="Arial"/>
          <w:sz w:val="22"/>
          <w:szCs w:val="22"/>
        </w:rPr>
        <w:t>Zurbrügg</w:t>
      </w:r>
      <w:proofErr w:type="spellEnd"/>
      <w:r w:rsidRPr="003F687C">
        <w:rPr>
          <w:rFonts w:ascii="Arial" w:hAnsi="Arial" w:cs="Arial"/>
          <w:sz w:val="22"/>
          <w:szCs w:val="22"/>
        </w:rPr>
        <w:t xml:space="preserve">, C., &amp; </w:t>
      </w:r>
      <w:proofErr w:type="spellStart"/>
      <w:r w:rsidRPr="003F687C">
        <w:rPr>
          <w:rFonts w:ascii="Arial" w:hAnsi="Arial" w:cs="Arial"/>
          <w:sz w:val="22"/>
          <w:szCs w:val="22"/>
        </w:rPr>
        <w:t>Tockner</w:t>
      </w:r>
      <w:proofErr w:type="spellEnd"/>
      <w:r w:rsidRPr="003F687C">
        <w:rPr>
          <w:rFonts w:ascii="Arial" w:hAnsi="Arial" w:cs="Arial"/>
          <w:sz w:val="22"/>
          <w:szCs w:val="22"/>
        </w:rPr>
        <w:t xml:space="preserve">, K. (2009). Conversion of organic material by black soldier fly larvae: Establishing optimal feeding rates. Waste Management &amp; Research, 27(6), 603-610. </w:t>
      </w:r>
      <w:hyperlink r:id="rId22" w:history="1">
        <w:r w:rsidRPr="003F687C">
          <w:rPr>
            <w:rStyle w:val="Hyperlink"/>
            <w:rFonts w:ascii="Arial" w:hAnsi="Arial" w:cs="Arial"/>
            <w:sz w:val="22"/>
            <w:szCs w:val="22"/>
          </w:rPr>
          <w:t>https://doi.org/10.1177/0734242X09103838</w:t>
        </w:r>
      </w:hyperlink>
    </w:p>
    <w:p w14:paraId="3EE28CF9" w14:textId="77777777" w:rsidR="005D217D" w:rsidRPr="005D217D" w:rsidRDefault="005D217D" w:rsidP="00E410D3">
      <w:pPr>
        <w:jc w:val="both"/>
        <w:rPr>
          <w:rFonts w:ascii="Arial" w:hAnsi="Arial" w:cs="Arial"/>
          <w:sz w:val="22"/>
          <w:szCs w:val="22"/>
        </w:rPr>
      </w:pPr>
    </w:p>
    <w:p w14:paraId="2EF0E567" w14:textId="1446F451" w:rsidR="005D217D" w:rsidRPr="003F687C" w:rsidRDefault="005D217D" w:rsidP="003F687C">
      <w:pPr>
        <w:pStyle w:val="ListParagraph"/>
        <w:numPr>
          <w:ilvl w:val="0"/>
          <w:numId w:val="31"/>
        </w:numPr>
        <w:jc w:val="both"/>
        <w:rPr>
          <w:rStyle w:val="Hyperlink"/>
          <w:rFonts w:ascii="Arial" w:hAnsi="Arial" w:cs="Arial"/>
          <w:sz w:val="22"/>
          <w:szCs w:val="22"/>
        </w:rPr>
      </w:pPr>
      <w:proofErr w:type="spellStart"/>
      <w:r w:rsidRPr="003F687C">
        <w:rPr>
          <w:rFonts w:ascii="Arial" w:hAnsi="Arial" w:cs="Arial"/>
          <w:sz w:val="22"/>
          <w:szCs w:val="22"/>
        </w:rPr>
        <w:t>Dortmans</w:t>
      </w:r>
      <w:proofErr w:type="spellEnd"/>
      <w:r w:rsidRPr="003F687C">
        <w:rPr>
          <w:rFonts w:ascii="Arial" w:hAnsi="Arial" w:cs="Arial"/>
          <w:sz w:val="22"/>
          <w:szCs w:val="22"/>
        </w:rPr>
        <w:t xml:space="preserve">, B. M. A., Diener, S., Verstappen, B. M., &amp; </w:t>
      </w:r>
      <w:proofErr w:type="spellStart"/>
      <w:r w:rsidRPr="003F687C">
        <w:rPr>
          <w:rFonts w:ascii="Arial" w:hAnsi="Arial" w:cs="Arial"/>
          <w:sz w:val="22"/>
          <w:szCs w:val="22"/>
        </w:rPr>
        <w:t>Zurbrügg</w:t>
      </w:r>
      <w:proofErr w:type="spellEnd"/>
      <w:r w:rsidRPr="003F687C">
        <w:rPr>
          <w:rFonts w:ascii="Arial" w:hAnsi="Arial" w:cs="Arial"/>
          <w:sz w:val="22"/>
          <w:szCs w:val="22"/>
        </w:rPr>
        <w:t xml:space="preserve">, C. (2017). Black Soldier Fly Biowaste Processing - A Step-by-Step Guide. </w:t>
      </w:r>
      <w:proofErr w:type="spellStart"/>
      <w:r w:rsidRPr="003F687C">
        <w:rPr>
          <w:rFonts w:ascii="Arial" w:hAnsi="Arial" w:cs="Arial"/>
          <w:sz w:val="22"/>
          <w:szCs w:val="22"/>
        </w:rPr>
        <w:t>Eawag</w:t>
      </w:r>
      <w:proofErr w:type="spellEnd"/>
      <w:r w:rsidRPr="003F687C">
        <w:rPr>
          <w:rFonts w:ascii="Arial" w:hAnsi="Arial" w:cs="Arial"/>
          <w:sz w:val="22"/>
          <w:szCs w:val="22"/>
        </w:rPr>
        <w:t xml:space="preserve">: Swiss Federal Institute of Aquatic Science and Technology. </w:t>
      </w:r>
      <w:hyperlink r:id="rId23" w:history="1">
        <w:r w:rsidRPr="003F687C">
          <w:rPr>
            <w:rStyle w:val="Hyperlink"/>
            <w:rFonts w:ascii="Arial" w:hAnsi="Arial" w:cs="Arial"/>
            <w:sz w:val="22"/>
            <w:szCs w:val="22"/>
          </w:rPr>
          <w:t>https://www.eawag.ch/fileadmin/Domain1/Abteilungen/sandec/schwerpunkte/sswm/BSF_Guide_2017_web.pdf</w:t>
        </w:r>
      </w:hyperlink>
    </w:p>
    <w:p w14:paraId="01178253" w14:textId="77777777" w:rsidR="005D217D" w:rsidRPr="005D217D" w:rsidRDefault="005D217D" w:rsidP="00E410D3">
      <w:pPr>
        <w:jc w:val="both"/>
        <w:rPr>
          <w:rFonts w:ascii="Arial" w:hAnsi="Arial" w:cs="Arial"/>
          <w:sz w:val="22"/>
          <w:szCs w:val="22"/>
        </w:rPr>
      </w:pPr>
    </w:p>
    <w:p w14:paraId="6A9D6D5E" w14:textId="7DEF54C8" w:rsidR="005D217D" w:rsidRPr="003F687C" w:rsidRDefault="005D217D" w:rsidP="003F687C">
      <w:pPr>
        <w:pStyle w:val="ListParagraph"/>
        <w:numPr>
          <w:ilvl w:val="0"/>
          <w:numId w:val="31"/>
        </w:numPr>
        <w:jc w:val="both"/>
        <w:rPr>
          <w:rStyle w:val="Hyperlink"/>
          <w:rFonts w:ascii="Arial" w:hAnsi="Arial" w:cs="Arial"/>
          <w:sz w:val="22"/>
          <w:szCs w:val="22"/>
        </w:rPr>
      </w:pPr>
      <w:r w:rsidRPr="003F687C">
        <w:rPr>
          <w:rFonts w:ascii="Arial" w:hAnsi="Arial" w:cs="Arial"/>
          <w:sz w:val="22"/>
          <w:szCs w:val="22"/>
        </w:rPr>
        <w:t xml:space="preserve">EFSA Scientific Committee. (2015). Risk profile related to production and consumption of insects as food and feed. EFSA Journal, 13(10), 4257. </w:t>
      </w:r>
      <w:hyperlink r:id="rId24" w:history="1">
        <w:r w:rsidRPr="003F687C">
          <w:rPr>
            <w:rStyle w:val="Hyperlink"/>
            <w:rFonts w:ascii="Arial" w:hAnsi="Arial" w:cs="Arial"/>
            <w:sz w:val="22"/>
            <w:szCs w:val="22"/>
          </w:rPr>
          <w:t>https://doi.org/10.2903/j.efsa.2015.4257</w:t>
        </w:r>
      </w:hyperlink>
    </w:p>
    <w:p w14:paraId="61948A6C" w14:textId="77777777" w:rsidR="005D217D" w:rsidRPr="005D217D" w:rsidRDefault="005D217D" w:rsidP="00E410D3">
      <w:pPr>
        <w:jc w:val="both"/>
        <w:rPr>
          <w:rFonts w:ascii="Arial" w:hAnsi="Arial" w:cs="Arial"/>
          <w:sz w:val="22"/>
          <w:szCs w:val="22"/>
        </w:rPr>
      </w:pPr>
    </w:p>
    <w:p w14:paraId="34799DE5" w14:textId="1A8F29BA" w:rsidR="005D217D" w:rsidRPr="003F687C" w:rsidRDefault="005D217D" w:rsidP="003F687C">
      <w:pPr>
        <w:pStyle w:val="ListParagraph"/>
        <w:numPr>
          <w:ilvl w:val="0"/>
          <w:numId w:val="31"/>
        </w:numPr>
        <w:jc w:val="both"/>
        <w:rPr>
          <w:rFonts w:ascii="Arial" w:hAnsi="Arial" w:cs="Arial"/>
          <w:sz w:val="22"/>
          <w:szCs w:val="22"/>
        </w:rPr>
      </w:pPr>
      <w:proofErr w:type="spellStart"/>
      <w:r w:rsidRPr="003F687C">
        <w:rPr>
          <w:rFonts w:ascii="Arial" w:hAnsi="Arial" w:cs="Arial"/>
          <w:sz w:val="22"/>
          <w:szCs w:val="22"/>
        </w:rPr>
        <w:t>Elwert</w:t>
      </w:r>
      <w:proofErr w:type="spellEnd"/>
      <w:r w:rsidRPr="003F687C">
        <w:rPr>
          <w:rFonts w:ascii="Arial" w:hAnsi="Arial" w:cs="Arial"/>
          <w:sz w:val="22"/>
          <w:szCs w:val="22"/>
        </w:rPr>
        <w:t xml:space="preserve">, C., </w:t>
      </w:r>
      <w:proofErr w:type="spellStart"/>
      <w:r w:rsidRPr="003F687C">
        <w:rPr>
          <w:rFonts w:ascii="Arial" w:hAnsi="Arial" w:cs="Arial"/>
          <w:sz w:val="22"/>
          <w:szCs w:val="22"/>
        </w:rPr>
        <w:t>Knips</w:t>
      </w:r>
      <w:proofErr w:type="spellEnd"/>
      <w:r w:rsidRPr="003F687C">
        <w:rPr>
          <w:rFonts w:ascii="Arial" w:hAnsi="Arial" w:cs="Arial"/>
          <w:sz w:val="22"/>
          <w:szCs w:val="22"/>
        </w:rPr>
        <w:t>, I., &amp; Katz, H. (2010). A novel protein source: Maggot meal of the black soldier fly (</w:t>
      </w:r>
      <w:proofErr w:type="spellStart"/>
      <w:r w:rsidRPr="003F687C">
        <w:rPr>
          <w:rFonts w:ascii="Arial" w:hAnsi="Arial" w:cs="Arial"/>
          <w:sz w:val="22"/>
          <w:szCs w:val="22"/>
        </w:rPr>
        <w:t>Hermetia</w:t>
      </w:r>
      <w:proofErr w:type="spellEnd"/>
      <w:r w:rsidRPr="003F687C">
        <w:rPr>
          <w:rFonts w:ascii="Arial" w:hAnsi="Arial" w:cs="Arial"/>
          <w:sz w:val="22"/>
          <w:szCs w:val="22"/>
        </w:rPr>
        <w:t xml:space="preserve"> </w:t>
      </w:r>
      <w:proofErr w:type="spellStart"/>
      <w:r w:rsidRPr="003F687C">
        <w:rPr>
          <w:rFonts w:ascii="Arial" w:hAnsi="Arial" w:cs="Arial"/>
          <w:sz w:val="22"/>
          <w:szCs w:val="22"/>
        </w:rPr>
        <w:t>illucens</w:t>
      </w:r>
      <w:proofErr w:type="spellEnd"/>
      <w:r w:rsidRPr="003F687C">
        <w:rPr>
          <w:rFonts w:ascii="Arial" w:hAnsi="Arial" w:cs="Arial"/>
          <w:sz w:val="22"/>
          <w:szCs w:val="22"/>
        </w:rPr>
        <w:t xml:space="preserve">) in broiler feed. In M. </w:t>
      </w:r>
      <w:proofErr w:type="spellStart"/>
      <w:r w:rsidRPr="003F687C">
        <w:rPr>
          <w:rFonts w:ascii="Arial" w:hAnsi="Arial" w:cs="Arial"/>
          <w:sz w:val="22"/>
          <w:szCs w:val="22"/>
        </w:rPr>
        <w:t>Gierus</w:t>
      </w:r>
      <w:proofErr w:type="spellEnd"/>
      <w:r w:rsidRPr="003F687C">
        <w:rPr>
          <w:rFonts w:ascii="Arial" w:hAnsi="Arial" w:cs="Arial"/>
          <w:sz w:val="22"/>
          <w:szCs w:val="22"/>
        </w:rPr>
        <w:t xml:space="preserve">, H. </w:t>
      </w:r>
      <w:proofErr w:type="spellStart"/>
      <w:r w:rsidRPr="003F687C">
        <w:rPr>
          <w:rFonts w:ascii="Arial" w:hAnsi="Arial" w:cs="Arial"/>
          <w:sz w:val="22"/>
          <w:szCs w:val="22"/>
        </w:rPr>
        <w:t>Kluth</w:t>
      </w:r>
      <w:proofErr w:type="spellEnd"/>
      <w:r w:rsidRPr="003F687C">
        <w:rPr>
          <w:rFonts w:ascii="Arial" w:hAnsi="Arial" w:cs="Arial"/>
          <w:sz w:val="22"/>
          <w:szCs w:val="22"/>
        </w:rPr>
        <w:t xml:space="preserve">, M. </w:t>
      </w:r>
      <w:proofErr w:type="spellStart"/>
      <w:r w:rsidRPr="003F687C">
        <w:rPr>
          <w:rFonts w:ascii="Arial" w:hAnsi="Arial" w:cs="Arial"/>
          <w:sz w:val="22"/>
          <w:szCs w:val="22"/>
        </w:rPr>
        <w:t>Bulang</w:t>
      </w:r>
      <w:proofErr w:type="spellEnd"/>
      <w:r w:rsidRPr="003F687C">
        <w:rPr>
          <w:rFonts w:ascii="Arial" w:hAnsi="Arial" w:cs="Arial"/>
          <w:sz w:val="22"/>
          <w:szCs w:val="22"/>
        </w:rPr>
        <w:t xml:space="preserve">, &amp; H. Kluge (Eds.), 11. </w:t>
      </w:r>
      <w:proofErr w:type="spellStart"/>
      <w:r w:rsidRPr="003F687C">
        <w:rPr>
          <w:rFonts w:ascii="Arial" w:hAnsi="Arial" w:cs="Arial"/>
          <w:sz w:val="22"/>
          <w:szCs w:val="22"/>
        </w:rPr>
        <w:t>Tagung</w:t>
      </w:r>
      <w:proofErr w:type="spellEnd"/>
      <w:r w:rsidRPr="003F687C">
        <w:rPr>
          <w:rFonts w:ascii="Arial" w:hAnsi="Arial" w:cs="Arial"/>
          <w:sz w:val="22"/>
          <w:szCs w:val="22"/>
        </w:rPr>
        <w:t xml:space="preserve"> </w:t>
      </w:r>
      <w:proofErr w:type="spellStart"/>
      <w:r w:rsidRPr="003F687C">
        <w:rPr>
          <w:rFonts w:ascii="Arial" w:hAnsi="Arial" w:cs="Arial"/>
          <w:sz w:val="22"/>
          <w:szCs w:val="22"/>
        </w:rPr>
        <w:t>Schweine</w:t>
      </w:r>
      <w:proofErr w:type="spellEnd"/>
      <w:r w:rsidRPr="003F687C">
        <w:rPr>
          <w:rFonts w:ascii="Arial" w:hAnsi="Arial" w:cs="Arial"/>
          <w:sz w:val="22"/>
          <w:szCs w:val="22"/>
        </w:rPr>
        <w:t xml:space="preserve"> und </w:t>
      </w:r>
      <w:proofErr w:type="spellStart"/>
      <w:r w:rsidRPr="003F687C">
        <w:rPr>
          <w:rFonts w:ascii="Arial" w:hAnsi="Arial" w:cs="Arial"/>
          <w:sz w:val="22"/>
          <w:szCs w:val="22"/>
        </w:rPr>
        <w:t>Geflügelernährung</w:t>
      </w:r>
      <w:proofErr w:type="spellEnd"/>
      <w:r w:rsidRPr="003F687C">
        <w:rPr>
          <w:rFonts w:ascii="Arial" w:hAnsi="Arial" w:cs="Arial"/>
          <w:sz w:val="22"/>
          <w:szCs w:val="22"/>
        </w:rPr>
        <w:t xml:space="preserve"> (pp. 140–142). </w:t>
      </w:r>
      <w:proofErr w:type="spellStart"/>
      <w:r w:rsidRPr="003F687C">
        <w:rPr>
          <w:rFonts w:ascii="Arial" w:hAnsi="Arial" w:cs="Arial"/>
          <w:sz w:val="22"/>
          <w:szCs w:val="22"/>
        </w:rPr>
        <w:t>Institut</w:t>
      </w:r>
      <w:proofErr w:type="spellEnd"/>
      <w:r w:rsidRPr="003F687C">
        <w:rPr>
          <w:rFonts w:ascii="Arial" w:hAnsi="Arial" w:cs="Arial"/>
          <w:sz w:val="22"/>
          <w:szCs w:val="22"/>
        </w:rPr>
        <w:t xml:space="preserve"> </w:t>
      </w:r>
      <w:proofErr w:type="spellStart"/>
      <w:r w:rsidRPr="003F687C">
        <w:rPr>
          <w:rFonts w:ascii="Arial" w:hAnsi="Arial" w:cs="Arial"/>
          <w:sz w:val="22"/>
          <w:szCs w:val="22"/>
        </w:rPr>
        <w:t>für</w:t>
      </w:r>
      <w:proofErr w:type="spellEnd"/>
      <w:r w:rsidRPr="003F687C">
        <w:rPr>
          <w:rFonts w:ascii="Arial" w:hAnsi="Arial" w:cs="Arial"/>
          <w:sz w:val="22"/>
          <w:szCs w:val="22"/>
        </w:rPr>
        <w:t xml:space="preserve"> </w:t>
      </w:r>
      <w:proofErr w:type="spellStart"/>
      <w:r w:rsidRPr="003F687C">
        <w:rPr>
          <w:rFonts w:ascii="Arial" w:hAnsi="Arial" w:cs="Arial"/>
          <w:sz w:val="22"/>
          <w:szCs w:val="22"/>
        </w:rPr>
        <w:t>Agrar</w:t>
      </w:r>
      <w:proofErr w:type="spellEnd"/>
      <w:r w:rsidRPr="003F687C">
        <w:rPr>
          <w:rFonts w:ascii="Arial" w:hAnsi="Arial" w:cs="Arial"/>
          <w:sz w:val="22"/>
          <w:szCs w:val="22"/>
        </w:rPr>
        <w:t xml:space="preserve">-und </w:t>
      </w:r>
      <w:proofErr w:type="spellStart"/>
      <w:r w:rsidRPr="003F687C">
        <w:rPr>
          <w:rFonts w:ascii="Arial" w:hAnsi="Arial" w:cs="Arial"/>
          <w:sz w:val="22"/>
          <w:szCs w:val="22"/>
        </w:rPr>
        <w:t>Ernahrungswissenschaften</w:t>
      </w:r>
      <w:proofErr w:type="spellEnd"/>
      <w:r w:rsidRPr="003F687C">
        <w:rPr>
          <w:rFonts w:ascii="Arial" w:hAnsi="Arial" w:cs="Arial"/>
          <w:sz w:val="22"/>
          <w:szCs w:val="22"/>
        </w:rPr>
        <w:t xml:space="preserve">, </w:t>
      </w:r>
      <w:proofErr w:type="spellStart"/>
      <w:r w:rsidRPr="003F687C">
        <w:rPr>
          <w:rFonts w:ascii="Arial" w:hAnsi="Arial" w:cs="Arial"/>
          <w:sz w:val="22"/>
          <w:szCs w:val="22"/>
        </w:rPr>
        <w:t>Universitat</w:t>
      </w:r>
      <w:proofErr w:type="spellEnd"/>
      <w:r w:rsidRPr="003F687C">
        <w:rPr>
          <w:rFonts w:ascii="Arial" w:hAnsi="Arial" w:cs="Arial"/>
          <w:sz w:val="22"/>
          <w:szCs w:val="22"/>
        </w:rPr>
        <w:t xml:space="preserve"> Halle Wittenberg. </w:t>
      </w:r>
      <w:hyperlink r:id="rId25" w:history="1">
        <w:r w:rsidRPr="003F687C">
          <w:rPr>
            <w:rStyle w:val="Hyperlink"/>
            <w:rFonts w:ascii="Arial" w:hAnsi="Arial" w:cs="Arial"/>
            <w:sz w:val="22"/>
            <w:szCs w:val="22"/>
          </w:rPr>
          <w:t>https://www.openagrar.de/receive/openagrar_mods_00020107</w:t>
        </w:r>
      </w:hyperlink>
      <w:r w:rsidRPr="003F687C">
        <w:rPr>
          <w:rFonts w:ascii="Arial" w:hAnsi="Arial" w:cs="Arial"/>
          <w:sz w:val="22"/>
          <w:szCs w:val="22"/>
        </w:rPr>
        <w:t xml:space="preserve"> </w:t>
      </w:r>
    </w:p>
    <w:p w14:paraId="01408BE8" w14:textId="77777777" w:rsidR="005D217D" w:rsidRPr="005D217D" w:rsidRDefault="005D217D" w:rsidP="00E513BA">
      <w:pPr>
        <w:jc w:val="both"/>
        <w:rPr>
          <w:rFonts w:ascii="Arial" w:hAnsi="Arial" w:cs="Arial"/>
          <w:sz w:val="22"/>
          <w:szCs w:val="22"/>
        </w:rPr>
      </w:pPr>
    </w:p>
    <w:p w14:paraId="38AB1F80" w14:textId="2443F3C3" w:rsidR="005D217D" w:rsidRPr="003F687C" w:rsidRDefault="005D217D" w:rsidP="003F687C">
      <w:pPr>
        <w:pStyle w:val="ListParagraph"/>
        <w:numPr>
          <w:ilvl w:val="0"/>
          <w:numId w:val="31"/>
        </w:numPr>
        <w:jc w:val="both"/>
        <w:rPr>
          <w:rStyle w:val="Hyperlink"/>
          <w:rFonts w:ascii="Arial" w:hAnsi="Arial" w:cs="Arial"/>
          <w:sz w:val="22"/>
          <w:szCs w:val="22"/>
        </w:rPr>
      </w:pPr>
      <w:proofErr w:type="spellStart"/>
      <w:r w:rsidRPr="003F687C">
        <w:rPr>
          <w:rFonts w:ascii="Arial" w:hAnsi="Arial" w:cs="Arial"/>
          <w:sz w:val="22"/>
          <w:szCs w:val="22"/>
        </w:rPr>
        <w:t>Gasco</w:t>
      </w:r>
      <w:proofErr w:type="spellEnd"/>
      <w:r w:rsidRPr="003F687C">
        <w:rPr>
          <w:rFonts w:ascii="Arial" w:hAnsi="Arial" w:cs="Arial"/>
          <w:sz w:val="22"/>
          <w:szCs w:val="22"/>
        </w:rPr>
        <w:t xml:space="preserve">, L., </w:t>
      </w:r>
      <w:proofErr w:type="spellStart"/>
      <w:r w:rsidRPr="003F687C">
        <w:rPr>
          <w:rFonts w:ascii="Arial" w:hAnsi="Arial" w:cs="Arial"/>
          <w:sz w:val="22"/>
          <w:szCs w:val="22"/>
        </w:rPr>
        <w:t>Acuti</w:t>
      </w:r>
      <w:proofErr w:type="spellEnd"/>
      <w:r w:rsidRPr="003F687C">
        <w:rPr>
          <w:rFonts w:ascii="Arial" w:hAnsi="Arial" w:cs="Arial"/>
          <w:sz w:val="22"/>
          <w:szCs w:val="22"/>
        </w:rPr>
        <w:t xml:space="preserve">, G., Bani, P., Dalle Zotte, A., Danieli, P. P., De Angelis, A., Fortina, R., Marino, R., Parisi, G., Piccolo, G., Pinotti, L., Prandini, A., Schiavone, A., Terova, G., Tulli, F., &amp; </w:t>
      </w:r>
      <w:proofErr w:type="spellStart"/>
      <w:r w:rsidRPr="003F687C">
        <w:rPr>
          <w:rFonts w:ascii="Arial" w:hAnsi="Arial" w:cs="Arial"/>
          <w:sz w:val="22"/>
          <w:szCs w:val="22"/>
        </w:rPr>
        <w:t>Roncarati</w:t>
      </w:r>
      <w:proofErr w:type="spellEnd"/>
      <w:r w:rsidRPr="003F687C">
        <w:rPr>
          <w:rFonts w:ascii="Arial" w:hAnsi="Arial" w:cs="Arial"/>
          <w:sz w:val="22"/>
          <w:szCs w:val="22"/>
        </w:rPr>
        <w:t xml:space="preserve">, A. (2020). Insect and fish by-products as sustainable alternatives to conventional animal proteins in animal nutrition. Italian Journal of Animal Science, 19(1), 360–372. </w:t>
      </w:r>
      <w:hyperlink r:id="rId26" w:history="1">
        <w:r w:rsidRPr="003F687C">
          <w:rPr>
            <w:rStyle w:val="Hyperlink"/>
            <w:rFonts w:ascii="Arial" w:hAnsi="Arial" w:cs="Arial"/>
            <w:sz w:val="22"/>
            <w:szCs w:val="22"/>
          </w:rPr>
          <w:t>https://doi.org/10.1080/1828051X.2020.1743209</w:t>
        </w:r>
      </w:hyperlink>
    </w:p>
    <w:p w14:paraId="5DEB4752" w14:textId="77777777" w:rsidR="005D217D" w:rsidRPr="005D217D" w:rsidRDefault="005D217D" w:rsidP="00E410D3">
      <w:pPr>
        <w:jc w:val="both"/>
        <w:rPr>
          <w:rFonts w:ascii="Arial" w:hAnsi="Arial" w:cs="Arial"/>
          <w:sz w:val="22"/>
          <w:szCs w:val="22"/>
        </w:rPr>
      </w:pPr>
    </w:p>
    <w:p w14:paraId="17E44C04" w14:textId="261C0512" w:rsidR="005D217D" w:rsidRPr="003F687C" w:rsidRDefault="005D217D" w:rsidP="003F687C">
      <w:pPr>
        <w:pStyle w:val="ListParagraph"/>
        <w:numPr>
          <w:ilvl w:val="0"/>
          <w:numId w:val="31"/>
        </w:numPr>
        <w:jc w:val="both"/>
        <w:rPr>
          <w:rStyle w:val="Hyperlink"/>
          <w:rFonts w:ascii="Arial" w:hAnsi="Arial" w:cs="Arial"/>
          <w:sz w:val="22"/>
          <w:szCs w:val="22"/>
        </w:rPr>
      </w:pPr>
      <w:r w:rsidRPr="003F687C">
        <w:rPr>
          <w:rFonts w:ascii="Arial" w:hAnsi="Arial" w:cs="Arial"/>
          <w:sz w:val="22"/>
          <w:szCs w:val="22"/>
        </w:rPr>
        <w:t xml:space="preserve">Gold, M., Cassar, C. M., </w:t>
      </w:r>
      <w:proofErr w:type="spellStart"/>
      <w:r w:rsidRPr="003F687C">
        <w:rPr>
          <w:rFonts w:ascii="Arial" w:hAnsi="Arial" w:cs="Arial"/>
          <w:sz w:val="22"/>
          <w:szCs w:val="22"/>
        </w:rPr>
        <w:t>Zurbrügg</w:t>
      </w:r>
      <w:proofErr w:type="spellEnd"/>
      <w:r w:rsidRPr="003F687C">
        <w:rPr>
          <w:rFonts w:ascii="Arial" w:hAnsi="Arial" w:cs="Arial"/>
          <w:sz w:val="22"/>
          <w:szCs w:val="22"/>
        </w:rPr>
        <w:t xml:space="preserve">, C., Kreuzer, M., Boulos, S., Diener, S., &amp; Mathys, A. (2019). Biowaste treatment with black soldier fly larvae: Increasing performance through the formulation of biowastes based on protein and carbohydrates. Waste Management. </w:t>
      </w:r>
      <w:hyperlink r:id="rId27" w:history="1">
        <w:r w:rsidRPr="003F687C">
          <w:rPr>
            <w:rStyle w:val="Hyperlink"/>
            <w:rFonts w:ascii="Arial" w:hAnsi="Arial" w:cs="Arial"/>
            <w:sz w:val="22"/>
            <w:szCs w:val="22"/>
          </w:rPr>
          <w:t>https://doi.org/10.1016/j.wasman.2019.10.036</w:t>
        </w:r>
      </w:hyperlink>
    </w:p>
    <w:p w14:paraId="1BFB5178" w14:textId="77777777" w:rsidR="005D217D" w:rsidRPr="005D217D" w:rsidRDefault="005D217D" w:rsidP="00E410D3">
      <w:pPr>
        <w:jc w:val="both"/>
        <w:rPr>
          <w:rFonts w:ascii="Arial" w:hAnsi="Arial" w:cs="Arial"/>
          <w:sz w:val="22"/>
          <w:szCs w:val="22"/>
        </w:rPr>
      </w:pPr>
    </w:p>
    <w:p w14:paraId="2C44F91D" w14:textId="1371187A" w:rsidR="005D217D" w:rsidRPr="003F687C" w:rsidRDefault="005D217D" w:rsidP="003F687C">
      <w:pPr>
        <w:pStyle w:val="ListParagraph"/>
        <w:numPr>
          <w:ilvl w:val="0"/>
          <w:numId w:val="31"/>
        </w:numPr>
        <w:jc w:val="both"/>
        <w:rPr>
          <w:rStyle w:val="Hyperlink"/>
          <w:rFonts w:ascii="Arial" w:hAnsi="Arial" w:cs="Arial"/>
          <w:sz w:val="22"/>
          <w:szCs w:val="22"/>
        </w:rPr>
      </w:pPr>
      <w:r w:rsidRPr="003F687C">
        <w:rPr>
          <w:rFonts w:ascii="Arial" w:hAnsi="Arial" w:cs="Arial"/>
          <w:sz w:val="22"/>
          <w:szCs w:val="22"/>
        </w:rPr>
        <w:t xml:space="preserve">Holmes, L. A., </w:t>
      </w:r>
      <w:proofErr w:type="spellStart"/>
      <w:r w:rsidRPr="003F687C">
        <w:rPr>
          <w:rFonts w:ascii="Arial" w:hAnsi="Arial" w:cs="Arial"/>
          <w:sz w:val="22"/>
          <w:szCs w:val="22"/>
        </w:rPr>
        <w:t>Vanlaerhoven</w:t>
      </w:r>
      <w:proofErr w:type="spellEnd"/>
      <w:r w:rsidRPr="003F687C">
        <w:rPr>
          <w:rFonts w:ascii="Arial" w:hAnsi="Arial" w:cs="Arial"/>
          <w:sz w:val="22"/>
          <w:szCs w:val="22"/>
        </w:rPr>
        <w:t xml:space="preserve">, S. L., &amp; Tomberlin, J. K. (2012). Relative humidity effects on the life history of </w:t>
      </w:r>
      <w:proofErr w:type="spellStart"/>
      <w:r w:rsidRPr="003F687C">
        <w:rPr>
          <w:rFonts w:ascii="Arial" w:hAnsi="Arial" w:cs="Arial"/>
          <w:sz w:val="22"/>
          <w:szCs w:val="22"/>
        </w:rPr>
        <w:t>Hermetia</w:t>
      </w:r>
      <w:proofErr w:type="spellEnd"/>
      <w:r w:rsidRPr="003F687C">
        <w:rPr>
          <w:rFonts w:ascii="Arial" w:hAnsi="Arial" w:cs="Arial"/>
          <w:sz w:val="22"/>
          <w:szCs w:val="22"/>
        </w:rPr>
        <w:t xml:space="preserve"> </w:t>
      </w:r>
      <w:proofErr w:type="spellStart"/>
      <w:r w:rsidRPr="003F687C">
        <w:rPr>
          <w:rFonts w:ascii="Arial" w:hAnsi="Arial" w:cs="Arial"/>
          <w:sz w:val="22"/>
          <w:szCs w:val="22"/>
        </w:rPr>
        <w:t>illucens</w:t>
      </w:r>
      <w:proofErr w:type="spellEnd"/>
      <w:r w:rsidRPr="003F687C">
        <w:rPr>
          <w:rFonts w:ascii="Arial" w:hAnsi="Arial" w:cs="Arial"/>
          <w:sz w:val="22"/>
          <w:szCs w:val="22"/>
        </w:rPr>
        <w:t xml:space="preserve"> (</w:t>
      </w:r>
      <w:proofErr w:type="spellStart"/>
      <w:r w:rsidRPr="003F687C">
        <w:rPr>
          <w:rFonts w:ascii="Arial" w:hAnsi="Arial" w:cs="Arial"/>
          <w:sz w:val="22"/>
          <w:szCs w:val="22"/>
        </w:rPr>
        <w:t>Diptera</w:t>
      </w:r>
      <w:proofErr w:type="spellEnd"/>
      <w:r w:rsidRPr="003F687C">
        <w:rPr>
          <w:rFonts w:ascii="Arial" w:hAnsi="Arial" w:cs="Arial"/>
          <w:sz w:val="22"/>
          <w:szCs w:val="22"/>
        </w:rPr>
        <w:t xml:space="preserve">: </w:t>
      </w:r>
      <w:proofErr w:type="spellStart"/>
      <w:r w:rsidRPr="003F687C">
        <w:rPr>
          <w:rFonts w:ascii="Arial" w:hAnsi="Arial" w:cs="Arial"/>
          <w:sz w:val="22"/>
          <w:szCs w:val="22"/>
        </w:rPr>
        <w:t>Stratiomyidae</w:t>
      </w:r>
      <w:proofErr w:type="spellEnd"/>
      <w:r w:rsidRPr="003F687C">
        <w:rPr>
          <w:rFonts w:ascii="Arial" w:hAnsi="Arial" w:cs="Arial"/>
          <w:sz w:val="22"/>
          <w:szCs w:val="22"/>
        </w:rPr>
        <w:t xml:space="preserve">). Environmental Entomology, 41(4), 971–978. </w:t>
      </w:r>
      <w:hyperlink r:id="rId28" w:history="1">
        <w:r w:rsidRPr="003F687C">
          <w:rPr>
            <w:rStyle w:val="Hyperlink"/>
            <w:rFonts w:ascii="Arial" w:hAnsi="Arial" w:cs="Arial"/>
            <w:sz w:val="22"/>
            <w:szCs w:val="22"/>
          </w:rPr>
          <w:t>https://doi.org/10.1603/EN12054</w:t>
        </w:r>
      </w:hyperlink>
    </w:p>
    <w:p w14:paraId="74C4B66A" w14:textId="77777777" w:rsidR="005D217D" w:rsidRPr="005D217D" w:rsidRDefault="005D217D" w:rsidP="00E410D3">
      <w:pPr>
        <w:jc w:val="both"/>
        <w:rPr>
          <w:rFonts w:ascii="Arial" w:hAnsi="Arial" w:cs="Arial"/>
          <w:sz w:val="22"/>
          <w:szCs w:val="22"/>
        </w:rPr>
      </w:pPr>
    </w:p>
    <w:p w14:paraId="6D15A832" w14:textId="77777777" w:rsidR="005D217D" w:rsidRPr="003F687C" w:rsidRDefault="005D217D" w:rsidP="003F687C">
      <w:pPr>
        <w:pStyle w:val="ListParagraph"/>
        <w:numPr>
          <w:ilvl w:val="0"/>
          <w:numId w:val="31"/>
        </w:numPr>
        <w:rPr>
          <w:rFonts w:ascii="Arial" w:hAnsi="Arial" w:cs="Arial"/>
          <w:sz w:val="22"/>
          <w:szCs w:val="22"/>
          <w:lang w:val="en-GB"/>
        </w:rPr>
      </w:pPr>
      <w:proofErr w:type="spellStart"/>
      <w:r w:rsidRPr="003F687C">
        <w:rPr>
          <w:rFonts w:ascii="Arial" w:hAnsi="Arial" w:cs="Arial"/>
          <w:sz w:val="22"/>
          <w:szCs w:val="22"/>
          <w:lang w:val="en-GB"/>
        </w:rPr>
        <w:t>Hosseindoust</w:t>
      </w:r>
      <w:proofErr w:type="spellEnd"/>
      <w:r w:rsidRPr="003F687C">
        <w:rPr>
          <w:rFonts w:ascii="Arial" w:hAnsi="Arial" w:cs="Arial"/>
          <w:sz w:val="22"/>
          <w:szCs w:val="22"/>
          <w:lang w:val="en-GB"/>
        </w:rPr>
        <w:t>, A., Ha, S. H., Mun, J. Y., &amp; Kim, J. S. (2024). A metanalysis to evaluate the effects of substrate sources on the nutritional performance of black soldier fly larvae: implications for sustainable poultry feed. Poultry Science, 103(2), 103299.</w:t>
      </w:r>
    </w:p>
    <w:p w14:paraId="72E27E1F" w14:textId="39970641" w:rsidR="005D217D" w:rsidRPr="003F687C" w:rsidRDefault="00014727" w:rsidP="003F687C">
      <w:pPr>
        <w:pStyle w:val="ListParagraph"/>
        <w:numPr>
          <w:ilvl w:val="0"/>
          <w:numId w:val="31"/>
        </w:numPr>
        <w:rPr>
          <w:rFonts w:ascii="Arial" w:hAnsi="Arial" w:cs="Arial"/>
          <w:sz w:val="22"/>
          <w:szCs w:val="22"/>
          <w:lang w:val="en-GB"/>
        </w:rPr>
      </w:pPr>
      <w:hyperlink r:id="rId29" w:history="1">
        <w:r w:rsidR="005D217D" w:rsidRPr="003F687C">
          <w:rPr>
            <w:rStyle w:val="Hyperlink"/>
            <w:rFonts w:ascii="Arial" w:hAnsi="Arial" w:cs="Arial"/>
            <w:sz w:val="22"/>
            <w:szCs w:val="22"/>
            <w:lang w:val="en-GB"/>
          </w:rPr>
          <w:t>https://www.sciencedirect.com/science/article/pii/S0032579123008180</w:t>
        </w:r>
      </w:hyperlink>
      <w:r w:rsidR="005D217D" w:rsidRPr="003F687C">
        <w:rPr>
          <w:rFonts w:ascii="Arial" w:hAnsi="Arial" w:cs="Arial"/>
          <w:sz w:val="22"/>
          <w:szCs w:val="22"/>
          <w:lang w:val="en-GB"/>
        </w:rPr>
        <w:t xml:space="preserve"> </w:t>
      </w:r>
    </w:p>
    <w:p w14:paraId="71D7CE4B" w14:textId="77777777" w:rsidR="005D217D" w:rsidRPr="005D217D" w:rsidRDefault="005D217D" w:rsidP="005D217D">
      <w:pPr>
        <w:rPr>
          <w:rFonts w:ascii="Arial" w:hAnsi="Arial" w:cs="Arial"/>
          <w:sz w:val="22"/>
          <w:szCs w:val="22"/>
          <w:lang w:val="en-GB"/>
        </w:rPr>
      </w:pPr>
      <w:bookmarkStart w:id="0" w:name="_GoBack"/>
      <w:bookmarkEnd w:id="0"/>
    </w:p>
    <w:p w14:paraId="7AC6D2A6" w14:textId="77777777" w:rsidR="005D217D" w:rsidRPr="003F687C" w:rsidRDefault="005D217D" w:rsidP="003F687C">
      <w:pPr>
        <w:pStyle w:val="ListParagraph"/>
        <w:numPr>
          <w:ilvl w:val="0"/>
          <w:numId w:val="31"/>
        </w:numPr>
        <w:jc w:val="both"/>
        <w:rPr>
          <w:rFonts w:ascii="Arial" w:hAnsi="Arial" w:cs="Arial"/>
          <w:sz w:val="22"/>
          <w:szCs w:val="22"/>
        </w:rPr>
      </w:pPr>
      <w:proofErr w:type="spellStart"/>
      <w:r w:rsidRPr="003F687C">
        <w:rPr>
          <w:rFonts w:ascii="Arial" w:hAnsi="Arial" w:cs="Arial"/>
          <w:sz w:val="22"/>
          <w:szCs w:val="22"/>
        </w:rPr>
        <w:lastRenderedPageBreak/>
        <w:t>Isibika</w:t>
      </w:r>
      <w:proofErr w:type="spellEnd"/>
      <w:r w:rsidRPr="003F687C">
        <w:rPr>
          <w:rFonts w:ascii="Arial" w:hAnsi="Arial" w:cs="Arial"/>
          <w:sz w:val="22"/>
          <w:szCs w:val="22"/>
        </w:rPr>
        <w:t xml:space="preserve">, A., Simha, P., </w:t>
      </w:r>
      <w:proofErr w:type="spellStart"/>
      <w:r w:rsidRPr="003F687C">
        <w:rPr>
          <w:rFonts w:ascii="Arial" w:hAnsi="Arial" w:cs="Arial"/>
          <w:sz w:val="22"/>
          <w:szCs w:val="22"/>
        </w:rPr>
        <w:t>Vinnerås</w:t>
      </w:r>
      <w:proofErr w:type="spellEnd"/>
      <w:r w:rsidRPr="003F687C">
        <w:rPr>
          <w:rFonts w:ascii="Arial" w:hAnsi="Arial" w:cs="Arial"/>
          <w:sz w:val="22"/>
          <w:szCs w:val="22"/>
        </w:rPr>
        <w:t xml:space="preserve">, B., </w:t>
      </w:r>
      <w:proofErr w:type="spellStart"/>
      <w:r w:rsidRPr="003F687C">
        <w:rPr>
          <w:rFonts w:ascii="Arial" w:hAnsi="Arial" w:cs="Arial"/>
          <w:sz w:val="22"/>
          <w:szCs w:val="22"/>
        </w:rPr>
        <w:t>Zurbrügg</w:t>
      </w:r>
      <w:proofErr w:type="spellEnd"/>
      <w:r w:rsidRPr="003F687C">
        <w:rPr>
          <w:rFonts w:ascii="Arial" w:hAnsi="Arial" w:cs="Arial"/>
          <w:sz w:val="22"/>
          <w:szCs w:val="22"/>
        </w:rPr>
        <w:t xml:space="preserve">, C., </w:t>
      </w:r>
      <w:proofErr w:type="spellStart"/>
      <w:r w:rsidRPr="003F687C">
        <w:rPr>
          <w:rFonts w:ascii="Arial" w:hAnsi="Arial" w:cs="Arial"/>
          <w:sz w:val="22"/>
          <w:szCs w:val="22"/>
        </w:rPr>
        <w:t>Kibazohi</w:t>
      </w:r>
      <w:proofErr w:type="spellEnd"/>
      <w:r w:rsidRPr="003F687C">
        <w:rPr>
          <w:rFonts w:ascii="Arial" w:hAnsi="Arial" w:cs="Arial"/>
          <w:sz w:val="22"/>
          <w:szCs w:val="22"/>
        </w:rPr>
        <w:t xml:space="preserve">, O., &amp; </w:t>
      </w:r>
      <w:proofErr w:type="spellStart"/>
      <w:r w:rsidRPr="003F687C">
        <w:rPr>
          <w:rFonts w:ascii="Arial" w:hAnsi="Arial" w:cs="Arial"/>
          <w:sz w:val="22"/>
          <w:szCs w:val="22"/>
        </w:rPr>
        <w:t>Lalander</w:t>
      </w:r>
      <w:proofErr w:type="spellEnd"/>
      <w:r w:rsidRPr="003F687C">
        <w:rPr>
          <w:rFonts w:ascii="Arial" w:hAnsi="Arial" w:cs="Arial"/>
          <w:sz w:val="22"/>
          <w:szCs w:val="22"/>
        </w:rPr>
        <w:t xml:space="preserve">, C. (2023). Food industry waste - An opportunity for black soldier fly larvae protein production in Tanzania. Science of The Total Environment, 858(3), 159985. </w:t>
      </w:r>
      <w:hyperlink r:id="rId30" w:history="1">
        <w:r w:rsidRPr="003F687C">
          <w:rPr>
            <w:rStyle w:val="Hyperlink"/>
            <w:rFonts w:ascii="Arial" w:hAnsi="Arial" w:cs="Arial"/>
            <w:sz w:val="22"/>
            <w:szCs w:val="22"/>
          </w:rPr>
          <w:t>https://doi.org/10.1016/j.scitotenv.2022.159985</w:t>
        </w:r>
      </w:hyperlink>
    </w:p>
    <w:p w14:paraId="388C1EF8" w14:textId="37B9086C" w:rsidR="005D217D" w:rsidRPr="003F687C" w:rsidRDefault="005D217D" w:rsidP="003F687C">
      <w:pPr>
        <w:pStyle w:val="ListParagraph"/>
        <w:numPr>
          <w:ilvl w:val="0"/>
          <w:numId w:val="31"/>
        </w:numPr>
        <w:jc w:val="both"/>
        <w:rPr>
          <w:rStyle w:val="Hyperlink"/>
          <w:rFonts w:ascii="Arial" w:hAnsi="Arial" w:cs="Arial"/>
          <w:sz w:val="22"/>
          <w:szCs w:val="22"/>
        </w:rPr>
      </w:pPr>
      <w:proofErr w:type="spellStart"/>
      <w:r w:rsidRPr="003F687C">
        <w:rPr>
          <w:rFonts w:ascii="Arial" w:hAnsi="Arial" w:cs="Arial"/>
          <w:sz w:val="22"/>
          <w:szCs w:val="22"/>
        </w:rPr>
        <w:t>Lalander</w:t>
      </w:r>
      <w:proofErr w:type="spellEnd"/>
      <w:r w:rsidRPr="003F687C">
        <w:rPr>
          <w:rFonts w:ascii="Arial" w:hAnsi="Arial" w:cs="Arial"/>
          <w:sz w:val="22"/>
          <w:szCs w:val="22"/>
        </w:rPr>
        <w:t xml:space="preserve">, C., Diener, S., Magri, M. E., </w:t>
      </w:r>
      <w:proofErr w:type="spellStart"/>
      <w:r w:rsidRPr="003F687C">
        <w:rPr>
          <w:rFonts w:ascii="Arial" w:hAnsi="Arial" w:cs="Arial"/>
          <w:sz w:val="22"/>
          <w:szCs w:val="22"/>
        </w:rPr>
        <w:t>Zurbrügg</w:t>
      </w:r>
      <w:proofErr w:type="spellEnd"/>
      <w:r w:rsidRPr="003F687C">
        <w:rPr>
          <w:rFonts w:ascii="Arial" w:hAnsi="Arial" w:cs="Arial"/>
          <w:sz w:val="22"/>
          <w:szCs w:val="22"/>
        </w:rPr>
        <w:t xml:space="preserve">, C., Lindström, A., &amp; </w:t>
      </w:r>
      <w:proofErr w:type="spellStart"/>
      <w:r w:rsidRPr="003F687C">
        <w:rPr>
          <w:rFonts w:ascii="Arial" w:hAnsi="Arial" w:cs="Arial"/>
          <w:sz w:val="22"/>
          <w:szCs w:val="22"/>
        </w:rPr>
        <w:t>Vinnerås</w:t>
      </w:r>
      <w:proofErr w:type="spellEnd"/>
      <w:r w:rsidRPr="003F687C">
        <w:rPr>
          <w:rFonts w:ascii="Arial" w:hAnsi="Arial" w:cs="Arial"/>
          <w:sz w:val="22"/>
          <w:szCs w:val="22"/>
        </w:rPr>
        <w:t xml:space="preserve">, B. (2013). </w:t>
      </w:r>
      <w:proofErr w:type="spellStart"/>
      <w:r w:rsidRPr="003F687C">
        <w:rPr>
          <w:rFonts w:ascii="Arial" w:hAnsi="Arial" w:cs="Arial"/>
          <w:sz w:val="22"/>
          <w:szCs w:val="22"/>
        </w:rPr>
        <w:t>Faecal</w:t>
      </w:r>
      <w:proofErr w:type="spellEnd"/>
      <w:r w:rsidRPr="003F687C">
        <w:rPr>
          <w:rFonts w:ascii="Arial" w:hAnsi="Arial" w:cs="Arial"/>
          <w:sz w:val="22"/>
          <w:szCs w:val="22"/>
        </w:rPr>
        <w:t xml:space="preserve"> sludge management with the larvae of the black soldier fly (</w:t>
      </w:r>
      <w:proofErr w:type="spellStart"/>
      <w:r w:rsidRPr="003F687C">
        <w:rPr>
          <w:rFonts w:ascii="Arial" w:hAnsi="Arial" w:cs="Arial"/>
          <w:sz w:val="22"/>
          <w:szCs w:val="22"/>
        </w:rPr>
        <w:t>Hermetia</w:t>
      </w:r>
      <w:proofErr w:type="spellEnd"/>
      <w:r w:rsidRPr="003F687C">
        <w:rPr>
          <w:rFonts w:ascii="Arial" w:hAnsi="Arial" w:cs="Arial"/>
          <w:sz w:val="22"/>
          <w:szCs w:val="22"/>
        </w:rPr>
        <w:t xml:space="preserve"> </w:t>
      </w:r>
      <w:proofErr w:type="spellStart"/>
      <w:r w:rsidRPr="003F687C">
        <w:rPr>
          <w:rFonts w:ascii="Arial" w:hAnsi="Arial" w:cs="Arial"/>
          <w:sz w:val="22"/>
          <w:szCs w:val="22"/>
        </w:rPr>
        <w:t>illucens</w:t>
      </w:r>
      <w:proofErr w:type="spellEnd"/>
      <w:r w:rsidRPr="003F687C">
        <w:rPr>
          <w:rFonts w:ascii="Arial" w:hAnsi="Arial" w:cs="Arial"/>
          <w:sz w:val="22"/>
          <w:szCs w:val="22"/>
        </w:rPr>
        <w:t xml:space="preserve">) from a hygiene aspect. *Science of the Total Environment*, *458*-460, 312–318. </w:t>
      </w:r>
      <w:hyperlink r:id="rId31" w:history="1">
        <w:r w:rsidRPr="003F687C">
          <w:rPr>
            <w:rStyle w:val="Hyperlink"/>
            <w:rFonts w:ascii="Arial" w:hAnsi="Arial" w:cs="Arial"/>
            <w:sz w:val="22"/>
            <w:szCs w:val="22"/>
          </w:rPr>
          <w:t>https://doi.org/10.1016/j.scitotenv.2013.04.033</w:t>
        </w:r>
      </w:hyperlink>
    </w:p>
    <w:p w14:paraId="5084D8CC" w14:textId="77777777" w:rsidR="005D217D" w:rsidRPr="005D217D" w:rsidRDefault="005D217D" w:rsidP="00E410D3">
      <w:pPr>
        <w:jc w:val="both"/>
        <w:rPr>
          <w:rFonts w:ascii="Arial" w:hAnsi="Arial" w:cs="Arial"/>
          <w:sz w:val="22"/>
          <w:szCs w:val="22"/>
        </w:rPr>
      </w:pPr>
    </w:p>
    <w:p w14:paraId="728CE2E3" w14:textId="137DE17B" w:rsidR="005D217D" w:rsidRPr="003F687C" w:rsidRDefault="005D217D" w:rsidP="003F687C">
      <w:pPr>
        <w:pStyle w:val="ListParagraph"/>
        <w:numPr>
          <w:ilvl w:val="0"/>
          <w:numId w:val="31"/>
        </w:numPr>
        <w:jc w:val="both"/>
        <w:rPr>
          <w:rFonts w:ascii="Arial" w:hAnsi="Arial" w:cs="Arial"/>
          <w:sz w:val="22"/>
          <w:szCs w:val="22"/>
        </w:rPr>
      </w:pPr>
      <w:proofErr w:type="spellStart"/>
      <w:r w:rsidRPr="003F687C">
        <w:rPr>
          <w:rFonts w:ascii="Arial" w:hAnsi="Arial" w:cs="Arial"/>
          <w:sz w:val="22"/>
          <w:szCs w:val="22"/>
        </w:rPr>
        <w:t>Larive</w:t>
      </w:r>
      <w:proofErr w:type="spellEnd"/>
      <w:r w:rsidRPr="003F687C">
        <w:rPr>
          <w:rFonts w:ascii="Arial" w:hAnsi="Arial" w:cs="Arial"/>
          <w:sz w:val="22"/>
          <w:szCs w:val="22"/>
        </w:rPr>
        <w:t xml:space="preserve"> International. (2022). Unlocking the potential of circular proteins for animal feed in Tanzania. </w:t>
      </w:r>
      <w:hyperlink r:id="rId32" w:history="1">
        <w:r w:rsidRPr="003F687C">
          <w:rPr>
            <w:rStyle w:val="Hyperlink"/>
            <w:rFonts w:ascii="Arial" w:hAnsi="Arial" w:cs="Arial"/>
            <w:sz w:val="22"/>
            <w:szCs w:val="22"/>
          </w:rPr>
          <w:t>https://www.larive.com/wp-content/uploads/2022/04/Larive-for-RVO-EKN-Alternative-proteins-for-animal-feed-Tanzania.pdf</w:t>
        </w:r>
      </w:hyperlink>
      <w:r w:rsidRPr="003F687C">
        <w:rPr>
          <w:rFonts w:ascii="Arial" w:hAnsi="Arial" w:cs="Arial"/>
          <w:sz w:val="22"/>
          <w:szCs w:val="22"/>
        </w:rPr>
        <w:t xml:space="preserve"> </w:t>
      </w:r>
    </w:p>
    <w:p w14:paraId="5F3FD737" w14:textId="77777777" w:rsidR="005D217D" w:rsidRPr="005D217D" w:rsidRDefault="005D217D" w:rsidP="00E513BA">
      <w:pPr>
        <w:jc w:val="both"/>
        <w:rPr>
          <w:rFonts w:ascii="Arial" w:hAnsi="Arial" w:cs="Arial"/>
          <w:sz w:val="22"/>
          <w:szCs w:val="22"/>
        </w:rPr>
      </w:pPr>
    </w:p>
    <w:p w14:paraId="21E913A8" w14:textId="2F304747" w:rsidR="005D217D" w:rsidRPr="003F687C" w:rsidRDefault="005D217D" w:rsidP="003F687C">
      <w:pPr>
        <w:pStyle w:val="ListParagraph"/>
        <w:numPr>
          <w:ilvl w:val="0"/>
          <w:numId w:val="31"/>
        </w:numPr>
        <w:jc w:val="both"/>
        <w:rPr>
          <w:rStyle w:val="Hyperlink"/>
          <w:rFonts w:ascii="Arial" w:hAnsi="Arial" w:cs="Arial"/>
          <w:sz w:val="22"/>
          <w:szCs w:val="22"/>
        </w:rPr>
      </w:pPr>
      <w:r w:rsidRPr="003F687C">
        <w:rPr>
          <w:rFonts w:ascii="Arial" w:hAnsi="Arial" w:cs="Arial"/>
          <w:sz w:val="22"/>
          <w:szCs w:val="22"/>
        </w:rPr>
        <w:t xml:space="preserve">Li, Q., Zheng, L., Cai, H., Garza, E., Yu, Z., &amp; Zhou, S. (2011). From organic waste to biodiesel: Black soldier fly, </w:t>
      </w:r>
      <w:proofErr w:type="spellStart"/>
      <w:r w:rsidRPr="003F687C">
        <w:rPr>
          <w:rFonts w:ascii="Arial" w:hAnsi="Arial" w:cs="Arial"/>
          <w:sz w:val="22"/>
          <w:szCs w:val="22"/>
        </w:rPr>
        <w:t>Hermetia</w:t>
      </w:r>
      <w:proofErr w:type="spellEnd"/>
      <w:r w:rsidRPr="003F687C">
        <w:rPr>
          <w:rFonts w:ascii="Arial" w:hAnsi="Arial" w:cs="Arial"/>
          <w:sz w:val="22"/>
          <w:szCs w:val="22"/>
        </w:rPr>
        <w:t xml:space="preserve"> </w:t>
      </w:r>
      <w:proofErr w:type="spellStart"/>
      <w:r w:rsidRPr="003F687C">
        <w:rPr>
          <w:rFonts w:ascii="Arial" w:hAnsi="Arial" w:cs="Arial"/>
          <w:sz w:val="22"/>
          <w:szCs w:val="22"/>
        </w:rPr>
        <w:t>illucens</w:t>
      </w:r>
      <w:proofErr w:type="spellEnd"/>
      <w:r w:rsidRPr="003F687C">
        <w:rPr>
          <w:rFonts w:ascii="Arial" w:hAnsi="Arial" w:cs="Arial"/>
          <w:sz w:val="22"/>
          <w:szCs w:val="22"/>
        </w:rPr>
        <w:t xml:space="preserve">, makes it feasible. Fuel, 90(4), 1545–1548. </w:t>
      </w:r>
      <w:hyperlink r:id="rId33" w:history="1">
        <w:r w:rsidRPr="003F687C">
          <w:rPr>
            <w:rStyle w:val="Hyperlink"/>
            <w:rFonts w:ascii="Arial" w:hAnsi="Arial" w:cs="Arial"/>
            <w:sz w:val="22"/>
            <w:szCs w:val="22"/>
          </w:rPr>
          <w:t>https://doi.org/10.1016/j.fuel.2010.11.016</w:t>
        </w:r>
      </w:hyperlink>
    </w:p>
    <w:p w14:paraId="6A2B30A7" w14:textId="77777777" w:rsidR="005D217D" w:rsidRPr="005D217D" w:rsidRDefault="005D217D" w:rsidP="00E410D3">
      <w:pPr>
        <w:jc w:val="both"/>
        <w:rPr>
          <w:rFonts w:ascii="Arial" w:hAnsi="Arial" w:cs="Arial"/>
          <w:sz w:val="22"/>
          <w:szCs w:val="22"/>
        </w:rPr>
      </w:pPr>
    </w:p>
    <w:p w14:paraId="05A3CACF" w14:textId="15F669E9" w:rsidR="005D217D" w:rsidRPr="003F687C" w:rsidRDefault="005D217D" w:rsidP="003F687C">
      <w:pPr>
        <w:pStyle w:val="ListParagraph"/>
        <w:numPr>
          <w:ilvl w:val="0"/>
          <w:numId w:val="31"/>
        </w:numPr>
        <w:jc w:val="both"/>
        <w:rPr>
          <w:rFonts w:ascii="Arial" w:hAnsi="Arial" w:cs="Arial"/>
          <w:sz w:val="22"/>
          <w:szCs w:val="22"/>
        </w:rPr>
      </w:pPr>
      <w:r w:rsidRPr="003F687C">
        <w:rPr>
          <w:rFonts w:ascii="Arial" w:hAnsi="Arial" w:cs="Arial"/>
          <w:sz w:val="22"/>
          <w:szCs w:val="22"/>
        </w:rPr>
        <w:t xml:space="preserve">Limbu, S. M., Shoko, A. P., </w:t>
      </w:r>
      <w:proofErr w:type="spellStart"/>
      <w:r w:rsidRPr="003F687C">
        <w:rPr>
          <w:rFonts w:ascii="Arial" w:hAnsi="Arial" w:cs="Arial"/>
          <w:sz w:val="22"/>
          <w:szCs w:val="22"/>
        </w:rPr>
        <w:t>Ulotu</w:t>
      </w:r>
      <w:proofErr w:type="spellEnd"/>
      <w:r w:rsidRPr="003F687C">
        <w:rPr>
          <w:rFonts w:ascii="Arial" w:hAnsi="Arial" w:cs="Arial"/>
          <w:sz w:val="22"/>
          <w:szCs w:val="22"/>
        </w:rPr>
        <w:t xml:space="preserve">, E. E., </w:t>
      </w:r>
      <w:proofErr w:type="spellStart"/>
      <w:r w:rsidRPr="003F687C">
        <w:rPr>
          <w:rFonts w:ascii="Arial" w:hAnsi="Arial" w:cs="Arial"/>
          <w:sz w:val="22"/>
          <w:szCs w:val="22"/>
        </w:rPr>
        <w:t>Luvanga</w:t>
      </w:r>
      <w:proofErr w:type="spellEnd"/>
      <w:r w:rsidRPr="003F687C">
        <w:rPr>
          <w:rFonts w:ascii="Arial" w:hAnsi="Arial" w:cs="Arial"/>
          <w:sz w:val="22"/>
          <w:szCs w:val="22"/>
        </w:rPr>
        <w:t xml:space="preserve">, S. A., </w:t>
      </w:r>
      <w:proofErr w:type="spellStart"/>
      <w:r w:rsidRPr="003F687C">
        <w:rPr>
          <w:rFonts w:ascii="Arial" w:hAnsi="Arial" w:cs="Arial"/>
          <w:sz w:val="22"/>
          <w:szCs w:val="22"/>
        </w:rPr>
        <w:t>Munyi</w:t>
      </w:r>
      <w:proofErr w:type="spellEnd"/>
      <w:r w:rsidRPr="003F687C">
        <w:rPr>
          <w:rFonts w:ascii="Arial" w:hAnsi="Arial" w:cs="Arial"/>
          <w:sz w:val="22"/>
          <w:szCs w:val="22"/>
        </w:rPr>
        <w:t>, F. M., John, J. O., &amp; Opiyo, M. A. (2022). Black soldier fly (</w:t>
      </w:r>
      <w:proofErr w:type="spellStart"/>
      <w:r w:rsidRPr="003F687C">
        <w:rPr>
          <w:rFonts w:ascii="Arial" w:hAnsi="Arial" w:cs="Arial"/>
          <w:sz w:val="22"/>
          <w:szCs w:val="22"/>
        </w:rPr>
        <w:t>Hermetia</w:t>
      </w:r>
      <w:proofErr w:type="spellEnd"/>
      <w:r w:rsidRPr="003F687C">
        <w:rPr>
          <w:rFonts w:ascii="Arial" w:hAnsi="Arial" w:cs="Arial"/>
          <w:sz w:val="22"/>
          <w:szCs w:val="22"/>
        </w:rPr>
        <w:t xml:space="preserve"> </w:t>
      </w:r>
      <w:proofErr w:type="spellStart"/>
      <w:r w:rsidRPr="003F687C">
        <w:rPr>
          <w:rFonts w:ascii="Arial" w:hAnsi="Arial" w:cs="Arial"/>
          <w:sz w:val="22"/>
          <w:szCs w:val="22"/>
        </w:rPr>
        <w:t>illucens</w:t>
      </w:r>
      <w:proofErr w:type="spellEnd"/>
      <w:r w:rsidRPr="003F687C">
        <w:rPr>
          <w:rFonts w:ascii="Arial" w:hAnsi="Arial" w:cs="Arial"/>
          <w:sz w:val="22"/>
          <w:szCs w:val="22"/>
        </w:rPr>
        <w:t xml:space="preserve">, L.) larvae meal improves growth performance, feed efficiency and economic returns of Nile tilapia (Oreochromis </w:t>
      </w:r>
      <w:proofErr w:type="spellStart"/>
      <w:r w:rsidRPr="003F687C">
        <w:rPr>
          <w:rFonts w:ascii="Arial" w:hAnsi="Arial" w:cs="Arial"/>
          <w:sz w:val="22"/>
          <w:szCs w:val="22"/>
        </w:rPr>
        <w:t>niloticus</w:t>
      </w:r>
      <w:proofErr w:type="spellEnd"/>
      <w:r w:rsidRPr="003F687C">
        <w:rPr>
          <w:rFonts w:ascii="Arial" w:hAnsi="Arial" w:cs="Arial"/>
          <w:sz w:val="22"/>
          <w:szCs w:val="22"/>
        </w:rPr>
        <w:t xml:space="preserve">, L.) fry. Aquaculture Fish and Fisheries, 3, 167–178. </w:t>
      </w:r>
      <w:hyperlink r:id="rId34" w:history="1">
        <w:r w:rsidRPr="003F687C">
          <w:rPr>
            <w:rStyle w:val="Hyperlink"/>
            <w:rFonts w:ascii="Arial" w:hAnsi="Arial" w:cs="Arial"/>
            <w:sz w:val="22"/>
            <w:szCs w:val="22"/>
          </w:rPr>
          <w:t>https://doi.org/10.1002/aff2.48</w:t>
        </w:r>
      </w:hyperlink>
      <w:r w:rsidRPr="003F687C">
        <w:rPr>
          <w:rFonts w:ascii="Arial" w:hAnsi="Arial" w:cs="Arial"/>
          <w:sz w:val="22"/>
          <w:szCs w:val="22"/>
        </w:rPr>
        <w:t xml:space="preserve"> </w:t>
      </w:r>
    </w:p>
    <w:p w14:paraId="2949D10F" w14:textId="77777777" w:rsidR="005D217D" w:rsidRPr="005D217D" w:rsidRDefault="005D217D" w:rsidP="00E513BA">
      <w:pPr>
        <w:jc w:val="both"/>
        <w:rPr>
          <w:rFonts w:ascii="Arial" w:hAnsi="Arial" w:cs="Arial"/>
          <w:sz w:val="22"/>
          <w:szCs w:val="22"/>
        </w:rPr>
      </w:pPr>
    </w:p>
    <w:p w14:paraId="77A81234" w14:textId="0FE5F5E2" w:rsidR="005D217D" w:rsidRPr="003F687C" w:rsidRDefault="005D217D" w:rsidP="003F687C">
      <w:pPr>
        <w:pStyle w:val="ListParagraph"/>
        <w:numPr>
          <w:ilvl w:val="0"/>
          <w:numId w:val="31"/>
        </w:numPr>
        <w:jc w:val="both"/>
        <w:rPr>
          <w:rStyle w:val="Hyperlink"/>
          <w:rFonts w:ascii="Arial" w:hAnsi="Arial" w:cs="Arial"/>
          <w:sz w:val="22"/>
          <w:szCs w:val="22"/>
        </w:rPr>
      </w:pPr>
      <w:proofErr w:type="spellStart"/>
      <w:r w:rsidRPr="003F687C">
        <w:rPr>
          <w:rFonts w:ascii="Arial" w:hAnsi="Arial" w:cs="Arial"/>
          <w:sz w:val="22"/>
          <w:szCs w:val="22"/>
        </w:rPr>
        <w:t>Makkar</w:t>
      </w:r>
      <w:proofErr w:type="spellEnd"/>
      <w:r w:rsidRPr="003F687C">
        <w:rPr>
          <w:rFonts w:ascii="Arial" w:hAnsi="Arial" w:cs="Arial"/>
          <w:sz w:val="22"/>
          <w:szCs w:val="22"/>
        </w:rPr>
        <w:t xml:space="preserve">, H. P. S., Tran, G., </w:t>
      </w:r>
      <w:proofErr w:type="spellStart"/>
      <w:r w:rsidRPr="003F687C">
        <w:rPr>
          <w:rFonts w:ascii="Arial" w:hAnsi="Arial" w:cs="Arial"/>
          <w:sz w:val="22"/>
          <w:szCs w:val="22"/>
        </w:rPr>
        <w:t>Heuzé</w:t>
      </w:r>
      <w:proofErr w:type="spellEnd"/>
      <w:r w:rsidRPr="003F687C">
        <w:rPr>
          <w:rFonts w:ascii="Arial" w:hAnsi="Arial" w:cs="Arial"/>
          <w:sz w:val="22"/>
          <w:szCs w:val="22"/>
        </w:rPr>
        <w:t xml:space="preserve">, V., &amp; Ankers, P. (2014). State-of-the-art on use of insects as animal feed. Animal Feed Science and Technology, 197, 1-33. </w:t>
      </w:r>
      <w:hyperlink r:id="rId35" w:history="1">
        <w:r w:rsidRPr="003F687C">
          <w:rPr>
            <w:rStyle w:val="Hyperlink"/>
            <w:rFonts w:ascii="Arial" w:hAnsi="Arial" w:cs="Arial"/>
            <w:sz w:val="22"/>
            <w:szCs w:val="22"/>
          </w:rPr>
          <w:t>https://doi.org/10.1016/j.anifeedsci.2014.07.008</w:t>
        </w:r>
      </w:hyperlink>
    </w:p>
    <w:p w14:paraId="041692E2" w14:textId="77777777" w:rsidR="005D217D" w:rsidRPr="005D217D" w:rsidRDefault="005D217D" w:rsidP="00E410D3">
      <w:pPr>
        <w:jc w:val="both"/>
        <w:rPr>
          <w:rFonts w:ascii="Arial" w:hAnsi="Arial" w:cs="Arial"/>
          <w:sz w:val="22"/>
          <w:szCs w:val="22"/>
        </w:rPr>
      </w:pPr>
    </w:p>
    <w:p w14:paraId="05CF5F23" w14:textId="710D88EB" w:rsidR="005D217D" w:rsidRPr="003F687C" w:rsidRDefault="005D217D" w:rsidP="003F687C">
      <w:pPr>
        <w:pStyle w:val="ListParagraph"/>
        <w:numPr>
          <w:ilvl w:val="0"/>
          <w:numId w:val="31"/>
        </w:numPr>
        <w:jc w:val="both"/>
        <w:rPr>
          <w:rStyle w:val="Hyperlink"/>
          <w:rFonts w:ascii="Arial" w:hAnsi="Arial" w:cs="Arial"/>
          <w:sz w:val="22"/>
          <w:szCs w:val="22"/>
        </w:rPr>
      </w:pPr>
      <w:r w:rsidRPr="003F687C">
        <w:rPr>
          <w:rFonts w:ascii="Arial" w:hAnsi="Arial" w:cs="Arial"/>
          <w:sz w:val="22"/>
          <w:szCs w:val="22"/>
        </w:rPr>
        <w:t xml:space="preserve">Marwa L. J. (2021). On-farm feeding interventions for higher performance and profitability of local chickens in Babati District, Tanzania (MSc Thesis). Sokoine University of Agriculture. </w:t>
      </w:r>
      <w:hyperlink r:id="rId36" w:history="1">
        <w:r w:rsidRPr="003F687C">
          <w:rPr>
            <w:rStyle w:val="Hyperlink"/>
            <w:rFonts w:ascii="Arial" w:hAnsi="Arial" w:cs="Arial"/>
            <w:sz w:val="22"/>
            <w:szCs w:val="22"/>
          </w:rPr>
          <w:t>https://www.suaire.sua.ac.tz/items/06f0e0c8-7922-46ad-9dcc-e04320a66c52</w:t>
        </w:r>
      </w:hyperlink>
    </w:p>
    <w:p w14:paraId="2F4A8EA4" w14:textId="77777777" w:rsidR="005D217D" w:rsidRPr="005D217D" w:rsidRDefault="005D217D" w:rsidP="00E410D3">
      <w:pPr>
        <w:jc w:val="both"/>
        <w:rPr>
          <w:rStyle w:val="Hyperlink"/>
          <w:rFonts w:ascii="Arial" w:hAnsi="Arial" w:cs="Arial"/>
          <w:sz w:val="22"/>
          <w:szCs w:val="22"/>
        </w:rPr>
      </w:pPr>
    </w:p>
    <w:p w14:paraId="7F817A22" w14:textId="558AB485" w:rsidR="005D217D" w:rsidRPr="003F687C" w:rsidRDefault="005D217D" w:rsidP="003F687C">
      <w:pPr>
        <w:pStyle w:val="ListParagraph"/>
        <w:numPr>
          <w:ilvl w:val="0"/>
          <w:numId w:val="31"/>
        </w:numPr>
        <w:jc w:val="both"/>
        <w:rPr>
          <w:rStyle w:val="Hyperlink"/>
          <w:rFonts w:ascii="Arial" w:hAnsi="Arial" w:cs="Arial"/>
          <w:sz w:val="22"/>
          <w:szCs w:val="22"/>
        </w:rPr>
      </w:pPr>
      <w:proofErr w:type="spellStart"/>
      <w:r w:rsidRPr="003F687C">
        <w:rPr>
          <w:rFonts w:ascii="Arial" w:hAnsi="Arial" w:cs="Arial"/>
          <w:sz w:val="22"/>
          <w:szCs w:val="22"/>
        </w:rPr>
        <w:t>Mašková</w:t>
      </w:r>
      <w:proofErr w:type="spellEnd"/>
      <w:r w:rsidRPr="003F687C">
        <w:rPr>
          <w:rFonts w:ascii="Arial" w:hAnsi="Arial" w:cs="Arial"/>
          <w:sz w:val="22"/>
          <w:szCs w:val="22"/>
        </w:rPr>
        <w:t xml:space="preserve"> Z., Hleba L., Kolesár E., </w:t>
      </w:r>
      <w:proofErr w:type="spellStart"/>
      <w:r w:rsidRPr="003F687C">
        <w:rPr>
          <w:rFonts w:ascii="Arial" w:hAnsi="Arial" w:cs="Arial"/>
          <w:sz w:val="22"/>
          <w:szCs w:val="22"/>
        </w:rPr>
        <w:t>Urminská</w:t>
      </w:r>
      <w:proofErr w:type="spellEnd"/>
      <w:r w:rsidRPr="003F687C">
        <w:rPr>
          <w:rFonts w:ascii="Arial" w:hAnsi="Arial" w:cs="Arial"/>
          <w:sz w:val="22"/>
          <w:szCs w:val="22"/>
        </w:rPr>
        <w:t xml:space="preserve"> D., </w:t>
      </w:r>
      <w:proofErr w:type="spellStart"/>
      <w:r w:rsidRPr="003F687C">
        <w:rPr>
          <w:rFonts w:ascii="Arial" w:hAnsi="Arial" w:cs="Arial"/>
          <w:sz w:val="22"/>
          <w:szCs w:val="22"/>
        </w:rPr>
        <w:t>Ivanišová</w:t>
      </w:r>
      <w:proofErr w:type="spellEnd"/>
      <w:r w:rsidRPr="003F687C">
        <w:rPr>
          <w:rFonts w:ascii="Arial" w:hAnsi="Arial" w:cs="Arial"/>
          <w:sz w:val="22"/>
          <w:szCs w:val="22"/>
        </w:rPr>
        <w:t xml:space="preserve"> E., Medo J., </w:t>
      </w:r>
      <w:proofErr w:type="spellStart"/>
      <w:r w:rsidRPr="003F687C">
        <w:rPr>
          <w:rFonts w:ascii="Arial" w:hAnsi="Arial" w:cs="Arial"/>
          <w:sz w:val="22"/>
          <w:szCs w:val="22"/>
        </w:rPr>
        <w:t>Tančinová</w:t>
      </w:r>
      <w:proofErr w:type="spellEnd"/>
      <w:r w:rsidRPr="003F687C">
        <w:rPr>
          <w:rFonts w:ascii="Arial" w:hAnsi="Arial" w:cs="Arial"/>
          <w:sz w:val="22"/>
          <w:szCs w:val="22"/>
        </w:rPr>
        <w:t xml:space="preserve"> D., </w:t>
      </w:r>
      <w:proofErr w:type="spellStart"/>
      <w:r w:rsidRPr="003F687C">
        <w:rPr>
          <w:rFonts w:ascii="Arial" w:hAnsi="Arial" w:cs="Arial"/>
          <w:sz w:val="22"/>
          <w:szCs w:val="22"/>
        </w:rPr>
        <w:t>Urminská</w:t>
      </w:r>
      <w:proofErr w:type="spellEnd"/>
      <w:r w:rsidRPr="003F687C">
        <w:rPr>
          <w:rFonts w:ascii="Arial" w:hAnsi="Arial" w:cs="Arial"/>
          <w:sz w:val="22"/>
          <w:szCs w:val="22"/>
        </w:rPr>
        <w:t xml:space="preserve"> J., </w:t>
      </w:r>
      <w:proofErr w:type="spellStart"/>
      <w:r w:rsidRPr="003F687C">
        <w:rPr>
          <w:rFonts w:ascii="Arial" w:hAnsi="Arial" w:cs="Arial"/>
          <w:sz w:val="22"/>
          <w:szCs w:val="22"/>
        </w:rPr>
        <w:t>Mrvová</w:t>
      </w:r>
      <w:proofErr w:type="spellEnd"/>
      <w:r w:rsidRPr="003F687C">
        <w:rPr>
          <w:rFonts w:ascii="Arial" w:hAnsi="Arial" w:cs="Arial"/>
          <w:sz w:val="22"/>
          <w:szCs w:val="22"/>
        </w:rPr>
        <w:t xml:space="preserve"> M. &amp; </w:t>
      </w:r>
      <w:proofErr w:type="spellStart"/>
      <w:r w:rsidRPr="003F687C">
        <w:rPr>
          <w:rFonts w:ascii="Arial" w:hAnsi="Arial" w:cs="Arial"/>
          <w:sz w:val="22"/>
          <w:szCs w:val="22"/>
        </w:rPr>
        <w:t>Barboráková</w:t>
      </w:r>
      <w:proofErr w:type="spellEnd"/>
      <w:r w:rsidRPr="003F687C">
        <w:rPr>
          <w:rFonts w:ascii="Arial" w:hAnsi="Arial" w:cs="Arial"/>
          <w:sz w:val="22"/>
          <w:szCs w:val="22"/>
        </w:rPr>
        <w:t xml:space="preserve"> Z (2025). Microbiological and nutritional aspects of black soldier fly (</w:t>
      </w:r>
      <w:proofErr w:type="spellStart"/>
      <w:r w:rsidRPr="003F687C">
        <w:rPr>
          <w:rFonts w:ascii="Arial" w:hAnsi="Arial" w:cs="Arial"/>
          <w:sz w:val="22"/>
          <w:szCs w:val="22"/>
        </w:rPr>
        <w:t>hermetia</w:t>
      </w:r>
      <w:proofErr w:type="spellEnd"/>
      <w:r w:rsidRPr="003F687C">
        <w:rPr>
          <w:rFonts w:ascii="Arial" w:hAnsi="Arial" w:cs="Arial"/>
          <w:sz w:val="22"/>
          <w:szCs w:val="22"/>
        </w:rPr>
        <w:t xml:space="preserve"> </w:t>
      </w:r>
      <w:proofErr w:type="spellStart"/>
      <w:r w:rsidRPr="003F687C">
        <w:rPr>
          <w:rFonts w:ascii="Arial" w:hAnsi="Arial" w:cs="Arial"/>
          <w:sz w:val="22"/>
          <w:szCs w:val="22"/>
        </w:rPr>
        <w:t>illucens</w:t>
      </w:r>
      <w:proofErr w:type="spellEnd"/>
      <w:r w:rsidRPr="003F687C">
        <w:rPr>
          <w:rFonts w:ascii="Arial" w:hAnsi="Arial" w:cs="Arial"/>
          <w:sz w:val="22"/>
          <w:szCs w:val="22"/>
        </w:rPr>
        <w:t xml:space="preserve">) larvae after bioconversion of different food wastes. Journal of Microbiology, Biotechnology and Food Sciences, 14(4), e12266. </w:t>
      </w:r>
      <w:hyperlink r:id="rId37" w:history="1">
        <w:r w:rsidRPr="003F687C">
          <w:rPr>
            <w:rStyle w:val="Hyperlink"/>
            <w:rFonts w:ascii="Arial" w:hAnsi="Arial" w:cs="Arial"/>
            <w:sz w:val="22"/>
            <w:szCs w:val="22"/>
          </w:rPr>
          <w:t>https://doi.org/10.55251/jmbfs.12266</w:t>
        </w:r>
      </w:hyperlink>
    </w:p>
    <w:p w14:paraId="453C40FC" w14:textId="77777777" w:rsidR="005D217D" w:rsidRPr="005D217D" w:rsidRDefault="005D217D" w:rsidP="00E410D3">
      <w:pPr>
        <w:jc w:val="both"/>
        <w:rPr>
          <w:rStyle w:val="Hyperlink"/>
          <w:rFonts w:ascii="Arial" w:hAnsi="Arial" w:cs="Arial"/>
          <w:sz w:val="22"/>
          <w:szCs w:val="22"/>
        </w:rPr>
      </w:pPr>
    </w:p>
    <w:p w14:paraId="253761F0" w14:textId="3395E840" w:rsidR="005D217D" w:rsidRPr="003F687C" w:rsidRDefault="005D217D" w:rsidP="003F687C">
      <w:pPr>
        <w:pStyle w:val="ListParagraph"/>
        <w:numPr>
          <w:ilvl w:val="0"/>
          <w:numId w:val="31"/>
        </w:numPr>
        <w:jc w:val="both"/>
        <w:rPr>
          <w:rStyle w:val="Hyperlink"/>
          <w:rFonts w:ascii="Arial" w:hAnsi="Arial" w:cs="Arial"/>
          <w:sz w:val="22"/>
          <w:szCs w:val="22"/>
        </w:rPr>
      </w:pPr>
      <w:r w:rsidRPr="003F687C">
        <w:rPr>
          <w:rFonts w:ascii="Arial" w:hAnsi="Arial" w:cs="Arial"/>
          <w:sz w:val="22"/>
          <w:szCs w:val="22"/>
        </w:rPr>
        <w:t xml:space="preserve">Maurer, V., Holinger, M., Amsler, Z., </w:t>
      </w:r>
      <w:proofErr w:type="spellStart"/>
      <w:r w:rsidRPr="003F687C">
        <w:rPr>
          <w:rFonts w:ascii="Arial" w:hAnsi="Arial" w:cs="Arial"/>
          <w:sz w:val="22"/>
          <w:szCs w:val="22"/>
        </w:rPr>
        <w:t>Früh</w:t>
      </w:r>
      <w:proofErr w:type="spellEnd"/>
      <w:r w:rsidRPr="003F687C">
        <w:rPr>
          <w:rFonts w:ascii="Arial" w:hAnsi="Arial" w:cs="Arial"/>
          <w:sz w:val="22"/>
          <w:szCs w:val="22"/>
        </w:rPr>
        <w:t xml:space="preserve">, B., Wohlfahrt, J., Stamer, A., &amp; Leiber, F. (2016). Replacement of soybean cake by </w:t>
      </w:r>
      <w:proofErr w:type="spellStart"/>
      <w:r w:rsidRPr="003F687C">
        <w:rPr>
          <w:rFonts w:ascii="Arial" w:hAnsi="Arial" w:cs="Arial"/>
          <w:sz w:val="22"/>
          <w:szCs w:val="22"/>
        </w:rPr>
        <w:t>Hermetia</w:t>
      </w:r>
      <w:proofErr w:type="spellEnd"/>
      <w:r w:rsidRPr="003F687C">
        <w:rPr>
          <w:rFonts w:ascii="Arial" w:hAnsi="Arial" w:cs="Arial"/>
          <w:sz w:val="22"/>
          <w:szCs w:val="22"/>
        </w:rPr>
        <w:t xml:space="preserve"> </w:t>
      </w:r>
      <w:proofErr w:type="spellStart"/>
      <w:r w:rsidRPr="003F687C">
        <w:rPr>
          <w:rFonts w:ascii="Arial" w:hAnsi="Arial" w:cs="Arial"/>
          <w:sz w:val="22"/>
          <w:szCs w:val="22"/>
        </w:rPr>
        <w:t>illucens</w:t>
      </w:r>
      <w:proofErr w:type="spellEnd"/>
      <w:r w:rsidRPr="003F687C">
        <w:rPr>
          <w:rFonts w:ascii="Arial" w:hAnsi="Arial" w:cs="Arial"/>
          <w:sz w:val="22"/>
          <w:szCs w:val="22"/>
        </w:rPr>
        <w:t xml:space="preserve"> meal in diets for layers. Journal of Insects as Food and Feed, 2(2), 83–90. </w:t>
      </w:r>
      <w:hyperlink r:id="rId38" w:history="1">
        <w:r w:rsidRPr="003F687C">
          <w:rPr>
            <w:rStyle w:val="Hyperlink"/>
            <w:rFonts w:ascii="Arial" w:hAnsi="Arial" w:cs="Arial"/>
            <w:sz w:val="22"/>
            <w:szCs w:val="22"/>
          </w:rPr>
          <w:t>https://doi.org/10.3920/jiff2015.0071</w:t>
        </w:r>
      </w:hyperlink>
    </w:p>
    <w:p w14:paraId="18FBBDE3" w14:textId="77777777" w:rsidR="005D217D" w:rsidRPr="005D217D" w:rsidRDefault="005D217D" w:rsidP="00E410D3">
      <w:pPr>
        <w:jc w:val="both"/>
        <w:rPr>
          <w:rFonts w:ascii="Arial" w:hAnsi="Arial" w:cs="Arial"/>
          <w:sz w:val="22"/>
          <w:szCs w:val="22"/>
        </w:rPr>
      </w:pPr>
    </w:p>
    <w:p w14:paraId="58B50A21" w14:textId="0CB070C1" w:rsidR="005D217D" w:rsidRPr="003F687C" w:rsidRDefault="005D217D" w:rsidP="003F687C">
      <w:pPr>
        <w:pStyle w:val="ListParagraph"/>
        <w:numPr>
          <w:ilvl w:val="0"/>
          <w:numId w:val="31"/>
        </w:numPr>
        <w:jc w:val="both"/>
        <w:rPr>
          <w:rStyle w:val="Hyperlink"/>
          <w:rFonts w:ascii="Arial" w:hAnsi="Arial" w:cs="Arial"/>
          <w:sz w:val="22"/>
          <w:szCs w:val="22"/>
        </w:rPr>
      </w:pPr>
      <w:proofErr w:type="spellStart"/>
      <w:r w:rsidRPr="003F687C">
        <w:rPr>
          <w:rFonts w:ascii="Arial" w:hAnsi="Arial" w:cs="Arial"/>
          <w:sz w:val="22"/>
          <w:szCs w:val="22"/>
        </w:rPr>
        <w:t>Msoffe</w:t>
      </w:r>
      <w:proofErr w:type="spellEnd"/>
      <w:r w:rsidRPr="003F687C">
        <w:rPr>
          <w:rFonts w:ascii="Arial" w:hAnsi="Arial" w:cs="Arial"/>
          <w:sz w:val="22"/>
          <w:szCs w:val="22"/>
        </w:rPr>
        <w:t xml:space="preserve">, G., &amp; Ngulube, P. (2017). </w:t>
      </w:r>
      <w:proofErr w:type="spellStart"/>
      <w:r w:rsidRPr="003F687C">
        <w:rPr>
          <w:rFonts w:ascii="Arial" w:hAnsi="Arial" w:cs="Arial"/>
          <w:sz w:val="22"/>
          <w:szCs w:val="22"/>
        </w:rPr>
        <w:t>Utilisation</w:t>
      </w:r>
      <w:proofErr w:type="spellEnd"/>
      <w:r w:rsidRPr="003F687C">
        <w:rPr>
          <w:rFonts w:ascii="Arial" w:hAnsi="Arial" w:cs="Arial"/>
          <w:sz w:val="22"/>
          <w:szCs w:val="22"/>
        </w:rPr>
        <w:t xml:space="preserve"> of poultry management information in three rural districts of Tanzania. South African Journal of Information Management, 19(1). </w:t>
      </w:r>
      <w:hyperlink r:id="rId39" w:history="1">
        <w:r w:rsidRPr="003F687C">
          <w:rPr>
            <w:rStyle w:val="Hyperlink"/>
            <w:rFonts w:ascii="Arial" w:hAnsi="Arial" w:cs="Arial"/>
            <w:sz w:val="22"/>
            <w:szCs w:val="22"/>
          </w:rPr>
          <w:t>https://doi.org/10.4102/sajim.v19i1.729</w:t>
        </w:r>
      </w:hyperlink>
    </w:p>
    <w:p w14:paraId="67E253EF" w14:textId="77777777" w:rsidR="005D217D" w:rsidRPr="005D217D" w:rsidRDefault="005D217D" w:rsidP="00E410D3">
      <w:pPr>
        <w:jc w:val="both"/>
        <w:rPr>
          <w:rFonts w:ascii="Arial" w:hAnsi="Arial" w:cs="Arial"/>
          <w:sz w:val="22"/>
          <w:szCs w:val="22"/>
        </w:rPr>
      </w:pPr>
    </w:p>
    <w:p w14:paraId="34527AF1" w14:textId="70BADE06" w:rsidR="005D217D" w:rsidRPr="003F687C" w:rsidRDefault="005D217D" w:rsidP="003F687C">
      <w:pPr>
        <w:pStyle w:val="ListParagraph"/>
        <w:numPr>
          <w:ilvl w:val="0"/>
          <w:numId w:val="31"/>
        </w:numPr>
        <w:jc w:val="both"/>
        <w:rPr>
          <w:rStyle w:val="Hyperlink"/>
          <w:rFonts w:ascii="Arial" w:hAnsi="Arial" w:cs="Arial"/>
          <w:sz w:val="22"/>
          <w:szCs w:val="22"/>
        </w:rPr>
      </w:pPr>
      <w:proofErr w:type="spellStart"/>
      <w:r w:rsidRPr="003F687C">
        <w:rPr>
          <w:rFonts w:ascii="Arial" w:hAnsi="Arial" w:cs="Arial"/>
          <w:sz w:val="22"/>
          <w:szCs w:val="22"/>
        </w:rPr>
        <w:t>Munguti</w:t>
      </w:r>
      <w:proofErr w:type="spellEnd"/>
      <w:r w:rsidRPr="003F687C">
        <w:rPr>
          <w:rFonts w:ascii="Arial" w:hAnsi="Arial" w:cs="Arial"/>
          <w:sz w:val="22"/>
          <w:szCs w:val="22"/>
        </w:rPr>
        <w:t xml:space="preserve"> J., Muthoka M., Chepkirui M., </w:t>
      </w:r>
      <w:proofErr w:type="spellStart"/>
      <w:r w:rsidRPr="003F687C">
        <w:rPr>
          <w:rFonts w:ascii="Arial" w:hAnsi="Arial" w:cs="Arial"/>
          <w:sz w:val="22"/>
          <w:szCs w:val="22"/>
        </w:rPr>
        <w:t>Kyule</w:t>
      </w:r>
      <w:proofErr w:type="spellEnd"/>
      <w:r w:rsidRPr="003F687C">
        <w:rPr>
          <w:rFonts w:ascii="Arial" w:hAnsi="Arial" w:cs="Arial"/>
          <w:sz w:val="22"/>
          <w:szCs w:val="22"/>
        </w:rPr>
        <w:t xml:space="preserve"> D., Obiero K., </w:t>
      </w:r>
      <w:proofErr w:type="spellStart"/>
      <w:r w:rsidRPr="003F687C">
        <w:rPr>
          <w:rFonts w:ascii="Arial" w:hAnsi="Arial" w:cs="Arial"/>
          <w:sz w:val="22"/>
          <w:szCs w:val="22"/>
        </w:rPr>
        <w:t>Ogello</w:t>
      </w:r>
      <w:proofErr w:type="spellEnd"/>
      <w:r w:rsidRPr="003F687C">
        <w:rPr>
          <w:rFonts w:ascii="Arial" w:hAnsi="Arial" w:cs="Arial"/>
          <w:sz w:val="22"/>
          <w:szCs w:val="22"/>
        </w:rPr>
        <w:t xml:space="preserve"> E., </w:t>
      </w:r>
      <w:proofErr w:type="spellStart"/>
      <w:r w:rsidRPr="003F687C">
        <w:rPr>
          <w:rFonts w:ascii="Arial" w:hAnsi="Arial" w:cs="Arial"/>
          <w:sz w:val="22"/>
          <w:szCs w:val="22"/>
        </w:rPr>
        <w:t>Madalla</w:t>
      </w:r>
      <w:proofErr w:type="spellEnd"/>
      <w:r w:rsidRPr="003F687C">
        <w:rPr>
          <w:rFonts w:ascii="Arial" w:hAnsi="Arial" w:cs="Arial"/>
          <w:sz w:val="22"/>
          <w:szCs w:val="22"/>
        </w:rPr>
        <w:t xml:space="preserve"> N. A &amp; Kwikiriza G. (2024). The Fish Feed Sector in Kenya, Uganda, Tanzania and Rwanda: Current Status, Challenges and Strategies for Improvement – A Comprehensive Review. Aquaculture Nutrition. </w:t>
      </w:r>
      <w:hyperlink r:id="rId40" w:history="1">
        <w:r w:rsidRPr="003F687C">
          <w:rPr>
            <w:rStyle w:val="Hyperlink"/>
            <w:rFonts w:ascii="Arial" w:hAnsi="Arial" w:cs="Arial"/>
            <w:sz w:val="22"/>
            <w:szCs w:val="22"/>
          </w:rPr>
          <w:t>https://doi.org/10.1155/2024/8484451</w:t>
        </w:r>
      </w:hyperlink>
    </w:p>
    <w:p w14:paraId="4BE48317" w14:textId="77777777" w:rsidR="005D217D" w:rsidRPr="005D217D" w:rsidRDefault="005D217D" w:rsidP="00E410D3">
      <w:pPr>
        <w:jc w:val="both"/>
        <w:rPr>
          <w:rStyle w:val="Hyperlink"/>
          <w:rFonts w:ascii="Arial" w:hAnsi="Arial" w:cs="Arial"/>
          <w:sz w:val="22"/>
          <w:szCs w:val="22"/>
        </w:rPr>
      </w:pPr>
    </w:p>
    <w:p w14:paraId="5B43390E" w14:textId="1885ED63" w:rsidR="005D217D" w:rsidRPr="003F687C" w:rsidRDefault="005D217D" w:rsidP="003F687C">
      <w:pPr>
        <w:pStyle w:val="ListParagraph"/>
        <w:numPr>
          <w:ilvl w:val="0"/>
          <w:numId w:val="31"/>
        </w:numPr>
        <w:jc w:val="both"/>
        <w:rPr>
          <w:rStyle w:val="Hyperlink"/>
          <w:rFonts w:ascii="Arial" w:hAnsi="Arial" w:cs="Arial"/>
          <w:sz w:val="22"/>
          <w:szCs w:val="22"/>
        </w:rPr>
      </w:pPr>
      <w:proofErr w:type="spellStart"/>
      <w:r w:rsidRPr="003F687C">
        <w:rPr>
          <w:rFonts w:ascii="Arial" w:hAnsi="Arial" w:cs="Arial"/>
          <w:sz w:val="22"/>
          <w:szCs w:val="22"/>
        </w:rPr>
        <w:t>Ngongolo</w:t>
      </w:r>
      <w:proofErr w:type="spellEnd"/>
      <w:r w:rsidRPr="003F687C">
        <w:rPr>
          <w:rFonts w:ascii="Arial" w:hAnsi="Arial" w:cs="Arial"/>
          <w:sz w:val="22"/>
          <w:szCs w:val="22"/>
        </w:rPr>
        <w:t xml:space="preserve">, K., </w:t>
      </w:r>
      <w:proofErr w:type="spellStart"/>
      <w:r w:rsidRPr="003F687C">
        <w:rPr>
          <w:rFonts w:ascii="Arial" w:hAnsi="Arial" w:cs="Arial"/>
          <w:sz w:val="22"/>
          <w:szCs w:val="22"/>
        </w:rPr>
        <w:t>Kitojo</w:t>
      </w:r>
      <w:proofErr w:type="spellEnd"/>
      <w:r w:rsidRPr="003F687C">
        <w:rPr>
          <w:rFonts w:ascii="Arial" w:hAnsi="Arial" w:cs="Arial"/>
          <w:sz w:val="22"/>
          <w:szCs w:val="22"/>
        </w:rPr>
        <w:t xml:space="preserve">, O., &amp; Chota, A. (2021). Social-economic impact of chicken production on resource-constrained communities in Dodoma, Tanzania. Poultry Science. </w:t>
      </w:r>
      <w:hyperlink r:id="rId41" w:history="1">
        <w:r w:rsidRPr="003F687C">
          <w:rPr>
            <w:rStyle w:val="Hyperlink"/>
            <w:rFonts w:ascii="Arial" w:hAnsi="Arial" w:cs="Arial"/>
            <w:sz w:val="22"/>
            <w:szCs w:val="22"/>
          </w:rPr>
          <w:t>https://doi.org/10.1016/j.psj.2020.12.019</w:t>
        </w:r>
      </w:hyperlink>
    </w:p>
    <w:p w14:paraId="64F0B53F" w14:textId="77777777" w:rsidR="005D217D" w:rsidRPr="005D217D" w:rsidRDefault="005D217D" w:rsidP="00E410D3">
      <w:pPr>
        <w:jc w:val="both"/>
        <w:rPr>
          <w:rFonts w:ascii="Arial" w:hAnsi="Arial" w:cs="Arial"/>
          <w:sz w:val="22"/>
          <w:szCs w:val="22"/>
        </w:rPr>
      </w:pPr>
    </w:p>
    <w:p w14:paraId="3CF0AF32" w14:textId="01661A44" w:rsidR="005D217D" w:rsidRPr="003F687C" w:rsidRDefault="005D217D" w:rsidP="003F687C">
      <w:pPr>
        <w:pStyle w:val="ListParagraph"/>
        <w:numPr>
          <w:ilvl w:val="0"/>
          <w:numId w:val="31"/>
        </w:numPr>
        <w:jc w:val="both"/>
        <w:rPr>
          <w:rStyle w:val="Hyperlink"/>
          <w:rFonts w:ascii="Arial" w:hAnsi="Arial" w:cs="Arial"/>
          <w:sz w:val="22"/>
          <w:szCs w:val="22"/>
        </w:rPr>
      </w:pPr>
      <w:proofErr w:type="spellStart"/>
      <w:r w:rsidRPr="003F687C">
        <w:rPr>
          <w:rFonts w:ascii="Arial" w:hAnsi="Arial" w:cs="Arial"/>
          <w:sz w:val="22"/>
          <w:szCs w:val="22"/>
        </w:rPr>
        <w:t>Nyakeri</w:t>
      </w:r>
      <w:proofErr w:type="spellEnd"/>
      <w:r w:rsidRPr="003F687C">
        <w:rPr>
          <w:rFonts w:ascii="Arial" w:hAnsi="Arial" w:cs="Arial"/>
          <w:sz w:val="22"/>
          <w:szCs w:val="22"/>
        </w:rPr>
        <w:t xml:space="preserve">, E. M., Ogola, H. J. O., Ayieko, M. A., &amp; </w:t>
      </w:r>
      <w:proofErr w:type="spellStart"/>
      <w:r w:rsidRPr="003F687C">
        <w:rPr>
          <w:rFonts w:ascii="Arial" w:hAnsi="Arial" w:cs="Arial"/>
          <w:sz w:val="22"/>
          <w:szCs w:val="22"/>
        </w:rPr>
        <w:t>Amimo</w:t>
      </w:r>
      <w:proofErr w:type="spellEnd"/>
      <w:r w:rsidRPr="003F687C">
        <w:rPr>
          <w:rFonts w:ascii="Arial" w:hAnsi="Arial" w:cs="Arial"/>
          <w:sz w:val="22"/>
          <w:szCs w:val="22"/>
        </w:rPr>
        <w:t xml:space="preserve">, F. A. (2017). </w:t>
      </w:r>
      <w:proofErr w:type="spellStart"/>
      <w:r w:rsidRPr="003F687C">
        <w:rPr>
          <w:rFonts w:ascii="Arial" w:hAnsi="Arial" w:cs="Arial"/>
          <w:sz w:val="22"/>
          <w:szCs w:val="22"/>
        </w:rPr>
        <w:t>Valorisation</w:t>
      </w:r>
      <w:proofErr w:type="spellEnd"/>
      <w:r w:rsidRPr="003F687C">
        <w:rPr>
          <w:rFonts w:ascii="Arial" w:hAnsi="Arial" w:cs="Arial"/>
          <w:sz w:val="22"/>
          <w:szCs w:val="22"/>
        </w:rPr>
        <w:t xml:space="preserve"> of organic waste material: Growth performance of wild black soldier fly larvae (</w:t>
      </w:r>
      <w:proofErr w:type="spellStart"/>
      <w:r w:rsidRPr="003F687C">
        <w:rPr>
          <w:rFonts w:ascii="Arial" w:hAnsi="Arial" w:cs="Arial"/>
          <w:sz w:val="22"/>
          <w:szCs w:val="22"/>
        </w:rPr>
        <w:t>Hermetia</w:t>
      </w:r>
      <w:proofErr w:type="spellEnd"/>
      <w:r w:rsidRPr="003F687C">
        <w:rPr>
          <w:rFonts w:ascii="Arial" w:hAnsi="Arial" w:cs="Arial"/>
          <w:sz w:val="22"/>
          <w:szCs w:val="22"/>
        </w:rPr>
        <w:t xml:space="preserve"> </w:t>
      </w:r>
      <w:proofErr w:type="spellStart"/>
      <w:r w:rsidRPr="003F687C">
        <w:rPr>
          <w:rFonts w:ascii="Arial" w:hAnsi="Arial" w:cs="Arial"/>
          <w:sz w:val="22"/>
          <w:szCs w:val="22"/>
        </w:rPr>
        <w:t>illucens</w:t>
      </w:r>
      <w:proofErr w:type="spellEnd"/>
      <w:r w:rsidRPr="003F687C">
        <w:rPr>
          <w:rFonts w:ascii="Arial" w:hAnsi="Arial" w:cs="Arial"/>
          <w:sz w:val="22"/>
          <w:szCs w:val="22"/>
        </w:rPr>
        <w:t xml:space="preserve">) reared on different organic wastes. Journal of Insects as Food and Feed, 3(3), 193–202. </w:t>
      </w:r>
      <w:hyperlink r:id="rId42" w:history="1">
        <w:r w:rsidRPr="003F687C">
          <w:rPr>
            <w:rStyle w:val="Hyperlink"/>
            <w:rFonts w:ascii="Arial" w:hAnsi="Arial" w:cs="Arial"/>
            <w:sz w:val="22"/>
            <w:szCs w:val="22"/>
          </w:rPr>
          <w:t>https://doi.org/10.3920/jiff2017.0004</w:t>
        </w:r>
      </w:hyperlink>
    </w:p>
    <w:p w14:paraId="450A5727" w14:textId="77777777" w:rsidR="005D217D" w:rsidRPr="005D217D" w:rsidRDefault="005D217D" w:rsidP="00E410D3">
      <w:pPr>
        <w:jc w:val="both"/>
        <w:rPr>
          <w:rFonts w:ascii="Arial" w:hAnsi="Arial" w:cs="Arial"/>
          <w:sz w:val="22"/>
          <w:szCs w:val="22"/>
        </w:rPr>
      </w:pPr>
    </w:p>
    <w:p w14:paraId="787DD439" w14:textId="38BE52B4" w:rsidR="005D217D" w:rsidRPr="003F687C" w:rsidRDefault="005D217D" w:rsidP="003F687C">
      <w:pPr>
        <w:pStyle w:val="ListParagraph"/>
        <w:numPr>
          <w:ilvl w:val="0"/>
          <w:numId w:val="31"/>
        </w:numPr>
        <w:jc w:val="both"/>
        <w:rPr>
          <w:rStyle w:val="Hyperlink"/>
          <w:rFonts w:ascii="Arial" w:hAnsi="Arial" w:cs="Arial"/>
          <w:sz w:val="22"/>
          <w:szCs w:val="22"/>
        </w:rPr>
      </w:pPr>
      <w:proofErr w:type="spellStart"/>
      <w:r w:rsidRPr="003F687C">
        <w:rPr>
          <w:rFonts w:ascii="Arial" w:hAnsi="Arial" w:cs="Arial"/>
          <w:sz w:val="22"/>
          <w:szCs w:val="22"/>
        </w:rPr>
        <w:lastRenderedPageBreak/>
        <w:t>Nyamuhirwa</w:t>
      </w:r>
      <w:proofErr w:type="spellEnd"/>
      <w:r w:rsidRPr="003F687C">
        <w:rPr>
          <w:rFonts w:ascii="Arial" w:hAnsi="Arial" w:cs="Arial"/>
          <w:sz w:val="22"/>
          <w:szCs w:val="22"/>
        </w:rPr>
        <w:t xml:space="preserve">, D. M. A., Feleke, S., </w:t>
      </w:r>
      <w:proofErr w:type="spellStart"/>
      <w:r w:rsidRPr="003F687C">
        <w:rPr>
          <w:rFonts w:ascii="Arial" w:hAnsi="Arial" w:cs="Arial"/>
          <w:sz w:val="22"/>
          <w:szCs w:val="22"/>
        </w:rPr>
        <w:t>Dontsop</w:t>
      </w:r>
      <w:proofErr w:type="spellEnd"/>
      <w:r w:rsidRPr="003F687C">
        <w:rPr>
          <w:rFonts w:ascii="Arial" w:hAnsi="Arial" w:cs="Arial"/>
          <w:sz w:val="22"/>
          <w:szCs w:val="22"/>
        </w:rPr>
        <w:t xml:space="preserve"> </w:t>
      </w:r>
      <w:proofErr w:type="spellStart"/>
      <w:r w:rsidRPr="003F687C">
        <w:rPr>
          <w:rFonts w:ascii="Arial" w:hAnsi="Arial" w:cs="Arial"/>
          <w:sz w:val="22"/>
          <w:szCs w:val="22"/>
        </w:rPr>
        <w:t>Nguezet</w:t>
      </w:r>
      <w:proofErr w:type="spellEnd"/>
      <w:r w:rsidRPr="003F687C">
        <w:rPr>
          <w:rFonts w:ascii="Arial" w:hAnsi="Arial" w:cs="Arial"/>
          <w:sz w:val="22"/>
          <w:szCs w:val="22"/>
        </w:rPr>
        <w:t xml:space="preserve">, P. M., Sissoko, D., Moussa, B., Kouakou, A. G., Zakari, S., Abdoulaye, T., &amp; </w:t>
      </w:r>
      <w:proofErr w:type="spellStart"/>
      <w:r w:rsidRPr="003F687C">
        <w:rPr>
          <w:rFonts w:ascii="Arial" w:hAnsi="Arial" w:cs="Arial"/>
          <w:sz w:val="22"/>
          <w:szCs w:val="22"/>
        </w:rPr>
        <w:t>Manyong</w:t>
      </w:r>
      <w:proofErr w:type="spellEnd"/>
      <w:r w:rsidRPr="003F687C">
        <w:rPr>
          <w:rFonts w:ascii="Arial" w:hAnsi="Arial" w:cs="Arial"/>
          <w:sz w:val="22"/>
          <w:szCs w:val="22"/>
        </w:rPr>
        <w:t xml:space="preserve">, V. (2025). Perspectives on the adoption of black-soldier fly larvae for animal feed among livestock farmers in Sub-Saharan Africa. Frontiers in Environmental Economics, 4, 1519767. </w:t>
      </w:r>
      <w:hyperlink r:id="rId43" w:history="1">
        <w:r w:rsidRPr="003F687C">
          <w:rPr>
            <w:rStyle w:val="Hyperlink"/>
            <w:rFonts w:ascii="Arial" w:hAnsi="Arial" w:cs="Arial"/>
            <w:sz w:val="22"/>
            <w:szCs w:val="22"/>
          </w:rPr>
          <w:t>https://doi.org/10.3389/frevc.2025.1519767</w:t>
        </w:r>
      </w:hyperlink>
    </w:p>
    <w:p w14:paraId="78779908" w14:textId="77777777" w:rsidR="005D217D" w:rsidRPr="005D217D" w:rsidRDefault="005D217D" w:rsidP="00E410D3">
      <w:pPr>
        <w:jc w:val="both"/>
        <w:rPr>
          <w:rFonts w:ascii="Arial" w:hAnsi="Arial" w:cs="Arial"/>
          <w:sz w:val="22"/>
          <w:szCs w:val="22"/>
        </w:rPr>
      </w:pPr>
    </w:p>
    <w:p w14:paraId="0E437E5B" w14:textId="77777777" w:rsidR="005D217D" w:rsidRPr="003F687C" w:rsidRDefault="005D217D" w:rsidP="003F687C">
      <w:pPr>
        <w:pStyle w:val="ListParagraph"/>
        <w:numPr>
          <w:ilvl w:val="0"/>
          <w:numId w:val="31"/>
        </w:numPr>
        <w:jc w:val="both"/>
        <w:rPr>
          <w:rFonts w:ascii="Arial" w:hAnsi="Arial" w:cs="Arial"/>
          <w:sz w:val="22"/>
          <w:szCs w:val="22"/>
        </w:rPr>
      </w:pPr>
      <w:proofErr w:type="spellStart"/>
      <w:r w:rsidRPr="003F687C">
        <w:rPr>
          <w:rFonts w:ascii="Arial" w:hAnsi="Arial" w:cs="Arial"/>
          <w:sz w:val="22"/>
          <w:szCs w:val="22"/>
        </w:rPr>
        <w:t>Oonincx</w:t>
      </w:r>
      <w:proofErr w:type="spellEnd"/>
      <w:r w:rsidRPr="003F687C">
        <w:rPr>
          <w:rFonts w:ascii="Arial" w:hAnsi="Arial" w:cs="Arial"/>
          <w:sz w:val="22"/>
          <w:szCs w:val="22"/>
        </w:rPr>
        <w:t xml:space="preserve">, D. G. A. B., &amp; Finke, M. D. (2021). Nutritional value of insects and ways to manipulate their composition. Journal of Insects as Food and Feed, 7(5), 639–659. </w:t>
      </w:r>
      <w:hyperlink r:id="rId44" w:history="1">
        <w:r w:rsidRPr="003F687C">
          <w:rPr>
            <w:rStyle w:val="Hyperlink"/>
            <w:rFonts w:ascii="Arial" w:hAnsi="Arial" w:cs="Arial"/>
            <w:sz w:val="22"/>
            <w:szCs w:val="22"/>
          </w:rPr>
          <w:t>https://doi.org/10.3920/JIFF2020.0050</w:t>
        </w:r>
      </w:hyperlink>
    </w:p>
    <w:p w14:paraId="4E530F0C" w14:textId="1F36B95A" w:rsidR="005D217D" w:rsidRPr="003F687C" w:rsidRDefault="005D217D" w:rsidP="003F687C">
      <w:pPr>
        <w:pStyle w:val="ListParagraph"/>
        <w:numPr>
          <w:ilvl w:val="0"/>
          <w:numId w:val="31"/>
        </w:numPr>
        <w:jc w:val="both"/>
        <w:rPr>
          <w:rStyle w:val="Hyperlink"/>
          <w:rFonts w:ascii="Arial" w:hAnsi="Arial" w:cs="Arial"/>
          <w:sz w:val="22"/>
          <w:szCs w:val="22"/>
        </w:rPr>
      </w:pPr>
      <w:proofErr w:type="spellStart"/>
      <w:r w:rsidRPr="003F687C">
        <w:rPr>
          <w:rFonts w:ascii="Arial" w:hAnsi="Arial" w:cs="Arial"/>
          <w:sz w:val="22"/>
          <w:szCs w:val="22"/>
        </w:rPr>
        <w:t>Oonincx</w:t>
      </w:r>
      <w:proofErr w:type="spellEnd"/>
      <w:r w:rsidRPr="003F687C">
        <w:rPr>
          <w:rFonts w:ascii="Arial" w:hAnsi="Arial" w:cs="Arial"/>
          <w:sz w:val="22"/>
          <w:szCs w:val="22"/>
        </w:rPr>
        <w:t xml:space="preserve">, D. G. A. B., van </w:t>
      </w:r>
      <w:proofErr w:type="spellStart"/>
      <w:r w:rsidRPr="003F687C">
        <w:rPr>
          <w:rFonts w:ascii="Arial" w:hAnsi="Arial" w:cs="Arial"/>
          <w:sz w:val="22"/>
          <w:szCs w:val="22"/>
        </w:rPr>
        <w:t>Broekhoven</w:t>
      </w:r>
      <w:proofErr w:type="spellEnd"/>
      <w:r w:rsidRPr="003F687C">
        <w:rPr>
          <w:rFonts w:ascii="Arial" w:hAnsi="Arial" w:cs="Arial"/>
          <w:sz w:val="22"/>
          <w:szCs w:val="22"/>
        </w:rPr>
        <w:t xml:space="preserve">, S., van Huis, A., &amp; van Loon, J. J. A. (2015). Feed conversion, survival and development, and composition of four insect species on diets composed of food by-products. PLOS ONE, 10(12), e0144601. </w:t>
      </w:r>
      <w:hyperlink r:id="rId45" w:history="1">
        <w:r w:rsidRPr="003F687C">
          <w:rPr>
            <w:rStyle w:val="Hyperlink"/>
            <w:rFonts w:ascii="Arial" w:hAnsi="Arial" w:cs="Arial"/>
            <w:sz w:val="22"/>
            <w:szCs w:val="22"/>
          </w:rPr>
          <w:t>https://doi.org/10.1371/journal.pone.0144601</w:t>
        </w:r>
      </w:hyperlink>
    </w:p>
    <w:p w14:paraId="11716579" w14:textId="77777777" w:rsidR="005D217D" w:rsidRPr="005D217D" w:rsidRDefault="005D217D" w:rsidP="00E410D3">
      <w:pPr>
        <w:jc w:val="both"/>
        <w:rPr>
          <w:rFonts w:ascii="Arial" w:hAnsi="Arial" w:cs="Arial"/>
          <w:sz w:val="22"/>
          <w:szCs w:val="22"/>
        </w:rPr>
      </w:pPr>
    </w:p>
    <w:p w14:paraId="63751CB8" w14:textId="464E9A24" w:rsidR="005D217D" w:rsidRPr="003F687C" w:rsidRDefault="005D217D" w:rsidP="003F687C">
      <w:pPr>
        <w:pStyle w:val="ListParagraph"/>
        <w:numPr>
          <w:ilvl w:val="0"/>
          <w:numId w:val="31"/>
        </w:numPr>
        <w:jc w:val="both"/>
        <w:rPr>
          <w:rStyle w:val="Hyperlink"/>
          <w:rFonts w:ascii="Arial" w:hAnsi="Arial" w:cs="Arial"/>
          <w:sz w:val="22"/>
          <w:szCs w:val="22"/>
        </w:rPr>
      </w:pPr>
      <w:r w:rsidRPr="003F687C">
        <w:rPr>
          <w:rFonts w:ascii="Arial" w:hAnsi="Arial" w:cs="Arial"/>
          <w:sz w:val="22"/>
          <w:szCs w:val="22"/>
          <w:lang w:val="pt-BR"/>
        </w:rPr>
        <w:t xml:space="preserve">Ouma, E., Lukuyu, B., &amp; Kilombele, H. (2025). </w:t>
      </w:r>
      <w:r w:rsidRPr="003F687C">
        <w:rPr>
          <w:rFonts w:ascii="Arial" w:hAnsi="Arial" w:cs="Arial"/>
          <w:sz w:val="22"/>
          <w:szCs w:val="22"/>
        </w:rPr>
        <w:t xml:space="preserve">Platform for Alternative Feed Ingredients Evaluation (PAFIE) – Black soldier fly larvae (BSFL) in Tanzania: Inception workshop report. International Livestock Research Institute. </w:t>
      </w:r>
      <w:hyperlink r:id="rId46" w:history="1">
        <w:r w:rsidRPr="003F687C">
          <w:rPr>
            <w:rStyle w:val="Hyperlink"/>
            <w:rFonts w:ascii="Arial" w:hAnsi="Arial" w:cs="Arial"/>
            <w:sz w:val="22"/>
            <w:szCs w:val="22"/>
          </w:rPr>
          <w:t>https://cgspace.cgiar.org/handle/10568/139000</w:t>
        </w:r>
      </w:hyperlink>
    </w:p>
    <w:p w14:paraId="507C1FFC" w14:textId="77777777" w:rsidR="005D217D" w:rsidRPr="005D217D" w:rsidRDefault="005D217D" w:rsidP="00E410D3">
      <w:pPr>
        <w:jc w:val="both"/>
        <w:rPr>
          <w:rFonts w:ascii="Arial" w:hAnsi="Arial" w:cs="Arial"/>
          <w:sz w:val="22"/>
          <w:szCs w:val="22"/>
        </w:rPr>
      </w:pPr>
    </w:p>
    <w:p w14:paraId="1EDBA520" w14:textId="44E3D645" w:rsidR="005D217D" w:rsidRPr="003F687C" w:rsidRDefault="005D217D" w:rsidP="003F687C">
      <w:pPr>
        <w:pStyle w:val="ListParagraph"/>
        <w:numPr>
          <w:ilvl w:val="0"/>
          <w:numId w:val="31"/>
        </w:numPr>
        <w:jc w:val="both"/>
        <w:rPr>
          <w:rFonts w:ascii="Arial" w:hAnsi="Arial" w:cs="Arial"/>
          <w:sz w:val="22"/>
          <w:szCs w:val="22"/>
        </w:rPr>
      </w:pPr>
      <w:proofErr w:type="spellStart"/>
      <w:r w:rsidRPr="003F687C">
        <w:rPr>
          <w:rFonts w:ascii="Arial" w:hAnsi="Arial" w:cs="Arial"/>
          <w:sz w:val="22"/>
          <w:szCs w:val="22"/>
        </w:rPr>
        <w:t>Ouma</w:t>
      </w:r>
      <w:proofErr w:type="spellEnd"/>
      <w:r w:rsidRPr="003F687C">
        <w:rPr>
          <w:rFonts w:ascii="Arial" w:hAnsi="Arial" w:cs="Arial"/>
          <w:sz w:val="22"/>
          <w:szCs w:val="22"/>
        </w:rPr>
        <w:t xml:space="preserve">, E.A., &amp; </w:t>
      </w:r>
      <w:proofErr w:type="spellStart"/>
      <w:r w:rsidRPr="003F687C">
        <w:rPr>
          <w:rFonts w:ascii="Arial" w:hAnsi="Arial" w:cs="Arial"/>
          <w:sz w:val="22"/>
          <w:szCs w:val="22"/>
        </w:rPr>
        <w:t>Lukuyu</w:t>
      </w:r>
      <w:proofErr w:type="spellEnd"/>
      <w:r w:rsidRPr="003F687C">
        <w:rPr>
          <w:rFonts w:ascii="Arial" w:hAnsi="Arial" w:cs="Arial"/>
          <w:sz w:val="22"/>
          <w:szCs w:val="22"/>
        </w:rPr>
        <w:t xml:space="preserve">, B.A. (2025). Unlocking Black soldier fly larvae (BSFL) potential through innovations to accelerate production. Presented at the Inception Meeting of the Platform for Alternative Feed Ingredients Evaluation (PAFIE)—Black Soldier Fly Larvae (BSFL) Project, Dar es Salaam, Tanzania, 28-29 July 2025. Nairobi, Kenya. ILRI. </w:t>
      </w:r>
      <w:hyperlink r:id="rId47" w:history="1">
        <w:r w:rsidRPr="003F687C">
          <w:rPr>
            <w:rStyle w:val="Hyperlink"/>
            <w:rFonts w:ascii="Arial" w:hAnsi="Arial" w:cs="Arial"/>
            <w:sz w:val="22"/>
            <w:szCs w:val="22"/>
          </w:rPr>
          <w:t>https://cgspace.cgiar.org/handle/10568/139700</w:t>
        </w:r>
      </w:hyperlink>
      <w:r w:rsidRPr="003F687C">
        <w:rPr>
          <w:rFonts w:ascii="Arial" w:hAnsi="Arial" w:cs="Arial"/>
          <w:sz w:val="22"/>
          <w:szCs w:val="22"/>
        </w:rPr>
        <w:t xml:space="preserve"> </w:t>
      </w:r>
    </w:p>
    <w:p w14:paraId="739FF918" w14:textId="77777777" w:rsidR="005D217D" w:rsidRPr="005D217D" w:rsidRDefault="005D217D" w:rsidP="00E513BA">
      <w:pPr>
        <w:jc w:val="both"/>
        <w:rPr>
          <w:rFonts w:ascii="Arial" w:hAnsi="Arial" w:cs="Arial"/>
          <w:sz w:val="22"/>
          <w:szCs w:val="22"/>
        </w:rPr>
      </w:pPr>
    </w:p>
    <w:p w14:paraId="389453E4" w14:textId="4CBADCE5" w:rsidR="005D217D" w:rsidRPr="003F687C" w:rsidRDefault="005D217D" w:rsidP="003F687C">
      <w:pPr>
        <w:pStyle w:val="ListParagraph"/>
        <w:numPr>
          <w:ilvl w:val="0"/>
          <w:numId w:val="31"/>
        </w:numPr>
        <w:rPr>
          <w:rFonts w:ascii="Arial" w:hAnsi="Arial" w:cs="Arial"/>
          <w:sz w:val="22"/>
          <w:szCs w:val="22"/>
          <w:lang w:val="en-GB"/>
        </w:rPr>
      </w:pPr>
      <w:r w:rsidRPr="003F687C">
        <w:rPr>
          <w:rFonts w:ascii="Arial" w:hAnsi="Arial" w:cs="Arial"/>
          <w:sz w:val="22"/>
          <w:szCs w:val="22"/>
          <w:lang w:val="en-GB"/>
        </w:rPr>
        <w:t>Raman, S. S., Stringer, L. C., Bruce, N. C., &amp; Chong, C. S. (2022). Opportunities, challenges and solutions for black soldier fly larvae-based animal feed production. Journal of Cleaner Production, 373, 133802.</w:t>
      </w:r>
      <w:r w:rsidRPr="003F687C">
        <w:rPr>
          <w:rFonts w:ascii="Arial" w:hAnsi="Arial" w:cs="Arial"/>
          <w:sz w:val="22"/>
          <w:szCs w:val="22"/>
        </w:rPr>
        <w:t xml:space="preserve"> </w:t>
      </w:r>
      <w:hyperlink r:id="rId48" w:history="1">
        <w:r w:rsidRPr="003F687C">
          <w:rPr>
            <w:rStyle w:val="Hyperlink"/>
            <w:rFonts w:ascii="Arial" w:hAnsi="Arial" w:cs="Arial"/>
            <w:sz w:val="22"/>
            <w:szCs w:val="22"/>
            <w:lang w:val="en-GB"/>
          </w:rPr>
          <w:t>https://www.sciencedirect.com/science/article/pii/S0959652622033789</w:t>
        </w:r>
      </w:hyperlink>
    </w:p>
    <w:p w14:paraId="6B5A6DC7" w14:textId="2D63121E" w:rsidR="005D217D" w:rsidRDefault="005D217D" w:rsidP="005D217D">
      <w:pPr>
        <w:rPr>
          <w:rFonts w:ascii="Arial" w:hAnsi="Arial" w:cs="Arial"/>
          <w:sz w:val="22"/>
          <w:szCs w:val="22"/>
          <w:lang w:val="en-GB"/>
        </w:rPr>
      </w:pPr>
    </w:p>
    <w:p w14:paraId="07324B21" w14:textId="5B23FA5D" w:rsidR="005D217D" w:rsidRPr="003F687C" w:rsidRDefault="005D217D" w:rsidP="003F687C">
      <w:pPr>
        <w:pStyle w:val="ListParagraph"/>
        <w:numPr>
          <w:ilvl w:val="0"/>
          <w:numId w:val="31"/>
        </w:numPr>
        <w:jc w:val="both"/>
        <w:rPr>
          <w:rStyle w:val="Hyperlink"/>
          <w:rFonts w:ascii="Arial" w:hAnsi="Arial" w:cs="Arial"/>
          <w:sz w:val="22"/>
          <w:szCs w:val="22"/>
        </w:rPr>
      </w:pPr>
      <w:proofErr w:type="spellStart"/>
      <w:r w:rsidRPr="003F687C">
        <w:rPr>
          <w:rFonts w:ascii="Arial" w:hAnsi="Arial" w:cs="Arial"/>
          <w:sz w:val="22"/>
          <w:szCs w:val="22"/>
        </w:rPr>
        <w:t>Ramzy</w:t>
      </w:r>
      <w:proofErr w:type="spellEnd"/>
      <w:r w:rsidRPr="003F687C">
        <w:rPr>
          <w:rFonts w:ascii="Arial" w:hAnsi="Arial" w:cs="Arial"/>
          <w:sz w:val="22"/>
          <w:szCs w:val="22"/>
        </w:rPr>
        <w:t xml:space="preserve">, R. R., Goenka, V., El-Dakar, M. A., &amp; Lee, J. S. H. (2025). Assessing the Environmental Impacts of the Black Soldier Fly-Based Circular Economy and Decentralized System in Singapore: A Case Study. Sustainability, 17(13), 6115. </w:t>
      </w:r>
      <w:hyperlink r:id="rId49" w:history="1">
        <w:r w:rsidRPr="003F687C">
          <w:rPr>
            <w:rStyle w:val="Hyperlink"/>
            <w:rFonts w:ascii="Arial" w:hAnsi="Arial" w:cs="Arial"/>
            <w:sz w:val="22"/>
            <w:szCs w:val="22"/>
          </w:rPr>
          <w:t>https://doi.org/10.3390/su17136115</w:t>
        </w:r>
      </w:hyperlink>
    </w:p>
    <w:p w14:paraId="0E48AA50" w14:textId="77777777" w:rsidR="005D217D" w:rsidRPr="005D217D" w:rsidRDefault="005D217D" w:rsidP="00E410D3">
      <w:pPr>
        <w:jc w:val="both"/>
        <w:rPr>
          <w:rFonts w:ascii="Arial" w:hAnsi="Arial" w:cs="Arial"/>
          <w:sz w:val="22"/>
          <w:szCs w:val="22"/>
        </w:rPr>
      </w:pPr>
    </w:p>
    <w:p w14:paraId="2F78F0C1" w14:textId="14BA8174" w:rsidR="005D217D" w:rsidRPr="003F687C" w:rsidRDefault="005D217D" w:rsidP="003F687C">
      <w:pPr>
        <w:pStyle w:val="ListParagraph"/>
        <w:numPr>
          <w:ilvl w:val="0"/>
          <w:numId w:val="31"/>
        </w:numPr>
        <w:jc w:val="both"/>
        <w:rPr>
          <w:rStyle w:val="Hyperlink"/>
          <w:rFonts w:ascii="Arial" w:hAnsi="Arial" w:cs="Arial"/>
          <w:sz w:val="22"/>
          <w:szCs w:val="22"/>
        </w:rPr>
      </w:pPr>
      <w:r w:rsidRPr="003F687C">
        <w:rPr>
          <w:rFonts w:ascii="Arial" w:hAnsi="Arial" w:cs="Arial"/>
          <w:sz w:val="22"/>
          <w:szCs w:val="22"/>
        </w:rPr>
        <w:t xml:space="preserve">Ringo E. J. &amp; </w:t>
      </w:r>
      <w:proofErr w:type="spellStart"/>
      <w:r w:rsidRPr="003F687C">
        <w:rPr>
          <w:rFonts w:ascii="Arial" w:hAnsi="Arial" w:cs="Arial"/>
          <w:sz w:val="22"/>
          <w:szCs w:val="22"/>
        </w:rPr>
        <w:t>Lekule</w:t>
      </w:r>
      <w:proofErr w:type="spellEnd"/>
      <w:r w:rsidRPr="003F687C">
        <w:rPr>
          <w:rFonts w:ascii="Arial" w:hAnsi="Arial" w:cs="Arial"/>
          <w:sz w:val="22"/>
          <w:szCs w:val="22"/>
        </w:rPr>
        <w:t xml:space="preserve"> F. P. (2020). Market Trends and Consumer Behaviors and Preferences in the Tanzania Poultry Subsector. An Analytical Report with Recommendations for the Public and Private Sectors. </w:t>
      </w:r>
      <w:hyperlink r:id="rId50" w:history="1">
        <w:r w:rsidRPr="003F687C">
          <w:rPr>
            <w:rStyle w:val="Hyperlink"/>
            <w:rFonts w:ascii="Arial" w:hAnsi="Arial" w:cs="Arial"/>
            <w:sz w:val="22"/>
            <w:szCs w:val="22"/>
          </w:rPr>
          <w:t>https://dutchafricapoultry.com/wp-content/uploads/2021/10/Poultry-Study-Tanzania-report-8-July-2020.pdf</w:t>
        </w:r>
      </w:hyperlink>
    </w:p>
    <w:p w14:paraId="5204F011" w14:textId="77777777" w:rsidR="005D217D" w:rsidRPr="005D217D" w:rsidRDefault="005D217D" w:rsidP="00D57FAC">
      <w:pPr>
        <w:jc w:val="both"/>
        <w:rPr>
          <w:rFonts w:ascii="Arial" w:hAnsi="Arial" w:cs="Arial"/>
          <w:sz w:val="22"/>
          <w:szCs w:val="22"/>
        </w:rPr>
      </w:pPr>
    </w:p>
    <w:p w14:paraId="4DB8E5B1" w14:textId="227AAD78" w:rsidR="005D217D" w:rsidRPr="003F687C" w:rsidRDefault="005D217D" w:rsidP="003F687C">
      <w:pPr>
        <w:pStyle w:val="ListParagraph"/>
        <w:numPr>
          <w:ilvl w:val="0"/>
          <w:numId w:val="31"/>
        </w:numPr>
        <w:jc w:val="both"/>
        <w:rPr>
          <w:rStyle w:val="Hyperlink"/>
          <w:rFonts w:ascii="Arial" w:hAnsi="Arial" w:cs="Arial"/>
          <w:sz w:val="22"/>
          <w:szCs w:val="22"/>
        </w:rPr>
      </w:pPr>
      <w:r w:rsidRPr="003F687C">
        <w:rPr>
          <w:rFonts w:ascii="Arial" w:hAnsi="Arial" w:cs="Arial"/>
          <w:sz w:val="22"/>
          <w:szCs w:val="22"/>
          <w:lang w:val="pt-BR"/>
        </w:rPr>
        <w:t xml:space="preserve">Salinas, E. R., Rivera, A. L., Malalis, J. S., Bagaforo, E. R. O., Araya, J. P., &amp; Sulay, D. I. D. (2023). </w:t>
      </w:r>
      <w:r w:rsidRPr="003F687C">
        <w:rPr>
          <w:rFonts w:ascii="Arial" w:hAnsi="Arial" w:cs="Arial"/>
          <w:sz w:val="22"/>
          <w:szCs w:val="22"/>
        </w:rPr>
        <w:t>Productivity and Nutritive Value of Black Soldier Fly (</w:t>
      </w:r>
      <w:proofErr w:type="spellStart"/>
      <w:r w:rsidRPr="003F687C">
        <w:rPr>
          <w:rFonts w:ascii="Arial" w:hAnsi="Arial" w:cs="Arial"/>
          <w:sz w:val="22"/>
          <w:szCs w:val="22"/>
        </w:rPr>
        <w:t>Hermetia</w:t>
      </w:r>
      <w:proofErr w:type="spellEnd"/>
      <w:r w:rsidRPr="003F687C">
        <w:rPr>
          <w:rFonts w:ascii="Arial" w:hAnsi="Arial" w:cs="Arial"/>
          <w:sz w:val="22"/>
          <w:szCs w:val="22"/>
        </w:rPr>
        <w:t xml:space="preserve"> </w:t>
      </w:r>
      <w:proofErr w:type="spellStart"/>
      <w:r w:rsidRPr="003F687C">
        <w:rPr>
          <w:rFonts w:ascii="Arial" w:hAnsi="Arial" w:cs="Arial"/>
          <w:sz w:val="22"/>
          <w:szCs w:val="22"/>
        </w:rPr>
        <w:t>illucens</w:t>
      </w:r>
      <w:proofErr w:type="spellEnd"/>
      <w:r w:rsidRPr="003F687C">
        <w:rPr>
          <w:rFonts w:ascii="Arial" w:hAnsi="Arial" w:cs="Arial"/>
          <w:sz w:val="22"/>
          <w:szCs w:val="22"/>
        </w:rPr>
        <w:t xml:space="preserve">) Larvae Fed with Different Waste Substrates. International Journal of Multidisciplinary: Applied Business and Education Research, 4(2), 588–599. </w:t>
      </w:r>
      <w:hyperlink r:id="rId51" w:history="1">
        <w:r w:rsidRPr="003F687C">
          <w:rPr>
            <w:rStyle w:val="Hyperlink"/>
            <w:rFonts w:ascii="Arial" w:hAnsi="Arial" w:cs="Arial"/>
            <w:sz w:val="22"/>
            <w:szCs w:val="22"/>
          </w:rPr>
          <w:t>https://doi.org/10.11594/ijmaber.04.02.25</w:t>
        </w:r>
      </w:hyperlink>
    </w:p>
    <w:p w14:paraId="575DA0A5" w14:textId="77777777" w:rsidR="005D217D" w:rsidRPr="005D217D" w:rsidRDefault="005D217D" w:rsidP="00E410D3">
      <w:pPr>
        <w:jc w:val="both"/>
        <w:rPr>
          <w:rFonts w:ascii="Arial" w:hAnsi="Arial" w:cs="Arial"/>
          <w:sz w:val="22"/>
          <w:szCs w:val="22"/>
        </w:rPr>
      </w:pPr>
    </w:p>
    <w:p w14:paraId="49509F60" w14:textId="77777777" w:rsidR="005D217D" w:rsidRPr="003F687C" w:rsidRDefault="005D217D" w:rsidP="003F687C">
      <w:pPr>
        <w:pStyle w:val="ListParagraph"/>
        <w:numPr>
          <w:ilvl w:val="0"/>
          <w:numId w:val="31"/>
        </w:numPr>
        <w:jc w:val="both"/>
        <w:rPr>
          <w:rFonts w:ascii="Arial" w:hAnsi="Arial" w:cs="Arial"/>
          <w:sz w:val="22"/>
          <w:szCs w:val="22"/>
        </w:rPr>
      </w:pPr>
      <w:r w:rsidRPr="003F687C">
        <w:rPr>
          <w:rFonts w:ascii="Arial" w:hAnsi="Arial" w:cs="Arial"/>
          <w:sz w:val="22"/>
          <w:szCs w:val="22"/>
        </w:rPr>
        <w:t xml:space="preserve">Schneider, L., </w:t>
      </w:r>
      <w:proofErr w:type="spellStart"/>
      <w:r w:rsidRPr="003F687C">
        <w:rPr>
          <w:rFonts w:ascii="Arial" w:hAnsi="Arial" w:cs="Arial"/>
          <w:sz w:val="22"/>
          <w:szCs w:val="22"/>
        </w:rPr>
        <w:t>Kisinga</w:t>
      </w:r>
      <w:proofErr w:type="spellEnd"/>
      <w:r w:rsidRPr="003F687C">
        <w:rPr>
          <w:rFonts w:ascii="Arial" w:hAnsi="Arial" w:cs="Arial"/>
          <w:sz w:val="22"/>
          <w:szCs w:val="22"/>
        </w:rPr>
        <w:t xml:space="preserve">, B., </w:t>
      </w:r>
      <w:proofErr w:type="spellStart"/>
      <w:r w:rsidRPr="003F687C">
        <w:rPr>
          <w:rFonts w:ascii="Arial" w:hAnsi="Arial" w:cs="Arial"/>
          <w:sz w:val="22"/>
          <w:szCs w:val="22"/>
        </w:rPr>
        <w:t>Stöhr</w:t>
      </w:r>
      <w:proofErr w:type="spellEnd"/>
      <w:r w:rsidRPr="003F687C">
        <w:rPr>
          <w:rFonts w:ascii="Arial" w:hAnsi="Arial" w:cs="Arial"/>
          <w:sz w:val="22"/>
          <w:szCs w:val="22"/>
        </w:rPr>
        <w:t xml:space="preserve">, N., </w:t>
      </w:r>
      <w:proofErr w:type="spellStart"/>
      <w:r w:rsidRPr="003F687C">
        <w:rPr>
          <w:rFonts w:ascii="Arial" w:hAnsi="Arial" w:cs="Arial"/>
          <w:sz w:val="22"/>
          <w:szCs w:val="22"/>
        </w:rPr>
        <w:t>Stiem</w:t>
      </w:r>
      <w:proofErr w:type="spellEnd"/>
      <w:r w:rsidRPr="003F687C">
        <w:rPr>
          <w:rFonts w:ascii="Arial" w:hAnsi="Arial" w:cs="Arial"/>
          <w:sz w:val="22"/>
          <w:szCs w:val="22"/>
        </w:rPr>
        <w:t>, T., Cord-Landwehr, S., Schulte-</w:t>
      </w:r>
      <w:proofErr w:type="spellStart"/>
      <w:r w:rsidRPr="003F687C">
        <w:rPr>
          <w:rFonts w:ascii="Arial" w:hAnsi="Arial" w:cs="Arial"/>
          <w:sz w:val="22"/>
          <w:szCs w:val="22"/>
        </w:rPr>
        <w:t>Geldermann</w:t>
      </w:r>
      <w:proofErr w:type="spellEnd"/>
      <w:r w:rsidRPr="003F687C">
        <w:rPr>
          <w:rFonts w:ascii="Arial" w:hAnsi="Arial" w:cs="Arial"/>
          <w:sz w:val="22"/>
          <w:szCs w:val="22"/>
        </w:rPr>
        <w:t xml:space="preserve">, E., </w:t>
      </w:r>
      <w:proofErr w:type="spellStart"/>
      <w:r w:rsidRPr="003F687C">
        <w:rPr>
          <w:rFonts w:ascii="Arial" w:hAnsi="Arial" w:cs="Arial"/>
          <w:sz w:val="22"/>
          <w:szCs w:val="22"/>
        </w:rPr>
        <w:t>Moerschbacher</w:t>
      </w:r>
      <w:proofErr w:type="spellEnd"/>
      <w:r w:rsidRPr="003F687C">
        <w:rPr>
          <w:rFonts w:ascii="Arial" w:hAnsi="Arial" w:cs="Arial"/>
          <w:sz w:val="22"/>
          <w:szCs w:val="22"/>
        </w:rPr>
        <w:t xml:space="preserve">, B. M., Jha, R., Eder, K., </w:t>
      </w:r>
      <w:proofErr w:type="spellStart"/>
      <w:r w:rsidRPr="003F687C">
        <w:rPr>
          <w:rFonts w:ascii="Arial" w:hAnsi="Arial" w:cs="Arial"/>
          <w:sz w:val="22"/>
          <w:szCs w:val="22"/>
        </w:rPr>
        <w:t>Lambertz</w:t>
      </w:r>
      <w:proofErr w:type="spellEnd"/>
      <w:r w:rsidRPr="003F687C">
        <w:rPr>
          <w:rFonts w:ascii="Arial" w:hAnsi="Arial" w:cs="Arial"/>
          <w:sz w:val="22"/>
          <w:szCs w:val="22"/>
        </w:rPr>
        <w:t xml:space="preserve">, C., &amp; </w:t>
      </w:r>
      <w:proofErr w:type="spellStart"/>
      <w:r w:rsidRPr="003F687C">
        <w:rPr>
          <w:rFonts w:ascii="Arial" w:hAnsi="Arial" w:cs="Arial"/>
          <w:sz w:val="22"/>
          <w:szCs w:val="22"/>
        </w:rPr>
        <w:t>Dusel</w:t>
      </w:r>
      <w:proofErr w:type="spellEnd"/>
      <w:r w:rsidRPr="003F687C">
        <w:rPr>
          <w:rFonts w:ascii="Arial" w:hAnsi="Arial" w:cs="Arial"/>
          <w:sz w:val="22"/>
          <w:szCs w:val="22"/>
        </w:rPr>
        <w:t xml:space="preserve">, G. (2025). Performance and nutrient composition of black soldier fly larvae fed diets with various protein concentrations throughout the life cycle. Animal. </w:t>
      </w:r>
      <w:hyperlink r:id="rId52" w:history="1">
        <w:r w:rsidRPr="003F687C">
          <w:rPr>
            <w:rStyle w:val="Hyperlink"/>
            <w:rFonts w:ascii="Arial" w:hAnsi="Arial" w:cs="Arial"/>
            <w:sz w:val="22"/>
            <w:szCs w:val="22"/>
          </w:rPr>
          <w:t>https://doi.org/10.1016/j.animal.2025.101637</w:t>
        </w:r>
      </w:hyperlink>
      <w:r w:rsidRPr="003F687C">
        <w:rPr>
          <w:rFonts w:ascii="Arial" w:hAnsi="Arial" w:cs="Arial"/>
          <w:sz w:val="22"/>
          <w:szCs w:val="22"/>
        </w:rPr>
        <w:t xml:space="preserve"> </w:t>
      </w:r>
    </w:p>
    <w:p w14:paraId="34FF0B2E" w14:textId="3DE8C1CB" w:rsidR="005D217D" w:rsidRPr="003F687C" w:rsidRDefault="005D217D" w:rsidP="003F687C">
      <w:pPr>
        <w:pStyle w:val="ListParagraph"/>
        <w:numPr>
          <w:ilvl w:val="0"/>
          <w:numId w:val="31"/>
        </w:numPr>
        <w:jc w:val="both"/>
        <w:rPr>
          <w:rStyle w:val="Hyperlink"/>
          <w:rFonts w:ascii="Arial" w:hAnsi="Arial" w:cs="Arial"/>
          <w:sz w:val="22"/>
          <w:szCs w:val="22"/>
        </w:rPr>
      </w:pPr>
      <w:r w:rsidRPr="003F687C">
        <w:rPr>
          <w:rFonts w:ascii="Arial" w:hAnsi="Arial" w:cs="Arial"/>
          <w:sz w:val="22"/>
          <w:szCs w:val="22"/>
        </w:rPr>
        <w:cr/>
        <w:t xml:space="preserve">Sheppard, D. C., Newton, G. L., Thompson, S. A., &amp; Savage, S. (1994). A value-added manure management system using the black soldier fly. Bioresource Technology, 50(3), 275-279. </w:t>
      </w:r>
      <w:hyperlink r:id="rId53" w:history="1">
        <w:r w:rsidRPr="003F687C">
          <w:rPr>
            <w:rStyle w:val="Hyperlink"/>
            <w:rFonts w:ascii="Arial" w:hAnsi="Arial" w:cs="Arial"/>
            <w:sz w:val="22"/>
            <w:szCs w:val="22"/>
          </w:rPr>
          <w:t>https://doi.org/10.1016/0960-8524(94)90102-3</w:t>
        </w:r>
      </w:hyperlink>
    </w:p>
    <w:p w14:paraId="255F5925" w14:textId="77777777" w:rsidR="005D217D" w:rsidRPr="005D217D" w:rsidRDefault="005D217D" w:rsidP="00D57FAC">
      <w:pPr>
        <w:jc w:val="both"/>
        <w:rPr>
          <w:rFonts w:ascii="Arial" w:hAnsi="Arial" w:cs="Arial"/>
          <w:sz w:val="22"/>
          <w:szCs w:val="22"/>
        </w:rPr>
      </w:pPr>
    </w:p>
    <w:p w14:paraId="375CAD5E" w14:textId="55EBB675" w:rsidR="005D217D" w:rsidRPr="003F687C" w:rsidRDefault="005D217D" w:rsidP="003F687C">
      <w:pPr>
        <w:pStyle w:val="ListParagraph"/>
        <w:numPr>
          <w:ilvl w:val="0"/>
          <w:numId w:val="31"/>
        </w:numPr>
        <w:jc w:val="both"/>
        <w:rPr>
          <w:rStyle w:val="Hyperlink"/>
          <w:rFonts w:ascii="Arial" w:hAnsi="Arial" w:cs="Arial"/>
          <w:sz w:val="22"/>
          <w:szCs w:val="22"/>
        </w:rPr>
      </w:pPr>
      <w:proofErr w:type="spellStart"/>
      <w:r w:rsidRPr="003F687C">
        <w:rPr>
          <w:rFonts w:ascii="Arial" w:hAnsi="Arial" w:cs="Arial"/>
          <w:sz w:val="22"/>
          <w:szCs w:val="22"/>
        </w:rPr>
        <w:t>Spranghers</w:t>
      </w:r>
      <w:proofErr w:type="spellEnd"/>
      <w:r w:rsidRPr="003F687C">
        <w:rPr>
          <w:rFonts w:ascii="Arial" w:hAnsi="Arial" w:cs="Arial"/>
          <w:sz w:val="22"/>
          <w:szCs w:val="22"/>
        </w:rPr>
        <w:t xml:space="preserve">, T., Ottoboni, M., </w:t>
      </w:r>
      <w:proofErr w:type="spellStart"/>
      <w:r w:rsidRPr="003F687C">
        <w:rPr>
          <w:rFonts w:ascii="Arial" w:hAnsi="Arial" w:cs="Arial"/>
          <w:sz w:val="22"/>
          <w:szCs w:val="22"/>
        </w:rPr>
        <w:t>Klootwijk</w:t>
      </w:r>
      <w:proofErr w:type="spellEnd"/>
      <w:r w:rsidRPr="003F687C">
        <w:rPr>
          <w:rFonts w:ascii="Arial" w:hAnsi="Arial" w:cs="Arial"/>
          <w:sz w:val="22"/>
          <w:szCs w:val="22"/>
        </w:rPr>
        <w:t xml:space="preserve">, C., Ovyn, A., </w:t>
      </w:r>
      <w:proofErr w:type="spellStart"/>
      <w:r w:rsidRPr="003F687C">
        <w:rPr>
          <w:rFonts w:ascii="Arial" w:hAnsi="Arial" w:cs="Arial"/>
          <w:sz w:val="22"/>
          <w:szCs w:val="22"/>
        </w:rPr>
        <w:t>Deboosere</w:t>
      </w:r>
      <w:proofErr w:type="spellEnd"/>
      <w:r w:rsidRPr="003F687C">
        <w:rPr>
          <w:rFonts w:ascii="Arial" w:hAnsi="Arial" w:cs="Arial"/>
          <w:sz w:val="22"/>
          <w:szCs w:val="22"/>
        </w:rPr>
        <w:t xml:space="preserve">, S., De Meulenaer, B., Michiels, J., </w:t>
      </w:r>
      <w:proofErr w:type="spellStart"/>
      <w:r w:rsidRPr="003F687C">
        <w:rPr>
          <w:rFonts w:ascii="Arial" w:hAnsi="Arial" w:cs="Arial"/>
          <w:sz w:val="22"/>
          <w:szCs w:val="22"/>
        </w:rPr>
        <w:t>Eeckhout</w:t>
      </w:r>
      <w:proofErr w:type="spellEnd"/>
      <w:r w:rsidRPr="003F687C">
        <w:rPr>
          <w:rFonts w:ascii="Arial" w:hAnsi="Arial" w:cs="Arial"/>
          <w:sz w:val="22"/>
          <w:szCs w:val="22"/>
        </w:rPr>
        <w:t>, M., De Clercq, P., &amp; De Smet, S. (2017). Nutritional composition of black soldier fly (</w:t>
      </w:r>
      <w:proofErr w:type="spellStart"/>
      <w:r w:rsidRPr="003F687C">
        <w:rPr>
          <w:rFonts w:ascii="Arial" w:hAnsi="Arial" w:cs="Arial"/>
          <w:sz w:val="22"/>
          <w:szCs w:val="22"/>
        </w:rPr>
        <w:t>Hermetia</w:t>
      </w:r>
      <w:proofErr w:type="spellEnd"/>
      <w:r w:rsidRPr="003F687C">
        <w:rPr>
          <w:rFonts w:ascii="Arial" w:hAnsi="Arial" w:cs="Arial"/>
          <w:sz w:val="22"/>
          <w:szCs w:val="22"/>
        </w:rPr>
        <w:t xml:space="preserve"> </w:t>
      </w:r>
      <w:proofErr w:type="spellStart"/>
      <w:r w:rsidRPr="003F687C">
        <w:rPr>
          <w:rFonts w:ascii="Arial" w:hAnsi="Arial" w:cs="Arial"/>
          <w:sz w:val="22"/>
          <w:szCs w:val="22"/>
        </w:rPr>
        <w:t>illucens</w:t>
      </w:r>
      <w:proofErr w:type="spellEnd"/>
      <w:r w:rsidRPr="003F687C">
        <w:rPr>
          <w:rFonts w:ascii="Arial" w:hAnsi="Arial" w:cs="Arial"/>
          <w:sz w:val="22"/>
          <w:szCs w:val="22"/>
        </w:rPr>
        <w:t xml:space="preserve">) prepupae reared on different organic waste substrates. Journal of the Science of Food and Agriculture, 97(8), 2594-2600. </w:t>
      </w:r>
      <w:hyperlink r:id="rId54" w:history="1">
        <w:r w:rsidRPr="003F687C">
          <w:rPr>
            <w:rStyle w:val="Hyperlink"/>
            <w:rFonts w:ascii="Arial" w:hAnsi="Arial" w:cs="Arial"/>
            <w:sz w:val="22"/>
            <w:szCs w:val="22"/>
          </w:rPr>
          <w:t>https://doi.org/10.1002/jsfa.8081</w:t>
        </w:r>
      </w:hyperlink>
    </w:p>
    <w:p w14:paraId="4EC3946C" w14:textId="77777777" w:rsidR="005D217D" w:rsidRPr="005D217D" w:rsidRDefault="005D217D" w:rsidP="00E410D3">
      <w:pPr>
        <w:jc w:val="both"/>
        <w:rPr>
          <w:rFonts w:ascii="Arial" w:hAnsi="Arial" w:cs="Arial"/>
          <w:sz w:val="22"/>
          <w:szCs w:val="22"/>
        </w:rPr>
      </w:pPr>
    </w:p>
    <w:p w14:paraId="7973B7D3" w14:textId="4021DEFB" w:rsidR="005D217D" w:rsidRPr="003F687C" w:rsidRDefault="005D217D" w:rsidP="003F687C">
      <w:pPr>
        <w:pStyle w:val="ListParagraph"/>
        <w:numPr>
          <w:ilvl w:val="0"/>
          <w:numId w:val="31"/>
        </w:numPr>
        <w:jc w:val="both"/>
        <w:rPr>
          <w:rStyle w:val="Hyperlink"/>
          <w:rFonts w:ascii="Arial" w:hAnsi="Arial" w:cs="Arial"/>
          <w:sz w:val="22"/>
          <w:szCs w:val="22"/>
        </w:rPr>
      </w:pPr>
      <w:r w:rsidRPr="003F687C">
        <w:rPr>
          <w:rFonts w:ascii="Arial" w:hAnsi="Arial" w:cs="Arial"/>
          <w:sz w:val="22"/>
          <w:szCs w:val="22"/>
        </w:rPr>
        <w:t xml:space="preserve">Tanzania Animal Feed Manufacturers Association (TAFMA) &amp; Feed &amp; Additive Magazine. (2022). Unlocking the potential of circular proteins for animal feed in Tanzania. Feed &amp; Additive Magazine. </w:t>
      </w:r>
      <w:hyperlink r:id="rId55" w:history="1">
        <w:r w:rsidRPr="003F687C">
          <w:rPr>
            <w:rStyle w:val="Hyperlink"/>
            <w:rFonts w:ascii="Arial" w:hAnsi="Arial" w:cs="Arial"/>
            <w:sz w:val="22"/>
            <w:szCs w:val="22"/>
          </w:rPr>
          <w:t>https://www.feedandadditive.com/unlocking-the-potential-of-circular-proteins-for-animal-feed-in-tanzania/</w:t>
        </w:r>
      </w:hyperlink>
    </w:p>
    <w:p w14:paraId="6E7424AA" w14:textId="77777777" w:rsidR="005D217D" w:rsidRPr="005D217D" w:rsidRDefault="005D217D" w:rsidP="00E410D3">
      <w:pPr>
        <w:jc w:val="both"/>
        <w:rPr>
          <w:rFonts w:ascii="Arial" w:hAnsi="Arial" w:cs="Arial"/>
          <w:sz w:val="22"/>
          <w:szCs w:val="22"/>
        </w:rPr>
      </w:pPr>
    </w:p>
    <w:p w14:paraId="67602132" w14:textId="78AF73A8" w:rsidR="005D217D" w:rsidRPr="003F687C" w:rsidRDefault="005D217D" w:rsidP="003F687C">
      <w:pPr>
        <w:pStyle w:val="ListParagraph"/>
        <w:numPr>
          <w:ilvl w:val="0"/>
          <w:numId w:val="31"/>
        </w:numPr>
        <w:jc w:val="both"/>
        <w:rPr>
          <w:rStyle w:val="Hyperlink"/>
          <w:rFonts w:ascii="Arial" w:hAnsi="Arial" w:cs="Arial"/>
          <w:sz w:val="22"/>
          <w:szCs w:val="22"/>
        </w:rPr>
      </w:pPr>
      <w:proofErr w:type="spellStart"/>
      <w:r w:rsidRPr="003F687C">
        <w:rPr>
          <w:rFonts w:ascii="Arial" w:hAnsi="Arial" w:cs="Arial"/>
          <w:sz w:val="22"/>
          <w:szCs w:val="22"/>
        </w:rPr>
        <w:t>Tomberlin</w:t>
      </w:r>
      <w:proofErr w:type="spellEnd"/>
      <w:r w:rsidRPr="003F687C">
        <w:rPr>
          <w:rFonts w:ascii="Arial" w:hAnsi="Arial" w:cs="Arial"/>
          <w:sz w:val="22"/>
          <w:szCs w:val="22"/>
        </w:rPr>
        <w:t xml:space="preserve">, J. K., Sheppard, D. C., &amp; Joyce, J. A. (2002). Selected life-history traits of black soldier flies (Diptera: Stratiomyidae) reared on three artificial diets. Annals of the Entomological Society of America, 95(3), 379-386. </w:t>
      </w:r>
      <w:hyperlink r:id="rId56" w:history="1">
        <w:r w:rsidRPr="003F687C">
          <w:rPr>
            <w:rStyle w:val="Hyperlink"/>
            <w:rFonts w:ascii="Arial" w:hAnsi="Arial" w:cs="Arial"/>
            <w:sz w:val="22"/>
            <w:szCs w:val="22"/>
          </w:rPr>
          <w:t>https://doi.org/10.1603/0013-8746(2002)095[0379:SLHTOB]2.0.CO;2</w:t>
        </w:r>
      </w:hyperlink>
    </w:p>
    <w:p w14:paraId="7DF4F56E" w14:textId="77777777" w:rsidR="005D217D" w:rsidRPr="005D217D" w:rsidRDefault="005D217D" w:rsidP="00E410D3">
      <w:pPr>
        <w:jc w:val="both"/>
        <w:rPr>
          <w:rFonts w:ascii="Arial" w:hAnsi="Arial" w:cs="Arial"/>
          <w:sz w:val="22"/>
          <w:szCs w:val="22"/>
        </w:rPr>
      </w:pPr>
    </w:p>
    <w:p w14:paraId="6DE66BA1" w14:textId="77777777" w:rsidR="005D217D" w:rsidRPr="003F687C" w:rsidRDefault="005D217D" w:rsidP="003F687C">
      <w:pPr>
        <w:pStyle w:val="ListParagraph"/>
        <w:numPr>
          <w:ilvl w:val="0"/>
          <w:numId w:val="31"/>
        </w:numPr>
        <w:jc w:val="both"/>
        <w:rPr>
          <w:rFonts w:ascii="Arial" w:hAnsi="Arial" w:cs="Arial"/>
          <w:sz w:val="22"/>
          <w:szCs w:val="22"/>
        </w:rPr>
      </w:pPr>
      <w:r w:rsidRPr="003F687C">
        <w:rPr>
          <w:rFonts w:ascii="Arial" w:hAnsi="Arial" w:cs="Arial"/>
          <w:sz w:val="22"/>
          <w:szCs w:val="22"/>
        </w:rPr>
        <w:t xml:space="preserve">Wilson, W. C., Slingerland, M., </w:t>
      </w:r>
      <w:proofErr w:type="spellStart"/>
      <w:r w:rsidRPr="003F687C">
        <w:rPr>
          <w:rFonts w:ascii="Arial" w:hAnsi="Arial" w:cs="Arial"/>
          <w:sz w:val="22"/>
          <w:szCs w:val="22"/>
        </w:rPr>
        <w:t>Baijukya</w:t>
      </w:r>
      <w:proofErr w:type="spellEnd"/>
      <w:r w:rsidRPr="003F687C">
        <w:rPr>
          <w:rFonts w:ascii="Arial" w:hAnsi="Arial" w:cs="Arial"/>
          <w:sz w:val="22"/>
          <w:szCs w:val="22"/>
        </w:rPr>
        <w:t xml:space="preserve">, F., Giller, K., &amp; Oosting, S. J. (2023). Feed gap analysis of dual-purpose chicken production in Tanzania: feed quantity and quality limited production. Poultry Science. </w:t>
      </w:r>
      <w:hyperlink r:id="rId57" w:history="1">
        <w:r w:rsidRPr="003F687C">
          <w:rPr>
            <w:rStyle w:val="Hyperlink"/>
            <w:rFonts w:ascii="Arial" w:hAnsi="Arial" w:cs="Arial"/>
            <w:sz w:val="22"/>
            <w:szCs w:val="22"/>
          </w:rPr>
          <w:t>https://doi.org/10.1016/j.psj.2023.102574</w:t>
        </w:r>
      </w:hyperlink>
    </w:p>
    <w:p w14:paraId="3BBBF1FB" w14:textId="3978717A" w:rsidR="005D217D" w:rsidRPr="003F687C" w:rsidRDefault="005D217D" w:rsidP="003F687C">
      <w:pPr>
        <w:pStyle w:val="ListParagraph"/>
        <w:numPr>
          <w:ilvl w:val="0"/>
          <w:numId w:val="31"/>
        </w:numPr>
        <w:jc w:val="both"/>
        <w:rPr>
          <w:rStyle w:val="Hyperlink"/>
          <w:rFonts w:ascii="Arial" w:hAnsi="Arial" w:cs="Arial"/>
          <w:sz w:val="22"/>
          <w:szCs w:val="22"/>
        </w:rPr>
      </w:pPr>
      <w:r w:rsidRPr="003F687C">
        <w:rPr>
          <w:rFonts w:ascii="Arial" w:hAnsi="Arial" w:cs="Arial"/>
          <w:sz w:val="22"/>
          <w:szCs w:val="22"/>
        </w:rPr>
        <w:t xml:space="preserve">Wilson, W. C., Slingerland, M., </w:t>
      </w:r>
      <w:proofErr w:type="spellStart"/>
      <w:r w:rsidRPr="003F687C">
        <w:rPr>
          <w:rFonts w:ascii="Arial" w:hAnsi="Arial" w:cs="Arial"/>
          <w:sz w:val="22"/>
          <w:szCs w:val="22"/>
        </w:rPr>
        <w:t>Baijukya</w:t>
      </w:r>
      <w:proofErr w:type="spellEnd"/>
      <w:r w:rsidRPr="003F687C">
        <w:rPr>
          <w:rFonts w:ascii="Arial" w:hAnsi="Arial" w:cs="Arial"/>
          <w:sz w:val="22"/>
          <w:szCs w:val="22"/>
        </w:rPr>
        <w:t xml:space="preserve">, P. F., Van Zanten, H., Oosting, S., &amp; Giller, K. E. (2021). Integrating the soybean-maize-chicken value chains to attain nutritious diets in Tanzania. Food Security, 13, 1499-1514. </w:t>
      </w:r>
      <w:hyperlink r:id="rId58" w:history="1">
        <w:r w:rsidRPr="003F687C">
          <w:rPr>
            <w:rStyle w:val="Hyperlink"/>
            <w:rFonts w:ascii="Arial" w:hAnsi="Arial" w:cs="Arial"/>
            <w:sz w:val="22"/>
            <w:szCs w:val="22"/>
          </w:rPr>
          <w:t>https://doi.org/10.1007/s12571-021-01213-4</w:t>
        </w:r>
      </w:hyperlink>
    </w:p>
    <w:p w14:paraId="5CA61A2E" w14:textId="77777777" w:rsidR="005D217D" w:rsidRPr="005D217D" w:rsidRDefault="005D217D" w:rsidP="00E410D3">
      <w:pPr>
        <w:jc w:val="both"/>
        <w:rPr>
          <w:rFonts w:ascii="Arial" w:hAnsi="Arial" w:cs="Arial"/>
          <w:sz w:val="22"/>
          <w:szCs w:val="22"/>
        </w:rPr>
      </w:pPr>
    </w:p>
    <w:p w14:paraId="343EF2A4" w14:textId="77777777" w:rsidR="005D217D" w:rsidRPr="003F687C" w:rsidRDefault="005D217D" w:rsidP="003F687C">
      <w:pPr>
        <w:pStyle w:val="ListParagraph"/>
        <w:numPr>
          <w:ilvl w:val="0"/>
          <w:numId w:val="31"/>
        </w:numPr>
        <w:jc w:val="both"/>
        <w:rPr>
          <w:rStyle w:val="Hyperlink"/>
          <w:rFonts w:ascii="Arial" w:hAnsi="Arial" w:cs="Arial"/>
          <w:sz w:val="22"/>
          <w:szCs w:val="22"/>
        </w:rPr>
      </w:pPr>
      <w:proofErr w:type="spellStart"/>
      <w:r w:rsidRPr="003F687C">
        <w:rPr>
          <w:rFonts w:ascii="Arial" w:hAnsi="Arial" w:cs="Arial"/>
          <w:sz w:val="22"/>
          <w:szCs w:val="22"/>
        </w:rPr>
        <w:t>Zulkifli</w:t>
      </w:r>
      <w:proofErr w:type="spellEnd"/>
      <w:r w:rsidRPr="003F687C">
        <w:rPr>
          <w:rFonts w:ascii="Arial" w:hAnsi="Arial" w:cs="Arial"/>
          <w:sz w:val="22"/>
          <w:szCs w:val="22"/>
        </w:rPr>
        <w:t xml:space="preserve">, N. F. N. M., Seok-Kian, A. Y., Seng, L. L., Mustafa, S., Kim, Y. S., &amp; </w:t>
      </w:r>
      <w:proofErr w:type="spellStart"/>
      <w:r w:rsidRPr="003F687C">
        <w:rPr>
          <w:rFonts w:ascii="Arial" w:hAnsi="Arial" w:cs="Arial"/>
          <w:sz w:val="22"/>
          <w:szCs w:val="22"/>
        </w:rPr>
        <w:t>Shapawi</w:t>
      </w:r>
      <w:proofErr w:type="spellEnd"/>
      <w:r w:rsidRPr="003F687C">
        <w:rPr>
          <w:rFonts w:ascii="Arial" w:hAnsi="Arial" w:cs="Arial"/>
          <w:sz w:val="22"/>
          <w:szCs w:val="22"/>
        </w:rPr>
        <w:t>, R. (2022). Nutritional value of black soldier fly (</w:t>
      </w:r>
      <w:proofErr w:type="spellStart"/>
      <w:r w:rsidRPr="003F687C">
        <w:rPr>
          <w:rFonts w:ascii="Arial" w:hAnsi="Arial" w:cs="Arial"/>
          <w:sz w:val="22"/>
          <w:szCs w:val="22"/>
        </w:rPr>
        <w:t>Hermetia</w:t>
      </w:r>
      <w:proofErr w:type="spellEnd"/>
      <w:r w:rsidRPr="003F687C">
        <w:rPr>
          <w:rFonts w:ascii="Arial" w:hAnsi="Arial" w:cs="Arial"/>
          <w:sz w:val="22"/>
          <w:szCs w:val="22"/>
        </w:rPr>
        <w:t xml:space="preserve"> </w:t>
      </w:r>
      <w:proofErr w:type="spellStart"/>
      <w:r w:rsidRPr="003F687C">
        <w:rPr>
          <w:rFonts w:ascii="Arial" w:hAnsi="Arial" w:cs="Arial"/>
          <w:sz w:val="22"/>
          <w:szCs w:val="22"/>
        </w:rPr>
        <w:t>illucens</w:t>
      </w:r>
      <w:proofErr w:type="spellEnd"/>
      <w:r w:rsidRPr="003F687C">
        <w:rPr>
          <w:rFonts w:ascii="Arial" w:hAnsi="Arial" w:cs="Arial"/>
          <w:sz w:val="22"/>
          <w:szCs w:val="22"/>
        </w:rPr>
        <w:t xml:space="preserve">) larvae processed by different methods. </w:t>
      </w:r>
      <w:proofErr w:type="spellStart"/>
      <w:r w:rsidRPr="003F687C">
        <w:rPr>
          <w:rFonts w:ascii="Arial" w:hAnsi="Arial" w:cs="Arial"/>
          <w:sz w:val="22"/>
          <w:szCs w:val="22"/>
        </w:rPr>
        <w:t>PLoS</w:t>
      </w:r>
      <w:proofErr w:type="spellEnd"/>
      <w:r w:rsidRPr="003F687C">
        <w:rPr>
          <w:rFonts w:ascii="Arial" w:hAnsi="Arial" w:cs="Arial"/>
          <w:sz w:val="22"/>
          <w:szCs w:val="22"/>
        </w:rPr>
        <w:t xml:space="preserve"> One. </w:t>
      </w:r>
      <w:hyperlink r:id="rId59" w:history="1">
        <w:r w:rsidRPr="003F687C">
          <w:rPr>
            <w:rStyle w:val="Hyperlink"/>
            <w:rFonts w:ascii="Arial" w:hAnsi="Arial" w:cs="Arial"/>
            <w:sz w:val="22"/>
            <w:szCs w:val="22"/>
          </w:rPr>
          <w:t>https://doi.org/10.1371/journal.pone.0263924</w:t>
        </w:r>
      </w:hyperlink>
    </w:p>
    <w:sectPr w:rsidR="005D217D" w:rsidRPr="003F687C" w:rsidSect="008B6515">
      <w:headerReference w:type="even" r:id="rId60"/>
      <w:headerReference w:type="default" r:id="rId61"/>
      <w:footerReference w:type="default" r:id="rId62"/>
      <w:headerReference w:type="first" r:id="rId6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59C54" w14:textId="77777777" w:rsidR="00014727" w:rsidRDefault="00014727" w:rsidP="00C37E61">
      <w:r>
        <w:separator/>
      </w:r>
    </w:p>
  </w:endnote>
  <w:endnote w:type="continuationSeparator" w:id="0">
    <w:p w14:paraId="3F60EE7F" w14:textId="77777777" w:rsidR="00014727" w:rsidRDefault="000147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1EFB1" w14:textId="58E86D8C" w:rsidR="00C25248" w:rsidRDefault="00C37E61" w:rsidP="00C25248">
    <w:pPr>
      <w:pStyle w:val="Footer"/>
    </w:pPr>
    <w:r>
      <w:t>*</w:t>
    </w:r>
  </w:p>
  <w:p w14:paraId="5645208E" w14:textId="3E7A569B" w:rsidR="00C37E61" w:rsidRDefault="00C37E61" w:rsidP="00C37E61">
    <w:pPr>
      <w:pStyle w:val="Footer"/>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3715" w14:textId="77777777" w:rsidR="009E048A" w:rsidRDefault="009E048A">
    <w:pPr>
      <w:pStyle w:val="Footer"/>
      <w:rPr>
        <w:rFonts w:ascii="Arial" w:hAnsi="Arial" w:cs="Arial"/>
        <w:sz w:val="16"/>
      </w:rPr>
    </w:pPr>
  </w:p>
  <w:p w14:paraId="3777DCD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61325A" w14:textId="77777777" w:rsidR="009E048A" w:rsidRDefault="009E048A">
    <w:pPr>
      <w:pStyle w:val="Footer"/>
      <w:rPr>
        <w:rFonts w:ascii="Arial" w:hAnsi="Arial" w:cs="Arial"/>
        <w:sz w:val="16"/>
      </w:rPr>
    </w:pPr>
  </w:p>
  <w:p w14:paraId="07D56A4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1C3E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407A4" w14:textId="77777777" w:rsidR="00014727" w:rsidRDefault="00014727" w:rsidP="00C37E61">
      <w:r>
        <w:separator/>
      </w:r>
    </w:p>
  </w:footnote>
  <w:footnote w:type="continuationSeparator" w:id="0">
    <w:p w14:paraId="2F92CE8A" w14:textId="77777777" w:rsidR="00014727" w:rsidRDefault="000147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331E" w14:textId="065141A9" w:rsidR="008B6515" w:rsidRDefault="00014727">
    <w:pPr>
      <w:pStyle w:val="Header"/>
    </w:pPr>
    <w:r>
      <w:rPr>
        <w:noProof/>
      </w:rPr>
      <w:pict w14:anchorId="33881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875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9FC8" w14:textId="3A1E8C12" w:rsidR="008B6515" w:rsidRDefault="00014727">
    <w:pPr>
      <w:pStyle w:val="Header"/>
    </w:pPr>
    <w:r>
      <w:rPr>
        <w:noProof/>
      </w:rPr>
      <w:pict w14:anchorId="0905A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875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B342" w14:textId="3FED5715" w:rsidR="00296529" w:rsidRPr="00296529" w:rsidRDefault="00014727" w:rsidP="00296529">
    <w:pPr>
      <w:ind w:left="2160"/>
      <w:jc w:val="center"/>
      <w:rPr>
        <w:rFonts w:ascii="Times New Roman" w:eastAsia="Calibri" w:hAnsi="Times New Roman"/>
        <w:i/>
        <w:sz w:val="18"/>
        <w:szCs w:val="22"/>
      </w:rPr>
    </w:pPr>
    <w:r>
      <w:rPr>
        <w:noProof/>
      </w:rPr>
      <w:pict w14:anchorId="4CF3C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875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39A90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15E79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61EC8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BC207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35F66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3BB03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ADF44" w14:textId="150AD619" w:rsidR="008B6515" w:rsidRDefault="00014727">
    <w:pPr>
      <w:pStyle w:val="Header"/>
    </w:pPr>
    <w:r>
      <w:rPr>
        <w:noProof/>
      </w:rPr>
      <w:pict w14:anchorId="2A54D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875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D91F" w14:textId="1FCF571D" w:rsidR="008B6515" w:rsidRDefault="00014727">
    <w:pPr>
      <w:pStyle w:val="Header"/>
    </w:pPr>
    <w:r>
      <w:rPr>
        <w:noProof/>
      </w:rPr>
      <w:pict w14:anchorId="6F440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875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BBA30" w14:textId="48DA1E77" w:rsidR="008B6515" w:rsidRDefault="00014727">
    <w:pPr>
      <w:pStyle w:val="Header"/>
    </w:pPr>
    <w:r>
      <w:rPr>
        <w:noProof/>
      </w:rPr>
      <w:pict w14:anchorId="04B5A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1875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B949BD"/>
    <w:multiLevelType w:val="hybridMultilevel"/>
    <w:tmpl w:val="29A29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727"/>
    <w:rsid w:val="0002160B"/>
    <w:rsid w:val="00030174"/>
    <w:rsid w:val="0004579C"/>
    <w:rsid w:val="00080FD9"/>
    <w:rsid w:val="00095C0F"/>
    <w:rsid w:val="000A47FA"/>
    <w:rsid w:val="000A65D3"/>
    <w:rsid w:val="000B1E33"/>
    <w:rsid w:val="000D3859"/>
    <w:rsid w:val="000D689F"/>
    <w:rsid w:val="000E4CF2"/>
    <w:rsid w:val="000E7B7B"/>
    <w:rsid w:val="000E7D62"/>
    <w:rsid w:val="000F2478"/>
    <w:rsid w:val="00103357"/>
    <w:rsid w:val="00123C9F"/>
    <w:rsid w:val="00126190"/>
    <w:rsid w:val="00130F17"/>
    <w:rsid w:val="001320BF"/>
    <w:rsid w:val="0015091D"/>
    <w:rsid w:val="001604CD"/>
    <w:rsid w:val="00160D1C"/>
    <w:rsid w:val="00163BC4"/>
    <w:rsid w:val="00191062"/>
    <w:rsid w:val="00192B72"/>
    <w:rsid w:val="001A29D8"/>
    <w:rsid w:val="001A3205"/>
    <w:rsid w:val="001A5CAA"/>
    <w:rsid w:val="001B0427"/>
    <w:rsid w:val="001B2E65"/>
    <w:rsid w:val="001D3A51"/>
    <w:rsid w:val="001E10D2"/>
    <w:rsid w:val="001E25B4"/>
    <w:rsid w:val="001E44FE"/>
    <w:rsid w:val="00200595"/>
    <w:rsid w:val="00204835"/>
    <w:rsid w:val="002171D9"/>
    <w:rsid w:val="00231920"/>
    <w:rsid w:val="0023195C"/>
    <w:rsid w:val="0024282C"/>
    <w:rsid w:val="002460DC"/>
    <w:rsid w:val="00250985"/>
    <w:rsid w:val="002556F6"/>
    <w:rsid w:val="00283105"/>
    <w:rsid w:val="00284C4C"/>
    <w:rsid w:val="002856DD"/>
    <w:rsid w:val="00287E68"/>
    <w:rsid w:val="00296529"/>
    <w:rsid w:val="002B27FB"/>
    <w:rsid w:val="002B685A"/>
    <w:rsid w:val="002C4230"/>
    <w:rsid w:val="002C57D2"/>
    <w:rsid w:val="002D4386"/>
    <w:rsid w:val="002E0D56"/>
    <w:rsid w:val="002E2FC0"/>
    <w:rsid w:val="00315186"/>
    <w:rsid w:val="003243CC"/>
    <w:rsid w:val="0033343E"/>
    <w:rsid w:val="00347D8A"/>
    <w:rsid w:val="003512C2"/>
    <w:rsid w:val="00357049"/>
    <w:rsid w:val="00371FB6"/>
    <w:rsid w:val="003763C1"/>
    <w:rsid w:val="00376BBE"/>
    <w:rsid w:val="0039224F"/>
    <w:rsid w:val="003A43A4"/>
    <w:rsid w:val="003A7E18"/>
    <w:rsid w:val="003B0358"/>
    <w:rsid w:val="003C4C86"/>
    <w:rsid w:val="003C6258"/>
    <w:rsid w:val="003E2904"/>
    <w:rsid w:val="003F17CA"/>
    <w:rsid w:val="003F687C"/>
    <w:rsid w:val="00401927"/>
    <w:rsid w:val="0041027F"/>
    <w:rsid w:val="00412475"/>
    <w:rsid w:val="00423789"/>
    <w:rsid w:val="00440F43"/>
    <w:rsid w:val="00441B6F"/>
    <w:rsid w:val="00443909"/>
    <w:rsid w:val="00446221"/>
    <w:rsid w:val="00450E62"/>
    <w:rsid w:val="004539DB"/>
    <w:rsid w:val="004563B2"/>
    <w:rsid w:val="0046769D"/>
    <w:rsid w:val="004706E6"/>
    <w:rsid w:val="00471A80"/>
    <w:rsid w:val="004D305E"/>
    <w:rsid w:val="004D4277"/>
    <w:rsid w:val="004D7132"/>
    <w:rsid w:val="004E75DB"/>
    <w:rsid w:val="00502516"/>
    <w:rsid w:val="00503B1C"/>
    <w:rsid w:val="00505F06"/>
    <w:rsid w:val="00506828"/>
    <w:rsid w:val="0053056E"/>
    <w:rsid w:val="00534E87"/>
    <w:rsid w:val="00554FDA"/>
    <w:rsid w:val="005C784C"/>
    <w:rsid w:val="005D17F6"/>
    <w:rsid w:val="005D217D"/>
    <w:rsid w:val="005D5AE0"/>
    <w:rsid w:val="005E5539"/>
    <w:rsid w:val="00602BF5"/>
    <w:rsid w:val="006103E5"/>
    <w:rsid w:val="00617FDD"/>
    <w:rsid w:val="0063107C"/>
    <w:rsid w:val="00633614"/>
    <w:rsid w:val="00633F68"/>
    <w:rsid w:val="00636EB2"/>
    <w:rsid w:val="006375B8"/>
    <w:rsid w:val="0066510A"/>
    <w:rsid w:val="00673F9F"/>
    <w:rsid w:val="006808ED"/>
    <w:rsid w:val="00686953"/>
    <w:rsid w:val="00687DEA"/>
    <w:rsid w:val="00687E67"/>
    <w:rsid w:val="006967F7"/>
    <w:rsid w:val="006A24E3"/>
    <w:rsid w:val="006A250C"/>
    <w:rsid w:val="006B21D3"/>
    <w:rsid w:val="006B57D0"/>
    <w:rsid w:val="006B62F3"/>
    <w:rsid w:val="006D30FF"/>
    <w:rsid w:val="006D6940"/>
    <w:rsid w:val="006F11EC"/>
    <w:rsid w:val="0070082C"/>
    <w:rsid w:val="007369E6"/>
    <w:rsid w:val="00740087"/>
    <w:rsid w:val="00746E59"/>
    <w:rsid w:val="00754C9A"/>
    <w:rsid w:val="0075599A"/>
    <w:rsid w:val="00761D52"/>
    <w:rsid w:val="00776C9D"/>
    <w:rsid w:val="0077749E"/>
    <w:rsid w:val="00790ADA"/>
    <w:rsid w:val="007A17C0"/>
    <w:rsid w:val="007A5684"/>
    <w:rsid w:val="007B20A5"/>
    <w:rsid w:val="007B2960"/>
    <w:rsid w:val="007D2288"/>
    <w:rsid w:val="007E088F"/>
    <w:rsid w:val="007E23F8"/>
    <w:rsid w:val="007F7B32"/>
    <w:rsid w:val="00804BC2"/>
    <w:rsid w:val="0081431A"/>
    <w:rsid w:val="0083216F"/>
    <w:rsid w:val="00855F95"/>
    <w:rsid w:val="00860000"/>
    <w:rsid w:val="00863BD3"/>
    <w:rsid w:val="008641ED"/>
    <w:rsid w:val="00866D66"/>
    <w:rsid w:val="008671C6"/>
    <w:rsid w:val="00875803"/>
    <w:rsid w:val="00885D12"/>
    <w:rsid w:val="008933BD"/>
    <w:rsid w:val="008A5493"/>
    <w:rsid w:val="008B459E"/>
    <w:rsid w:val="008B6515"/>
    <w:rsid w:val="008E091B"/>
    <w:rsid w:val="008E13AE"/>
    <w:rsid w:val="008E1506"/>
    <w:rsid w:val="008E425E"/>
    <w:rsid w:val="008E710C"/>
    <w:rsid w:val="008F69D6"/>
    <w:rsid w:val="00902823"/>
    <w:rsid w:val="0090599C"/>
    <w:rsid w:val="00915CA6"/>
    <w:rsid w:val="00925A42"/>
    <w:rsid w:val="00927834"/>
    <w:rsid w:val="00936F4B"/>
    <w:rsid w:val="009500A6"/>
    <w:rsid w:val="00957C18"/>
    <w:rsid w:val="009659BA"/>
    <w:rsid w:val="00981EA3"/>
    <w:rsid w:val="00982D84"/>
    <w:rsid w:val="00983040"/>
    <w:rsid w:val="009A60F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4A7A"/>
    <w:rsid w:val="00A41CEC"/>
    <w:rsid w:val="00A51431"/>
    <w:rsid w:val="00A539AD"/>
    <w:rsid w:val="00A678B9"/>
    <w:rsid w:val="00A94063"/>
    <w:rsid w:val="00A975AD"/>
    <w:rsid w:val="00A97D77"/>
    <w:rsid w:val="00AA6219"/>
    <w:rsid w:val="00AA74E0"/>
    <w:rsid w:val="00AB703F"/>
    <w:rsid w:val="00AC51DF"/>
    <w:rsid w:val="00AC6BB8"/>
    <w:rsid w:val="00AE008F"/>
    <w:rsid w:val="00AE4A49"/>
    <w:rsid w:val="00B01FCD"/>
    <w:rsid w:val="00B15F16"/>
    <w:rsid w:val="00B1776C"/>
    <w:rsid w:val="00B42DC5"/>
    <w:rsid w:val="00B52583"/>
    <w:rsid w:val="00B52896"/>
    <w:rsid w:val="00B722D7"/>
    <w:rsid w:val="00B86F89"/>
    <w:rsid w:val="00B95236"/>
    <w:rsid w:val="00B96BD9"/>
    <w:rsid w:val="00BA1B01"/>
    <w:rsid w:val="00BA2641"/>
    <w:rsid w:val="00BA5037"/>
    <w:rsid w:val="00BB37AA"/>
    <w:rsid w:val="00BC53A0"/>
    <w:rsid w:val="00BC6A3F"/>
    <w:rsid w:val="00BE62AD"/>
    <w:rsid w:val="00BE7C5A"/>
    <w:rsid w:val="00BF0894"/>
    <w:rsid w:val="00BF121F"/>
    <w:rsid w:val="00BF1F80"/>
    <w:rsid w:val="00C166EF"/>
    <w:rsid w:val="00C17EB0"/>
    <w:rsid w:val="00C21A2D"/>
    <w:rsid w:val="00C25248"/>
    <w:rsid w:val="00C27F5F"/>
    <w:rsid w:val="00C30A0F"/>
    <w:rsid w:val="00C37E61"/>
    <w:rsid w:val="00C6702B"/>
    <w:rsid w:val="00C70F1B"/>
    <w:rsid w:val="00C71A47"/>
    <w:rsid w:val="00C7464C"/>
    <w:rsid w:val="00C766D2"/>
    <w:rsid w:val="00C85588"/>
    <w:rsid w:val="00CD59D8"/>
    <w:rsid w:val="00CD6755"/>
    <w:rsid w:val="00CD6856"/>
    <w:rsid w:val="00CE0089"/>
    <w:rsid w:val="00CE793C"/>
    <w:rsid w:val="00CF193C"/>
    <w:rsid w:val="00CF7760"/>
    <w:rsid w:val="00D12F26"/>
    <w:rsid w:val="00D15FC2"/>
    <w:rsid w:val="00D173F1"/>
    <w:rsid w:val="00D57FAC"/>
    <w:rsid w:val="00D74CB0"/>
    <w:rsid w:val="00D8295D"/>
    <w:rsid w:val="00DC2A65"/>
    <w:rsid w:val="00DE15F0"/>
    <w:rsid w:val="00DE5663"/>
    <w:rsid w:val="00DE78AA"/>
    <w:rsid w:val="00E053D0"/>
    <w:rsid w:val="00E1267B"/>
    <w:rsid w:val="00E15994"/>
    <w:rsid w:val="00E3114E"/>
    <w:rsid w:val="00E31A70"/>
    <w:rsid w:val="00E35B02"/>
    <w:rsid w:val="00E410D3"/>
    <w:rsid w:val="00E513BA"/>
    <w:rsid w:val="00E51F40"/>
    <w:rsid w:val="00E55E18"/>
    <w:rsid w:val="00E66496"/>
    <w:rsid w:val="00E66B35"/>
    <w:rsid w:val="00E66E10"/>
    <w:rsid w:val="00E769F6"/>
    <w:rsid w:val="00E8407C"/>
    <w:rsid w:val="00E84F3C"/>
    <w:rsid w:val="00E91CEC"/>
    <w:rsid w:val="00EA012C"/>
    <w:rsid w:val="00EC6A55"/>
    <w:rsid w:val="00ED0288"/>
    <w:rsid w:val="00EE52CB"/>
    <w:rsid w:val="00EF581D"/>
    <w:rsid w:val="00EF7077"/>
    <w:rsid w:val="00EF7FD8"/>
    <w:rsid w:val="00F06F59"/>
    <w:rsid w:val="00F1304C"/>
    <w:rsid w:val="00F17988"/>
    <w:rsid w:val="00F24E22"/>
    <w:rsid w:val="00F469F0"/>
    <w:rsid w:val="00F53273"/>
    <w:rsid w:val="00F755E4"/>
    <w:rsid w:val="00F77D02"/>
    <w:rsid w:val="00F97A5A"/>
    <w:rsid w:val="00FB3A86"/>
    <w:rsid w:val="00FD36C8"/>
    <w:rsid w:val="00FF307D"/>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35F7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982D8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982D84"/>
    <w:rPr>
      <w:rFonts w:asciiTheme="majorHAnsi" w:eastAsiaTheme="majorEastAsia" w:hAnsiTheme="majorHAnsi" w:cstheme="majorBidi"/>
      <w:color w:val="365F91" w:themeColor="accent1" w:themeShade="BF"/>
      <w:sz w:val="26"/>
      <w:szCs w:val="26"/>
    </w:rPr>
  </w:style>
  <w:style w:type="character" w:customStyle="1" w:styleId="author0">
    <w:name w:val="author"/>
    <w:basedOn w:val="DefaultParagraphFont"/>
    <w:rsid w:val="00982D84"/>
  </w:style>
  <w:style w:type="character" w:customStyle="1" w:styleId="pubyear">
    <w:name w:val="pubyear"/>
    <w:basedOn w:val="DefaultParagraphFont"/>
    <w:rsid w:val="00982D84"/>
  </w:style>
  <w:style w:type="character" w:customStyle="1" w:styleId="articletitle">
    <w:name w:val="articletitle"/>
    <w:basedOn w:val="DefaultParagraphFont"/>
    <w:rsid w:val="00982D84"/>
  </w:style>
  <w:style w:type="character" w:customStyle="1" w:styleId="vol">
    <w:name w:val="vol"/>
    <w:basedOn w:val="DefaultParagraphFont"/>
    <w:rsid w:val="00982D84"/>
  </w:style>
  <w:style w:type="character" w:customStyle="1" w:styleId="pagefirst">
    <w:name w:val="pagefirst"/>
    <w:basedOn w:val="DefaultParagraphFont"/>
    <w:rsid w:val="00982D84"/>
  </w:style>
  <w:style w:type="character" w:customStyle="1" w:styleId="pagelast">
    <w:name w:val="pagelast"/>
    <w:basedOn w:val="DefaultParagraphFont"/>
    <w:rsid w:val="00982D84"/>
  </w:style>
  <w:style w:type="character" w:customStyle="1" w:styleId="anchor-text">
    <w:name w:val="anchor-text"/>
    <w:basedOn w:val="DefaultParagraphFont"/>
    <w:rsid w:val="00982D84"/>
  </w:style>
  <w:style w:type="paragraph" w:styleId="ListParagraph">
    <w:name w:val="List Paragraph"/>
    <w:basedOn w:val="Normal"/>
    <w:uiPriority w:val="34"/>
    <w:qFormat/>
    <w:rsid w:val="00C2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828051X.2020.1743209" TargetMode="External"/><Relationship Id="rId21" Type="http://schemas.openxmlformats.org/officeDocument/2006/relationships/hyperlink" Target="https://doi.org/10.1007/s12649-011-9079-1" TargetMode="External"/><Relationship Id="rId34" Type="http://schemas.openxmlformats.org/officeDocument/2006/relationships/hyperlink" Target="https://doi.org/10.1002/aff2.48" TargetMode="External"/><Relationship Id="rId42" Type="http://schemas.openxmlformats.org/officeDocument/2006/relationships/hyperlink" Target="https://doi.org/10.3920/jiff2017.0004" TargetMode="External"/><Relationship Id="rId47" Type="http://schemas.openxmlformats.org/officeDocument/2006/relationships/hyperlink" Target="https://cgspace.cgiar.org/handle/10568/139700" TargetMode="External"/><Relationship Id="rId50" Type="http://schemas.openxmlformats.org/officeDocument/2006/relationships/hyperlink" Target="https://dutchafricapoultry.com/wp-content/uploads/2021/10/Poultry-Study-Tanzania-report-8-July-2020.pdf" TargetMode="External"/><Relationship Id="rId55" Type="http://schemas.openxmlformats.org/officeDocument/2006/relationships/hyperlink" Target="https://www.feedandadditive.com/unlocking-the-potential-of-circular-proteins-for-animal-feed-in-tanzania/" TargetMode="External"/><Relationship Id="rId63"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clepro.2019.02.270" TargetMode="External"/><Relationship Id="rId29" Type="http://schemas.openxmlformats.org/officeDocument/2006/relationships/hyperlink" Target="https://www.sciencedirect.com/science/article/pii/S0032579123008180" TargetMode="External"/><Relationship Id="rId11" Type="http://schemas.openxmlformats.org/officeDocument/2006/relationships/header" Target="header3.xml"/><Relationship Id="rId24" Type="http://schemas.openxmlformats.org/officeDocument/2006/relationships/hyperlink" Target="https://doi.org/10.2903/j.efsa.2015.4257" TargetMode="External"/><Relationship Id="rId32" Type="http://schemas.openxmlformats.org/officeDocument/2006/relationships/hyperlink" Target="https://www.larive.com/wp-content/uploads/2022/04/Larive-for-RVO-EKN-Alternative-proteins-for-animal-feed-Tanzania.pdf" TargetMode="External"/><Relationship Id="rId37" Type="http://schemas.openxmlformats.org/officeDocument/2006/relationships/hyperlink" Target="https://doi.org/10.55251/jmbfs.12266" TargetMode="External"/><Relationship Id="rId40" Type="http://schemas.openxmlformats.org/officeDocument/2006/relationships/hyperlink" Target="https://doi.org/10.1155/2024/8484451" TargetMode="External"/><Relationship Id="rId45" Type="http://schemas.openxmlformats.org/officeDocument/2006/relationships/hyperlink" Target="https://doi.org/10.1371/journal.pone.0144601" TargetMode="External"/><Relationship Id="rId53" Type="http://schemas.openxmlformats.org/officeDocument/2006/relationships/hyperlink" Target="https://doi.org/10.1016/0960-8524(94)90102-3" TargetMode="External"/><Relationship Id="rId58" Type="http://schemas.openxmlformats.org/officeDocument/2006/relationships/hyperlink" Target="https://doi.org/10.1007/s12571-021-01213-4" TargetMode="External"/><Relationship Id="rId5" Type="http://schemas.openxmlformats.org/officeDocument/2006/relationships/webSettings" Target="webSettings.xml"/><Relationship Id="rId61" Type="http://schemas.openxmlformats.org/officeDocument/2006/relationships/header" Target="header5.xml"/><Relationship Id="rId19" Type="http://schemas.openxmlformats.org/officeDocument/2006/relationships/hyperlink" Target="https://doi.org/10.1017/S1751731116001270" TargetMode="External"/><Relationship Id="rId14" Type="http://schemas.openxmlformats.org/officeDocument/2006/relationships/hyperlink" Target="http://www.lrrd.org/lrrd36/5/3652LKad.html" TargetMode="External"/><Relationship Id="rId22" Type="http://schemas.openxmlformats.org/officeDocument/2006/relationships/hyperlink" Target="https://doi.org/10.1177/0734242X09103838" TargetMode="External"/><Relationship Id="rId27" Type="http://schemas.openxmlformats.org/officeDocument/2006/relationships/hyperlink" Target="https://doi.org/10.1016/j.wasman.2019.10.036" TargetMode="External"/><Relationship Id="rId30" Type="http://schemas.openxmlformats.org/officeDocument/2006/relationships/hyperlink" Target="https://doi.org/10.1016/j.scitotenv.2022.159985" TargetMode="External"/><Relationship Id="rId35" Type="http://schemas.openxmlformats.org/officeDocument/2006/relationships/hyperlink" Target="https://doi.org/10.1016/j.anifeedsci.2014.07.008" TargetMode="External"/><Relationship Id="rId43" Type="http://schemas.openxmlformats.org/officeDocument/2006/relationships/hyperlink" Target="https://doi.org/10.3389/frevc.2025.1519767" TargetMode="External"/><Relationship Id="rId48" Type="http://schemas.openxmlformats.org/officeDocument/2006/relationships/hyperlink" Target="https://www.sciencedirect.com/science/article/pii/S0959652622033789" TargetMode="External"/><Relationship Id="rId56" Type="http://schemas.openxmlformats.org/officeDocument/2006/relationships/hyperlink" Target="https://doi.org/10.1603/0013-8746(2002)095%5b0379:SLHTOB%5d2.0.CO;2"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1594/ijmaber.04.02.25"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oi.org/10.1371/journal.pone.0206097" TargetMode="External"/><Relationship Id="rId25" Type="http://schemas.openxmlformats.org/officeDocument/2006/relationships/hyperlink" Target="https://www.openagrar.de/receive/openagrar_mods_00020107" TargetMode="External"/><Relationship Id="rId33" Type="http://schemas.openxmlformats.org/officeDocument/2006/relationships/hyperlink" Target="https://doi.org/10.1016/j.fuel.2010.11.016" TargetMode="External"/><Relationship Id="rId38" Type="http://schemas.openxmlformats.org/officeDocument/2006/relationships/hyperlink" Target="https://doi.org/10.3920/jiff2015.0071" TargetMode="External"/><Relationship Id="rId46" Type="http://schemas.openxmlformats.org/officeDocument/2006/relationships/hyperlink" Target="https://cgspace.cgiar.org/handle/10568/139000" TargetMode="External"/><Relationship Id="rId59" Type="http://schemas.openxmlformats.org/officeDocument/2006/relationships/hyperlink" Target="https://doi.org/10.1371/journal.pone.0263924" TargetMode="External"/><Relationship Id="rId20" Type="http://schemas.openxmlformats.org/officeDocument/2006/relationships/hyperlink" Target="https://doi.org/10.3390/nu10111799" TargetMode="External"/><Relationship Id="rId41" Type="http://schemas.openxmlformats.org/officeDocument/2006/relationships/hyperlink" Target="https://doi.org/10.1016/j.psj.2020.12.019" TargetMode="External"/><Relationship Id="rId54" Type="http://schemas.openxmlformats.org/officeDocument/2006/relationships/hyperlink" Target="https://doi.org/10.1002/jsfa.8081"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920/JIFF2016.0055" TargetMode="External"/><Relationship Id="rId23" Type="http://schemas.openxmlformats.org/officeDocument/2006/relationships/hyperlink" Target="https://www.eawag.ch/fileadmin/Domain1/Abteilungen/sandec/schwerpunkte/sswm/BSF_Guide_2017_web.pdf" TargetMode="External"/><Relationship Id="rId28" Type="http://schemas.openxmlformats.org/officeDocument/2006/relationships/hyperlink" Target="https://doi.org/10.1603/EN12054" TargetMode="External"/><Relationship Id="rId36" Type="http://schemas.openxmlformats.org/officeDocument/2006/relationships/hyperlink" Target="https://www.suaire.sua.ac.tz/items/06f0e0c8-7922-46ad-9dcc-e04320a66c52" TargetMode="External"/><Relationship Id="rId49" Type="http://schemas.openxmlformats.org/officeDocument/2006/relationships/hyperlink" Target="https://doi.org/10.3390/su17136115" TargetMode="External"/><Relationship Id="rId57" Type="http://schemas.openxmlformats.org/officeDocument/2006/relationships/hyperlink" Target="https://doi.org/10.1016/j.psj.2023.102574" TargetMode="External"/><Relationship Id="rId10" Type="http://schemas.openxmlformats.org/officeDocument/2006/relationships/footer" Target="footer1.xml"/><Relationship Id="rId31" Type="http://schemas.openxmlformats.org/officeDocument/2006/relationships/hyperlink" Target="https://doi.org/10.1016/j.scitotenv.2013.04.033" TargetMode="External"/><Relationship Id="rId44" Type="http://schemas.openxmlformats.org/officeDocument/2006/relationships/hyperlink" Target="https://doi.org/10.3920/JIFF2020.0050" TargetMode="External"/><Relationship Id="rId52" Type="http://schemas.openxmlformats.org/officeDocument/2006/relationships/hyperlink" Target="https://doi.org/10.1016/j.animal.2025.101637" TargetMode="External"/><Relationship Id="rId60" Type="http://schemas.openxmlformats.org/officeDocument/2006/relationships/header" Target="header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hyperlink" Target="https://doi.org/10.1016/j.wasman.2014.09.026" TargetMode="External"/><Relationship Id="rId39" Type="http://schemas.openxmlformats.org/officeDocument/2006/relationships/hyperlink" Target="https://doi.org/10.4102/sajim.v19i1.7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A95CB-E858-4002-8F70-39297CDD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TotalTime>
  <Pages>13</Pages>
  <Words>7596</Words>
  <Characters>43298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50793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20</cp:revision>
  <cp:lastPrinted>1999-07-06T11:00:00Z</cp:lastPrinted>
  <dcterms:created xsi:type="dcterms:W3CDTF">2025-12-18T08:48:00Z</dcterms:created>
  <dcterms:modified xsi:type="dcterms:W3CDTF">2025-12-24T09:27:00Z</dcterms:modified>
</cp:coreProperties>
</file>