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267" w:rsidRPr="00DC6267" w:rsidRDefault="00DC6267" w:rsidP="008F419D">
      <w:pPr>
        <w:spacing w:after="0"/>
        <w:jc w:val="right"/>
        <w:rPr>
          <w:rFonts w:ascii="Arial" w:hAnsi="Arial" w:cs="Arial"/>
          <w:b/>
          <w:sz w:val="24"/>
          <w:szCs w:val="24"/>
        </w:rPr>
      </w:pPr>
      <w:r w:rsidRPr="00DC6267">
        <w:rPr>
          <w:rFonts w:ascii="Arial" w:hAnsi="Arial" w:cs="Arial"/>
          <w:b/>
          <w:sz w:val="24"/>
          <w:szCs w:val="24"/>
          <w:highlight w:val="yellow"/>
        </w:rPr>
        <w:t>Short Research Article</w:t>
      </w:r>
    </w:p>
    <w:p w:rsidR="00550135" w:rsidRPr="008F419D" w:rsidRDefault="00550135" w:rsidP="008F419D">
      <w:pPr>
        <w:spacing w:after="0"/>
        <w:jc w:val="right"/>
        <w:rPr>
          <w:rFonts w:ascii="Arial" w:hAnsi="Arial" w:cs="Arial"/>
          <w:b/>
          <w:sz w:val="36"/>
          <w:szCs w:val="36"/>
        </w:rPr>
      </w:pPr>
      <w:r w:rsidRPr="008F419D">
        <w:rPr>
          <w:rFonts w:ascii="Arial" w:hAnsi="Arial" w:cs="Arial"/>
          <w:b/>
          <w:sz w:val="36"/>
          <w:szCs w:val="36"/>
        </w:rPr>
        <w:t>Computational Design and Molecular Docking Study of Structurally Modified Gallic Acid Derivatives</w:t>
      </w:r>
    </w:p>
    <w:p w:rsidR="00995B84" w:rsidRDefault="00995B84" w:rsidP="008F419D">
      <w:pPr>
        <w:jc w:val="right"/>
        <w:rPr>
          <w:rFonts w:ascii="Times New Roman" w:hAnsi="Times New Roman" w:cs="Times New Roman"/>
          <w:b/>
          <w:szCs w:val="22"/>
        </w:rPr>
      </w:pPr>
    </w:p>
    <w:p w:rsidR="00145BC7" w:rsidRPr="00AF736B" w:rsidRDefault="00145BC7" w:rsidP="008F419D">
      <w:pPr>
        <w:jc w:val="right"/>
        <w:rPr>
          <w:rFonts w:ascii="Times New Roman" w:hAnsi="Times New Roman" w:cs="Times New Roman"/>
          <w:b/>
          <w:szCs w:val="22"/>
        </w:rPr>
      </w:pPr>
    </w:p>
    <w:p w:rsidR="00550135" w:rsidRPr="006D09A1" w:rsidRDefault="00550135" w:rsidP="00550135">
      <w:pPr>
        <w:spacing w:after="0"/>
        <w:jc w:val="center"/>
        <w:rPr>
          <w:rFonts w:ascii="Times New Roman" w:hAnsi="Times New Roman" w:cs="Times New Roman"/>
          <w:b/>
          <w:sz w:val="24"/>
          <w:szCs w:val="24"/>
        </w:rPr>
      </w:pPr>
    </w:p>
    <w:p w:rsidR="00550135" w:rsidRPr="00550135" w:rsidRDefault="00550135" w:rsidP="00550135">
      <w:pPr>
        <w:jc w:val="center"/>
        <w:rPr>
          <w:rFonts w:ascii="Times New Roman" w:hAnsi="Times New Roman" w:cs="Times New Roman"/>
          <w:b/>
          <w:sz w:val="28"/>
        </w:rPr>
      </w:pPr>
    </w:p>
    <w:p w:rsidR="00D46A2B" w:rsidRPr="00D4562F" w:rsidRDefault="00D46A2B" w:rsidP="00781FF0">
      <w:pPr>
        <w:jc w:val="both"/>
        <w:rPr>
          <w:rFonts w:ascii="Times New Roman" w:hAnsi="Times New Roman" w:cs="Times New Roman"/>
          <w:b/>
          <w:bCs/>
          <w:sz w:val="24"/>
          <w:szCs w:val="24"/>
        </w:rPr>
      </w:pPr>
      <w:r w:rsidRPr="00D4562F">
        <w:rPr>
          <w:rFonts w:ascii="Times New Roman" w:hAnsi="Times New Roman" w:cs="Times New Roman"/>
          <w:b/>
          <w:bCs/>
          <w:sz w:val="24"/>
          <w:szCs w:val="24"/>
        </w:rPr>
        <w:t>ABSTRACT</w:t>
      </w:r>
    </w:p>
    <w:p w:rsidR="00654188" w:rsidRPr="005A5C77" w:rsidRDefault="00D46A2B" w:rsidP="000E44A7">
      <w:pPr>
        <w:jc w:val="both"/>
        <w:rPr>
          <w:rFonts w:ascii="Arial" w:hAnsi="Arial" w:cs="Arial"/>
          <w:sz w:val="20"/>
        </w:rPr>
      </w:pPr>
      <w:r w:rsidRPr="005A5C77">
        <w:rPr>
          <w:rFonts w:ascii="Arial" w:hAnsi="Arial" w:cs="Arial"/>
          <w:sz w:val="20"/>
        </w:rPr>
        <w:t>This study evaluates the anticancer potential of phytochemical constituent</w:t>
      </w:r>
      <w:r w:rsidR="001B0F77" w:rsidRPr="005A5C77">
        <w:rPr>
          <w:rFonts w:ascii="Arial" w:hAnsi="Arial" w:cs="Arial"/>
          <w:sz w:val="20"/>
        </w:rPr>
        <w:t xml:space="preserve">s derived from </w:t>
      </w:r>
      <w:r w:rsidR="001B0F77" w:rsidRPr="005A5C77">
        <w:rPr>
          <w:rFonts w:ascii="Arial" w:hAnsi="Arial" w:cs="Arial"/>
          <w:i/>
          <w:sz w:val="20"/>
        </w:rPr>
        <w:t>Bougainvillea gla</w:t>
      </w:r>
      <w:r w:rsidRPr="005A5C77">
        <w:rPr>
          <w:rFonts w:ascii="Arial" w:hAnsi="Arial" w:cs="Arial"/>
          <w:i/>
          <w:sz w:val="20"/>
        </w:rPr>
        <w:t>bra</w:t>
      </w:r>
      <w:r w:rsidRPr="005A5C77">
        <w:rPr>
          <w:rFonts w:ascii="Arial" w:hAnsi="Arial" w:cs="Arial"/>
          <w:sz w:val="20"/>
        </w:rPr>
        <w:t>, with a spe</w:t>
      </w:r>
      <w:r w:rsidR="001B0F77" w:rsidRPr="005A5C77">
        <w:rPr>
          <w:rFonts w:ascii="Arial" w:hAnsi="Arial" w:cs="Arial"/>
          <w:sz w:val="20"/>
        </w:rPr>
        <w:t xml:space="preserve">cific focus on Gallic acid </w:t>
      </w:r>
      <w:r w:rsidRPr="005A5C77">
        <w:rPr>
          <w:rFonts w:ascii="Arial" w:hAnsi="Arial" w:cs="Arial"/>
          <w:sz w:val="20"/>
        </w:rPr>
        <w:t xml:space="preserve">derivatives synthesized using aromatic aldehydes and aromatic amines through an in silico molecular docking strategy. </w:t>
      </w:r>
      <w:r w:rsidR="00520EDA" w:rsidRPr="005A5C77">
        <w:rPr>
          <w:rFonts w:ascii="Arial" w:hAnsi="Arial" w:cs="Arial"/>
          <w:color w:val="FF0000"/>
          <w:sz w:val="20"/>
        </w:rPr>
        <w:t xml:space="preserve">The shade-dried and powdered plant material was subjected to maceration using a suitable solvent to extract bioactive </w:t>
      </w:r>
      <w:proofErr w:type="spellStart"/>
      <w:proofErr w:type="gramStart"/>
      <w:r w:rsidR="00520EDA" w:rsidRPr="005A5C77">
        <w:rPr>
          <w:rFonts w:ascii="Arial" w:hAnsi="Arial" w:cs="Arial"/>
          <w:color w:val="FF0000"/>
          <w:sz w:val="20"/>
        </w:rPr>
        <w:t>constituents.After</w:t>
      </w:r>
      <w:proofErr w:type="spellEnd"/>
      <w:proofErr w:type="gramEnd"/>
      <w:r w:rsidR="00520EDA" w:rsidRPr="005A5C77">
        <w:rPr>
          <w:rFonts w:ascii="Arial" w:hAnsi="Arial" w:cs="Arial"/>
          <w:color w:val="FF0000"/>
          <w:sz w:val="20"/>
        </w:rPr>
        <w:t xml:space="preserve"> solvent removal, the isolated phytoconstituents were identified and characterized using standard phytochemical screening and spectral analyses, including FT-IR, UV–Visible, and NMR techniques. The structurally characterized compounds were subsequently used for computational evaluation to assess their potential anticancer activity.</w:t>
      </w:r>
      <w:r w:rsidR="00D96A0B">
        <w:rPr>
          <w:rFonts w:ascii="Arial" w:hAnsi="Arial" w:cs="Arial"/>
          <w:color w:val="FF0000"/>
          <w:sz w:val="20"/>
        </w:rPr>
        <w:t xml:space="preserve"> </w:t>
      </w:r>
      <w:proofErr w:type="gramStart"/>
      <w:r w:rsidRPr="005A5C77">
        <w:rPr>
          <w:rFonts w:ascii="Arial" w:hAnsi="Arial" w:cs="Arial"/>
          <w:sz w:val="20"/>
        </w:rPr>
        <w:t>Molecular</w:t>
      </w:r>
      <w:proofErr w:type="gramEnd"/>
      <w:r w:rsidRPr="005A5C77">
        <w:rPr>
          <w:rFonts w:ascii="Arial" w:hAnsi="Arial" w:cs="Arial"/>
          <w:sz w:val="20"/>
        </w:rPr>
        <w:t xml:space="preserve"> docking analysis revealed that the synthesized derivatives exhibited significantly improved binding affinity and hydrogen bond interactions compared to the co-crystallized ligand and the reference anticancer drug Adriamycin, indicating enhanced stability within the active sites of the target proteins. Docking simulation</w:t>
      </w:r>
      <w:r w:rsidR="001B0F77" w:rsidRPr="005A5C77">
        <w:rPr>
          <w:rFonts w:ascii="Arial" w:hAnsi="Arial" w:cs="Arial"/>
          <w:sz w:val="20"/>
        </w:rPr>
        <w:t xml:space="preserve">s were carried out using </w:t>
      </w:r>
      <w:proofErr w:type="spellStart"/>
      <w:r w:rsidR="001B0F77" w:rsidRPr="005A5C77">
        <w:rPr>
          <w:rFonts w:ascii="Arial" w:hAnsi="Arial" w:cs="Arial"/>
          <w:sz w:val="20"/>
        </w:rPr>
        <w:t>Molegro</w:t>
      </w:r>
      <w:r w:rsidRPr="005A5C77">
        <w:rPr>
          <w:rFonts w:ascii="Arial" w:hAnsi="Arial" w:cs="Arial"/>
          <w:sz w:val="20"/>
        </w:rPr>
        <w:t>Virtual</w:t>
      </w:r>
      <w:proofErr w:type="spellEnd"/>
      <w:r w:rsidRPr="005A5C77">
        <w:rPr>
          <w:rFonts w:ascii="Arial" w:hAnsi="Arial" w:cs="Arial"/>
          <w:sz w:val="20"/>
        </w:rPr>
        <w:t xml:space="preserve"> Docker (MVD) version 6.0 against cancer-rela</w:t>
      </w:r>
      <w:r w:rsidR="001B0F77" w:rsidRPr="005A5C77">
        <w:rPr>
          <w:rFonts w:ascii="Arial" w:hAnsi="Arial" w:cs="Arial"/>
          <w:sz w:val="20"/>
        </w:rPr>
        <w:t>ted target proteins with PDB ID</w:t>
      </w:r>
      <w:r w:rsidRPr="005A5C77">
        <w:rPr>
          <w:rFonts w:ascii="Arial" w:hAnsi="Arial" w:cs="Arial"/>
          <w:sz w:val="20"/>
        </w:rPr>
        <w:t xml:space="preserve"> 5T4B</w:t>
      </w:r>
      <w:r w:rsidR="00520EDA" w:rsidRPr="005A5C77">
        <w:rPr>
          <w:rFonts w:ascii="Arial" w:hAnsi="Arial" w:cs="Arial"/>
          <w:sz w:val="20"/>
        </w:rPr>
        <w:t xml:space="preserve"> (</w:t>
      </w:r>
      <w:r w:rsidR="00520EDA" w:rsidRPr="005A5C77">
        <w:rPr>
          <w:rFonts w:ascii="Arial" w:hAnsi="Arial" w:cs="Arial"/>
          <w:color w:val="FF0000"/>
          <w:sz w:val="20"/>
        </w:rPr>
        <w:t xml:space="preserve">also known as CD26, is a multifunctional serine protease involved in cell </w:t>
      </w:r>
      <w:proofErr w:type="spellStart"/>
      <w:r w:rsidR="00520EDA" w:rsidRPr="005A5C77">
        <w:rPr>
          <w:rFonts w:ascii="Arial" w:hAnsi="Arial" w:cs="Arial"/>
          <w:color w:val="FF0000"/>
          <w:sz w:val="20"/>
        </w:rPr>
        <w:t>signa</w:t>
      </w:r>
      <w:r w:rsidR="00D96A0B">
        <w:rPr>
          <w:rFonts w:ascii="Arial" w:hAnsi="Arial" w:cs="Arial"/>
          <w:color w:val="FF0000"/>
          <w:sz w:val="20"/>
        </w:rPr>
        <w:t>l</w:t>
      </w:r>
      <w:r w:rsidR="00520EDA" w:rsidRPr="005A5C77">
        <w:rPr>
          <w:rFonts w:ascii="Arial" w:hAnsi="Arial" w:cs="Arial"/>
          <w:color w:val="FF0000"/>
          <w:sz w:val="20"/>
        </w:rPr>
        <w:t>ling</w:t>
      </w:r>
      <w:proofErr w:type="spellEnd"/>
      <w:r w:rsidR="00520EDA" w:rsidRPr="005A5C77">
        <w:rPr>
          <w:rFonts w:ascii="Arial" w:hAnsi="Arial" w:cs="Arial"/>
          <w:sz w:val="20"/>
        </w:rPr>
        <w:t>)</w:t>
      </w:r>
      <w:r w:rsidRPr="005A5C77">
        <w:rPr>
          <w:rFonts w:ascii="Arial" w:hAnsi="Arial" w:cs="Arial"/>
          <w:sz w:val="20"/>
        </w:rPr>
        <w:t>. In addition, physicochemical properties and pharmacokinetic parameters we</w:t>
      </w:r>
      <w:r w:rsidR="001B0F77" w:rsidRPr="005A5C77">
        <w:rPr>
          <w:rFonts w:ascii="Arial" w:hAnsi="Arial" w:cs="Arial"/>
          <w:sz w:val="20"/>
        </w:rPr>
        <w:t xml:space="preserve">re assessed using </w:t>
      </w:r>
      <w:proofErr w:type="spellStart"/>
      <w:r w:rsidR="001B0F77" w:rsidRPr="005A5C77">
        <w:rPr>
          <w:rFonts w:ascii="Arial" w:hAnsi="Arial" w:cs="Arial"/>
          <w:sz w:val="20"/>
        </w:rPr>
        <w:t>Molinspiration</w:t>
      </w:r>
      <w:proofErr w:type="spellEnd"/>
      <w:r w:rsidRPr="005A5C77">
        <w:rPr>
          <w:rFonts w:ascii="Arial" w:hAnsi="Arial" w:cs="Arial"/>
          <w:sz w:val="20"/>
        </w:rPr>
        <w:t xml:space="preserve"> and the </w:t>
      </w:r>
      <w:proofErr w:type="spellStart"/>
      <w:r w:rsidRPr="005A5C77">
        <w:rPr>
          <w:rFonts w:ascii="Arial" w:hAnsi="Arial" w:cs="Arial"/>
          <w:sz w:val="20"/>
        </w:rPr>
        <w:t>PreADMET</w:t>
      </w:r>
      <w:proofErr w:type="spellEnd"/>
      <w:r w:rsidRPr="005A5C77">
        <w:rPr>
          <w:rFonts w:ascii="Arial" w:hAnsi="Arial" w:cs="Arial"/>
          <w:sz w:val="20"/>
        </w:rPr>
        <w:t xml:space="preserve"> online server to predict drug-likeness and ADMET profiles.</w:t>
      </w:r>
      <w:r w:rsidR="00D96A0B">
        <w:rPr>
          <w:rFonts w:ascii="Arial" w:hAnsi="Arial" w:cs="Arial"/>
          <w:sz w:val="20"/>
        </w:rPr>
        <w:t xml:space="preserve"> </w:t>
      </w:r>
      <w:r w:rsidRPr="005A5C77">
        <w:rPr>
          <w:rFonts w:ascii="Arial" w:hAnsi="Arial" w:cs="Arial"/>
          <w:sz w:val="20"/>
        </w:rPr>
        <w:t>Among the tested compounds, the aromatic amine</w:t>
      </w:r>
      <w:r w:rsidR="001B0F77" w:rsidRPr="005A5C77">
        <w:rPr>
          <w:rFonts w:ascii="Arial" w:hAnsi="Arial" w:cs="Arial"/>
          <w:sz w:val="20"/>
        </w:rPr>
        <w:t xml:space="preserve"> derivative of gallic acid (AA11</w:t>
      </w:r>
      <w:r w:rsidRPr="005A5C77">
        <w:rPr>
          <w:rFonts w:ascii="Arial" w:hAnsi="Arial" w:cs="Arial"/>
          <w:sz w:val="20"/>
        </w:rPr>
        <w:t xml:space="preserve">) demonstrated the highest binding affinity toward PDB ID 5T4B, with a </w:t>
      </w:r>
      <w:proofErr w:type="spellStart"/>
      <w:r w:rsidRPr="005A5C77">
        <w:rPr>
          <w:rFonts w:ascii="Arial" w:hAnsi="Arial" w:cs="Arial"/>
          <w:sz w:val="20"/>
        </w:rPr>
        <w:t>MolDock</w:t>
      </w:r>
      <w:proofErr w:type="spellEnd"/>
      <w:r w:rsidRPr="005A5C77">
        <w:rPr>
          <w:rFonts w:ascii="Arial" w:hAnsi="Arial" w:cs="Arial"/>
          <w:sz w:val="20"/>
        </w:rPr>
        <w:t xml:space="preserve"> score of −117.059, forming stable hydrogen bond interactions with key amino acid residues, including Asp545, Trp629, Trp563, Ala564, Trp627, Asn562, and Lys554..Overall, this integrative computational approach underscores the effectiveness of combining phytochemical analysis, molecular docking, and ADMET prediction for the identification of promising plant-derived anticancer candidates, while </w:t>
      </w:r>
      <w:proofErr w:type="spellStart"/>
      <w:r w:rsidRPr="005A5C77">
        <w:rPr>
          <w:rFonts w:ascii="Arial" w:hAnsi="Arial" w:cs="Arial"/>
          <w:sz w:val="20"/>
        </w:rPr>
        <w:t>minimi</w:t>
      </w:r>
      <w:r w:rsidR="00D96A0B">
        <w:rPr>
          <w:rFonts w:ascii="Arial" w:hAnsi="Arial" w:cs="Arial"/>
          <w:sz w:val="20"/>
        </w:rPr>
        <w:t>s</w:t>
      </w:r>
      <w:r w:rsidRPr="005A5C77">
        <w:rPr>
          <w:rFonts w:ascii="Arial" w:hAnsi="Arial" w:cs="Arial"/>
          <w:sz w:val="20"/>
        </w:rPr>
        <w:t>ing</w:t>
      </w:r>
      <w:proofErr w:type="spellEnd"/>
      <w:r w:rsidRPr="005A5C77">
        <w:rPr>
          <w:rFonts w:ascii="Arial" w:hAnsi="Arial" w:cs="Arial"/>
          <w:sz w:val="20"/>
        </w:rPr>
        <w:t xml:space="preserve"> cost, time, and reliance on experimental animal models during early-stage drug discovery.</w:t>
      </w:r>
    </w:p>
    <w:p w:rsidR="00D46A2B" w:rsidRPr="005A5C77" w:rsidRDefault="00D46A2B" w:rsidP="000E44A7">
      <w:pPr>
        <w:jc w:val="both"/>
        <w:rPr>
          <w:rFonts w:ascii="Arial" w:hAnsi="Arial" w:cs="Arial"/>
          <w:sz w:val="20"/>
        </w:rPr>
      </w:pPr>
      <w:r w:rsidRPr="005A5C77">
        <w:rPr>
          <w:rFonts w:ascii="Arial" w:hAnsi="Arial" w:cs="Arial"/>
          <w:b/>
          <w:bCs/>
          <w:sz w:val="20"/>
        </w:rPr>
        <w:t xml:space="preserve">Keywords- </w:t>
      </w:r>
      <w:r w:rsidRPr="005A5C77">
        <w:rPr>
          <w:rFonts w:ascii="Arial" w:hAnsi="Arial" w:cs="Arial"/>
          <w:sz w:val="20"/>
        </w:rPr>
        <w:t xml:space="preserve">Docking, ADMET, In Silico, Gallic Acid, </w:t>
      </w:r>
      <w:r w:rsidR="001A66DC" w:rsidRPr="005A5C77">
        <w:rPr>
          <w:rFonts w:ascii="Arial" w:hAnsi="Arial" w:cs="Arial"/>
          <w:i/>
          <w:sz w:val="20"/>
        </w:rPr>
        <w:t>Bougainvillea g</w:t>
      </w:r>
      <w:r w:rsidRPr="005A5C77">
        <w:rPr>
          <w:rFonts w:ascii="Arial" w:hAnsi="Arial" w:cs="Arial"/>
          <w:i/>
          <w:sz w:val="20"/>
        </w:rPr>
        <w:t>labra</w:t>
      </w:r>
      <w:r w:rsidRPr="005A5C77">
        <w:rPr>
          <w:rFonts w:ascii="Arial" w:hAnsi="Arial" w:cs="Arial"/>
          <w:sz w:val="20"/>
        </w:rPr>
        <w:t>, Adriamycin.</w:t>
      </w:r>
    </w:p>
    <w:p w:rsidR="00550135" w:rsidRDefault="00550135" w:rsidP="000E44A7">
      <w:pPr>
        <w:jc w:val="both"/>
        <w:rPr>
          <w:rFonts w:ascii="Times New Roman" w:hAnsi="Times New Roman" w:cs="Times New Roman"/>
          <w:sz w:val="24"/>
          <w:szCs w:val="24"/>
        </w:rPr>
      </w:pPr>
    </w:p>
    <w:p w:rsidR="00550135" w:rsidRDefault="00550135" w:rsidP="000E44A7">
      <w:pPr>
        <w:jc w:val="both"/>
        <w:rPr>
          <w:rFonts w:ascii="Times New Roman" w:hAnsi="Times New Roman" w:cs="Times New Roman"/>
          <w:sz w:val="24"/>
          <w:szCs w:val="24"/>
        </w:rPr>
      </w:pPr>
    </w:p>
    <w:p w:rsidR="00550135" w:rsidRDefault="00550135" w:rsidP="000E44A7">
      <w:pPr>
        <w:jc w:val="both"/>
        <w:rPr>
          <w:rFonts w:ascii="Times New Roman" w:hAnsi="Times New Roman" w:cs="Times New Roman"/>
          <w:sz w:val="24"/>
          <w:szCs w:val="24"/>
        </w:rPr>
      </w:pPr>
    </w:p>
    <w:p w:rsidR="00D46A2B" w:rsidRPr="008F419D" w:rsidRDefault="00DE0347" w:rsidP="000E44A7">
      <w:pPr>
        <w:pStyle w:val="ListParagraph"/>
        <w:numPr>
          <w:ilvl w:val="0"/>
          <w:numId w:val="2"/>
        </w:numPr>
        <w:jc w:val="both"/>
        <w:rPr>
          <w:rFonts w:ascii="Arial" w:hAnsi="Arial" w:cs="Arial"/>
          <w:b/>
          <w:bCs/>
          <w:szCs w:val="22"/>
        </w:rPr>
      </w:pPr>
      <w:r w:rsidRPr="008F419D">
        <w:rPr>
          <w:rFonts w:ascii="Arial" w:hAnsi="Arial" w:cs="Arial"/>
          <w:b/>
          <w:bCs/>
          <w:szCs w:val="22"/>
        </w:rPr>
        <w:t>INTRODUCTION</w:t>
      </w:r>
    </w:p>
    <w:p w:rsidR="00DE0347" w:rsidRPr="008F419D" w:rsidRDefault="00DE0347" w:rsidP="000E44A7">
      <w:pPr>
        <w:jc w:val="both"/>
        <w:rPr>
          <w:rFonts w:ascii="Arial" w:hAnsi="Arial" w:cs="Arial"/>
          <w:sz w:val="20"/>
        </w:rPr>
      </w:pPr>
      <w:r w:rsidRPr="008F419D">
        <w:rPr>
          <w:rFonts w:ascii="Arial" w:hAnsi="Arial" w:cs="Arial"/>
          <w:sz w:val="20"/>
        </w:rPr>
        <w:t xml:space="preserve">Lung cancer comprises a heterogeneous group of malignant epithelial </w:t>
      </w:r>
      <w:proofErr w:type="spellStart"/>
      <w:r w:rsidRPr="008F419D">
        <w:rPr>
          <w:rFonts w:ascii="Arial" w:hAnsi="Arial" w:cs="Arial"/>
          <w:sz w:val="20"/>
        </w:rPr>
        <w:t>tumo</w:t>
      </w:r>
      <w:r w:rsidR="00D96A0B">
        <w:rPr>
          <w:rFonts w:ascii="Arial" w:hAnsi="Arial" w:cs="Arial"/>
          <w:sz w:val="20"/>
        </w:rPr>
        <w:t>u</w:t>
      </w:r>
      <w:r w:rsidRPr="008F419D">
        <w:rPr>
          <w:rFonts w:ascii="Arial" w:hAnsi="Arial" w:cs="Arial"/>
          <w:sz w:val="20"/>
        </w:rPr>
        <w:t>rs</w:t>
      </w:r>
      <w:proofErr w:type="spellEnd"/>
      <w:r w:rsidRPr="008F419D">
        <w:rPr>
          <w:rFonts w:ascii="Arial" w:hAnsi="Arial" w:cs="Arial"/>
          <w:sz w:val="20"/>
        </w:rPr>
        <w:t xml:space="preserve"> originating from the tracheobronchial tree and is characterized by the progressive accumulation of genetic and epigenetic alterations that drive uncontrolled cellular proliferation, invasion, and metastasis. Based on histological and molecular characteristics, lung cancer is primarily classified into adenocarcinoma (ADC) and squamous cell carcinoma (SCC).</w:t>
      </w:r>
    </w:p>
    <w:p w:rsidR="00DE0347" w:rsidRPr="008F419D" w:rsidRDefault="00DE0347" w:rsidP="000E44A7">
      <w:pPr>
        <w:jc w:val="both"/>
        <w:rPr>
          <w:rFonts w:ascii="Arial" w:hAnsi="Arial" w:cs="Arial"/>
          <w:sz w:val="20"/>
        </w:rPr>
      </w:pPr>
      <w:r w:rsidRPr="008F419D">
        <w:rPr>
          <w:rFonts w:ascii="Arial" w:hAnsi="Arial" w:cs="Arial"/>
          <w:sz w:val="20"/>
        </w:rPr>
        <w:t xml:space="preserve">Similar to other malignancies, lung tumorigenesis is associated with the activation of growth-promoting oncogenes, including v-Ki-ras2 Kirsten rat sarcoma viral oncogene homolog (KRAS), epidermal growth </w:t>
      </w:r>
      <w:r w:rsidRPr="008F419D">
        <w:rPr>
          <w:rFonts w:ascii="Arial" w:hAnsi="Arial" w:cs="Arial"/>
          <w:sz w:val="20"/>
        </w:rPr>
        <w:lastRenderedPageBreak/>
        <w:t xml:space="preserve">factor receptor (EGFR), BRAF, MEK-1, HER2, MET, anaplastic lymphoma kinase (ALK), and rearranged during transfection (RET), along with the inactivation of tumor suppressor genes such as p53, phosphatase and </w:t>
      </w:r>
      <w:proofErr w:type="spellStart"/>
      <w:r w:rsidRPr="008F419D">
        <w:rPr>
          <w:rFonts w:ascii="Arial" w:hAnsi="Arial" w:cs="Arial"/>
          <w:sz w:val="20"/>
        </w:rPr>
        <w:t>tensin</w:t>
      </w:r>
      <w:proofErr w:type="spellEnd"/>
      <w:r w:rsidRPr="008F419D">
        <w:rPr>
          <w:rFonts w:ascii="Arial" w:hAnsi="Arial" w:cs="Arial"/>
          <w:sz w:val="20"/>
        </w:rPr>
        <w:t xml:space="preserve"> homolog (PTEN), and liver kinase B1 (LKB-1) (1). Activation of oncogenes may occur through gene amplification or genetic alterations such as point mutations and chromosomal rearrangements, resulting in persistent activation of oncogenic </w:t>
      </w:r>
      <w:proofErr w:type="spellStart"/>
      <w:r w:rsidRPr="008F419D">
        <w:rPr>
          <w:rFonts w:ascii="Arial" w:hAnsi="Arial" w:cs="Arial"/>
          <w:sz w:val="20"/>
        </w:rPr>
        <w:t>signa</w:t>
      </w:r>
      <w:r w:rsidR="00D96A0B">
        <w:rPr>
          <w:rFonts w:ascii="Arial" w:hAnsi="Arial" w:cs="Arial"/>
          <w:sz w:val="20"/>
        </w:rPr>
        <w:t>l</w:t>
      </w:r>
      <w:r w:rsidRPr="008F419D">
        <w:rPr>
          <w:rFonts w:ascii="Arial" w:hAnsi="Arial" w:cs="Arial"/>
          <w:sz w:val="20"/>
        </w:rPr>
        <w:t>ling</w:t>
      </w:r>
      <w:proofErr w:type="spellEnd"/>
      <w:r w:rsidRPr="008F419D">
        <w:rPr>
          <w:rFonts w:ascii="Arial" w:hAnsi="Arial" w:cs="Arial"/>
          <w:sz w:val="20"/>
        </w:rPr>
        <w:t xml:space="preserve"> pathways.</w:t>
      </w:r>
    </w:p>
    <w:p w:rsidR="00DE0347" w:rsidRPr="008F419D" w:rsidRDefault="00DE0347" w:rsidP="000E44A7">
      <w:pPr>
        <w:jc w:val="both"/>
        <w:rPr>
          <w:rFonts w:ascii="Arial" w:hAnsi="Arial" w:cs="Arial"/>
          <w:sz w:val="20"/>
        </w:rPr>
      </w:pPr>
      <w:r w:rsidRPr="008F419D">
        <w:rPr>
          <w:rFonts w:ascii="Arial" w:hAnsi="Arial" w:cs="Arial"/>
          <w:sz w:val="20"/>
        </w:rPr>
        <w:t xml:space="preserve">The phenomenon of “oncogene addiction” describes the dependence of cancer cell survival on continuous activation of these aberrant </w:t>
      </w:r>
      <w:proofErr w:type="spellStart"/>
      <w:r w:rsidRPr="008F419D">
        <w:rPr>
          <w:rFonts w:ascii="Arial" w:hAnsi="Arial" w:cs="Arial"/>
          <w:sz w:val="20"/>
        </w:rPr>
        <w:t>signa</w:t>
      </w:r>
      <w:r w:rsidR="00D96A0B">
        <w:rPr>
          <w:rFonts w:ascii="Arial" w:hAnsi="Arial" w:cs="Arial"/>
          <w:sz w:val="20"/>
        </w:rPr>
        <w:t>l</w:t>
      </w:r>
      <w:r w:rsidRPr="008F419D">
        <w:rPr>
          <w:rFonts w:ascii="Arial" w:hAnsi="Arial" w:cs="Arial"/>
          <w:sz w:val="20"/>
        </w:rPr>
        <w:t>ling</w:t>
      </w:r>
      <w:proofErr w:type="spellEnd"/>
      <w:r w:rsidRPr="008F419D">
        <w:rPr>
          <w:rFonts w:ascii="Arial" w:hAnsi="Arial" w:cs="Arial"/>
          <w:sz w:val="20"/>
        </w:rPr>
        <w:t xml:space="preserve"> pathways, rendering them highly suitable targets for mol</w:t>
      </w:r>
      <w:r w:rsidR="00781FF0" w:rsidRPr="008F419D">
        <w:rPr>
          <w:rFonts w:ascii="Arial" w:hAnsi="Arial" w:cs="Arial"/>
          <w:sz w:val="20"/>
        </w:rPr>
        <w:t>ecularly targeted therapies (2,3</w:t>
      </w:r>
      <w:r w:rsidRPr="008F419D">
        <w:rPr>
          <w:rFonts w:ascii="Arial" w:hAnsi="Arial" w:cs="Arial"/>
          <w:sz w:val="20"/>
        </w:rPr>
        <w:t>). Oncogenic driver mutations have been identified in more than 50% of lung adenocarcinomas and are typically mutually exclusive, underscoring their critical role in tumor</w:t>
      </w:r>
      <w:r w:rsidR="00781FF0" w:rsidRPr="008F419D">
        <w:rPr>
          <w:rFonts w:ascii="Arial" w:hAnsi="Arial" w:cs="Arial"/>
          <w:sz w:val="20"/>
        </w:rPr>
        <w:t xml:space="preserve"> initiation and progression (4,5</w:t>
      </w:r>
      <w:r w:rsidRPr="008F419D">
        <w:rPr>
          <w:rFonts w:ascii="Arial" w:hAnsi="Arial" w:cs="Arial"/>
          <w:sz w:val="20"/>
        </w:rPr>
        <w:t>).</w:t>
      </w:r>
    </w:p>
    <w:p w:rsidR="00DE0347" w:rsidRPr="008F419D" w:rsidRDefault="00DE0347" w:rsidP="000E44A7">
      <w:pPr>
        <w:jc w:val="both"/>
        <w:rPr>
          <w:rFonts w:ascii="Arial" w:hAnsi="Arial" w:cs="Arial"/>
          <w:sz w:val="20"/>
        </w:rPr>
      </w:pPr>
      <w:r w:rsidRPr="008F419D">
        <w:rPr>
          <w:rFonts w:ascii="Arial" w:hAnsi="Arial" w:cs="Arial"/>
          <w:b/>
          <w:bCs/>
          <w:sz w:val="20"/>
        </w:rPr>
        <w:t>Tyrosine kinase inhibitors</w:t>
      </w:r>
      <w:r w:rsidRPr="008F419D">
        <w:rPr>
          <w:rFonts w:ascii="Arial" w:hAnsi="Arial" w:cs="Arial"/>
          <w:sz w:val="20"/>
        </w:rPr>
        <w:t xml:space="preserve"> (TKIs) represent an important class of targeted anticancer agents that selectively inhibit aberrant tyrosine kinase </w:t>
      </w:r>
      <w:proofErr w:type="spellStart"/>
      <w:r w:rsidRPr="008F419D">
        <w:rPr>
          <w:rFonts w:ascii="Arial" w:hAnsi="Arial" w:cs="Arial"/>
          <w:sz w:val="20"/>
        </w:rPr>
        <w:t>signa</w:t>
      </w:r>
      <w:r w:rsidR="00D96A0B">
        <w:rPr>
          <w:rFonts w:ascii="Arial" w:hAnsi="Arial" w:cs="Arial"/>
          <w:sz w:val="20"/>
        </w:rPr>
        <w:t>l</w:t>
      </w:r>
      <w:r w:rsidRPr="008F419D">
        <w:rPr>
          <w:rFonts w:ascii="Arial" w:hAnsi="Arial" w:cs="Arial"/>
          <w:sz w:val="20"/>
        </w:rPr>
        <w:t>ling</w:t>
      </w:r>
      <w:proofErr w:type="spellEnd"/>
      <w:r w:rsidRPr="008F419D">
        <w:rPr>
          <w:rFonts w:ascii="Arial" w:hAnsi="Arial" w:cs="Arial"/>
          <w:sz w:val="20"/>
        </w:rPr>
        <w:t xml:space="preserve"> involved in tumor growth and survival. By interfering with key pathways regulating cell proliferation and division, TKIs are capable of inducing durable disease control and prolonging survival in patients with specific molecular subtypes of lung cancer, although they do not provide a definitive cure.</w:t>
      </w:r>
    </w:p>
    <w:p w:rsidR="00DE0347" w:rsidRPr="008F419D" w:rsidRDefault="00DE0347" w:rsidP="000E44A7">
      <w:pPr>
        <w:jc w:val="both"/>
        <w:rPr>
          <w:rFonts w:ascii="Arial" w:hAnsi="Arial" w:cs="Arial"/>
          <w:sz w:val="20"/>
        </w:rPr>
      </w:pPr>
      <w:r w:rsidRPr="008F419D">
        <w:rPr>
          <w:rFonts w:ascii="Arial" w:hAnsi="Arial" w:cs="Arial"/>
          <w:b/>
          <w:bCs/>
          <w:sz w:val="20"/>
        </w:rPr>
        <w:t>Growth factors:</w:t>
      </w:r>
      <w:r w:rsidRPr="008F419D">
        <w:rPr>
          <w:rFonts w:ascii="Arial" w:hAnsi="Arial" w:cs="Arial"/>
          <w:sz w:val="20"/>
        </w:rPr>
        <w:t xml:space="preserve"> are </w:t>
      </w:r>
      <w:proofErr w:type="spellStart"/>
      <w:r w:rsidRPr="008F419D">
        <w:rPr>
          <w:rFonts w:ascii="Arial" w:hAnsi="Arial" w:cs="Arial"/>
          <w:sz w:val="20"/>
        </w:rPr>
        <w:t>signa</w:t>
      </w:r>
      <w:r w:rsidR="00D96A0B">
        <w:rPr>
          <w:rFonts w:ascii="Arial" w:hAnsi="Arial" w:cs="Arial"/>
          <w:sz w:val="20"/>
        </w:rPr>
        <w:t>l</w:t>
      </w:r>
      <w:r w:rsidRPr="008F419D">
        <w:rPr>
          <w:rFonts w:ascii="Arial" w:hAnsi="Arial" w:cs="Arial"/>
          <w:sz w:val="20"/>
        </w:rPr>
        <w:t>ling</w:t>
      </w:r>
      <w:proofErr w:type="spellEnd"/>
      <w:r w:rsidRPr="008F419D">
        <w:rPr>
          <w:rFonts w:ascii="Arial" w:hAnsi="Arial" w:cs="Arial"/>
          <w:sz w:val="20"/>
        </w:rPr>
        <w:t xml:space="preserve"> molecules that regulate cellular growth, differentiation, and survival by activating intracellular tyrosine kinases. Tyrosine kinases are enzymes that play a critical role in controlling cell division by transmitting growth signals from the cell surface to downstream intracellular pathways. Under physiological conditions, tyrosine kinase activity is tightly regulated, with activation and deactivation occurring in response to external growth stimuli.</w:t>
      </w:r>
    </w:p>
    <w:p w:rsidR="00DE0347" w:rsidRPr="008F419D" w:rsidRDefault="00DE0347" w:rsidP="000E44A7">
      <w:pPr>
        <w:jc w:val="both"/>
        <w:rPr>
          <w:rFonts w:ascii="Arial" w:hAnsi="Arial" w:cs="Arial"/>
          <w:sz w:val="20"/>
        </w:rPr>
      </w:pPr>
      <w:r w:rsidRPr="008F419D">
        <w:rPr>
          <w:rFonts w:ascii="Arial" w:hAnsi="Arial" w:cs="Arial"/>
          <w:sz w:val="20"/>
        </w:rPr>
        <w:t xml:space="preserve">Chronic myeloid leukemia (CML) provides a well-established model for understanding the mechanism of action of tyrosine kinase inhibitors (TKIs). CML is a </w:t>
      </w:r>
      <w:proofErr w:type="spellStart"/>
      <w:r w:rsidRPr="008F419D">
        <w:rPr>
          <w:rFonts w:ascii="Arial" w:hAnsi="Arial" w:cs="Arial"/>
          <w:sz w:val="20"/>
        </w:rPr>
        <w:t>h</w:t>
      </w:r>
      <w:r w:rsidR="00D96A0B">
        <w:rPr>
          <w:rFonts w:ascii="Arial" w:hAnsi="Arial" w:cs="Arial"/>
          <w:sz w:val="20"/>
        </w:rPr>
        <w:t>a</w:t>
      </w:r>
      <w:r w:rsidRPr="008F419D">
        <w:rPr>
          <w:rFonts w:ascii="Arial" w:hAnsi="Arial" w:cs="Arial"/>
          <w:sz w:val="20"/>
        </w:rPr>
        <w:t>ematological</w:t>
      </w:r>
      <w:proofErr w:type="spellEnd"/>
      <w:r w:rsidRPr="008F419D">
        <w:rPr>
          <w:rFonts w:ascii="Arial" w:hAnsi="Arial" w:cs="Arial"/>
          <w:sz w:val="20"/>
        </w:rPr>
        <w:t xml:space="preserve"> malignancy arising from myeloid progenitor cells in the bone marrow, </w:t>
      </w:r>
      <w:proofErr w:type="spellStart"/>
      <w:r w:rsidRPr="008F419D">
        <w:rPr>
          <w:rFonts w:ascii="Arial" w:hAnsi="Arial" w:cs="Arial"/>
          <w:sz w:val="20"/>
        </w:rPr>
        <w:t>characteri</w:t>
      </w:r>
      <w:r w:rsidR="00D96A0B">
        <w:rPr>
          <w:rFonts w:ascii="Arial" w:hAnsi="Arial" w:cs="Arial"/>
          <w:sz w:val="20"/>
        </w:rPr>
        <w:t>s</w:t>
      </w:r>
      <w:r w:rsidRPr="008F419D">
        <w:rPr>
          <w:rFonts w:ascii="Arial" w:hAnsi="Arial" w:cs="Arial"/>
          <w:sz w:val="20"/>
        </w:rPr>
        <w:t>ed</w:t>
      </w:r>
      <w:proofErr w:type="spellEnd"/>
      <w:r w:rsidRPr="008F419D">
        <w:rPr>
          <w:rFonts w:ascii="Arial" w:hAnsi="Arial" w:cs="Arial"/>
          <w:sz w:val="20"/>
        </w:rPr>
        <w:t xml:space="preserve"> by the presence of constitutively active abnormal tyrosine kinase enzymes. These mutant kinases remain persistently activated following growth factor stimulation and lack normal regulatory “off” mechanisms, resulting in uncontrolled proliferation of myeloid cells. The excessive expansion of these cells disrupts normal hematopoiesis, impairing the production of essential blood cells and platelets.</w:t>
      </w:r>
    </w:p>
    <w:p w:rsidR="00DE0347" w:rsidRPr="008F419D" w:rsidRDefault="00DE0347" w:rsidP="000E44A7">
      <w:pPr>
        <w:jc w:val="both"/>
        <w:rPr>
          <w:rFonts w:ascii="Arial" w:hAnsi="Arial" w:cs="Arial"/>
          <w:sz w:val="20"/>
        </w:rPr>
      </w:pPr>
      <w:r w:rsidRPr="008F419D">
        <w:rPr>
          <w:rFonts w:ascii="Arial" w:hAnsi="Arial" w:cs="Arial"/>
          <w:sz w:val="20"/>
        </w:rPr>
        <w:t xml:space="preserve">Tyrosine kinase inhibitors exert their therapeutic effect in CML by selectively inhibiting aberrant kinase activity, thereby switching off constitutive oncogenic </w:t>
      </w:r>
      <w:proofErr w:type="spellStart"/>
      <w:r w:rsidRPr="008F419D">
        <w:rPr>
          <w:rFonts w:ascii="Arial" w:hAnsi="Arial" w:cs="Arial"/>
          <w:sz w:val="20"/>
        </w:rPr>
        <w:t>signa</w:t>
      </w:r>
      <w:r w:rsidR="00D96A0B">
        <w:rPr>
          <w:rFonts w:ascii="Arial" w:hAnsi="Arial" w:cs="Arial"/>
          <w:sz w:val="20"/>
        </w:rPr>
        <w:t>l</w:t>
      </w:r>
      <w:r w:rsidRPr="008F419D">
        <w:rPr>
          <w:rFonts w:ascii="Arial" w:hAnsi="Arial" w:cs="Arial"/>
          <w:sz w:val="20"/>
        </w:rPr>
        <w:t>ling</w:t>
      </w:r>
      <w:proofErr w:type="spellEnd"/>
      <w:r w:rsidRPr="008F419D">
        <w:rPr>
          <w:rFonts w:ascii="Arial" w:hAnsi="Arial" w:cs="Arial"/>
          <w:sz w:val="20"/>
        </w:rPr>
        <w:t xml:space="preserve"> pathways responsible for malignant cell proliferation and restoring controlled cellular growth (6).</w:t>
      </w:r>
    </w:p>
    <w:p w:rsidR="001855B4" w:rsidRPr="008F419D" w:rsidRDefault="001855B4" w:rsidP="000E44A7">
      <w:pPr>
        <w:jc w:val="both"/>
        <w:rPr>
          <w:rFonts w:ascii="Arial" w:hAnsi="Arial" w:cs="Arial"/>
          <w:sz w:val="20"/>
        </w:rPr>
      </w:pPr>
      <w:r w:rsidRPr="008F419D">
        <w:rPr>
          <w:rFonts w:ascii="Arial" w:hAnsi="Arial" w:cs="Arial"/>
          <w:sz w:val="20"/>
        </w:rPr>
        <w:t>Cancers Treated with Tyrosine Kinase Inhibitors</w:t>
      </w:r>
    </w:p>
    <w:p w:rsidR="001855B4" w:rsidRPr="008F419D" w:rsidRDefault="001855B4" w:rsidP="000E44A7">
      <w:pPr>
        <w:jc w:val="both"/>
        <w:rPr>
          <w:rFonts w:ascii="Arial" w:hAnsi="Arial" w:cs="Arial"/>
          <w:sz w:val="20"/>
        </w:rPr>
      </w:pPr>
      <w:r w:rsidRPr="008F419D">
        <w:rPr>
          <w:rFonts w:ascii="Arial" w:hAnsi="Arial" w:cs="Arial"/>
          <w:sz w:val="20"/>
        </w:rPr>
        <w:t>Tyrosine kinase inhibitors treat several kinds of cancer, including:</w:t>
      </w:r>
    </w:p>
    <w:p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HER2-positive breast cancer.</w:t>
      </w:r>
    </w:p>
    <w:p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Chronic lymphocytic leukemia.</w:t>
      </w:r>
    </w:p>
    <w:p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Gastrointestinal stromal tumors.</w:t>
      </w:r>
    </w:p>
    <w:p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Kidney cancer.</w:t>
      </w:r>
    </w:p>
    <w:p w:rsidR="001855B4" w:rsidRPr="00AD0F1B" w:rsidRDefault="001855B4" w:rsidP="00AD0F1B">
      <w:pPr>
        <w:pStyle w:val="ListParagraph"/>
        <w:numPr>
          <w:ilvl w:val="0"/>
          <w:numId w:val="8"/>
        </w:numPr>
        <w:jc w:val="both"/>
        <w:rPr>
          <w:rFonts w:ascii="Arial" w:hAnsi="Arial" w:cs="Arial"/>
          <w:sz w:val="20"/>
        </w:rPr>
      </w:pPr>
      <w:proofErr w:type="spellStart"/>
      <w:r w:rsidRPr="00AD0F1B">
        <w:rPr>
          <w:rFonts w:ascii="Arial" w:hAnsi="Arial" w:cs="Arial"/>
          <w:sz w:val="20"/>
        </w:rPr>
        <w:t>Waldenstrom</w:t>
      </w:r>
      <w:proofErr w:type="spellEnd"/>
      <w:r w:rsidRPr="00AD0F1B">
        <w:rPr>
          <w:rFonts w:ascii="Arial" w:hAnsi="Arial" w:cs="Arial"/>
          <w:sz w:val="20"/>
        </w:rPr>
        <w:t xml:space="preserve"> macroglobulinemia.</w:t>
      </w:r>
    </w:p>
    <w:p w:rsidR="001855B4" w:rsidRPr="00AD0F1B" w:rsidRDefault="001855B4" w:rsidP="00AD0F1B">
      <w:pPr>
        <w:pStyle w:val="ListParagraph"/>
        <w:numPr>
          <w:ilvl w:val="0"/>
          <w:numId w:val="8"/>
        </w:numPr>
        <w:jc w:val="both"/>
        <w:rPr>
          <w:rFonts w:ascii="Arial" w:hAnsi="Arial" w:cs="Arial"/>
          <w:sz w:val="20"/>
        </w:rPr>
      </w:pPr>
      <w:r w:rsidRPr="00AD0F1B">
        <w:rPr>
          <w:rFonts w:ascii="Arial" w:hAnsi="Arial" w:cs="Arial"/>
          <w:sz w:val="20"/>
        </w:rPr>
        <w:t>Non-small cell lung cancer.</w:t>
      </w:r>
    </w:p>
    <w:p w:rsidR="001855B4" w:rsidRPr="00AD0F1B" w:rsidRDefault="001B0F77" w:rsidP="00AD0F1B">
      <w:pPr>
        <w:pStyle w:val="ListParagraph"/>
        <w:numPr>
          <w:ilvl w:val="0"/>
          <w:numId w:val="8"/>
        </w:numPr>
        <w:jc w:val="both"/>
        <w:rPr>
          <w:rFonts w:ascii="Arial" w:hAnsi="Arial" w:cs="Arial"/>
          <w:sz w:val="20"/>
        </w:rPr>
      </w:pPr>
      <w:proofErr w:type="gramStart"/>
      <w:r w:rsidRPr="00AD0F1B">
        <w:rPr>
          <w:rFonts w:ascii="Arial" w:hAnsi="Arial" w:cs="Arial"/>
          <w:sz w:val="20"/>
        </w:rPr>
        <w:t>Melanoma</w:t>
      </w:r>
      <w:r w:rsidR="001855B4" w:rsidRPr="00AD0F1B">
        <w:rPr>
          <w:rFonts w:ascii="Arial" w:hAnsi="Arial" w:cs="Arial"/>
          <w:sz w:val="20"/>
        </w:rPr>
        <w:t>(</w:t>
      </w:r>
      <w:proofErr w:type="gramEnd"/>
      <w:r w:rsidR="001855B4" w:rsidRPr="00AD0F1B">
        <w:rPr>
          <w:rFonts w:ascii="Arial" w:hAnsi="Arial" w:cs="Arial"/>
          <w:sz w:val="20"/>
        </w:rPr>
        <w:t>6)</w:t>
      </w:r>
    </w:p>
    <w:p w:rsidR="001B0F77" w:rsidRPr="008F419D" w:rsidRDefault="001B0F77" w:rsidP="000E44A7">
      <w:pPr>
        <w:jc w:val="both"/>
        <w:rPr>
          <w:rFonts w:ascii="Arial" w:hAnsi="Arial" w:cs="Arial"/>
          <w:sz w:val="20"/>
        </w:rPr>
      </w:pPr>
    </w:p>
    <w:p w:rsidR="001855B4" w:rsidRPr="008F419D" w:rsidRDefault="001855B4" w:rsidP="000E44A7">
      <w:pPr>
        <w:jc w:val="both"/>
        <w:rPr>
          <w:rFonts w:ascii="Arial" w:hAnsi="Arial" w:cs="Arial"/>
          <w:b/>
          <w:bCs/>
          <w:sz w:val="20"/>
        </w:rPr>
      </w:pPr>
      <w:r w:rsidRPr="008F419D">
        <w:rPr>
          <w:rFonts w:ascii="Arial" w:hAnsi="Arial" w:cs="Arial"/>
          <w:b/>
          <w:bCs/>
          <w:sz w:val="20"/>
        </w:rPr>
        <w:t>Recent Advancements in Cancer Therapy</w:t>
      </w:r>
    </w:p>
    <w:p w:rsidR="001855B4" w:rsidRPr="008F419D" w:rsidRDefault="001855B4" w:rsidP="000E44A7">
      <w:pPr>
        <w:jc w:val="both"/>
        <w:rPr>
          <w:rFonts w:ascii="Arial" w:hAnsi="Arial" w:cs="Arial"/>
          <w:sz w:val="20"/>
        </w:rPr>
      </w:pPr>
      <w:r w:rsidRPr="008F419D">
        <w:rPr>
          <w:rFonts w:ascii="Arial" w:hAnsi="Arial" w:cs="Arial"/>
          <w:sz w:val="20"/>
        </w:rPr>
        <w:t xml:space="preserve">The field of cancer immunotherapy has witnessed rapid progress, with next-generation strategies designed to enhance therapeutic efficacy and expand treatment options across diverse cancer types. Key immunotherapeutic approaches include chimeric antigen receptor (CAR) T-cell therapy, immune checkpoint inhibitors (ICIs), tumor-infiltrating lymphocyte (TIL) therapy, and cancer vaccines. Collectively, </w:t>
      </w:r>
      <w:r w:rsidRPr="008F419D">
        <w:rPr>
          <w:rFonts w:ascii="Arial" w:hAnsi="Arial" w:cs="Arial"/>
          <w:sz w:val="20"/>
        </w:rPr>
        <w:lastRenderedPageBreak/>
        <w:t>these modalities represent major advancements in harnessing the host immune system for targeted and durable anticancer responses (7).</w:t>
      </w:r>
    </w:p>
    <w:p w:rsidR="001855B4" w:rsidRPr="008F419D" w:rsidRDefault="001855B4" w:rsidP="000E44A7">
      <w:pPr>
        <w:jc w:val="both"/>
        <w:rPr>
          <w:rFonts w:ascii="Arial" w:hAnsi="Arial" w:cs="Arial"/>
          <w:b/>
          <w:bCs/>
          <w:sz w:val="20"/>
        </w:rPr>
      </w:pPr>
      <w:r w:rsidRPr="008F419D">
        <w:rPr>
          <w:rFonts w:ascii="Arial" w:hAnsi="Arial" w:cs="Arial"/>
          <w:b/>
          <w:bCs/>
          <w:sz w:val="20"/>
        </w:rPr>
        <w:t>Overview of Next-Generation Immunotherapy Strategies</w:t>
      </w:r>
    </w:p>
    <w:p w:rsidR="001855B4" w:rsidRPr="008F419D" w:rsidRDefault="001855B4" w:rsidP="000E44A7">
      <w:pPr>
        <w:jc w:val="both"/>
        <w:rPr>
          <w:rFonts w:ascii="Arial" w:hAnsi="Arial" w:cs="Arial"/>
          <w:sz w:val="20"/>
        </w:rPr>
      </w:pPr>
      <w:r w:rsidRPr="008F419D">
        <w:rPr>
          <w:rFonts w:ascii="Arial" w:hAnsi="Arial" w:cs="Arial"/>
          <w:b/>
          <w:bCs/>
          <w:sz w:val="20"/>
        </w:rPr>
        <w:t>Chimeric antigen receptor (CAR) T-cell therapy</w:t>
      </w:r>
      <w:r w:rsidRPr="008F419D">
        <w:rPr>
          <w:rFonts w:ascii="Arial" w:hAnsi="Arial" w:cs="Arial"/>
          <w:sz w:val="20"/>
        </w:rPr>
        <w:t>:</w:t>
      </w:r>
    </w:p>
    <w:p w:rsidR="001855B4" w:rsidRPr="008F419D" w:rsidRDefault="001855B4" w:rsidP="000E44A7">
      <w:pPr>
        <w:jc w:val="both"/>
        <w:rPr>
          <w:rFonts w:ascii="Arial" w:hAnsi="Arial" w:cs="Arial"/>
          <w:sz w:val="20"/>
        </w:rPr>
      </w:pPr>
      <w:r w:rsidRPr="008F419D">
        <w:rPr>
          <w:rFonts w:ascii="Arial" w:hAnsi="Arial" w:cs="Arial"/>
          <w:sz w:val="20"/>
        </w:rPr>
        <w:t>CAR T-cell therapy involves the genetic modification of patient- or donor-derived T lymphocytes to express chimeric antigen receptors that specifically recognize tumor-associated antigens. These engineered T cells are expanded ex vivo and subsequently reinfused into the patient, where they mediate potent and antigen-specific cytotoxic responses against malignant cells.</w:t>
      </w:r>
    </w:p>
    <w:p w:rsidR="001855B4" w:rsidRPr="008F419D" w:rsidRDefault="001855B4" w:rsidP="000E44A7">
      <w:pPr>
        <w:jc w:val="both"/>
        <w:rPr>
          <w:rFonts w:ascii="Arial" w:hAnsi="Arial" w:cs="Arial"/>
          <w:b/>
          <w:bCs/>
          <w:sz w:val="20"/>
        </w:rPr>
      </w:pPr>
      <w:r w:rsidRPr="008F419D">
        <w:rPr>
          <w:rFonts w:ascii="Arial" w:hAnsi="Arial" w:cs="Arial"/>
          <w:b/>
          <w:bCs/>
          <w:sz w:val="20"/>
        </w:rPr>
        <w:t>Immune checkpoint inhibitors (ICIs):</w:t>
      </w:r>
    </w:p>
    <w:p w:rsidR="001855B4" w:rsidRPr="008F419D" w:rsidRDefault="001855B4" w:rsidP="000E44A7">
      <w:pPr>
        <w:jc w:val="both"/>
        <w:rPr>
          <w:rFonts w:ascii="Arial" w:hAnsi="Arial" w:cs="Arial"/>
          <w:sz w:val="20"/>
        </w:rPr>
      </w:pPr>
      <w:r w:rsidRPr="008F419D">
        <w:rPr>
          <w:rFonts w:ascii="Arial" w:hAnsi="Arial" w:cs="Arial"/>
          <w:sz w:val="20"/>
        </w:rPr>
        <w:t xml:space="preserve">Tumor cells evade immune surveillance by expressing inhibitory ligands such as programmed death-ligand 1 (PD-L1) and CD80, which interact with immune checkpoint receptors, including programmed death-1 (PD-1) and cytotoxic T-lymphocyte-associated antigen-4 (CTLA-4), on T cells. ICIs, such as anti-CTLA-4 and anti-PD-1/PD-L1 antibodies, block these inhibitory interactions, thereby reversing </w:t>
      </w:r>
      <w:proofErr w:type="spellStart"/>
      <w:r w:rsidRPr="008F419D">
        <w:rPr>
          <w:rFonts w:ascii="Arial" w:hAnsi="Arial" w:cs="Arial"/>
          <w:sz w:val="20"/>
        </w:rPr>
        <w:t>tumo</w:t>
      </w:r>
      <w:r w:rsidR="00D96A0B">
        <w:rPr>
          <w:rFonts w:ascii="Arial" w:hAnsi="Arial" w:cs="Arial"/>
          <w:sz w:val="20"/>
        </w:rPr>
        <w:t>u</w:t>
      </w:r>
      <w:r w:rsidRPr="008F419D">
        <w:rPr>
          <w:rFonts w:ascii="Arial" w:hAnsi="Arial" w:cs="Arial"/>
          <w:sz w:val="20"/>
        </w:rPr>
        <w:t>r</w:t>
      </w:r>
      <w:proofErr w:type="spellEnd"/>
      <w:r w:rsidRPr="008F419D">
        <w:rPr>
          <w:rFonts w:ascii="Arial" w:hAnsi="Arial" w:cs="Arial"/>
          <w:sz w:val="20"/>
        </w:rPr>
        <w:t>-induced immune suppression and restoring effective T-cell-mediated antitumor immunity.</w:t>
      </w:r>
    </w:p>
    <w:p w:rsidR="001855B4" w:rsidRPr="008F419D" w:rsidRDefault="001855B4" w:rsidP="000E44A7">
      <w:pPr>
        <w:jc w:val="both"/>
        <w:rPr>
          <w:rFonts w:ascii="Arial" w:hAnsi="Arial" w:cs="Arial"/>
          <w:b/>
          <w:bCs/>
          <w:sz w:val="20"/>
        </w:rPr>
      </w:pPr>
      <w:r w:rsidRPr="008F419D">
        <w:rPr>
          <w:rFonts w:ascii="Arial" w:hAnsi="Arial" w:cs="Arial"/>
          <w:b/>
          <w:bCs/>
          <w:sz w:val="20"/>
        </w:rPr>
        <w:t>Cancer vaccines (</w:t>
      </w:r>
      <w:proofErr w:type="spellStart"/>
      <w:r w:rsidRPr="008F419D">
        <w:rPr>
          <w:rFonts w:ascii="Arial" w:hAnsi="Arial" w:cs="Arial"/>
          <w:b/>
          <w:bCs/>
          <w:sz w:val="20"/>
        </w:rPr>
        <w:t>oncovaccines</w:t>
      </w:r>
      <w:proofErr w:type="spellEnd"/>
      <w:r w:rsidRPr="008F419D">
        <w:rPr>
          <w:rFonts w:ascii="Arial" w:hAnsi="Arial" w:cs="Arial"/>
          <w:b/>
          <w:bCs/>
          <w:sz w:val="20"/>
        </w:rPr>
        <w:t>):</w:t>
      </w:r>
    </w:p>
    <w:p w:rsidR="001855B4" w:rsidRPr="008F419D" w:rsidRDefault="001855B4" w:rsidP="000E44A7">
      <w:pPr>
        <w:jc w:val="both"/>
        <w:rPr>
          <w:rFonts w:ascii="Arial" w:hAnsi="Arial" w:cs="Arial"/>
          <w:sz w:val="20"/>
        </w:rPr>
      </w:pPr>
      <w:r w:rsidRPr="008F419D">
        <w:rPr>
          <w:rFonts w:ascii="Arial" w:hAnsi="Arial" w:cs="Arial"/>
          <w:sz w:val="20"/>
        </w:rPr>
        <w:t xml:space="preserve">Personalized cancer vaccines are developed by sequencing tumor samples to identify patient-specific neoantigens, which are then </w:t>
      </w:r>
      <w:proofErr w:type="spellStart"/>
      <w:r w:rsidRPr="008F419D">
        <w:rPr>
          <w:rFonts w:ascii="Arial" w:hAnsi="Arial" w:cs="Arial"/>
          <w:sz w:val="20"/>
        </w:rPr>
        <w:t>synthesi</w:t>
      </w:r>
      <w:r w:rsidR="00D96A0B">
        <w:rPr>
          <w:rFonts w:ascii="Arial" w:hAnsi="Arial" w:cs="Arial"/>
          <w:sz w:val="20"/>
        </w:rPr>
        <w:t>s</w:t>
      </w:r>
      <w:r w:rsidRPr="008F419D">
        <w:rPr>
          <w:rFonts w:ascii="Arial" w:hAnsi="Arial" w:cs="Arial"/>
          <w:sz w:val="20"/>
        </w:rPr>
        <w:t>ed</w:t>
      </w:r>
      <w:proofErr w:type="spellEnd"/>
      <w:r w:rsidRPr="008F419D">
        <w:rPr>
          <w:rFonts w:ascii="Arial" w:hAnsi="Arial" w:cs="Arial"/>
          <w:sz w:val="20"/>
        </w:rPr>
        <w:t xml:space="preserve"> as peptides and formulated into </w:t>
      </w:r>
      <w:proofErr w:type="spellStart"/>
      <w:r w:rsidRPr="008F419D">
        <w:rPr>
          <w:rFonts w:ascii="Arial" w:hAnsi="Arial" w:cs="Arial"/>
          <w:sz w:val="20"/>
        </w:rPr>
        <w:t>individuali</w:t>
      </w:r>
      <w:r w:rsidR="00D96A0B">
        <w:rPr>
          <w:rFonts w:ascii="Arial" w:hAnsi="Arial" w:cs="Arial"/>
          <w:sz w:val="20"/>
        </w:rPr>
        <w:t>s</w:t>
      </w:r>
      <w:r w:rsidRPr="008F419D">
        <w:rPr>
          <w:rFonts w:ascii="Arial" w:hAnsi="Arial" w:cs="Arial"/>
          <w:sz w:val="20"/>
        </w:rPr>
        <w:t>ed</w:t>
      </w:r>
      <w:proofErr w:type="spellEnd"/>
      <w:r w:rsidRPr="008F419D">
        <w:rPr>
          <w:rFonts w:ascii="Arial" w:hAnsi="Arial" w:cs="Arial"/>
          <w:sz w:val="20"/>
        </w:rPr>
        <w:t xml:space="preserve"> vaccines. These vaccines stimulate targeted immune responses against </w:t>
      </w:r>
      <w:proofErr w:type="spellStart"/>
      <w:r w:rsidRPr="008F419D">
        <w:rPr>
          <w:rFonts w:ascii="Arial" w:hAnsi="Arial" w:cs="Arial"/>
          <w:sz w:val="20"/>
        </w:rPr>
        <w:t>tumo</w:t>
      </w:r>
      <w:r w:rsidR="00D96A0B">
        <w:rPr>
          <w:rFonts w:ascii="Arial" w:hAnsi="Arial" w:cs="Arial"/>
          <w:sz w:val="20"/>
        </w:rPr>
        <w:t>u</w:t>
      </w:r>
      <w:r w:rsidRPr="008F419D">
        <w:rPr>
          <w:rFonts w:ascii="Arial" w:hAnsi="Arial" w:cs="Arial"/>
          <w:sz w:val="20"/>
        </w:rPr>
        <w:t>r</w:t>
      </w:r>
      <w:proofErr w:type="spellEnd"/>
      <w:r w:rsidRPr="008F419D">
        <w:rPr>
          <w:rFonts w:ascii="Arial" w:hAnsi="Arial" w:cs="Arial"/>
          <w:sz w:val="20"/>
        </w:rPr>
        <w:t>-specific antigens and may be administered alone or in combination with CAR T-cell therapy or immune checkpoint blockade to enhance therapeutic efficacy (7)</w:t>
      </w:r>
    </w:p>
    <w:p w:rsidR="001855B4" w:rsidRPr="008F419D" w:rsidRDefault="001855B4" w:rsidP="000E44A7">
      <w:pPr>
        <w:jc w:val="both"/>
        <w:rPr>
          <w:rFonts w:ascii="Arial" w:hAnsi="Arial" w:cs="Arial"/>
          <w:b/>
          <w:bCs/>
          <w:sz w:val="20"/>
        </w:rPr>
      </w:pPr>
      <w:r w:rsidRPr="008F419D">
        <w:rPr>
          <w:rFonts w:ascii="Arial" w:hAnsi="Arial" w:cs="Arial"/>
          <w:b/>
          <w:bCs/>
          <w:sz w:val="20"/>
        </w:rPr>
        <w:t>Computational Studies</w:t>
      </w:r>
    </w:p>
    <w:p w:rsidR="001855B4" w:rsidRPr="008F419D" w:rsidRDefault="001855B4" w:rsidP="000E44A7">
      <w:pPr>
        <w:jc w:val="both"/>
        <w:rPr>
          <w:rFonts w:ascii="Arial" w:hAnsi="Arial" w:cs="Arial"/>
          <w:sz w:val="20"/>
        </w:rPr>
      </w:pPr>
      <w:r w:rsidRPr="008F419D">
        <w:rPr>
          <w:rFonts w:ascii="Arial" w:hAnsi="Arial" w:cs="Arial"/>
          <w:sz w:val="20"/>
        </w:rPr>
        <w:t>Computational studies involve the application of computer-based simulations and numerical methods, derived from numerical analysis and theoretical computer science, to address complex problems across diverse scientific disciplines. Distinct from purely theoretical approaches and experimental laboratory investigations, computational science represents a complementary paradigm that enables systematic exploration of scientific phenomena through mathematical mode</w:t>
      </w:r>
      <w:r w:rsidR="00D96A0B">
        <w:rPr>
          <w:rFonts w:ascii="Arial" w:hAnsi="Arial" w:cs="Arial"/>
          <w:sz w:val="20"/>
        </w:rPr>
        <w:t>l</w:t>
      </w:r>
      <w:r w:rsidRPr="008F419D">
        <w:rPr>
          <w:rFonts w:ascii="Arial" w:hAnsi="Arial" w:cs="Arial"/>
          <w:sz w:val="20"/>
        </w:rPr>
        <w:t>ling and simulation.</w:t>
      </w:r>
    </w:p>
    <w:p w:rsidR="001855B4" w:rsidRPr="008F419D" w:rsidRDefault="001855B4" w:rsidP="000E44A7">
      <w:pPr>
        <w:jc w:val="both"/>
        <w:rPr>
          <w:rFonts w:ascii="Arial" w:hAnsi="Arial" w:cs="Arial"/>
          <w:sz w:val="20"/>
        </w:rPr>
      </w:pPr>
      <w:r w:rsidRPr="008F419D">
        <w:rPr>
          <w:rFonts w:ascii="Arial" w:hAnsi="Arial" w:cs="Arial"/>
          <w:sz w:val="20"/>
        </w:rPr>
        <w:t xml:space="preserve">In this approach, scientists and engineers develop computational models that mathematically represent real-world systems and implement these models using specialized software and programming frameworks. By executing simulations under varying input parameters, researchers can </w:t>
      </w:r>
      <w:proofErr w:type="spellStart"/>
      <w:r w:rsidRPr="008F419D">
        <w:rPr>
          <w:rFonts w:ascii="Arial" w:hAnsi="Arial" w:cs="Arial"/>
          <w:sz w:val="20"/>
        </w:rPr>
        <w:t>analy</w:t>
      </w:r>
      <w:r w:rsidR="00D96A0B">
        <w:rPr>
          <w:rFonts w:ascii="Arial" w:hAnsi="Arial" w:cs="Arial"/>
          <w:sz w:val="20"/>
        </w:rPr>
        <w:t>s</w:t>
      </w:r>
      <w:r w:rsidRPr="008F419D">
        <w:rPr>
          <w:rFonts w:ascii="Arial" w:hAnsi="Arial" w:cs="Arial"/>
          <w:sz w:val="20"/>
        </w:rPr>
        <w:t>e</w:t>
      </w:r>
      <w:proofErr w:type="spellEnd"/>
      <w:r w:rsidRPr="008F419D">
        <w:rPr>
          <w:rFonts w:ascii="Arial" w:hAnsi="Arial" w:cs="Arial"/>
          <w:sz w:val="20"/>
        </w:rPr>
        <w:t xml:space="preserve"> system behavior, predict outcomes, and gain mechanistic insights that may be difficult or costly to obtain experimentally. The core of computational science lies in the use of numerical algorithms and computational mathematics to solve large-scale, often nonlinear problems.</w:t>
      </w:r>
    </w:p>
    <w:p w:rsidR="004810C5" w:rsidRPr="008F419D" w:rsidRDefault="001855B4" w:rsidP="000E44A7">
      <w:pPr>
        <w:jc w:val="both"/>
        <w:rPr>
          <w:rFonts w:ascii="Arial" w:hAnsi="Arial" w:cs="Arial"/>
          <w:sz w:val="20"/>
        </w:rPr>
      </w:pPr>
      <w:r w:rsidRPr="008F419D">
        <w:rPr>
          <w:rFonts w:ascii="Arial" w:hAnsi="Arial" w:cs="Arial"/>
          <w:sz w:val="20"/>
        </w:rPr>
        <w:t>Many computational models require extensive floating-point calculations and high computational power, necessitating the use of supercomputers or distributed and high-performance computing platforms to efficiently process complex datasets and simulations (8).</w:t>
      </w:r>
    </w:p>
    <w:p w:rsidR="001855B4" w:rsidRPr="008F419D" w:rsidRDefault="008465D3" w:rsidP="000E44A7">
      <w:pPr>
        <w:jc w:val="both"/>
        <w:rPr>
          <w:rFonts w:ascii="Arial" w:hAnsi="Arial" w:cs="Arial"/>
          <w:b/>
          <w:bCs/>
          <w:sz w:val="20"/>
        </w:rPr>
      </w:pPr>
      <w:r>
        <w:rPr>
          <w:rFonts w:ascii="Arial" w:hAnsi="Arial" w:cs="Arial"/>
          <w:b/>
          <w:bCs/>
          <w:sz w:val="20"/>
        </w:rPr>
        <w:t>a</w:t>
      </w:r>
      <w:r w:rsidR="001855B4" w:rsidRPr="008F419D">
        <w:rPr>
          <w:rFonts w:ascii="Arial" w:hAnsi="Arial" w:cs="Arial"/>
          <w:b/>
          <w:bCs/>
          <w:sz w:val="20"/>
        </w:rPr>
        <w:t>. Lipinski’s Rule of Five</w:t>
      </w:r>
    </w:p>
    <w:p w:rsidR="001855B4" w:rsidRPr="008F419D" w:rsidRDefault="001855B4" w:rsidP="000E44A7">
      <w:pPr>
        <w:jc w:val="both"/>
        <w:rPr>
          <w:rFonts w:ascii="Arial" w:hAnsi="Arial" w:cs="Arial"/>
          <w:sz w:val="20"/>
        </w:rPr>
      </w:pPr>
      <w:r w:rsidRPr="008F419D">
        <w:rPr>
          <w:rFonts w:ascii="Arial" w:hAnsi="Arial" w:cs="Arial"/>
          <w:sz w:val="20"/>
        </w:rPr>
        <w:t>Lipinski’s Rule of Five is a widely accepted guideline in drug discovery used to differentiate between drug-like and non–drug-like molecules and to predict the likelihood of oral bioavailability. According to this rule, compounds that comply with at least four of the five criteria exhibit a higher probability of favorable pharmacokinetic behavior, whereas molecules violating two or more rules are more likely to demonstrate poor absorption or permeation.</w:t>
      </w:r>
    </w:p>
    <w:p w:rsidR="001855B4" w:rsidRPr="008F419D" w:rsidRDefault="001855B4" w:rsidP="000E44A7">
      <w:pPr>
        <w:jc w:val="both"/>
        <w:rPr>
          <w:rFonts w:ascii="Arial" w:hAnsi="Arial" w:cs="Arial"/>
          <w:sz w:val="20"/>
        </w:rPr>
      </w:pPr>
      <w:r w:rsidRPr="008F419D">
        <w:rPr>
          <w:rFonts w:ascii="Arial" w:hAnsi="Arial" w:cs="Arial"/>
          <w:sz w:val="20"/>
        </w:rPr>
        <w:t xml:space="preserve">The rule states that an orally active drug candidate generally exhibits no more than one violation of the following physicochemical parameters: molecular weight ≤ 500 Da, octanol–water partition coefficient </w:t>
      </w:r>
      <w:r w:rsidRPr="008F419D">
        <w:rPr>
          <w:rFonts w:ascii="Arial" w:hAnsi="Arial" w:cs="Arial"/>
          <w:sz w:val="20"/>
        </w:rPr>
        <w:lastRenderedPageBreak/>
        <w:t>(</w:t>
      </w:r>
      <w:proofErr w:type="spellStart"/>
      <w:r w:rsidRPr="008F419D">
        <w:rPr>
          <w:rFonts w:ascii="Arial" w:hAnsi="Arial" w:cs="Arial"/>
          <w:sz w:val="20"/>
        </w:rPr>
        <w:t>logP</w:t>
      </w:r>
      <w:proofErr w:type="spellEnd"/>
      <w:r w:rsidRPr="008F419D">
        <w:rPr>
          <w:rFonts w:ascii="Arial" w:hAnsi="Arial" w:cs="Arial"/>
          <w:sz w:val="20"/>
        </w:rPr>
        <w:t>) ≤ 5, hydrogen bond donors ≤ 5, and hydrogen bond acceptors ≤ 10. These criteria provide an early-stage assessment of drug-likeness and help prioritize compounds with a higher probability of success in drug development (9).</w:t>
      </w:r>
    </w:p>
    <w:p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Molecular mass less than 500 Dalton</w:t>
      </w:r>
    </w:p>
    <w:p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 xml:space="preserve">High lipophilicity (expressed as </w:t>
      </w:r>
      <w:proofErr w:type="spellStart"/>
      <w:r w:rsidRPr="008F419D">
        <w:rPr>
          <w:rFonts w:ascii="Arial" w:hAnsi="Arial" w:cs="Arial"/>
          <w:sz w:val="20"/>
        </w:rPr>
        <w:t>LogP</w:t>
      </w:r>
      <w:proofErr w:type="spellEnd"/>
      <w:r w:rsidRPr="008F419D">
        <w:rPr>
          <w:rFonts w:ascii="Arial" w:hAnsi="Arial" w:cs="Arial"/>
          <w:sz w:val="20"/>
        </w:rPr>
        <w:t xml:space="preserve"> less than 5)</w:t>
      </w:r>
    </w:p>
    <w:p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Less than 5 hydrogen bond donors</w:t>
      </w:r>
    </w:p>
    <w:p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Less than 10 hydrogen bond acceptors</w:t>
      </w:r>
    </w:p>
    <w:p w:rsidR="004810C5" w:rsidRPr="008F419D" w:rsidRDefault="004810C5" w:rsidP="000E44A7">
      <w:pPr>
        <w:pStyle w:val="ListParagraph"/>
        <w:numPr>
          <w:ilvl w:val="0"/>
          <w:numId w:val="3"/>
        </w:numPr>
        <w:jc w:val="both"/>
        <w:rPr>
          <w:rFonts w:ascii="Arial" w:hAnsi="Arial" w:cs="Arial"/>
          <w:sz w:val="20"/>
        </w:rPr>
      </w:pPr>
      <w:r w:rsidRPr="008F419D">
        <w:rPr>
          <w:rFonts w:ascii="Arial" w:hAnsi="Arial" w:cs="Arial"/>
          <w:sz w:val="20"/>
        </w:rPr>
        <w:t>Molar refractivity should be between 40-130</w:t>
      </w:r>
    </w:p>
    <w:p w:rsidR="004810C5" w:rsidRPr="008F419D" w:rsidRDefault="008465D3" w:rsidP="000E44A7">
      <w:pPr>
        <w:jc w:val="both"/>
        <w:rPr>
          <w:rFonts w:ascii="Arial" w:hAnsi="Arial" w:cs="Arial"/>
          <w:b/>
          <w:bCs/>
          <w:sz w:val="20"/>
        </w:rPr>
      </w:pPr>
      <w:r>
        <w:rPr>
          <w:rFonts w:ascii="Arial" w:hAnsi="Arial" w:cs="Arial"/>
          <w:b/>
          <w:bCs/>
          <w:sz w:val="20"/>
        </w:rPr>
        <w:t>b</w:t>
      </w:r>
      <w:r w:rsidR="004810C5" w:rsidRPr="008F419D">
        <w:rPr>
          <w:rFonts w:ascii="Arial" w:hAnsi="Arial" w:cs="Arial"/>
          <w:b/>
          <w:bCs/>
          <w:sz w:val="20"/>
        </w:rPr>
        <w:t>. ADMET Studies</w:t>
      </w:r>
    </w:p>
    <w:p w:rsidR="004810C5" w:rsidRPr="008F419D" w:rsidRDefault="004810C5" w:rsidP="006F6DF7">
      <w:pPr>
        <w:spacing w:before="240"/>
        <w:jc w:val="both"/>
        <w:rPr>
          <w:rFonts w:ascii="Arial" w:hAnsi="Arial" w:cs="Arial"/>
          <w:sz w:val="20"/>
        </w:rPr>
      </w:pPr>
      <w:r w:rsidRPr="008F419D">
        <w:rPr>
          <w:rFonts w:ascii="Arial" w:hAnsi="Arial" w:cs="Arial"/>
          <w:sz w:val="20"/>
        </w:rPr>
        <w:t xml:space="preserve">In silico ADMET analysis was conducted using the </w:t>
      </w:r>
      <w:proofErr w:type="spellStart"/>
      <w:r w:rsidRPr="008F419D">
        <w:rPr>
          <w:rFonts w:ascii="Arial" w:hAnsi="Arial" w:cs="Arial"/>
          <w:sz w:val="20"/>
        </w:rPr>
        <w:t>PreADMET</w:t>
      </w:r>
      <w:proofErr w:type="spellEnd"/>
      <w:r w:rsidRPr="008F419D">
        <w:rPr>
          <w:rFonts w:ascii="Arial" w:hAnsi="Arial" w:cs="Arial"/>
          <w:sz w:val="20"/>
        </w:rPr>
        <w:t xml:space="preserve"> online web server</w:t>
      </w:r>
      <w:r w:rsidR="00DF0AC2" w:rsidRPr="008F419D">
        <w:rPr>
          <w:rFonts w:ascii="Arial" w:hAnsi="Arial" w:cs="Arial"/>
          <w:sz w:val="20"/>
        </w:rPr>
        <w:t xml:space="preserve"> (</w:t>
      </w:r>
      <w:hyperlink r:id="rId7" w:history="1">
        <w:r w:rsidR="006F6DF7" w:rsidRPr="008F419D">
          <w:rPr>
            <w:rStyle w:val="Hyperlink"/>
            <w:rFonts w:ascii="Arial" w:hAnsi="Arial" w:cs="Arial"/>
            <w:sz w:val="20"/>
          </w:rPr>
          <w:t>https://preadmet.webservice.bmdrc.org/</w:t>
        </w:r>
      </w:hyperlink>
      <w:r w:rsidR="006F6DF7" w:rsidRPr="008F419D">
        <w:rPr>
          <w:rStyle w:val="Hyperlink"/>
          <w:rFonts w:ascii="Arial" w:hAnsi="Arial" w:cs="Arial"/>
          <w:sz w:val="20"/>
        </w:rPr>
        <w:t xml:space="preserve"> ) </w:t>
      </w:r>
      <w:r w:rsidRPr="008F419D">
        <w:rPr>
          <w:rFonts w:ascii="Arial" w:hAnsi="Arial" w:cs="Arial"/>
          <w:sz w:val="20"/>
        </w:rPr>
        <w:t>to predict the physicochemical properties, absorption, distribution, metabolism, excretion, and toxicity profiles of the selected ligands. The chemical structures were submitted in SMILES format to evaluate key pharmacokinetic parameters, including human intestinal absorption, Caco-2 cell permeability, blood–brain barrier penetration, plasma protein binding, and cytochrome P450 inhibition potential, along with toxicity endpoints such as Ames mutagenicity, carcinogenicity, and acute toxicity. This comprehensive in silico screening approach facilitates the early identification of potential pharmacokinetic and safety liabilities and supports the rational selection and optimization of promising drug-like candidates prior to experimental validation (10).</w:t>
      </w:r>
    </w:p>
    <w:p w:rsidR="004810C5" w:rsidRPr="008F419D" w:rsidRDefault="008465D3" w:rsidP="000E44A7">
      <w:pPr>
        <w:jc w:val="both"/>
        <w:rPr>
          <w:rFonts w:ascii="Arial" w:hAnsi="Arial" w:cs="Arial"/>
          <w:color w:val="FF0000"/>
          <w:sz w:val="20"/>
        </w:rPr>
      </w:pPr>
      <w:r>
        <w:rPr>
          <w:rFonts w:ascii="Arial" w:hAnsi="Arial" w:cs="Arial"/>
          <w:b/>
          <w:sz w:val="20"/>
        </w:rPr>
        <w:t>c</w:t>
      </w:r>
      <w:r w:rsidR="004810C5" w:rsidRPr="008F419D">
        <w:rPr>
          <w:rFonts w:ascii="Arial" w:hAnsi="Arial" w:cs="Arial"/>
          <w:b/>
          <w:sz w:val="20"/>
        </w:rPr>
        <w:t xml:space="preserve">. </w:t>
      </w:r>
      <w:proofErr w:type="spellStart"/>
      <w:r w:rsidR="004810C5" w:rsidRPr="008F419D">
        <w:rPr>
          <w:rFonts w:ascii="Arial" w:hAnsi="Arial" w:cs="Arial"/>
          <w:b/>
          <w:sz w:val="20"/>
        </w:rPr>
        <w:t>Molinspiration</w:t>
      </w:r>
      <w:proofErr w:type="spellEnd"/>
    </w:p>
    <w:p w:rsidR="008465D3" w:rsidRPr="008F419D" w:rsidRDefault="004810C5" w:rsidP="000E44A7">
      <w:pPr>
        <w:jc w:val="both"/>
        <w:rPr>
          <w:rFonts w:ascii="Arial" w:hAnsi="Arial" w:cs="Arial"/>
          <w:sz w:val="20"/>
        </w:rPr>
      </w:pPr>
      <w:r w:rsidRPr="008F419D">
        <w:rPr>
          <w:rFonts w:ascii="Arial" w:hAnsi="Arial" w:cs="Arial"/>
          <w:sz w:val="20"/>
        </w:rPr>
        <w:t xml:space="preserve">The </w:t>
      </w:r>
      <w:proofErr w:type="spellStart"/>
      <w:r w:rsidRPr="008F419D">
        <w:rPr>
          <w:rFonts w:ascii="Arial" w:hAnsi="Arial" w:cs="Arial"/>
          <w:sz w:val="20"/>
        </w:rPr>
        <w:t>Molinspiration</w:t>
      </w:r>
      <w:proofErr w:type="spellEnd"/>
      <w:r w:rsidRPr="008F419D">
        <w:rPr>
          <w:rFonts w:ascii="Arial" w:hAnsi="Arial" w:cs="Arial"/>
          <w:sz w:val="20"/>
        </w:rPr>
        <w:t xml:space="preserve"> online web tool was employed to predict the physicochemical properties of the selected ligands using the web-based program available at </w:t>
      </w:r>
      <w:r w:rsidR="00DF0AC2" w:rsidRPr="008F419D">
        <w:rPr>
          <w:rFonts w:ascii="Arial" w:hAnsi="Arial" w:cs="Arial"/>
          <w:sz w:val="20"/>
        </w:rPr>
        <w:t>(</w:t>
      </w:r>
      <w:hyperlink r:id="rId8" w:tgtFrame="_new" w:history="1">
        <w:r w:rsidR="006F6DF7" w:rsidRPr="008F419D">
          <w:rPr>
            <w:rStyle w:val="Hyperlink"/>
            <w:rFonts w:ascii="Arial" w:hAnsi="Arial" w:cs="Arial"/>
            <w:sz w:val="20"/>
          </w:rPr>
          <w:t>https://www.molinspiration.com/</w:t>
        </w:r>
      </w:hyperlink>
      <w:r w:rsidR="00DF0AC2" w:rsidRPr="008F419D">
        <w:rPr>
          <w:rFonts w:ascii="Arial" w:hAnsi="Arial" w:cs="Arial"/>
          <w:sz w:val="20"/>
        </w:rPr>
        <w:t>)</w:t>
      </w:r>
      <w:r w:rsidRPr="008F419D">
        <w:rPr>
          <w:rFonts w:ascii="Arial" w:hAnsi="Arial" w:cs="Arial"/>
          <w:sz w:val="20"/>
        </w:rPr>
        <w:t>This tool facilitates rapid in silico evaluation of key molecular descriptors essential for assessing drug-likeness and oral bioavailability. Ligand structures were uploaded in appropriate structural formats, and parameters including molecular weight, octanol–water partition coefficient (</w:t>
      </w:r>
      <w:proofErr w:type="spellStart"/>
      <w:r w:rsidRPr="008F419D">
        <w:rPr>
          <w:rFonts w:ascii="Arial" w:hAnsi="Arial" w:cs="Arial"/>
          <w:sz w:val="20"/>
        </w:rPr>
        <w:t>logP</w:t>
      </w:r>
      <w:proofErr w:type="spellEnd"/>
      <w:r w:rsidRPr="008F419D">
        <w:rPr>
          <w:rFonts w:ascii="Arial" w:hAnsi="Arial" w:cs="Arial"/>
          <w:sz w:val="20"/>
        </w:rPr>
        <w:t xml:space="preserve">), number of hydrogen bond donors and acceptors, topological polar surface area (TPSA), number of rotatable bonds, and compliance with Lipinski’s rule of five were calculated. These physicochemical descriptors provide valuable insights into the absorption, distribution, and permeability characteristics of the compounds. </w:t>
      </w:r>
      <w:proofErr w:type="spellStart"/>
      <w:r w:rsidRPr="008F419D">
        <w:rPr>
          <w:rFonts w:ascii="Arial" w:hAnsi="Arial" w:cs="Arial"/>
          <w:sz w:val="20"/>
        </w:rPr>
        <w:t>Molinspiration</w:t>
      </w:r>
      <w:proofErr w:type="spellEnd"/>
      <w:r w:rsidRPr="008F419D">
        <w:rPr>
          <w:rFonts w:ascii="Arial" w:hAnsi="Arial" w:cs="Arial"/>
          <w:sz w:val="20"/>
        </w:rPr>
        <w:t xml:space="preserve"> predictions supported the preliminary screening and optimization of ligands by identifying molecules with favorable drug-like properties prior to molecular docking and further pharmacokinetic evaluation.</w:t>
      </w:r>
    </w:p>
    <w:p w:rsidR="004810C5" w:rsidRPr="008F419D" w:rsidRDefault="008465D3" w:rsidP="000E44A7">
      <w:pPr>
        <w:jc w:val="both"/>
        <w:rPr>
          <w:rFonts w:ascii="Arial" w:hAnsi="Arial" w:cs="Arial"/>
          <w:b/>
          <w:bCs/>
          <w:sz w:val="20"/>
        </w:rPr>
      </w:pPr>
      <w:r>
        <w:rPr>
          <w:rFonts w:ascii="Arial" w:hAnsi="Arial" w:cs="Arial"/>
          <w:b/>
          <w:bCs/>
          <w:sz w:val="20"/>
        </w:rPr>
        <w:t>d</w:t>
      </w:r>
      <w:r w:rsidR="004810C5" w:rsidRPr="008F419D">
        <w:rPr>
          <w:rFonts w:ascii="Arial" w:hAnsi="Arial" w:cs="Arial"/>
          <w:b/>
          <w:bCs/>
          <w:sz w:val="20"/>
        </w:rPr>
        <w:t>. Molecular Docking</w:t>
      </w:r>
    </w:p>
    <w:p w:rsidR="004810C5" w:rsidRPr="008F419D" w:rsidRDefault="004810C5" w:rsidP="000E44A7">
      <w:pPr>
        <w:jc w:val="both"/>
        <w:rPr>
          <w:rFonts w:ascii="Arial" w:hAnsi="Arial" w:cs="Arial"/>
          <w:sz w:val="20"/>
        </w:rPr>
      </w:pPr>
      <w:r w:rsidRPr="008F419D">
        <w:rPr>
          <w:rFonts w:ascii="Arial" w:hAnsi="Arial" w:cs="Arial"/>
          <w:sz w:val="20"/>
        </w:rPr>
        <w:t xml:space="preserve">Molecular docking studies were conducted using </w:t>
      </w:r>
      <w:proofErr w:type="spellStart"/>
      <w:r w:rsidRPr="008F419D">
        <w:rPr>
          <w:rFonts w:ascii="Arial" w:hAnsi="Arial" w:cs="Arial"/>
          <w:sz w:val="20"/>
        </w:rPr>
        <w:t>Molegro</w:t>
      </w:r>
      <w:proofErr w:type="spellEnd"/>
      <w:r w:rsidRPr="008F419D">
        <w:rPr>
          <w:rFonts w:ascii="Arial" w:hAnsi="Arial" w:cs="Arial"/>
          <w:sz w:val="20"/>
        </w:rPr>
        <w:t xml:space="preserve"> Virtual Docker (MVD) version 6.0 to investigate the binding interactions between the selected ligands and the target protein. The three-dimensional structure of the protein was retrieved from the Protein Data Bank (PDB) and prepared by removing water molecules, adding hydrogen atoms, and assigning appropriate charges. Ligand structures were energy-</w:t>
      </w:r>
      <w:proofErr w:type="spellStart"/>
      <w:r w:rsidRPr="008F419D">
        <w:rPr>
          <w:rFonts w:ascii="Arial" w:hAnsi="Arial" w:cs="Arial"/>
          <w:sz w:val="20"/>
        </w:rPr>
        <w:t>minimi</w:t>
      </w:r>
      <w:r w:rsidR="00D96A0B">
        <w:rPr>
          <w:rFonts w:ascii="Arial" w:hAnsi="Arial" w:cs="Arial"/>
          <w:sz w:val="20"/>
        </w:rPr>
        <w:t>s</w:t>
      </w:r>
      <w:r w:rsidRPr="008F419D">
        <w:rPr>
          <w:rFonts w:ascii="Arial" w:hAnsi="Arial" w:cs="Arial"/>
          <w:sz w:val="20"/>
        </w:rPr>
        <w:t>ed</w:t>
      </w:r>
      <w:proofErr w:type="spellEnd"/>
      <w:r w:rsidRPr="008F419D">
        <w:rPr>
          <w:rFonts w:ascii="Arial" w:hAnsi="Arial" w:cs="Arial"/>
          <w:sz w:val="20"/>
        </w:rPr>
        <w:t xml:space="preserve"> prior to docking to obtain stable conformations.</w:t>
      </w:r>
    </w:p>
    <w:p w:rsidR="004810C5" w:rsidRPr="008F419D" w:rsidRDefault="004810C5" w:rsidP="000E44A7">
      <w:pPr>
        <w:jc w:val="both"/>
        <w:rPr>
          <w:rFonts w:ascii="Arial" w:hAnsi="Arial" w:cs="Arial"/>
          <w:sz w:val="20"/>
        </w:rPr>
      </w:pPr>
      <w:r w:rsidRPr="008F419D">
        <w:rPr>
          <w:rFonts w:ascii="Arial" w:hAnsi="Arial" w:cs="Arial"/>
          <w:sz w:val="20"/>
        </w:rPr>
        <w:t xml:space="preserve">The active binding site was identified based on the position of the co-crystallized ligand and further confirmed using the cavity detection module of MVD. Docking simulations were performed using the </w:t>
      </w:r>
      <w:proofErr w:type="spellStart"/>
      <w:r w:rsidRPr="008F419D">
        <w:rPr>
          <w:rFonts w:ascii="Arial" w:hAnsi="Arial" w:cs="Arial"/>
          <w:sz w:val="20"/>
        </w:rPr>
        <w:t>MolDock</w:t>
      </w:r>
      <w:proofErr w:type="spellEnd"/>
      <w:r w:rsidRPr="008F419D">
        <w:rPr>
          <w:rFonts w:ascii="Arial" w:hAnsi="Arial" w:cs="Arial"/>
          <w:sz w:val="20"/>
        </w:rPr>
        <w:t xml:space="preserve"> scoring function with a grid resolution of 0.30 Å, generating multiple binding poses for each ligand. The most favorable docked conformation was selected based on the lowest </w:t>
      </w:r>
      <w:proofErr w:type="spellStart"/>
      <w:r w:rsidRPr="008F419D">
        <w:rPr>
          <w:rFonts w:ascii="Arial" w:hAnsi="Arial" w:cs="Arial"/>
          <w:sz w:val="20"/>
        </w:rPr>
        <w:t>MolDock</w:t>
      </w:r>
      <w:proofErr w:type="spellEnd"/>
      <w:r w:rsidRPr="008F419D">
        <w:rPr>
          <w:rFonts w:ascii="Arial" w:hAnsi="Arial" w:cs="Arial"/>
          <w:sz w:val="20"/>
        </w:rPr>
        <w:t xml:space="preserve"> score and optimal interaction energy. Protein–ligand interactions, including hydrogen bonds, hydrophobic contacts, and electrostatic interactions, were analyzed to elucidate the binding affinity and possible molecular mechanism of action of the ligands</w:t>
      </w:r>
      <w:r w:rsidR="00D96A0B">
        <w:rPr>
          <w:rFonts w:ascii="Arial" w:hAnsi="Arial" w:cs="Arial"/>
          <w:sz w:val="20"/>
        </w:rPr>
        <w:t>.</w:t>
      </w:r>
    </w:p>
    <w:p w:rsidR="0043255D" w:rsidRPr="00845D1A" w:rsidRDefault="00845D1A" w:rsidP="00845D1A">
      <w:pPr>
        <w:pStyle w:val="ListParagraph"/>
        <w:numPr>
          <w:ilvl w:val="0"/>
          <w:numId w:val="2"/>
        </w:numPr>
        <w:jc w:val="both"/>
        <w:rPr>
          <w:rFonts w:ascii="Arial" w:hAnsi="Arial" w:cs="Arial"/>
          <w:b/>
          <w:bCs/>
          <w:szCs w:val="22"/>
        </w:rPr>
      </w:pPr>
      <w:r w:rsidRPr="00845D1A">
        <w:rPr>
          <w:rFonts w:ascii="Arial" w:hAnsi="Arial" w:cs="Arial"/>
          <w:b/>
          <w:bCs/>
          <w:szCs w:val="22"/>
        </w:rPr>
        <w:t>MATERIALS AND METHODS</w:t>
      </w:r>
    </w:p>
    <w:p w:rsidR="004810C5" w:rsidRPr="00845D1A" w:rsidRDefault="0043255D" w:rsidP="000E44A7">
      <w:pPr>
        <w:jc w:val="both"/>
        <w:rPr>
          <w:rFonts w:ascii="Arial" w:hAnsi="Arial" w:cs="Arial"/>
          <w:sz w:val="20"/>
        </w:rPr>
      </w:pPr>
      <w:r w:rsidRPr="00845D1A">
        <w:rPr>
          <w:rFonts w:ascii="Arial" w:hAnsi="Arial" w:cs="Arial"/>
          <w:sz w:val="20"/>
        </w:rPr>
        <w:t xml:space="preserve">All computational studies were performed on a high-performance computer system with the latest configuration to ensure accurate and efficient execution of molecular modeling tasks. Molecular docking </w:t>
      </w:r>
      <w:r w:rsidRPr="00845D1A">
        <w:rPr>
          <w:rFonts w:ascii="Arial" w:hAnsi="Arial" w:cs="Arial"/>
          <w:sz w:val="20"/>
        </w:rPr>
        <w:lastRenderedPageBreak/>
        <w:t xml:space="preserve">and in silico analyses were carried out using </w:t>
      </w:r>
      <w:proofErr w:type="spellStart"/>
      <w:r w:rsidRPr="00845D1A">
        <w:rPr>
          <w:rFonts w:ascii="Arial" w:hAnsi="Arial" w:cs="Arial"/>
          <w:sz w:val="20"/>
        </w:rPr>
        <w:t>Molegro</w:t>
      </w:r>
      <w:proofErr w:type="spellEnd"/>
      <w:r w:rsidRPr="00845D1A">
        <w:rPr>
          <w:rFonts w:ascii="Arial" w:hAnsi="Arial" w:cs="Arial"/>
          <w:sz w:val="20"/>
        </w:rPr>
        <w:t xml:space="preserve"> Virtual Docker (MVD) software. The advanced hardware setup enabled rapid conformational searching, precise scoring, and reliable </w:t>
      </w:r>
      <w:proofErr w:type="spellStart"/>
      <w:r w:rsidRPr="00845D1A">
        <w:rPr>
          <w:rFonts w:ascii="Arial" w:hAnsi="Arial" w:cs="Arial"/>
          <w:sz w:val="20"/>
        </w:rPr>
        <w:t>visuali</w:t>
      </w:r>
      <w:r w:rsidR="00D96A0B">
        <w:rPr>
          <w:rFonts w:ascii="Arial" w:hAnsi="Arial" w:cs="Arial"/>
          <w:sz w:val="20"/>
        </w:rPr>
        <w:t>s</w:t>
      </w:r>
      <w:r w:rsidRPr="00845D1A">
        <w:rPr>
          <w:rFonts w:ascii="Arial" w:hAnsi="Arial" w:cs="Arial"/>
          <w:sz w:val="20"/>
        </w:rPr>
        <w:t>ation</w:t>
      </w:r>
      <w:proofErr w:type="spellEnd"/>
      <w:r w:rsidRPr="00845D1A">
        <w:rPr>
          <w:rFonts w:ascii="Arial" w:hAnsi="Arial" w:cs="Arial"/>
          <w:sz w:val="20"/>
        </w:rPr>
        <w:t xml:space="preserve"> of protein–ligand interactions. The use of updated computational resources </w:t>
      </w:r>
      <w:proofErr w:type="spellStart"/>
      <w:r w:rsidRPr="00845D1A">
        <w:rPr>
          <w:rFonts w:ascii="Arial" w:hAnsi="Arial" w:cs="Arial"/>
          <w:sz w:val="20"/>
        </w:rPr>
        <w:t>minimi</w:t>
      </w:r>
      <w:r w:rsidR="00D96A0B">
        <w:rPr>
          <w:rFonts w:ascii="Arial" w:hAnsi="Arial" w:cs="Arial"/>
          <w:sz w:val="20"/>
        </w:rPr>
        <w:t>s</w:t>
      </w:r>
      <w:r w:rsidRPr="00845D1A">
        <w:rPr>
          <w:rFonts w:ascii="Arial" w:hAnsi="Arial" w:cs="Arial"/>
          <w:sz w:val="20"/>
        </w:rPr>
        <w:t>ed</w:t>
      </w:r>
      <w:proofErr w:type="spellEnd"/>
      <w:r w:rsidRPr="00845D1A">
        <w:rPr>
          <w:rFonts w:ascii="Arial" w:hAnsi="Arial" w:cs="Arial"/>
          <w:sz w:val="20"/>
        </w:rPr>
        <w:t xml:space="preserve"> calculation errors and reduced processing time, thereby improving the reliability and reproducibility of the docking results. This computational approach provided a robust platform for evaluating the binding affinity and interaction patterns of the selected ligands with the target protein at the molecular level.</w:t>
      </w:r>
    </w:p>
    <w:p w:rsidR="0043255D" w:rsidRDefault="00AD0F1B" w:rsidP="000E44A7">
      <w:pPr>
        <w:jc w:val="both"/>
        <w:rPr>
          <w:rFonts w:ascii="Arial" w:hAnsi="Arial" w:cs="Arial"/>
          <w:b/>
          <w:sz w:val="20"/>
        </w:rPr>
      </w:pPr>
      <w:r>
        <w:rPr>
          <w:rFonts w:ascii="Arial" w:hAnsi="Arial" w:cs="Arial"/>
          <w:b/>
          <w:sz w:val="20"/>
        </w:rPr>
        <w:t>Data Set o</w:t>
      </w:r>
      <w:r w:rsidRPr="00845D1A">
        <w:rPr>
          <w:rFonts w:ascii="Arial" w:hAnsi="Arial" w:cs="Arial"/>
          <w:b/>
          <w:sz w:val="20"/>
        </w:rPr>
        <w:t>f Compounds</w:t>
      </w:r>
    </w:p>
    <w:p w:rsidR="005A5C77" w:rsidRPr="00845D1A" w:rsidRDefault="005A5C77" w:rsidP="000E44A7">
      <w:pPr>
        <w:jc w:val="both"/>
        <w:rPr>
          <w:rFonts w:ascii="Arial" w:hAnsi="Arial" w:cs="Arial"/>
          <w:b/>
          <w:sz w:val="20"/>
        </w:rPr>
      </w:pPr>
    </w:p>
    <w:p w:rsidR="00D96A0B" w:rsidRDefault="005F2BE2" w:rsidP="00B17BD7">
      <w:pPr>
        <w:jc w:val="center"/>
        <w:rPr>
          <w:rFonts w:ascii="Arial" w:hAnsi="Arial" w:cs="Arial"/>
          <w:sz w:val="20"/>
        </w:rPr>
      </w:pPr>
      <w:r>
        <w:rPr>
          <w:rFonts w:ascii="Arial" w:hAnsi="Arial" w:cs="Arial"/>
          <w:sz w:val="20"/>
        </w:rPr>
        <w:t>IMAGE 1:</w:t>
      </w:r>
      <w:r w:rsidRPr="005F2BE2">
        <w:t xml:space="preserve"> </w:t>
      </w:r>
      <w:r w:rsidRPr="005F2BE2">
        <w:rPr>
          <w:rFonts w:ascii="Arial" w:hAnsi="Arial" w:cs="Arial"/>
          <w:sz w:val="20"/>
        </w:rPr>
        <w:t>Compound</w:t>
      </w:r>
      <w:r>
        <w:rPr>
          <w:rFonts w:ascii="Arial" w:hAnsi="Arial" w:cs="Arial"/>
          <w:sz w:val="20"/>
        </w:rPr>
        <w:t xml:space="preserve"> of </w:t>
      </w:r>
      <w:r w:rsidRPr="005F2BE2">
        <w:rPr>
          <w:rFonts w:ascii="Arial" w:hAnsi="Arial" w:cs="Arial"/>
          <w:sz w:val="20"/>
        </w:rPr>
        <w:t xml:space="preserve">Molecular docking and in silico analyses using </w:t>
      </w:r>
      <w:proofErr w:type="spellStart"/>
      <w:r w:rsidRPr="005F2BE2">
        <w:rPr>
          <w:rFonts w:ascii="Arial" w:hAnsi="Arial" w:cs="Arial"/>
          <w:sz w:val="20"/>
        </w:rPr>
        <w:t>Molegro</w:t>
      </w:r>
      <w:proofErr w:type="spellEnd"/>
      <w:r w:rsidRPr="005F2BE2">
        <w:rPr>
          <w:rFonts w:ascii="Arial" w:hAnsi="Arial" w:cs="Arial"/>
          <w:sz w:val="20"/>
        </w:rPr>
        <w:t xml:space="preserve"> Virtual</w:t>
      </w:r>
      <w:r>
        <w:rPr>
          <w:rFonts w:ascii="Arial" w:hAnsi="Arial" w:cs="Arial"/>
          <w:sz w:val="20"/>
        </w:rPr>
        <w:t xml:space="preserve"> </w:t>
      </w:r>
      <w:r w:rsidRPr="005F2BE2">
        <w:rPr>
          <w:rFonts w:ascii="Arial" w:hAnsi="Arial" w:cs="Arial"/>
          <w:sz w:val="20"/>
        </w:rPr>
        <w:t xml:space="preserve">Docker (MVD) </w:t>
      </w:r>
      <w:r w:rsidR="00D96A0B">
        <w:rPr>
          <w:rFonts w:ascii="Arial" w:hAnsi="Arial" w:cs="Arial"/>
          <w:sz w:val="20"/>
        </w:rPr>
        <w:t>software</w:t>
      </w:r>
    </w:p>
    <w:p w:rsidR="00B92164" w:rsidRPr="00845D1A" w:rsidRDefault="00D96A0B" w:rsidP="00B17BD7">
      <w:pPr>
        <w:jc w:val="center"/>
        <w:rPr>
          <w:rFonts w:ascii="Arial" w:hAnsi="Arial" w:cs="Arial"/>
          <w:sz w:val="20"/>
        </w:rPr>
      </w:pPr>
      <w:r w:rsidRPr="00845D1A">
        <w:rPr>
          <w:rFonts w:ascii="Arial" w:hAnsi="Arial" w:cs="Arial"/>
          <w:sz w:val="20"/>
        </w:rPr>
        <w:object w:dxaOrig="3792" w:dyaOrig="3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4pt;height:137.2pt" o:ole="">
            <v:imagedata r:id="rId9" o:title=""/>
          </v:shape>
          <o:OLEObject Type="Embed" ProgID="ChemDraw.Document.6.0" ShapeID="_x0000_i1025" DrawAspect="Content" ObjectID="_1831715910" r:id="rId10"/>
        </w:object>
      </w:r>
    </w:p>
    <w:p w:rsidR="0043255D" w:rsidRPr="00845D1A" w:rsidRDefault="0043255D" w:rsidP="000E44A7">
      <w:pPr>
        <w:jc w:val="both"/>
        <w:rPr>
          <w:rFonts w:ascii="Arial" w:hAnsi="Arial" w:cs="Arial"/>
          <w:sz w:val="20"/>
        </w:rPr>
      </w:pPr>
      <w:r w:rsidRPr="00845D1A">
        <w:rPr>
          <w:rFonts w:ascii="Arial" w:hAnsi="Arial" w:cs="Arial"/>
          <w:sz w:val="20"/>
        </w:rPr>
        <w:t xml:space="preserve">Where R= Methyl, </w:t>
      </w:r>
      <w:proofErr w:type="spellStart"/>
      <w:r w:rsidRPr="00845D1A">
        <w:rPr>
          <w:rFonts w:ascii="Arial" w:hAnsi="Arial" w:cs="Arial"/>
          <w:sz w:val="20"/>
        </w:rPr>
        <w:t>Chloro</w:t>
      </w:r>
      <w:proofErr w:type="spellEnd"/>
      <w:r w:rsidRPr="00845D1A">
        <w:rPr>
          <w:rFonts w:ascii="Arial" w:hAnsi="Arial" w:cs="Arial"/>
          <w:sz w:val="20"/>
        </w:rPr>
        <w:t xml:space="preserve">, Bromo, Methoxy, Nitro </w:t>
      </w:r>
      <w:proofErr w:type="spellStart"/>
      <w:r w:rsidRPr="00845D1A">
        <w:rPr>
          <w:rFonts w:ascii="Arial" w:hAnsi="Arial" w:cs="Arial"/>
          <w:sz w:val="20"/>
        </w:rPr>
        <w:t>etc</w:t>
      </w:r>
      <w:proofErr w:type="spellEnd"/>
    </w:p>
    <w:p w:rsidR="0043255D" w:rsidRPr="00845D1A" w:rsidRDefault="0043255D" w:rsidP="000E44A7">
      <w:pPr>
        <w:jc w:val="both"/>
        <w:rPr>
          <w:rFonts w:ascii="Arial" w:hAnsi="Arial" w:cs="Arial"/>
          <w:b/>
          <w:bCs/>
          <w:sz w:val="20"/>
        </w:rPr>
      </w:pPr>
      <w:r w:rsidRPr="00845D1A">
        <w:rPr>
          <w:rFonts w:ascii="Arial" w:hAnsi="Arial" w:cs="Arial"/>
          <w:b/>
          <w:bCs/>
          <w:sz w:val="20"/>
        </w:rPr>
        <w:t>Methods</w:t>
      </w:r>
    </w:p>
    <w:p w:rsidR="0043255D" w:rsidRPr="00845D1A" w:rsidRDefault="0043255D" w:rsidP="000E44A7">
      <w:pPr>
        <w:jc w:val="both"/>
        <w:rPr>
          <w:rFonts w:ascii="Arial" w:hAnsi="Arial" w:cs="Arial"/>
          <w:sz w:val="20"/>
        </w:rPr>
      </w:pPr>
      <w:r w:rsidRPr="00845D1A">
        <w:rPr>
          <w:rFonts w:ascii="Arial" w:hAnsi="Arial" w:cs="Arial"/>
          <w:sz w:val="20"/>
        </w:rPr>
        <w:t>Molecular docking methods employ computational algorithms to predict the most favorable binding poses and binding affinities of ligands within the active site of target proteins by systematically exploring the conformational space of the protein–ligand complex. These algorithms are primarily categorized based on their treatment of molecular flexibility and the search and scoring strategies used to evaluate ligand–protein interactions (15).</w:t>
      </w:r>
    </w:p>
    <w:p w:rsidR="0043255D" w:rsidRPr="008465D3" w:rsidRDefault="0043255D" w:rsidP="008465D3">
      <w:pPr>
        <w:pStyle w:val="ListParagraph"/>
        <w:numPr>
          <w:ilvl w:val="0"/>
          <w:numId w:val="7"/>
        </w:numPr>
        <w:jc w:val="both"/>
        <w:rPr>
          <w:rFonts w:ascii="Arial" w:hAnsi="Arial" w:cs="Arial"/>
          <w:b/>
          <w:bCs/>
          <w:sz w:val="20"/>
        </w:rPr>
      </w:pPr>
      <w:r w:rsidRPr="008465D3">
        <w:rPr>
          <w:rFonts w:ascii="Arial" w:hAnsi="Arial" w:cs="Arial"/>
          <w:b/>
          <w:bCs/>
          <w:sz w:val="20"/>
        </w:rPr>
        <w:t>Methodology: Rule of Five (ROF) Analysis</w:t>
      </w:r>
    </w:p>
    <w:p w:rsidR="0043255D" w:rsidRDefault="0043255D" w:rsidP="000E44A7">
      <w:pPr>
        <w:jc w:val="both"/>
        <w:rPr>
          <w:rFonts w:ascii="Arial" w:hAnsi="Arial" w:cs="Arial"/>
          <w:sz w:val="20"/>
        </w:rPr>
      </w:pPr>
      <w:r w:rsidRPr="00845D1A">
        <w:rPr>
          <w:rFonts w:ascii="Arial" w:hAnsi="Arial" w:cs="Arial"/>
          <w:sz w:val="20"/>
        </w:rPr>
        <w:t>Lipinski’s Rule of Five (ROF) analysis was conducted using the online drug design platform provided by the Supercomputing Facility for Bioinformatics and Computational Biology (</w:t>
      </w:r>
      <w:proofErr w:type="spellStart"/>
      <w:r w:rsidRPr="00845D1A">
        <w:rPr>
          <w:rFonts w:ascii="Arial" w:hAnsi="Arial" w:cs="Arial"/>
          <w:sz w:val="20"/>
        </w:rPr>
        <w:t>SCFBio</w:t>
      </w:r>
      <w:proofErr w:type="spellEnd"/>
      <w:r w:rsidRPr="00845D1A">
        <w:rPr>
          <w:rFonts w:ascii="Arial" w:hAnsi="Arial" w:cs="Arial"/>
          <w:sz w:val="20"/>
        </w:rPr>
        <w:t>), Indian Institute of Technology (IIT) Delhi. The chemical structures of the selected ligands were generated using standard chemical drawing software and subsequently converted into Simplified Molecular Input Line Entry System (SMILES) notation.</w:t>
      </w:r>
      <w:r w:rsidR="00D96A0B">
        <w:rPr>
          <w:rFonts w:ascii="Arial" w:hAnsi="Arial" w:cs="Arial"/>
          <w:sz w:val="20"/>
        </w:rPr>
        <w:t xml:space="preserve"> </w:t>
      </w:r>
      <w:proofErr w:type="gramStart"/>
      <w:r w:rsidRPr="00845D1A">
        <w:rPr>
          <w:rFonts w:ascii="Arial" w:hAnsi="Arial" w:cs="Arial"/>
          <w:sz w:val="20"/>
        </w:rPr>
        <w:t>The</w:t>
      </w:r>
      <w:proofErr w:type="gramEnd"/>
      <w:r w:rsidRPr="00845D1A">
        <w:rPr>
          <w:rFonts w:ascii="Arial" w:hAnsi="Arial" w:cs="Arial"/>
          <w:sz w:val="20"/>
        </w:rPr>
        <w:t xml:space="preserve"> SMILES representations were submitted to the Lipinski Rule of Five prediction module of the </w:t>
      </w:r>
      <w:proofErr w:type="spellStart"/>
      <w:r w:rsidRPr="00845D1A">
        <w:rPr>
          <w:rFonts w:ascii="Arial" w:hAnsi="Arial" w:cs="Arial"/>
          <w:sz w:val="20"/>
        </w:rPr>
        <w:t>SCFBio</w:t>
      </w:r>
      <w:proofErr w:type="spellEnd"/>
      <w:r w:rsidRPr="00845D1A">
        <w:rPr>
          <w:rFonts w:ascii="Arial" w:hAnsi="Arial" w:cs="Arial"/>
          <w:sz w:val="20"/>
        </w:rPr>
        <w:t xml:space="preserve"> server. The server automatically computed key physicochemical parameters relevant to drug-likeness, including molecular weight, octanol–water partition coefficient (</w:t>
      </w:r>
      <w:proofErr w:type="spellStart"/>
      <w:r w:rsidRPr="00845D1A">
        <w:rPr>
          <w:rFonts w:ascii="Arial" w:hAnsi="Arial" w:cs="Arial"/>
          <w:sz w:val="20"/>
        </w:rPr>
        <w:t>logP</w:t>
      </w:r>
      <w:proofErr w:type="spellEnd"/>
      <w:r w:rsidRPr="00845D1A">
        <w:rPr>
          <w:rFonts w:ascii="Arial" w:hAnsi="Arial" w:cs="Arial"/>
          <w:sz w:val="20"/>
        </w:rPr>
        <w:t>), number of hydrogen bond donors (HBD), and number of hydrogen bond acceptors (HBA).</w:t>
      </w:r>
      <w:r w:rsidR="00D96A0B">
        <w:rPr>
          <w:rFonts w:ascii="Arial" w:hAnsi="Arial" w:cs="Arial"/>
          <w:sz w:val="20"/>
        </w:rPr>
        <w:t xml:space="preserve"> </w:t>
      </w:r>
      <w:proofErr w:type="gramStart"/>
      <w:r w:rsidRPr="00845D1A">
        <w:rPr>
          <w:rFonts w:ascii="Arial" w:hAnsi="Arial" w:cs="Arial"/>
          <w:sz w:val="20"/>
        </w:rPr>
        <w:t>The</w:t>
      </w:r>
      <w:proofErr w:type="gramEnd"/>
      <w:r w:rsidRPr="00845D1A">
        <w:rPr>
          <w:rFonts w:ascii="Arial" w:hAnsi="Arial" w:cs="Arial"/>
          <w:sz w:val="20"/>
        </w:rPr>
        <w:t xml:space="preserve"> calculated parameters were analyzed to assess compliance with Lipinski’s Rule of Five, which is widely employed to predict the oral bioavailability of small-molecule compounds. This in silico screening approach provides a rapid and reliable preliminary assessment of drug-</w:t>
      </w:r>
      <w:proofErr w:type="spellStart"/>
      <w:r w:rsidRPr="00845D1A">
        <w:rPr>
          <w:rFonts w:ascii="Arial" w:hAnsi="Arial" w:cs="Arial"/>
          <w:sz w:val="20"/>
        </w:rPr>
        <w:t>likE</w:t>
      </w:r>
      <w:proofErr w:type="spellEnd"/>
      <w:r w:rsidRPr="00845D1A">
        <w:rPr>
          <w:rFonts w:ascii="Arial" w:hAnsi="Arial" w:cs="Arial"/>
          <w:sz w:val="20"/>
        </w:rPr>
        <w:t xml:space="preserve"> properties, facilitating the selection of promising candidates for further pharmacokinetic and biological </w:t>
      </w:r>
      <w:proofErr w:type="gramStart"/>
      <w:r w:rsidRPr="00845D1A">
        <w:rPr>
          <w:rFonts w:ascii="Arial" w:hAnsi="Arial" w:cs="Arial"/>
          <w:sz w:val="20"/>
        </w:rPr>
        <w:t>evaluation.</w:t>
      </w:r>
      <w:r w:rsidR="004217DC" w:rsidRPr="00845D1A">
        <w:rPr>
          <w:rFonts w:ascii="Arial" w:hAnsi="Arial" w:cs="Arial"/>
          <w:sz w:val="20"/>
        </w:rPr>
        <w:t>(</w:t>
      </w:r>
      <w:proofErr w:type="gramEnd"/>
      <w:r w:rsidR="004217DC" w:rsidRPr="00845D1A">
        <w:rPr>
          <w:rFonts w:ascii="Arial" w:hAnsi="Arial" w:cs="Arial"/>
          <w:sz w:val="20"/>
        </w:rPr>
        <w:t>16-18)</w:t>
      </w:r>
    </w:p>
    <w:p w:rsidR="00333FB0" w:rsidRDefault="00333FB0" w:rsidP="000E44A7">
      <w:pPr>
        <w:jc w:val="both"/>
        <w:rPr>
          <w:rFonts w:ascii="Arial" w:hAnsi="Arial" w:cs="Arial"/>
          <w:sz w:val="20"/>
        </w:rPr>
      </w:pPr>
    </w:p>
    <w:p w:rsidR="00333FB0" w:rsidRPr="00845D1A" w:rsidRDefault="00333FB0" w:rsidP="000E44A7">
      <w:pPr>
        <w:jc w:val="both"/>
        <w:rPr>
          <w:rFonts w:ascii="Arial" w:hAnsi="Arial" w:cs="Arial"/>
          <w:sz w:val="20"/>
        </w:rPr>
      </w:pPr>
    </w:p>
    <w:p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 xml:space="preserve">Methodology: </w:t>
      </w:r>
      <w:proofErr w:type="spellStart"/>
      <w:r w:rsidRPr="00845D1A">
        <w:rPr>
          <w:rFonts w:ascii="Arial" w:hAnsi="Arial" w:cs="Arial"/>
          <w:b/>
          <w:bCs/>
          <w:sz w:val="20"/>
        </w:rPr>
        <w:t>Molinspiration</w:t>
      </w:r>
      <w:proofErr w:type="spellEnd"/>
      <w:r w:rsidRPr="00845D1A">
        <w:rPr>
          <w:rFonts w:ascii="Arial" w:hAnsi="Arial" w:cs="Arial"/>
          <w:b/>
          <w:bCs/>
          <w:sz w:val="20"/>
        </w:rPr>
        <w:t xml:space="preserve"> Analysis</w:t>
      </w:r>
    </w:p>
    <w:p w:rsidR="0043255D" w:rsidRPr="00845D1A" w:rsidRDefault="0043255D" w:rsidP="000E44A7">
      <w:pPr>
        <w:jc w:val="both"/>
        <w:rPr>
          <w:rFonts w:ascii="Arial" w:hAnsi="Arial" w:cs="Arial"/>
          <w:sz w:val="20"/>
        </w:rPr>
      </w:pPr>
      <w:r w:rsidRPr="00845D1A">
        <w:rPr>
          <w:rFonts w:ascii="Arial" w:hAnsi="Arial" w:cs="Arial"/>
          <w:sz w:val="20"/>
        </w:rPr>
        <w:lastRenderedPageBreak/>
        <w:t xml:space="preserve">Prediction of physicochemical properties was performed using the </w:t>
      </w:r>
      <w:proofErr w:type="spellStart"/>
      <w:r w:rsidRPr="00845D1A">
        <w:rPr>
          <w:rFonts w:ascii="Arial" w:hAnsi="Arial" w:cs="Arial"/>
          <w:sz w:val="20"/>
        </w:rPr>
        <w:t>Molinspiration</w:t>
      </w:r>
      <w:proofErr w:type="spellEnd"/>
      <w:r w:rsidRPr="00845D1A">
        <w:rPr>
          <w:rFonts w:ascii="Arial" w:hAnsi="Arial" w:cs="Arial"/>
          <w:sz w:val="20"/>
        </w:rPr>
        <w:t xml:space="preserve"> online web-based tool. The chemical structures of the selected ligands were drawn using standard chemical drawing software and subsequently converted into Simplified Molecular Input Line Entry System (SMILES) format. The generated SMILES strings were submitted to the </w:t>
      </w:r>
      <w:proofErr w:type="spellStart"/>
      <w:r w:rsidRPr="00845D1A">
        <w:rPr>
          <w:rFonts w:ascii="Arial" w:hAnsi="Arial" w:cs="Arial"/>
          <w:sz w:val="20"/>
        </w:rPr>
        <w:t>Molinspiration</w:t>
      </w:r>
      <w:proofErr w:type="spellEnd"/>
      <w:r w:rsidRPr="00845D1A">
        <w:rPr>
          <w:rFonts w:ascii="Arial" w:hAnsi="Arial" w:cs="Arial"/>
          <w:sz w:val="20"/>
        </w:rPr>
        <w:t xml:space="preserve"> property calculation interface for </w:t>
      </w:r>
      <w:proofErr w:type="spellStart"/>
      <w:proofErr w:type="gramStart"/>
      <w:r w:rsidRPr="00845D1A">
        <w:rPr>
          <w:rFonts w:ascii="Arial" w:hAnsi="Arial" w:cs="Arial"/>
          <w:sz w:val="20"/>
        </w:rPr>
        <w:t>analysis.Upon</w:t>
      </w:r>
      <w:proofErr w:type="spellEnd"/>
      <w:proofErr w:type="gramEnd"/>
      <w:r w:rsidR="00D96A0B">
        <w:rPr>
          <w:rFonts w:ascii="Arial" w:hAnsi="Arial" w:cs="Arial"/>
          <w:sz w:val="20"/>
        </w:rPr>
        <w:t xml:space="preserve"> </w:t>
      </w:r>
      <w:r w:rsidRPr="00845D1A">
        <w:rPr>
          <w:rFonts w:ascii="Arial" w:hAnsi="Arial" w:cs="Arial"/>
          <w:sz w:val="20"/>
        </w:rPr>
        <w:t>submission, the server automatically computed key physicochemical descriptors, including molecular weight, octanol–water partition coefficient (</w:t>
      </w:r>
      <w:proofErr w:type="spellStart"/>
      <w:r w:rsidRPr="00845D1A">
        <w:rPr>
          <w:rFonts w:ascii="Arial" w:hAnsi="Arial" w:cs="Arial"/>
          <w:sz w:val="20"/>
        </w:rPr>
        <w:t>logP</w:t>
      </w:r>
      <w:proofErr w:type="spellEnd"/>
      <w:r w:rsidRPr="00845D1A">
        <w:rPr>
          <w:rFonts w:ascii="Arial" w:hAnsi="Arial" w:cs="Arial"/>
          <w:sz w:val="20"/>
        </w:rPr>
        <w:t>), number of hydrogen bond donors (HBD), number of hydrogen bond acceptors (HBA), topological polar surface area (TPSA), and number of rotatable bonds. The calculated parameters were used to evaluate the drug-likeness and predicted oral bioavailability of the ligands in accordance with established medicinal chemistry and pharmacokinetic guidelines.</w:t>
      </w:r>
      <w:r w:rsidR="004217DC" w:rsidRPr="00845D1A">
        <w:rPr>
          <w:rFonts w:ascii="Arial" w:hAnsi="Arial" w:cs="Arial"/>
          <w:sz w:val="20"/>
        </w:rPr>
        <w:t xml:space="preserve"> (19,20)</w:t>
      </w:r>
    </w:p>
    <w:p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Methodology: ADMET Analysis</w:t>
      </w:r>
    </w:p>
    <w:p w:rsidR="0043255D" w:rsidRPr="00845D1A" w:rsidRDefault="0043255D" w:rsidP="000E44A7">
      <w:pPr>
        <w:jc w:val="both"/>
        <w:rPr>
          <w:rFonts w:ascii="Arial" w:hAnsi="Arial" w:cs="Arial"/>
          <w:sz w:val="20"/>
        </w:rPr>
      </w:pPr>
      <w:r w:rsidRPr="00845D1A">
        <w:rPr>
          <w:rFonts w:ascii="Arial" w:hAnsi="Arial" w:cs="Arial"/>
          <w:sz w:val="20"/>
        </w:rPr>
        <w:t xml:space="preserve">ADMET (Absorption, Distribution, Metabolism, Excretion, and Toxicity) profiling of the selected ligands was carried out using the </w:t>
      </w:r>
      <w:proofErr w:type="spellStart"/>
      <w:r w:rsidRPr="00845D1A">
        <w:rPr>
          <w:rFonts w:ascii="Arial" w:hAnsi="Arial" w:cs="Arial"/>
          <w:sz w:val="20"/>
        </w:rPr>
        <w:t>PreADMET</w:t>
      </w:r>
      <w:proofErr w:type="spellEnd"/>
      <w:r w:rsidRPr="00845D1A">
        <w:rPr>
          <w:rFonts w:ascii="Arial" w:hAnsi="Arial" w:cs="Arial"/>
          <w:sz w:val="20"/>
        </w:rPr>
        <w:t xml:space="preserve"> online prediction server. The chemical structures of the ligands were initially drawn using standard chemical drawing software (e.g., </w:t>
      </w:r>
      <w:proofErr w:type="spellStart"/>
      <w:r w:rsidRPr="00845D1A">
        <w:rPr>
          <w:rFonts w:ascii="Arial" w:hAnsi="Arial" w:cs="Arial"/>
          <w:sz w:val="20"/>
        </w:rPr>
        <w:t>ChemDraw</w:t>
      </w:r>
      <w:proofErr w:type="spellEnd"/>
      <w:r w:rsidRPr="00845D1A">
        <w:rPr>
          <w:rFonts w:ascii="Arial" w:hAnsi="Arial" w:cs="Arial"/>
          <w:sz w:val="20"/>
        </w:rPr>
        <w:t xml:space="preserve">) and subsequently converted into Simplified Molecular Input Line Entry System (SMILES) </w:t>
      </w:r>
      <w:proofErr w:type="spellStart"/>
      <w:proofErr w:type="gramStart"/>
      <w:r w:rsidRPr="00845D1A">
        <w:rPr>
          <w:rFonts w:ascii="Arial" w:hAnsi="Arial" w:cs="Arial"/>
          <w:sz w:val="20"/>
        </w:rPr>
        <w:t>format.The</w:t>
      </w:r>
      <w:proofErr w:type="spellEnd"/>
      <w:proofErr w:type="gramEnd"/>
      <w:r w:rsidRPr="00845D1A">
        <w:rPr>
          <w:rFonts w:ascii="Arial" w:hAnsi="Arial" w:cs="Arial"/>
          <w:sz w:val="20"/>
        </w:rPr>
        <w:t xml:space="preserve"> generated SMILES strings were submitted to the </w:t>
      </w:r>
      <w:proofErr w:type="spellStart"/>
      <w:r w:rsidRPr="00845D1A">
        <w:rPr>
          <w:rFonts w:ascii="Arial" w:hAnsi="Arial" w:cs="Arial"/>
          <w:sz w:val="20"/>
        </w:rPr>
        <w:t>PreADMET</w:t>
      </w:r>
      <w:proofErr w:type="spellEnd"/>
      <w:r w:rsidRPr="00845D1A">
        <w:rPr>
          <w:rFonts w:ascii="Arial" w:hAnsi="Arial" w:cs="Arial"/>
          <w:sz w:val="20"/>
        </w:rPr>
        <w:t xml:space="preserve"> web interface via the designated input field, with the option to upload structure files where applicable. Relevant prediction modules were selected to evaluate physicochemical properties, ADME parameters, and toxicity profiles. The ADME analysis included predictions of human intestinal absorption, Caco-2 cell permeability, blood–brain barrier penetration, plasma protein binding, and cytochrome P450 (CYP450) enzyme inhibition. Toxicity assessment comprised Ames mutagenicity, carcinogenicity, and acute toxicity </w:t>
      </w:r>
      <w:proofErr w:type="spellStart"/>
      <w:proofErr w:type="gramStart"/>
      <w:r w:rsidRPr="00845D1A">
        <w:rPr>
          <w:rFonts w:ascii="Arial" w:hAnsi="Arial" w:cs="Arial"/>
          <w:sz w:val="20"/>
        </w:rPr>
        <w:t>predictions.The</w:t>
      </w:r>
      <w:proofErr w:type="spellEnd"/>
      <w:proofErr w:type="gramEnd"/>
      <w:r w:rsidRPr="00845D1A">
        <w:rPr>
          <w:rFonts w:ascii="Arial" w:hAnsi="Arial" w:cs="Arial"/>
          <w:sz w:val="20"/>
        </w:rPr>
        <w:t xml:space="preserve"> predicted ADMET parameters were analyzed to assess the pharmacokinetic behavior and safety profile of the ligands, enabling the identification of compounds with favorable drug-like characteristics for further development.</w:t>
      </w:r>
      <w:r w:rsidR="004217DC" w:rsidRPr="00845D1A">
        <w:rPr>
          <w:rFonts w:ascii="Arial" w:hAnsi="Arial" w:cs="Arial"/>
          <w:sz w:val="20"/>
        </w:rPr>
        <w:t>(21,22)</w:t>
      </w:r>
    </w:p>
    <w:p w:rsidR="0043255D" w:rsidRPr="00845D1A" w:rsidRDefault="0043255D" w:rsidP="008465D3">
      <w:pPr>
        <w:pStyle w:val="ListParagraph"/>
        <w:numPr>
          <w:ilvl w:val="0"/>
          <w:numId w:val="7"/>
        </w:numPr>
        <w:jc w:val="both"/>
        <w:rPr>
          <w:rFonts w:ascii="Arial" w:hAnsi="Arial" w:cs="Arial"/>
          <w:b/>
          <w:bCs/>
          <w:sz w:val="20"/>
        </w:rPr>
      </w:pPr>
      <w:r w:rsidRPr="00845D1A">
        <w:rPr>
          <w:rFonts w:ascii="Arial" w:hAnsi="Arial" w:cs="Arial"/>
          <w:b/>
          <w:bCs/>
          <w:sz w:val="20"/>
        </w:rPr>
        <w:t>Molecular Docking Study</w:t>
      </w:r>
    </w:p>
    <w:p w:rsidR="008465D3" w:rsidRPr="00FD1691" w:rsidRDefault="003B7E16" w:rsidP="000E44A7">
      <w:pPr>
        <w:jc w:val="both"/>
        <w:rPr>
          <w:rFonts w:ascii="Arial" w:hAnsi="Arial" w:cs="Arial"/>
          <w:sz w:val="20"/>
        </w:rPr>
      </w:pPr>
      <w:r w:rsidRPr="00845D1A">
        <w:rPr>
          <w:rFonts w:ascii="Arial" w:hAnsi="Arial" w:cs="Arial"/>
          <w:sz w:val="20"/>
        </w:rPr>
        <w:t xml:space="preserve">Molecular docking was performed using </w:t>
      </w:r>
      <w:proofErr w:type="spellStart"/>
      <w:r w:rsidRPr="00845D1A">
        <w:rPr>
          <w:rFonts w:ascii="Arial" w:hAnsi="Arial" w:cs="Arial"/>
          <w:sz w:val="20"/>
        </w:rPr>
        <w:t>Molegro</w:t>
      </w:r>
      <w:proofErr w:type="spellEnd"/>
      <w:r w:rsidRPr="00845D1A">
        <w:rPr>
          <w:rFonts w:ascii="Arial" w:hAnsi="Arial" w:cs="Arial"/>
          <w:sz w:val="20"/>
        </w:rPr>
        <w:t xml:space="preserve"> Virtual Docker (MVD) to evaluate ligand–protein interactions in silico. The three-dimensional structure of the target protein was obtained from the Protein Data Bank (PDB) and prepared by removing co-crystallized ligands and water molecules. Hydrogen atoms were added, and appropriate charges were assigned to </w:t>
      </w:r>
      <w:proofErr w:type="spellStart"/>
      <w:r w:rsidRPr="00845D1A">
        <w:rPr>
          <w:rFonts w:ascii="Arial" w:hAnsi="Arial" w:cs="Arial"/>
          <w:sz w:val="20"/>
        </w:rPr>
        <w:t>optimi</w:t>
      </w:r>
      <w:r w:rsidR="00D96A0B">
        <w:rPr>
          <w:rFonts w:ascii="Arial" w:hAnsi="Arial" w:cs="Arial"/>
          <w:sz w:val="20"/>
        </w:rPr>
        <w:t>s</w:t>
      </w:r>
      <w:r w:rsidRPr="00845D1A">
        <w:rPr>
          <w:rFonts w:ascii="Arial" w:hAnsi="Arial" w:cs="Arial"/>
          <w:sz w:val="20"/>
        </w:rPr>
        <w:t>e</w:t>
      </w:r>
      <w:proofErr w:type="spellEnd"/>
      <w:r w:rsidRPr="00845D1A">
        <w:rPr>
          <w:rFonts w:ascii="Arial" w:hAnsi="Arial" w:cs="Arial"/>
          <w:sz w:val="20"/>
        </w:rPr>
        <w:t xml:space="preserve"> the protein structure for docking analysis. Ligand structures were drawn and energy-</w:t>
      </w:r>
      <w:proofErr w:type="spellStart"/>
      <w:r w:rsidRPr="00845D1A">
        <w:rPr>
          <w:rFonts w:ascii="Arial" w:hAnsi="Arial" w:cs="Arial"/>
          <w:sz w:val="20"/>
        </w:rPr>
        <w:t>minimi</w:t>
      </w:r>
      <w:r w:rsidR="00D96A0B">
        <w:rPr>
          <w:rFonts w:ascii="Arial" w:hAnsi="Arial" w:cs="Arial"/>
          <w:sz w:val="20"/>
        </w:rPr>
        <w:t>s</w:t>
      </w:r>
      <w:r w:rsidRPr="00845D1A">
        <w:rPr>
          <w:rFonts w:ascii="Arial" w:hAnsi="Arial" w:cs="Arial"/>
          <w:sz w:val="20"/>
        </w:rPr>
        <w:t>ed</w:t>
      </w:r>
      <w:proofErr w:type="spellEnd"/>
      <w:r w:rsidRPr="00845D1A">
        <w:rPr>
          <w:rFonts w:ascii="Arial" w:hAnsi="Arial" w:cs="Arial"/>
          <w:sz w:val="20"/>
        </w:rPr>
        <w:t xml:space="preserve"> prior to being imported into MVD. The active binding site of the protein was identified using the cavity detection module implemented in the software. Docking simulations were conducted using the </w:t>
      </w:r>
      <w:proofErr w:type="spellStart"/>
      <w:r w:rsidRPr="00845D1A">
        <w:rPr>
          <w:rFonts w:ascii="Arial" w:hAnsi="Arial" w:cs="Arial"/>
          <w:sz w:val="20"/>
        </w:rPr>
        <w:t>MolDock</w:t>
      </w:r>
      <w:proofErr w:type="spellEnd"/>
      <w:r w:rsidRPr="00845D1A">
        <w:rPr>
          <w:rFonts w:ascii="Arial" w:hAnsi="Arial" w:cs="Arial"/>
          <w:sz w:val="20"/>
        </w:rPr>
        <w:t xml:space="preserve"> scoring function with default parameters, generating multiple binding poses for each ligand. The most favorable docked conformation was selected based on the lowest </w:t>
      </w:r>
      <w:proofErr w:type="spellStart"/>
      <w:r w:rsidRPr="00845D1A">
        <w:rPr>
          <w:rFonts w:ascii="Arial" w:hAnsi="Arial" w:cs="Arial"/>
          <w:sz w:val="20"/>
        </w:rPr>
        <w:t>MolDock</w:t>
      </w:r>
      <w:proofErr w:type="spellEnd"/>
      <w:r w:rsidRPr="00845D1A">
        <w:rPr>
          <w:rFonts w:ascii="Arial" w:hAnsi="Arial" w:cs="Arial"/>
          <w:sz w:val="20"/>
        </w:rPr>
        <w:t xml:space="preserve"> score and optimal interaction energy. Protein–ligand interactions, including hydrogen bonding and hydrophobic contacts, were analyzed and visualized to elucidate the binding mode and affinity of the </w:t>
      </w:r>
      <w:proofErr w:type="gramStart"/>
      <w:r w:rsidRPr="00845D1A">
        <w:rPr>
          <w:rFonts w:ascii="Arial" w:hAnsi="Arial" w:cs="Arial"/>
          <w:sz w:val="20"/>
        </w:rPr>
        <w:t>ligands.</w:t>
      </w:r>
      <w:r w:rsidR="004217DC" w:rsidRPr="00845D1A">
        <w:rPr>
          <w:rFonts w:ascii="Arial" w:hAnsi="Arial" w:cs="Arial"/>
          <w:sz w:val="20"/>
        </w:rPr>
        <w:t>(</w:t>
      </w:r>
      <w:proofErr w:type="gramEnd"/>
      <w:r w:rsidR="0044182C" w:rsidRPr="00845D1A">
        <w:rPr>
          <w:rFonts w:ascii="Arial" w:hAnsi="Arial" w:cs="Arial"/>
          <w:sz w:val="20"/>
        </w:rPr>
        <w:t>23,</w:t>
      </w:r>
      <w:r w:rsidR="004217DC" w:rsidRPr="00845D1A">
        <w:rPr>
          <w:rFonts w:ascii="Arial" w:hAnsi="Arial" w:cs="Arial"/>
          <w:sz w:val="20"/>
        </w:rPr>
        <w:t>24)</w:t>
      </w:r>
    </w:p>
    <w:p w:rsidR="003B7E16" w:rsidRPr="00845D1A" w:rsidRDefault="003B7E16" w:rsidP="00845D1A">
      <w:pPr>
        <w:pStyle w:val="ListParagraph"/>
        <w:numPr>
          <w:ilvl w:val="0"/>
          <w:numId w:val="2"/>
        </w:numPr>
        <w:jc w:val="both"/>
        <w:rPr>
          <w:rFonts w:ascii="Arial" w:hAnsi="Arial" w:cs="Arial"/>
          <w:b/>
          <w:szCs w:val="24"/>
        </w:rPr>
      </w:pPr>
      <w:r w:rsidRPr="00845D1A">
        <w:rPr>
          <w:rFonts w:ascii="Arial" w:hAnsi="Arial" w:cs="Arial"/>
          <w:b/>
          <w:szCs w:val="24"/>
        </w:rPr>
        <w:t>Result and discussion</w:t>
      </w:r>
      <w:r w:rsidR="008465D3">
        <w:rPr>
          <w:rFonts w:ascii="Arial" w:hAnsi="Arial" w:cs="Arial"/>
          <w:b/>
          <w:szCs w:val="24"/>
        </w:rPr>
        <w:t>:</w:t>
      </w:r>
    </w:p>
    <w:p w:rsidR="003B7E16" w:rsidRDefault="003B7E16" w:rsidP="000E44A7">
      <w:pPr>
        <w:jc w:val="both"/>
        <w:rPr>
          <w:rFonts w:ascii="Arial" w:hAnsi="Arial" w:cs="Arial"/>
          <w:sz w:val="20"/>
        </w:rPr>
      </w:pPr>
      <w:proofErr w:type="spellStart"/>
      <w:r w:rsidRPr="00845D1A">
        <w:rPr>
          <w:rFonts w:ascii="Arial" w:hAnsi="Arial" w:cs="Arial"/>
          <w:b/>
          <w:sz w:val="20"/>
        </w:rPr>
        <w:t>Molinspiration</w:t>
      </w:r>
      <w:proofErr w:type="spellEnd"/>
      <w:r w:rsidRPr="00845D1A">
        <w:rPr>
          <w:rFonts w:ascii="Arial" w:hAnsi="Arial" w:cs="Arial"/>
          <w:sz w:val="20"/>
        </w:rPr>
        <w:t xml:space="preserve">: The physicochemical properties of the fifteen substituted derivatives were evaluated using the </w:t>
      </w:r>
      <w:proofErr w:type="spellStart"/>
      <w:r w:rsidRPr="00845D1A">
        <w:rPr>
          <w:rFonts w:ascii="Arial" w:hAnsi="Arial" w:cs="Arial"/>
          <w:sz w:val="20"/>
        </w:rPr>
        <w:t>Molinspiration</w:t>
      </w:r>
      <w:proofErr w:type="spellEnd"/>
      <w:r w:rsidRPr="00845D1A">
        <w:rPr>
          <w:rFonts w:ascii="Arial" w:hAnsi="Arial" w:cs="Arial"/>
          <w:sz w:val="20"/>
        </w:rPr>
        <w:t xml:space="preserve"> online web tool, and the calculated results are presented in </w:t>
      </w:r>
      <w:r w:rsidRPr="00845D1A">
        <w:rPr>
          <w:rStyle w:val="Strong"/>
          <w:rFonts w:ascii="Arial" w:hAnsi="Arial" w:cs="Arial"/>
          <w:sz w:val="20"/>
        </w:rPr>
        <w:t>Table 1</w:t>
      </w:r>
      <w:r w:rsidRPr="00845D1A">
        <w:rPr>
          <w:rFonts w:ascii="Arial" w:hAnsi="Arial" w:cs="Arial"/>
          <w:sz w:val="20"/>
        </w:rPr>
        <w:t>.</w:t>
      </w:r>
    </w:p>
    <w:p w:rsidR="00333FB0" w:rsidRDefault="00333FB0" w:rsidP="000E44A7">
      <w:pPr>
        <w:jc w:val="both"/>
        <w:rPr>
          <w:rFonts w:ascii="Arial" w:hAnsi="Arial" w:cs="Arial"/>
          <w:sz w:val="20"/>
        </w:rPr>
      </w:pPr>
    </w:p>
    <w:p w:rsidR="00333FB0" w:rsidRDefault="00333FB0" w:rsidP="000E44A7">
      <w:pPr>
        <w:jc w:val="both"/>
        <w:rPr>
          <w:rFonts w:ascii="Arial" w:hAnsi="Arial" w:cs="Arial"/>
          <w:sz w:val="20"/>
        </w:rPr>
      </w:pPr>
    </w:p>
    <w:p w:rsidR="00333FB0" w:rsidRDefault="00333FB0" w:rsidP="000E44A7">
      <w:pPr>
        <w:jc w:val="both"/>
        <w:rPr>
          <w:rFonts w:ascii="Arial" w:hAnsi="Arial" w:cs="Arial"/>
          <w:sz w:val="20"/>
        </w:rPr>
      </w:pPr>
    </w:p>
    <w:p w:rsidR="00333FB0" w:rsidRDefault="00333FB0" w:rsidP="000E44A7">
      <w:pPr>
        <w:jc w:val="both"/>
        <w:rPr>
          <w:rFonts w:ascii="Arial" w:hAnsi="Arial" w:cs="Arial"/>
          <w:sz w:val="20"/>
        </w:rPr>
      </w:pPr>
    </w:p>
    <w:p w:rsidR="00845D1A" w:rsidRPr="008465D3" w:rsidRDefault="00845D1A" w:rsidP="000E44A7">
      <w:pPr>
        <w:jc w:val="both"/>
        <w:rPr>
          <w:rFonts w:ascii="Arial" w:hAnsi="Arial" w:cs="Arial"/>
          <w:b/>
          <w:sz w:val="20"/>
        </w:rPr>
      </w:pPr>
      <w:r>
        <w:rPr>
          <w:rFonts w:ascii="Arial" w:hAnsi="Arial" w:cs="Arial"/>
          <w:b/>
          <w:sz w:val="20"/>
        </w:rPr>
        <w:t>Table 1</w:t>
      </w:r>
      <w:r w:rsidRPr="00845D1A">
        <w:rPr>
          <w:rFonts w:ascii="Arial" w:hAnsi="Arial" w:cs="Arial"/>
          <w:b/>
          <w:sz w:val="20"/>
        </w:rPr>
        <w:t xml:space="preserve">: </w:t>
      </w:r>
      <w:r w:rsidRPr="008465D3">
        <w:rPr>
          <w:rFonts w:ascii="Arial" w:hAnsi="Arial" w:cs="Arial"/>
          <w:b/>
          <w:sz w:val="20"/>
        </w:rPr>
        <w:t>Physicochemical properties of designed derivatives</w:t>
      </w:r>
    </w:p>
    <w:tbl>
      <w:tblPr>
        <w:tblStyle w:val="TableGrid"/>
        <w:tblW w:w="0" w:type="auto"/>
        <w:tblLook w:val="04A0" w:firstRow="1" w:lastRow="0" w:firstColumn="1" w:lastColumn="0" w:noHBand="0" w:noVBand="1"/>
      </w:tblPr>
      <w:tblGrid>
        <w:gridCol w:w="867"/>
        <w:gridCol w:w="860"/>
        <w:gridCol w:w="910"/>
        <w:gridCol w:w="930"/>
        <w:gridCol w:w="910"/>
        <w:gridCol w:w="798"/>
        <w:gridCol w:w="1030"/>
        <w:gridCol w:w="1283"/>
        <w:gridCol w:w="852"/>
        <w:gridCol w:w="910"/>
      </w:tblGrid>
      <w:tr w:rsidR="00411032" w:rsidRPr="00845D1A" w:rsidTr="00654188">
        <w:tc>
          <w:tcPr>
            <w:tcW w:w="867" w:type="dxa"/>
          </w:tcPr>
          <w:p w:rsidR="00411032" w:rsidRPr="00C96CB3" w:rsidRDefault="00411032" w:rsidP="000E44A7">
            <w:pPr>
              <w:jc w:val="both"/>
              <w:rPr>
                <w:rFonts w:ascii="Arial" w:hAnsi="Arial" w:cs="Arial"/>
                <w:b/>
                <w:sz w:val="20"/>
                <w:szCs w:val="20"/>
              </w:rPr>
            </w:pPr>
            <w:r w:rsidRPr="00C96CB3">
              <w:rPr>
                <w:rFonts w:ascii="Arial" w:hAnsi="Arial" w:cs="Arial"/>
                <w:b/>
                <w:sz w:val="20"/>
                <w:szCs w:val="20"/>
              </w:rPr>
              <w:lastRenderedPageBreak/>
              <w:t>NO.</w:t>
            </w:r>
          </w:p>
        </w:tc>
        <w:tc>
          <w:tcPr>
            <w:tcW w:w="860"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LOgP</w:t>
            </w:r>
            <w:proofErr w:type="spellEnd"/>
          </w:p>
        </w:tc>
        <w:tc>
          <w:tcPr>
            <w:tcW w:w="910" w:type="dxa"/>
          </w:tcPr>
          <w:p w:rsidR="00411032" w:rsidRPr="00C96CB3" w:rsidRDefault="00411032" w:rsidP="000E44A7">
            <w:pPr>
              <w:jc w:val="both"/>
              <w:rPr>
                <w:rFonts w:ascii="Arial" w:hAnsi="Arial" w:cs="Arial"/>
                <w:b/>
                <w:sz w:val="20"/>
                <w:szCs w:val="20"/>
              </w:rPr>
            </w:pPr>
            <w:r w:rsidRPr="00C96CB3">
              <w:rPr>
                <w:rFonts w:ascii="Arial" w:hAnsi="Arial" w:cs="Arial"/>
                <w:b/>
                <w:sz w:val="20"/>
                <w:szCs w:val="20"/>
              </w:rPr>
              <w:t>TPSA</w:t>
            </w:r>
          </w:p>
        </w:tc>
        <w:tc>
          <w:tcPr>
            <w:tcW w:w="930"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natoms</w:t>
            </w:r>
            <w:proofErr w:type="spellEnd"/>
          </w:p>
        </w:tc>
        <w:tc>
          <w:tcPr>
            <w:tcW w:w="910" w:type="dxa"/>
          </w:tcPr>
          <w:p w:rsidR="00411032" w:rsidRPr="00C96CB3" w:rsidRDefault="00411032" w:rsidP="000E44A7">
            <w:pPr>
              <w:jc w:val="both"/>
              <w:rPr>
                <w:rFonts w:ascii="Arial" w:hAnsi="Arial" w:cs="Arial"/>
                <w:b/>
                <w:sz w:val="20"/>
                <w:szCs w:val="20"/>
              </w:rPr>
            </w:pPr>
            <w:r w:rsidRPr="00C96CB3">
              <w:rPr>
                <w:rFonts w:ascii="Arial" w:hAnsi="Arial" w:cs="Arial"/>
                <w:b/>
                <w:sz w:val="20"/>
                <w:szCs w:val="20"/>
              </w:rPr>
              <w:t>MW</w:t>
            </w:r>
          </w:p>
        </w:tc>
        <w:tc>
          <w:tcPr>
            <w:tcW w:w="798"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nON</w:t>
            </w:r>
            <w:proofErr w:type="spellEnd"/>
          </w:p>
        </w:tc>
        <w:tc>
          <w:tcPr>
            <w:tcW w:w="1030"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nOHNH</w:t>
            </w:r>
            <w:proofErr w:type="spellEnd"/>
          </w:p>
        </w:tc>
        <w:tc>
          <w:tcPr>
            <w:tcW w:w="1283"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nviolations</w:t>
            </w:r>
            <w:proofErr w:type="spellEnd"/>
          </w:p>
        </w:tc>
        <w:tc>
          <w:tcPr>
            <w:tcW w:w="852" w:type="dxa"/>
          </w:tcPr>
          <w:p w:rsidR="00411032" w:rsidRPr="00C96CB3" w:rsidRDefault="00411032" w:rsidP="000E44A7">
            <w:pPr>
              <w:jc w:val="both"/>
              <w:rPr>
                <w:rFonts w:ascii="Arial" w:hAnsi="Arial" w:cs="Arial"/>
                <w:b/>
                <w:sz w:val="20"/>
                <w:szCs w:val="20"/>
              </w:rPr>
            </w:pPr>
            <w:proofErr w:type="spellStart"/>
            <w:r w:rsidRPr="00C96CB3">
              <w:rPr>
                <w:rFonts w:ascii="Arial" w:hAnsi="Arial" w:cs="Arial"/>
                <w:b/>
                <w:sz w:val="20"/>
                <w:szCs w:val="20"/>
              </w:rPr>
              <w:t>Nrotb</w:t>
            </w:r>
            <w:proofErr w:type="spellEnd"/>
          </w:p>
        </w:tc>
        <w:tc>
          <w:tcPr>
            <w:tcW w:w="910" w:type="dxa"/>
          </w:tcPr>
          <w:p w:rsidR="00411032" w:rsidRPr="00C96CB3" w:rsidRDefault="00411032" w:rsidP="000E44A7">
            <w:pPr>
              <w:jc w:val="both"/>
              <w:rPr>
                <w:rFonts w:ascii="Arial" w:hAnsi="Arial" w:cs="Arial"/>
                <w:b/>
                <w:sz w:val="20"/>
                <w:szCs w:val="20"/>
              </w:rPr>
            </w:pPr>
            <w:r w:rsidRPr="00C96CB3">
              <w:rPr>
                <w:rFonts w:ascii="Arial" w:hAnsi="Arial" w:cs="Arial"/>
                <w:b/>
                <w:sz w:val="20"/>
                <w:szCs w:val="20"/>
              </w:rPr>
              <w:t>Volm</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2.02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259.26</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227.45</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AA2</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0.53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102.92</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18</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249.22</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209.26</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AA3</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1.30</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AA4</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AA5</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1.44</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AA6</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1.47</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106.85</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287.27</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246.44</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AA7</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-1.44</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144.15</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325.30</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8</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250.34</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AA8</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1.48</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127.08</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289.24</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7</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237.89</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AA9</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1.68</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263.22</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215.82</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AA10</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1.73</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89.78</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263.22</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215.82</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AA11</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1.41</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181.43</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24</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335.23</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11</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257.56</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AA12</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1.06</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AA13</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110.01</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261.23</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5</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218.91</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AA14</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1.07</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102.67</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260.25</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223.30</w:t>
            </w:r>
          </w:p>
        </w:tc>
      </w:tr>
      <w:tr w:rsidR="00411032" w:rsidRPr="00845D1A" w:rsidTr="00654188">
        <w:tc>
          <w:tcPr>
            <w:tcW w:w="867"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AA15</w:t>
            </w:r>
          </w:p>
        </w:tc>
        <w:tc>
          <w:tcPr>
            <w:tcW w:w="86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1.07</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102.67</w:t>
            </w:r>
          </w:p>
        </w:tc>
        <w:tc>
          <w:tcPr>
            <w:tcW w:w="9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19</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260.35</w:t>
            </w:r>
          </w:p>
        </w:tc>
        <w:tc>
          <w:tcPr>
            <w:tcW w:w="798"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6</w:t>
            </w:r>
          </w:p>
        </w:tc>
        <w:tc>
          <w:tcPr>
            <w:tcW w:w="103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4</w:t>
            </w:r>
          </w:p>
        </w:tc>
        <w:tc>
          <w:tcPr>
            <w:tcW w:w="1283"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0</w:t>
            </w:r>
          </w:p>
        </w:tc>
        <w:tc>
          <w:tcPr>
            <w:tcW w:w="852"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w:t>
            </w:r>
          </w:p>
        </w:tc>
        <w:tc>
          <w:tcPr>
            <w:tcW w:w="910" w:type="dxa"/>
          </w:tcPr>
          <w:p w:rsidR="00411032" w:rsidRPr="00845D1A" w:rsidRDefault="00411032" w:rsidP="000E44A7">
            <w:pPr>
              <w:jc w:val="both"/>
              <w:rPr>
                <w:rFonts w:ascii="Arial" w:hAnsi="Arial" w:cs="Arial"/>
                <w:sz w:val="20"/>
                <w:szCs w:val="20"/>
              </w:rPr>
            </w:pPr>
            <w:r w:rsidRPr="00845D1A">
              <w:rPr>
                <w:rFonts w:ascii="Arial" w:hAnsi="Arial" w:cs="Arial"/>
                <w:sz w:val="20"/>
                <w:szCs w:val="20"/>
              </w:rPr>
              <w:t>223.30</w:t>
            </w:r>
          </w:p>
        </w:tc>
      </w:tr>
    </w:tbl>
    <w:p w:rsidR="00B92164" w:rsidRPr="00845D1A" w:rsidRDefault="00B92164" w:rsidP="000E44A7">
      <w:pPr>
        <w:ind w:left="360"/>
        <w:jc w:val="both"/>
        <w:rPr>
          <w:rFonts w:ascii="Arial" w:hAnsi="Arial" w:cs="Arial"/>
          <w:sz w:val="20"/>
        </w:rPr>
      </w:pPr>
    </w:p>
    <w:p w:rsidR="000E2BF8" w:rsidRPr="00845D1A" w:rsidRDefault="00411032" w:rsidP="000E44A7">
      <w:pPr>
        <w:jc w:val="both"/>
        <w:rPr>
          <w:rFonts w:ascii="Arial" w:hAnsi="Arial" w:cs="Arial"/>
          <w:sz w:val="20"/>
        </w:rPr>
      </w:pPr>
      <w:proofErr w:type="spellStart"/>
      <w:r w:rsidRPr="00845D1A">
        <w:rPr>
          <w:rFonts w:ascii="Arial" w:hAnsi="Arial" w:cs="Arial"/>
          <w:sz w:val="20"/>
        </w:rPr>
        <w:t>Molinspiration</w:t>
      </w:r>
      <w:proofErr w:type="spellEnd"/>
      <w:r w:rsidRPr="00845D1A">
        <w:rPr>
          <w:rFonts w:ascii="Arial" w:hAnsi="Arial" w:cs="Arial"/>
          <w:sz w:val="20"/>
        </w:rPr>
        <w:t xml:space="preserve"> analysis of the designed gallic acid derivatives showed that most compounds possessed acceptable physicochemical properties and met standard drug-lik</w:t>
      </w:r>
      <w:r w:rsidR="000E2BF8" w:rsidRPr="00845D1A">
        <w:rPr>
          <w:rFonts w:ascii="Arial" w:hAnsi="Arial" w:cs="Arial"/>
          <w:sz w:val="20"/>
        </w:rPr>
        <w:t>eness criteria. Out of the fifteen</w:t>
      </w:r>
      <w:r w:rsidRPr="00845D1A">
        <w:rPr>
          <w:rFonts w:ascii="Arial" w:hAnsi="Arial" w:cs="Arial"/>
          <w:sz w:val="20"/>
        </w:rPr>
        <w:t xml:space="preserve"> derivatives, GA21 exhibited violations, suggesting possible limitations in oral bioavailability or drug-like behavior. The remaining thirty-eight derivatives complied with all evaluated parameters, indicating generally favorable physicochemical profiles.</w:t>
      </w:r>
    </w:p>
    <w:p w:rsidR="000E2BF8" w:rsidRPr="00845D1A" w:rsidRDefault="00D10DB0" w:rsidP="000E44A7">
      <w:pPr>
        <w:jc w:val="both"/>
        <w:rPr>
          <w:rFonts w:ascii="Arial" w:hAnsi="Arial" w:cs="Arial"/>
          <w:sz w:val="20"/>
        </w:rPr>
      </w:pPr>
      <w:r w:rsidRPr="00845D1A">
        <w:rPr>
          <w:rFonts w:ascii="Arial" w:hAnsi="Arial" w:cs="Arial"/>
          <w:b/>
          <w:sz w:val="20"/>
        </w:rPr>
        <w:t>Result of ADME</w:t>
      </w:r>
      <w:r w:rsidR="000E2BF8" w:rsidRPr="00845D1A">
        <w:rPr>
          <w:rFonts w:ascii="Arial" w:hAnsi="Arial" w:cs="Arial"/>
          <w:sz w:val="20"/>
        </w:rPr>
        <w:t xml:space="preserve">: The ADMET properties of the fifteen substituted derivatives were evaluated using the </w:t>
      </w:r>
      <w:proofErr w:type="spellStart"/>
      <w:r w:rsidR="000E2BF8" w:rsidRPr="00845D1A">
        <w:rPr>
          <w:rFonts w:ascii="Arial" w:hAnsi="Arial" w:cs="Arial"/>
          <w:sz w:val="20"/>
        </w:rPr>
        <w:t>PreADMET</w:t>
      </w:r>
      <w:proofErr w:type="spellEnd"/>
      <w:r w:rsidR="000E2BF8" w:rsidRPr="00845D1A">
        <w:rPr>
          <w:rFonts w:ascii="Arial" w:hAnsi="Arial" w:cs="Arial"/>
          <w:sz w:val="20"/>
        </w:rPr>
        <w:t xml:space="preserve"> online web tool, and the calculated results are presented in </w:t>
      </w:r>
      <w:r w:rsidR="000E2BF8" w:rsidRPr="00845D1A">
        <w:rPr>
          <w:rStyle w:val="Strong"/>
          <w:rFonts w:ascii="Arial" w:hAnsi="Arial" w:cs="Arial"/>
          <w:sz w:val="20"/>
        </w:rPr>
        <w:t>Table 2</w:t>
      </w:r>
      <w:r w:rsidR="000E2BF8" w:rsidRPr="00845D1A">
        <w:rPr>
          <w:rFonts w:ascii="Arial" w:hAnsi="Arial" w:cs="Arial"/>
          <w:b/>
          <w:sz w:val="20"/>
        </w:rPr>
        <w:t>and 3</w:t>
      </w:r>
      <w:r w:rsidR="00392BFE" w:rsidRPr="00845D1A">
        <w:rPr>
          <w:rFonts w:ascii="Arial" w:hAnsi="Arial" w:cs="Arial"/>
          <w:b/>
          <w:sz w:val="20"/>
        </w:rPr>
        <w:t xml:space="preserve"> and Figure 1.</w:t>
      </w:r>
    </w:p>
    <w:p w:rsidR="000E2BF8" w:rsidRPr="00845D1A" w:rsidRDefault="000E2BF8" w:rsidP="000E44A7">
      <w:pPr>
        <w:jc w:val="both"/>
        <w:rPr>
          <w:rFonts w:ascii="Arial" w:hAnsi="Arial" w:cs="Arial"/>
          <w:b/>
          <w:sz w:val="20"/>
        </w:rPr>
      </w:pPr>
      <w:r w:rsidRPr="00845D1A">
        <w:rPr>
          <w:rFonts w:ascii="Arial" w:hAnsi="Arial" w:cs="Arial"/>
          <w:b/>
          <w:sz w:val="20"/>
        </w:rPr>
        <w:t>Table 2: ADME properties of designed derivatives</w:t>
      </w:r>
    </w:p>
    <w:tbl>
      <w:tblPr>
        <w:tblStyle w:val="TableGrid2"/>
        <w:tblW w:w="0" w:type="auto"/>
        <w:tblLook w:val="04A0" w:firstRow="1" w:lastRow="0" w:firstColumn="1" w:lastColumn="0" w:noHBand="0" w:noVBand="1"/>
      </w:tblPr>
      <w:tblGrid>
        <w:gridCol w:w="1014"/>
        <w:gridCol w:w="995"/>
        <w:gridCol w:w="1024"/>
        <w:gridCol w:w="1103"/>
        <w:gridCol w:w="998"/>
        <w:gridCol w:w="1013"/>
        <w:gridCol w:w="1187"/>
        <w:gridCol w:w="853"/>
        <w:gridCol w:w="1055"/>
      </w:tblGrid>
      <w:tr w:rsidR="000E2BF8" w:rsidRPr="00845D1A" w:rsidTr="00654188">
        <w:tc>
          <w:tcPr>
            <w:tcW w:w="1014" w:type="dxa"/>
          </w:tcPr>
          <w:p w:rsidR="000E2BF8" w:rsidRPr="00C96CB3" w:rsidRDefault="000E2BF8" w:rsidP="000E44A7">
            <w:pPr>
              <w:jc w:val="both"/>
              <w:rPr>
                <w:rFonts w:ascii="Arial" w:hAnsi="Arial" w:cs="Arial"/>
                <w:b/>
                <w:sz w:val="20"/>
              </w:rPr>
            </w:pPr>
            <w:r w:rsidRPr="00C96CB3">
              <w:rPr>
                <w:rFonts w:ascii="Arial" w:hAnsi="Arial" w:cs="Arial"/>
                <w:b/>
                <w:sz w:val="20"/>
              </w:rPr>
              <w:t>COMP</w:t>
            </w:r>
          </w:p>
        </w:tc>
        <w:tc>
          <w:tcPr>
            <w:tcW w:w="995" w:type="dxa"/>
          </w:tcPr>
          <w:p w:rsidR="000E2BF8" w:rsidRPr="00C96CB3" w:rsidRDefault="000E2BF8" w:rsidP="000E44A7">
            <w:pPr>
              <w:jc w:val="both"/>
              <w:rPr>
                <w:rFonts w:ascii="Arial" w:hAnsi="Arial" w:cs="Arial"/>
                <w:b/>
                <w:sz w:val="20"/>
              </w:rPr>
            </w:pPr>
            <w:r w:rsidRPr="00C96CB3">
              <w:rPr>
                <w:rFonts w:ascii="Arial" w:hAnsi="Arial" w:cs="Arial"/>
                <w:b/>
                <w:sz w:val="20"/>
              </w:rPr>
              <w:t>BBB</w:t>
            </w:r>
          </w:p>
        </w:tc>
        <w:tc>
          <w:tcPr>
            <w:tcW w:w="1024" w:type="dxa"/>
          </w:tcPr>
          <w:p w:rsidR="000E2BF8" w:rsidRPr="00C96CB3" w:rsidRDefault="000E2BF8" w:rsidP="000E44A7">
            <w:pPr>
              <w:jc w:val="both"/>
              <w:rPr>
                <w:rFonts w:ascii="Arial" w:hAnsi="Arial" w:cs="Arial"/>
                <w:b/>
                <w:sz w:val="20"/>
              </w:rPr>
            </w:pPr>
            <w:r w:rsidRPr="00C96CB3">
              <w:rPr>
                <w:rFonts w:ascii="Arial" w:hAnsi="Arial" w:cs="Arial"/>
                <w:b/>
                <w:sz w:val="20"/>
              </w:rPr>
              <w:t>CaCO2</w:t>
            </w:r>
          </w:p>
        </w:tc>
        <w:tc>
          <w:tcPr>
            <w:tcW w:w="1103" w:type="dxa"/>
          </w:tcPr>
          <w:p w:rsidR="000E2BF8" w:rsidRPr="00C96CB3" w:rsidRDefault="000E2BF8" w:rsidP="000E44A7">
            <w:pPr>
              <w:jc w:val="both"/>
              <w:rPr>
                <w:rFonts w:ascii="Arial" w:hAnsi="Arial" w:cs="Arial"/>
                <w:b/>
                <w:sz w:val="20"/>
              </w:rPr>
            </w:pPr>
            <w:r w:rsidRPr="00C96CB3">
              <w:rPr>
                <w:rFonts w:ascii="Arial" w:hAnsi="Arial" w:cs="Arial"/>
                <w:b/>
                <w:sz w:val="20"/>
              </w:rPr>
              <w:t>CYP2D6</w:t>
            </w:r>
          </w:p>
        </w:tc>
        <w:tc>
          <w:tcPr>
            <w:tcW w:w="998" w:type="dxa"/>
          </w:tcPr>
          <w:p w:rsidR="000E2BF8" w:rsidRPr="00C96CB3" w:rsidRDefault="000E2BF8" w:rsidP="000E44A7">
            <w:pPr>
              <w:jc w:val="both"/>
              <w:rPr>
                <w:rFonts w:ascii="Arial" w:hAnsi="Arial" w:cs="Arial"/>
                <w:b/>
                <w:sz w:val="20"/>
              </w:rPr>
            </w:pPr>
            <w:r w:rsidRPr="00C96CB3">
              <w:rPr>
                <w:rFonts w:ascii="Arial" w:hAnsi="Arial" w:cs="Arial"/>
                <w:b/>
                <w:sz w:val="20"/>
              </w:rPr>
              <w:t>HIA</w:t>
            </w:r>
          </w:p>
        </w:tc>
        <w:tc>
          <w:tcPr>
            <w:tcW w:w="1013" w:type="dxa"/>
          </w:tcPr>
          <w:p w:rsidR="000E2BF8" w:rsidRPr="00C96CB3" w:rsidRDefault="000E2BF8" w:rsidP="000E44A7">
            <w:pPr>
              <w:jc w:val="both"/>
              <w:rPr>
                <w:rFonts w:ascii="Arial" w:hAnsi="Arial" w:cs="Arial"/>
                <w:b/>
                <w:sz w:val="20"/>
              </w:rPr>
            </w:pPr>
            <w:r w:rsidRPr="00C96CB3">
              <w:rPr>
                <w:rFonts w:ascii="Arial" w:hAnsi="Arial" w:cs="Arial"/>
                <w:b/>
                <w:sz w:val="20"/>
              </w:rPr>
              <w:t>MDCK</w:t>
            </w:r>
          </w:p>
        </w:tc>
        <w:tc>
          <w:tcPr>
            <w:tcW w:w="1187" w:type="dxa"/>
          </w:tcPr>
          <w:p w:rsidR="000E2BF8" w:rsidRPr="00C96CB3" w:rsidRDefault="000E2BF8" w:rsidP="000E44A7">
            <w:pPr>
              <w:jc w:val="both"/>
              <w:rPr>
                <w:rFonts w:ascii="Arial" w:hAnsi="Arial" w:cs="Arial"/>
                <w:b/>
                <w:sz w:val="20"/>
              </w:rPr>
            </w:pPr>
            <w:r w:rsidRPr="00C96CB3">
              <w:rPr>
                <w:rFonts w:ascii="Arial" w:hAnsi="Arial" w:cs="Arial"/>
                <w:b/>
                <w:sz w:val="20"/>
              </w:rPr>
              <w:t>PGP</w:t>
            </w:r>
          </w:p>
        </w:tc>
        <w:tc>
          <w:tcPr>
            <w:tcW w:w="853" w:type="dxa"/>
          </w:tcPr>
          <w:p w:rsidR="000E2BF8" w:rsidRPr="00C96CB3" w:rsidRDefault="000E2BF8" w:rsidP="000E44A7">
            <w:pPr>
              <w:jc w:val="both"/>
              <w:rPr>
                <w:rFonts w:ascii="Arial" w:hAnsi="Arial" w:cs="Arial"/>
                <w:b/>
                <w:sz w:val="20"/>
              </w:rPr>
            </w:pPr>
            <w:r w:rsidRPr="00C96CB3">
              <w:rPr>
                <w:rFonts w:ascii="Arial" w:hAnsi="Arial" w:cs="Arial"/>
                <w:b/>
                <w:sz w:val="20"/>
              </w:rPr>
              <w:t>PPB</w:t>
            </w:r>
          </w:p>
        </w:tc>
        <w:tc>
          <w:tcPr>
            <w:tcW w:w="1055" w:type="dxa"/>
          </w:tcPr>
          <w:p w:rsidR="000E2BF8" w:rsidRPr="00C96CB3" w:rsidRDefault="000E2BF8" w:rsidP="000E44A7">
            <w:pPr>
              <w:jc w:val="both"/>
              <w:rPr>
                <w:rFonts w:ascii="Arial" w:hAnsi="Arial" w:cs="Arial"/>
                <w:b/>
                <w:sz w:val="20"/>
              </w:rPr>
            </w:pPr>
            <w:r w:rsidRPr="00C96CB3">
              <w:rPr>
                <w:rFonts w:ascii="Arial" w:hAnsi="Arial" w:cs="Arial"/>
                <w:b/>
                <w:sz w:val="20"/>
              </w:rPr>
              <w:t>SKIN P.</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0.375</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11.40</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80.12</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84.07</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88.54</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-4.083</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AA2</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0.225</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19.39</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70.64</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13.33</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77.09</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-4.499</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AA3</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0.337</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17.47</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64.37</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32.68</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91.29</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-4.279</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AA4</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0.149</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4.865</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24.30</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77.49</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-4.265</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AA5</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0.132</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10.01</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19.05</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82.59</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-4.287</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AA6</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0.149</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15.68</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78.83</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1.12</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82.61</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-4.28</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AA7</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0.027</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0.416</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61.75</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0.322</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87.94</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-2.81</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AA8</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0.064</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18.86</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63.70</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3.48</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82.46</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-4.34</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AA9</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0.759</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20.00</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79.06</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67.08</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91.68</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-4.375</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AA10</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0.418</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2.035</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79.06</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33.43</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91.68</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-4.401</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AA11</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0.017</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3.021</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13.930</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18.88</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inhibitor</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94.89</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-4.083</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AA12</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0.328</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1.287</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64.386</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26.121</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89.93</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-4.295</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AA13</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0.247</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1.287</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64.386</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28.66</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91.40</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-4.294</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AA14</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0.382</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9.224</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75.62</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33.26</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71.78</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-4.423</w:t>
            </w:r>
          </w:p>
        </w:tc>
      </w:tr>
      <w:tr w:rsidR="000E2BF8" w:rsidRPr="00845D1A" w:rsidTr="00654188">
        <w:tc>
          <w:tcPr>
            <w:tcW w:w="1014" w:type="dxa"/>
          </w:tcPr>
          <w:p w:rsidR="000E2BF8" w:rsidRPr="00845D1A" w:rsidRDefault="000E2BF8" w:rsidP="000E44A7">
            <w:pPr>
              <w:jc w:val="both"/>
              <w:rPr>
                <w:rFonts w:ascii="Arial" w:hAnsi="Arial" w:cs="Arial"/>
                <w:sz w:val="20"/>
              </w:rPr>
            </w:pPr>
            <w:r w:rsidRPr="00845D1A">
              <w:rPr>
                <w:rFonts w:ascii="Arial" w:hAnsi="Arial" w:cs="Arial"/>
                <w:sz w:val="20"/>
              </w:rPr>
              <w:t>AA15</w:t>
            </w:r>
          </w:p>
        </w:tc>
        <w:tc>
          <w:tcPr>
            <w:tcW w:w="995" w:type="dxa"/>
          </w:tcPr>
          <w:p w:rsidR="000E2BF8" w:rsidRPr="00845D1A" w:rsidRDefault="000E2BF8" w:rsidP="000E44A7">
            <w:pPr>
              <w:jc w:val="both"/>
              <w:rPr>
                <w:rFonts w:ascii="Arial" w:hAnsi="Arial" w:cs="Arial"/>
                <w:sz w:val="20"/>
              </w:rPr>
            </w:pPr>
            <w:r w:rsidRPr="00845D1A">
              <w:rPr>
                <w:rFonts w:ascii="Arial" w:hAnsi="Arial" w:cs="Arial"/>
                <w:sz w:val="20"/>
              </w:rPr>
              <w:t>0.183</w:t>
            </w:r>
          </w:p>
        </w:tc>
        <w:tc>
          <w:tcPr>
            <w:tcW w:w="1024" w:type="dxa"/>
          </w:tcPr>
          <w:p w:rsidR="000E2BF8" w:rsidRPr="00845D1A" w:rsidRDefault="000E2BF8" w:rsidP="000E44A7">
            <w:pPr>
              <w:jc w:val="both"/>
              <w:rPr>
                <w:rFonts w:ascii="Arial" w:hAnsi="Arial" w:cs="Arial"/>
                <w:sz w:val="20"/>
              </w:rPr>
            </w:pPr>
            <w:r w:rsidRPr="00845D1A">
              <w:rPr>
                <w:rFonts w:ascii="Arial" w:hAnsi="Arial" w:cs="Arial"/>
                <w:sz w:val="20"/>
              </w:rPr>
              <w:t>16.00</w:t>
            </w:r>
          </w:p>
        </w:tc>
        <w:tc>
          <w:tcPr>
            <w:tcW w:w="1103"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998" w:type="dxa"/>
          </w:tcPr>
          <w:p w:rsidR="000E2BF8" w:rsidRPr="00845D1A" w:rsidRDefault="000E2BF8" w:rsidP="000E44A7">
            <w:pPr>
              <w:jc w:val="both"/>
              <w:rPr>
                <w:rFonts w:ascii="Arial" w:hAnsi="Arial" w:cs="Arial"/>
                <w:sz w:val="20"/>
              </w:rPr>
            </w:pPr>
            <w:r w:rsidRPr="00845D1A">
              <w:rPr>
                <w:rFonts w:ascii="Arial" w:hAnsi="Arial" w:cs="Arial"/>
                <w:sz w:val="20"/>
              </w:rPr>
              <w:t>75.62</w:t>
            </w:r>
          </w:p>
        </w:tc>
        <w:tc>
          <w:tcPr>
            <w:tcW w:w="1013" w:type="dxa"/>
          </w:tcPr>
          <w:p w:rsidR="000E2BF8" w:rsidRPr="00845D1A" w:rsidRDefault="000E2BF8" w:rsidP="000E44A7">
            <w:pPr>
              <w:jc w:val="both"/>
              <w:rPr>
                <w:rFonts w:ascii="Arial" w:hAnsi="Arial" w:cs="Arial"/>
                <w:sz w:val="20"/>
              </w:rPr>
            </w:pPr>
            <w:r w:rsidRPr="00845D1A">
              <w:rPr>
                <w:rFonts w:ascii="Arial" w:hAnsi="Arial" w:cs="Arial"/>
                <w:sz w:val="20"/>
              </w:rPr>
              <w:t>38.59</w:t>
            </w:r>
          </w:p>
        </w:tc>
        <w:tc>
          <w:tcPr>
            <w:tcW w:w="1187" w:type="dxa"/>
          </w:tcPr>
          <w:p w:rsidR="000E2BF8" w:rsidRPr="00845D1A" w:rsidRDefault="000E2BF8" w:rsidP="000E44A7">
            <w:pPr>
              <w:jc w:val="both"/>
              <w:rPr>
                <w:rFonts w:ascii="Arial" w:hAnsi="Arial" w:cs="Arial"/>
                <w:sz w:val="20"/>
              </w:rPr>
            </w:pPr>
            <w:r w:rsidRPr="00845D1A">
              <w:rPr>
                <w:rFonts w:ascii="Arial" w:hAnsi="Arial" w:cs="Arial"/>
                <w:sz w:val="20"/>
              </w:rPr>
              <w:t>Non</w:t>
            </w:r>
          </w:p>
        </w:tc>
        <w:tc>
          <w:tcPr>
            <w:tcW w:w="853" w:type="dxa"/>
          </w:tcPr>
          <w:p w:rsidR="000E2BF8" w:rsidRPr="00845D1A" w:rsidRDefault="000E2BF8" w:rsidP="000E44A7">
            <w:pPr>
              <w:jc w:val="both"/>
              <w:rPr>
                <w:rFonts w:ascii="Arial" w:hAnsi="Arial" w:cs="Arial"/>
                <w:sz w:val="20"/>
              </w:rPr>
            </w:pPr>
            <w:r w:rsidRPr="00845D1A">
              <w:rPr>
                <w:rFonts w:ascii="Arial" w:hAnsi="Arial" w:cs="Arial"/>
                <w:sz w:val="20"/>
              </w:rPr>
              <w:t>73.45</w:t>
            </w:r>
          </w:p>
        </w:tc>
        <w:tc>
          <w:tcPr>
            <w:tcW w:w="1055" w:type="dxa"/>
          </w:tcPr>
          <w:p w:rsidR="000E2BF8" w:rsidRPr="00845D1A" w:rsidRDefault="000E2BF8" w:rsidP="000E44A7">
            <w:pPr>
              <w:jc w:val="both"/>
              <w:rPr>
                <w:rFonts w:ascii="Arial" w:hAnsi="Arial" w:cs="Arial"/>
                <w:sz w:val="20"/>
              </w:rPr>
            </w:pPr>
            <w:r w:rsidRPr="00845D1A">
              <w:rPr>
                <w:rFonts w:ascii="Arial" w:hAnsi="Arial" w:cs="Arial"/>
                <w:sz w:val="20"/>
              </w:rPr>
              <w:t>-4.447</w:t>
            </w:r>
          </w:p>
        </w:tc>
      </w:tr>
    </w:tbl>
    <w:p w:rsidR="000E2BF8" w:rsidRPr="00845D1A" w:rsidRDefault="000E2BF8" w:rsidP="000E44A7">
      <w:pPr>
        <w:jc w:val="both"/>
        <w:rPr>
          <w:rFonts w:ascii="Arial" w:hAnsi="Arial" w:cs="Arial"/>
          <w:b/>
          <w:sz w:val="20"/>
        </w:rPr>
      </w:pPr>
    </w:p>
    <w:p w:rsidR="00B17BD7" w:rsidRPr="00845D1A" w:rsidRDefault="00B17BD7" w:rsidP="000E44A7">
      <w:pPr>
        <w:jc w:val="both"/>
        <w:rPr>
          <w:rFonts w:ascii="Arial" w:hAnsi="Arial" w:cs="Arial"/>
          <w:b/>
          <w:sz w:val="20"/>
        </w:rPr>
      </w:pPr>
    </w:p>
    <w:p w:rsidR="00550135" w:rsidRPr="00845D1A" w:rsidRDefault="00550135" w:rsidP="00550135">
      <w:pPr>
        <w:jc w:val="center"/>
        <w:rPr>
          <w:rFonts w:ascii="Arial" w:hAnsi="Arial" w:cs="Arial"/>
          <w:b/>
          <w:sz w:val="20"/>
        </w:rPr>
      </w:pPr>
      <w:r w:rsidRPr="00845D1A">
        <w:rPr>
          <w:rFonts w:ascii="Arial" w:hAnsi="Arial" w:cs="Arial"/>
          <w:b/>
          <w:noProof/>
          <w:sz w:val="20"/>
          <w:lang w:bidi="ar-SA"/>
        </w:rPr>
        <w:lastRenderedPageBreak/>
        <w:drawing>
          <wp:inline distT="0" distB="0" distL="0" distR="0">
            <wp:extent cx="4400550" cy="2489414"/>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0550" cy="2489414"/>
                    </a:xfrm>
                    <a:prstGeom prst="rect">
                      <a:avLst/>
                    </a:prstGeom>
                    <a:noFill/>
                    <a:ln>
                      <a:noFill/>
                    </a:ln>
                  </pic:spPr>
                </pic:pic>
              </a:graphicData>
            </a:graphic>
          </wp:inline>
        </w:drawing>
      </w:r>
    </w:p>
    <w:p w:rsidR="00550135" w:rsidRPr="00845D1A" w:rsidRDefault="00550135" w:rsidP="00550135">
      <w:pPr>
        <w:jc w:val="center"/>
        <w:rPr>
          <w:rFonts w:ascii="Arial" w:hAnsi="Arial" w:cs="Arial"/>
          <w:b/>
          <w:sz w:val="20"/>
        </w:rPr>
      </w:pPr>
      <w:r w:rsidRPr="00845D1A">
        <w:rPr>
          <w:rFonts w:ascii="Arial" w:hAnsi="Arial" w:cs="Arial"/>
          <w:b/>
          <w:sz w:val="20"/>
        </w:rPr>
        <w:t xml:space="preserve">Fig 1. </w:t>
      </w:r>
      <w:r w:rsidR="0066232A">
        <w:rPr>
          <w:rFonts w:ascii="Arial" w:hAnsi="Arial" w:cs="Arial"/>
          <w:b/>
          <w:sz w:val="20"/>
        </w:rPr>
        <w:t xml:space="preserve">Boiled </w:t>
      </w:r>
      <w:r w:rsidRPr="00845D1A">
        <w:rPr>
          <w:rFonts w:ascii="Arial" w:hAnsi="Arial" w:cs="Arial"/>
          <w:b/>
          <w:sz w:val="20"/>
        </w:rPr>
        <w:t>Egg model for compound AA11 as PGP inhibitor</w:t>
      </w:r>
      <w:r w:rsidR="0066232A">
        <w:rPr>
          <w:rFonts w:ascii="Arial" w:hAnsi="Arial" w:cs="Arial"/>
          <w:b/>
          <w:sz w:val="20"/>
        </w:rPr>
        <w:t xml:space="preserve"> as PGP inhibitor</w:t>
      </w:r>
    </w:p>
    <w:p w:rsidR="000E2BF8" w:rsidRPr="00845D1A" w:rsidRDefault="000E2BF8" w:rsidP="000E44A7">
      <w:pPr>
        <w:jc w:val="both"/>
        <w:rPr>
          <w:rFonts w:ascii="Arial" w:hAnsi="Arial" w:cs="Arial"/>
          <w:b/>
          <w:sz w:val="20"/>
        </w:rPr>
      </w:pPr>
      <w:r w:rsidRPr="00845D1A">
        <w:rPr>
          <w:rFonts w:ascii="Arial" w:hAnsi="Arial" w:cs="Arial"/>
          <w:b/>
          <w:sz w:val="20"/>
        </w:rPr>
        <w:t>Table</w:t>
      </w:r>
      <w:r w:rsidR="00845D1A">
        <w:rPr>
          <w:rFonts w:ascii="Arial" w:hAnsi="Arial" w:cs="Arial"/>
          <w:b/>
          <w:sz w:val="20"/>
        </w:rPr>
        <w:t xml:space="preserve"> 3</w:t>
      </w:r>
      <w:r w:rsidRPr="00845D1A">
        <w:rPr>
          <w:rFonts w:ascii="Arial" w:hAnsi="Arial" w:cs="Arial"/>
          <w:b/>
          <w:sz w:val="20"/>
        </w:rPr>
        <w:t>: Result of Toxicity study of designed derivatives</w:t>
      </w:r>
    </w:p>
    <w:tbl>
      <w:tblPr>
        <w:tblStyle w:val="TableGrid1"/>
        <w:tblW w:w="0" w:type="auto"/>
        <w:jc w:val="center"/>
        <w:tblLook w:val="04A0" w:firstRow="1" w:lastRow="0" w:firstColumn="1" w:lastColumn="0" w:noHBand="0" w:noVBand="1"/>
      </w:tblPr>
      <w:tblGrid>
        <w:gridCol w:w="1558"/>
        <w:gridCol w:w="1962"/>
        <w:gridCol w:w="1558"/>
        <w:gridCol w:w="1559"/>
        <w:gridCol w:w="1559"/>
      </w:tblGrid>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C96CB3" w:rsidRDefault="001332E3" w:rsidP="000E44A7">
            <w:pPr>
              <w:jc w:val="both"/>
              <w:rPr>
                <w:rFonts w:ascii="Arial" w:hAnsi="Arial" w:cs="Arial"/>
                <w:b/>
                <w:sz w:val="20"/>
              </w:rPr>
            </w:pPr>
            <w:r w:rsidRPr="00C96CB3">
              <w:rPr>
                <w:rFonts w:ascii="Arial" w:hAnsi="Arial" w:cs="Arial"/>
                <w:b/>
                <w:sz w:val="20"/>
              </w:rPr>
              <w:t>COMP</w:t>
            </w:r>
          </w:p>
        </w:tc>
        <w:tc>
          <w:tcPr>
            <w:tcW w:w="1962" w:type="dxa"/>
            <w:tcBorders>
              <w:top w:val="single" w:sz="4" w:space="0" w:color="auto"/>
              <w:left w:val="single" w:sz="4" w:space="0" w:color="auto"/>
              <w:bottom w:val="single" w:sz="4" w:space="0" w:color="auto"/>
              <w:right w:val="single" w:sz="4" w:space="0" w:color="auto"/>
            </w:tcBorders>
            <w:hideMark/>
          </w:tcPr>
          <w:p w:rsidR="001332E3" w:rsidRPr="00C96CB3" w:rsidRDefault="001332E3" w:rsidP="000E44A7">
            <w:pPr>
              <w:jc w:val="both"/>
              <w:rPr>
                <w:rFonts w:ascii="Arial" w:hAnsi="Arial" w:cs="Arial"/>
                <w:b/>
                <w:sz w:val="20"/>
              </w:rPr>
            </w:pPr>
            <w:r w:rsidRPr="00C96CB3">
              <w:rPr>
                <w:rFonts w:ascii="Arial" w:hAnsi="Arial" w:cs="Arial"/>
                <w:b/>
                <w:sz w:val="20"/>
              </w:rPr>
              <w:t>AMES TEST</w:t>
            </w:r>
          </w:p>
        </w:tc>
        <w:tc>
          <w:tcPr>
            <w:tcW w:w="1558" w:type="dxa"/>
            <w:tcBorders>
              <w:top w:val="single" w:sz="4" w:space="0" w:color="auto"/>
              <w:left w:val="single" w:sz="4" w:space="0" w:color="auto"/>
              <w:bottom w:val="single" w:sz="4" w:space="0" w:color="auto"/>
              <w:right w:val="single" w:sz="4" w:space="0" w:color="auto"/>
            </w:tcBorders>
            <w:hideMark/>
          </w:tcPr>
          <w:p w:rsidR="001332E3" w:rsidRPr="00C96CB3" w:rsidRDefault="001332E3" w:rsidP="000E44A7">
            <w:pPr>
              <w:jc w:val="both"/>
              <w:rPr>
                <w:rFonts w:ascii="Arial" w:hAnsi="Arial" w:cs="Arial"/>
                <w:b/>
                <w:sz w:val="20"/>
              </w:rPr>
            </w:pPr>
            <w:r w:rsidRPr="00C96CB3">
              <w:rPr>
                <w:rFonts w:ascii="Arial" w:hAnsi="Arial" w:cs="Arial"/>
                <w:b/>
                <w:sz w:val="20"/>
              </w:rPr>
              <w:t>CARCINO MO</w:t>
            </w:r>
          </w:p>
        </w:tc>
        <w:tc>
          <w:tcPr>
            <w:tcW w:w="1559" w:type="dxa"/>
            <w:tcBorders>
              <w:top w:val="single" w:sz="4" w:space="0" w:color="auto"/>
              <w:left w:val="single" w:sz="4" w:space="0" w:color="auto"/>
              <w:bottom w:val="single" w:sz="4" w:space="0" w:color="auto"/>
              <w:right w:val="single" w:sz="4" w:space="0" w:color="auto"/>
            </w:tcBorders>
            <w:hideMark/>
          </w:tcPr>
          <w:p w:rsidR="001332E3" w:rsidRPr="00C96CB3" w:rsidRDefault="001332E3" w:rsidP="000E44A7">
            <w:pPr>
              <w:jc w:val="both"/>
              <w:rPr>
                <w:rFonts w:ascii="Arial" w:hAnsi="Arial" w:cs="Arial"/>
                <w:b/>
                <w:sz w:val="20"/>
              </w:rPr>
            </w:pPr>
            <w:r w:rsidRPr="00C96CB3">
              <w:rPr>
                <w:rFonts w:ascii="Arial" w:hAnsi="Arial" w:cs="Arial"/>
                <w:b/>
                <w:sz w:val="20"/>
              </w:rPr>
              <w:t>CARCINO RAT</w:t>
            </w:r>
          </w:p>
        </w:tc>
        <w:tc>
          <w:tcPr>
            <w:tcW w:w="1559" w:type="dxa"/>
            <w:tcBorders>
              <w:top w:val="single" w:sz="4" w:space="0" w:color="auto"/>
              <w:left w:val="single" w:sz="4" w:space="0" w:color="auto"/>
              <w:bottom w:val="single" w:sz="4" w:space="0" w:color="auto"/>
              <w:right w:val="single" w:sz="4" w:space="0" w:color="auto"/>
            </w:tcBorders>
            <w:hideMark/>
          </w:tcPr>
          <w:p w:rsidR="001332E3" w:rsidRPr="00C96CB3" w:rsidRDefault="001332E3" w:rsidP="000E44A7">
            <w:pPr>
              <w:jc w:val="both"/>
              <w:rPr>
                <w:rFonts w:ascii="Arial" w:hAnsi="Arial" w:cs="Arial"/>
                <w:b/>
                <w:sz w:val="20"/>
              </w:rPr>
            </w:pPr>
            <w:r w:rsidRPr="00C96CB3">
              <w:rPr>
                <w:rFonts w:ascii="Arial" w:hAnsi="Arial" w:cs="Arial"/>
                <w:b/>
                <w:sz w:val="20"/>
              </w:rPr>
              <w:t>HERG</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AA2</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AA3</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AA4</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AA5</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AA6</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AA7</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proofErr w:type="gramStart"/>
            <w:r w:rsidRPr="00845D1A">
              <w:rPr>
                <w:rFonts w:ascii="Arial" w:hAnsi="Arial" w:cs="Arial"/>
                <w:sz w:val="20"/>
              </w:rPr>
              <w:t>Non Mutagen</w:t>
            </w:r>
            <w:proofErr w:type="gramEnd"/>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Low</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AA8</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AA9</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AA10</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AA11</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Low</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AA12</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AA13</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AA14</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r w:rsidR="001332E3" w:rsidRPr="00845D1A" w:rsidTr="00D4562F">
        <w:trPr>
          <w:jc w:val="center"/>
        </w:trPr>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AA15</w:t>
            </w:r>
          </w:p>
        </w:tc>
        <w:tc>
          <w:tcPr>
            <w:tcW w:w="1962"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mutagen</w:t>
            </w:r>
          </w:p>
        </w:tc>
        <w:tc>
          <w:tcPr>
            <w:tcW w:w="1558"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negative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positive</w:t>
            </w:r>
          </w:p>
        </w:tc>
        <w:tc>
          <w:tcPr>
            <w:tcW w:w="1559" w:type="dxa"/>
            <w:tcBorders>
              <w:top w:val="single" w:sz="4" w:space="0" w:color="auto"/>
              <w:left w:val="single" w:sz="4" w:space="0" w:color="auto"/>
              <w:bottom w:val="single" w:sz="4" w:space="0" w:color="auto"/>
              <w:right w:val="single" w:sz="4" w:space="0" w:color="auto"/>
            </w:tcBorders>
            <w:hideMark/>
          </w:tcPr>
          <w:p w:rsidR="001332E3" w:rsidRPr="00845D1A" w:rsidRDefault="001332E3" w:rsidP="000E44A7">
            <w:pPr>
              <w:jc w:val="both"/>
              <w:rPr>
                <w:rFonts w:ascii="Arial" w:hAnsi="Arial" w:cs="Arial"/>
                <w:sz w:val="20"/>
              </w:rPr>
            </w:pPr>
            <w:r w:rsidRPr="00845D1A">
              <w:rPr>
                <w:rFonts w:ascii="Arial" w:hAnsi="Arial" w:cs="Arial"/>
                <w:sz w:val="20"/>
              </w:rPr>
              <w:t>Medium</w:t>
            </w:r>
          </w:p>
        </w:tc>
      </w:tr>
    </w:tbl>
    <w:p w:rsidR="001332E3" w:rsidRPr="00D4562F" w:rsidRDefault="001332E3" w:rsidP="000E44A7">
      <w:pPr>
        <w:jc w:val="both"/>
        <w:rPr>
          <w:rFonts w:ascii="Times New Roman" w:hAnsi="Times New Roman" w:cs="Times New Roman"/>
          <w:b/>
          <w:sz w:val="24"/>
          <w:szCs w:val="24"/>
        </w:rPr>
      </w:pPr>
    </w:p>
    <w:p w:rsidR="003B7E16" w:rsidRPr="00845D1A" w:rsidRDefault="00C730BB" w:rsidP="000E44A7">
      <w:pPr>
        <w:jc w:val="both"/>
        <w:rPr>
          <w:rFonts w:ascii="Arial" w:hAnsi="Arial" w:cs="Arial"/>
          <w:bCs/>
          <w:sz w:val="20"/>
        </w:rPr>
      </w:pPr>
      <w:r w:rsidRPr="00845D1A">
        <w:rPr>
          <w:rFonts w:ascii="Arial" w:hAnsi="Arial" w:cs="Arial"/>
          <w:bCs/>
          <w:sz w:val="20"/>
        </w:rPr>
        <w:t xml:space="preserve">The ADME and toxicity analysis of the designed gallic acid derivatives using </w:t>
      </w:r>
      <w:proofErr w:type="spellStart"/>
      <w:r w:rsidRPr="00845D1A">
        <w:rPr>
          <w:rFonts w:ascii="Arial" w:hAnsi="Arial" w:cs="Arial"/>
          <w:bCs/>
          <w:sz w:val="20"/>
        </w:rPr>
        <w:t>PreADMET</w:t>
      </w:r>
      <w:proofErr w:type="spellEnd"/>
      <w:r w:rsidRPr="00845D1A">
        <w:rPr>
          <w:rFonts w:ascii="Arial" w:hAnsi="Arial" w:cs="Arial"/>
          <w:bCs/>
          <w:sz w:val="20"/>
        </w:rPr>
        <w:t xml:space="preserve"> indicated favorable pharmacokinetic and safety profiles. Most compounds showed good intestinal absorption, acceptable Caco-2 permeability, moderate plasma protein binding, and low cytochrome P450 inhibition, suggesting potential for oral bioavailability with minimal drug–drug interactions. Predicted blood–brain barrier penetration was low, reducing the risk of central nervous system effects. Toxicity predictions showed that most derivatives were non-mutagenic and non-carcinogenic. Overall, the results highlight the designed compounds as promising candidates for further experimental and biological evaluation</w:t>
      </w:r>
      <w:r w:rsidR="00D96A0B">
        <w:rPr>
          <w:rFonts w:ascii="Arial" w:hAnsi="Arial" w:cs="Arial"/>
          <w:bCs/>
          <w:sz w:val="20"/>
        </w:rPr>
        <w:t>.</w:t>
      </w:r>
    </w:p>
    <w:p w:rsidR="003D6DE1" w:rsidRDefault="00C730BB" w:rsidP="000E44A7">
      <w:pPr>
        <w:jc w:val="both"/>
        <w:rPr>
          <w:rFonts w:ascii="Arial" w:hAnsi="Arial" w:cs="Arial"/>
          <w:sz w:val="20"/>
        </w:rPr>
      </w:pPr>
      <w:r w:rsidRPr="00845D1A">
        <w:rPr>
          <w:rFonts w:ascii="Arial" w:hAnsi="Arial" w:cs="Arial"/>
          <w:b/>
          <w:sz w:val="20"/>
        </w:rPr>
        <w:t>Molecular docking</w:t>
      </w:r>
      <w:r w:rsidRPr="00845D1A">
        <w:rPr>
          <w:rFonts w:ascii="Arial" w:hAnsi="Arial" w:cs="Arial"/>
          <w:sz w:val="20"/>
        </w:rPr>
        <w:t xml:space="preserve">: Molecular docking studies were carried out using </w:t>
      </w:r>
      <w:proofErr w:type="spellStart"/>
      <w:r w:rsidRPr="00845D1A">
        <w:rPr>
          <w:rStyle w:val="Strong"/>
          <w:rFonts w:ascii="Arial" w:hAnsi="Arial" w:cs="Arial"/>
          <w:sz w:val="20"/>
        </w:rPr>
        <w:t>Molegro</w:t>
      </w:r>
      <w:proofErr w:type="spellEnd"/>
      <w:r w:rsidRPr="00845D1A">
        <w:rPr>
          <w:rStyle w:val="Strong"/>
          <w:rFonts w:ascii="Arial" w:hAnsi="Arial" w:cs="Arial"/>
          <w:sz w:val="20"/>
        </w:rPr>
        <w:t xml:space="preserve"> Virtual Docker (MVD) version 6.0</w:t>
      </w:r>
      <w:r w:rsidRPr="00845D1A">
        <w:rPr>
          <w:rFonts w:ascii="Arial" w:hAnsi="Arial" w:cs="Arial"/>
          <w:sz w:val="20"/>
        </w:rPr>
        <w:t xml:space="preserve"> to assess the binding affinity and interaction patterns of the designed compounds with the target protein. The docking results are summarized in </w:t>
      </w:r>
      <w:r w:rsidRPr="00845D1A">
        <w:rPr>
          <w:rStyle w:val="Strong"/>
          <w:rFonts w:ascii="Arial" w:hAnsi="Arial" w:cs="Arial"/>
          <w:sz w:val="20"/>
        </w:rPr>
        <w:t>Table 4</w:t>
      </w:r>
      <w:r w:rsidRPr="00845D1A">
        <w:rPr>
          <w:rFonts w:ascii="Arial" w:hAnsi="Arial" w:cs="Arial"/>
          <w:sz w:val="20"/>
        </w:rPr>
        <w:t xml:space="preserve">, while the detailed protein–ligand interactions are illustrated in </w:t>
      </w:r>
      <w:r w:rsidRPr="00845D1A">
        <w:rPr>
          <w:rStyle w:val="Strong"/>
          <w:rFonts w:ascii="Arial" w:hAnsi="Arial" w:cs="Arial"/>
          <w:sz w:val="20"/>
        </w:rPr>
        <w:t>Figure 1</w:t>
      </w:r>
      <w:r w:rsidRPr="00845D1A">
        <w:rPr>
          <w:rFonts w:ascii="Arial" w:hAnsi="Arial" w:cs="Arial"/>
          <w:sz w:val="20"/>
        </w:rPr>
        <w:t>.</w:t>
      </w:r>
    </w:p>
    <w:p w:rsidR="008465D3" w:rsidRPr="00845D1A" w:rsidRDefault="008465D3" w:rsidP="000E44A7">
      <w:pPr>
        <w:jc w:val="both"/>
        <w:rPr>
          <w:rFonts w:ascii="Arial" w:hAnsi="Arial" w:cs="Arial"/>
          <w:sz w:val="20"/>
        </w:rPr>
      </w:pPr>
    </w:p>
    <w:p w:rsidR="003B2CBE" w:rsidRPr="00845D1A" w:rsidRDefault="002D3C50" w:rsidP="000E44A7">
      <w:pPr>
        <w:jc w:val="both"/>
        <w:rPr>
          <w:rFonts w:ascii="Arial" w:hAnsi="Arial" w:cs="Arial"/>
          <w:sz w:val="20"/>
        </w:rPr>
      </w:pPr>
      <w:r w:rsidRPr="00845D1A">
        <w:rPr>
          <w:rFonts w:ascii="Arial" w:hAnsi="Arial" w:cs="Arial"/>
          <w:b/>
          <w:sz w:val="20"/>
        </w:rPr>
        <w:lastRenderedPageBreak/>
        <w:t>Table 4: Mol dock score, Hydrogen bond and Steric Interaction of Designed Gallic acid derivatives</w:t>
      </w:r>
    </w:p>
    <w:tbl>
      <w:tblPr>
        <w:tblStyle w:val="TableGrid7"/>
        <w:tblW w:w="0" w:type="auto"/>
        <w:jc w:val="center"/>
        <w:tblLook w:val="04A0" w:firstRow="1" w:lastRow="0" w:firstColumn="1" w:lastColumn="0" w:noHBand="0" w:noVBand="1"/>
      </w:tblPr>
      <w:tblGrid>
        <w:gridCol w:w="1458"/>
        <w:gridCol w:w="1842"/>
        <w:gridCol w:w="3229"/>
        <w:gridCol w:w="2626"/>
      </w:tblGrid>
      <w:tr w:rsidR="00B17BD7" w:rsidRPr="008465D3" w:rsidTr="008465D3">
        <w:trPr>
          <w:jc w:val="center"/>
        </w:trPr>
        <w:tc>
          <w:tcPr>
            <w:tcW w:w="1458" w:type="dxa"/>
          </w:tcPr>
          <w:p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COMPOUND</w:t>
            </w:r>
          </w:p>
        </w:tc>
        <w:tc>
          <w:tcPr>
            <w:tcW w:w="1842" w:type="dxa"/>
          </w:tcPr>
          <w:p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DOCKING SCORE</w:t>
            </w:r>
          </w:p>
        </w:tc>
        <w:tc>
          <w:tcPr>
            <w:tcW w:w="3229" w:type="dxa"/>
          </w:tcPr>
          <w:p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HYDROGEN BOND INTERACTON</w:t>
            </w:r>
          </w:p>
        </w:tc>
        <w:tc>
          <w:tcPr>
            <w:tcW w:w="2626" w:type="dxa"/>
          </w:tcPr>
          <w:p w:rsidR="00B17BD7" w:rsidRPr="008465D3" w:rsidRDefault="00B17BD7" w:rsidP="008F419D">
            <w:pPr>
              <w:jc w:val="both"/>
              <w:rPr>
                <w:rFonts w:ascii="Arial" w:hAnsi="Arial" w:cs="Arial"/>
                <w:b/>
                <w:sz w:val="20"/>
                <w:lang w:val="en-IN" w:bidi="ar-SA"/>
              </w:rPr>
            </w:pPr>
            <w:r w:rsidRPr="008465D3">
              <w:rPr>
                <w:rFonts w:ascii="Arial" w:hAnsi="Arial" w:cs="Arial"/>
                <w:b/>
                <w:sz w:val="20"/>
                <w:lang w:val="en-IN" w:bidi="ar-SA"/>
              </w:rPr>
              <w:t>DOCKING INTERACTION</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-97.5188</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Arg125, Asp739</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Gly741, Trp124, Arg125, Asp709, Glu205, Asn710</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AA-2</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-101.275</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Arg382, Arg356, Ile408</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Gly355, Arg356, Ile374, Arg358</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AA-3</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-100.224</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Glu361, Asp302, Pro359, Phe357, Arg356, Arg358</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Glu361, Arg358, Pro359, Gly355, Ser360</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AA-4</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-112.49</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Asp104, Arg61, Ser106, Val155</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Val155, Arg61, Asp104, Tyr105</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AA-5</w:t>
            </w:r>
          </w:p>
        </w:tc>
        <w:tc>
          <w:tcPr>
            <w:tcW w:w="1842" w:type="dxa"/>
          </w:tcPr>
          <w:p w:rsidR="008439EC" w:rsidRPr="008465D3" w:rsidRDefault="006F6DF7" w:rsidP="000E44A7">
            <w:pPr>
              <w:jc w:val="both"/>
              <w:rPr>
                <w:rFonts w:ascii="Arial" w:hAnsi="Arial" w:cs="Arial"/>
                <w:sz w:val="20"/>
              </w:rPr>
            </w:pPr>
            <w:r w:rsidRPr="008465D3">
              <w:rPr>
                <w:rFonts w:ascii="Arial" w:hAnsi="Arial" w:cs="Arial"/>
                <w:sz w:val="20"/>
              </w:rPr>
              <w:t>-106.0</w:t>
            </w:r>
            <w:r w:rsidR="008439EC" w:rsidRPr="008465D3">
              <w:rPr>
                <w:rFonts w:ascii="Arial" w:hAnsi="Arial" w:cs="Arial"/>
                <w:sz w:val="20"/>
              </w:rPr>
              <w:t>5</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Asp545, Lys554, Ala564, Trp629, Gly632</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Trp627, Asp545, Trp563, Tyr547, Val546</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AA-6</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-110.757</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Glu361, Ile405</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Ser360, Ile374, Ile405, Arg356, Arg358</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AA-7</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-102.285</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Glu205, Asp709, Lys722, Asp739</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Glu205, Arg125</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AA-8</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-105.503</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Leu115, Tyr105, Tyr132, Tyr128, Thr156</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Leu115, Tyr105, Asp104, Gly117, Tyr128, Tyr132, Ser106, Val155</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AA-9</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-98.5797</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Glu361, Asp302, Pro359, Phe357, Arg358</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Ile374, Ser360, Arg356, Pro359, Glu361</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AA-10</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-102.778</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Gly361, Ile405</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Ile405, Ile374, Ser360, Arg356</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AA-11</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-117.059</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Asp545, Trp629, Trp563, Ala564, Trp627, Asn562, Lys554</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Lys554, Asp545, Trp627, Trp563</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AA-12</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-103.542</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Pro359, Glu361, Arg358, Phe357, Ile405, Asp302</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Pro359, GlU361, Arg358, Phe357, Ser360</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AA-13</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-102.145</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Glu206, Phe357, Arg669, Ser209, Arg358, Arg357</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Glu206, Phe357</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AA-14</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-95.1575</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Arg125</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Arg125, Gly741, Asn710, Asp739</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AA-15</w:t>
            </w:r>
          </w:p>
        </w:tc>
        <w:tc>
          <w:tcPr>
            <w:tcW w:w="1842" w:type="dxa"/>
          </w:tcPr>
          <w:p w:rsidR="008439EC" w:rsidRPr="008465D3" w:rsidRDefault="008439EC" w:rsidP="000E44A7">
            <w:pPr>
              <w:jc w:val="both"/>
              <w:rPr>
                <w:rFonts w:ascii="Arial" w:hAnsi="Arial" w:cs="Arial"/>
                <w:sz w:val="20"/>
              </w:rPr>
            </w:pPr>
            <w:r w:rsidRPr="008465D3">
              <w:rPr>
                <w:rFonts w:ascii="Arial" w:hAnsi="Arial" w:cs="Arial"/>
                <w:sz w:val="20"/>
              </w:rPr>
              <w:t>-95.8275</w:t>
            </w:r>
          </w:p>
          <w:p w:rsidR="006F6DF7" w:rsidRPr="008465D3" w:rsidRDefault="006F6DF7" w:rsidP="000E44A7">
            <w:pPr>
              <w:jc w:val="both"/>
              <w:rPr>
                <w:rFonts w:ascii="Arial" w:hAnsi="Arial" w:cs="Arial"/>
                <w:sz w:val="20"/>
              </w:rPr>
            </w:pP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Phe357, Arg669, Glu206, Ser209</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Glu206, Phe357, Arg358</w:t>
            </w:r>
          </w:p>
        </w:tc>
      </w:tr>
      <w:tr w:rsidR="008439EC" w:rsidRPr="008465D3" w:rsidTr="008465D3">
        <w:trPr>
          <w:jc w:val="center"/>
        </w:trPr>
        <w:tc>
          <w:tcPr>
            <w:tcW w:w="1458" w:type="dxa"/>
          </w:tcPr>
          <w:p w:rsidR="008439EC" w:rsidRPr="008465D3" w:rsidRDefault="008439EC" w:rsidP="000E44A7">
            <w:pPr>
              <w:jc w:val="both"/>
              <w:rPr>
                <w:rFonts w:ascii="Arial" w:hAnsi="Arial" w:cs="Arial"/>
                <w:sz w:val="20"/>
              </w:rPr>
            </w:pPr>
            <w:r w:rsidRPr="008465D3">
              <w:rPr>
                <w:rFonts w:ascii="Arial" w:hAnsi="Arial" w:cs="Arial"/>
                <w:sz w:val="20"/>
              </w:rPr>
              <w:t>STANDARD DRUG</w:t>
            </w:r>
          </w:p>
        </w:tc>
        <w:tc>
          <w:tcPr>
            <w:tcW w:w="1842" w:type="dxa"/>
          </w:tcPr>
          <w:p w:rsidR="008439EC" w:rsidRPr="008465D3" w:rsidRDefault="006F6DF7" w:rsidP="006F6DF7">
            <w:pPr>
              <w:jc w:val="both"/>
              <w:rPr>
                <w:rFonts w:ascii="Arial" w:hAnsi="Arial" w:cs="Arial"/>
                <w:sz w:val="20"/>
              </w:rPr>
            </w:pPr>
            <w:r w:rsidRPr="008465D3">
              <w:rPr>
                <w:rFonts w:ascii="Arial" w:hAnsi="Arial" w:cs="Arial"/>
                <w:sz w:val="20"/>
              </w:rPr>
              <w:t>-90.6868</w:t>
            </w:r>
          </w:p>
        </w:tc>
        <w:tc>
          <w:tcPr>
            <w:tcW w:w="3229" w:type="dxa"/>
          </w:tcPr>
          <w:p w:rsidR="008439EC" w:rsidRPr="008465D3" w:rsidRDefault="008439EC" w:rsidP="000E44A7">
            <w:pPr>
              <w:jc w:val="both"/>
              <w:rPr>
                <w:rFonts w:ascii="Arial" w:hAnsi="Arial" w:cs="Arial"/>
                <w:sz w:val="20"/>
              </w:rPr>
            </w:pPr>
            <w:r w:rsidRPr="008465D3">
              <w:rPr>
                <w:rFonts w:ascii="Arial" w:hAnsi="Arial" w:cs="Arial"/>
                <w:sz w:val="20"/>
              </w:rPr>
              <w:t>Gly</w:t>
            </w:r>
            <w:proofErr w:type="gramStart"/>
            <w:r w:rsidRPr="008465D3">
              <w:rPr>
                <w:rFonts w:ascii="Arial" w:hAnsi="Arial" w:cs="Arial"/>
                <w:sz w:val="20"/>
              </w:rPr>
              <w:t>632,Trp</w:t>
            </w:r>
            <w:proofErr w:type="gramEnd"/>
            <w:r w:rsidRPr="008465D3">
              <w:rPr>
                <w:rFonts w:ascii="Arial" w:hAnsi="Arial" w:cs="Arial"/>
                <w:sz w:val="20"/>
              </w:rPr>
              <w:t>629,Ser630, Trp629</w:t>
            </w:r>
          </w:p>
        </w:tc>
        <w:tc>
          <w:tcPr>
            <w:tcW w:w="2626" w:type="dxa"/>
          </w:tcPr>
          <w:p w:rsidR="008439EC" w:rsidRPr="008465D3" w:rsidRDefault="008439EC" w:rsidP="000E44A7">
            <w:pPr>
              <w:jc w:val="both"/>
              <w:rPr>
                <w:rFonts w:ascii="Arial" w:hAnsi="Arial" w:cs="Arial"/>
                <w:sz w:val="20"/>
              </w:rPr>
            </w:pPr>
            <w:r w:rsidRPr="008465D3">
              <w:rPr>
                <w:rFonts w:ascii="Arial" w:hAnsi="Arial" w:cs="Arial"/>
                <w:sz w:val="20"/>
              </w:rPr>
              <w:t>Tyr</w:t>
            </w:r>
            <w:proofErr w:type="gramStart"/>
            <w:r w:rsidRPr="008465D3">
              <w:rPr>
                <w:rFonts w:ascii="Arial" w:hAnsi="Arial" w:cs="Arial"/>
                <w:sz w:val="20"/>
              </w:rPr>
              <w:t>666,Ser</w:t>
            </w:r>
            <w:proofErr w:type="gramEnd"/>
            <w:r w:rsidRPr="008465D3">
              <w:rPr>
                <w:rFonts w:ascii="Arial" w:hAnsi="Arial" w:cs="Arial"/>
                <w:sz w:val="20"/>
              </w:rPr>
              <w:t>630,Tyr662</w:t>
            </w:r>
          </w:p>
          <w:p w:rsidR="008439EC" w:rsidRPr="008465D3" w:rsidRDefault="008439EC" w:rsidP="000E44A7">
            <w:pPr>
              <w:jc w:val="both"/>
              <w:rPr>
                <w:rFonts w:ascii="Arial" w:hAnsi="Arial" w:cs="Arial"/>
                <w:sz w:val="20"/>
              </w:rPr>
            </w:pPr>
            <w:r w:rsidRPr="008465D3">
              <w:rPr>
                <w:rFonts w:ascii="Arial" w:hAnsi="Arial" w:cs="Arial"/>
                <w:sz w:val="20"/>
              </w:rPr>
              <w:t>Tyr</w:t>
            </w:r>
            <w:proofErr w:type="gramStart"/>
            <w:r w:rsidRPr="008465D3">
              <w:rPr>
                <w:rFonts w:ascii="Arial" w:hAnsi="Arial" w:cs="Arial"/>
                <w:sz w:val="20"/>
              </w:rPr>
              <w:t>631,Lys</w:t>
            </w:r>
            <w:proofErr w:type="gramEnd"/>
            <w:r w:rsidRPr="008465D3">
              <w:rPr>
                <w:rFonts w:ascii="Arial" w:hAnsi="Arial" w:cs="Arial"/>
                <w:sz w:val="20"/>
              </w:rPr>
              <w:t>554</w:t>
            </w:r>
          </w:p>
        </w:tc>
      </w:tr>
    </w:tbl>
    <w:p w:rsidR="00C730BB" w:rsidRPr="00845D1A" w:rsidRDefault="00C730BB" w:rsidP="000E44A7">
      <w:pPr>
        <w:jc w:val="both"/>
        <w:rPr>
          <w:rFonts w:ascii="Arial" w:hAnsi="Arial" w:cs="Arial"/>
          <w:sz w:val="20"/>
        </w:rPr>
      </w:pPr>
    </w:p>
    <w:p w:rsidR="008465D3" w:rsidRDefault="00D4562F" w:rsidP="000E44A7">
      <w:pPr>
        <w:jc w:val="both"/>
        <w:rPr>
          <w:rFonts w:ascii="Arial" w:hAnsi="Arial" w:cs="Arial"/>
          <w:b/>
          <w:bCs/>
          <w:sz w:val="20"/>
        </w:rPr>
      </w:pPr>
      <w:r w:rsidRPr="00845D1A">
        <w:rPr>
          <w:rFonts w:ascii="Arial" w:hAnsi="Arial" w:cs="Arial"/>
          <w:noProof/>
          <w:sz w:val="20"/>
          <w:lang w:bidi="ar-SA"/>
        </w:rPr>
        <w:drawing>
          <wp:inline distT="0" distB="0" distL="0" distR="0">
            <wp:extent cx="4932394" cy="1936597"/>
            <wp:effectExtent l="19050" t="0" r="1556"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9813" cy="1939510"/>
                    </a:xfrm>
                    <a:prstGeom prst="rect">
                      <a:avLst/>
                    </a:prstGeom>
                    <a:noFill/>
                    <a:ln>
                      <a:noFill/>
                    </a:ln>
                  </pic:spPr>
                </pic:pic>
              </a:graphicData>
            </a:graphic>
          </wp:inline>
        </w:drawing>
      </w:r>
    </w:p>
    <w:p w:rsidR="00D4562F" w:rsidRPr="00845D1A" w:rsidRDefault="00550135" w:rsidP="000E44A7">
      <w:pPr>
        <w:jc w:val="both"/>
        <w:rPr>
          <w:rFonts w:ascii="Arial" w:hAnsi="Arial" w:cs="Arial"/>
          <w:b/>
          <w:bCs/>
          <w:sz w:val="20"/>
        </w:rPr>
      </w:pPr>
      <w:r w:rsidRPr="00845D1A">
        <w:rPr>
          <w:rFonts w:ascii="Arial" w:hAnsi="Arial" w:cs="Arial"/>
          <w:b/>
          <w:bCs/>
          <w:sz w:val="20"/>
        </w:rPr>
        <w:t>Fig 2</w:t>
      </w:r>
      <w:r w:rsidR="00D4562F" w:rsidRPr="00845D1A">
        <w:rPr>
          <w:rFonts w:ascii="Arial" w:hAnsi="Arial" w:cs="Arial"/>
          <w:b/>
          <w:bCs/>
          <w:sz w:val="20"/>
        </w:rPr>
        <w:t xml:space="preserve">. </w:t>
      </w:r>
      <w:r w:rsidR="00D4562F" w:rsidRPr="00845D1A">
        <w:rPr>
          <w:rFonts w:ascii="Arial" w:hAnsi="Arial" w:cs="Arial"/>
          <w:b/>
          <w:sz w:val="20"/>
        </w:rPr>
        <w:t>Representation of most active compound AA6 (having most H-bond interaction and having highest dock score) and Adriamycin for (PDB: 5T4B). Hydrogen bond Interactions are represented as dotted lines</w:t>
      </w:r>
    </w:p>
    <w:p w:rsidR="00654188" w:rsidRDefault="00654188" w:rsidP="000E44A7">
      <w:pPr>
        <w:jc w:val="both"/>
        <w:rPr>
          <w:rFonts w:ascii="Arial" w:hAnsi="Arial" w:cs="Arial"/>
          <w:sz w:val="20"/>
        </w:rPr>
      </w:pPr>
      <w:r w:rsidRPr="008465D3">
        <w:rPr>
          <w:rFonts w:ascii="Arial" w:hAnsi="Arial" w:cs="Arial"/>
          <w:sz w:val="20"/>
        </w:rPr>
        <w:lastRenderedPageBreak/>
        <w:t xml:space="preserve">Molecular docking studies were performed using </w:t>
      </w:r>
      <w:proofErr w:type="spellStart"/>
      <w:r w:rsidRPr="008465D3">
        <w:rPr>
          <w:rFonts w:ascii="Arial" w:hAnsi="Arial" w:cs="Arial"/>
          <w:bCs/>
          <w:sz w:val="20"/>
        </w:rPr>
        <w:t>Molegro</w:t>
      </w:r>
      <w:proofErr w:type="spellEnd"/>
      <w:r w:rsidRPr="008465D3">
        <w:rPr>
          <w:rFonts w:ascii="Arial" w:hAnsi="Arial" w:cs="Arial"/>
          <w:bCs/>
          <w:sz w:val="20"/>
        </w:rPr>
        <w:t xml:space="preserve"> Virtual Docker (MVD)</w:t>
      </w:r>
      <w:r w:rsidRPr="008465D3">
        <w:rPr>
          <w:rFonts w:ascii="Arial" w:hAnsi="Arial" w:cs="Arial"/>
          <w:sz w:val="20"/>
        </w:rPr>
        <w:t xml:space="preserve"> version 6.0 to evaluate the binding affinity of the designed compounds with the target protein. Among the screened derivatives, </w:t>
      </w:r>
      <w:r w:rsidRPr="008465D3">
        <w:rPr>
          <w:rFonts w:ascii="Arial" w:hAnsi="Arial" w:cs="Arial"/>
          <w:bCs/>
          <w:sz w:val="20"/>
        </w:rPr>
        <w:t>AA11</w:t>
      </w:r>
      <w:r w:rsidRPr="008465D3">
        <w:rPr>
          <w:rFonts w:ascii="Arial" w:hAnsi="Arial" w:cs="Arial"/>
          <w:sz w:val="20"/>
        </w:rPr>
        <w:t xml:space="preserve"> showed a favorable </w:t>
      </w:r>
      <w:proofErr w:type="spellStart"/>
      <w:r w:rsidRPr="008465D3">
        <w:rPr>
          <w:rFonts w:ascii="Arial" w:hAnsi="Arial" w:cs="Arial"/>
          <w:sz w:val="20"/>
        </w:rPr>
        <w:t>MolDock</w:t>
      </w:r>
      <w:proofErr w:type="spellEnd"/>
      <w:r w:rsidRPr="008465D3">
        <w:rPr>
          <w:rFonts w:ascii="Arial" w:hAnsi="Arial" w:cs="Arial"/>
          <w:sz w:val="20"/>
        </w:rPr>
        <w:t xml:space="preserve"> score and strong hydrogen bond interactions within the active site. The binding mode of </w:t>
      </w:r>
      <w:r w:rsidRPr="008465D3">
        <w:rPr>
          <w:rFonts w:ascii="Arial" w:hAnsi="Arial" w:cs="Arial"/>
          <w:bCs/>
          <w:sz w:val="20"/>
        </w:rPr>
        <w:t>AA11</w:t>
      </w:r>
      <w:r w:rsidRPr="008465D3">
        <w:rPr>
          <w:rFonts w:ascii="Arial" w:hAnsi="Arial" w:cs="Arial"/>
          <w:sz w:val="20"/>
        </w:rPr>
        <w:t xml:space="preserve"> indicated stable interactions with key amino acid residues and good complementarity with the binding pocket. When compared with the standard anticancer drug </w:t>
      </w:r>
      <w:proofErr w:type="spellStart"/>
      <w:r w:rsidRPr="008465D3">
        <w:rPr>
          <w:rFonts w:ascii="Arial" w:hAnsi="Arial" w:cs="Arial"/>
          <w:bCs/>
          <w:sz w:val="20"/>
        </w:rPr>
        <w:t>adriamycin</w:t>
      </w:r>
      <w:proofErr w:type="spellEnd"/>
      <w:r w:rsidRPr="008465D3">
        <w:rPr>
          <w:rFonts w:ascii="Arial" w:hAnsi="Arial" w:cs="Arial"/>
          <w:bCs/>
          <w:sz w:val="20"/>
        </w:rPr>
        <w:t>, AA11</w:t>
      </w:r>
      <w:r w:rsidRPr="008465D3">
        <w:rPr>
          <w:rFonts w:ascii="Arial" w:hAnsi="Arial" w:cs="Arial"/>
          <w:sz w:val="20"/>
        </w:rPr>
        <w:t xml:space="preserve"> exhibited comparable binding interactions and </w:t>
      </w:r>
      <w:proofErr w:type="spellStart"/>
      <w:r w:rsidRPr="008465D3">
        <w:rPr>
          <w:rFonts w:ascii="Arial" w:hAnsi="Arial" w:cs="Arial"/>
          <w:sz w:val="20"/>
        </w:rPr>
        <w:t>MolDock</w:t>
      </w:r>
      <w:proofErr w:type="spellEnd"/>
      <w:r w:rsidRPr="008465D3">
        <w:rPr>
          <w:rFonts w:ascii="Arial" w:hAnsi="Arial" w:cs="Arial"/>
          <w:sz w:val="20"/>
        </w:rPr>
        <w:t xml:space="preserve"> scores, suggesting a similar binding affinity. These interactions contribute to the stability of the docked complex, supporting the potential of AA11 as a lead compound for further biological validation.</w:t>
      </w:r>
    </w:p>
    <w:p w:rsidR="00293C85" w:rsidRDefault="0066232A" w:rsidP="000E44A7">
      <w:pPr>
        <w:jc w:val="both"/>
        <w:rPr>
          <w:rFonts w:ascii="Arial" w:hAnsi="Arial" w:cs="Arial"/>
          <w:sz w:val="20"/>
        </w:rPr>
      </w:pPr>
      <w:r w:rsidRPr="0066232A">
        <w:rPr>
          <w:rFonts w:ascii="Arial" w:hAnsi="Arial" w:cs="Arial"/>
          <w:sz w:val="20"/>
        </w:rPr>
        <w:t xml:space="preserve">The </w:t>
      </w:r>
      <w:proofErr w:type="gramStart"/>
      <w:r w:rsidRPr="0066232A">
        <w:rPr>
          <w:rFonts w:ascii="Arial" w:hAnsi="Arial" w:cs="Arial"/>
          <w:sz w:val="20"/>
        </w:rPr>
        <w:t>in silico</w:t>
      </w:r>
      <w:proofErr w:type="gramEnd"/>
      <w:r w:rsidRPr="0066232A">
        <w:rPr>
          <w:rFonts w:ascii="Arial" w:hAnsi="Arial" w:cs="Arial"/>
          <w:sz w:val="20"/>
        </w:rPr>
        <w:t xml:space="preserve"> evaluation of the designed gallic acid derivatives demonstrated encouraging drug-likeness, pharmacokinetic, and target-binding characteristics. </w:t>
      </w:r>
      <w:proofErr w:type="spellStart"/>
      <w:r w:rsidRPr="0066232A">
        <w:rPr>
          <w:rFonts w:ascii="Arial" w:hAnsi="Arial" w:cs="Arial"/>
          <w:sz w:val="20"/>
        </w:rPr>
        <w:t>Molinspiration</w:t>
      </w:r>
      <w:proofErr w:type="spellEnd"/>
      <w:r w:rsidRPr="0066232A">
        <w:rPr>
          <w:rFonts w:ascii="Arial" w:hAnsi="Arial" w:cs="Arial"/>
          <w:sz w:val="20"/>
        </w:rPr>
        <w:t xml:space="preserve"> analysis revealed that the majority of the synthesized derivatives possessed acceptable physicochemical properties and complied with standard drug-likeness criteria, indicating their suitability as potential oral drug candidates. Among the fifteen evaluated derivatives, GA21 exhibited violations of drug-likeness parameters, suggesting possible limitations in oral bioavailability or overall drug-like behavior.</w:t>
      </w:r>
    </w:p>
    <w:p w:rsidR="00293C85" w:rsidRDefault="0066232A" w:rsidP="000E44A7">
      <w:pPr>
        <w:jc w:val="both"/>
        <w:rPr>
          <w:rFonts w:ascii="Arial" w:hAnsi="Arial" w:cs="Arial"/>
          <w:sz w:val="20"/>
        </w:rPr>
      </w:pPr>
      <w:r w:rsidRPr="0066232A">
        <w:rPr>
          <w:rFonts w:ascii="Arial" w:hAnsi="Arial" w:cs="Arial"/>
          <w:sz w:val="20"/>
        </w:rPr>
        <w:t xml:space="preserve"> In contrast, the remaining derivatives showed no significant violations, reflecting favorable molecular properties such as optimal lipophilicity, molecular weight, and hydrogen bonding capacity. Furthermore, ADME and toxicity predictions performed using the </w:t>
      </w:r>
      <w:proofErr w:type="spellStart"/>
      <w:r w:rsidRPr="0066232A">
        <w:rPr>
          <w:rFonts w:ascii="Arial" w:hAnsi="Arial" w:cs="Arial"/>
          <w:sz w:val="20"/>
        </w:rPr>
        <w:t>PreADMET</w:t>
      </w:r>
      <w:proofErr w:type="spellEnd"/>
      <w:r w:rsidRPr="0066232A">
        <w:rPr>
          <w:rFonts w:ascii="Arial" w:hAnsi="Arial" w:cs="Arial"/>
          <w:sz w:val="20"/>
        </w:rPr>
        <w:t xml:space="preserve"> web tool indicated generally favorable pharmacokinetic and safety profiles. Most derivatives demonstrated good human intestinal absorption, acceptable Caco-2 cell permeability, moderate plasma protein binding, and minimal cytochrome P450 inhibition, suggesting a reduced risk of drug–drug interactions. Low predicted blood–brain barrier penetration further implied a lower likelihood of central nervous system-related side effects. Toxicity assessments revealed that the majority of the compounds were non-mutagenic and non-carcinogenic, supporting their potential safety for further development.</w:t>
      </w:r>
    </w:p>
    <w:p w:rsidR="0066232A" w:rsidRPr="0066232A" w:rsidRDefault="0066232A" w:rsidP="000E44A7">
      <w:pPr>
        <w:jc w:val="both"/>
        <w:rPr>
          <w:rFonts w:ascii="Arial" w:hAnsi="Arial" w:cs="Arial"/>
          <w:sz w:val="20"/>
        </w:rPr>
      </w:pPr>
      <w:r w:rsidRPr="0066232A">
        <w:rPr>
          <w:rFonts w:ascii="Arial" w:hAnsi="Arial" w:cs="Arial"/>
          <w:sz w:val="20"/>
        </w:rPr>
        <w:t xml:space="preserve"> Molecular docking studies conducted using </w:t>
      </w:r>
      <w:proofErr w:type="spellStart"/>
      <w:r w:rsidRPr="0066232A">
        <w:rPr>
          <w:rFonts w:ascii="Arial" w:hAnsi="Arial" w:cs="Arial"/>
          <w:sz w:val="20"/>
        </w:rPr>
        <w:t>Molegro</w:t>
      </w:r>
      <w:proofErr w:type="spellEnd"/>
      <w:r w:rsidRPr="0066232A">
        <w:rPr>
          <w:rFonts w:ascii="Arial" w:hAnsi="Arial" w:cs="Arial"/>
          <w:sz w:val="20"/>
        </w:rPr>
        <w:t xml:space="preserve"> Virtual Docker (MVD) version 6.0 revealed strong binding affinities of the designed compounds toward the target protein. Among all screened derivatives, AA11 exhibited a notably favo</w:t>
      </w:r>
      <w:bookmarkStart w:id="0" w:name="_GoBack"/>
      <w:bookmarkEnd w:id="0"/>
      <w:r w:rsidRPr="0066232A">
        <w:rPr>
          <w:rFonts w:ascii="Arial" w:hAnsi="Arial" w:cs="Arial"/>
          <w:sz w:val="20"/>
        </w:rPr>
        <w:t xml:space="preserve">rable </w:t>
      </w:r>
      <w:proofErr w:type="spellStart"/>
      <w:r w:rsidRPr="0066232A">
        <w:rPr>
          <w:rFonts w:ascii="Arial" w:hAnsi="Arial" w:cs="Arial"/>
          <w:sz w:val="20"/>
        </w:rPr>
        <w:t>MolDock</w:t>
      </w:r>
      <w:proofErr w:type="spellEnd"/>
      <w:r w:rsidRPr="0066232A">
        <w:rPr>
          <w:rFonts w:ascii="Arial" w:hAnsi="Arial" w:cs="Arial"/>
          <w:sz w:val="20"/>
        </w:rPr>
        <w:t xml:space="preserve"> score along with strong hydrogen bond interactions within the active site. The binding conformation of AA11 showed stable interactions with key amino acid residues and a high degree of complementarity with the binding pocket. Notably, when compared with the standard anticancer drug </w:t>
      </w:r>
      <w:proofErr w:type="spellStart"/>
      <w:r w:rsidRPr="0066232A">
        <w:rPr>
          <w:rFonts w:ascii="Arial" w:hAnsi="Arial" w:cs="Arial"/>
          <w:sz w:val="20"/>
        </w:rPr>
        <w:t>adriamycin</w:t>
      </w:r>
      <w:proofErr w:type="spellEnd"/>
      <w:r w:rsidRPr="0066232A">
        <w:rPr>
          <w:rFonts w:ascii="Arial" w:hAnsi="Arial" w:cs="Arial"/>
          <w:sz w:val="20"/>
        </w:rPr>
        <w:t xml:space="preserve">, AA11 displayed comparable </w:t>
      </w:r>
      <w:proofErr w:type="spellStart"/>
      <w:r w:rsidRPr="0066232A">
        <w:rPr>
          <w:rFonts w:ascii="Arial" w:hAnsi="Arial" w:cs="Arial"/>
          <w:sz w:val="20"/>
        </w:rPr>
        <w:t>MolDock</w:t>
      </w:r>
      <w:proofErr w:type="spellEnd"/>
      <w:r w:rsidRPr="0066232A">
        <w:rPr>
          <w:rFonts w:ascii="Arial" w:hAnsi="Arial" w:cs="Arial"/>
          <w:sz w:val="20"/>
        </w:rPr>
        <w:t xml:space="preserve"> scores and interaction patterns, indicating a similar binding affinity. These results collectively support AA11 as a promising lead molecule, warranting further in vitro and in vivo biological evaluation for its anticancer potential.</w:t>
      </w:r>
    </w:p>
    <w:p w:rsidR="0066232A" w:rsidRDefault="0066232A" w:rsidP="000E44A7">
      <w:pPr>
        <w:jc w:val="both"/>
        <w:rPr>
          <w:rFonts w:ascii="Arial" w:hAnsi="Arial" w:cs="Arial"/>
          <w:sz w:val="20"/>
        </w:rPr>
      </w:pPr>
      <w:r w:rsidRPr="0066232A">
        <w:rPr>
          <w:rFonts w:ascii="Arial" w:hAnsi="Arial" w:cs="Arial"/>
          <w:b/>
        </w:rPr>
        <w:t>Conclusion</w:t>
      </w:r>
      <w:r>
        <w:rPr>
          <w:rFonts w:ascii="Times New Roman" w:hAnsi="Times New Roman" w:cs="Times New Roman"/>
          <w:sz w:val="24"/>
        </w:rPr>
        <w:t xml:space="preserve">: </w:t>
      </w:r>
      <w:r w:rsidRPr="0066232A">
        <w:rPr>
          <w:rFonts w:ascii="Arial" w:hAnsi="Arial" w:cs="Arial"/>
          <w:sz w:val="20"/>
        </w:rPr>
        <w:t xml:space="preserve">The present in silico study highlights the potential of designed gallic acid derivatives as promising anticancer candidates against the selected target protein. Drug-likeness, ADME, and toxicity evaluations indicated that most derivatives possess favorable physicochemical and pharmacokinetic profiles with acceptable safety characteristics. Molecular docking analysis using </w:t>
      </w:r>
      <w:proofErr w:type="spellStart"/>
      <w:r w:rsidRPr="0066232A">
        <w:rPr>
          <w:rFonts w:ascii="Arial" w:hAnsi="Arial" w:cs="Arial"/>
          <w:sz w:val="20"/>
        </w:rPr>
        <w:t>Molegro</w:t>
      </w:r>
      <w:proofErr w:type="spellEnd"/>
      <w:r w:rsidRPr="0066232A">
        <w:rPr>
          <w:rFonts w:ascii="Arial" w:hAnsi="Arial" w:cs="Arial"/>
          <w:sz w:val="20"/>
        </w:rPr>
        <w:t xml:space="preserve"> Virtual Docker identified AA11 as the most promising derivative, exhibiting a favorable </w:t>
      </w:r>
      <w:proofErr w:type="spellStart"/>
      <w:r w:rsidRPr="0066232A">
        <w:rPr>
          <w:rFonts w:ascii="Arial" w:hAnsi="Arial" w:cs="Arial"/>
          <w:sz w:val="20"/>
        </w:rPr>
        <w:t>MolDock</w:t>
      </w:r>
      <w:proofErr w:type="spellEnd"/>
      <w:r w:rsidRPr="0066232A">
        <w:rPr>
          <w:rFonts w:ascii="Arial" w:hAnsi="Arial" w:cs="Arial"/>
          <w:sz w:val="20"/>
        </w:rPr>
        <w:t xml:space="preserve"> score, stable binding interactions, and good complementarity within the active site, comparable to the standard drug </w:t>
      </w:r>
      <w:proofErr w:type="spellStart"/>
      <w:r w:rsidRPr="0066232A">
        <w:rPr>
          <w:rFonts w:ascii="Arial" w:hAnsi="Arial" w:cs="Arial"/>
          <w:sz w:val="20"/>
        </w:rPr>
        <w:t>adriamycin</w:t>
      </w:r>
      <w:proofErr w:type="spellEnd"/>
      <w:r w:rsidRPr="0066232A">
        <w:rPr>
          <w:rFonts w:ascii="Arial" w:hAnsi="Arial" w:cs="Arial"/>
          <w:sz w:val="20"/>
        </w:rPr>
        <w:t>. Collectively, these findings suggest that AA11 represents a potential lead compound and merits further experimental validation through in vitro and in vivo studies for the development of novel anticancer agents.</w:t>
      </w:r>
    </w:p>
    <w:p w:rsidR="00B34313" w:rsidRDefault="00B34313" w:rsidP="000E44A7">
      <w:pPr>
        <w:jc w:val="both"/>
        <w:rPr>
          <w:rFonts w:ascii="Arial" w:hAnsi="Arial" w:cs="Arial"/>
          <w:sz w:val="20"/>
        </w:rPr>
      </w:pPr>
    </w:p>
    <w:p w:rsidR="00B34313" w:rsidRPr="00005ED1" w:rsidRDefault="00B34313" w:rsidP="00B34313">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B34313" w:rsidRPr="00005ED1" w:rsidRDefault="00B34313" w:rsidP="00B34313">
      <w:pPr>
        <w:pStyle w:val="NoSpacing"/>
        <w:rPr>
          <w:rFonts w:ascii="Arial" w:hAnsi="Arial" w:cs="Arial"/>
          <w:highlight w:val="yellow"/>
        </w:rPr>
      </w:pPr>
    </w:p>
    <w:p w:rsidR="00B34313" w:rsidRPr="00005ED1" w:rsidRDefault="00B34313" w:rsidP="00B3431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B34313" w:rsidRDefault="00B34313" w:rsidP="00B34313">
      <w:pPr>
        <w:pStyle w:val="NoSpacing"/>
        <w:rPr>
          <w:rFonts w:ascii="Arial" w:hAnsi="Arial" w:cs="Arial"/>
        </w:rPr>
      </w:pPr>
    </w:p>
    <w:bookmarkEnd w:id="3"/>
    <w:p w:rsidR="00B34313" w:rsidRPr="0066232A" w:rsidRDefault="00B34313" w:rsidP="000E44A7">
      <w:pPr>
        <w:jc w:val="both"/>
        <w:rPr>
          <w:rFonts w:ascii="Arial" w:hAnsi="Arial" w:cs="Arial"/>
          <w:sz w:val="20"/>
        </w:rPr>
      </w:pPr>
    </w:p>
    <w:p w:rsidR="00C96CB3" w:rsidRPr="00BB0784" w:rsidRDefault="00C96CB3" w:rsidP="00C96CB3">
      <w:pPr>
        <w:spacing w:after="0" w:line="240" w:lineRule="auto"/>
        <w:jc w:val="both"/>
        <w:rPr>
          <w:rFonts w:ascii="Arial" w:hAnsi="Arial" w:cs="Arial"/>
          <w:color w:val="000000" w:themeColor="text1"/>
          <w:sz w:val="20"/>
        </w:rPr>
      </w:pPr>
    </w:p>
    <w:p w:rsidR="008439EC" w:rsidRPr="00845D1A" w:rsidRDefault="008465D3" w:rsidP="000E44A7">
      <w:pPr>
        <w:jc w:val="both"/>
        <w:rPr>
          <w:rFonts w:ascii="Arial" w:hAnsi="Arial" w:cs="Arial"/>
          <w:b/>
          <w:bCs/>
          <w:szCs w:val="24"/>
        </w:rPr>
      </w:pPr>
      <w:r w:rsidRPr="00845D1A">
        <w:rPr>
          <w:rFonts w:ascii="Arial" w:hAnsi="Arial" w:cs="Arial"/>
          <w:b/>
          <w:bCs/>
          <w:szCs w:val="24"/>
        </w:rPr>
        <w:t>REFERENCES</w:t>
      </w:r>
      <w:r>
        <w:rPr>
          <w:rFonts w:ascii="Arial" w:hAnsi="Arial" w:cs="Arial"/>
          <w:b/>
          <w:bCs/>
          <w:szCs w:val="24"/>
        </w:rPr>
        <w:t>:</w:t>
      </w:r>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Deshmukh N, Dubey R, Patidar M, Patil A, Trivedi G. </w:t>
      </w:r>
      <w:r w:rsidR="00F57E69" w:rsidRPr="008465D3">
        <w:rPr>
          <w:rFonts w:ascii="Arial" w:hAnsi="Arial" w:cs="Arial"/>
          <w:sz w:val="20"/>
        </w:rPr>
        <w:t xml:space="preserve">(2025) </w:t>
      </w:r>
      <w:r w:rsidRPr="008465D3">
        <w:rPr>
          <w:rFonts w:ascii="Arial" w:hAnsi="Arial" w:cs="Arial"/>
          <w:sz w:val="20"/>
        </w:rPr>
        <w:t>Exploring 1,3,4-oxadiazole derivatives for hepatocellular carcinoma: synthesis and bioactivity evaluation. Journal of Applied Pharmaceutical Research.</w:t>
      </w:r>
      <w:r w:rsidR="00F57E69" w:rsidRPr="008465D3">
        <w:rPr>
          <w:rFonts w:ascii="Arial" w:hAnsi="Arial" w:cs="Arial"/>
          <w:sz w:val="20"/>
        </w:rPr>
        <w:t>13(2), 127-138.</w:t>
      </w:r>
      <w:r w:rsidRPr="008465D3">
        <w:rPr>
          <w:rFonts w:ascii="Arial" w:hAnsi="Arial" w:cs="Arial"/>
          <w:sz w:val="20"/>
        </w:rPr>
        <w:t xml:space="preserve">doi: </w:t>
      </w:r>
      <w:hyperlink r:id="rId13" w:history="1">
        <w:r w:rsidRPr="008465D3">
          <w:rPr>
            <w:rStyle w:val="Hyperlink"/>
            <w:rFonts w:ascii="Arial" w:hAnsi="Arial" w:cs="Arial"/>
            <w:color w:val="auto"/>
            <w:sz w:val="20"/>
          </w:rPr>
          <w:t>https://doi.org/10.69857/joapr.v13i2.1008</w:t>
        </w:r>
      </w:hyperlink>
    </w:p>
    <w:p w:rsidR="0084399E" w:rsidRPr="008465D3" w:rsidRDefault="00F57E69" w:rsidP="0084399E">
      <w:pPr>
        <w:pStyle w:val="ListParagraph"/>
        <w:numPr>
          <w:ilvl w:val="0"/>
          <w:numId w:val="6"/>
        </w:numPr>
        <w:jc w:val="both"/>
        <w:rPr>
          <w:rFonts w:ascii="Arial" w:hAnsi="Arial" w:cs="Arial"/>
          <w:sz w:val="20"/>
        </w:rPr>
      </w:pPr>
      <w:proofErr w:type="spellStart"/>
      <w:r w:rsidRPr="008465D3">
        <w:rPr>
          <w:rFonts w:ascii="Arial" w:hAnsi="Arial" w:cs="Arial"/>
          <w:bCs/>
          <w:sz w:val="20"/>
          <w:shd w:val="clear" w:color="auto" w:fill="FFFFFF"/>
        </w:rPr>
        <w:t>Raghvendra</w:t>
      </w:r>
      <w:proofErr w:type="spellEnd"/>
      <w:r w:rsidRPr="008465D3">
        <w:rPr>
          <w:rFonts w:ascii="Arial" w:hAnsi="Arial" w:cs="Arial"/>
          <w:bCs/>
          <w:sz w:val="20"/>
          <w:shd w:val="clear" w:color="auto" w:fill="FFFFFF"/>
        </w:rPr>
        <w:t xml:space="preserve"> Dubey, Nitin Deshmukh, </w:t>
      </w:r>
      <w:proofErr w:type="spellStart"/>
      <w:r w:rsidRPr="008465D3">
        <w:rPr>
          <w:rFonts w:ascii="Arial" w:hAnsi="Arial" w:cs="Arial"/>
          <w:bCs/>
          <w:sz w:val="20"/>
          <w:shd w:val="clear" w:color="auto" w:fill="FFFFFF"/>
        </w:rPr>
        <w:t>Ayushi</w:t>
      </w:r>
      <w:proofErr w:type="spellEnd"/>
      <w:r w:rsidRPr="008465D3">
        <w:rPr>
          <w:rFonts w:ascii="Arial" w:hAnsi="Arial" w:cs="Arial"/>
          <w:bCs/>
          <w:sz w:val="20"/>
          <w:shd w:val="clear" w:color="auto" w:fill="FFFFFF"/>
        </w:rPr>
        <w:t xml:space="preserve"> </w:t>
      </w:r>
      <w:proofErr w:type="spellStart"/>
      <w:r w:rsidRPr="008465D3">
        <w:rPr>
          <w:rFonts w:ascii="Arial" w:hAnsi="Arial" w:cs="Arial"/>
          <w:bCs/>
          <w:sz w:val="20"/>
          <w:shd w:val="clear" w:color="auto" w:fill="FFFFFF"/>
        </w:rPr>
        <w:t>Patud</w:t>
      </w:r>
      <w:proofErr w:type="spellEnd"/>
      <w:r w:rsidRPr="008465D3">
        <w:rPr>
          <w:rFonts w:ascii="Arial" w:hAnsi="Arial" w:cs="Arial"/>
          <w:bCs/>
          <w:sz w:val="20"/>
          <w:shd w:val="clear" w:color="auto" w:fill="FFFFFF"/>
        </w:rPr>
        <w:t xml:space="preserve">, </w:t>
      </w:r>
      <w:proofErr w:type="spellStart"/>
      <w:r w:rsidRPr="008465D3">
        <w:rPr>
          <w:rFonts w:ascii="Arial" w:hAnsi="Arial" w:cs="Arial"/>
          <w:bCs/>
          <w:sz w:val="20"/>
          <w:shd w:val="clear" w:color="auto" w:fill="FFFFFF"/>
        </w:rPr>
        <w:t>Gourav</w:t>
      </w:r>
      <w:proofErr w:type="spellEnd"/>
      <w:r w:rsidRPr="008465D3">
        <w:rPr>
          <w:rFonts w:ascii="Arial" w:hAnsi="Arial" w:cs="Arial"/>
          <w:bCs/>
          <w:sz w:val="20"/>
          <w:shd w:val="clear" w:color="auto" w:fill="FFFFFF"/>
        </w:rPr>
        <w:t xml:space="preserve"> Trivedi, Prakhar </w:t>
      </w:r>
      <w:proofErr w:type="spellStart"/>
      <w:r w:rsidRPr="008465D3">
        <w:rPr>
          <w:rFonts w:ascii="Arial" w:hAnsi="Arial" w:cs="Arial"/>
          <w:bCs/>
          <w:sz w:val="20"/>
          <w:shd w:val="clear" w:color="auto" w:fill="FFFFFF"/>
        </w:rPr>
        <w:t>Soni</w:t>
      </w:r>
      <w:proofErr w:type="spellEnd"/>
      <w:r w:rsidRPr="008465D3">
        <w:rPr>
          <w:rFonts w:ascii="Arial" w:hAnsi="Arial" w:cs="Arial"/>
          <w:bCs/>
          <w:sz w:val="20"/>
          <w:shd w:val="clear" w:color="auto" w:fill="FFFFFF"/>
        </w:rPr>
        <w:t>, and Mohini Patidar (2025);</w:t>
      </w:r>
      <w:r w:rsidRPr="008465D3">
        <w:rPr>
          <w:rFonts w:ascii="Arial" w:hAnsi="Arial" w:cs="Arial"/>
          <w:sz w:val="20"/>
          <w:shd w:val="clear" w:color="auto" w:fill="FFFFFF"/>
        </w:rPr>
        <w:t xml:space="preserve"> Oxadiazole derivatives as potential </w:t>
      </w:r>
      <w:proofErr w:type="spellStart"/>
      <w:r w:rsidRPr="008465D3">
        <w:rPr>
          <w:rFonts w:ascii="Arial" w:hAnsi="Arial" w:cs="Arial"/>
          <w:sz w:val="20"/>
          <w:shd w:val="clear" w:color="auto" w:fill="FFFFFF"/>
        </w:rPr>
        <w:t>egfr</w:t>
      </w:r>
      <w:proofErr w:type="spellEnd"/>
      <w:r w:rsidRPr="008465D3">
        <w:rPr>
          <w:rFonts w:ascii="Arial" w:hAnsi="Arial" w:cs="Arial"/>
          <w:sz w:val="20"/>
          <w:shd w:val="clear" w:color="auto" w:fill="FFFFFF"/>
        </w:rPr>
        <w:t xml:space="preserve"> protein kinase inhibitors: prediction of in-</w:t>
      </w:r>
      <w:proofErr w:type="spellStart"/>
      <w:r w:rsidRPr="008465D3">
        <w:rPr>
          <w:rFonts w:ascii="Arial" w:hAnsi="Arial" w:cs="Arial"/>
          <w:sz w:val="20"/>
          <w:shd w:val="clear" w:color="auto" w:fill="FFFFFF"/>
        </w:rPr>
        <w:t>silicoadmet</w:t>
      </w:r>
      <w:proofErr w:type="spellEnd"/>
      <w:r w:rsidRPr="008465D3">
        <w:rPr>
          <w:rFonts w:ascii="Arial" w:hAnsi="Arial" w:cs="Arial"/>
          <w:sz w:val="20"/>
          <w:shd w:val="clear" w:color="auto" w:fill="FFFFFF"/>
        </w:rPr>
        <w:t xml:space="preserve"> properties and molecular docking study </w:t>
      </w:r>
      <w:r w:rsidRPr="008465D3">
        <w:rPr>
          <w:rStyle w:val="Emphasis"/>
          <w:rFonts w:ascii="Arial" w:hAnsi="Arial" w:cs="Arial"/>
          <w:sz w:val="20"/>
          <w:shd w:val="clear" w:color="auto" w:fill="FFFFFF"/>
        </w:rPr>
        <w:t>Int. J. of Adv. Res.</w:t>
      </w:r>
      <w:r w:rsidRPr="008465D3">
        <w:rPr>
          <w:rFonts w:ascii="Arial" w:hAnsi="Arial" w:cs="Arial"/>
          <w:sz w:val="20"/>
          <w:shd w:val="clear" w:color="auto" w:fill="FFFFFF"/>
        </w:rPr>
        <w:t> (May). 111-122</w:t>
      </w:r>
      <w:r w:rsidR="0084399E" w:rsidRPr="008465D3">
        <w:rPr>
          <w:rFonts w:ascii="Arial" w:hAnsi="Arial" w:cs="Arial"/>
          <w:sz w:val="20"/>
        </w:rPr>
        <w:t>.</w:t>
      </w:r>
    </w:p>
    <w:p w:rsidR="0084399E" w:rsidRPr="008465D3" w:rsidRDefault="00F57E69" w:rsidP="0084399E">
      <w:pPr>
        <w:pStyle w:val="ListParagraph"/>
        <w:numPr>
          <w:ilvl w:val="0"/>
          <w:numId w:val="6"/>
        </w:numPr>
        <w:jc w:val="both"/>
        <w:rPr>
          <w:rFonts w:ascii="Arial" w:hAnsi="Arial" w:cs="Arial"/>
          <w:sz w:val="20"/>
        </w:rPr>
      </w:pPr>
      <w:r w:rsidRPr="008465D3">
        <w:rPr>
          <w:rFonts w:ascii="Arial" w:hAnsi="Arial" w:cs="Arial"/>
          <w:spacing w:val="1"/>
          <w:sz w:val="20"/>
          <w:shd w:val="clear" w:color="auto" w:fill="FFFFFF"/>
        </w:rPr>
        <w:t xml:space="preserve">Deshmukh, N., &amp; Kumar </w:t>
      </w:r>
      <w:proofErr w:type="spellStart"/>
      <w:r w:rsidRPr="008465D3">
        <w:rPr>
          <w:rFonts w:ascii="Arial" w:hAnsi="Arial" w:cs="Arial"/>
          <w:spacing w:val="1"/>
          <w:sz w:val="20"/>
          <w:shd w:val="clear" w:color="auto" w:fill="FFFFFF"/>
        </w:rPr>
        <w:t>Soni</w:t>
      </w:r>
      <w:proofErr w:type="spellEnd"/>
      <w:r w:rsidRPr="008465D3">
        <w:rPr>
          <w:rFonts w:ascii="Arial" w:hAnsi="Arial" w:cs="Arial"/>
          <w:spacing w:val="1"/>
          <w:sz w:val="20"/>
          <w:shd w:val="clear" w:color="auto" w:fill="FFFFFF"/>
        </w:rPr>
        <w:t xml:space="preserve">, L. (2022). Prediction of in silico ADMET Properties and Molecular Docking Study of Substituted </w:t>
      </w:r>
      <w:proofErr w:type="spellStart"/>
      <w:r w:rsidRPr="008465D3">
        <w:rPr>
          <w:rFonts w:ascii="Arial" w:hAnsi="Arial" w:cs="Arial"/>
          <w:spacing w:val="1"/>
          <w:sz w:val="20"/>
          <w:shd w:val="clear" w:color="auto" w:fill="FFFFFF"/>
        </w:rPr>
        <w:t>Thiadiazole</w:t>
      </w:r>
      <w:proofErr w:type="spellEnd"/>
      <w:r w:rsidRPr="008465D3">
        <w:rPr>
          <w:rFonts w:ascii="Arial" w:hAnsi="Arial" w:cs="Arial"/>
          <w:spacing w:val="1"/>
          <w:sz w:val="20"/>
          <w:shd w:val="clear" w:color="auto" w:fill="FFFFFF"/>
        </w:rPr>
        <w:t xml:space="preserve"> for Screening of Antibacterial and Antifungal Activities against Protein Targets Helicobacter pylori &amp;</w:t>
      </w:r>
      <w:proofErr w:type="gramStart"/>
      <w:r w:rsidRPr="008465D3">
        <w:rPr>
          <w:rFonts w:ascii="Arial" w:hAnsi="Arial" w:cs="Arial"/>
          <w:spacing w:val="1"/>
          <w:sz w:val="20"/>
          <w:shd w:val="clear" w:color="auto" w:fill="FFFFFF"/>
        </w:rPr>
        <w:t>alpha;-</w:t>
      </w:r>
      <w:proofErr w:type="gramEnd"/>
      <w:r w:rsidRPr="008465D3">
        <w:rPr>
          <w:rFonts w:ascii="Arial" w:hAnsi="Arial" w:cs="Arial"/>
          <w:spacing w:val="1"/>
          <w:sz w:val="20"/>
          <w:shd w:val="clear" w:color="auto" w:fill="FFFFFF"/>
        </w:rPr>
        <w:t>Carbonic Anhydrase and Trypanosoma brucei Pteridine Reductase. </w:t>
      </w:r>
      <w:r w:rsidRPr="008465D3">
        <w:rPr>
          <w:rFonts w:ascii="Arial" w:hAnsi="Arial" w:cs="Arial"/>
          <w:i/>
          <w:iCs/>
          <w:spacing w:val="1"/>
          <w:sz w:val="20"/>
          <w:shd w:val="clear" w:color="auto" w:fill="FFFFFF"/>
        </w:rPr>
        <w:t>Asian Journal of Organic &amp; Medicinal Chemistry</w:t>
      </w:r>
      <w:r w:rsidRPr="008465D3">
        <w:rPr>
          <w:rFonts w:ascii="Arial" w:hAnsi="Arial" w:cs="Arial"/>
          <w:spacing w:val="1"/>
          <w:sz w:val="20"/>
          <w:shd w:val="clear" w:color="auto" w:fill="FFFFFF"/>
        </w:rPr>
        <w:t>, </w:t>
      </w:r>
      <w:r w:rsidRPr="008465D3">
        <w:rPr>
          <w:rFonts w:ascii="Arial" w:hAnsi="Arial" w:cs="Arial"/>
          <w:i/>
          <w:iCs/>
          <w:spacing w:val="1"/>
          <w:sz w:val="20"/>
          <w:shd w:val="clear" w:color="auto" w:fill="FFFFFF"/>
        </w:rPr>
        <w:t>7</w:t>
      </w:r>
      <w:r w:rsidRPr="008465D3">
        <w:rPr>
          <w:rFonts w:ascii="Arial" w:hAnsi="Arial" w:cs="Arial"/>
          <w:spacing w:val="1"/>
          <w:sz w:val="20"/>
          <w:shd w:val="clear" w:color="auto" w:fill="FFFFFF"/>
        </w:rPr>
        <w:t>(1), 65–74. https://doi.org/10.14233/ajomc.2022.AJOMC-P363</w:t>
      </w:r>
    </w:p>
    <w:p w:rsidR="00872ADE" w:rsidRPr="008465D3" w:rsidRDefault="00E5276A" w:rsidP="0084399E">
      <w:pPr>
        <w:pStyle w:val="ListParagraph"/>
        <w:numPr>
          <w:ilvl w:val="0"/>
          <w:numId w:val="6"/>
        </w:numPr>
        <w:jc w:val="both"/>
        <w:rPr>
          <w:rFonts w:ascii="Arial" w:hAnsi="Arial" w:cs="Arial"/>
          <w:sz w:val="20"/>
        </w:rPr>
      </w:pPr>
      <w:r w:rsidRPr="00E5276A">
        <w:rPr>
          <w:rFonts w:ascii="Arial" w:hAnsi="Arial" w:cs="Arial"/>
          <w:iCs/>
          <w:sz w:val="20"/>
          <w:shd w:val="clear" w:color="auto" w:fill="F6F6F6"/>
        </w:rPr>
        <w:t xml:space="preserve">Deshmukh Nitin, </w:t>
      </w:r>
      <w:proofErr w:type="spellStart"/>
      <w:r w:rsidRPr="00E5276A">
        <w:rPr>
          <w:rFonts w:ascii="Arial" w:hAnsi="Arial" w:cs="Arial"/>
          <w:iCs/>
          <w:sz w:val="20"/>
          <w:shd w:val="clear" w:color="auto" w:fill="F6F6F6"/>
        </w:rPr>
        <w:t>Soni</w:t>
      </w:r>
      <w:proofErr w:type="spellEnd"/>
      <w:r w:rsidRPr="00E5276A">
        <w:rPr>
          <w:rFonts w:ascii="Arial" w:hAnsi="Arial" w:cs="Arial"/>
          <w:iCs/>
          <w:sz w:val="20"/>
          <w:shd w:val="clear" w:color="auto" w:fill="F6F6F6"/>
        </w:rPr>
        <w:t xml:space="preserve"> Love Kumar. (2023) Prediction of In-silico ADMET Properties and Molecular docking study of Substituted </w:t>
      </w:r>
      <w:proofErr w:type="spellStart"/>
      <w:r w:rsidRPr="00E5276A">
        <w:rPr>
          <w:rFonts w:ascii="Arial" w:hAnsi="Arial" w:cs="Arial"/>
          <w:iCs/>
          <w:sz w:val="20"/>
          <w:shd w:val="clear" w:color="auto" w:fill="F6F6F6"/>
        </w:rPr>
        <w:t>Thiadiazole</w:t>
      </w:r>
      <w:proofErr w:type="spellEnd"/>
      <w:r w:rsidRPr="00E5276A">
        <w:rPr>
          <w:rFonts w:ascii="Arial" w:hAnsi="Arial" w:cs="Arial"/>
          <w:iCs/>
          <w:sz w:val="20"/>
          <w:shd w:val="clear" w:color="auto" w:fill="F6F6F6"/>
        </w:rPr>
        <w:t xml:space="preserve"> for screening of Antiviral activity against protein target Covid-19 main protease. Research Journal of Pharmacy and Technology.; 16(12):5802-7. </w:t>
      </w:r>
      <w:proofErr w:type="spellStart"/>
      <w:r w:rsidRPr="00E5276A">
        <w:rPr>
          <w:rFonts w:ascii="Arial" w:hAnsi="Arial" w:cs="Arial"/>
          <w:iCs/>
          <w:sz w:val="20"/>
          <w:shd w:val="clear" w:color="auto" w:fill="F6F6F6"/>
        </w:rPr>
        <w:t>doi</w:t>
      </w:r>
      <w:proofErr w:type="spellEnd"/>
      <w:r w:rsidRPr="00E5276A">
        <w:rPr>
          <w:rFonts w:ascii="Arial" w:hAnsi="Arial" w:cs="Arial"/>
          <w:iCs/>
          <w:sz w:val="20"/>
          <w:shd w:val="clear" w:color="auto" w:fill="F6F6F6"/>
        </w:rPr>
        <w:t>: 10.52711/0974-360X.2023.00939.</w:t>
      </w:r>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Larsen JE, Minna JD.</w:t>
      </w:r>
      <w:r w:rsidR="00872ADE" w:rsidRPr="008465D3">
        <w:rPr>
          <w:rFonts w:ascii="Arial" w:hAnsi="Arial" w:cs="Arial"/>
          <w:sz w:val="20"/>
        </w:rPr>
        <w:t xml:space="preserve"> (2011)</w:t>
      </w:r>
      <w:r w:rsidRPr="008465D3">
        <w:rPr>
          <w:rFonts w:ascii="Arial" w:hAnsi="Arial" w:cs="Arial"/>
          <w:sz w:val="20"/>
        </w:rPr>
        <w:t xml:space="preserve"> Molecular biology of lung cancer: clinical implications. Clin Chest Med</w:t>
      </w:r>
      <w:r w:rsidR="00872ADE" w:rsidRPr="008465D3">
        <w:rPr>
          <w:rFonts w:ascii="Arial" w:hAnsi="Arial" w:cs="Arial"/>
          <w:sz w:val="20"/>
        </w:rPr>
        <w:t>, 32,</w:t>
      </w:r>
      <w:r w:rsidRPr="008465D3">
        <w:rPr>
          <w:rFonts w:ascii="Arial" w:hAnsi="Arial" w:cs="Arial"/>
          <w:sz w:val="20"/>
        </w:rPr>
        <w:t xml:space="preserve">703-40. </w:t>
      </w:r>
      <w:hyperlink r:id="rId14" w:history="1">
        <w:r w:rsidRPr="008465D3">
          <w:rPr>
            <w:rStyle w:val="Hyperlink"/>
            <w:rFonts w:ascii="Arial" w:hAnsi="Arial" w:cs="Arial"/>
            <w:color w:val="auto"/>
            <w:sz w:val="20"/>
          </w:rPr>
          <w:t>https://doi.org/10.1016/j.ccm.2011.08.003</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Lynch TJ, Bell DW, </w:t>
      </w:r>
      <w:proofErr w:type="spellStart"/>
      <w:r w:rsidRPr="008465D3">
        <w:rPr>
          <w:rFonts w:ascii="Arial" w:hAnsi="Arial" w:cs="Arial"/>
          <w:sz w:val="20"/>
        </w:rPr>
        <w:t>Sordella</w:t>
      </w:r>
      <w:proofErr w:type="spellEnd"/>
      <w:r w:rsidRPr="008465D3">
        <w:rPr>
          <w:rFonts w:ascii="Arial" w:hAnsi="Arial" w:cs="Arial"/>
          <w:sz w:val="20"/>
        </w:rPr>
        <w:t xml:space="preserve"> R, et al.</w:t>
      </w:r>
      <w:r w:rsidR="00872ADE" w:rsidRPr="008465D3">
        <w:rPr>
          <w:rFonts w:ascii="Arial" w:hAnsi="Arial" w:cs="Arial"/>
          <w:sz w:val="20"/>
        </w:rPr>
        <w:t xml:space="preserve"> (2004)</w:t>
      </w:r>
      <w:r w:rsidRPr="008465D3">
        <w:rPr>
          <w:rFonts w:ascii="Arial" w:hAnsi="Arial" w:cs="Arial"/>
          <w:sz w:val="20"/>
        </w:rPr>
        <w:t xml:space="preserve"> Activating mutations in the epidermal growth factor receptor underlying responsiveness of non–small-cell lung cancer to gefitinib. N </w:t>
      </w:r>
      <w:proofErr w:type="spellStart"/>
      <w:r w:rsidRPr="008465D3">
        <w:rPr>
          <w:rFonts w:ascii="Arial" w:hAnsi="Arial" w:cs="Arial"/>
          <w:sz w:val="20"/>
        </w:rPr>
        <w:t>Engl</w:t>
      </w:r>
      <w:proofErr w:type="spellEnd"/>
      <w:r w:rsidRPr="008465D3">
        <w:rPr>
          <w:rFonts w:ascii="Arial" w:hAnsi="Arial" w:cs="Arial"/>
          <w:sz w:val="20"/>
        </w:rPr>
        <w:t xml:space="preserve"> J Med</w:t>
      </w:r>
      <w:r w:rsidR="00872ADE" w:rsidRPr="008465D3">
        <w:rPr>
          <w:rFonts w:ascii="Arial" w:hAnsi="Arial" w:cs="Arial"/>
          <w:sz w:val="20"/>
        </w:rPr>
        <w:t xml:space="preserve">,350, </w:t>
      </w:r>
      <w:r w:rsidRPr="008465D3">
        <w:rPr>
          <w:rFonts w:ascii="Arial" w:hAnsi="Arial" w:cs="Arial"/>
          <w:sz w:val="20"/>
        </w:rPr>
        <w:t xml:space="preserve">2129-39. </w:t>
      </w:r>
      <w:hyperlink r:id="rId15" w:history="1">
        <w:r w:rsidRPr="008465D3">
          <w:rPr>
            <w:rStyle w:val="Hyperlink"/>
            <w:rFonts w:ascii="Arial" w:hAnsi="Arial" w:cs="Arial"/>
            <w:color w:val="auto"/>
            <w:sz w:val="20"/>
          </w:rPr>
          <w:t>https://doi.org/</w:t>
        </w:r>
        <w:r w:rsidRPr="008465D3">
          <w:rPr>
            <w:rStyle w:val="Hyperlink"/>
            <w:rFonts w:ascii="Arial" w:hAnsi="Arial" w:cs="Arial"/>
            <w:color w:val="auto"/>
            <w:spacing w:val="5"/>
            <w:sz w:val="20"/>
            <w:shd w:val="clear" w:color="auto" w:fill="FFFFFF"/>
          </w:rPr>
          <w:t>10.1056/NEJMoa040938</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Weinstein IB. </w:t>
      </w:r>
      <w:r w:rsidR="00872ADE" w:rsidRPr="008465D3">
        <w:rPr>
          <w:rFonts w:ascii="Arial" w:hAnsi="Arial" w:cs="Arial"/>
          <w:sz w:val="20"/>
        </w:rPr>
        <w:t xml:space="preserve">(2002) </w:t>
      </w:r>
      <w:r w:rsidRPr="008465D3">
        <w:rPr>
          <w:rFonts w:ascii="Arial" w:hAnsi="Arial" w:cs="Arial"/>
          <w:sz w:val="20"/>
        </w:rPr>
        <w:t xml:space="preserve">Cancer. Addiction to oncogenes-the Achilles </w:t>
      </w:r>
      <w:proofErr w:type="spellStart"/>
      <w:r w:rsidRPr="008465D3">
        <w:rPr>
          <w:rFonts w:ascii="Arial" w:hAnsi="Arial" w:cs="Arial"/>
          <w:sz w:val="20"/>
        </w:rPr>
        <w:t>heal</w:t>
      </w:r>
      <w:proofErr w:type="spellEnd"/>
      <w:r w:rsidRPr="008465D3">
        <w:rPr>
          <w:rFonts w:ascii="Arial" w:hAnsi="Arial" w:cs="Arial"/>
          <w:sz w:val="20"/>
        </w:rPr>
        <w:t xml:space="preserve"> of cancer. </w:t>
      </w:r>
      <w:proofErr w:type="gramStart"/>
      <w:r w:rsidRPr="008465D3">
        <w:rPr>
          <w:rFonts w:ascii="Arial" w:hAnsi="Arial" w:cs="Arial"/>
          <w:sz w:val="20"/>
        </w:rPr>
        <w:t>Science;297:63</w:t>
      </w:r>
      <w:proofErr w:type="gramEnd"/>
      <w:r w:rsidRPr="008465D3">
        <w:rPr>
          <w:rFonts w:ascii="Arial" w:hAnsi="Arial" w:cs="Arial"/>
          <w:sz w:val="20"/>
        </w:rPr>
        <w:t xml:space="preserve">-4. </w:t>
      </w:r>
      <w:hyperlink r:id="rId16" w:history="1">
        <w:r w:rsidRPr="008465D3">
          <w:rPr>
            <w:rStyle w:val="Hyperlink"/>
            <w:rFonts w:ascii="Arial" w:hAnsi="Arial" w:cs="Arial"/>
            <w:color w:val="auto"/>
            <w:sz w:val="20"/>
          </w:rPr>
          <w:t>https://doi.org/10.1126/science.1073096</w:t>
        </w:r>
      </w:hyperlink>
    </w:p>
    <w:p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Sequist</w:t>
      </w:r>
      <w:proofErr w:type="spellEnd"/>
      <w:r w:rsidRPr="008465D3">
        <w:rPr>
          <w:rFonts w:ascii="Arial" w:hAnsi="Arial" w:cs="Arial"/>
          <w:sz w:val="20"/>
        </w:rPr>
        <w:t xml:space="preserve"> LV, Heist RS, Shaw AT, et al. </w:t>
      </w:r>
      <w:r w:rsidR="00872ADE" w:rsidRPr="008465D3">
        <w:rPr>
          <w:rFonts w:ascii="Arial" w:hAnsi="Arial" w:cs="Arial"/>
          <w:sz w:val="20"/>
        </w:rPr>
        <w:t xml:space="preserve">(2011) </w:t>
      </w:r>
      <w:r w:rsidRPr="008465D3">
        <w:rPr>
          <w:rFonts w:ascii="Arial" w:hAnsi="Arial" w:cs="Arial"/>
          <w:sz w:val="20"/>
        </w:rPr>
        <w:t xml:space="preserve">Implementing multiplexed genotyping of non-small-cell lung cancers into routine clinical practice. Ann </w:t>
      </w:r>
      <w:proofErr w:type="gramStart"/>
      <w:r w:rsidRPr="008465D3">
        <w:rPr>
          <w:rFonts w:ascii="Arial" w:hAnsi="Arial" w:cs="Arial"/>
          <w:sz w:val="20"/>
        </w:rPr>
        <w:t>Oncol;22:2616</w:t>
      </w:r>
      <w:proofErr w:type="gramEnd"/>
      <w:r w:rsidRPr="008465D3">
        <w:rPr>
          <w:rFonts w:ascii="Arial" w:hAnsi="Arial" w:cs="Arial"/>
          <w:sz w:val="20"/>
        </w:rPr>
        <w:t xml:space="preserve">-24. </w:t>
      </w:r>
      <w:hyperlink r:id="rId17" w:history="1">
        <w:r w:rsidRPr="008465D3">
          <w:rPr>
            <w:rStyle w:val="Hyperlink"/>
            <w:rFonts w:ascii="Arial" w:hAnsi="Arial" w:cs="Arial"/>
            <w:color w:val="auto"/>
            <w:sz w:val="20"/>
          </w:rPr>
          <w:t>https://doi.org/10.1093/annonc/mdr489</w:t>
        </w:r>
      </w:hyperlink>
      <w:r w:rsidRPr="008465D3">
        <w:rPr>
          <w:rFonts w:ascii="Arial" w:hAnsi="Arial" w:cs="Arial"/>
          <w:sz w:val="20"/>
        </w:rPr>
        <w:t xml:space="preserve">  </w:t>
      </w:r>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Yip PY, Yu B, Cooper WA, et al. </w:t>
      </w:r>
      <w:r w:rsidR="00872ADE" w:rsidRPr="008465D3">
        <w:rPr>
          <w:rFonts w:ascii="Arial" w:hAnsi="Arial" w:cs="Arial"/>
          <w:sz w:val="20"/>
        </w:rPr>
        <w:t xml:space="preserve">(2013) </w:t>
      </w:r>
      <w:r w:rsidRPr="008465D3">
        <w:rPr>
          <w:rFonts w:ascii="Arial" w:hAnsi="Arial" w:cs="Arial"/>
          <w:sz w:val="20"/>
        </w:rPr>
        <w:t xml:space="preserve">Patterns of DNA mutations and ALK rearrangement in resected node negative lung adenocarcinoma. J </w:t>
      </w:r>
      <w:proofErr w:type="spellStart"/>
      <w:r w:rsidRPr="008465D3">
        <w:rPr>
          <w:rFonts w:ascii="Arial" w:hAnsi="Arial" w:cs="Arial"/>
          <w:sz w:val="20"/>
        </w:rPr>
        <w:t>Thorac</w:t>
      </w:r>
      <w:proofErr w:type="spellEnd"/>
      <w:r w:rsidRPr="008465D3">
        <w:rPr>
          <w:rFonts w:ascii="Arial" w:hAnsi="Arial" w:cs="Arial"/>
          <w:sz w:val="20"/>
        </w:rPr>
        <w:t xml:space="preserve"> </w:t>
      </w:r>
      <w:proofErr w:type="gramStart"/>
      <w:r w:rsidRPr="008465D3">
        <w:rPr>
          <w:rFonts w:ascii="Arial" w:hAnsi="Arial" w:cs="Arial"/>
          <w:sz w:val="20"/>
        </w:rPr>
        <w:t>Oncol;8:408</w:t>
      </w:r>
      <w:proofErr w:type="gramEnd"/>
      <w:r w:rsidRPr="008465D3">
        <w:rPr>
          <w:rFonts w:ascii="Arial" w:hAnsi="Arial" w:cs="Arial"/>
          <w:sz w:val="20"/>
        </w:rPr>
        <w:t>-14. </w:t>
      </w:r>
      <w:hyperlink r:id="rId18" w:history="1">
        <w:r w:rsidRPr="008465D3">
          <w:rPr>
            <w:rStyle w:val="Hyperlink"/>
            <w:rFonts w:ascii="Arial" w:hAnsi="Arial" w:cs="Arial"/>
            <w:color w:val="auto"/>
            <w:sz w:val="20"/>
          </w:rPr>
          <w:t>https://doi.org/10.1097/jto.0b013e318283558e</w:t>
        </w:r>
      </w:hyperlink>
    </w:p>
    <w:p w:rsidR="0084399E" w:rsidRPr="008465D3" w:rsidRDefault="00D96A0B" w:rsidP="0084399E">
      <w:pPr>
        <w:pStyle w:val="ListParagraph"/>
        <w:numPr>
          <w:ilvl w:val="0"/>
          <w:numId w:val="6"/>
        </w:numPr>
        <w:jc w:val="both"/>
        <w:rPr>
          <w:rFonts w:ascii="Arial" w:hAnsi="Arial" w:cs="Arial"/>
          <w:sz w:val="20"/>
        </w:rPr>
      </w:pPr>
      <w:hyperlink r:id="rId19" w:history="1">
        <w:r w:rsidR="0084399E" w:rsidRPr="008465D3">
          <w:rPr>
            <w:rFonts w:ascii="Arial" w:hAnsi="Arial" w:cs="Arial"/>
            <w:sz w:val="20"/>
            <w:u w:val="single"/>
          </w:rPr>
          <w:t>https://my.clevelandclinic.org/health/treatments/24984-tyrosine-kinase-inhibitors</w:t>
        </w:r>
      </w:hyperlink>
    </w:p>
    <w:p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Kciuk</w:t>
      </w:r>
      <w:proofErr w:type="spellEnd"/>
      <w:r w:rsidRPr="008465D3">
        <w:rPr>
          <w:rFonts w:ascii="Arial" w:hAnsi="Arial" w:cs="Arial"/>
          <w:sz w:val="20"/>
        </w:rPr>
        <w:t xml:space="preserve"> M., Yahya E.B., Mohamed M.M.I., Rashid S., Iqbal M.O., </w:t>
      </w:r>
      <w:proofErr w:type="spellStart"/>
      <w:r w:rsidRPr="008465D3">
        <w:rPr>
          <w:rFonts w:ascii="Arial" w:hAnsi="Arial" w:cs="Arial"/>
          <w:sz w:val="20"/>
        </w:rPr>
        <w:t>Kontek</w:t>
      </w:r>
      <w:proofErr w:type="spellEnd"/>
      <w:r w:rsidRPr="008465D3">
        <w:rPr>
          <w:rFonts w:ascii="Arial" w:hAnsi="Arial" w:cs="Arial"/>
          <w:sz w:val="20"/>
        </w:rPr>
        <w:t xml:space="preserve"> R., </w:t>
      </w:r>
      <w:proofErr w:type="spellStart"/>
      <w:r w:rsidRPr="008465D3">
        <w:rPr>
          <w:rFonts w:ascii="Arial" w:hAnsi="Arial" w:cs="Arial"/>
          <w:sz w:val="20"/>
        </w:rPr>
        <w:t>Abdulsamad</w:t>
      </w:r>
      <w:proofErr w:type="spellEnd"/>
      <w:r w:rsidRPr="008465D3">
        <w:rPr>
          <w:rFonts w:ascii="Arial" w:hAnsi="Arial" w:cs="Arial"/>
          <w:sz w:val="20"/>
        </w:rPr>
        <w:t xml:space="preserve"> M.A., </w:t>
      </w:r>
      <w:r w:rsidR="00872ADE" w:rsidRPr="008465D3">
        <w:rPr>
          <w:rFonts w:ascii="Arial" w:hAnsi="Arial" w:cs="Arial"/>
          <w:sz w:val="20"/>
        </w:rPr>
        <w:t>et al., (2023)</w:t>
      </w:r>
      <w:r w:rsidRPr="008465D3">
        <w:rPr>
          <w:rFonts w:ascii="Arial" w:hAnsi="Arial" w:cs="Arial"/>
          <w:sz w:val="20"/>
        </w:rPr>
        <w:t xml:space="preserve"> Recent advances in molecular mechanisms of cancer immunotherapy. Cancers.;15:2721. </w:t>
      </w:r>
      <w:proofErr w:type="spellStart"/>
      <w:r w:rsidRPr="008465D3">
        <w:rPr>
          <w:rFonts w:ascii="Arial" w:hAnsi="Arial" w:cs="Arial"/>
          <w:sz w:val="20"/>
        </w:rPr>
        <w:t>doi</w:t>
      </w:r>
      <w:proofErr w:type="spellEnd"/>
      <w:r w:rsidRPr="008465D3">
        <w:rPr>
          <w:rFonts w:ascii="Arial" w:hAnsi="Arial" w:cs="Arial"/>
          <w:sz w:val="20"/>
        </w:rPr>
        <w:t xml:space="preserve">: </w:t>
      </w:r>
      <w:hyperlink r:id="rId20" w:history="1">
        <w:r w:rsidRPr="008465D3">
          <w:rPr>
            <w:rStyle w:val="Hyperlink"/>
            <w:rFonts w:ascii="Arial" w:hAnsi="Arial" w:cs="Arial"/>
            <w:color w:val="auto"/>
            <w:sz w:val="20"/>
          </w:rPr>
          <w:t>https://doi.org/10.3390/cancers15102721</w:t>
        </w:r>
      </w:hyperlink>
      <w:r w:rsidRPr="008465D3">
        <w:rPr>
          <w:rFonts w:ascii="Arial" w:hAnsi="Arial" w:cs="Arial"/>
          <w:sz w:val="20"/>
        </w:rPr>
        <w:t xml:space="preserve">  </w:t>
      </w:r>
    </w:p>
    <w:p w:rsidR="005A5C77" w:rsidRPr="005A5C77" w:rsidRDefault="005A5C77" w:rsidP="005A5C77">
      <w:pPr>
        <w:pStyle w:val="ListParagraph"/>
        <w:numPr>
          <w:ilvl w:val="0"/>
          <w:numId w:val="6"/>
        </w:numPr>
        <w:jc w:val="both"/>
        <w:rPr>
          <w:rFonts w:ascii="Arial" w:hAnsi="Arial" w:cs="Arial"/>
          <w:sz w:val="20"/>
          <w:highlight w:val="yellow"/>
        </w:rPr>
      </w:pPr>
      <w:proofErr w:type="spellStart"/>
      <w:r w:rsidRPr="005A5C77">
        <w:rPr>
          <w:rFonts w:ascii="Arial" w:hAnsi="Arial" w:cs="Arial"/>
          <w:sz w:val="20"/>
          <w:highlight w:val="yellow"/>
        </w:rPr>
        <w:t>Arsianti</w:t>
      </w:r>
      <w:proofErr w:type="spellEnd"/>
      <w:r w:rsidRPr="005A5C77">
        <w:rPr>
          <w:rFonts w:ascii="Arial" w:hAnsi="Arial" w:cs="Arial"/>
          <w:sz w:val="20"/>
          <w:highlight w:val="yellow"/>
        </w:rPr>
        <w:t xml:space="preserve"> A, Nur </w:t>
      </w:r>
      <w:proofErr w:type="spellStart"/>
      <w:r w:rsidRPr="005A5C77">
        <w:rPr>
          <w:rFonts w:ascii="Arial" w:hAnsi="Arial" w:cs="Arial"/>
          <w:sz w:val="20"/>
          <w:highlight w:val="yellow"/>
        </w:rPr>
        <w:t>Azizah</w:t>
      </w:r>
      <w:proofErr w:type="spellEnd"/>
      <w:r w:rsidRPr="005A5C77">
        <w:rPr>
          <w:rFonts w:ascii="Arial" w:hAnsi="Arial" w:cs="Arial"/>
          <w:sz w:val="20"/>
          <w:highlight w:val="yellow"/>
        </w:rPr>
        <w:t xml:space="preserve"> N, </w:t>
      </w:r>
      <w:proofErr w:type="spellStart"/>
      <w:r w:rsidRPr="005A5C77">
        <w:rPr>
          <w:rFonts w:ascii="Arial" w:hAnsi="Arial" w:cs="Arial"/>
          <w:sz w:val="20"/>
          <w:highlight w:val="yellow"/>
        </w:rPr>
        <w:t>Erlina</w:t>
      </w:r>
      <w:proofErr w:type="spellEnd"/>
      <w:r w:rsidRPr="005A5C77">
        <w:rPr>
          <w:rFonts w:ascii="Arial" w:hAnsi="Arial" w:cs="Arial"/>
          <w:sz w:val="20"/>
          <w:highlight w:val="yellow"/>
        </w:rPr>
        <w:t xml:space="preserve"> L. (2024) Molecular docking, ADMET profiling of gallic acid and its derivatives (N-alkyl </w:t>
      </w:r>
      <w:proofErr w:type="spellStart"/>
      <w:r w:rsidRPr="005A5C77">
        <w:rPr>
          <w:rFonts w:ascii="Arial" w:hAnsi="Arial" w:cs="Arial"/>
          <w:sz w:val="20"/>
          <w:highlight w:val="yellow"/>
        </w:rPr>
        <w:t>gallamide</w:t>
      </w:r>
      <w:proofErr w:type="spellEnd"/>
      <w:r w:rsidRPr="005A5C77">
        <w:rPr>
          <w:rFonts w:ascii="Arial" w:hAnsi="Arial" w:cs="Arial"/>
          <w:sz w:val="20"/>
          <w:highlight w:val="yellow"/>
        </w:rPr>
        <w:t xml:space="preserve">) as apoptosis agent of breast cancer MCF-7 Cells. F1000Res. Feb </w:t>
      </w:r>
      <w:proofErr w:type="gramStart"/>
      <w:r w:rsidRPr="005A5C77">
        <w:rPr>
          <w:rFonts w:ascii="Arial" w:hAnsi="Arial" w:cs="Arial"/>
          <w:sz w:val="20"/>
          <w:highlight w:val="yellow"/>
        </w:rPr>
        <w:t>8;11:1453</w:t>
      </w:r>
      <w:proofErr w:type="gramEnd"/>
      <w:r w:rsidRPr="005A5C77">
        <w:rPr>
          <w:rFonts w:ascii="Arial" w:hAnsi="Arial" w:cs="Arial"/>
          <w:sz w:val="20"/>
          <w:highlight w:val="yellow"/>
        </w:rPr>
        <w:t xml:space="preserve">. </w:t>
      </w:r>
      <w:proofErr w:type="spellStart"/>
      <w:r w:rsidRPr="005A5C77">
        <w:rPr>
          <w:rFonts w:ascii="Arial" w:hAnsi="Arial" w:cs="Arial"/>
          <w:sz w:val="20"/>
          <w:highlight w:val="yellow"/>
        </w:rPr>
        <w:t>doi</w:t>
      </w:r>
      <w:proofErr w:type="spellEnd"/>
      <w:r w:rsidRPr="005A5C77">
        <w:rPr>
          <w:rFonts w:ascii="Arial" w:hAnsi="Arial" w:cs="Arial"/>
          <w:sz w:val="20"/>
          <w:highlight w:val="yellow"/>
        </w:rPr>
        <w:t>: 10.12688/f1000research.127347.3.</w:t>
      </w:r>
    </w:p>
    <w:p w:rsidR="0084399E" w:rsidRPr="008465D3" w:rsidRDefault="00872ADE" w:rsidP="0084399E">
      <w:pPr>
        <w:pStyle w:val="ListParagraph"/>
        <w:numPr>
          <w:ilvl w:val="0"/>
          <w:numId w:val="6"/>
        </w:numPr>
        <w:jc w:val="both"/>
        <w:rPr>
          <w:rFonts w:ascii="Arial" w:hAnsi="Arial" w:cs="Arial"/>
          <w:sz w:val="20"/>
          <w:u w:val="single"/>
        </w:rPr>
      </w:pPr>
      <w:r w:rsidRPr="008465D3">
        <w:rPr>
          <w:rFonts w:ascii="Arial" w:hAnsi="Arial" w:cs="Arial"/>
          <w:sz w:val="20"/>
        </w:rPr>
        <w:t>Lipinski CA (</w:t>
      </w:r>
      <w:r w:rsidR="0084399E" w:rsidRPr="008465D3">
        <w:rPr>
          <w:rFonts w:ascii="Arial" w:hAnsi="Arial" w:cs="Arial"/>
          <w:sz w:val="20"/>
        </w:rPr>
        <w:t>2004). "Lead- and drug-like compounds: the rule-of-five revolution"</w:t>
      </w:r>
      <w:r w:rsidR="0084399E" w:rsidRPr="008465D3">
        <w:rPr>
          <w:rFonts w:ascii="Arial" w:hAnsi="Arial" w:cs="Arial"/>
          <w:i/>
          <w:iCs/>
          <w:sz w:val="20"/>
        </w:rPr>
        <w:t>. Drug Discovery Today: Technologies </w:t>
      </w:r>
      <w:r w:rsidR="0084399E" w:rsidRPr="008465D3">
        <w:rPr>
          <w:rFonts w:ascii="Arial" w:hAnsi="Arial" w:cs="Arial"/>
          <w:bCs/>
          <w:sz w:val="20"/>
        </w:rPr>
        <w:t>1 (4)</w:t>
      </w:r>
      <w:r w:rsidRPr="008465D3">
        <w:rPr>
          <w:rFonts w:ascii="Arial" w:hAnsi="Arial" w:cs="Arial"/>
          <w:sz w:val="20"/>
        </w:rPr>
        <w:t>: 337-</w:t>
      </w:r>
      <w:r w:rsidR="0084399E" w:rsidRPr="008465D3">
        <w:rPr>
          <w:rFonts w:ascii="Arial" w:hAnsi="Arial" w:cs="Arial"/>
          <w:sz w:val="20"/>
        </w:rPr>
        <w:t>341.</w:t>
      </w:r>
      <w:hyperlink r:id="rId21" w:tgtFrame="blank" w:history="1">
        <w:r w:rsidR="0084399E" w:rsidRPr="008465D3">
          <w:rPr>
            <w:rFonts w:ascii="Arial" w:hAnsi="Arial" w:cs="Arial"/>
            <w:sz w:val="20"/>
            <w:u w:val="single"/>
          </w:rPr>
          <w:t> </w:t>
        </w:r>
        <w:proofErr w:type="gramStart"/>
        <w:r w:rsidR="0084399E" w:rsidRPr="008465D3">
          <w:rPr>
            <w:rFonts w:ascii="Arial" w:hAnsi="Arial" w:cs="Arial"/>
            <w:sz w:val="20"/>
            <w:u w:val="single"/>
          </w:rPr>
          <w:t>doi:10.1016/j.ddtec</w:t>
        </w:r>
        <w:proofErr w:type="gramEnd"/>
        <w:r w:rsidR="0084399E" w:rsidRPr="008465D3">
          <w:rPr>
            <w:rFonts w:ascii="Arial" w:hAnsi="Arial" w:cs="Arial"/>
            <w:sz w:val="20"/>
            <w:u w:val="single"/>
          </w:rPr>
          <w:t>.2004.11.007</w:t>
        </w:r>
      </w:hyperlink>
    </w:p>
    <w:p w:rsidR="005A5C77" w:rsidRPr="005A5C77" w:rsidRDefault="005A5C77" w:rsidP="005A5C77">
      <w:pPr>
        <w:pStyle w:val="ListParagraph"/>
        <w:numPr>
          <w:ilvl w:val="0"/>
          <w:numId w:val="6"/>
        </w:numPr>
        <w:jc w:val="both"/>
        <w:rPr>
          <w:rFonts w:ascii="Arial" w:hAnsi="Arial" w:cs="Arial"/>
          <w:sz w:val="20"/>
        </w:rPr>
      </w:pPr>
      <w:proofErr w:type="spellStart"/>
      <w:r w:rsidRPr="005A5C77">
        <w:rPr>
          <w:rFonts w:ascii="Arial" w:hAnsi="Arial" w:cs="Arial"/>
          <w:sz w:val="20"/>
          <w:highlight w:val="yellow"/>
        </w:rPr>
        <w:t>Dilkalal</w:t>
      </w:r>
      <w:proofErr w:type="spellEnd"/>
      <w:r w:rsidRPr="005A5C77">
        <w:rPr>
          <w:rFonts w:ascii="Arial" w:hAnsi="Arial" w:cs="Arial"/>
          <w:sz w:val="20"/>
          <w:highlight w:val="yellow"/>
        </w:rPr>
        <w:t xml:space="preserve"> A, Annapurna AS, Umesh </w:t>
      </w:r>
      <w:proofErr w:type="gramStart"/>
      <w:r w:rsidRPr="005A5C77">
        <w:rPr>
          <w:rFonts w:ascii="Arial" w:hAnsi="Arial" w:cs="Arial"/>
          <w:sz w:val="20"/>
          <w:highlight w:val="yellow"/>
        </w:rPr>
        <w:t>TG.(</w:t>
      </w:r>
      <w:proofErr w:type="gramEnd"/>
      <w:r w:rsidRPr="005A5C77">
        <w:rPr>
          <w:rFonts w:ascii="Arial" w:hAnsi="Arial" w:cs="Arial"/>
          <w:sz w:val="20"/>
          <w:highlight w:val="yellow"/>
        </w:rPr>
        <w:t xml:space="preserve"> 2024) In vitro antioxidant, anticancer and in silico studies of polyphenol enriched leaf extract of </w:t>
      </w:r>
      <w:proofErr w:type="spellStart"/>
      <w:r w:rsidRPr="005A5C77">
        <w:rPr>
          <w:rFonts w:ascii="Arial" w:hAnsi="Arial" w:cs="Arial"/>
          <w:sz w:val="20"/>
          <w:highlight w:val="yellow"/>
        </w:rPr>
        <w:t>Asystasia</w:t>
      </w:r>
      <w:proofErr w:type="spellEnd"/>
      <w:r w:rsidRPr="005A5C77">
        <w:rPr>
          <w:rFonts w:ascii="Arial" w:hAnsi="Arial" w:cs="Arial"/>
          <w:sz w:val="20"/>
          <w:highlight w:val="yellow"/>
        </w:rPr>
        <w:t xml:space="preserve"> </w:t>
      </w:r>
      <w:proofErr w:type="spellStart"/>
      <w:r w:rsidRPr="005A5C77">
        <w:rPr>
          <w:rFonts w:ascii="Arial" w:hAnsi="Arial" w:cs="Arial"/>
          <w:sz w:val="20"/>
          <w:highlight w:val="yellow"/>
        </w:rPr>
        <w:t>gangetica</w:t>
      </w:r>
      <w:proofErr w:type="spellEnd"/>
      <w:r w:rsidRPr="005A5C77">
        <w:rPr>
          <w:rFonts w:ascii="Arial" w:hAnsi="Arial" w:cs="Arial"/>
          <w:sz w:val="20"/>
          <w:highlight w:val="yellow"/>
        </w:rPr>
        <w:t xml:space="preserve">. Sci Rep.;14(1):28374. </w:t>
      </w:r>
      <w:proofErr w:type="spellStart"/>
      <w:r w:rsidRPr="005A5C77">
        <w:rPr>
          <w:rFonts w:ascii="Arial" w:hAnsi="Arial" w:cs="Arial"/>
          <w:sz w:val="20"/>
          <w:highlight w:val="yellow"/>
        </w:rPr>
        <w:t>doi</w:t>
      </w:r>
      <w:proofErr w:type="spellEnd"/>
      <w:r w:rsidRPr="005A5C77">
        <w:rPr>
          <w:rFonts w:ascii="Arial" w:hAnsi="Arial" w:cs="Arial"/>
          <w:sz w:val="20"/>
          <w:highlight w:val="yellow"/>
        </w:rPr>
        <w:t>: 10.1038/s41598-024-79996-7.</w:t>
      </w:r>
    </w:p>
    <w:p w:rsidR="0084399E" w:rsidRPr="008465D3" w:rsidRDefault="00D96A0B" w:rsidP="0084399E">
      <w:pPr>
        <w:pStyle w:val="ListParagraph"/>
        <w:numPr>
          <w:ilvl w:val="0"/>
          <w:numId w:val="6"/>
        </w:numPr>
        <w:jc w:val="both"/>
        <w:rPr>
          <w:rFonts w:ascii="Arial" w:hAnsi="Arial" w:cs="Arial"/>
          <w:sz w:val="20"/>
        </w:rPr>
      </w:pPr>
      <w:hyperlink r:id="rId22" w:history="1">
        <w:r w:rsidR="0084399E" w:rsidRPr="008465D3">
          <w:rPr>
            <w:rFonts w:ascii="Arial" w:hAnsi="Arial" w:cs="Arial"/>
            <w:sz w:val="20"/>
            <w:u w:val="single"/>
          </w:rPr>
          <w:t>https://www.molinspiration.com/about.html</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Sahoo RN, </w:t>
      </w:r>
      <w:proofErr w:type="spellStart"/>
      <w:r w:rsidRPr="008465D3">
        <w:rPr>
          <w:rFonts w:ascii="Arial" w:hAnsi="Arial" w:cs="Arial"/>
          <w:sz w:val="20"/>
        </w:rPr>
        <w:t>Pattanaik</w:t>
      </w:r>
      <w:proofErr w:type="spellEnd"/>
      <w:r w:rsidRPr="008465D3">
        <w:rPr>
          <w:rFonts w:ascii="Arial" w:hAnsi="Arial" w:cs="Arial"/>
          <w:sz w:val="20"/>
        </w:rPr>
        <w:t xml:space="preserve"> S, </w:t>
      </w:r>
      <w:proofErr w:type="spellStart"/>
      <w:r w:rsidRPr="008465D3">
        <w:rPr>
          <w:rFonts w:ascii="Arial" w:hAnsi="Arial" w:cs="Arial"/>
          <w:sz w:val="20"/>
        </w:rPr>
        <w:t>Pattnaik</w:t>
      </w:r>
      <w:proofErr w:type="spellEnd"/>
      <w:r w:rsidRPr="008465D3">
        <w:rPr>
          <w:rFonts w:ascii="Arial" w:hAnsi="Arial" w:cs="Arial"/>
          <w:sz w:val="20"/>
        </w:rPr>
        <w:t xml:space="preserve"> G, Mallick S, Mohapatra R.</w:t>
      </w:r>
      <w:r w:rsidR="00872ADE" w:rsidRPr="008465D3">
        <w:rPr>
          <w:rFonts w:ascii="Arial" w:hAnsi="Arial" w:cs="Arial"/>
          <w:sz w:val="20"/>
        </w:rPr>
        <w:t xml:space="preserve"> (2022)</w:t>
      </w:r>
      <w:r w:rsidRPr="008465D3">
        <w:rPr>
          <w:rFonts w:ascii="Arial" w:hAnsi="Arial" w:cs="Arial"/>
          <w:sz w:val="20"/>
        </w:rPr>
        <w:t xml:space="preserve"> Review on the use of molecular docking as the first line tool in drug discovery and development. Indian J. Pharm. Sci.;84(5):1334–1337. Doi: </w:t>
      </w:r>
      <w:hyperlink r:id="rId23" w:history="1">
        <w:r w:rsidRPr="008465D3">
          <w:rPr>
            <w:rStyle w:val="Hyperlink"/>
            <w:rFonts w:ascii="Arial" w:hAnsi="Arial" w:cs="Arial"/>
            <w:color w:val="auto"/>
            <w:sz w:val="20"/>
          </w:rPr>
          <w:t>https://doi.org/</w:t>
        </w:r>
        <w:r w:rsidRPr="008465D3">
          <w:rPr>
            <w:rStyle w:val="Hyperlink"/>
            <w:rFonts w:ascii="Arial" w:hAnsi="Arial" w:cs="Arial"/>
            <w:color w:val="auto"/>
            <w:sz w:val="20"/>
            <w:shd w:val="clear" w:color="auto" w:fill="FFFFFF"/>
          </w:rPr>
          <w:t>10.36468/pharmaceutical-sciences.1031</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Meng XY, Zhang HX, </w:t>
      </w:r>
      <w:proofErr w:type="spellStart"/>
      <w:r w:rsidRPr="008465D3">
        <w:rPr>
          <w:rFonts w:ascii="Arial" w:hAnsi="Arial" w:cs="Arial"/>
          <w:sz w:val="20"/>
        </w:rPr>
        <w:t>Mezei</w:t>
      </w:r>
      <w:proofErr w:type="spellEnd"/>
      <w:r w:rsidRPr="008465D3">
        <w:rPr>
          <w:rFonts w:ascii="Arial" w:hAnsi="Arial" w:cs="Arial"/>
          <w:sz w:val="20"/>
        </w:rPr>
        <w:t xml:space="preserve"> M, Cui M. </w:t>
      </w:r>
      <w:r w:rsidR="00872ADE" w:rsidRPr="008465D3">
        <w:rPr>
          <w:rFonts w:ascii="Arial" w:hAnsi="Arial" w:cs="Arial"/>
          <w:sz w:val="20"/>
        </w:rPr>
        <w:t xml:space="preserve">(2011) </w:t>
      </w:r>
      <w:r w:rsidRPr="008465D3">
        <w:rPr>
          <w:rFonts w:ascii="Arial" w:hAnsi="Arial" w:cs="Arial"/>
          <w:sz w:val="20"/>
        </w:rPr>
        <w:t xml:space="preserve">Molecular docking: A powerful approach for structure-based drug discovery. </w:t>
      </w:r>
      <w:proofErr w:type="spellStart"/>
      <w:r w:rsidRPr="008465D3">
        <w:rPr>
          <w:rFonts w:ascii="Arial" w:hAnsi="Arial" w:cs="Arial"/>
          <w:sz w:val="20"/>
        </w:rPr>
        <w:t>Curr</w:t>
      </w:r>
      <w:proofErr w:type="spellEnd"/>
      <w:r w:rsidRPr="008465D3">
        <w:rPr>
          <w:rFonts w:ascii="Arial" w:hAnsi="Arial" w:cs="Arial"/>
          <w:sz w:val="20"/>
        </w:rPr>
        <w:t xml:space="preserve">. </w:t>
      </w:r>
      <w:proofErr w:type="spellStart"/>
      <w:r w:rsidRPr="008465D3">
        <w:rPr>
          <w:rFonts w:ascii="Arial" w:hAnsi="Arial" w:cs="Arial"/>
          <w:sz w:val="20"/>
        </w:rPr>
        <w:t>Comput</w:t>
      </w:r>
      <w:proofErr w:type="spellEnd"/>
      <w:r w:rsidRPr="008465D3">
        <w:rPr>
          <w:rFonts w:ascii="Arial" w:hAnsi="Arial" w:cs="Arial"/>
          <w:sz w:val="20"/>
        </w:rPr>
        <w:t xml:space="preserve">. Aided Drug Des.;7:146–157. </w:t>
      </w:r>
      <w:proofErr w:type="spellStart"/>
      <w:r w:rsidRPr="008465D3">
        <w:rPr>
          <w:rFonts w:ascii="Arial" w:hAnsi="Arial" w:cs="Arial"/>
          <w:sz w:val="20"/>
        </w:rPr>
        <w:t>doi</w:t>
      </w:r>
      <w:proofErr w:type="spellEnd"/>
      <w:r w:rsidRPr="008465D3">
        <w:rPr>
          <w:rFonts w:ascii="Arial" w:hAnsi="Arial" w:cs="Arial"/>
          <w:sz w:val="20"/>
        </w:rPr>
        <w:t xml:space="preserve">: 10.2174/157340911795677602. </w:t>
      </w:r>
      <w:hyperlink r:id="rId24" w:history="1">
        <w:r w:rsidRPr="008465D3">
          <w:rPr>
            <w:rStyle w:val="Hyperlink"/>
            <w:rFonts w:ascii="Arial" w:hAnsi="Arial" w:cs="Arial"/>
            <w:color w:val="auto"/>
            <w:sz w:val="20"/>
          </w:rPr>
          <w:t>https://doi.org/10.2174/157340911795677602</w:t>
        </w:r>
      </w:hyperlink>
    </w:p>
    <w:p w:rsidR="0084399E" w:rsidRPr="008465D3" w:rsidRDefault="00D96A0B" w:rsidP="0084399E">
      <w:pPr>
        <w:pStyle w:val="ListParagraph"/>
        <w:numPr>
          <w:ilvl w:val="0"/>
          <w:numId w:val="6"/>
        </w:numPr>
        <w:jc w:val="both"/>
        <w:rPr>
          <w:rFonts w:ascii="Arial" w:hAnsi="Arial" w:cs="Arial"/>
          <w:sz w:val="20"/>
        </w:rPr>
      </w:pPr>
      <w:hyperlink r:id="rId25" w:history="1">
        <w:r w:rsidR="0084399E" w:rsidRPr="008465D3">
          <w:rPr>
            <w:rFonts w:ascii="Arial" w:hAnsi="Arial" w:cs="Arial"/>
            <w:sz w:val="20"/>
            <w:u w:val="single"/>
          </w:rPr>
          <w:t>http://molexus.io/mvd-features/</w:t>
        </w:r>
      </w:hyperlink>
    </w:p>
    <w:p w:rsidR="005A5C77" w:rsidRPr="005A5C77" w:rsidRDefault="005A5C77" w:rsidP="005A5C77">
      <w:pPr>
        <w:pStyle w:val="ListParagraph"/>
        <w:numPr>
          <w:ilvl w:val="0"/>
          <w:numId w:val="6"/>
        </w:numPr>
        <w:jc w:val="both"/>
        <w:rPr>
          <w:rFonts w:ascii="Arial" w:hAnsi="Arial" w:cs="Arial"/>
          <w:sz w:val="20"/>
          <w:highlight w:val="yellow"/>
        </w:rPr>
      </w:pPr>
      <w:proofErr w:type="spellStart"/>
      <w:r w:rsidRPr="005A5C77">
        <w:rPr>
          <w:rFonts w:ascii="Arial" w:hAnsi="Arial" w:cs="Arial"/>
          <w:sz w:val="20"/>
          <w:highlight w:val="yellow"/>
        </w:rPr>
        <w:lastRenderedPageBreak/>
        <w:t>Arsianti</w:t>
      </w:r>
      <w:proofErr w:type="spellEnd"/>
      <w:r w:rsidRPr="005A5C77">
        <w:rPr>
          <w:rFonts w:ascii="Arial" w:hAnsi="Arial" w:cs="Arial"/>
          <w:sz w:val="20"/>
          <w:highlight w:val="yellow"/>
        </w:rPr>
        <w:t xml:space="preserve"> A, Nur </w:t>
      </w:r>
      <w:proofErr w:type="spellStart"/>
      <w:r w:rsidRPr="005A5C77">
        <w:rPr>
          <w:rFonts w:ascii="Arial" w:hAnsi="Arial" w:cs="Arial"/>
          <w:sz w:val="20"/>
          <w:highlight w:val="yellow"/>
        </w:rPr>
        <w:t>Azizah</w:t>
      </w:r>
      <w:proofErr w:type="spellEnd"/>
      <w:r w:rsidRPr="005A5C77">
        <w:rPr>
          <w:rFonts w:ascii="Arial" w:hAnsi="Arial" w:cs="Arial"/>
          <w:sz w:val="20"/>
          <w:highlight w:val="yellow"/>
        </w:rPr>
        <w:t xml:space="preserve"> N and </w:t>
      </w:r>
      <w:proofErr w:type="spellStart"/>
      <w:r w:rsidRPr="005A5C77">
        <w:rPr>
          <w:rFonts w:ascii="Arial" w:hAnsi="Arial" w:cs="Arial"/>
          <w:sz w:val="20"/>
          <w:highlight w:val="yellow"/>
        </w:rPr>
        <w:t>Erlina</w:t>
      </w:r>
      <w:proofErr w:type="spellEnd"/>
      <w:r w:rsidRPr="005A5C77">
        <w:rPr>
          <w:rFonts w:ascii="Arial" w:hAnsi="Arial" w:cs="Arial"/>
          <w:sz w:val="20"/>
          <w:highlight w:val="yellow"/>
        </w:rPr>
        <w:t xml:space="preserve"> L.( 2022) Molecular docking, ADMET profiling of gallic acid and its derivatives (N-alkyl </w:t>
      </w:r>
      <w:proofErr w:type="spellStart"/>
      <w:r w:rsidRPr="005A5C77">
        <w:rPr>
          <w:rFonts w:ascii="Arial" w:hAnsi="Arial" w:cs="Arial"/>
          <w:sz w:val="20"/>
          <w:highlight w:val="yellow"/>
        </w:rPr>
        <w:t>gallamide</w:t>
      </w:r>
      <w:proofErr w:type="spellEnd"/>
      <w:r w:rsidRPr="005A5C77">
        <w:rPr>
          <w:rFonts w:ascii="Arial" w:hAnsi="Arial" w:cs="Arial"/>
          <w:sz w:val="20"/>
          <w:highlight w:val="yellow"/>
        </w:rPr>
        <w:t xml:space="preserve">) as an anti-breast cancer agent [version 1; peer review: awaiting peer review] F1000Research, 11:1453 </w:t>
      </w:r>
      <w:hyperlink r:id="rId26" w:history="1">
        <w:r w:rsidRPr="005A5C77">
          <w:rPr>
            <w:rStyle w:val="Hyperlink"/>
            <w:rFonts w:ascii="Arial" w:hAnsi="Arial" w:cs="Arial"/>
            <w:sz w:val="20"/>
          </w:rPr>
          <w:t>https://doi.org/10.12688/f1000research.127347.1</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Benet</w:t>
      </w:r>
      <w:r w:rsidR="00872ADE" w:rsidRPr="008465D3">
        <w:rPr>
          <w:rFonts w:ascii="Arial" w:hAnsi="Arial" w:cs="Arial"/>
          <w:sz w:val="20"/>
        </w:rPr>
        <w:t xml:space="preserve"> LZ, </w:t>
      </w:r>
      <w:proofErr w:type="spellStart"/>
      <w:r w:rsidR="00872ADE" w:rsidRPr="008465D3">
        <w:rPr>
          <w:rFonts w:ascii="Arial" w:hAnsi="Arial" w:cs="Arial"/>
          <w:sz w:val="20"/>
        </w:rPr>
        <w:t>Hosey</w:t>
      </w:r>
      <w:proofErr w:type="spellEnd"/>
      <w:r w:rsidR="00872ADE" w:rsidRPr="008465D3">
        <w:rPr>
          <w:rFonts w:ascii="Arial" w:hAnsi="Arial" w:cs="Arial"/>
          <w:sz w:val="20"/>
        </w:rPr>
        <w:t xml:space="preserve"> CM, </w:t>
      </w:r>
      <w:proofErr w:type="spellStart"/>
      <w:r w:rsidR="00872ADE" w:rsidRPr="008465D3">
        <w:rPr>
          <w:rFonts w:ascii="Arial" w:hAnsi="Arial" w:cs="Arial"/>
          <w:sz w:val="20"/>
        </w:rPr>
        <w:t>Ursu</w:t>
      </w:r>
      <w:proofErr w:type="spellEnd"/>
      <w:r w:rsidR="00872ADE" w:rsidRPr="008465D3">
        <w:rPr>
          <w:rFonts w:ascii="Arial" w:hAnsi="Arial" w:cs="Arial"/>
          <w:sz w:val="20"/>
        </w:rPr>
        <w:t xml:space="preserve"> O, </w:t>
      </w:r>
      <w:proofErr w:type="spellStart"/>
      <w:r w:rsidR="00872ADE" w:rsidRPr="008465D3">
        <w:rPr>
          <w:rFonts w:ascii="Arial" w:hAnsi="Arial" w:cs="Arial"/>
          <w:sz w:val="20"/>
        </w:rPr>
        <w:t>Oprea</w:t>
      </w:r>
      <w:proofErr w:type="spellEnd"/>
      <w:r w:rsidR="00872ADE" w:rsidRPr="008465D3">
        <w:rPr>
          <w:rFonts w:ascii="Arial" w:hAnsi="Arial" w:cs="Arial"/>
          <w:sz w:val="20"/>
        </w:rPr>
        <w:t xml:space="preserve"> TI, (2016)</w:t>
      </w:r>
      <w:r w:rsidRPr="008465D3">
        <w:rPr>
          <w:rFonts w:ascii="Arial" w:hAnsi="Arial" w:cs="Arial"/>
          <w:sz w:val="20"/>
        </w:rPr>
        <w:t xml:space="preserve"> BDDCS, the Rule of 5 and </w:t>
      </w:r>
      <w:proofErr w:type="spellStart"/>
      <w:r w:rsidRPr="008465D3">
        <w:rPr>
          <w:rFonts w:ascii="Arial" w:hAnsi="Arial" w:cs="Arial"/>
          <w:sz w:val="20"/>
        </w:rPr>
        <w:t>drugability</w:t>
      </w:r>
      <w:proofErr w:type="spellEnd"/>
      <w:r w:rsidRPr="008465D3">
        <w:rPr>
          <w:rFonts w:ascii="Arial" w:hAnsi="Arial" w:cs="Arial"/>
          <w:sz w:val="20"/>
        </w:rPr>
        <w:t xml:space="preserve">. Adv Drug </w:t>
      </w:r>
      <w:proofErr w:type="spellStart"/>
      <w:r w:rsidRPr="008465D3">
        <w:rPr>
          <w:rFonts w:ascii="Arial" w:hAnsi="Arial" w:cs="Arial"/>
          <w:sz w:val="20"/>
        </w:rPr>
        <w:t>Deliv</w:t>
      </w:r>
      <w:proofErr w:type="spellEnd"/>
      <w:r w:rsidRPr="008465D3">
        <w:rPr>
          <w:rFonts w:ascii="Arial" w:hAnsi="Arial" w:cs="Arial"/>
          <w:sz w:val="20"/>
        </w:rPr>
        <w:t xml:space="preserve"> </w:t>
      </w:r>
      <w:proofErr w:type="gramStart"/>
      <w:r w:rsidRPr="008465D3">
        <w:rPr>
          <w:rFonts w:ascii="Arial" w:hAnsi="Arial" w:cs="Arial"/>
          <w:sz w:val="20"/>
        </w:rPr>
        <w:t>Rev.;101:89</w:t>
      </w:r>
      <w:proofErr w:type="gramEnd"/>
      <w:r w:rsidRPr="008465D3">
        <w:rPr>
          <w:rFonts w:ascii="Arial" w:hAnsi="Arial" w:cs="Arial"/>
          <w:sz w:val="20"/>
        </w:rPr>
        <w:t xml:space="preserve">-98. </w:t>
      </w:r>
      <w:proofErr w:type="spellStart"/>
      <w:r w:rsidRPr="008465D3">
        <w:rPr>
          <w:rFonts w:ascii="Arial" w:hAnsi="Arial" w:cs="Arial"/>
          <w:sz w:val="20"/>
        </w:rPr>
        <w:t>doi</w:t>
      </w:r>
      <w:proofErr w:type="spellEnd"/>
      <w:r w:rsidRPr="008465D3">
        <w:rPr>
          <w:rFonts w:ascii="Arial" w:hAnsi="Arial" w:cs="Arial"/>
          <w:sz w:val="20"/>
        </w:rPr>
        <w:t xml:space="preserve">: </w:t>
      </w:r>
      <w:hyperlink r:id="rId27" w:history="1">
        <w:r w:rsidRPr="008465D3">
          <w:rPr>
            <w:rStyle w:val="Hyperlink"/>
            <w:rFonts w:ascii="Arial" w:hAnsi="Arial" w:cs="Arial"/>
            <w:color w:val="auto"/>
            <w:sz w:val="20"/>
          </w:rPr>
          <w:t>https://doi.org/10.1016/j.addr.2016.05.007</w:t>
        </w:r>
      </w:hyperlink>
    </w:p>
    <w:p w:rsidR="005A5C77" w:rsidRPr="005A5C77" w:rsidRDefault="005A5C77" w:rsidP="005A5C77">
      <w:pPr>
        <w:pStyle w:val="ListParagraph"/>
        <w:numPr>
          <w:ilvl w:val="0"/>
          <w:numId w:val="6"/>
        </w:numPr>
        <w:jc w:val="both"/>
        <w:rPr>
          <w:rFonts w:ascii="Arial" w:hAnsi="Arial" w:cs="Arial"/>
          <w:sz w:val="20"/>
          <w:highlight w:val="yellow"/>
        </w:rPr>
      </w:pPr>
      <w:proofErr w:type="spellStart"/>
      <w:r w:rsidRPr="005A5C77">
        <w:rPr>
          <w:rFonts w:ascii="Arial" w:hAnsi="Arial" w:cs="Arial"/>
          <w:sz w:val="20"/>
          <w:highlight w:val="yellow"/>
        </w:rPr>
        <w:t>Khedraoui</w:t>
      </w:r>
      <w:proofErr w:type="spellEnd"/>
      <w:r w:rsidRPr="005A5C77">
        <w:rPr>
          <w:rFonts w:ascii="Arial" w:hAnsi="Arial" w:cs="Arial"/>
          <w:sz w:val="20"/>
          <w:highlight w:val="yellow"/>
        </w:rPr>
        <w:t xml:space="preserve">, M., </w:t>
      </w:r>
      <w:proofErr w:type="spellStart"/>
      <w:r w:rsidRPr="005A5C77">
        <w:rPr>
          <w:rFonts w:ascii="Arial" w:hAnsi="Arial" w:cs="Arial"/>
          <w:sz w:val="20"/>
          <w:highlight w:val="yellow"/>
        </w:rPr>
        <w:t>Abchir</w:t>
      </w:r>
      <w:proofErr w:type="spellEnd"/>
      <w:r w:rsidRPr="005A5C77">
        <w:rPr>
          <w:rFonts w:ascii="Arial" w:hAnsi="Arial" w:cs="Arial"/>
          <w:sz w:val="20"/>
          <w:highlight w:val="yellow"/>
        </w:rPr>
        <w:t xml:space="preserve">, O., Nour, H., </w:t>
      </w:r>
      <w:proofErr w:type="spellStart"/>
      <w:r w:rsidRPr="005A5C77">
        <w:rPr>
          <w:rFonts w:ascii="Arial" w:hAnsi="Arial" w:cs="Arial"/>
          <w:sz w:val="20"/>
          <w:highlight w:val="yellow"/>
        </w:rPr>
        <w:t>Yamari</w:t>
      </w:r>
      <w:proofErr w:type="spellEnd"/>
      <w:r w:rsidRPr="005A5C77">
        <w:rPr>
          <w:rFonts w:ascii="Arial" w:hAnsi="Arial" w:cs="Arial"/>
          <w:sz w:val="20"/>
          <w:highlight w:val="yellow"/>
        </w:rPr>
        <w:t xml:space="preserve">, I., </w:t>
      </w:r>
      <w:proofErr w:type="spellStart"/>
      <w:r w:rsidRPr="005A5C77">
        <w:rPr>
          <w:rFonts w:ascii="Arial" w:hAnsi="Arial" w:cs="Arial"/>
          <w:sz w:val="20"/>
          <w:highlight w:val="yellow"/>
        </w:rPr>
        <w:t>Errougui</w:t>
      </w:r>
      <w:proofErr w:type="spellEnd"/>
      <w:r w:rsidRPr="005A5C77">
        <w:rPr>
          <w:rFonts w:ascii="Arial" w:hAnsi="Arial" w:cs="Arial"/>
          <w:sz w:val="20"/>
          <w:highlight w:val="yellow"/>
        </w:rPr>
        <w:t xml:space="preserve">, A., </w:t>
      </w:r>
      <w:proofErr w:type="spellStart"/>
      <w:r w:rsidRPr="005A5C77">
        <w:rPr>
          <w:rFonts w:ascii="Arial" w:hAnsi="Arial" w:cs="Arial"/>
          <w:sz w:val="20"/>
          <w:highlight w:val="yellow"/>
        </w:rPr>
        <w:t>Samadi</w:t>
      </w:r>
      <w:proofErr w:type="spellEnd"/>
      <w:r w:rsidRPr="005A5C77">
        <w:rPr>
          <w:rFonts w:ascii="Arial" w:hAnsi="Arial" w:cs="Arial"/>
          <w:sz w:val="20"/>
          <w:highlight w:val="yellow"/>
        </w:rPr>
        <w:t xml:space="preserve">, A., &amp; </w:t>
      </w:r>
      <w:proofErr w:type="spellStart"/>
      <w:r w:rsidRPr="005A5C77">
        <w:rPr>
          <w:rFonts w:ascii="Arial" w:hAnsi="Arial" w:cs="Arial"/>
          <w:sz w:val="20"/>
          <w:highlight w:val="yellow"/>
        </w:rPr>
        <w:t>Chtita</w:t>
      </w:r>
      <w:proofErr w:type="spellEnd"/>
      <w:r w:rsidRPr="005A5C77">
        <w:rPr>
          <w:rFonts w:ascii="Arial" w:hAnsi="Arial" w:cs="Arial"/>
          <w:sz w:val="20"/>
          <w:highlight w:val="yellow"/>
        </w:rPr>
        <w:t xml:space="preserve">, S. (2024). An </w:t>
      </w:r>
      <w:proofErr w:type="gramStart"/>
      <w:r w:rsidRPr="005A5C77">
        <w:rPr>
          <w:rFonts w:ascii="Arial" w:hAnsi="Arial" w:cs="Arial"/>
          <w:sz w:val="20"/>
          <w:highlight w:val="yellow"/>
        </w:rPr>
        <w:t>In</w:t>
      </w:r>
      <w:proofErr w:type="gramEnd"/>
      <w:r w:rsidRPr="005A5C77">
        <w:rPr>
          <w:rFonts w:ascii="Arial" w:hAnsi="Arial" w:cs="Arial"/>
          <w:sz w:val="20"/>
          <w:highlight w:val="yellow"/>
        </w:rPr>
        <w:t xml:space="preserve"> Silico Study Based on QSAR and Molecular Docking and Molecular Dynamics Simulation for the Discovery of Novel Potent Inhibitor against </w:t>
      </w:r>
      <w:proofErr w:type="spellStart"/>
      <w:r w:rsidRPr="005A5C77">
        <w:rPr>
          <w:rFonts w:ascii="Arial" w:hAnsi="Arial" w:cs="Arial"/>
          <w:sz w:val="20"/>
          <w:highlight w:val="yellow"/>
        </w:rPr>
        <w:t>AChE</w:t>
      </w:r>
      <w:proofErr w:type="spellEnd"/>
      <w:r w:rsidRPr="005A5C77">
        <w:rPr>
          <w:rFonts w:ascii="Arial" w:hAnsi="Arial" w:cs="Arial"/>
          <w:sz w:val="20"/>
          <w:highlight w:val="yellow"/>
        </w:rPr>
        <w:t xml:space="preserve">. Pharmaceuticals, 17(7), 830. </w:t>
      </w:r>
      <w:hyperlink r:id="rId28" w:history="1">
        <w:r w:rsidRPr="005A5C77">
          <w:rPr>
            <w:rStyle w:val="Hyperlink"/>
            <w:rFonts w:ascii="Arial" w:hAnsi="Arial" w:cs="Arial"/>
            <w:sz w:val="20"/>
          </w:rPr>
          <w:t>https://doi.org/10.3390/ph17070830</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Zhou, P.; Lou, Y.X.; Wang, X.; Hu, B.; Zhang, L.; Zhang, W.</w:t>
      </w:r>
      <w:r w:rsidR="00A10175" w:rsidRPr="008465D3">
        <w:rPr>
          <w:rFonts w:ascii="Arial" w:hAnsi="Arial" w:cs="Arial"/>
          <w:sz w:val="20"/>
        </w:rPr>
        <w:t xml:space="preserve"> (2020)</w:t>
      </w:r>
      <w:r w:rsidRPr="008465D3">
        <w:rPr>
          <w:rFonts w:ascii="Arial" w:hAnsi="Arial" w:cs="Arial"/>
          <w:sz w:val="20"/>
        </w:rPr>
        <w:t xml:space="preserve"> A pneumonia outbreak associated with a new coronavirus of probable bat origin. Nature, 579, 270–273. </w:t>
      </w:r>
      <w:hyperlink r:id="rId29" w:history="1">
        <w:r w:rsidRPr="008465D3">
          <w:rPr>
            <w:rStyle w:val="Hyperlink"/>
            <w:rFonts w:ascii="Arial" w:hAnsi="Arial" w:cs="Arial"/>
            <w:color w:val="auto"/>
            <w:sz w:val="20"/>
          </w:rPr>
          <w:t>https://doi.org/10.1038/s41586-020-2012-7</w:t>
        </w:r>
      </w:hyperlink>
    </w:p>
    <w:p w:rsidR="0084399E" w:rsidRPr="008465D3" w:rsidRDefault="0084399E" w:rsidP="0084399E">
      <w:pPr>
        <w:pStyle w:val="ListParagraph"/>
        <w:numPr>
          <w:ilvl w:val="0"/>
          <w:numId w:val="6"/>
        </w:numPr>
        <w:jc w:val="both"/>
        <w:rPr>
          <w:rFonts w:ascii="Arial" w:hAnsi="Arial" w:cs="Arial"/>
          <w:sz w:val="20"/>
        </w:rPr>
      </w:pPr>
      <w:r w:rsidRPr="008465D3">
        <w:rPr>
          <w:rFonts w:ascii="Arial" w:hAnsi="Arial" w:cs="Arial"/>
          <w:sz w:val="20"/>
        </w:rPr>
        <w:t xml:space="preserve">Sun, D.; Gao, W.; Hu, H.; Zhou, S. </w:t>
      </w:r>
      <w:r w:rsidR="00872ADE" w:rsidRPr="008465D3">
        <w:rPr>
          <w:rFonts w:ascii="Arial" w:hAnsi="Arial" w:cs="Arial"/>
          <w:sz w:val="20"/>
        </w:rPr>
        <w:t>(</w:t>
      </w:r>
      <w:proofErr w:type="gramStart"/>
      <w:r w:rsidR="00872ADE" w:rsidRPr="008465D3">
        <w:rPr>
          <w:rFonts w:ascii="Arial" w:hAnsi="Arial" w:cs="Arial"/>
          <w:sz w:val="20"/>
        </w:rPr>
        <w:t>2022)</w:t>
      </w:r>
      <w:r w:rsidRPr="008465D3">
        <w:rPr>
          <w:rFonts w:ascii="Arial" w:hAnsi="Arial" w:cs="Arial"/>
          <w:sz w:val="20"/>
        </w:rPr>
        <w:t>Why</w:t>
      </w:r>
      <w:proofErr w:type="gramEnd"/>
      <w:r w:rsidRPr="008465D3">
        <w:rPr>
          <w:rFonts w:ascii="Arial" w:hAnsi="Arial" w:cs="Arial"/>
          <w:sz w:val="20"/>
        </w:rPr>
        <w:t xml:space="preserve"> 90% of Clinical Drug Development Fails and How to Improve It?. Acta Pharm. Sin. B, 12 (7), 3049– </w:t>
      </w:r>
      <w:proofErr w:type="gramStart"/>
      <w:r w:rsidRPr="008465D3">
        <w:rPr>
          <w:rFonts w:ascii="Arial" w:hAnsi="Arial" w:cs="Arial"/>
          <w:sz w:val="20"/>
        </w:rPr>
        <w:t>3062,  DOI</w:t>
      </w:r>
      <w:proofErr w:type="gramEnd"/>
      <w:r w:rsidRPr="008465D3">
        <w:rPr>
          <w:rFonts w:ascii="Arial" w:hAnsi="Arial" w:cs="Arial"/>
          <w:sz w:val="20"/>
        </w:rPr>
        <w:t xml:space="preserve">: </w:t>
      </w:r>
      <w:hyperlink r:id="rId30" w:history="1">
        <w:r w:rsidRPr="008465D3">
          <w:rPr>
            <w:rStyle w:val="Hyperlink"/>
            <w:rFonts w:ascii="Arial" w:hAnsi="Arial" w:cs="Arial"/>
            <w:color w:val="auto"/>
            <w:sz w:val="20"/>
          </w:rPr>
          <w:t>https://doi.org/10.1016/j.apsb.2022.02.002</w:t>
        </w:r>
      </w:hyperlink>
    </w:p>
    <w:p w:rsidR="0084399E" w:rsidRPr="008465D3" w:rsidRDefault="0084399E" w:rsidP="0084399E">
      <w:pPr>
        <w:pStyle w:val="ListParagraph"/>
        <w:numPr>
          <w:ilvl w:val="0"/>
          <w:numId w:val="6"/>
        </w:numPr>
        <w:jc w:val="both"/>
        <w:rPr>
          <w:rFonts w:ascii="Arial" w:hAnsi="Arial" w:cs="Arial"/>
          <w:sz w:val="20"/>
        </w:rPr>
      </w:pPr>
      <w:proofErr w:type="spellStart"/>
      <w:r w:rsidRPr="008465D3">
        <w:rPr>
          <w:rFonts w:ascii="Arial" w:hAnsi="Arial" w:cs="Arial"/>
          <w:sz w:val="20"/>
        </w:rPr>
        <w:t>Meslamani</w:t>
      </w:r>
      <w:proofErr w:type="spellEnd"/>
      <w:r w:rsidRPr="008465D3">
        <w:rPr>
          <w:rFonts w:ascii="Arial" w:hAnsi="Arial" w:cs="Arial"/>
          <w:sz w:val="20"/>
        </w:rPr>
        <w:t xml:space="preserve">, J. et al. </w:t>
      </w:r>
      <w:r w:rsidR="00872ADE" w:rsidRPr="008465D3">
        <w:rPr>
          <w:rFonts w:ascii="Arial" w:hAnsi="Arial" w:cs="Arial"/>
          <w:sz w:val="20"/>
        </w:rPr>
        <w:t>(</w:t>
      </w:r>
      <w:proofErr w:type="gramStart"/>
      <w:r w:rsidR="00872ADE" w:rsidRPr="008465D3">
        <w:rPr>
          <w:rFonts w:ascii="Arial" w:hAnsi="Arial" w:cs="Arial"/>
          <w:sz w:val="20"/>
        </w:rPr>
        <w:t>2012)</w:t>
      </w:r>
      <w:r w:rsidRPr="008465D3">
        <w:rPr>
          <w:rFonts w:ascii="Arial" w:hAnsi="Arial" w:cs="Arial"/>
          <w:sz w:val="20"/>
        </w:rPr>
        <w:t>Protein</w:t>
      </w:r>
      <w:proofErr w:type="gramEnd"/>
      <w:r w:rsidRPr="008465D3">
        <w:rPr>
          <w:rFonts w:ascii="Arial" w:hAnsi="Arial" w:cs="Arial"/>
          <w:sz w:val="20"/>
        </w:rPr>
        <w:t xml:space="preserve">-ligand-based pharmacophores: Generation and utility assessment in computational ligand profiling. J. Chem. Inf. Model. 52, 943–955. </w:t>
      </w:r>
      <w:hyperlink r:id="rId31" w:history="1">
        <w:r w:rsidRPr="008465D3">
          <w:rPr>
            <w:rStyle w:val="Hyperlink"/>
            <w:rFonts w:ascii="Arial" w:hAnsi="Arial" w:cs="Arial"/>
            <w:color w:val="auto"/>
            <w:sz w:val="20"/>
          </w:rPr>
          <w:t>https://doi.org/10.1021/ci300083r</w:t>
        </w:r>
      </w:hyperlink>
    </w:p>
    <w:p w:rsidR="0084399E" w:rsidRPr="008465D3" w:rsidRDefault="0084399E" w:rsidP="000E44A7">
      <w:pPr>
        <w:jc w:val="both"/>
        <w:rPr>
          <w:rFonts w:ascii="Arial" w:hAnsi="Arial" w:cs="Arial"/>
          <w:bCs/>
          <w:sz w:val="20"/>
        </w:rPr>
      </w:pPr>
    </w:p>
    <w:sectPr w:rsidR="0084399E" w:rsidRPr="008465D3" w:rsidSect="00043421">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817" w:rsidRDefault="00C83817" w:rsidP="00145BC7">
      <w:pPr>
        <w:spacing w:after="0" w:line="240" w:lineRule="auto"/>
      </w:pPr>
      <w:r>
        <w:separator/>
      </w:r>
    </w:p>
  </w:endnote>
  <w:endnote w:type="continuationSeparator" w:id="0">
    <w:p w:rsidR="00C83817" w:rsidRDefault="00C83817" w:rsidP="00145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145B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145B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145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817" w:rsidRDefault="00C83817" w:rsidP="00145BC7">
      <w:pPr>
        <w:spacing w:after="0" w:line="240" w:lineRule="auto"/>
      </w:pPr>
      <w:r>
        <w:separator/>
      </w:r>
    </w:p>
  </w:footnote>
  <w:footnote w:type="continuationSeparator" w:id="0">
    <w:p w:rsidR="00C83817" w:rsidRDefault="00C83817" w:rsidP="00145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D96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D96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BC7" w:rsidRDefault="00D96A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580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6822"/>
    <w:multiLevelType w:val="hybridMultilevel"/>
    <w:tmpl w:val="5E4CE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94AC0"/>
    <w:multiLevelType w:val="hybridMultilevel"/>
    <w:tmpl w:val="B8A64270"/>
    <w:lvl w:ilvl="0" w:tplc="910E3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C7200"/>
    <w:multiLevelType w:val="hybridMultilevel"/>
    <w:tmpl w:val="36301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D9735C"/>
    <w:multiLevelType w:val="hybridMultilevel"/>
    <w:tmpl w:val="BF00121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D8C16FD"/>
    <w:multiLevelType w:val="hybridMultilevel"/>
    <w:tmpl w:val="58320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D5B0E1B"/>
    <w:multiLevelType w:val="hybridMultilevel"/>
    <w:tmpl w:val="4C2A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643794"/>
    <w:multiLevelType w:val="hybridMultilevel"/>
    <w:tmpl w:val="FC8C1E64"/>
    <w:lvl w:ilvl="0" w:tplc="941C82A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216538"/>
    <w:multiLevelType w:val="hybridMultilevel"/>
    <w:tmpl w:val="EA0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6"/>
  </w:num>
  <w:num w:numId="6">
    <w:abstractNumId w:val="4"/>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zMzEyNjI1NjS1sDRU0lEKTi0uzszPAykwrAUAvLVrESwAAAA="/>
  </w:docVars>
  <w:rsids>
    <w:rsidRoot w:val="00D46A2B"/>
    <w:rsid w:val="00007A5A"/>
    <w:rsid w:val="00043421"/>
    <w:rsid w:val="000D485E"/>
    <w:rsid w:val="000E2BF8"/>
    <w:rsid w:val="000E44A7"/>
    <w:rsid w:val="000F5E3A"/>
    <w:rsid w:val="001332E3"/>
    <w:rsid w:val="00145BC7"/>
    <w:rsid w:val="001674D4"/>
    <w:rsid w:val="001855B4"/>
    <w:rsid w:val="00195192"/>
    <w:rsid w:val="001A66DC"/>
    <w:rsid w:val="001B0F77"/>
    <w:rsid w:val="00293C85"/>
    <w:rsid w:val="002A39F7"/>
    <w:rsid w:val="002A4093"/>
    <w:rsid w:val="002D3C50"/>
    <w:rsid w:val="002D7FD8"/>
    <w:rsid w:val="00317FC3"/>
    <w:rsid w:val="00333FB0"/>
    <w:rsid w:val="00375D7E"/>
    <w:rsid w:val="00392BFE"/>
    <w:rsid w:val="003B2CBE"/>
    <w:rsid w:val="003B7E16"/>
    <w:rsid w:val="003D6DE1"/>
    <w:rsid w:val="003E19EA"/>
    <w:rsid w:val="004054A0"/>
    <w:rsid w:val="00411032"/>
    <w:rsid w:val="004217DC"/>
    <w:rsid w:val="0043255D"/>
    <w:rsid w:val="0044182C"/>
    <w:rsid w:val="00455026"/>
    <w:rsid w:val="004810C5"/>
    <w:rsid w:val="00484EAC"/>
    <w:rsid w:val="004B3300"/>
    <w:rsid w:val="00514039"/>
    <w:rsid w:val="00520EDA"/>
    <w:rsid w:val="00550135"/>
    <w:rsid w:val="00563B0F"/>
    <w:rsid w:val="00576078"/>
    <w:rsid w:val="005A5C77"/>
    <w:rsid w:val="005F2BE2"/>
    <w:rsid w:val="00632150"/>
    <w:rsid w:val="00654188"/>
    <w:rsid w:val="0066232A"/>
    <w:rsid w:val="00674E0D"/>
    <w:rsid w:val="006D4968"/>
    <w:rsid w:val="006F6DF7"/>
    <w:rsid w:val="00740C23"/>
    <w:rsid w:val="00781FF0"/>
    <w:rsid w:val="007A0B58"/>
    <w:rsid w:val="0084399E"/>
    <w:rsid w:val="008439EC"/>
    <w:rsid w:val="00845D1A"/>
    <w:rsid w:val="008465D3"/>
    <w:rsid w:val="008619C2"/>
    <w:rsid w:val="00872ADE"/>
    <w:rsid w:val="008F419D"/>
    <w:rsid w:val="009739C6"/>
    <w:rsid w:val="00995B84"/>
    <w:rsid w:val="009E18D1"/>
    <w:rsid w:val="00A10175"/>
    <w:rsid w:val="00AA0BA0"/>
    <w:rsid w:val="00AD0F1B"/>
    <w:rsid w:val="00AF14FC"/>
    <w:rsid w:val="00AF736B"/>
    <w:rsid w:val="00B1590F"/>
    <w:rsid w:val="00B17BD7"/>
    <w:rsid w:val="00B34313"/>
    <w:rsid w:val="00B361B8"/>
    <w:rsid w:val="00B61E82"/>
    <w:rsid w:val="00B82C5B"/>
    <w:rsid w:val="00B92164"/>
    <w:rsid w:val="00C66DDF"/>
    <w:rsid w:val="00C730BB"/>
    <w:rsid w:val="00C83817"/>
    <w:rsid w:val="00C96CB3"/>
    <w:rsid w:val="00D10DB0"/>
    <w:rsid w:val="00D4562F"/>
    <w:rsid w:val="00D46A2B"/>
    <w:rsid w:val="00D96A0B"/>
    <w:rsid w:val="00DC6267"/>
    <w:rsid w:val="00DE0347"/>
    <w:rsid w:val="00DF0AC2"/>
    <w:rsid w:val="00E04E8E"/>
    <w:rsid w:val="00E2129D"/>
    <w:rsid w:val="00E5276A"/>
    <w:rsid w:val="00F57E69"/>
    <w:rsid w:val="00FD1691"/>
    <w:rsid w:val="00FD7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0D378"/>
  <w15:docId w15:val="{CCE07DC7-705C-4483-9F23-C142BFFF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421"/>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0347"/>
    <w:pPr>
      <w:ind w:left="720"/>
      <w:contextualSpacing/>
    </w:pPr>
  </w:style>
  <w:style w:type="character" w:styleId="Strong">
    <w:name w:val="Strong"/>
    <w:basedOn w:val="DefaultParagraphFont"/>
    <w:uiPriority w:val="22"/>
    <w:qFormat/>
    <w:rsid w:val="003B7E16"/>
    <w:rPr>
      <w:b/>
      <w:bCs/>
    </w:rPr>
  </w:style>
  <w:style w:type="table" w:styleId="TableGrid">
    <w:name w:val="Table Grid"/>
    <w:basedOn w:val="TableNormal"/>
    <w:uiPriority w:val="39"/>
    <w:rsid w:val="00411032"/>
    <w:pPr>
      <w:spacing w:after="0" w:line="240" w:lineRule="auto"/>
    </w:pPr>
    <w:rPr>
      <w:szCs w:val="22"/>
      <w:lang w:val="en-I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2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3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3D6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43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093"/>
    <w:rPr>
      <w:color w:val="0563C1" w:themeColor="hyperlink"/>
      <w:u w:val="single"/>
    </w:rPr>
  </w:style>
  <w:style w:type="paragraph" w:styleId="BalloonText">
    <w:name w:val="Balloon Text"/>
    <w:basedOn w:val="Normal"/>
    <w:link w:val="BalloonTextChar"/>
    <w:uiPriority w:val="99"/>
    <w:semiHidden/>
    <w:unhideWhenUsed/>
    <w:rsid w:val="00D4562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4562F"/>
    <w:rPr>
      <w:rFonts w:ascii="Tahoma" w:hAnsi="Tahoma" w:cs="Mangal"/>
      <w:sz w:val="16"/>
      <w:szCs w:val="14"/>
    </w:rPr>
  </w:style>
  <w:style w:type="character" w:styleId="Emphasis">
    <w:name w:val="Emphasis"/>
    <w:basedOn w:val="DefaultParagraphFont"/>
    <w:uiPriority w:val="20"/>
    <w:qFormat/>
    <w:rsid w:val="00F57E69"/>
    <w:rPr>
      <w:i/>
      <w:iCs/>
    </w:rPr>
  </w:style>
  <w:style w:type="character" w:customStyle="1" w:styleId="UnresolvedMention1">
    <w:name w:val="Unresolved Mention1"/>
    <w:basedOn w:val="DefaultParagraphFont"/>
    <w:uiPriority w:val="99"/>
    <w:semiHidden/>
    <w:unhideWhenUsed/>
    <w:rsid w:val="00563B0F"/>
    <w:rPr>
      <w:color w:val="605E5C"/>
      <w:shd w:val="clear" w:color="auto" w:fill="E1DFDD"/>
    </w:rPr>
  </w:style>
  <w:style w:type="paragraph" w:styleId="Header">
    <w:name w:val="header"/>
    <w:basedOn w:val="Normal"/>
    <w:link w:val="HeaderChar"/>
    <w:uiPriority w:val="99"/>
    <w:unhideWhenUsed/>
    <w:rsid w:val="00145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BC7"/>
    <w:rPr>
      <w:rFonts w:cs="Mangal"/>
    </w:rPr>
  </w:style>
  <w:style w:type="paragraph" w:styleId="Footer">
    <w:name w:val="footer"/>
    <w:basedOn w:val="Normal"/>
    <w:link w:val="FooterChar"/>
    <w:uiPriority w:val="99"/>
    <w:unhideWhenUsed/>
    <w:rsid w:val="00145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BC7"/>
    <w:rPr>
      <w:rFonts w:cs="Mangal"/>
    </w:rPr>
  </w:style>
  <w:style w:type="paragraph" w:styleId="NoSpacing">
    <w:name w:val="No Spacing"/>
    <w:uiPriority w:val="1"/>
    <w:qFormat/>
    <w:rsid w:val="00B34313"/>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69857/joapr.v13i2.1008" TargetMode="External"/><Relationship Id="rId18" Type="http://schemas.openxmlformats.org/officeDocument/2006/relationships/hyperlink" Target="https://doi.org/10.1097/jto.0b013e318283558e" TargetMode="External"/><Relationship Id="rId26" Type="http://schemas.openxmlformats.org/officeDocument/2006/relationships/hyperlink" Target="https://doi.org/10.12688/f1000research.127347.1" TargetMode="External"/><Relationship Id="rId39" Type="http://schemas.openxmlformats.org/officeDocument/2006/relationships/theme" Target="theme/theme1.xml"/><Relationship Id="rId21" Type="http://schemas.openxmlformats.org/officeDocument/2006/relationships/hyperlink" Target="http://www.sciencedirect.com/science/article/pii/S1740674904000551" TargetMode="External"/><Relationship Id="rId34" Type="http://schemas.openxmlformats.org/officeDocument/2006/relationships/footer" Target="footer1.xml"/><Relationship Id="rId7" Type="http://schemas.openxmlformats.org/officeDocument/2006/relationships/hyperlink" Target="https://preadmet.webservice.bmdrc.org/" TargetMode="External"/><Relationship Id="rId12" Type="http://schemas.openxmlformats.org/officeDocument/2006/relationships/image" Target="media/image3.png"/><Relationship Id="rId17" Type="http://schemas.openxmlformats.org/officeDocument/2006/relationships/hyperlink" Target="https://doi.org/10.1093/annonc/mdr489" TargetMode="External"/><Relationship Id="rId25" Type="http://schemas.openxmlformats.org/officeDocument/2006/relationships/hyperlink" Target="http://molexus.io/mvd-feature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26/science.1073096" TargetMode="External"/><Relationship Id="rId20" Type="http://schemas.openxmlformats.org/officeDocument/2006/relationships/hyperlink" Target="https://doi.org/10.3390/cancers15102721" TargetMode="External"/><Relationship Id="rId29" Type="http://schemas.openxmlformats.org/officeDocument/2006/relationships/hyperlink" Target="https://doi.org/10.1038/s41586-020-201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doi.org/10.2174/157340911795677602"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56/NEJMoa040938" TargetMode="External"/><Relationship Id="rId23" Type="http://schemas.openxmlformats.org/officeDocument/2006/relationships/hyperlink" Target="https://doi.org/10.36468/pharmaceutical-sciences.1031" TargetMode="External"/><Relationship Id="rId28" Type="http://schemas.openxmlformats.org/officeDocument/2006/relationships/hyperlink" Target="https://doi.org/10.3390/ph17070830" TargetMode="External"/><Relationship Id="rId36"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yperlink" Target="https://my.clevelandclinic.org/health/treatments/24984-tyrosine-kinase-inhibitors" TargetMode="External"/><Relationship Id="rId31" Type="http://schemas.openxmlformats.org/officeDocument/2006/relationships/hyperlink" Target="https://doi.org/10.1021/ci300083r" TargetMode="Externa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1016/j.ccm.2011.08.003" TargetMode="External"/><Relationship Id="rId22" Type="http://schemas.openxmlformats.org/officeDocument/2006/relationships/hyperlink" Target="https://www.molinspiration.com/about.html" TargetMode="External"/><Relationship Id="rId27" Type="http://schemas.openxmlformats.org/officeDocument/2006/relationships/hyperlink" Target="https://doi.org/10.1016/j.addr.2016.05.007" TargetMode="External"/><Relationship Id="rId30" Type="http://schemas.openxmlformats.org/officeDocument/2006/relationships/hyperlink" Target="https://doi.org/10.1016/j.apsb.2022.02.002" TargetMode="External"/><Relationship Id="rId35" Type="http://schemas.openxmlformats.org/officeDocument/2006/relationships/footer" Target="footer2.xml"/><Relationship Id="rId8" Type="http://schemas.openxmlformats.org/officeDocument/2006/relationships/hyperlink" Target="https://www.molinspiration.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12</Pages>
  <Words>5375</Words>
  <Characters>30643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dc:creator>
  <cp:keywords/>
  <dc:description/>
  <cp:lastModifiedBy>SDI PC New 16</cp:lastModifiedBy>
  <cp:revision>53</cp:revision>
  <dcterms:created xsi:type="dcterms:W3CDTF">2026-01-23T09:36:00Z</dcterms:created>
  <dcterms:modified xsi:type="dcterms:W3CDTF">2026-02-04T07:42:00Z</dcterms:modified>
</cp:coreProperties>
</file>