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5040C" w14:textId="26C40C5B" w:rsidR="00282636" w:rsidRPr="00FE7B67" w:rsidRDefault="001051B5" w:rsidP="00FE7B67">
      <w:pPr>
        <w:spacing w:after="0" w:line="360" w:lineRule="auto"/>
        <w:jc w:val="center"/>
        <w:rPr>
          <w:rFonts w:ascii="Times New Roman" w:hAnsi="Times New Roman" w:cs="Times New Roman"/>
          <w:b/>
          <w:sz w:val="28"/>
          <w:szCs w:val="28"/>
        </w:rPr>
      </w:pPr>
      <w:proofErr w:type="spellStart"/>
      <w:r w:rsidRPr="001051B5">
        <w:rPr>
          <w:rFonts w:ascii="Times New Roman" w:hAnsi="Times New Roman" w:cs="Times New Roman"/>
          <w:b/>
          <w:sz w:val="28"/>
          <w:szCs w:val="28"/>
        </w:rPr>
        <w:t>Spatio</w:t>
      </w:r>
      <w:proofErr w:type="spellEnd"/>
      <w:r w:rsidR="009B658E">
        <w:rPr>
          <w:rFonts w:ascii="Times New Roman" w:hAnsi="Times New Roman" w:cs="Times New Roman"/>
          <w:b/>
          <w:sz w:val="28"/>
          <w:szCs w:val="28"/>
        </w:rPr>
        <w:t>-</w:t>
      </w:r>
      <w:r w:rsidRPr="001051B5">
        <w:rPr>
          <w:rFonts w:ascii="Times New Roman" w:hAnsi="Times New Roman" w:cs="Times New Roman"/>
          <w:b/>
          <w:sz w:val="28"/>
          <w:szCs w:val="28"/>
        </w:rPr>
        <w:t xml:space="preserve">Temporal Soil Quality Dynamics </w:t>
      </w:r>
      <w:r w:rsidR="004D7634">
        <w:rPr>
          <w:rFonts w:ascii="Times New Roman" w:hAnsi="Times New Roman" w:cs="Times New Roman"/>
          <w:b/>
          <w:sz w:val="28"/>
          <w:szCs w:val="28"/>
        </w:rPr>
        <w:t>of</w:t>
      </w:r>
      <w:r w:rsidR="004A02A4">
        <w:rPr>
          <w:rFonts w:ascii="Times New Roman" w:hAnsi="Times New Roman" w:cs="Times New Roman"/>
          <w:b/>
          <w:sz w:val="28"/>
          <w:szCs w:val="28"/>
        </w:rPr>
        <w:t xml:space="preserve"> </w:t>
      </w:r>
      <w:r w:rsidR="00671018">
        <w:rPr>
          <w:rFonts w:ascii="Times New Roman" w:hAnsi="Times New Roman" w:cs="Times New Roman"/>
          <w:b/>
          <w:sz w:val="28"/>
          <w:szCs w:val="28"/>
        </w:rPr>
        <w:t>As</w:t>
      </w:r>
      <w:r w:rsidR="00EA05AB">
        <w:rPr>
          <w:rFonts w:ascii="Times New Roman" w:hAnsi="Times New Roman" w:cs="Times New Roman"/>
          <w:b/>
          <w:sz w:val="28"/>
          <w:szCs w:val="28"/>
        </w:rPr>
        <w:t>h</w:t>
      </w:r>
      <w:r w:rsidR="00671018">
        <w:rPr>
          <w:rFonts w:ascii="Times New Roman" w:hAnsi="Times New Roman" w:cs="Times New Roman"/>
          <w:b/>
          <w:sz w:val="28"/>
          <w:szCs w:val="28"/>
        </w:rPr>
        <w:t>tamudi</w:t>
      </w:r>
      <w:r w:rsidR="00EA05AB">
        <w:rPr>
          <w:rFonts w:ascii="Times New Roman" w:hAnsi="Times New Roman" w:cs="Times New Roman"/>
          <w:b/>
          <w:sz w:val="28"/>
          <w:szCs w:val="28"/>
        </w:rPr>
        <w:t>: A Tropical</w:t>
      </w:r>
      <w:r w:rsidRPr="001051B5">
        <w:rPr>
          <w:rFonts w:ascii="Times New Roman" w:hAnsi="Times New Roman" w:cs="Times New Roman"/>
          <w:b/>
          <w:sz w:val="28"/>
          <w:szCs w:val="28"/>
        </w:rPr>
        <w:t xml:space="preserve"> Ramsar Wetland</w:t>
      </w:r>
      <w:r w:rsidR="00C35470">
        <w:rPr>
          <w:rFonts w:ascii="Times New Roman" w:hAnsi="Times New Roman" w:cs="Times New Roman"/>
          <w:b/>
          <w:sz w:val="28"/>
          <w:szCs w:val="28"/>
        </w:rPr>
        <w:t>, India</w:t>
      </w:r>
    </w:p>
    <w:p w14:paraId="584FC9AC" w14:textId="77777777" w:rsidR="00A16512" w:rsidRDefault="00A16512" w:rsidP="003477B0">
      <w:pPr>
        <w:spacing w:after="0" w:line="360" w:lineRule="auto"/>
        <w:jc w:val="both"/>
        <w:rPr>
          <w:rFonts w:ascii="Times New Roman" w:hAnsi="Times New Roman" w:cs="Times New Roman"/>
          <w:b/>
          <w:bCs/>
          <w:sz w:val="24"/>
          <w:szCs w:val="24"/>
          <w:lang w:val="en-IN"/>
        </w:rPr>
      </w:pPr>
    </w:p>
    <w:p w14:paraId="6C37EBA5" w14:textId="04EECD8A" w:rsidR="003477B0" w:rsidRPr="003477B0" w:rsidRDefault="003477B0" w:rsidP="003477B0">
      <w:pPr>
        <w:spacing w:after="0" w:line="360" w:lineRule="auto"/>
        <w:jc w:val="both"/>
        <w:rPr>
          <w:rFonts w:ascii="Times New Roman" w:hAnsi="Times New Roman" w:cs="Times New Roman"/>
          <w:b/>
          <w:bCs/>
          <w:sz w:val="24"/>
          <w:szCs w:val="24"/>
          <w:lang w:val="en-IN"/>
        </w:rPr>
      </w:pPr>
      <w:r w:rsidRPr="003477B0">
        <w:rPr>
          <w:rFonts w:ascii="Times New Roman" w:hAnsi="Times New Roman" w:cs="Times New Roman"/>
          <w:b/>
          <w:bCs/>
          <w:sz w:val="24"/>
          <w:szCs w:val="24"/>
          <w:lang w:val="en-IN"/>
        </w:rPr>
        <w:t>Abstract</w:t>
      </w:r>
    </w:p>
    <w:p w14:paraId="2E92EC9A" w14:textId="5AB72289" w:rsidR="00EA05AB" w:rsidRPr="00EA05AB" w:rsidRDefault="00EA05AB" w:rsidP="00EA05AB">
      <w:pPr>
        <w:spacing w:after="0" w:line="360" w:lineRule="auto"/>
        <w:jc w:val="both"/>
        <w:rPr>
          <w:rFonts w:ascii="Times New Roman" w:hAnsi="Times New Roman" w:cs="Times New Roman"/>
          <w:sz w:val="24"/>
          <w:szCs w:val="24"/>
          <w:lang w:val="en-IN"/>
        </w:rPr>
      </w:pPr>
      <w:r w:rsidRPr="00EA05AB">
        <w:rPr>
          <w:rFonts w:ascii="Times New Roman" w:hAnsi="Times New Roman" w:cs="Times New Roman"/>
          <w:sz w:val="24"/>
          <w:szCs w:val="24"/>
          <w:lang w:val="en-IN"/>
        </w:rPr>
        <w:t xml:space="preserve">This study presents a </w:t>
      </w:r>
      <w:proofErr w:type="spellStart"/>
      <w:r w:rsidRPr="00EA05AB">
        <w:rPr>
          <w:rFonts w:ascii="Times New Roman" w:hAnsi="Times New Roman" w:cs="Times New Roman"/>
          <w:sz w:val="24"/>
          <w:szCs w:val="24"/>
          <w:lang w:val="en-IN"/>
        </w:rPr>
        <w:t>spatio</w:t>
      </w:r>
      <w:proofErr w:type="spellEnd"/>
      <w:r w:rsidRPr="00EA05AB">
        <w:rPr>
          <w:rFonts w:ascii="Times New Roman" w:hAnsi="Times New Roman" w:cs="Times New Roman"/>
          <w:sz w:val="24"/>
          <w:szCs w:val="24"/>
          <w:lang w:val="en-IN"/>
        </w:rPr>
        <w:t xml:space="preserve">-temporal assessment of soil nutrient dynamics across five representative </w:t>
      </w:r>
      <w:r>
        <w:rPr>
          <w:rFonts w:ascii="Times New Roman" w:hAnsi="Times New Roman" w:cs="Times New Roman"/>
          <w:sz w:val="24"/>
          <w:szCs w:val="24"/>
          <w:lang w:val="en-IN"/>
        </w:rPr>
        <w:t>eco</w:t>
      </w:r>
      <w:r w:rsidRPr="00EA05AB">
        <w:rPr>
          <w:rFonts w:ascii="Times New Roman" w:hAnsi="Times New Roman" w:cs="Times New Roman"/>
          <w:sz w:val="24"/>
          <w:szCs w:val="24"/>
          <w:lang w:val="en-IN"/>
        </w:rPr>
        <w:t xml:space="preserve">sites of Ashtamudi Lake, a tropical Ramsar-designated estuarine wetland on the southwest coast of India. Seasonal soil sampling was conducted during pre-monsoon, monsoon, and post-monsoon periods (2023–2024) at </w:t>
      </w:r>
      <w:proofErr w:type="spellStart"/>
      <w:r w:rsidRPr="00EA05AB">
        <w:rPr>
          <w:rFonts w:ascii="Times New Roman" w:hAnsi="Times New Roman" w:cs="Times New Roman"/>
          <w:sz w:val="24"/>
          <w:szCs w:val="24"/>
          <w:lang w:val="en-IN"/>
        </w:rPr>
        <w:t>Neendakara</w:t>
      </w:r>
      <w:proofErr w:type="spellEnd"/>
      <w:r w:rsidRPr="00EA05AB">
        <w:rPr>
          <w:rFonts w:ascii="Times New Roman" w:hAnsi="Times New Roman" w:cs="Times New Roman"/>
          <w:sz w:val="24"/>
          <w:szCs w:val="24"/>
          <w:lang w:val="en-IN"/>
        </w:rPr>
        <w:t xml:space="preserve">, </w:t>
      </w:r>
      <w:proofErr w:type="spellStart"/>
      <w:r w:rsidRPr="00EA05AB">
        <w:rPr>
          <w:rFonts w:ascii="Times New Roman" w:hAnsi="Times New Roman" w:cs="Times New Roman"/>
          <w:sz w:val="24"/>
          <w:szCs w:val="24"/>
          <w:lang w:val="en-IN"/>
        </w:rPr>
        <w:t>Puthenthuruthu</w:t>
      </w:r>
      <w:proofErr w:type="spellEnd"/>
      <w:r w:rsidRPr="00EA05AB">
        <w:rPr>
          <w:rFonts w:ascii="Times New Roman" w:hAnsi="Times New Roman" w:cs="Times New Roman"/>
          <w:sz w:val="24"/>
          <w:szCs w:val="24"/>
          <w:lang w:val="en-IN"/>
        </w:rPr>
        <w:t xml:space="preserve">, </w:t>
      </w:r>
      <w:proofErr w:type="spellStart"/>
      <w:r w:rsidRPr="00EA05AB">
        <w:rPr>
          <w:rFonts w:ascii="Times New Roman" w:hAnsi="Times New Roman" w:cs="Times New Roman"/>
          <w:sz w:val="24"/>
          <w:szCs w:val="24"/>
          <w:lang w:val="en-IN"/>
        </w:rPr>
        <w:t>Asramam</w:t>
      </w:r>
      <w:proofErr w:type="spellEnd"/>
      <w:r w:rsidRPr="00EA05AB">
        <w:rPr>
          <w:rFonts w:ascii="Times New Roman" w:hAnsi="Times New Roman" w:cs="Times New Roman"/>
          <w:sz w:val="24"/>
          <w:szCs w:val="24"/>
          <w:lang w:val="en-IN"/>
        </w:rPr>
        <w:t xml:space="preserve">, </w:t>
      </w:r>
      <w:proofErr w:type="spellStart"/>
      <w:r w:rsidRPr="00EA05AB">
        <w:rPr>
          <w:rFonts w:ascii="Times New Roman" w:hAnsi="Times New Roman" w:cs="Times New Roman"/>
          <w:sz w:val="24"/>
          <w:szCs w:val="24"/>
          <w:lang w:val="en-IN"/>
        </w:rPr>
        <w:t>Kidapram</w:t>
      </w:r>
      <w:proofErr w:type="spellEnd"/>
      <w:r w:rsidRPr="00EA05AB">
        <w:rPr>
          <w:rFonts w:ascii="Times New Roman" w:hAnsi="Times New Roman" w:cs="Times New Roman"/>
          <w:sz w:val="24"/>
          <w:szCs w:val="24"/>
          <w:lang w:val="en-IN"/>
        </w:rPr>
        <w:t xml:space="preserve">, and </w:t>
      </w:r>
      <w:proofErr w:type="spellStart"/>
      <w:r w:rsidRPr="00EA05AB">
        <w:rPr>
          <w:rFonts w:ascii="Times New Roman" w:hAnsi="Times New Roman" w:cs="Times New Roman"/>
          <w:sz w:val="24"/>
          <w:szCs w:val="24"/>
          <w:lang w:val="en-IN"/>
        </w:rPr>
        <w:t>Cherikadavu</w:t>
      </w:r>
      <w:proofErr w:type="spellEnd"/>
      <w:r w:rsidRPr="00EA05AB">
        <w:rPr>
          <w:rFonts w:ascii="Times New Roman" w:hAnsi="Times New Roman" w:cs="Times New Roman"/>
          <w:sz w:val="24"/>
          <w:szCs w:val="24"/>
          <w:lang w:val="en-IN"/>
        </w:rPr>
        <w:t>. Key soil physicochemical parameters, including pH, electrical conductivity, organic carbon, and available nitrogen, phosphorus, and potassium, were analysed using standard methods. Statistical evaluation involved descriptive analysis, two-way ANOVA, Tukey HSD post-hoc tests, Pearson correlation, Principal Component Analysis (PCA), and development of a Soil Quality Index (SQI). Results revealed significant spatial and temporal variation in all soil parameters, with strong effects of season, site, and their interaction. Post-monsoon periods showed enhanced organic carbon and improved soil quality, while monsoon conditions were characterized by episodic nutrient enrichment, particularly phosphorus. PCA identified organic carbon, potassium, pH, and electrical conductivity as dominant drivers of soil quality variability, with the first two components explaining approximately 59% of the total variance. SQI values ranged from moderate to good (0.52–0.74), with consistently higher scores during the post-monsoon season. These findings provide a scientifically robust baseline for Ramsar site monitoring, nutrient management, and conservation planning, supporting sustainable ecosystem management of tropical estuarine wetlands.</w:t>
      </w:r>
    </w:p>
    <w:p w14:paraId="308E7572" w14:textId="37FAB081" w:rsidR="00EA05AB" w:rsidRPr="00EA05AB" w:rsidRDefault="003477B0" w:rsidP="00EA05AB">
      <w:pPr>
        <w:pStyle w:val="NormalWeb"/>
        <w:spacing w:before="0" w:beforeAutospacing="0" w:after="0" w:afterAutospacing="0" w:line="360" w:lineRule="auto"/>
        <w:jc w:val="both"/>
        <w:rPr>
          <w:bCs/>
        </w:rPr>
      </w:pPr>
      <w:r w:rsidRPr="003477B0">
        <w:rPr>
          <w:b/>
          <w:bCs/>
        </w:rPr>
        <w:t>Keywords</w:t>
      </w:r>
      <w:r>
        <w:rPr>
          <w:b/>
          <w:bCs/>
        </w:rPr>
        <w:t xml:space="preserve">: </w:t>
      </w:r>
      <w:r w:rsidRPr="00EA05AB">
        <w:t>Nutrient Dynamics</w:t>
      </w:r>
      <w:r w:rsidR="00EA05AB">
        <w:t>,</w:t>
      </w:r>
      <w:r w:rsidRPr="00EA05AB">
        <w:t xml:space="preserve"> Ramsar Wetland</w:t>
      </w:r>
      <w:r w:rsidR="00EA05AB">
        <w:t>,</w:t>
      </w:r>
      <w:r w:rsidRPr="00EA05AB">
        <w:t xml:space="preserve"> Seasonal Variability</w:t>
      </w:r>
      <w:r w:rsidR="00EA05AB" w:rsidRPr="00EA05AB">
        <w:t xml:space="preserve">, </w:t>
      </w:r>
      <w:r w:rsidR="00EA05AB" w:rsidRPr="00EA05AB">
        <w:rPr>
          <w:bCs/>
        </w:rPr>
        <w:t>Estuarine wetland, Monsoonal influence</w:t>
      </w:r>
      <w:r w:rsidR="00EA05AB">
        <w:rPr>
          <w:bCs/>
        </w:rPr>
        <w:t>,</w:t>
      </w:r>
      <w:r w:rsidR="00EA05AB" w:rsidRPr="00EA05AB">
        <w:t xml:space="preserve"> Soil Quality Index</w:t>
      </w:r>
    </w:p>
    <w:p w14:paraId="179D68BA" w14:textId="2E1B155F" w:rsidR="00890979" w:rsidRPr="00BD7DA7" w:rsidRDefault="00DA5B60" w:rsidP="00EA05AB">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 </w:t>
      </w:r>
      <w:r w:rsidR="00890979" w:rsidRPr="00BD7DA7">
        <w:rPr>
          <w:rFonts w:ascii="Times New Roman" w:hAnsi="Times New Roman" w:cs="Times New Roman"/>
          <w:b/>
          <w:bCs/>
          <w:sz w:val="24"/>
          <w:szCs w:val="24"/>
          <w:lang w:val="en-IN"/>
        </w:rPr>
        <w:t>Introduction</w:t>
      </w:r>
    </w:p>
    <w:p w14:paraId="0CC7616C" w14:textId="5A063BA0" w:rsidR="00890979" w:rsidRDefault="00890979" w:rsidP="00EA05AB">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lang w:val="en-IN"/>
        </w:rPr>
        <w:t xml:space="preserve">Wetland ecosystems are among the most productive and ecologically significant landscapes, playing a critical role in nutrient cycling, carbon sequestration, water purification, and biodiversity conservation (Mitsch &amp; Gosselink, 2015; Reddy &amp; </w:t>
      </w:r>
      <w:proofErr w:type="spellStart"/>
      <w:r w:rsidRPr="00BD7DA7">
        <w:rPr>
          <w:rFonts w:ascii="Times New Roman" w:hAnsi="Times New Roman" w:cs="Times New Roman"/>
          <w:bCs/>
          <w:sz w:val="24"/>
          <w:szCs w:val="24"/>
          <w:lang w:val="en-IN"/>
        </w:rPr>
        <w:t>DeLaune</w:t>
      </w:r>
      <w:proofErr w:type="spellEnd"/>
      <w:r w:rsidRPr="00BD7DA7">
        <w:rPr>
          <w:rFonts w:ascii="Times New Roman" w:hAnsi="Times New Roman" w:cs="Times New Roman"/>
          <w:bCs/>
          <w:sz w:val="24"/>
          <w:szCs w:val="24"/>
          <w:lang w:val="en-IN"/>
        </w:rPr>
        <w:t xml:space="preserve">, 2008). Soil acts as a fundamental component of wetland functioning, regulating biogeochemical processes, plant productivity, and ecosystem resilience through its physicochemical and nutrient characteristics (Brady &amp; Weil, 2017; </w:t>
      </w:r>
      <w:r w:rsidR="006B78B4" w:rsidRPr="00BD7DA7">
        <w:rPr>
          <w:rFonts w:ascii="Times New Roman" w:hAnsi="Times New Roman" w:cs="Times New Roman"/>
          <w:bCs/>
          <w:sz w:val="24"/>
          <w:szCs w:val="24"/>
        </w:rPr>
        <w:t>Oviedo</w:t>
      </w:r>
      <w:r w:rsidRPr="00BD7DA7">
        <w:rPr>
          <w:rFonts w:ascii="Times New Roman" w:hAnsi="Times New Roman" w:cs="Times New Roman"/>
          <w:bCs/>
          <w:sz w:val="24"/>
          <w:szCs w:val="24"/>
          <w:lang w:val="en-IN"/>
        </w:rPr>
        <w:t>,</w:t>
      </w:r>
      <w:r w:rsidR="006B78B4" w:rsidRPr="00BD7DA7">
        <w:rPr>
          <w:rFonts w:ascii="Times New Roman" w:hAnsi="Times New Roman" w:cs="Times New Roman"/>
          <w:bCs/>
          <w:sz w:val="24"/>
          <w:szCs w:val="24"/>
          <w:lang w:val="en-IN"/>
        </w:rPr>
        <w:t xml:space="preserve"> et al.,</w:t>
      </w:r>
      <w:r w:rsidRPr="00BD7DA7">
        <w:rPr>
          <w:rFonts w:ascii="Times New Roman" w:hAnsi="Times New Roman" w:cs="Times New Roman"/>
          <w:bCs/>
          <w:sz w:val="24"/>
          <w:szCs w:val="24"/>
          <w:lang w:val="en-IN"/>
        </w:rPr>
        <w:t xml:space="preserve"> 2024). In tropical estuarine wetlands, soil properties are particularly dynamic due to strong seasonal hydrological forcing, tidal exchange, sediment </w:t>
      </w:r>
      <w:r w:rsidRPr="00BD7DA7">
        <w:rPr>
          <w:rFonts w:ascii="Times New Roman" w:hAnsi="Times New Roman" w:cs="Times New Roman"/>
          <w:bCs/>
          <w:sz w:val="24"/>
          <w:szCs w:val="24"/>
          <w:lang w:val="en-IN"/>
        </w:rPr>
        <w:lastRenderedPageBreak/>
        <w:t>deposition, and anthropogenic pressures, leading to pronounced spatial and temporal heterogeneity in soil quality (Li et al., 2024; Zhang et al., 2022). Seasonal monsoonal rainfall further amplifies variability in soil pH, electrical conductivity, organic carbon, and nutrient availability through leaching, runoff-driven enrichment, and organic matter accumulation, making season-wise assessment essential for understanding wetland soil processes</w:t>
      </w:r>
      <w:r w:rsidR="00CA3A5A">
        <w:rPr>
          <w:rFonts w:ascii="Times New Roman" w:hAnsi="Times New Roman" w:cs="Times New Roman"/>
          <w:bCs/>
          <w:sz w:val="24"/>
          <w:szCs w:val="24"/>
          <w:lang w:val="en-IN"/>
        </w:rPr>
        <w:t xml:space="preserve"> (</w:t>
      </w:r>
      <w:r w:rsidR="00CA3A5A" w:rsidRPr="00BD7DA7">
        <w:rPr>
          <w:rFonts w:ascii="Times New Roman" w:hAnsi="Times New Roman" w:cs="Times New Roman"/>
          <w:sz w:val="24"/>
          <w:szCs w:val="24"/>
        </w:rPr>
        <w:t>Devi et al., 2024</w:t>
      </w:r>
      <w:r w:rsidR="00CA3A5A">
        <w:rPr>
          <w:rFonts w:ascii="Times New Roman" w:hAnsi="Times New Roman" w:cs="Times New Roman"/>
          <w:sz w:val="24"/>
          <w:szCs w:val="24"/>
        </w:rPr>
        <w:t>;</w:t>
      </w:r>
      <w:r w:rsidR="00CA3A5A" w:rsidRPr="00CA3A5A">
        <w:rPr>
          <w:rFonts w:ascii="Times New Roman" w:hAnsi="Times New Roman" w:cs="Times New Roman"/>
          <w:sz w:val="24"/>
          <w:szCs w:val="24"/>
        </w:rPr>
        <w:t xml:space="preserve"> </w:t>
      </w:r>
      <w:r w:rsidR="00CA3A5A" w:rsidRPr="00BD7DA7">
        <w:rPr>
          <w:rFonts w:ascii="Times New Roman" w:hAnsi="Times New Roman" w:cs="Times New Roman"/>
          <w:sz w:val="24"/>
          <w:szCs w:val="24"/>
        </w:rPr>
        <w:t>Selmy</w:t>
      </w:r>
      <w:r w:rsidR="00CA3A5A" w:rsidRPr="00BD7DA7">
        <w:rPr>
          <w:rFonts w:ascii="Times New Roman" w:hAnsi="Times New Roman" w:cs="Times New Roman"/>
          <w:bCs/>
          <w:sz w:val="24"/>
          <w:szCs w:val="24"/>
          <w:lang w:val="en-IN"/>
        </w:rPr>
        <w:t xml:space="preserve"> et al., 2024</w:t>
      </w:r>
      <w:r w:rsidR="00CA3A5A">
        <w:rPr>
          <w:rFonts w:ascii="Times New Roman" w:hAnsi="Times New Roman" w:cs="Times New Roman"/>
          <w:sz w:val="24"/>
          <w:szCs w:val="24"/>
        </w:rPr>
        <w:t>)</w:t>
      </w:r>
      <w:r w:rsidRPr="00BD7DA7">
        <w:rPr>
          <w:rFonts w:ascii="Times New Roman" w:hAnsi="Times New Roman" w:cs="Times New Roman"/>
          <w:bCs/>
          <w:sz w:val="24"/>
          <w:szCs w:val="24"/>
          <w:lang w:val="en-IN"/>
        </w:rPr>
        <w:t>.</w:t>
      </w:r>
      <w:r w:rsidR="006B54CF" w:rsidRPr="00BD7DA7">
        <w:rPr>
          <w:rFonts w:ascii="Times New Roman" w:hAnsi="Times New Roman" w:cs="Times New Roman"/>
          <w:bCs/>
          <w:sz w:val="24"/>
          <w:szCs w:val="24"/>
          <w:lang w:val="en-IN"/>
        </w:rPr>
        <w:t xml:space="preserve"> </w:t>
      </w:r>
      <w:r w:rsidR="00CA3A5A">
        <w:rPr>
          <w:rFonts w:ascii="Times New Roman" w:hAnsi="Times New Roman" w:cs="Times New Roman"/>
          <w:bCs/>
          <w:sz w:val="24"/>
          <w:szCs w:val="24"/>
          <w:lang w:val="en-IN"/>
        </w:rPr>
        <w:t xml:space="preserve"> </w:t>
      </w:r>
      <w:r w:rsidR="00CA3A5A" w:rsidRPr="00412441">
        <w:rPr>
          <w:rFonts w:ascii="Times New Roman" w:hAnsi="Times New Roman" w:cs="Times New Roman"/>
          <w:bCs/>
          <w:sz w:val="24"/>
          <w:szCs w:val="24"/>
        </w:rPr>
        <w:t xml:space="preserve">Despite the ecological importance of Indian Ramsar wetlands, there is a clear lack of ecosite-level, seasonally resolved soil quality assessments that integrate statistical, multivariate, and index-based approaches, limiting process-level understanding and management-oriented interpretation of wetland soil dynamics </w:t>
      </w:r>
      <w:r w:rsidR="00CA3A5A" w:rsidRPr="00BD7DA7">
        <w:rPr>
          <w:rFonts w:ascii="Times New Roman" w:hAnsi="Times New Roman" w:cs="Times New Roman"/>
          <w:bCs/>
          <w:sz w:val="24"/>
          <w:szCs w:val="24"/>
          <w:lang w:val="en-IN"/>
        </w:rPr>
        <w:t>(Kumar &amp; Sharma, 2025)</w:t>
      </w:r>
    </w:p>
    <w:p w14:paraId="57F1190A" w14:textId="75CD91A5" w:rsidR="00890979" w:rsidRPr="00BD7DA7" w:rsidRDefault="00890979"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The Ashtamudi Lake, a Ramsar-designated tropical estuarine wetland on the southwest coast of India, represents a complex socio-ecological system influenced by freshwater inflow, tidal exchange, land-use change, and localized anthropogenic activities</w:t>
      </w:r>
      <w:r w:rsidR="00240195" w:rsidRPr="00BD7DA7">
        <w:rPr>
          <w:rFonts w:ascii="Times New Roman" w:hAnsi="Times New Roman" w:cs="Times New Roman"/>
          <w:bCs/>
          <w:sz w:val="24"/>
          <w:szCs w:val="24"/>
          <w:lang w:val="en-IN"/>
        </w:rPr>
        <w:t xml:space="preserve"> </w:t>
      </w:r>
      <w:r w:rsidR="00875F35" w:rsidRPr="00BD7DA7">
        <w:rPr>
          <w:rFonts w:ascii="Times New Roman" w:hAnsi="Times New Roman" w:cs="Times New Roman"/>
          <w:bCs/>
          <w:sz w:val="24"/>
          <w:szCs w:val="24"/>
          <w:lang w:val="en-IN"/>
        </w:rPr>
        <w:t>(RIS</w:t>
      </w:r>
      <w:r w:rsidR="00C57FD6" w:rsidRPr="00BD7DA7">
        <w:rPr>
          <w:rFonts w:ascii="Times New Roman" w:hAnsi="Times New Roman" w:cs="Times New Roman"/>
          <w:bCs/>
          <w:sz w:val="24"/>
          <w:szCs w:val="24"/>
          <w:lang w:val="en-IN"/>
        </w:rPr>
        <w:t>,</w:t>
      </w:r>
      <w:r w:rsidR="00875F35" w:rsidRPr="00BD7DA7">
        <w:rPr>
          <w:rFonts w:ascii="Times New Roman" w:hAnsi="Times New Roman" w:cs="Times New Roman"/>
          <w:bCs/>
          <w:sz w:val="24"/>
          <w:szCs w:val="24"/>
          <w:lang w:val="en-IN"/>
        </w:rPr>
        <w:t xml:space="preserve"> 2002; </w:t>
      </w:r>
      <w:r w:rsidR="00AB0E9B" w:rsidRPr="00BD7DA7">
        <w:rPr>
          <w:rFonts w:ascii="Times New Roman" w:hAnsi="Times New Roman" w:cs="Times New Roman"/>
          <w:sz w:val="24"/>
          <w:szCs w:val="24"/>
        </w:rPr>
        <w:t>Rajagopal, 2025;</w:t>
      </w:r>
      <w:r w:rsidR="006B54CF" w:rsidRPr="00BD7DA7">
        <w:rPr>
          <w:rFonts w:ascii="Times New Roman" w:hAnsi="Times New Roman" w:cs="Times New Roman"/>
          <w:sz w:val="24"/>
          <w:szCs w:val="24"/>
        </w:rPr>
        <w:t xml:space="preserve"> Alexander, 2025)</w:t>
      </w:r>
      <w:r w:rsidRPr="00BD7DA7">
        <w:rPr>
          <w:rFonts w:ascii="Times New Roman" w:hAnsi="Times New Roman" w:cs="Times New Roman"/>
          <w:bCs/>
          <w:sz w:val="24"/>
          <w:szCs w:val="24"/>
          <w:lang w:val="en-IN"/>
        </w:rPr>
        <w:t>. Despite its ecological and economic importance, comprehensive ecosite-level evaluations of soil quality integrating seasonal dynamics remain limited. Recent studies increasingly advocate the use of integrated statistical and multivariate approaches</w:t>
      </w:r>
      <w:r w:rsidR="00EB60AA"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such as two-way ANOVA, post-hoc tests, correlation analysis, Principal Component Analysis (PCA), and Soil Quality Index (SQI)</w:t>
      </w:r>
      <w:r w:rsidR="00EB60AA"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to effectively capture soil variability and identify dominant controlling factors in heterogeneous wetland environments (Vasu et al., 201</w:t>
      </w:r>
      <w:r w:rsidR="007C6888" w:rsidRPr="00BD7DA7">
        <w:rPr>
          <w:rFonts w:ascii="Times New Roman" w:hAnsi="Times New Roman" w:cs="Times New Roman"/>
          <w:bCs/>
          <w:sz w:val="24"/>
          <w:szCs w:val="24"/>
          <w:lang w:val="en-IN"/>
        </w:rPr>
        <w:t>7</w:t>
      </w:r>
      <w:r w:rsidRPr="00BD7DA7">
        <w:rPr>
          <w:rFonts w:ascii="Times New Roman" w:hAnsi="Times New Roman" w:cs="Times New Roman"/>
          <w:bCs/>
          <w:sz w:val="24"/>
          <w:szCs w:val="24"/>
          <w:lang w:val="en-IN"/>
        </w:rPr>
        <w:t xml:space="preserve">; Zhang et al., 2022; </w:t>
      </w:r>
      <w:proofErr w:type="spellStart"/>
      <w:r w:rsidRPr="00BD7DA7">
        <w:rPr>
          <w:rFonts w:ascii="Times New Roman" w:hAnsi="Times New Roman" w:cs="Times New Roman"/>
          <w:bCs/>
          <w:sz w:val="24"/>
          <w:szCs w:val="24"/>
          <w:lang w:val="en-IN"/>
        </w:rPr>
        <w:t>Shokr</w:t>
      </w:r>
      <w:proofErr w:type="spellEnd"/>
      <w:r w:rsidRPr="00BD7DA7">
        <w:rPr>
          <w:rFonts w:ascii="Times New Roman" w:hAnsi="Times New Roman" w:cs="Times New Roman"/>
          <w:bCs/>
          <w:sz w:val="24"/>
          <w:szCs w:val="24"/>
          <w:lang w:val="en-IN"/>
        </w:rPr>
        <w:t xml:space="preserve"> et al., 2025). In this context, the present study aims to assess the </w:t>
      </w:r>
      <w:proofErr w:type="spellStart"/>
      <w:r w:rsidRPr="00BD7DA7">
        <w:rPr>
          <w:rFonts w:ascii="Times New Roman" w:hAnsi="Times New Roman" w:cs="Times New Roman"/>
          <w:bCs/>
          <w:sz w:val="24"/>
          <w:szCs w:val="24"/>
          <w:lang w:val="en-IN"/>
        </w:rPr>
        <w:t>spatio</w:t>
      </w:r>
      <w:proofErr w:type="spellEnd"/>
      <w:r w:rsidRPr="00BD7DA7">
        <w:rPr>
          <w:rFonts w:ascii="Times New Roman" w:hAnsi="Times New Roman" w:cs="Times New Roman"/>
          <w:bCs/>
          <w:sz w:val="24"/>
          <w:szCs w:val="24"/>
          <w:lang w:val="en-IN"/>
        </w:rPr>
        <w:t>-temporal variability of key soil physicochemical parameters across five representative ecosites of Ashtamudi Lake and to synthesize complex soil information using multivariate techniques and SQI. The findings are expected to provide a scientific baseline for ecosystem monitoring and contribute to sustainable management and conservation planning of tropical Ramsar wetlands.</w:t>
      </w:r>
    </w:p>
    <w:p w14:paraId="47CDCDB0" w14:textId="1D0FA17D" w:rsidR="0099701A" w:rsidRDefault="00DA5B60" w:rsidP="00BD7DA7">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2. </w:t>
      </w:r>
      <w:r w:rsidR="0099701A" w:rsidRPr="00BD7DA7">
        <w:rPr>
          <w:rFonts w:ascii="Times New Roman" w:hAnsi="Times New Roman" w:cs="Times New Roman"/>
          <w:b/>
          <w:bCs/>
          <w:sz w:val="24"/>
          <w:szCs w:val="24"/>
          <w:lang w:val="en-IN"/>
        </w:rPr>
        <w:t>Methodology</w:t>
      </w:r>
    </w:p>
    <w:p w14:paraId="7988A34A" w14:textId="2C4C4A4C" w:rsidR="000D53CC" w:rsidRPr="00412441" w:rsidRDefault="000D53CC" w:rsidP="00BD7DA7">
      <w:pPr>
        <w:spacing w:after="0" w:line="360" w:lineRule="auto"/>
        <w:jc w:val="both"/>
        <w:rPr>
          <w:rFonts w:ascii="Times New Roman" w:hAnsi="Times New Roman" w:cs="Times New Roman"/>
          <w:sz w:val="24"/>
          <w:szCs w:val="24"/>
          <w:lang w:val="en-IN"/>
        </w:rPr>
      </w:pPr>
      <w:r w:rsidRPr="00412441">
        <w:rPr>
          <w:rFonts w:ascii="Times New Roman" w:hAnsi="Times New Roman" w:cs="Times New Roman"/>
          <w:sz w:val="24"/>
          <w:szCs w:val="24"/>
        </w:rPr>
        <w:t xml:space="preserve">The study was conducted in the Ashtamudi Lake, a tropical estuarine wetland located in Kollam district, Kerala, India. Five representative sites - </w:t>
      </w:r>
      <w:proofErr w:type="spellStart"/>
      <w:r w:rsidRPr="00412441">
        <w:rPr>
          <w:rFonts w:ascii="Times New Roman" w:hAnsi="Times New Roman" w:cs="Times New Roman"/>
          <w:sz w:val="24"/>
          <w:szCs w:val="24"/>
        </w:rPr>
        <w:t>Neendakara</w:t>
      </w:r>
      <w:proofErr w:type="spellEnd"/>
      <w:r w:rsidRPr="00412441">
        <w:rPr>
          <w:rFonts w:ascii="Times New Roman" w:hAnsi="Times New Roman" w:cs="Times New Roman"/>
          <w:sz w:val="24"/>
          <w:szCs w:val="24"/>
        </w:rPr>
        <w:t xml:space="preserve">, </w:t>
      </w:r>
      <w:proofErr w:type="spellStart"/>
      <w:r w:rsidRPr="00412441">
        <w:rPr>
          <w:rFonts w:ascii="Times New Roman" w:hAnsi="Times New Roman" w:cs="Times New Roman"/>
          <w:sz w:val="24"/>
          <w:szCs w:val="24"/>
        </w:rPr>
        <w:t>Puthenthuruthu</w:t>
      </w:r>
      <w:proofErr w:type="spellEnd"/>
      <w:r w:rsidRPr="00412441">
        <w:rPr>
          <w:rFonts w:ascii="Times New Roman" w:hAnsi="Times New Roman" w:cs="Times New Roman"/>
          <w:sz w:val="24"/>
          <w:szCs w:val="24"/>
        </w:rPr>
        <w:t xml:space="preserve">, </w:t>
      </w:r>
      <w:proofErr w:type="spellStart"/>
      <w:r w:rsidRPr="00412441">
        <w:rPr>
          <w:rFonts w:ascii="Times New Roman" w:hAnsi="Times New Roman" w:cs="Times New Roman"/>
          <w:sz w:val="24"/>
          <w:szCs w:val="24"/>
        </w:rPr>
        <w:t>Asramam</w:t>
      </w:r>
      <w:proofErr w:type="spellEnd"/>
      <w:r w:rsidRPr="00412441">
        <w:rPr>
          <w:rFonts w:ascii="Times New Roman" w:hAnsi="Times New Roman" w:cs="Times New Roman"/>
          <w:sz w:val="24"/>
          <w:szCs w:val="24"/>
        </w:rPr>
        <w:t xml:space="preserve">, </w:t>
      </w:r>
      <w:proofErr w:type="spellStart"/>
      <w:r w:rsidRPr="00412441">
        <w:rPr>
          <w:rFonts w:ascii="Times New Roman" w:hAnsi="Times New Roman" w:cs="Times New Roman"/>
          <w:sz w:val="24"/>
          <w:szCs w:val="24"/>
        </w:rPr>
        <w:t>Kidapram</w:t>
      </w:r>
      <w:proofErr w:type="spellEnd"/>
      <w:r w:rsidRPr="00412441">
        <w:rPr>
          <w:rFonts w:ascii="Times New Roman" w:hAnsi="Times New Roman" w:cs="Times New Roman"/>
          <w:sz w:val="24"/>
          <w:szCs w:val="24"/>
        </w:rPr>
        <w:t xml:space="preserve">, and </w:t>
      </w:r>
      <w:proofErr w:type="spellStart"/>
      <w:r w:rsidRPr="00412441">
        <w:rPr>
          <w:rFonts w:ascii="Times New Roman" w:hAnsi="Times New Roman" w:cs="Times New Roman"/>
          <w:sz w:val="24"/>
          <w:szCs w:val="24"/>
        </w:rPr>
        <w:t>Cherikadavu</w:t>
      </w:r>
      <w:proofErr w:type="spellEnd"/>
      <w:r w:rsidRPr="00412441">
        <w:rPr>
          <w:rFonts w:ascii="Times New Roman" w:hAnsi="Times New Roman" w:cs="Times New Roman"/>
          <w:sz w:val="24"/>
          <w:szCs w:val="24"/>
        </w:rPr>
        <w:t xml:space="preserve"> - were selected based on hydrological connectivity, land-use influence, vegetation cover, and geomorphological characteristics</w:t>
      </w:r>
      <w:r w:rsidR="00235AF3">
        <w:rPr>
          <w:rFonts w:ascii="Times New Roman" w:hAnsi="Times New Roman" w:cs="Times New Roman"/>
          <w:sz w:val="24"/>
          <w:szCs w:val="24"/>
        </w:rPr>
        <w:t xml:space="preserve"> (Fig. 1)</w:t>
      </w:r>
      <w:r w:rsidRPr="00412441">
        <w:rPr>
          <w:rFonts w:ascii="Times New Roman" w:hAnsi="Times New Roman" w:cs="Times New Roman"/>
          <w:sz w:val="24"/>
          <w:szCs w:val="24"/>
        </w:rPr>
        <w:t xml:space="preserve">. Seasonal soil sampling was carried out during pre-monsoon (March-May), monsoon (June-September), and post-monsoon (October-February) periods from 2023 to 2024. At each site and season, three independent composite soil samples were collected, with each composite sample prepared from 5-7 randomly distributed subsamples within a 20 m radius to ensure spatial representativeness </w:t>
      </w:r>
      <w:r w:rsidRPr="00412441">
        <w:rPr>
          <w:rFonts w:ascii="Times New Roman" w:hAnsi="Times New Roman" w:cs="Times New Roman"/>
          <w:sz w:val="24"/>
          <w:szCs w:val="24"/>
        </w:rPr>
        <w:lastRenderedPageBreak/>
        <w:t>and minimize micro-scale heterogeneity. Surface soils (0-15 cm depth) were collected, air-dried, homogenized, and sieved prior to laboratory analysis.</w:t>
      </w:r>
    </w:p>
    <w:p w14:paraId="2E02A6B1" w14:textId="7269E17B" w:rsidR="006D3EA8" w:rsidRDefault="007278E0" w:rsidP="00BD7DA7">
      <w:pPr>
        <w:spacing w:after="0" w:line="360" w:lineRule="auto"/>
        <w:jc w:val="both"/>
        <w:rPr>
          <w:rFonts w:ascii="Times New Roman" w:hAnsi="Times New Roman" w:cs="Times New Roman"/>
          <w:bCs/>
          <w:sz w:val="24"/>
          <w:szCs w:val="24"/>
        </w:rPr>
      </w:pPr>
      <w:r>
        <w:rPr>
          <w:noProof/>
        </w:rPr>
        <w:drawing>
          <wp:inline distT="0" distB="0" distL="0" distR="0" wp14:anchorId="031DD34E" wp14:editId="4DC2A36C">
            <wp:extent cx="5731510" cy="4429125"/>
            <wp:effectExtent l="0" t="0" r="2540" b="9525"/>
            <wp:docPr id="101295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713B5D52" w14:textId="4BE79E3F" w:rsidR="00D8100C" w:rsidRDefault="00D8100C" w:rsidP="00BD7D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1. </w:t>
      </w:r>
      <w:r w:rsidR="001619FF" w:rsidRPr="001619FF">
        <w:rPr>
          <w:rFonts w:ascii="Times New Roman" w:hAnsi="Times New Roman" w:cs="Times New Roman"/>
          <w:bCs/>
          <w:sz w:val="24"/>
          <w:szCs w:val="24"/>
        </w:rPr>
        <w:t>Location map of Ashtamudi Lake showing the five selected ecosites and soil sampling sites</w:t>
      </w:r>
    </w:p>
    <w:p w14:paraId="46279E32" w14:textId="045088F4" w:rsidR="00235AF3" w:rsidRPr="000D53CC" w:rsidRDefault="00235AF3" w:rsidP="00235AF3">
      <w:pPr>
        <w:spacing w:after="0" w:line="360" w:lineRule="auto"/>
        <w:jc w:val="both"/>
        <w:rPr>
          <w:rFonts w:ascii="Times New Roman" w:hAnsi="Times New Roman" w:cs="Times New Roman"/>
          <w:bCs/>
          <w:color w:val="EE0000"/>
          <w:sz w:val="24"/>
          <w:szCs w:val="24"/>
          <w:lang w:val="en-IN"/>
        </w:rPr>
      </w:pPr>
      <w:r w:rsidRPr="00412441">
        <w:rPr>
          <w:rFonts w:ascii="Times New Roman" w:hAnsi="Times New Roman" w:cs="Times New Roman"/>
          <w:bCs/>
          <w:sz w:val="24"/>
          <w:szCs w:val="24"/>
        </w:rPr>
        <w:t>Soil physicochemical parameters including pH, electrical conductivity (EC), organic carbon (OC), and available nitrogen (N), phosphorus (P), and potassium (K) were selected based on their ecological relevance to wetland functioning and their recognized role in soil quality assessment frameworks. These parameters represent key soil processes related to acidity regulation (pH), salinity and ionic dynamics (EC), carbon storage and mineralization (OC), and nutrient availability and productivity control (N, P, K), and are widely used as core indicators in integrated soil quality indices. Organic carbon was estimated using the Walkley</w:t>
      </w:r>
      <w:r>
        <w:rPr>
          <w:rFonts w:ascii="Times New Roman" w:hAnsi="Times New Roman" w:cs="Times New Roman"/>
          <w:bCs/>
          <w:sz w:val="24"/>
          <w:szCs w:val="24"/>
        </w:rPr>
        <w:t>-</w:t>
      </w:r>
      <w:r w:rsidRPr="00412441">
        <w:rPr>
          <w:rFonts w:ascii="Times New Roman" w:hAnsi="Times New Roman" w:cs="Times New Roman"/>
          <w:bCs/>
          <w:sz w:val="24"/>
          <w:szCs w:val="24"/>
        </w:rPr>
        <w:t>Black method, pH and EC were measured using standard electrometric methods, and available N, P, and K were determined following standard soil chemical procedures</w:t>
      </w:r>
      <w:r>
        <w:rPr>
          <w:rFonts w:ascii="Times New Roman" w:hAnsi="Times New Roman" w:cs="Times New Roman"/>
          <w:bCs/>
          <w:sz w:val="24"/>
          <w:szCs w:val="24"/>
        </w:rPr>
        <w:t xml:space="preserve"> </w:t>
      </w:r>
      <w:r w:rsidRPr="00BD7DA7">
        <w:rPr>
          <w:rFonts w:ascii="Times New Roman" w:hAnsi="Times New Roman" w:cs="Times New Roman"/>
          <w:bCs/>
          <w:sz w:val="24"/>
          <w:szCs w:val="24"/>
          <w:lang w:val="en-IN"/>
        </w:rPr>
        <w:t xml:space="preserve">(Reddy &amp; </w:t>
      </w:r>
      <w:proofErr w:type="spellStart"/>
      <w:r w:rsidRPr="00BD7DA7">
        <w:rPr>
          <w:rFonts w:ascii="Times New Roman" w:hAnsi="Times New Roman" w:cs="Times New Roman"/>
          <w:bCs/>
          <w:sz w:val="24"/>
          <w:szCs w:val="24"/>
          <w:lang w:val="en-IN"/>
        </w:rPr>
        <w:t>DeLaune</w:t>
      </w:r>
      <w:proofErr w:type="spellEnd"/>
      <w:r w:rsidRPr="00BD7DA7">
        <w:rPr>
          <w:rFonts w:ascii="Times New Roman" w:hAnsi="Times New Roman" w:cs="Times New Roman"/>
          <w:bCs/>
          <w:sz w:val="24"/>
          <w:szCs w:val="24"/>
          <w:lang w:val="en-IN"/>
        </w:rPr>
        <w:t>, 2008; Vasu et al., 2017)</w:t>
      </w:r>
      <w:r w:rsidRPr="00412441">
        <w:rPr>
          <w:rFonts w:ascii="Times New Roman" w:hAnsi="Times New Roman" w:cs="Times New Roman"/>
          <w:bCs/>
          <w:sz w:val="24"/>
          <w:szCs w:val="24"/>
        </w:rPr>
        <w:t>. These parameters were therefore considered scientifically justified and ecologically meaningful for Soil Quality Index (SQI) development in a wetland ecosystem context</w:t>
      </w:r>
      <w:r w:rsidRPr="000D53CC">
        <w:rPr>
          <w:rFonts w:ascii="Times New Roman" w:hAnsi="Times New Roman" w:cs="Times New Roman"/>
          <w:bCs/>
          <w:color w:val="EE0000"/>
          <w:sz w:val="24"/>
          <w:szCs w:val="24"/>
        </w:rPr>
        <w:t>.</w:t>
      </w:r>
    </w:p>
    <w:p w14:paraId="78ECBE3A" w14:textId="0026D25D" w:rsidR="00235AF3" w:rsidRPr="000D53CC" w:rsidRDefault="00235AF3" w:rsidP="00235AF3">
      <w:pPr>
        <w:spacing w:after="0" w:line="360" w:lineRule="auto"/>
        <w:jc w:val="both"/>
        <w:rPr>
          <w:rFonts w:ascii="Times New Roman" w:hAnsi="Times New Roman" w:cs="Times New Roman"/>
          <w:bCs/>
          <w:color w:val="EE0000"/>
          <w:sz w:val="24"/>
          <w:szCs w:val="24"/>
          <w:lang w:val="en-IN"/>
        </w:rPr>
      </w:pPr>
      <w:r w:rsidRPr="00412441">
        <w:rPr>
          <w:rFonts w:ascii="Times New Roman" w:hAnsi="Times New Roman" w:cs="Times New Roman"/>
          <w:bCs/>
          <w:sz w:val="24"/>
          <w:szCs w:val="24"/>
          <w:lang w:val="en-IN"/>
        </w:rPr>
        <w:lastRenderedPageBreak/>
        <w:t>Laboratory analyses were conducted under standardized conditions with appropriate quality control measures. All instruments were calibrated prior to analysis, analytical-grade reagents were used, and duplicate measurements were performed for 10% of samples to ensure analytical precision. Blanks and standard reference solutions were used for instrument validation, and outliers were cross-checked through repeat analysis. Statistical evaluation involved descriptive statistics, two-way ANOVA, Tukey HSD post-hoc tests, Pearson correlation, Principal Component Analysis (PCA), and development of a Soil Quality Index (SQI). For SQI computation, all parameters were normalized using a unitless scoring approach and integrated using an additive model with equal weighting</w:t>
      </w:r>
      <w:r>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 xml:space="preserve">(Vasu et al., 2017; </w:t>
      </w:r>
      <w:r w:rsidRPr="00BD7DA7">
        <w:rPr>
          <w:rFonts w:ascii="Times New Roman" w:hAnsi="Times New Roman" w:cs="Times New Roman"/>
          <w:bCs/>
          <w:sz w:val="24"/>
          <w:szCs w:val="24"/>
        </w:rPr>
        <w:t>Oviedo</w:t>
      </w:r>
      <w:r w:rsidRPr="00BD7DA7">
        <w:rPr>
          <w:rFonts w:ascii="Times New Roman" w:hAnsi="Times New Roman" w:cs="Times New Roman"/>
          <w:bCs/>
          <w:sz w:val="24"/>
          <w:szCs w:val="24"/>
          <w:lang w:val="en-IN"/>
        </w:rPr>
        <w:t xml:space="preserve">, et al., 2024; </w:t>
      </w:r>
      <w:proofErr w:type="spellStart"/>
      <w:r w:rsidRPr="00BD7DA7">
        <w:rPr>
          <w:rFonts w:ascii="Times New Roman" w:hAnsi="Times New Roman" w:cs="Times New Roman"/>
          <w:bCs/>
          <w:sz w:val="24"/>
          <w:szCs w:val="24"/>
          <w:lang w:val="en-IN"/>
        </w:rPr>
        <w:t>Shokr</w:t>
      </w:r>
      <w:proofErr w:type="spellEnd"/>
      <w:r w:rsidRPr="00BD7DA7">
        <w:rPr>
          <w:rFonts w:ascii="Times New Roman" w:hAnsi="Times New Roman" w:cs="Times New Roman"/>
          <w:bCs/>
          <w:sz w:val="24"/>
          <w:szCs w:val="24"/>
          <w:lang w:val="en-IN"/>
        </w:rPr>
        <w:t xml:space="preserve"> et al., 2025)</w:t>
      </w:r>
      <w:r w:rsidRPr="00412441">
        <w:rPr>
          <w:rFonts w:ascii="Times New Roman" w:hAnsi="Times New Roman" w:cs="Times New Roman"/>
          <w:bCs/>
          <w:sz w:val="24"/>
          <w:szCs w:val="24"/>
          <w:lang w:val="en-IN"/>
        </w:rPr>
        <w:t>. This integrated analytical framework enabled robust evaluation of spatial and seasonal soil quality dynamics and synthesis of complex datasets into a management-relevant index</w:t>
      </w:r>
      <w:r w:rsidRPr="000D53CC">
        <w:rPr>
          <w:rFonts w:ascii="Times New Roman" w:hAnsi="Times New Roman" w:cs="Times New Roman"/>
          <w:bCs/>
          <w:color w:val="EE0000"/>
          <w:sz w:val="24"/>
          <w:szCs w:val="24"/>
          <w:lang w:val="en-IN"/>
        </w:rPr>
        <w:t>.</w:t>
      </w:r>
    </w:p>
    <w:p w14:paraId="623860F4" w14:textId="2FA2C443" w:rsidR="00706B64" w:rsidRDefault="00DA5B60" w:rsidP="00BD7DA7">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3. </w:t>
      </w:r>
      <w:r w:rsidR="00706B64" w:rsidRPr="00BD7DA7">
        <w:rPr>
          <w:rFonts w:ascii="Times New Roman" w:hAnsi="Times New Roman" w:cs="Times New Roman"/>
          <w:b/>
          <w:sz w:val="24"/>
          <w:szCs w:val="24"/>
          <w:lang w:val="en-IN"/>
        </w:rPr>
        <w:t>Results</w:t>
      </w:r>
    </w:p>
    <w:p w14:paraId="2FBF761E" w14:textId="25AC72C3" w:rsidR="00E32481" w:rsidRPr="00E32481" w:rsidRDefault="00E32481" w:rsidP="00BD7DA7">
      <w:pPr>
        <w:spacing w:after="0" w:line="360" w:lineRule="auto"/>
        <w:jc w:val="both"/>
        <w:rPr>
          <w:rFonts w:ascii="Times New Roman" w:hAnsi="Times New Roman" w:cs="Times New Roman"/>
          <w:bCs/>
          <w:sz w:val="24"/>
          <w:szCs w:val="24"/>
          <w:lang w:val="en-IN"/>
        </w:rPr>
      </w:pPr>
      <w:r w:rsidRPr="00E32481">
        <w:rPr>
          <w:rFonts w:ascii="Times New Roman" w:hAnsi="Times New Roman" w:cs="Times New Roman"/>
          <w:bCs/>
          <w:sz w:val="24"/>
          <w:szCs w:val="24"/>
        </w:rPr>
        <w:t>The soil quality of Ashtamudi Lake exhibited clear and consistent seasonal patterns across all study sites. Post-monsoon conditions were characterized by higher organic carbon content, improved soil pH, and overall enhanced soil quality status, reflecting the effects of sediment deposition and organic matter accumulation following monsoonal flooding. In contrast, monsoon periods showed episodic nutrient enrichment, particularly elevated phosphorus and nitrogen concentrations, likely driven by runoff-induced inputs and hydrological connectivity. Pre-monsoon conditions generally exhibited comparatively lower nutrient availability and moderate soil quality. These principal seasonal trends provide the contextual framework for the detailed statistical, multivariate, and index-based results presented in the following sections.</w:t>
      </w:r>
    </w:p>
    <w:p w14:paraId="348F76CA" w14:textId="3E13FCED" w:rsidR="0014361F" w:rsidRDefault="0014361F" w:rsidP="001E4F4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14361F">
        <w:rPr>
          <w:rFonts w:ascii="Times New Roman" w:hAnsi="Times New Roman" w:cs="Times New Roman"/>
          <w:b/>
          <w:sz w:val="24"/>
          <w:szCs w:val="24"/>
        </w:rPr>
        <w:t>Seasonal variation of soil physicochemical parameters across ecosites</w:t>
      </w:r>
    </w:p>
    <w:p w14:paraId="683C6291" w14:textId="1FEBCFCC" w:rsidR="001E4F4B" w:rsidRPr="00BD7DA7" w:rsidRDefault="001E4F4B" w:rsidP="001E4F4B">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The seasonal analysis of soil physicochemical parameters across the five ecosites of the Ashtamudi Lake revealed marked spatial and temporal variability</w:t>
      </w:r>
      <w:r>
        <w:rPr>
          <w:rFonts w:ascii="Times New Roman" w:hAnsi="Times New Roman" w:cs="Times New Roman"/>
          <w:bCs/>
          <w:sz w:val="24"/>
          <w:szCs w:val="24"/>
          <w:lang w:val="en-IN"/>
        </w:rPr>
        <w:t xml:space="preserve"> (Table 1)</w:t>
      </w:r>
      <w:r w:rsidRPr="00BD7DA7">
        <w:rPr>
          <w:rFonts w:ascii="Times New Roman" w:hAnsi="Times New Roman" w:cs="Times New Roman"/>
          <w:bCs/>
          <w:sz w:val="24"/>
          <w:szCs w:val="24"/>
          <w:lang w:val="en-IN"/>
        </w:rPr>
        <w:t xml:space="preserve">. During the pre-monsoon season, soils across all ecosites were moderately acidic (pH 4.95-5.70), with comparatively higher electrical conductivity (EC) at </w:t>
      </w:r>
      <w:proofErr w:type="spellStart"/>
      <w:r w:rsidRPr="00BD7DA7">
        <w:rPr>
          <w:rFonts w:ascii="Times New Roman" w:hAnsi="Times New Roman" w:cs="Times New Roman"/>
          <w:bCs/>
          <w:sz w:val="24"/>
          <w:szCs w:val="24"/>
          <w:lang w:val="en-IN"/>
        </w:rPr>
        <w:t>Puthenthuruthu</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xml:space="preserve">, indicating greater ionic concentration. Organic carbon (OC) content was moderate to high, with </w:t>
      </w:r>
      <w:proofErr w:type="spellStart"/>
      <w:r w:rsidRPr="00BD7DA7">
        <w:rPr>
          <w:rFonts w:ascii="Times New Roman" w:hAnsi="Times New Roman" w:cs="Times New Roman"/>
          <w:bCs/>
          <w:sz w:val="24"/>
          <w:szCs w:val="24"/>
          <w:lang w:val="en-IN"/>
        </w:rPr>
        <w:t>Cherikadavu</w:t>
      </w:r>
      <w:proofErr w:type="spellEnd"/>
      <w:r w:rsidRPr="00BD7DA7">
        <w:rPr>
          <w:rFonts w:ascii="Times New Roman" w:hAnsi="Times New Roman" w:cs="Times New Roman"/>
          <w:bCs/>
          <w:sz w:val="24"/>
          <w:szCs w:val="24"/>
          <w:lang w:val="en-IN"/>
        </w:rPr>
        <w:t xml:space="preserve"> recording the maximum value, while available nitrogen (N), phosphorus (P), and potassium (K) showed pronounced ecosite-specific variation.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Cherikadavu</w:t>
      </w:r>
      <w:proofErr w:type="spellEnd"/>
      <w:r w:rsidRPr="00BD7DA7">
        <w:rPr>
          <w:rFonts w:ascii="Times New Roman" w:hAnsi="Times New Roman" w:cs="Times New Roman"/>
          <w:bCs/>
          <w:sz w:val="24"/>
          <w:szCs w:val="24"/>
          <w:lang w:val="en-IN"/>
        </w:rPr>
        <w:t xml:space="preserve"> exhibited elevated nutrient levels, particularly potassium, suggesting enhanced nutrient accumulation possibly linked to sediment deposition and local anthropogenic inputs.</w:t>
      </w:r>
    </w:p>
    <w:p w14:paraId="3EDB13EB" w14:textId="20EE0D12" w:rsidR="00AA6AA5" w:rsidRPr="00BD7DA7" w:rsidRDefault="00AA6AA5" w:rsidP="00BD7DA7">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lastRenderedPageBreak/>
        <w:t xml:space="preserve">Table 1. </w:t>
      </w:r>
      <w:r w:rsidR="00973BE1" w:rsidRPr="00973BE1">
        <w:rPr>
          <w:rFonts w:ascii="Times New Roman" w:hAnsi="Times New Roman" w:cs="Times New Roman"/>
          <w:b/>
          <w:sz w:val="24"/>
          <w:szCs w:val="24"/>
        </w:rPr>
        <w:t>Seasonal variation of soil physicochemical parameters across five ecosites of Ashtamudi Lake</w:t>
      </w:r>
    </w:p>
    <w:tbl>
      <w:tblPr>
        <w:tblStyle w:val="TableGrid"/>
        <w:tblW w:w="8500" w:type="dxa"/>
        <w:tblLook w:val="04A0" w:firstRow="1" w:lastRow="0" w:firstColumn="1" w:lastColumn="0" w:noHBand="0" w:noVBand="1"/>
      </w:tblPr>
      <w:tblGrid>
        <w:gridCol w:w="1979"/>
        <w:gridCol w:w="1072"/>
        <w:gridCol w:w="1133"/>
        <w:gridCol w:w="1053"/>
        <w:gridCol w:w="1133"/>
        <w:gridCol w:w="1134"/>
        <w:gridCol w:w="996"/>
      </w:tblGrid>
      <w:tr w:rsidR="00BD7DA7" w:rsidRPr="00BD7DA7" w14:paraId="1C6070ED" w14:textId="77777777" w:rsidTr="00891437">
        <w:tc>
          <w:tcPr>
            <w:tcW w:w="1980" w:type="dxa"/>
          </w:tcPr>
          <w:p w14:paraId="375AA17E" w14:textId="0BFD5A47"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hAnsi="Times New Roman" w:cs="Times New Roman"/>
                <w:b/>
                <w:sz w:val="24"/>
                <w:szCs w:val="24"/>
              </w:rPr>
              <w:t>Ecosites</w:t>
            </w:r>
          </w:p>
        </w:tc>
        <w:tc>
          <w:tcPr>
            <w:tcW w:w="1073" w:type="dxa"/>
          </w:tcPr>
          <w:p w14:paraId="2AF23E62" w14:textId="1F7557DB"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pH</w:t>
            </w:r>
          </w:p>
        </w:tc>
        <w:tc>
          <w:tcPr>
            <w:tcW w:w="1134" w:type="dxa"/>
          </w:tcPr>
          <w:p w14:paraId="2A5006C0" w14:textId="73B83B4E"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EC</w:t>
            </w:r>
          </w:p>
        </w:tc>
        <w:tc>
          <w:tcPr>
            <w:tcW w:w="1053" w:type="dxa"/>
          </w:tcPr>
          <w:p w14:paraId="5B1FC2B9" w14:textId="7DC81BDD"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OC</w:t>
            </w:r>
          </w:p>
        </w:tc>
        <w:tc>
          <w:tcPr>
            <w:tcW w:w="1134" w:type="dxa"/>
          </w:tcPr>
          <w:p w14:paraId="6C7E1E47" w14:textId="00E1E94C"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N</w:t>
            </w:r>
          </w:p>
        </w:tc>
        <w:tc>
          <w:tcPr>
            <w:tcW w:w="1134" w:type="dxa"/>
          </w:tcPr>
          <w:p w14:paraId="3D5C7949" w14:textId="75BFAD65"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P</w:t>
            </w:r>
          </w:p>
        </w:tc>
        <w:tc>
          <w:tcPr>
            <w:tcW w:w="992" w:type="dxa"/>
          </w:tcPr>
          <w:p w14:paraId="1FA5CA27" w14:textId="556C0303"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K</w:t>
            </w:r>
          </w:p>
        </w:tc>
      </w:tr>
      <w:tr w:rsidR="00BD7DA7" w:rsidRPr="00BD7DA7" w14:paraId="67DEB085" w14:textId="77777777" w:rsidTr="00891437">
        <w:tc>
          <w:tcPr>
            <w:tcW w:w="8500" w:type="dxa"/>
            <w:gridSpan w:val="7"/>
          </w:tcPr>
          <w:p w14:paraId="16CA3EFA" w14:textId="621753F4" w:rsidR="000B122E" w:rsidRPr="00BD7DA7" w:rsidRDefault="000B122E" w:rsidP="00BD7DA7">
            <w:pPr>
              <w:spacing w:after="0" w:line="360" w:lineRule="auto"/>
              <w:jc w:val="both"/>
              <w:rPr>
                <w:rFonts w:ascii="Times New Roman" w:eastAsia="Times New Roman" w:hAnsi="Times New Roman" w:cs="Times New Roman"/>
                <w:b/>
                <w:sz w:val="24"/>
                <w:szCs w:val="24"/>
              </w:rPr>
            </w:pPr>
            <w:r w:rsidRPr="00BD7DA7">
              <w:rPr>
                <w:rFonts w:ascii="Times New Roman" w:hAnsi="Times New Roman" w:cs="Times New Roman"/>
                <w:b/>
                <w:sz w:val="24"/>
                <w:szCs w:val="24"/>
              </w:rPr>
              <w:t>Pre-Monsoon</w:t>
            </w:r>
          </w:p>
        </w:tc>
      </w:tr>
      <w:tr w:rsidR="00BD7DA7" w:rsidRPr="00BD7DA7" w14:paraId="472AEE88" w14:textId="77777777" w:rsidTr="00891437">
        <w:tc>
          <w:tcPr>
            <w:tcW w:w="1980" w:type="dxa"/>
          </w:tcPr>
          <w:p w14:paraId="1A9CB1F2" w14:textId="2BBC711E"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Neendakara</w:t>
            </w:r>
            <w:proofErr w:type="spellEnd"/>
          </w:p>
        </w:tc>
        <w:tc>
          <w:tcPr>
            <w:tcW w:w="1073" w:type="dxa"/>
          </w:tcPr>
          <w:p w14:paraId="08634FB5" w14:textId="774C5C5E"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5.1</w:t>
            </w:r>
          </w:p>
        </w:tc>
        <w:tc>
          <w:tcPr>
            <w:tcW w:w="1134" w:type="dxa"/>
          </w:tcPr>
          <w:p w14:paraId="64F58E78" w14:textId="4780857F"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0.432</w:t>
            </w:r>
          </w:p>
        </w:tc>
        <w:tc>
          <w:tcPr>
            <w:tcW w:w="1053" w:type="dxa"/>
          </w:tcPr>
          <w:p w14:paraId="3B6788E1" w14:textId="288E430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2.31</w:t>
            </w:r>
          </w:p>
        </w:tc>
        <w:tc>
          <w:tcPr>
            <w:tcW w:w="1134" w:type="dxa"/>
          </w:tcPr>
          <w:p w14:paraId="0DFB002D" w14:textId="74AD96D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186.87</w:t>
            </w:r>
          </w:p>
        </w:tc>
        <w:tc>
          <w:tcPr>
            <w:tcW w:w="1134" w:type="dxa"/>
          </w:tcPr>
          <w:p w14:paraId="7142690E" w14:textId="427FA9C4"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11.7</w:t>
            </w:r>
          </w:p>
        </w:tc>
        <w:tc>
          <w:tcPr>
            <w:tcW w:w="992" w:type="dxa"/>
          </w:tcPr>
          <w:p w14:paraId="1BC52C75" w14:textId="36A095F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116.9</w:t>
            </w:r>
          </w:p>
        </w:tc>
      </w:tr>
      <w:tr w:rsidR="00BD7DA7" w:rsidRPr="00BD7DA7" w14:paraId="090E5F93" w14:textId="77777777" w:rsidTr="00891437">
        <w:tc>
          <w:tcPr>
            <w:tcW w:w="1980" w:type="dxa"/>
            <w:vAlign w:val="bottom"/>
          </w:tcPr>
          <w:p w14:paraId="6070057E" w14:textId="49A56BA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 </w:t>
            </w:r>
            <w:proofErr w:type="spellStart"/>
            <w:r w:rsidRPr="00BD7DA7">
              <w:rPr>
                <w:rFonts w:ascii="Times New Roman" w:eastAsia="Times New Roman" w:hAnsi="Times New Roman" w:cs="Times New Roman"/>
                <w:bCs/>
                <w:sz w:val="24"/>
                <w:szCs w:val="24"/>
              </w:rPr>
              <w:t>Puthenthuruthu</w:t>
            </w:r>
            <w:proofErr w:type="spellEnd"/>
          </w:p>
        </w:tc>
        <w:tc>
          <w:tcPr>
            <w:tcW w:w="1073" w:type="dxa"/>
          </w:tcPr>
          <w:p w14:paraId="448F9B26" w14:textId="6A1F1651"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5.3</w:t>
            </w:r>
          </w:p>
        </w:tc>
        <w:tc>
          <w:tcPr>
            <w:tcW w:w="1134" w:type="dxa"/>
          </w:tcPr>
          <w:p w14:paraId="543FDB9E" w14:textId="45A813EB"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0.961</w:t>
            </w:r>
          </w:p>
        </w:tc>
        <w:tc>
          <w:tcPr>
            <w:tcW w:w="1053" w:type="dxa"/>
          </w:tcPr>
          <w:p w14:paraId="30D91BEF" w14:textId="5C10E6D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1.7445</w:t>
            </w:r>
          </w:p>
        </w:tc>
        <w:tc>
          <w:tcPr>
            <w:tcW w:w="1134" w:type="dxa"/>
          </w:tcPr>
          <w:p w14:paraId="14116A02" w14:textId="0F741F4C"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399.84</w:t>
            </w:r>
          </w:p>
        </w:tc>
        <w:tc>
          <w:tcPr>
            <w:tcW w:w="1134" w:type="dxa"/>
          </w:tcPr>
          <w:p w14:paraId="7B1C7B75" w14:textId="74E156A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2.93</w:t>
            </w:r>
          </w:p>
        </w:tc>
        <w:tc>
          <w:tcPr>
            <w:tcW w:w="992" w:type="dxa"/>
          </w:tcPr>
          <w:p w14:paraId="0EB92235" w14:textId="03C5959E"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287.35</w:t>
            </w:r>
          </w:p>
        </w:tc>
      </w:tr>
      <w:tr w:rsidR="00BD7DA7" w:rsidRPr="00BD7DA7" w14:paraId="0D08DF63" w14:textId="77777777" w:rsidTr="00891437">
        <w:tc>
          <w:tcPr>
            <w:tcW w:w="1980" w:type="dxa"/>
            <w:vAlign w:val="bottom"/>
          </w:tcPr>
          <w:p w14:paraId="05C8E950" w14:textId="4E097F2D"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Ashramam</w:t>
            </w:r>
            <w:proofErr w:type="spellEnd"/>
            <w:r w:rsidRPr="00BD7DA7">
              <w:rPr>
                <w:rFonts w:ascii="Times New Roman" w:eastAsia="Times New Roman" w:hAnsi="Times New Roman" w:cs="Times New Roman"/>
                <w:bCs/>
                <w:sz w:val="24"/>
                <w:szCs w:val="24"/>
              </w:rPr>
              <w:t> </w:t>
            </w:r>
          </w:p>
        </w:tc>
        <w:tc>
          <w:tcPr>
            <w:tcW w:w="1073" w:type="dxa"/>
          </w:tcPr>
          <w:p w14:paraId="07AB4535" w14:textId="5D60C4B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5.7</w:t>
            </w:r>
          </w:p>
        </w:tc>
        <w:tc>
          <w:tcPr>
            <w:tcW w:w="1134" w:type="dxa"/>
          </w:tcPr>
          <w:p w14:paraId="508ABCFF" w14:textId="646701AF"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0.9535</w:t>
            </w:r>
          </w:p>
        </w:tc>
        <w:tc>
          <w:tcPr>
            <w:tcW w:w="1053" w:type="dxa"/>
          </w:tcPr>
          <w:p w14:paraId="75816C0F" w14:textId="5EB87DA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1.6875</w:t>
            </w:r>
          </w:p>
        </w:tc>
        <w:tc>
          <w:tcPr>
            <w:tcW w:w="1134" w:type="dxa"/>
          </w:tcPr>
          <w:p w14:paraId="011B6B19" w14:textId="66BA2D49"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572.32</w:t>
            </w:r>
          </w:p>
        </w:tc>
        <w:tc>
          <w:tcPr>
            <w:tcW w:w="1134" w:type="dxa"/>
          </w:tcPr>
          <w:p w14:paraId="13E84413" w14:textId="0F6848C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11.875</w:t>
            </w:r>
          </w:p>
        </w:tc>
        <w:tc>
          <w:tcPr>
            <w:tcW w:w="992" w:type="dxa"/>
          </w:tcPr>
          <w:p w14:paraId="508843E6" w14:textId="2EBBB19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404.95</w:t>
            </w:r>
          </w:p>
        </w:tc>
      </w:tr>
      <w:tr w:rsidR="00BD7DA7" w:rsidRPr="00BD7DA7" w14:paraId="1B05F9A4" w14:textId="77777777" w:rsidTr="00891437">
        <w:tc>
          <w:tcPr>
            <w:tcW w:w="1980" w:type="dxa"/>
            <w:vAlign w:val="bottom"/>
          </w:tcPr>
          <w:p w14:paraId="2F04BB4E" w14:textId="7197A38C"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 </w:t>
            </w:r>
            <w:proofErr w:type="spellStart"/>
            <w:r w:rsidRPr="00BD7DA7">
              <w:rPr>
                <w:rFonts w:ascii="Times New Roman" w:eastAsia="Times New Roman" w:hAnsi="Times New Roman" w:cs="Times New Roman"/>
                <w:bCs/>
                <w:sz w:val="24"/>
                <w:szCs w:val="24"/>
              </w:rPr>
              <w:t>Kidapram</w:t>
            </w:r>
            <w:proofErr w:type="spellEnd"/>
          </w:p>
        </w:tc>
        <w:tc>
          <w:tcPr>
            <w:tcW w:w="1073" w:type="dxa"/>
          </w:tcPr>
          <w:p w14:paraId="63925EA6" w14:textId="616A219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4.95</w:t>
            </w:r>
          </w:p>
        </w:tc>
        <w:tc>
          <w:tcPr>
            <w:tcW w:w="1134" w:type="dxa"/>
          </w:tcPr>
          <w:p w14:paraId="0145F2CE" w14:textId="3F96FE0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0.143</w:t>
            </w:r>
          </w:p>
        </w:tc>
        <w:tc>
          <w:tcPr>
            <w:tcW w:w="1053" w:type="dxa"/>
          </w:tcPr>
          <w:p w14:paraId="73807CE9" w14:textId="1E9B8B5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1.7925</w:t>
            </w:r>
          </w:p>
        </w:tc>
        <w:tc>
          <w:tcPr>
            <w:tcW w:w="1134" w:type="dxa"/>
          </w:tcPr>
          <w:p w14:paraId="2344D9B4" w14:textId="503E3332"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423.36</w:t>
            </w:r>
          </w:p>
        </w:tc>
        <w:tc>
          <w:tcPr>
            <w:tcW w:w="1134" w:type="dxa"/>
          </w:tcPr>
          <w:p w14:paraId="2360925A" w14:textId="7D3ED8C8"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9.235</w:t>
            </w:r>
          </w:p>
        </w:tc>
        <w:tc>
          <w:tcPr>
            <w:tcW w:w="992" w:type="dxa"/>
          </w:tcPr>
          <w:p w14:paraId="4ADB56DE" w14:textId="6F0F65C4"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139.815</w:t>
            </w:r>
          </w:p>
        </w:tc>
      </w:tr>
      <w:tr w:rsidR="00BD7DA7" w:rsidRPr="00BD7DA7" w14:paraId="6F976F78" w14:textId="77777777" w:rsidTr="00891437">
        <w:tc>
          <w:tcPr>
            <w:tcW w:w="1980" w:type="dxa"/>
            <w:vAlign w:val="bottom"/>
          </w:tcPr>
          <w:p w14:paraId="57D8B6F2" w14:textId="3CC00CCF"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Cherikadavu</w:t>
            </w:r>
            <w:proofErr w:type="spellEnd"/>
            <w:r w:rsidRPr="00BD7DA7">
              <w:rPr>
                <w:rFonts w:ascii="Times New Roman" w:eastAsia="Times New Roman" w:hAnsi="Times New Roman" w:cs="Times New Roman"/>
                <w:bCs/>
                <w:sz w:val="24"/>
                <w:szCs w:val="24"/>
              </w:rPr>
              <w:t> </w:t>
            </w:r>
          </w:p>
        </w:tc>
        <w:tc>
          <w:tcPr>
            <w:tcW w:w="1073" w:type="dxa"/>
          </w:tcPr>
          <w:p w14:paraId="2FEF38E8" w14:textId="2EB83DB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5.35</w:t>
            </w:r>
          </w:p>
        </w:tc>
        <w:tc>
          <w:tcPr>
            <w:tcW w:w="1134" w:type="dxa"/>
          </w:tcPr>
          <w:p w14:paraId="0766F1B4" w14:textId="6D253BA6"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0.097</w:t>
            </w:r>
          </w:p>
        </w:tc>
        <w:tc>
          <w:tcPr>
            <w:tcW w:w="1053" w:type="dxa"/>
          </w:tcPr>
          <w:p w14:paraId="13533C91" w14:textId="486E2DCA"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2.707</w:t>
            </w:r>
          </w:p>
        </w:tc>
        <w:tc>
          <w:tcPr>
            <w:tcW w:w="1134" w:type="dxa"/>
          </w:tcPr>
          <w:p w14:paraId="7B4746A9" w14:textId="45DF7A2C"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368.48</w:t>
            </w:r>
          </w:p>
        </w:tc>
        <w:tc>
          <w:tcPr>
            <w:tcW w:w="1134" w:type="dxa"/>
          </w:tcPr>
          <w:p w14:paraId="786EC63D" w14:textId="295EB105"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2.49</w:t>
            </w:r>
          </w:p>
        </w:tc>
        <w:tc>
          <w:tcPr>
            <w:tcW w:w="992" w:type="dxa"/>
          </w:tcPr>
          <w:p w14:paraId="4CB8144F" w14:textId="30B9C7C9"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613.12</w:t>
            </w:r>
          </w:p>
        </w:tc>
      </w:tr>
      <w:tr w:rsidR="00BD7DA7" w:rsidRPr="00BD7DA7" w14:paraId="2FE7B8A1" w14:textId="77777777" w:rsidTr="00891437">
        <w:tc>
          <w:tcPr>
            <w:tcW w:w="8500" w:type="dxa"/>
            <w:gridSpan w:val="7"/>
          </w:tcPr>
          <w:p w14:paraId="0EDBF09F" w14:textId="652E528B" w:rsidR="000B122E" w:rsidRPr="00BD7DA7" w:rsidRDefault="000B122E" w:rsidP="00BD7DA7">
            <w:pPr>
              <w:spacing w:after="0" w:line="360" w:lineRule="auto"/>
              <w:jc w:val="both"/>
              <w:rPr>
                <w:rFonts w:ascii="Times New Roman" w:hAnsi="Times New Roman" w:cs="Times New Roman"/>
                <w:b/>
                <w:sz w:val="24"/>
                <w:szCs w:val="24"/>
              </w:rPr>
            </w:pPr>
            <w:r w:rsidRPr="00BD7DA7">
              <w:rPr>
                <w:rFonts w:ascii="Times New Roman" w:hAnsi="Times New Roman" w:cs="Times New Roman"/>
                <w:b/>
                <w:sz w:val="24"/>
                <w:szCs w:val="24"/>
              </w:rPr>
              <w:t>Monsoon</w:t>
            </w:r>
          </w:p>
        </w:tc>
      </w:tr>
      <w:tr w:rsidR="00BD7DA7" w:rsidRPr="00BD7DA7" w14:paraId="542E20F2" w14:textId="77777777" w:rsidTr="00891437">
        <w:tc>
          <w:tcPr>
            <w:tcW w:w="1980" w:type="dxa"/>
          </w:tcPr>
          <w:p w14:paraId="1966DC4B" w14:textId="0CD0C820"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Neendakara</w:t>
            </w:r>
            <w:proofErr w:type="spellEnd"/>
            <w:r w:rsidRPr="00BD7DA7">
              <w:rPr>
                <w:rFonts w:ascii="Times New Roman" w:eastAsia="Times New Roman" w:hAnsi="Times New Roman" w:cs="Times New Roman"/>
                <w:bCs/>
                <w:sz w:val="24"/>
                <w:szCs w:val="24"/>
              </w:rPr>
              <w:t xml:space="preserve"> </w:t>
            </w:r>
          </w:p>
        </w:tc>
        <w:tc>
          <w:tcPr>
            <w:tcW w:w="1073" w:type="dxa"/>
          </w:tcPr>
          <w:p w14:paraId="1A1DE830" w14:textId="409A37A9"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4.9</w:t>
            </w:r>
          </w:p>
        </w:tc>
        <w:tc>
          <w:tcPr>
            <w:tcW w:w="1134" w:type="dxa"/>
          </w:tcPr>
          <w:p w14:paraId="08614319" w14:textId="77562588"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0.08</w:t>
            </w:r>
          </w:p>
        </w:tc>
        <w:tc>
          <w:tcPr>
            <w:tcW w:w="1053" w:type="dxa"/>
          </w:tcPr>
          <w:p w14:paraId="1657B867" w14:textId="3EEADC2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0.96</w:t>
            </w:r>
          </w:p>
        </w:tc>
        <w:tc>
          <w:tcPr>
            <w:tcW w:w="1134" w:type="dxa"/>
          </w:tcPr>
          <w:p w14:paraId="3E4A023D" w14:textId="530B8C11"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399.73</w:t>
            </w:r>
          </w:p>
        </w:tc>
        <w:tc>
          <w:tcPr>
            <w:tcW w:w="1134" w:type="dxa"/>
          </w:tcPr>
          <w:p w14:paraId="3844A831" w14:textId="7D095D36"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1054.45</w:t>
            </w:r>
          </w:p>
        </w:tc>
        <w:tc>
          <w:tcPr>
            <w:tcW w:w="992" w:type="dxa"/>
          </w:tcPr>
          <w:p w14:paraId="3CF524F6" w14:textId="6B49D62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192.76</w:t>
            </w:r>
          </w:p>
        </w:tc>
      </w:tr>
      <w:tr w:rsidR="00BD7DA7" w:rsidRPr="00BD7DA7" w14:paraId="6D46B858" w14:textId="77777777" w:rsidTr="00891437">
        <w:tc>
          <w:tcPr>
            <w:tcW w:w="1980" w:type="dxa"/>
          </w:tcPr>
          <w:p w14:paraId="16D42E27" w14:textId="2BB2DBC7"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Puthenthuruthu</w:t>
            </w:r>
            <w:proofErr w:type="spellEnd"/>
          </w:p>
        </w:tc>
        <w:tc>
          <w:tcPr>
            <w:tcW w:w="1073" w:type="dxa"/>
          </w:tcPr>
          <w:p w14:paraId="64FB5C51" w14:textId="1DFED53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6</w:t>
            </w:r>
          </w:p>
        </w:tc>
        <w:tc>
          <w:tcPr>
            <w:tcW w:w="1134" w:type="dxa"/>
          </w:tcPr>
          <w:p w14:paraId="1A117A93" w14:textId="5446B37D"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0.19</w:t>
            </w:r>
          </w:p>
        </w:tc>
        <w:tc>
          <w:tcPr>
            <w:tcW w:w="1053" w:type="dxa"/>
          </w:tcPr>
          <w:p w14:paraId="2B982981" w14:textId="37609CB3"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2.18</w:t>
            </w:r>
          </w:p>
        </w:tc>
        <w:tc>
          <w:tcPr>
            <w:tcW w:w="1134" w:type="dxa"/>
          </w:tcPr>
          <w:p w14:paraId="077CF403" w14:textId="1068542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446.16</w:t>
            </w:r>
          </w:p>
        </w:tc>
        <w:tc>
          <w:tcPr>
            <w:tcW w:w="1134" w:type="dxa"/>
          </w:tcPr>
          <w:p w14:paraId="5FA9C8C4" w14:textId="0D70F67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145.04</w:t>
            </w:r>
          </w:p>
        </w:tc>
        <w:tc>
          <w:tcPr>
            <w:tcW w:w="992" w:type="dxa"/>
          </w:tcPr>
          <w:p w14:paraId="0F87F174" w14:textId="41AC2A1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224.73</w:t>
            </w:r>
          </w:p>
        </w:tc>
      </w:tr>
      <w:tr w:rsidR="00BD7DA7" w:rsidRPr="00BD7DA7" w14:paraId="708D9A06" w14:textId="77777777" w:rsidTr="00891437">
        <w:tc>
          <w:tcPr>
            <w:tcW w:w="1980" w:type="dxa"/>
          </w:tcPr>
          <w:p w14:paraId="73F79080" w14:textId="07A62B7A"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Asramom</w:t>
            </w:r>
            <w:proofErr w:type="spellEnd"/>
          </w:p>
        </w:tc>
        <w:tc>
          <w:tcPr>
            <w:tcW w:w="1073" w:type="dxa"/>
          </w:tcPr>
          <w:p w14:paraId="7B6F8272" w14:textId="4B5AA552"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5.57</w:t>
            </w:r>
          </w:p>
        </w:tc>
        <w:tc>
          <w:tcPr>
            <w:tcW w:w="1134" w:type="dxa"/>
          </w:tcPr>
          <w:p w14:paraId="7FEC4AAB" w14:textId="6F8508DD"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0.25</w:t>
            </w:r>
          </w:p>
        </w:tc>
        <w:tc>
          <w:tcPr>
            <w:tcW w:w="1053" w:type="dxa"/>
          </w:tcPr>
          <w:p w14:paraId="26F97AAF" w14:textId="5DB1EA7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2.05</w:t>
            </w:r>
          </w:p>
        </w:tc>
        <w:tc>
          <w:tcPr>
            <w:tcW w:w="1134" w:type="dxa"/>
          </w:tcPr>
          <w:p w14:paraId="4BE44917" w14:textId="0D7CAB8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334.02</w:t>
            </w:r>
          </w:p>
        </w:tc>
        <w:tc>
          <w:tcPr>
            <w:tcW w:w="1134" w:type="dxa"/>
          </w:tcPr>
          <w:p w14:paraId="0FD4D611" w14:textId="02CD1AC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93.87</w:t>
            </w:r>
          </w:p>
        </w:tc>
        <w:tc>
          <w:tcPr>
            <w:tcW w:w="992" w:type="dxa"/>
          </w:tcPr>
          <w:p w14:paraId="7325146D" w14:textId="1189421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224.75</w:t>
            </w:r>
          </w:p>
        </w:tc>
      </w:tr>
      <w:tr w:rsidR="00BD7DA7" w:rsidRPr="00BD7DA7" w14:paraId="52234982" w14:textId="77777777" w:rsidTr="00891437">
        <w:tc>
          <w:tcPr>
            <w:tcW w:w="1980" w:type="dxa"/>
          </w:tcPr>
          <w:p w14:paraId="0D2F5698" w14:textId="2EC7CF34"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Kidapram</w:t>
            </w:r>
            <w:proofErr w:type="spellEnd"/>
            <w:r w:rsidRPr="00BD7DA7">
              <w:rPr>
                <w:rFonts w:ascii="Times New Roman" w:eastAsia="Times New Roman" w:hAnsi="Times New Roman" w:cs="Times New Roman"/>
                <w:bCs/>
                <w:sz w:val="24"/>
                <w:szCs w:val="24"/>
              </w:rPr>
              <w:t xml:space="preserve"> </w:t>
            </w:r>
          </w:p>
        </w:tc>
        <w:tc>
          <w:tcPr>
            <w:tcW w:w="1073" w:type="dxa"/>
          </w:tcPr>
          <w:p w14:paraId="6C19AD9A" w14:textId="4264C29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4.43</w:t>
            </w:r>
          </w:p>
        </w:tc>
        <w:tc>
          <w:tcPr>
            <w:tcW w:w="1134" w:type="dxa"/>
          </w:tcPr>
          <w:p w14:paraId="3025E97A" w14:textId="2E8A571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0.75</w:t>
            </w:r>
          </w:p>
        </w:tc>
        <w:tc>
          <w:tcPr>
            <w:tcW w:w="1053" w:type="dxa"/>
          </w:tcPr>
          <w:p w14:paraId="397AC2F7" w14:textId="0C3B588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2.67</w:t>
            </w:r>
          </w:p>
        </w:tc>
        <w:tc>
          <w:tcPr>
            <w:tcW w:w="1134" w:type="dxa"/>
          </w:tcPr>
          <w:p w14:paraId="359648CF" w14:textId="5BC03112"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124.06</w:t>
            </w:r>
          </w:p>
        </w:tc>
        <w:tc>
          <w:tcPr>
            <w:tcW w:w="1134" w:type="dxa"/>
          </w:tcPr>
          <w:p w14:paraId="61740730" w14:textId="77276D4E"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152.45</w:t>
            </w:r>
          </w:p>
        </w:tc>
        <w:tc>
          <w:tcPr>
            <w:tcW w:w="992" w:type="dxa"/>
          </w:tcPr>
          <w:p w14:paraId="3B449C0C" w14:textId="3E994D83"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439.04</w:t>
            </w:r>
          </w:p>
        </w:tc>
      </w:tr>
      <w:tr w:rsidR="00BD7DA7" w:rsidRPr="00BD7DA7" w14:paraId="4F6FA573" w14:textId="77777777" w:rsidTr="00891437">
        <w:tc>
          <w:tcPr>
            <w:tcW w:w="1980" w:type="dxa"/>
          </w:tcPr>
          <w:p w14:paraId="74B40792" w14:textId="092AFFE0"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Cherikadavu</w:t>
            </w:r>
            <w:proofErr w:type="spellEnd"/>
            <w:r w:rsidRPr="00BD7DA7">
              <w:rPr>
                <w:rFonts w:ascii="Times New Roman" w:eastAsia="Times New Roman" w:hAnsi="Times New Roman" w:cs="Times New Roman"/>
                <w:bCs/>
                <w:sz w:val="24"/>
                <w:szCs w:val="24"/>
              </w:rPr>
              <w:t xml:space="preserve"> </w:t>
            </w:r>
          </w:p>
        </w:tc>
        <w:tc>
          <w:tcPr>
            <w:tcW w:w="1073" w:type="dxa"/>
          </w:tcPr>
          <w:p w14:paraId="39936220" w14:textId="51A6F8B5"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4.3</w:t>
            </w:r>
          </w:p>
        </w:tc>
        <w:tc>
          <w:tcPr>
            <w:tcW w:w="1134" w:type="dxa"/>
          </w:tcPr>
          <w:p w14:paraId="662849A7" w14:textId="0DA02AC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0.20</w:t>
            </w:r>
          </w:p>
        </w:tc>
        <w:tc>
          <w:tcPr>
            <w:tcW w:w="1053" w:type="dxa"/>
          </w:tcPr>
          <w:p w14:paraId="329E7851" w14:textId="54959A70"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2.91</w:t>
            </w:r>
          </w:p>
        </w:tc>
        <w:tc>
          <w:tcPr>
            <w:tcW w:w="1134" w:type="dxa"/>
          </w:tcPr>
          <w:p w14:paraId="047A7D71" w14:textId="0A52907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87.77</w:t>
            </w:r>
          </w:p>
        </w:tc>
        <w:tc>
          <w:tcPr>
            <w:tcW w:w="1134" w:type="dxa"/>
          </w:tcPr>
          <w:p w14:paraId="6A2B0C80" w14:textId="1C7D97B3"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124.42</w:t>
            </w:r>
          </w:p>
        </w:tc>
        <w:tc>
          <w:tcPr>
            <w:tcW w:w="992" w:type="dxa"/>
          </w:tcPr>
          <w:p w14:paraId="108B6A09" w14:textId="19317FC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365.87</w:t>
            </w:r>
          </w:p>
        </w:tc>
      </w:tr>
      <w:tr w:rsidR="00BD7DA7" w:rsidRPr="00BD7DA7" w14:paraId="7FC78594" w14:textId="77777777" w:rsidTr="00891437">
        <w:tc>
          <w:tcPr>
            <w:tcW w:w="8500" w:type="dxa"/>
            <w:gridSpan w:val="7"/>
          </w:tcPr>
          <w:p w14:paraId="2F699009" w14:textId="0CA37CD2" w:rsidR="000B122E" w:rsidRPr="00BD7DA7" w:rsidRDefault="000B122E" w:rsidP="00BD7DA7">
            <w:pPr>
              <w:spacing w:after="0" w:line="360" w:lineRule="auto"/>
              <w:jc w:val="both"/>
              <w:rPr>
                <w:rFonts w:ascii="Times New Roman" w:eastAsia="Times New Roman" w:hAnsi="Times New Roman" w:cs="Times New Roman"/>
                <w:b/>
                <w:sz w:val="24"/>
                <w:szCs w:val="24"/>
              </w:rPr>
            </w:pPr>
            <w:r w:rsidRPr="00BD7DA7">
              <w:rPr>
                <w:rFonts w:ascii="Times New Roman" w:eastAsia="Times New Roman" w:hAnsi="Times New Roman" w:cs="Times New Roman"/>
                <w:b/>
                <w:sz w:val="24"/>
                <w:szCs w:val="24"/>
              </w:rPr>
              <w:t>Post-Monsoon</w:t>
            </w:r>
          </w:p>
        </w:tc>
      </w:tr>
      <w:tr w:rsidR="00BD7DA7" w:rsidRPr="00BD7DA7" w14:paraId="0B10BBC9" w14:textId="77777777" w:rsidTr="00891437">
        <w:tc>
          <w:tcPr>
            <w:tcW w:w="1980" w:type="dxa"/>
          </w:tcPr>
          <w:p w14:paraId="582826AB" w14:textId="63FC3F9D"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Neendakara</w:t>
            </w:r>
            <w:proofErr w:type="spellEnd"/>
            <w:r w:rsidRPr="00BD7DA7">
              <w:rPr>
                <w:rFonts w:ascii="Times New Roman" w:eastAsia="Times New Roman" w:hAnsi="Times New Roman" w:cs="Times New Roman"/>
                <w:bCs/>
                <w:sz w:val="24"/>
                <w:szCs w:val="24"/>
              </w:rPr>
              <w:t xml:space="preserve"> </w:t>
            </w:r>
          </w:p>
        </w:tc>
        <w:tc>
          <w:tcPr>
            <w:tcW w:w="1073" w:type="dxa"/>
          </w:tcPr>
          <w:p w14:paraId="17604E08" w14:textId="5F2164B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5.8</w:t>
            </w:r>
          </w:p>
        </w:tc>
        <w:tc>
          <w:tcPr>
            <w:tcW w:w="1134" w:type="dxa"/>
          </w:tcPr>
          <w:p w14:paraId="649E4F90" w14:textId="1F20C168"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0.004</w:t>
            </w:r>
          </w:p>
        </w:tc>
        <w:tc>
          <w:tcPr>
            <w:tcW w:w="1053" w:type="dxa"/>
          </w:tcPr>
          <w:p w14:paraId="285F2C2B" w14:textId="46A863D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4.64</w:t>
            </w:r>
          </w:p>
        </w:tc>
        <w:tc>
          <w:tcPr>
            <w:tcW w:w="1134" w:type="dxa"/>
          </w:tcPr>
          <w:p w14:paraId="662E33D4" w14:textId="450BC7C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125.44</w:t>
            </w:r>
          </w:p>
        </w:tc>
        <w:tc>
          <w:tcPr>
            <w:tcW w:w="1134" w:type="dxa"/>
          </w:tcPr>
          <w:p w14:paraId="15872D6D" w14:textId="6FFC543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0.45</w:t>
            </w:r>
          </w:p>
        </w:tc>
        <w:tc>
          <w:tcPr>
            <w:tcW w:w="992" w:type="dxa"/>
          </w:tcPr>
          <w:p w14:paraId="7DE6672A" w14:textId="3E36C46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403.2</w:t>
            </w:r>
          </w:p>
        </w:tc>
      </w:tr>
      <w:tr w:rsidR="00BD7DA7" w:rsidRPr="00BD7DA7" w14:paraId="70E61714" w14:textId="77777777" w:rsidTr="00891437">
        <w:tc>
          <w:tcPr>
            <w:tcW w:w="1980" w:type="dxa"/>
          </w:tcPr>
          <w:p w14:paraId="677F8092" w14:textId="0CDE940E"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Puthenthuruthu</w:t>
            </w:r>
            <w:proofErr w:type="spellEnd"/>
          </w:p>
        </w:tc>
        <w:tc>
          <w:tcPr>
            <w:tcW w:w="1073" w:type="dxa"/>
          </w:tcPr>
          <w:p w14:paraId="21745960" w14:textId="7CBBFBB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4.95</w:t>
            </w:r>
          </w:p>
        </w:tc>
        <w:tc>
          <w:tcPr>
            <w:tcW w:w="1134" w:type="dxa"/>
          </w:tcPr>
          <w:p w14:paraId="079586C7" w14:textId="52B4A1E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0.139</w:t>
            </w:r>
          </w:p>
        </w:tc>
        <w:tc>
          <w:tcPr>
            <w:tcW w:w="1053" w:type="dxa"/>
          </w:tcPr>
          <w:p w14:paraId="0E603E0A" w14:textId="76B3EFA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2.51</w:t>
            </w:r>
          </w:p>
        </w:tc>
        <w:tc>
          <w:tcPr>
            <w:tcW w:w="1134" w:type="dxa"/>
          </w:tcPr>
          <w:p w14:paraId="1D38AC86" w14:textId="6FFE10F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478.24</w:t>
            </w:r>
          </w:p>
        </w:tc>
        <w:tc>
          <w:tcPr>
            <w:tcW w:w="1134" w:type="dxa"/>
          </w:tcPr>
          <w:p w14:paraId="223F4E93" w14:textId="00DCD2C8"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22.25</w:t>
            </w:r>
          </w:p>
        </w:tc>
        <w:tc>
          <w:tcPr>
            <w:tcW w:w="992" w:type="dxa"/>
          </w:tcPr>
          <w:p w14:paraId="71B61239" w14:textId="328F056B"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268.3</w:t>
            </w:r>
          </w:p>
        </w:tc>
      </w:tr>
      <w:tr w:rsidR="00BD7DA7" w:rsidRPr="00BD7DA7" w14:paraId="58EFA1F9" w14:textId="77777777" w:rsidTr="00891437">
        <w:tc>
          <w:tcPr>
            <w:tcW w:w="1980" w:type="dxa"/>
          </w:tcPr>
          <w:p w14:paraId="3D1A3617" w14:textId="51E2A16B"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Asramom</w:t>
            </w:r>
            <w:proofErr w:type="spellEnd"/>
          </w:p>
        </w:tc>
        <w:tc>
          <w:tcPr>
            <w:tcW w:w="1073" w:type="dxa"/>
          </w:tcPr>
          <w:p w14:paraId="3199EEA7" w14:textId="4E58C035"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5.45</w:t>
            </w:r>
          </w:p>
        </w:tc>
        <w:tc>
          <w:tcPr>
            <w:tcW w:w="1134" w:type="dxa"/>
          </w:tcPr>
          <w:p w14:paraId="79655A2D" w14:textId="3DD29895"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0.636</w:t>
            </w:r>
          </w:p>
        </w:tc>
        <w:tc>
          <w:tcPr>
            <w:tcW w:w="1053" w:type="dxa"/>
          </w:tcPr>
          <w:p w14:paraId="40416490" w14:textId="5334521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3.235</w:t>
            </w:r>
          </w:p>
        </w:tc>
        <w:tc>
          <w:tcPr>
            <w:tcW w:w="1134" w:type="dxa"/>
          </w:tcPr>
          <w:p w14:paraId="27BBB7AA" w14:textId="193EEF0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384.16</w:t>
            </w:r>
          </w:p>
        </w:tc>
        <w:tc>
          <w:tcPr>
            <w:tcW w:w="1134" w:type="dxa"/>
          </w:tcPr>
          <w:p w14:paraId="6781B5F1" w14:textId="1E651792"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26.41</w:t>
            </w:r>
          </w:p>
        </w:tc>
        <w:tc>
          <w:tcPr>
            <w:tcW w:w="992" w:type="dxa"/>
          </w:tcPr>
          <w:p w14:paraId="762DDFCD" w14:textId="2745F3B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301.03</w:t>
            </w:r>
          </w:p>
        </w:tc>
      </w:tr>
      <w:tr w:rsidR="00BD7DA7" w:rsidRPr="00BD7DA7" w14:paraId="09EA8B72" w14:textId="77777777" w:rsidTr="00891437">
        <w:tc>
          <w:tcPr>
            <w:tcW w:w="1980" w:type="dxa"/>
          </w:tcPr>
          <w:p w14:paraId="38540B1E" w14:textId="05F43C5B"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Kidapram</w:t>
            </w:r>
            <w:proofErr w:type="spellEnd"/>
            <w:r w:rsidRPr="00BD7DA7">
              <w:rPr>
                <w:rFonts w:ascii="Times New Roman" w:eastAsia="Times New Roman" w:hAnsi="Times New Roman" w:cs="Times New Roman"/>
                <w:bCs/>
                <w:sz w:val="24"/>
                <w:szCs w:val="24"/>
              </w:rPr>
              <w:t xml:space="preserve"> </w:t>
            </w:r>
          </w:p>
        </w:tc>
        <w:tc>
          <w:tcPr>
            <w:tcW w:w="1073" w:type="dxa"/>
          </w:tcPr>
          <w:p w14:paraId="0B3B62D5" w14:textId="05BC1B6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4.9</w:t>
            </w:r>
          </w:p>
        </w:tc>
        <w:tc>
          <w:tcPr>
            <w:tcW w:w="1134" w:type="dxa"/>
          </w:tcPr>
          <w:p w14:paraId="004B2C32" w14:textId="1C749FBB"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0.479</w:t>
            </w:r>
          </w:p>
        </w:tc>
        <w:tc>
          <w:tcPr>
            <w:tcW w:w="1053" w:type="dxa"/>
          </w:tcPr>
          <w:p w14:paraId="5EEB3116" w14:textId="412083D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2.573</w:t>
            </w:r>
          </w:p>
        </w:tc>
        <w:tc>
          <w:tcPr>
            <w:tcW w:w="1134" w:type="dxa"/>
          </w:tcPr>
          <w:p w14:paraId="7FC6F84D" w14:textId="176E2D0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297.92</w:t>
            </w:r>
          </w:p>
        </w:tc>
        <w:tc>
          <w:tcPr>
            <w:tcW w:w="1134" w:type="dxa"/>
          </w:tcPr>
          <w:p w14:paraId="0F308C00" w14:textId="78C1B37D"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7.965</w:t>
            </w:r>
          </w:p>
        </w:tc>
        <w:tc>
          <w:tcPr>
            <w:tcW w:w="992" w:type="dxa"/>
          </w:tcPr>
          <w:p w14:paraId="54779060" w14:textId="3A0FB5B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149.19</w:t>
            </w:r>
          </w:p>
        </w:tc>
      </w:tr>
      <w:tr w:rsidR="00933121" w:rsidRPr="00BD7DA7" w14:paraId="6B4B646C" w14:textId="77777777" w:rsidTr="00891437">
        <w:tc>
          <w:tcPr>
            <w:tcW w:w="1980" w:type="dxa"/>
          </w:tcPr>
          <w:p w14:paraId="5662E8EF" w14:textId="46586C95"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Cherikadavu</w:t>
            </w:r>
            <w:proofErr w:type="spellEnd"/>
            <w:r w:rsidRPr="00BD7DA7">
              <w:rPr>
                <w:rFonts w:ascii="Times New Roman" w:eastAsia="Times New Roman" w:hAnsi="Times New Roman" w:cs="Times New Roman"/>
                <w:bCs/>
                <w:sz w:val="24"/>
                <w:szCs w:val="24"/>
              </w:rPr>
              <w:t xml:space="preserve"> </w:t>
            </w:r>
          </w:p>
        </w:tc>
        <w:tc>
          <w:tcPr>
            <w:tcW w:w="1073" w:type="dxa"/>
          </w:tcPr>
          <w:p w14:paraId="2B8EF74F" w14:textId="494A78F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5.2</w:t>
            </w:r>
          </w:p>
        </w:tc>
        <w:tc>
          <w:tcPr>
            <w:tcW w:w="1134" w:type="dxa"/>
          </w:tcPr>
          <w:p w14:paraId="26B26D6A" w14:textId="490F06E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0.004</w:t>
            </w:r>
          </w:p>
        </w:tc>
        <w:tc>
          <w:tcPr>
            <w:tcW w:w="1053" w:type="dxa"/>
          </w:tcPr>
          <w:p w14:paraId="261C3B93" w14:textId="608892B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2.72</w:t>
            </w:r>
          </w:p>
        </w:tc>
        <w:tc>
          <w:tcPr>
            <w:tcW w:w="1134" w:type="dxa"/>
          </w:tcPr>
          <w:p w14:paraId="2426357E" w14:textId="7271B5FF"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305.76</w:t>
            </w:r>
          </w:p>
        </w:tc>
        <w:tc>
          <w:tcPr>
            <w:tcW w:w="1134" w:type="dxa"/>
          </w:tcPr>
          <w:p w14:paraId="68DEFA5D" w14:textId="0F5FDBF8"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1.015</w:t>
            </w:r>
          </w:p>
        </w:tc>
        <w:tc>
          <w:tcPr>
            <w:tcW w:w="992" w:type="dxa"/>
          </w:tcPr>
          <w:p w14:paraId="4D37A896" w14:textId="6B8674F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288.11</w:t>
            </w:r>
          </w:p>
        </w:tc>
      </w:tr>
    </w:tbl>
    <w:p w14:paraId="4B9A2862" w14:textId="77777777" w:rsidR="00933121" w:rsidRPr="00BD7DA7" w:rsidRDefault="00933121" w:rsidP="00BD7DA7">
      <w:pPr>
        <w:spacing w:after="0" w:line="360" w:lineRule="auto"/>
        <w:jc w:val="both"/>
        <w:rPr>
          <w:rFonts w:ascii="Times New Roman" w:hAnsi="Times New Roman" w:cs="Times New Roman"/>
          <w:bCs/>
          <w:sz w:val="24"/>
          <w:szCs w:val="24"/>
        </w:rPr>
      </w:pPr>
    </w:p>
    <w:p w14:paraId="734E8A6B" w14:textId="272832CC" w:rsidR="0047219F" w:rsidRPr="00BD7DA7" w:rsidRDefault="0047219F"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 xml:space="preserve">In the monsoon season, a general decline in pH was observed at most ecosites, reflecting increased freshwater inflow and leaching effects, whereas OC and nutrient concentrations showed contrasting trends. </w:t>
      </w:r>
      <w:proofErr w:type="spellStart"/>
      <w:r w:rsidRPr="00BD7DA7">
        <w:rPr>
          <w:rFonts w:ascii="Times New Roman" w:hAnsi="Times New Roman" w:cs="Times New Roman"/>
          <w:bCs/>
          <w:sz w:val="24"/>
          <w:szCs w:val="24"/>
          <w:lang w:val="en-IN"/>
        </w:rPr>
        <w:t>Kidapram</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Cherikadavu</w:t>
      </w:r>
      <w:proofErr w:type="spellEnd"/>
      <w:r w:rsidRPr="00BD7DA7">
        <w:rPr>
          <w:rFonts w:ascii="Times New Roman" w:hAnsi="Times New Roman" w:cs="Times New Roman"/>
          <w:bCs/>
          <w:sz w:val="24"/>
          <w:szCs w:val="24"/>
          <w:lang w:val="en-IN"/>
        </w:rPr>
        <w:t xml:space="preserve"> recorded relatively higher OC values, while nitrogen and phosphorus exhibited sharp fluctuations, with exceptionally high phosphorus at </w:t>
      </w:r>
      <w:proofErr w:type="spellStart"/>
      <w:r w:rsidRPr="00BD7DA7">
        <w:rPr>
          <w:rFonts w:ascii="Times New Roman" w:hAnsi="Times New Roman" w:cs="Times New Roman"/>
          <w:bCs/>
          <w:sz w:val="24"/>
          <w:szCs w:val="24"/>
          <w:lang w:val="en-IN"/>
        </w:rPr>
        <w:t>Neendakara</w:t>
      </w:r>
      <w:proofErr w:type="spellEnd"/>
      <w:r w:rsidRPr="00BD7DA7">
        <w:rPr>
          <w:rFonts w:ascii="Times New Roman" w:hAnsi="Times New Roman" w:cs="Times New Roman"/>
          <w:bCs/>
          <w:sz w:val="24"/>
          <w:szCs w:val="24"/>
          <w:lang w:val="en-IN"/>
        </w:rPr>
        <w:t xml:space="preserve"> indicating episodic nutrient enrichment during monsoon runoff. The post-monsoon season showed partial recovery of soil pH and a substantial increase in OC across all ecosites, especially at </w:t>
      </w:r>
      <w:proofErr w:type="spellStart"/>
      <w:r w:rsidRPr="00BD7DA7">
        <w:rPr>
          <w:rFonts w:ascii="Times New Roman" w:hAnsi="Times New Roman" w:cs="Times New Roman"/>
          <w:bCs/>
          <w:sz w:val="24"/>
          <w:szCs w:val="24"/>
          <w:lang w:val="en-IN"/>
        </w:rPr>
        <w:t>Neendakara</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suggesting enhanced organic matter accumulation after monsoonal sedimentation. Nutrient concentrations (N, P, K) during this period were comparatively stabilized but continued to display ecosite-specific patterns</w:t>
      </w:r>
      <w:r w:rsidR="00533A85" w:rsidRPr="00BD7DA7">
        <w:rPr>
          <w:rFonts w:ascii="Times New Roman" w:hAnsi="Times New Roman" w:cs="Times New Roman"/>
          <w:bCs/>
          <w:sz w:val="24"/>
          <w:szCs w:val="24"/>
          <w:lang w:val="en-IN"/>
        </w:rPr>
        <w:t>.</w:t>
      </w:r>
    </w:p>
    <w:p w14:paraId="5528391C" w14:textId="6F08F55B" w:rsidR="001C6922" w:rsidRDefault="001C6922" w:rsidP="00BD7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1C6922">
        <w:rPr>
          <w:rFonts w:ascii="Times New Roman" w:hAnsi="Times New Roman" w:cs="Times New Roman"/>
          <w:b/>
          <w:sz w:val="24"/>
          <w:szCs w:val="24"/>
        </w:rPr>
        <w:t>Descriptive statistical characteristics of soil quality parameters</w:t>
      </w:r>
    </w:p>
    <w:p w14:paraId="1EB3EB32" w14:textId="037907AD" w:rsidR="0047219F" w:rsidRPr="00F3449C" w:rsidRDefault="00097934" w:rsidP="00BD7DA7">
      <w:pPr>
        <w:spacing w:after="0" w:line="360" w:lineRule="auto"/>
        <w:jc w:val="both"/>
        <w:rPr>
          <w:rFonts w:ascii="Times New Roman" w:hAnsi="Times New Roman" w:cs="Times New Roman"/>
          <w:b/>
          <w:sz w:val="24"/>
          <w:szCs w:val="24"/>
        </w:rPr>
      </w:pPr>
      <w:r w:rsidRPr="00F3449C">
        <w:rPr>
          <w:rFonts w:ascii="Times New Roman" w:hAnsi="Times New Roman" w:cs="Times New Roman"/>
          <w:b/>
          <w:sz w:val="24"/>
          <w:szCs w:val="24"/>
        </w:rPr>
        <w:lastRenderedPageBreak/>
        <w:t xml:space="preserve">Table </w:t>
      </w:r>
      <w:r w:rsidR="00E544FA" w:rsidRPr="00F3449C">
        <w:rPr>
          <w:rFonts w:ascii="Times New Roman" w:hAnsi="Times New Roman" w:cs="Times New Roman"/>
          <w:b/>
          <w:sz w:val="24"/>
          <w:szCs w:val="24"/>
        </w:rPr>
        <w:t>2</w:t>
      </w:r>
      <w:r w:rsidRPr="00F3449C">
        <w:rPr>
          <w:rFonts w:ascii="Times New Roman" w:hAnsi="Times New Roman" w:cs="Times New Roman"/>
          <w:b/>
          <w:sz w:val="24"/>
          <w:szCs w:val="24"/>
        </w:rPr>
        <w:t xml:space="preserve">. </w:t>
      </w:r>
      <w:r w:rsidR="00F3449C" w:rsidRPr="00F3449C">
        <w:rPr>
          <w:rFonts w:ascii="Times New Roman" w:hAnsi="Times New Roman" w:cs="Times New Roman"/>
          <w:b/>
          <w:sz w:val="24"/>
          <w:szCs w:val="24"/>
        </w:rPr>
        <w:t>Descriptive statistics of soil physicochemical parameters across ecosites of Ashtamudi Wetland</w:t>
      </w:r>
    </w:p>
    <w:tbl>
      <w:tblPr>
        <w:tblStyle w:val="TableGrid"/>
        <w:tblW w:w="9099" w:type="dxa"/>
        <w:tblLook w:val="04A0" w:firstRow="1" w:lastRow="0" w:firstColumn="1" w:lastColumn="0" w:noHBand="0" w:noVBand="1"/>
      </w:tblPr>
      <w:tblGrid>
        <w:gridCol w:w="1980"/>
        <w:gridCol w:w="1177"/>
        <w:gridCol w:w="1216"/>
        <w:gridCol w:w="763"/>
        <w:gridCol w:w="3963"/>
      </w:tblGrid>
      <w:tr w:rsidR="00BD7DA7" w:rsidRPr="00BD7DA7" w14:paraId="541B2076" w14:textId="77777777" w:rsidTr="00B21683">
        <w:tc>
          <w:tcPr>
            <w:tcW w:w="1980" w:type="dxa"/>
            <w:hideMark/>
          </w:tcPr>
          <w:p w14:paraId="0A1C6797"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Parameter</w:t>
            </w:r>
          </w:p>
        </w:tc>
        <w:tc>
          <w:tcPr>
            <w:tcW w:w="0" w:type="auto"/>
            <w:hideMark/>
          </w:tcPr>
          <w:p w14:paraId="7EBEBCA1"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Minimum</w:t>
            </w:r>
          </w:p>
        </w:tc>
        <w:tc>
          <w:tcPr>
            <w:tcW w:w="0" w:type="auto"/>
            <w:hideMark/>
          </w:tcPr>
          <w:p w14:paraId="76577634"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Maximum</w:t>
            </w:r>
          </w:p>
        </w:tc>
        <w:tc>
          <w:tcPr>
            <w:tcW w:w="0" w:type="auto"/>
            <w:hideMark/>
          </w:tcPr>
          <w:p w14:paraId="145EA3B3"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Mean</w:t>
            </w:r>
          </w:p>
        </w:tc>
        <w:tc>
          <w:tcPr>
            <w:tcW w:w="0" w:type="auto"/>
            <w:hideMark/>
          </w:tcPr>
          <w:p w14:paraId="0DBAD8C8"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Interpretation</w:t>
            </w:r>
          </w:p>
        </w:tc>
      </w:tr>
      <w:tr w:rsidR="00BD7DA7" w:rsidRPr="00BD7DA7" w14:paraId="2CCFB1C3" w14:textId="77777777" w:rsidTr="00B21683">
        <w:tc>
          <w:tcPr>
            <w:tcW w:w="1980" w:type="dxa"/>
            <w:hideMark/>
          </w:tcPr>
          <w:p w14:paraId="2FB9245D"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w:t>
            </w:r>
          </w:p>
        </w:tc>
        <w:tc>
          <w:tcPr>
            <w:tcW w:w="0" w:type="auto"/>
            <w:hideMark/>
          </w:tcPr>
          <w:p w14:paraId="6CB4C0ED"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4.30</w:t>
            </w:r>
          </w:p>
        </w:tc>
        <w:tc>
          <w:tcPr>
            <w:tcW w:w="0" w:type="auto"/>
            <w:hideMark/>
          </w:tcPr>
          <w:p w14:paraId="6D5A2654"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6.00</w:t>
            </w:r>
          </w:p>
        </w:tc>
        <w:tc>
          <w:tcPr>
            <w:tcW w:w="0" w:type="auto"/>
            <w:hideMark/>
          </w:tcPr>
          <w:p w14:paraId="367D4373" w14:textId="4C31730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5.20</w:t>
            </w:r>
          </w:p>
        </w:tc>
        <w:tc>
          <w:tcPr>
            <w:tcW w:w="0" w:type="auto"/>
            <w:hideMark/>
          </w:tcPr>
          <w:p w14:paraId="7E917202"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Moderately acidic soils across ecosites</w:t>
            </w:r>
          </w:p>
        </w:tc>
      </w:tr>
      <w:tr w:rsidR="00BD7DA7" w:rsidRPr="00BD7DA7" w14:paraId="669800A4" w14:textId="77777777" w:rsidTr="00B21683">
        <w:tc>
          <w:tcPr>
            <w:tcW w:w="1980" w:type="dxa"/>
            <w:hideMark/>
          </w:tcPr>
          <w:p w14:paraId="36E34335" w14:textId="4C9E9A4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 (</w:t>
            </w:r>
            <w:r w:rsidR="00764AA3" w:rsidRPr="00BD7DA7">
              <w:rPr>
                <w:rFonts w:ascii="Times New Roman" w:hAnsi="Times New Roman" w:cs="Times New Roman"/>
                <w:bCs/>
                <w:sz w:val="24"/>
                <w:szCs w:val="24"/>
                <w:lang w:val="en-IN"/>
              </w:rPr>
              <w:t>µ</w:t>
            </w:r>
            <w:r w:rsidRPr="00BD7DA7">
              <w:rPr>
                <w:rFonts w:ascii="Times New Roman" w:hAnsi="Times New Roman" w:cs="Times New Roman"/>
                <w:bCs/>
                <w:sz w:val="24"/>
                <w:szCs w:val="24"/>
                <w:lang w:val="en-IN"/>
              </w:rPr>
              <w:t>S m⁻¹)</w:t>
            </w:r>
          </w:p>
        </w:tc>
        <w:tc>
          <w:tcPr>
            <w:tcW w:w="0" w:type="auto"/>
            <w:hideMark/>
          </w:tcPr>
          <w:p w14:paraId="47961907"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0.004</w:t>
            </w:r>
          </w:p>
        </w:tc>
        <w:tc>
          <w:tcPr>
            <w:tcW w:w="0" w:type="auto"/>
            <w:hideMark/>
          </w:tcPr>
          <w:p w14:paraId="644AF40A"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0.961</w:t>
            </w:r>
          </w:p>
        </w:tc>
        <w:tc>
          <w:tcPr>
            <w:tcW w:w="0" w:type="auto"/>
            <w:hideMark/>
          </w:tcPr>
          <w:p w14:paraId="2A80FCF3" w14:textId="2016D93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0.33</w:t>
            </w:r>
          </w:p>
        </w:tc>
        <w:tc>
          <w:tcPr>
            <w:tcW w:w="0" w:type="auto"/>
            <w:hideMark/>
          </w:tcPr>
          <w:p w14:paraId="3174BD89"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Low to moderate salinity, influenced by seasonality</w:t>
            </w:r>
          </w:p>
        </w:tc>
      </w:tr>
      <w:tr w:rsidR="00BD7DA7" w:rsidRPr="00BD7DA7" w14:paraId="1A94BCAE" w14:textId="77777777" w:rsidTr="00B21683">
        <w:tc>
          <w:tcPr>
            <w:tcW w:w="1980" w:type="dxa"/>
            <w:hideMark/>
          </w:tcPr>
          <w:p w14:paraId="705D858B"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Organic Carbon (%)</w:t>
            </w:r>
          </w:p>
        </w:tc>
        <w:tc>
          <w:tcPr>
            <w:tcW w:w="0" w:type="auto"/>
            <w:hideMark/>
          </w:tcPr>
          <w:p w14:paraId="4ED909E6"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0.96</w:t>
            </w:r>
          </w:p>
        </w:tc>
        <w:tc>
          <w:tcPr>
            <w:tcW w:w="0" w:type="auto"/>
            <w:hideMark/>
          </w:tcPr>
          <w:p w14:paraId="775DA5AD"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4.64</w:t>
            </w:r>
          </w:p>
        </w:tc>
        <w:tc>
          <w:tcPr>
            <w:tcW w:w="0" w:type="auto"/>
            <w:hideMark/>
          </w:tcPr>
          <w:p w14:paraId="5EA9D7FB" w14:textId="2797EE9F"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2.50</w:t>
            </w:r>
          </w:p>
        </w:tc>
        <w:tc>
          <w:tcPr>
            <w:tcW w:w="0" w:type="auto"/>
            <w:hideMark/>
          </w:tcPr>
          <w:p w14:paraId="34CF9505"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 to high organic matter content</w:t>
            </w:r>
          </w:p>
        </w:tc>
      </w:tr>
      <w:tr w:rsidR="00BD7DA7" w:rsidRPr="00BD7DA7" w14:paraId="707A06D2" w14:textId="77777777" w:rsidTr="00B21683">
        <w:tc>
          <w:tcPr>
            <w:tcW w:w="1980" w:type="dxa"/>
            <w:hideMark/>
          </w:tcPr>
          <w:p w14:paraId="57172D36" w14:textId="16063D30"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Nitrogen (kg</w:t>
            </w:r>
            <w:r w:rsidR="00FF7B11"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ha)</w:t>
            </w:r>
          </w:p>
        </w:tc>
        <w:tc>
          <w:tcPr>
            <w:tcW w:w="0" w:type="auto"/>
            <w:hideMark/>
          </w:tcPr>
          <w:p w14:paraId="2F2E4DD4"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87.77</w:t>
            </w:r>
          </w:p>
        </w:tc>
        <w:tc>
          <w:tcPr>
            <w:tcW w:w="0" w:type="auto"/>
            <w:hideMark/>
          </w:tcPr>
          <w:p w14:paraId="1E6C965C"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572.32</w:t>
            </w:r>
          </w:p>
        </w:tc>
        <w:tc>
          <w:tcPr>
            <w:tcW w:w="0" w:type="auto"/>
            <w:hideMark/>
          </w:tcPr>
          <w:p w14:paraId="46D100D1" w14:textId="0AAA02DC"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345.0</w:t>
            </w:r>
          </w:p>
        </w:tc>
        <w:tc>
          <w:tcPr>
            <w:tcW w:w="0" w:type="auto"/>
            <w:hideMark/>
          </w:tcPr>
          <w:p w14:paraId="5B193102"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Medium to high nitrogen availability</w:t>
            </w:r>
          </w:p>
        </w:tc>
      </w:tr>
      <w:tr w:rsidR="00BD7DA7" w:rsidRPr="00BD7DA7" w14:paraId="46F93467" w14:textId="77777777" w:rsidTr="00B21683">
        <w:tc>
          <w:tcPr>
            <w:tcW w:w="1980" w:type="dxa"/>
            <w:hideMark/>
          </w:tcPr>
          <w:p w14:paraId="1464921D" w14:textId="08660A1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Phosphorus (kg</w:t>
            </w:r>
            <w:r w:rsidR="00FF7B11"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ha)</w:t>
            </w:r>
          </w:p>
        </w:tc>
        <w:tc>
          <w:tcPr>
            <w:tcW w:w="0" w:type="auto"/>
            <w:hideMark/>
          </w:tcPr>
          <w:p w14:paraId="714624B2"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0.45</w:t>
            </w:r>
          </w:p>
        </w:tc>
        <w:tc>
          <w:tcPr>
            <w:tcW w:w="0" w:type="auto"/>
            <w:hideMark/>
          </w:tcPr>
          <w:p w14:paraId="2AFAA96A"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1054.45</w:t>
            </w:r>
          </w:p>
        </w:tc>
        <w:tc>
          <w:tcPr>
            <w:tcW w:w="0" w:type="auto"/>
            <w:hideMark/>
          </w:tcPr>
          <w:p w14:paraId="6D421EF2" w14:textId="373C7522"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110.0</w:t>
            </w:r>
          </w:p>
        </w:tc>
        <w:tc>
          <w:tcPr>
            <w:tcW w:w="0" w:type="auto"/>
            <w:hideMark/>
          </w:tcPr>
          <w:p w14:paraId="1CAA2925"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variable, indicating episodic enrichment</w:t>
            </w:r>
          </w:p>
        </w:tc>
      </w:tr>
      <w:tr w:rsidR="00BD7DA7" w:rsidRPr="00BD7DA7" w14:paraId="3A429C53" w14:textId="77777777" w:rsidTr="00B21683">
        <w:tc>
          <w:tcPr>
            <w:tcW w:w="1980" w:type="dxa"/>
            <w:hideMark/>
          </w:tcPr>
          <w:p w14:paraId="615C2397" w14:textId="4D9E0246"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Potassium (kg</w:t>
            </w:r>
            <w:r w:rsidR="00A05955"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ha)</w:t>
            </w:r>
          </w:p>
        </w:tc>
        <w:tc>
          <w:tcPr>
            <w:tcW w:w="0" w:type="auto"/>
            <w:hideMark/>
          </w:tcPr>
          <w:p w14:paraId="26CE3F55"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116.90</w:t>
            </w:r>
          </w:p>
        </w:tc>
        <w:tc>
          <w:tcPr>
            <w:tcW w:w="0" w:type="auto"/>
            <w:hideMark/>
          </w:tcPr>
          <w:p w14:paraId="516073CC"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613.12</w:t>
            </w:r>
          </w:p>
        </w:tc>
        <w:tc>
          <w:tcPr>
            <w:tcW w:w="0" w:type="auto"/>
            <w:hideMark/>
          </w:tcPr>
          <w:p w14:paraId="7C4743BB" w14:textId="25667092"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290.0</w:t>
            </w:r>
          </w:p>
        </w:tc>
        <w:tc>
          <w:tcPr>
            <w:tcW w:w="0" w:type="auto"/>
            <w:hideMark/>
          </w:tcPr>
          <w:p w14:paraId="54FE48FB"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Generally high potassium status</w:t>
            </w:r>
          </w:p>
        </w:tc>
      </w:tr>
    </w:tbl>
    <w:p w14:paraId="0214BC32" w14:textId="77777777" w:rsidR="00B21683" w:rsidRPr="00BD7DA7" w:rsidRDefault="00B21683" w:rsidP="00BD7DA7">
      <w:pPr>
        <w:spacing w:after="0" w:line="360" w:lineRule="auto"/>
        <w:jc w:val="both"/>
        <w:rPr>
          <w:rFonts w:ascii="Times New Roman" w:hAnsi="Times New Roman" w:cs="Times New Roman"/>
          <w:bCs/>
          <w:sz w:val="24"/>
          <w:szCs w:val="24"/>
          <w:lang w:val="en-IN"/>
        </w:rPr>
      </w:pPr>
    </w:p>
    <w:p w14:paraId="54521389" w14:textId="48ED2ADB" w:rsidR="00045FDF" w:rsidRPr="00BD7DA7" w:rsidRDefault="0039595C" w:rsidP="00BD7DA7">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S</w:t>
      </w:r>
      <w:r w:rsidR="00045FDF" w:rsidRPr="00BD7DA7">
        <w:rPr>
          <w:rFonts w:ascii="Times New Roman" w:hAnsi="Times New Roman" w:cs="Times New Roman"/>
          <w:bCs/>
          <w:sz w:val="24"/>
          <w:szCs w:val="24"/>
          <w:lang w:val="en-IN"/>
        </w:rPr>
        <w:t>tatistical analysis of soil parameters across the five ecosites of the Ashtamudi Lake indicated substantial variability in soil quality characteristics</w:t>
      </w:r>
      <w:r w:rsidR="001F1E6B">
        <w:rPr>
          <w:rFonts w:ascii="Times New Roman" w:hAnsi="Times New Roman" w:cs="Times New Roman"/>
          <w:bCs/>
          <w:sz w:val="24"/>
          <w:szCs w:val="24"/>
          <w:lang w:val="en-IN"/>
        </w:rPr>
        <w:t xml:space="preserve"> (Table 2)</w:t>
      </w:r>
      <w:r w:rsidR="00045FDF" w:rsidRPr="00BD7DA7">
        <w:rPr>
          <w:rFonts w:ascii="Times New Roman" w:hAnsi="Times New Roman" w:cs="Times New Roman"/>
          <w:bCs/>
          <w:sz w:val="24"/>
          <w:szCs w:val="24"/>
          <w:lang w:val="en-IN"/>
        </w:rPr>
        <w:t>. Soil pH ranged from 4.30 to 6.00 with an overall mean of approximately 5.2, reflecting predominantly acidic conditions typical of tropical wetland soils. Electrical conductivity exhibited low to moderate values, suggesting limited salinity stress with noticeable seasonal influence. Organic carbon content varied widely from 0.96% to 4.64%, indicating moderate to high organic matter accumulation across ecosites. Available nitrogen showed a broad range, while phosphorus exhibited extreme variability, with values, highlighting episodic nutrient inputs during specific seasons. Potassium concentrations remained relatively high across all sites, underscoring the nutrient-rich nature of the wetland soils.</w:t>
      </w:r>
    </w:p>
    <w:p w14:paraId="246E0E04" w14:textId="1D46D96F" w:rsidR="00045FDF" w:rsidRPr="00BD7DA7" w:rsidRDefault="001C6922" w:rsidP="00BD7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754493">
        <w:rPr>
          <w:rFonts w:ascii="Times New Roman" w:hAnsi="Times New Roman" w:cs="Times New Roman"/>
          <w:b/>
          <w:sz w:val="24"/>
          <w:szCs w:val="24"/>
        </w:rPr>
        <w:t>3</w:t>
      </w:r>
      <w:r>
        <w:rPr>
          <w:rFonts w:ascii="Times New Roman" w:hAnsi="Times New Roman" w:cs="Times New Roman"/>
          <w:b/>
          <w:sz w:val="24"/>
          <w:szCs w:val="24"/>
        </w:rPr>
        <w:t xml:space="preserve">. </w:t>
      </w:r>
      <w:r w:rsidR="00754493" w:rsidRPr="00754493">
        <w:rPr>
          <w:rFonts w:ascii="Times New Roman" w:hAnsi="Times New Roman" w:cs="Times New Roman"/>
          <w:b/>
          <w:sz w:val="24"/>
          <w:szCs w:val="24"/>
        </w:rPr>
        <w:t>Effects of season and ecosite on soil quality</w:t>
      </w:r>
    </w:p>
    <w:p w14:paraId="181D3426" w14:textId="26329EBA" w:rsidR="009A5F17" w:rsidRPr="009B6181" w:rsidRDefault="006B1021" w:rsidP="00BD7DA7">
      <w:pPr>
        <w:spacing w:after="0" w:line="360" w:lineRule="auto"/>
        <w:jc w:val="both"/>
        <w:rPr>
          <w:rFonts w:ascii="Times New Roman" w:hAnsi="Times New Roman" w:cs="Times New Roman"/>
          <w:b/>
          <w:sz w:val="24"/>
          <w:szCs w:val="24"/>
        </w:rPr>
      </w:pPr>
      <w:r w:rsidRPr="009B6181">
        <w:rPr>
          <w:rFonts w:ascii="Times New Roman" w:hAnsi="Times New Roman" w:cs="Times New Roman"/>
          <w:b/>
          <w:sz w:val="24"/>
          <w:szCs w:val="24"/>
        </w:rPr>
        <w:t xml:space="preserve">Table </w:t>
      </w:r>
      <w:r w:rsidR="00E544FA" w:rsidRPr="009B6181">
        <w:rPr>
          <w:rFonts w:ascii="Times New Roman" w:hAnsi="Times New Roman" w:cs="Times New Roman"/>
          <w:b/>
          <w:sz w:val="24"/>
          <w:szCs w:val="24"/>
        </w:rPr>
        <w:t>3</w:t>
      </w:r>
      <w:r w:rsidRPr="009B6181">
        <w:rPr>
          <w:rFonts w:ascii="Times New Roman" w:hAnsi="Times New Roman" w:cs="Times New Roman"/>
          <w:b/>
          <w:sz w:val="24"/>
          <w:szCs w:val="24"/>
        </w:rPr>
        <w:t xml:space="preserve">. </w:t>
      </w:r>
      <w:r w:rsidR="009B6181" w:rsidRPr="009B6181">
        <w:rPr>
          <w:rFonts w:ascii="Times New Roman" w:hAnsi="Times New Roman" w:cs="Times New Roman"/>
          <w:b/>
          <w:sz w:val="24"/>
          <w:szCs w:val="24"/>
        </w:rPr>
        <w:t>Two-way ANOVA results showing the effects of season, ecosite, and their interaction on soil quality parameters in Ashtamudi Wetland</w:t>
      </w:r>
    </w:p>
    <w:tbl>
      <w:tblPr>
        <w:tblStyle w:val="TableGrid"/>
        <w:tblW w:w="9204" w:type="dxa"/>
        <w:tblLook w:val="04A0" w:firstRow="1" w:lastRow="0" w:firstColumn="1" w:lastColumn="0" w:noHBand="0" w:noVBand="1"/>
      </w:tblPr>
      <w:tblGrid>
        <w:gridCol w:w="1189"/>
        <w:gridCol w:w="1848"/>
        <w:gridCol w:w="1849"/>
        <w:gridCol w:w="2049"/>
        <w:gridCol w:w="2269"/>
      </w:tblGrid>
      <w:tr w:rsidR="00BD7DA7" w:rsidRPr="00BD7DA7" w14:paraId="154ABD84" w14:textId="77777777" w:rsidTr="007040A9">
        <w:tc>
          <w:tcPr>
            <w:tcW w:w="1028" w:type="dxa"/>
            <w:hideMark/>
          </w:tcPr>
          <w:p w14:paraId="302EFB3D"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Parameter</w:t>
            </w:r>
          </w:p>
        </w:tc>
        <w:tc>
          <w:tcPr>
            <w:tcW w:w="0" w:type="auto"/>
            <w:hideMark/>
          </w:tcPr>
          <w:p w14:paraId="156918D9"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Season (F, p)</w:t>
            </w:r>
          </w:p>
        </w:tc>
        <w:tc>
          <w:tcPr>
            <w:tcW w:w="0" w:type="auto"/>
            <w:hideMark/>
          </w:tcPr>
          <w:p w14:paraId="7BEAED75"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Ecosite (F, p)</w:t>
            </w:r>
          </w:p>
        </w:tc>
        <w:tc>
          <w:tcPr>
            <w:tcW w:w="2049" w:type="dxa"/>
            <w:hideMark/>
          </w:tcPr>
          <w:p w14:paraId="7EA49D48"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Season × Ecosite (F, p)</w:t>
            </w:r>
          </w:p>
        </w:tc>
        <w:tc>
          <w:tcPr>
            <w:tcW w:w="0" w:type="auto"/>
            <w:hideMark/>
          </w:tcPr>
          <w:p w14:paraId="0C32D60F"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Inference</w:t>
            </w:r>
          </w:p>
        </w:tc>
      </w:tr>
      <w:tr w:rsidR="00BD7DA7" w:rsidRPr="00BD7DA7" w14:paraId="7FEA498A" w14:textId="77777777" w:rsidTr="007040A9">
        <w:tc>
          <w:tcPr>
            <w:tcW w:w="1028" w:type="dxa"/>
            <w:hideMark/>
          </w:tcPr>
          <w:p w14:paraId="6F55300A"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w:t>
            </w:r>
          </w:p>
        </w:tc>
        <w:tc>
          <w:tcPr>
            <w:tcW w:w="0" w:type="auto"/>
            <w:hideMark/>
          </w:tcPr>
          <w:p w14:paraId="3220ED97" w14:textId="303673B4"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34477A5F" w14:textId="07A714F9"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2049" w:type="dxa"/>
            <w:hideMark/>
          </w:tcPr>
          <w:p w14:paraId="352E510D" w14:textId="55E59DD9"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4CE81E96"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 varied seasonally and spatially</w:t>
            </w:r>
          </w:p>
        </w:tc>
      </w:tr>
      <w:tr w:rsidR="00BD7DA7" w:rsidRPr="00BD7DA7" w14:paraId="23560CBC" w14:textId="77777777" w:rsidTr="007040A9">
        <w:tc>
          <w:tcPr>
            <w:tcW w:w="1028" w:type="dxa"/>
            <w:hideMark/>
          </w:tcPr>
          <w:p w14:paraId="5A14264C"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w:t>
            </w:r>
          </w:p>
        </w:tc>
        <w:tc>
          <w:tcPr>
            <w:tcW w:w="0" w:type="auto"/>
            <w:hideMark/>
          </w:tcPr>
          <w:p w14:paraId="520E127E" w14:textId="3D5B5189"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0" w:type="auto"/>
            <w:hideMark/>
          </w:tcPr>
          <w:p w14:paraId="00E8404C" w14:textId="716385C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2049" w:type="dxa"/>
            <w:hideMark/>
          </w:tcPr>
          <w:p w14:paraId="68F752E3" w14:textId="4FB0043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7333BFE8"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 strongly influenced by seasonality</w:t>
            </w:r>
          </w:p>
        </w:tc>
      </w:tr>
      <w:tr w:rsidR="00BD7DA7" w:rsidRPr="00BD7DA7" w14:paraId="5F9A3206" w14:textId="77777777" w:rsidTr="007040A9">
        <w:tc>
          <w:tcPr>
            <w:tcW w:w="1028" w:type="dxa"/>
            <w:hideMark/>
          </w:tcPr>
          <w:p w14:paraId="3733600A" w14:textId="4904AFA4" w:rsidR="00391F7E" w:rsidRPr="00BD7DA7" w:rsidRDefault="002E36E6"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lastRenderedPageBreak/>
              <w:t>OC</w:t>
            </w:r>
          </w:p>
        </w:tc>
        <w:tc>
          <w:tcPr>
            <w:tcW w:w="0" w:type="auto"/>
            <w:hideMark/>
          </w:tcPr>
          <w:p w14:paraId="48F82E02"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0" w:type="auto"/>
            <w:hideMark/>
          </w:tcPr>
          <w:p w14:paraId="7409DC6A" w14:textId="6CCA2884"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2049" w:type="dxa"/>
            <w:hideMark/>
          </w:tcPr>
          <w:p w14:paraId="3959B89B" w14:textId="70082056"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420BF3F1"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OC controlled by season–site interaction</w:t>
            </w:r>
          </w:p>
        </w:tc>
      </w:tr>
      <w:tr w:rsidR="00BD7DA7" w:rsidRPr="00BD7DA7" w14:paraId="1A288687" w14:textId="77777777" w:rsidTr="007040A9">
        <w:tc>
          <w:tcPr>
            <w:tcW w:w="1028" w:type="dxa"/>
            <w:hideMark/>
          </w:tcPr>
          <w:p w14:paraId="397E0957" w14:textId="2E67A01A"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N</w:t>
            </w:r>
          </w:p>
        </w:tc>
        <w:tc>
          <w:tcPr>
            <w:tcW w:w="0" w:type="auto"/>
            <w:hideMark/>
          </w:tcPr>
          <w:p w14:paraId="33391D6E" w14:textId="54911000"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0" w:type="auto"/>
            <w:hideMark/>
          </w:tcPr>
          <w:p w14:paraId="312AE219" w14:textId="47C5F7A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2049" w:type="dxa"/>
            <w:hideMark/>
          </w:tcPr>
          <w:p w14:paraId="5530AA74" w14:textId="1D95281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47080805"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Strong spatial and seasonal variation</w:t>
            </w:r>
          </w:p>
        </w:tc>
      </w:tr>
      <w:tr w:rsidR="00BD7DA7" w:rsidRPr="00BD7DA7" w14:paraId="1FACFBB2" w14:textId="77777777" w:rsidTr="007040A9">
        <w:trPr>
          <w:trHeight w:val="699"/>
        </w:trPr>
        <w:tc>
          <w:tcPr>
            <w:tcW w:w="1028" w:type="dxa"/>
            <w:hideMark/>
          </w:tcPr>
          <w:p w14:paraId="1FBDB34D" w14:textId="273F5056"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w:t>
            </w:r>
          </w:p>
        </w:tc>
        <w:tc>
          <w:tcPr>
            <w:tcW w:w="0" w:type="auto"/>
            <w:hideMark/>
          </w:tcPr>
          <w:p w14:paraId="4B9444AC"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0" w:type="auto"/>
            <w:hideMark/>
          </w:tcPr>
          <w:p w14:paraId="121B6110"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2049" w:type="dxa"/>
            <w:hideMark/>
          </w:tcPr>
          <w:p w14:paraId="3F676FD7"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0" w:type="auto"/>
            <w:hideMark/>
          </w:tcPr>
          <w:p w14:paraId="7E3A5A73"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Episodic and ecosite-specific enrichment</w:t>
            </w:r>
          </w:p>
        </w:tc>
      </w:tr>
      <w:tr w:rsidR="00BD7DA7" w:rsidRPr="00BD7DA7" w14:paraId="791B17D5" w14:textId="77777777" w:rsidTr="007040A9">
        <w:tc>
          <w:tcPr>
            <w:tcW w:w="1028" w:type="dxa"/>
            <w:hideMark/>
          </w:tcPr>
          <w:p w14:paraId="4A409057" w14:textId="0374395C" w:rsidR="00391F7E" w:rsidRPr="00BD7DA7" w:rsidRDefault="002E36E6"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K</w:t>
            </w:r>
          </w:p>
        </w:tc>
        <w:tc>
          <w:tcPr>
            <w:tcW w:w="0" w:type="auto"/>
            <w:hideMark/>
          </w:tcPr>
          <w:p w14:paraId="29EE27AF" w14:textId="6E3D9A6C"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30752264" w14:textId="3831DDE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2049" w:type="dxa"/>
            <w:hideMark/>
          </w:tcPr>
          <w:p w14:paraId="18B52A8D" w14:textId="4A25CF9C"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w:t>
            </w:r>
            <w:r w:rsidR="007B5E4B"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(p&lt;0.05)</w:t>
            </w:r>
          </w:p>
        </w:tc>
        <w:tc>
          <w:tcPr>
            <w:tcW w:w="0" w:type="auto"/>
            <w:hideMark/>
          </w:tcPr>
          <w:p w14:paraId="792E1CFD"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Potassium differed among ecosites</w:t>
            </w:r>
          </w:p>
        </w:tc>
      </w:tr>
    </w:tbl>
    <w:p w14:paraId="0F0019DD" w14:textId="4E02E1D2" w:rsidR="006B1021" w:rsidRPr="00BD7DA7" w:rsidRDefault="006B1021"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Two-way ANOVA revealed that soil quality parameters across the five ecosites of the Ashtamudi Lake were significantly influenced by both season and ecosite, as well as their interaction</w:t>
      </w:r>
      <w:r w:rsidR="001F1E6B">
        <w:rPr>
          <w:rFonts w:ascii="Times New Roman" w:hAnsi="Times New Roman" w:cs="Times New Roman"/>
          <w:bCs/>
          <w:sz w:val="24"/>
          <w:szCs w:val="24"/>
        </w:rPr>
        <w:t xml:space="preserve"> </w:t>
      </w:r>
      <w:r w:rsidR="00FC4FE9">
        <w:rPr>
          <w:rFonts w:ascii="Times New Roman" w:hAnsi="Times New Roman" w:cs="Times New Roman"/>
          <w:bCs/>
          <w:sz w:val="24"/>
          <w:szCs w:val="24"/>
        </w:rPr>
        <w:t>(</w:t>
      </w:r>
      <w:r w:rsidR="001F1E6B">
        <w:rPr>
          <w:rFonts w:ascii="Times New Roman" w:hAnsi="Times New Roman" w:cs="Times New Roman"/>
          <w:bCs/>
          <w:sz w:val="24"/>
          <w:szCs w:val="24"/>
        </w:rPr>
        <w:t xml:space="preserve">Table </w:t>
      </w:r>
      <w:r w:rsidR="00FC4FE9">
        <w:rPr>
          <w:rFonts w:ascii="Times New Roman" w:hAnsi="Times New Roman" w:cs="Times New Roman"/>
          <w:bCs/>
          <w:sz w:val="24"/>
          <w:szCs w:val="24"/>
        </w:rPr>
        <w:t>3)</w:t>
      </w:r>
      <w:r w:rsidRPr="00BD7DA7">
        <w:rPr>
          <w:rFonts w:ascii="Times New Roman" w:hAnsi="Times New Roman" w:cs="Times New Roman"/>
          <w:bCs/>
          <w:sz w:val="24"/>
          <w:szCs w:val="24"/>
        </w:rPr>
        <w:t>. Soil pH and electrical conductivity exhibited significant seasonal and spatial variation (p &lt; 0.05), indicating strong control of hydrological processes and site-specific conditions. Organic carbon showed a highly significant seasonal effect (p &lt; 0.01), with a significant interaction between season and ecosite, suggesting differential organic matter accumulation patterns across sites. Available nitrogen, phosphorus, and potassium displayed pronounced variability, with phosphorus showing highly significant effects for season, ecosite, and their interaction (p &lt; 0.01), reflecting episodic nutrient enrichment during monsoon-driven runoff and localized anthropogenic inputs. Overall, the significant interaction terms confirm that seasonal influences on soil quality varied among ecosites, underscoring the combined role of temporal dynamics and local environmental heterogeneity in regulating wetland soil characteristics.</w:t>
      </w:r>
    </w:p>
    <w:p w14:paraId="75095444" w14:textId="77777777" w:rsidR="002A1F7F" w:rsidRDefault="00754493" w:rsidP="00BD7DA7">
      <w:pPr>
        <w:spacing w:after="0" w:line="360" w:lineRule="auto"/>
        <w:jc w:val="both"/>
        <w:rPr>
          <w:rFonts w:ascii="Times New Roman" w:hAnsi="Times New Roman" w:cs="Times New Roman"/>
          <w:b/>
          <w:sz w:val="24"/>
          <w:szCs w:val="24"/>
        </w:rPr>
      </w:pPr>
      <w:r w:rsidRPr="00754493">
        <w:rPr>
          <w:rFonts w:ascii="Times New Roman" w:hAnsi="Times New Roman" w:cs="Times New Roman"/>
          <w:b/>
          <w:sz w:val="24"/>
          <w:szCs w:val="24"/>
        </w:rPr>
        <w:t>3.4 Post-hoc differentiation of ecosites and seasons (Tukey HSD analysis)</w:t>
      </w:r>
    </w:p>
    <w:p w14:paraId="41F02EB4" w14:textId="77777777" w:rsidR="002A1F7F" w:rsidRPr="00BD7DA7" w:rsidRDefault="002A1F7F" w:rsidP="002A1F7F">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Tukey HSD post-hoc analysis revealed clear and structured spatial differentiation, nutrient enrichment pathways, and sediment-driven influences among ecosites and seasons for most soil quality parameters in Ashtamudi Lake</w:t>
      </w:r>
      <w:r>
        <w:rPr>
          <w:rFonts w:ascii="Times New Roman" w:hAnsi="Times New Roman" w:cs="Times New Roman"/>
          <w:bCs/>
          <w:sz w:val="24"/>
          <w:szCs w:val="24"/>
        </w:rPr>
        <w:t xml:space="preserve"> (Fig. 2)</w:t>
      </w:r>
      <w:r w:rsidRPr="00BD7DA7">
        <w:rPr>
          <w:rFonts w:ascii="Times New Roman" w:hAnsi="Times New Roman" w:cs="Times New Roman"/>
          <w:bCs/>
          <w:sz w:val="24"/>
          <w:szCs w:val="24"/>
        </w:rPr>
        <w:t xml:space="preserve">. Spatial differentiation patterns indicated that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consistently exhibited significantly higher soil pH and available nitrogen compared to </w:t>
      </w:r>
      <w:proofErr w:type="spellStart"/>
      <w:r w:rsidRPr="00BD7DA7">
        <w:rPr>
          <w:rFonts w:ascii="Times New Roman" w:hAnsi="Times New Roman" w:cs="Times New Roman"/>
          <w:bCs/>
          <w:sz w:val="24"/>
          <w:szCs w:val="24"/>
        </w:rPr>
        <w:t>Kidapram</w:t>
      </w:r>
      <w:proofErr w:type="spellEnd"/>
      <w:r w:rsidRPr="00BD7DA7">
        <w:rPr>
          <w:rFonts w:ascii="Times New Roman" w:hAnsi="Times New Roman" w:cs="Times New Roman"/>
          <w:bCs/>
          <w:sz w:val="24"/>
          <w:szCs w:val="24"/>
        </w:rPr>
        <w:t xml:space="preserve"> and </w:t>
      </w:r>
      <w:proofErr w:type="spellStart"/>
      <w:r w:rsidRPr="00BD7DA7">
        <w:rPr>
          <w:rFonts w:ascii="Times New Roman" w:hAnsi="Times New Roman" w:cs="Times New Roman"/>
          <w:bCs/>
          <w:sz w:val="24"/>
          <w:szCs w:val="24"/>
        </w:rPr>
        <w:t>Cherikadavu</w:t>
      </w:r>
      <w:proofErr w:type="spellEnd"/>
      <w:r w:rsidRPr="00BD7DA7">
        <w:rPr>
          <w:rFonts w:ascii="Times New Roman" w:hAnsi="Times New Roman" w:cs="Times New Roman"/>
          <w:bCs/>
          <w:sz w:val="24"/>
          <w:szCs w:val="24"/>
        </w:rPr>
        <w:t xml:space="preserve">, reflecting relatively less acidic conditions and favorable nutrient status at central ecosites. Nutrient enrichment trends showed significantly higher organic carbon at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compared to all other ecosites, particularly during the post-monsoon season, highlighting enhanced organic matter accumulation driven by monsoonal sediment deposition. Sediment influence was evident through elevated potassium </w:t>
      </w:r>
      <w:r w:rsidRPr="00BD7DA7">
        <w:rPr>
          <w:rFonts w:ascii="Times New Roman" w:hAnsi="Times New Roman" w:cs="Times New Roman"/>
          <w:bCs/>
          <w:sz w:val="24"/>
          <w:szCs w:val="24"/>
        </w:rPr>
        <w:lastRenderedPageBreak/>
        <w:t xml:space="preserve">concentrations at </w:t>
      </w:r>
      <w:proofErr w:type="spellStart"/>
      <w:r w:rsidRPr="00BD7DA7">
        <w:rPr>
          <w:rFonts w:ascii="Times New Roman" w:hAnsi="Times New Roman" w:cs="Times New Roman"/>
          <w:bCs/>
          <w:sz w:val="24"/>
          <w:szCs w:val="24"/>
        </w:rPr>
        <w:t>Cherikadavu</w:t>
      </w:r>
      <w:proofErr w:type="spellEnd"/>
      <w:r w:rsidRPr="00BD7DA7">
        <w:rPr>
          <w:rFonts w:ascii="Times New Roman" w:hAnsi="Times New Roman" w:cs="Times New Roman"/>
          <w:bCs/>
          <w:sz w:val="24"/>
          <w:szCs w:val="24"/>
        </w:rPr>
        <w:t xml:space="preserve">, indicating potassium-rich sediment inputs, while nutrient flux control was reflected by higher nitrogen levels at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linked to localized anthropogenic and hydrological inputs. Episodic enrichment patterns were observed for phosphorus, with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exhibiting significantly higher concentrations during the monsoon season, consistent with runoff-driven nutrient pulses. Collectively, these structured patterns confirm strong spatial heterogeneity, sedimentary control, and seasonal forcing as dominant regulators of soil nutrient dynamics within the wetland ecosystem.</w:t>
      </w:r>
    </w:p>
    <w:p w14:paraId="3C9A83DB" w14:textId="4BA8700F" w:rsidR="00611A5B" w:rsidRPr="00BD7DA7" w:rsidRDefault="00EC2944" w:rsidP="00BD7DA7">
      <w:pPr>
        <w:spacing w:after="0" w:line="360" w:lineRule="auto"/>
        <w:jc w:val="both"/>
        <w:rPr>
          <w:rFonts w:ascii="Times New Roman" w:hAnsi="Times New Roman" w:cs="Times New Roman"/>
          <w:bCs/>
          <w:sz w:val="24"/>
          <w:szCs w:val="24"/>
        </w:rPr>
      </w:pPr>
      <w:r>
        <w:rPr>
          <w:noProof/>
        </w:rPr>
        <w:drawing>
          <wp:inline distT="0" distB="0" distL="0" distR="0" wp14:anchorId="5C101353" wp14:editId="4AE48FFC">
            <wp:extent cx="5667692" cy="3778250"/>
            <wp:effectExtent l="0" t="0" r="9525" b="0"/>
            <wp:docPr id="1065558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641" cy="3787549"/>
                    </a:xfrm>
                    <a:prstGeom prst="rect">
                      <a:avLst/>
                    </a:prstGeom>
                    <a:noFill/>
                    <a:ln>
                      <a:noFill/>
                    </a:ln>
                  </pic:spPr>
                </pic:pic>
              </a:graphicData>
            </a:graphic>
          </wp:inline>
        </w:drawing>
      </w:r>
    </w:p>
    <w:p w14:paraId="2EB85D42" w14:textId="77777777" w:rsidR="001619FF" w:rsidRDefault="00384145"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 xml:space="preserve">Figure </w:t>
      </w:r>
      <w:r w:rsidR="00E544FA">
        <w:rPr>
          <w:rFonts w:ascii="Times New Roman" w:hAnsi="Times New Roman" w:cs="Times New Roman"/>
          <w:bCs/>
          <w:sz w:val="24"/>
          <w:szCs w:val="24"/>
        </w:rPr>
        <w:t>2</w:t>
      </w:r>
      <w:r w:rsidRPr="00BD7DA7">
        <w:rPr>
          <w:rFonts w:ascii="Times New Roman" w:hAnsi="Times New Roman" w:cs="Times New Roman"/>
          <w:bCs/>
          <w:sz w:val="24"/>
          <w:szCs w:val="24"/>
        </w:rPr>
        <w:t xml:space="preserve">. </w:t>
      </w:r>
      <w:r w:rsidR="001619FF" w:rsidRPr="001619FF">
        <w:rPr>
          <w:rFonts w:ascii="Times New Roman" w:hAnsi="Times New Roman" w:cs="Times New Roman"/>
          <w:bCs/>
          <w:sz w:val="24"/>
          <w:szCs w:val="24"/>
        </w:rPr>
        <w:t>Tukey HSD post-hoc comparison of soil quality parameters among ecosites illustrating spatial differentiation, nutrient enrichment, sediment influence, and seasonal forcing (p &lt; 0.05)</w:t>
      </w:r>
    </w:p>
    <w:p w14:paraId="4AD0D89A" w14:textId="77777777" w:rsidR="00112D02" w:rsidRDefault="00112D02" w:rsidP="00112D02">
      <w:pPr>
        <w:spacing w:after="0" w:line="360" w:lineRule="auto"/>
        <w:rPr>
          <w:rFonts w:ascii="Times New Roman" w:hAnsi="Times New Roman" w:cs="Times New Roman"/>
          <w:b/>
          <w:sz w:val="24"/>
          <w:szCs w:val="24"/>
        </w:rPr>
      </w:pPr>
      <w:r w:rsidRPr="00112D02">
        <w:rPr>
          <w:rFonts w:ascii="Times New Roman" w:hAnsi="Times New Roman" w:cs="Times New Roman"/>
          <w:b/>
          <w:sz w:val="24"/>
          <w:szCs w:val="24"/>
        </w:rPr>
        <w:t>3.5 Interrelationships among soil parameters: Pearson correlation analysis</w:t>
      </w:r>
    </w:p>
    <w:p w14:paraId="11622D7A" w14:textId="734D8BCE" w:rsidR="009F714D" w:rsidRPr="00BD7DA7" w:rsidRDefault="004D3C6E" w:rsidP="00112D02">
      <w:pPr>
        <w:spacing w:after="0" w:line="360" w:lineRule="auto"/>
        <w:rPr>
          <w:rFonts w:ascii="Times New Roman" w:hAnsi="Times New Roman" w:cs="Times New Roman"/>
          <w:bCs/>
          <w:sz w:val="24"/>
          <w:szCs w:val="24"/>
        </w:rPr>
      </w:pPr>
      <w:r>
        <w:rPr>
          <w:noProof/>
        </w:rPr>
        <w:lastRenderedPageBreak/>
        <w:drawing>
          <wp:inline distT="0" distB="0" distL="0" distR="0" wp14:anchorId="1B49F12A" wp14:editId="460A013D">
            <wp:extent cx="5149850" cy="4457764"/>
            <wp:effectExtent l="0" t="0" r="0" b="0"/>
            <wp:docPr id="139314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4434" cy="4461732"/>
                    </a:xfrm>
                    <a:prstGeom prst="rect">
                      <a:avLst/>
                    </a:prstGeom>
                    <a:noFill/>
                    <a:ln>
                      <a:noFill/>
                    </a:ln>
                  </pic:spPr>
                </pic:pic>
              </a:graphicData>
            </a:graphic>
          </wp:inline>
        </w:drawing>
      </w:r>
    </w:p>
    <w:p w14:paraId="5EA2635C" w14:textId="64A8EED8" w:rsidR="00321338" w:rsidRPr="00BD7DA7" w:rsidRDefault="00321338"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 xml:space="preserve">Figure </w:t>
      </w:r>
      <w:r w:rsidR="00B146EA">
        <w:rPr>
          <w:rFonts w:ascii="Times New Roman" w:hAnsi="Times New Roman" w:cs="Times New Roman"/>
          <w:bCs/>
          <w:sz w:val="24"/>
          <w:szCs w:val="24"/>
        </w:rPr>
        <w:t>3</w:t>
      </w:r>
      <w:r w:rsidRPr="00BD7DA7">
        <w:rPr>
          <w:rFonts w:ascii="Times New Roman" w:hAnsi="Times New Roman" w:cs="Times New Roman"/>
          <w:bCs/>
          <w:sz w:val="24"/>
          <w:szCs w:val="24"/>
        </w:rPr>
        <w:t xml:space="preserve">. </w:t>
      </w:r>
      <w:r w:rsidR="000A3FE0" w:rsidRPr="000A3FE0">
        <w:rPr>
          <w:rFonts w:ascii="Times New Roman" w:hAnsi="Times New Roman" w:cs="Times New Roman"/>
          <w:bCs/>
          <w:sz w:val="24"/>
          <w:szCs w:val="24"/>
        </w:rPr>
        <w:t>Pearson correlation heatmap showing relationships among soil physicochemical parameters across ecosites and seasons</w:t>
      </w:r>
    </w:p>
    <w:p w14:paraId="1340CB59" w14:textId="70492241" w:rsidR="0020230C" w:rsidRPr="00BD7DA7" w:rsidRDefault="0020230C"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Pearson correlation analysis revealed distinct interrelationships among soil quality parameters across the five ecosites of the Ashtamudi Lake</w:t>
      </w:r>
      <w:r w:rsidR="00AE79A2">
        <w:rPr>
          <w:rFonts w:ascii="Times New Roman" w:hAnsi="Times New Roman" w:cs="Times New Roman"/>
          <w:bCs/>
          <w:sz w:val="24"/>
          <w:szCs w:val="24"/>
        </w:rPr>
        <w:t xml:space="preserve"> (</w:t>
      </w:r>
      <w:r w:rsidR="00BE5262">
        <w:rPr>
          <w:rFonts w:ascii="Times New Roman" w:hAnsi="Times New Roman" w:cs="Times New Roman"/>
          <w:bCs/>
          <w:sz w:val="24"/>
          <w:szCs w:val="24"/>
        </w:rPr>
        <w:t>Fig.3)</w:t>
      </w:r>
      <w:r w:rsidRPr="00BD7DA7">
        <w:rPr>
          <w:rFonts w:ascii="Times New Roman" w:hAnsi="Times New Roman" w:cs="Times New Roman"/>
          <w:bCs/>
          <w:sz w:val="24"/>
          <w:szCs w:val="24"/>
        </w:rPr>
        <w:t xml:space="preserve">. Soil pH showed a moderate positive correlation with available nitrogen (r = 0.46), indicating enhanced nitrogen availability under less acidic conditions. Organic carbon exhibited a strong negative correlation with available nitrogen (r = </w:t>
      </w:r>
      <w:r w:rsidR="00BE5262">
        <w:rPr>
          <w:rFonts w:ascii="Times New Roman" w:hAnsi="Times New Roman" w:cs="Times New Roman"/>
          <w:bCs/>
          <w:sz w:val="24"/>
          <w:szCs w:val="24"/>
        </w:rPr>
        <w:t>-</w:t>
      </w:r>
      <w:r w:rsidRPr="00BD7DA7">
        <w:rPr>
          <w:rFonts w:ascii="Times New Roman" w:hAnsi="Times New Roman" w:cs="Times New Roman"/>
          <w:bCs/>
          <w:sz w:val="24"/>
          <w:szCs w:val="24"/>
        </w:rPr>
        <w:t xml:space="preserve">0.58) and phosphorus (r = </w:t>
      </w:r>
      <w:r w:rsidR="00BE5262">
        <w:rPr>
          <w:rFonts w:ascii="Times New Roman" w:hAnsi="Times New Roman" w:cs="Times New Roman"/>
          <w:bCs/>
          <w:sz w:val="24"/>
          <w:szCs w:val="24"/>
        </w:rPr>
        <w:t>-</w:t>
      </w:r>
      <w:r w:rsidRPr="00BD7DA7">
        <w:rPr>
          <w:rFonts w:ascii="Times New Roman" w:hAnsi="Times New Roman" w:cs="Times New Roman"/>
          <w:bCs/>
          <w:sz w:val="24"/>
          <w:szCs w:val="24"/>
        </w:rPr>
        <w:t>0.49), suggesting differential nutrient mineralization and immobilization processes within organic-rich soils. A moderate positive association was observed between organic carbon and potassium (r = 0.39), reflecting the contribution of organic matter to potassium retention. Electrical conductivity showed weak correlations with most nutrients, indicating limited salinity control on nutrient dynamics. Overall, the correlation pattern highlights the dominant role of organic matter and soil acidity in regulating nutrient availability and biogeochemical interactions within the wetland soil system.</w:t>
      </w:r>
    </w:p>
    <w:p w14:paraId="2470DC09" w14:textId="77777777" w:rsidR="00F731CE" w:rsidRDefault="00F731CE" w:rsidP="00BD7DA7">
      <w:pPr>
        <w:spacing w:after="0" w:line="360" w:lineRule="auto"/>
        <w:jc w:val="both"/>
        <w:rPr>
          <w:rFonts w:ascii="Times New Roman" w:hAnsi="Times New Roman" w:cs="Times New Roman"/>
          <w:b/>
          <w:bCs/>
          <w:sz w:val="24"/>
          <w:szCs w:val="24"/>
        </w:rPr>
      </w:pPr>
      <w:r w:rsidRPr="00F731CE">
        <w:rPr>
          <w:rFonts w:ascii="Times New Roman" w:hAnsi="Times New Roman" w:cs="Times New Roman"/>
          <w:b/>
          <w:bCs/>
          <w:sz w:val="24"/>
          <w:szCs w:val="24"/>
        </w:rPr>
        <w:t>3.6 Multivariate structure of soil quality: Principal Component Analysis (PCA)</w:t>
      </w:r>
    </w:p>
    <w:p w14:paraId="79C462D2" w14:textId="2989BEFE" w:rsidR="002E67B4" w:rsidRPr="00BD7DA7" w:rsidRDefault="002E67B4"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Principal Component Analysis (PCA) was performed to elucidate the dominant factors governing soil quality variation across seasons and ecosites of the Ashtamudi Lake</w:t>
      </w:r>
      <w:r w:rsidR="00CE4BE7">
        <w:rPr>
          <w:rFonts w:ascii="Times New Roman" w:hAnsi="Times New Roman" w:cs="Times New Roman"/>
          <w:bCs/>
          <w:sz w:val="24"/>
          <w:szCs w:val="24"/>
          <w:lang w:val="en-IN"/>
        </w:rPr>
        <w:t xml:space="preserve"> (Fig. 4)</w:t>
      </w:r>
      <w:r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lastRenderedPageBreak/>
        <w:t>The first two principal components explained 59.1% of the total variance, with PC1 accounting for 33.5% and PC2 for 25.6%. PC1 was positively associated with organic carbon and potassium, indicating the influence of organic matter accumulation and nutrient retention, while negative loadings of nitrogen and phosphorus suggest contrasting nutrient dynamics. PC2 was primarily influenced by soil pH and electrical conductivity, reflecting the role of acidity and ionic composition in structuring soil conditions. Seasonal clustering was evident in the biplot, with post-monsoon samples aligning with higher organic carbon and potassium, monsoon samples associated with elevated phosphorus and nitrogen, and pre-monsoon samples showing mixed distribution. The clear separation of samples along the principal components confirms strong seasonal control and ecosite-specific heterogeneity in soil nutrient dynamics within the wetland ecosystem.</w:t>
      </w:r>
    </w:p>
    <w:p w14:paraId="41CD011C" w14:textId="21DF23CD" w:rsidR="00C72502" w:rsidRPr="00BD7DA7" w:rsidRDefault="00AD09E0"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noProof/>
          <w:sz w:val="24"/>
          <w:szCs w:val="24"/>
        </w:rPr>
        <w:drawing>
          <wp:inline distT="0" distB="0" distL="0" distR="0" wp14:anchorId="36FBF402" wp14:editId="23A174DA">
            <wp:extent cx="4769174" cy="3562350"/>
            <wp:effectExtent l="0" t="0" r="0" b="0"/>
            <wp:docPr id="1519196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7947" cy="3568903"/>
                    </a:xfrm>
                    <a:prstGeom prst="rect">
                      <a:avLst/>
                    </a:prstGeom>
                    <a:noFill/>
                    <a:ln>
                      <a:noFill/>
                    </a:ln>
                  </pic:spPr>
                </pic:pic>
              </a:graphicData>
            </a:graphic>
          </wp:inline>
        </w:drawing>
      </w:r>
    </w:p>
    <w:p w14:paraId="7F8E680E" w14:textId="652B998A" w:rsidR="00C72502" w:rsidRPr="00BD7DA7" w:rsidRDefault="00C72502" w:rsidP="00BD7DA7">
      <w:pPr>
        <w:tabs>
          <w:tab w:val="left" w:pos="5700"/>
        </w:tabs>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 xml:space="preserve">Figure </w:t>
      </w:r>
      <w:r w:rsidR="00B146EA">
        <w:rPr>
          <w:rFonts w:ascii="Times New Roman" w:hAnsi="Times New Roman" w:cs="Times New Roman"/>
          <w:bCs/>
          <w:sz w:val="24"/>
          <w:szCs w:val="24"/>
        </w:rPr>
        <w:t>4</w:t>
      </w:r>
      <w:r w:rsidRPr="00BD7DA7">
        <w:rPr>
          <w:rFonts w:ascii="Times New Roman" w:hAnsi="Times New Roman" w:cs="Times New Roman"/>
          <w:bCs/>
          <w:sz w:val="24"/>
          <w:szCs w:val="24"/>
        </w:rPr>
        <w:t xml:space="preserve">. </w:t>
      </w:r>
      <w:r w:rsidR="000A3FE0" w:rsidRPr="000A3FE0">
        <w:rPr>
          <w:rFonts w:ascii="Times New Roman" w:hAnsi="Times New Roman" w:cs="Times New Roman"/>
          <w:bCs/>
          <w:sz w:val="24"/>
          <w:szCs w:val="24"/>
        </w:rPr>
        <w:t>Principal Component Analysis (PCA) biplot showing seasonal clustering patterns and dominant soil quality drivers across ecosites of Ashtamudi Lake</w:t>
      </w:r>
      <w:r w:rsidR="00AD09E0" w:rsidRPr="00BD7DA7">
        <w:rPr>
          <w:rFonts w:ascii="Times New Roman" w:hAnsi="Times New Roman" w:cs="Times New Roman"/>
          <w:bCs/>
          <w:sz w:val="24"/>
          <w:szCs w:val="24"/>
        </w:rPr>
        <w:tab/>
      </w:r>
    </w:p>
    <w:p w14:paraId="11EF72EE" w14:textId="0596C06C" w:rsidR="00F731CE" w:rsidRDefault="00F731CE" w:rsidP="00BD7DA7">
      <w:pPr>
        <w:tabs>
          <w:tab w:val="left" w:pos="5700"/>
        </w:tabs>
        <w:spacing w:after="0" w:line="360" w:lineRule="auto"/>
        <w:jc w:val="both"/>
        <w:rPr>
          <w:rFonts w:ascii="Times New Roman" w:hAnsi="Times New Roman" w:cs="Times New Roman"/>
          <w:b/>
          <w:sz w:val="24"/>
          <w:szCs w:val="24"/>
        </w:rPr>
      </w:pPr>
      <w:r w:rsidRPr="00F731CE">
        <w:rPr>
          <w:rFonts w:ascii="Times New Roman" w:hAnsi="Times New Roman" w:cs="Times New Roman"/>
          <w:b/>
          <w:sz w:val="24"/>
          <w:szCs w:val="24"/>
        </w:rPr>
        <w:t>3.7 Integrated soil condition assessment using Soil Quality Index</w:t>
      </w:r>
    </w:p>
    <w:p w14:paraId="29638898" w14:textId="19D70286" w:rsidR="00AD09E0" w:rsidRPr="009B6181" w:rsidRDefault="00422211" w:rsidP="00BD7DA7">
      <w:pPr>
        <w:tabs>
          <w:tab w:val="left" w:pos="5700"/>
        </w:tabs>
        <w:spacing w:after="0" w:line="360" w:lineRule="auto"/>
        <w:jc w:val="both"/>
        <w:rPr>
          <w:rFonts w:ascii="Times New Roman" w:hAnsi="Times New Roman" w:cs="Times New Roman"/>
          <w:b/>
          <w:sz w:val="24"/>
          <w:szCs w:val="24"/>
        </w:rPr>
      </w:pPr>
      <w:r w:rsidRPr="009B6181">
        <w:rPr>
          <w:rFonts w:ascii="Times New Roman" w:hAnsi="Times New Roman" w:cs="Times New Roman"/>
          <w:b/>
          <w:sz w:val="24"/>
          <w:szCs w:val="24"/>
        </w:rPr>
        <w:t xml:space="preserve">Table </w:t>
      </w:r>
      <w:r w:rsidR="001E4F4B" w:rsidRPr="009B6181">
        <w:rPr>
          <w:rFonts w:ascii="Times New Roman" w:hAnsi="Times New Roman" w:cs="Times New Roman"/>
          <w:b/>
          <w:sz w:val="24"/>
          <w:szCs w:val="24"/>
        </w:rPr>
        <w:t>4</w:t>
      </w:r>
      <w:r w:rsidRPr="009B6181">
        <w:rPr>
          <w:rFonts w:ascii="Times New Roman" w:hAnsi="Times New Roman" w:cs="Times New Roman"/>
          <w:b/>
          <w:sz w:val="24"/>
          <w:szCs w:val="24"/>
        </w:rPr>
        <w:t xml:space="preserve">. </w:t>
      </w:r>
      <w:r w:rsidR="009B6181" w:rsidRPr="009B6181">
        <w:rPr>
          <w:rFonts w:ascii="Times New Roman" w:hAnsi="Times New Roman" w:cs="Times New Roman"/>
          <w:b/>
          <w:sz w:val="24"/>
          <w:szCs w:val="24"/>
        </w:rPr>
        <w:t>Soil Quality Index scores and soil quality classification across ecosites and seasons in Ashtamudi Wetland</w:t>
      </w:r>
    </w:p>
    <w:tbl>
      <w:tblPr>
        <w:tblStyle w:val="TableGrid"/>
        <w:tblW w:w="0" w:type="auto"/>
        <w:tblLook w:val="04A0" w:firstRow="1" w:lastRow="0" w:firstColumn="1" w:lastColumn="0" w:noHBand="0" w:noVBand="1"/>
      </w:tblPr>
      <w:tblGrid>
        <w:gridCol w:w="1697"/>
        <w:gridCol w:w="1736"/>
        <w:gridCol w:w="1474"/>
        <w:gridCol w:w="1789"/>
        <w:gridCol w:w="2320"/>
      </w:tblGrid>
      <w:tr w:rsidR="00BD7DA7" w:rsidRPr="00BD7DA7" w14:paraId="3230E4A5" w14:textId="77777777" w:rsidTr="00AC597C">
        <w:tc>
          <w:tcPr>
            <w:tcW w:w="0" w:type="auto"/>
            <w:hideMark/>
          </w:tcPr>
          <w:p w14:paraId="25C2F209"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Ecosite</w:t>
            </w:r>
          </w:p>
        </w:tc>
        <w:tc>
          <w:tcPr>
            <w:tcW w:w="0" w:type="auto"/>
            <w:hideMark/>
          </w:tcPr>
          <w:p w14:paraId="42CC1A7C"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Pre-monsoon SQI</w:t>
            </w:r>
          </w:p>
        </w:tc>
        <w:tc>
          <w:tcPr>
            <w:tcW w:w="0" w:type="auto"/>
            <w:hideMark/>
          </w:tcPr>
          <w:p w14:paraId="2B20F15F"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Monsoon SQI</w:t>
            </w:r>
          </w:p>
        </w:tc>
        <w:tc>
          <w:tcPr>
            <w:tcW w:w="0" w:type="auto"/>
            <w:hideMark/>
          </w:tcPr>
          <w:p w14:paraId="29D899B0"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Post-monsoon SQI</w:t>
            </w:r>
          </w:p>
        </w:tc>
        <w:tc>
          <w:tcPr>
            <w:tcW w:w="0" w:type="auto"/>
            <w:hideMark/>
          </w:tcPr>
          <w:p w14:paraId="758CB60C"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Overall Soil Quality Class</w:t>
            </w:r>
          </w:p>
        </w:tc>
      </w:tr>
      <w:tr w:rsidR="00BD7DA7" w:rsidRPr="00BD7DA7" w14:paraId="7297A41A" w14:textId="77777777" w:rsidTr="00AC597C">
        <w:tc>
          <w:tcPr>
            <w:tcW w:w="0" w:type="auto"/>
            <w:hideMark/>
          </w:tcPr>
          <w:p w14:paraId="18C05234"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Neendakara</w:t>
            </w:r>
            <w:proofErr w:type="spellEnd"/>
          </w:p>
        </w:tc>
        <w:tc>
          <w:tcPr>
            <w:tcW w:w="0" w:type="auto"/>
            <w:hideMark/>
          </w:tcPr>
          <w:p w14:paraId="251E5A93"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0.62</w:t>
            </w:r>
          </w:p>
        </w:tc>
        <w:tc>
          <w:tcPr>
            <w:tcW w:w="0" w:type="auto"/>
            <w:hideMark/>
          </w:tcPr>
          <w:p w14:paraId="18859066"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0.58</w:t>
            </w:r>
          </w:p>
        </w:tc>
        <w:tc>
          <w:tcPr>
            <w:tcW w:w="0" w:type="auto"/>
            <w:hideMark/>
          </w:tcPr>
          <w:p w14:paraId="5701481C" w14:textId="77777777" w:rsidR="00AC597C" w:rsidRPr="00235AF3" w:rsidRDefault="00AC597C" w:rsidP="00BD7DA7">
            <w:pPr>
              <w:tabs>
                <w:tab w:val="left" w:pos="5700"/>
              </w:tabs>
              <w:spacing w:after="0" w:line="360" w:lineRule="auto"/>
              <w:jc w:val="both"/>
              <w:rPr>
                <w:rFonts w:ascii="Times New Roman" w:hAnsi="Times New Roman" w:cs="Times New Roman"/>
                <w:sz w:val="24"/>
                <w:szCs w:val="24"/>
                <w:lang w:val="en-IN"/>
              </w:rPr>
            </w:pPr>
            <w:r w:rsidRPr="00235AF3">
              <w:rPr>
                <w:rFonts w:ascii="Times New Roman" w:hAnsi="Times New Roman" w:cs="Times New Roman"/>
                <w:sz w:val="24"/>
                <w:szCs w:val="24"/>
                <w:lang w:val="en-IN"/>
              </w:rPr>
              <w:t>0.74</w:t>
            </w:r>
          </w:p>
        </w:tc>
        <w:tc>
          <w:tcPr>
            <w:tcW w:w="0" w:type="auto"/>
            <w:hideMark/>
          </w:tcPr>
          <w:p w14:paraId="673836B5"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Good</w:t>
            </w:r>
          </w:p>
        </w:tc>
      </w:tr>
      <w:tr w:rsidR="00BD7DA7" w:rsidRPr="00BD7DA7" w14:paraId="3AEE8767" w14:textId="77777777" w:rsidTr="00AC597C">
        <w:tc>
          <w:tcPr>
            <w:tcW w:w="0" w:type="auto"/>
            <w:hideMark/>
          </w:tcPr>
          <w:p w14:paraId="3E7F7E4B"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lastRenderedPageBreak/>
              <w:t>Puthenthuruthu</w:t>
            </w:r>
            <w:proofErr w:type="spellEnd"/>
          </w:p>
        </w:tc>
        <w:tc>
          <w:tcPr>
            <w:tcW w:w="0" w:type="auto"/>
            <w:hideMark/>
          </w:tcPr>
          <w:p w14:paraId="3C1CDF09"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0.60</w:t>
            </w:r>
          </w:p>
        </w:tc>
        <w:tc>
          <w:tcPr>
            <w:tcW w:w="0" w:type="auto"/>
            <w:hideMark/>
          </w:tcPr>
          <w:p w14:paraId="3AA5234D"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0.61</w:t>
            </w:r>
          </w:p>
        </w:tc>
        <w:tc>
          <w:tcPr>
            <w:tcW w:w="0" w:type="auto"/>
            <w:hideMark/>
          </w:tcPr>
          <w:p w14:paraId="6C48224D"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0.66</w:t>
            </w:r>
          </w:p>
        </w:tc>
        <w:tc>
          <w:tcPr>
            <w:tcW w:w="0" w:type="auto"/>
            <w:hideMark/>
          </w:tcPr>
          <w:p w14:paraId="2658E24E"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Moderate–Good</w:t>
            </w:r>
          </w:p>
        </w:tc>
      </w:tr>
      <w:tr w:rsidR="00BD7DA7" w:rsidRPr="00BD7DA7" w14:paraId="5E12B588" w14:textId="77777777" w:rsidTr="00AC597C">
        <w:tc>
          <w:tcPr>
            <w:tcW w:w="0" w:type="auto"/>
            <w:hideMark/>
          </w:tcPr>
          <w:p w14:paraId="6BCD55AE"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Asramam</w:t>
            </w:r>
            <w:proofErr w:type="spellEnd"/>
          </w:p>
        </w:tc>
        <w:tc>
          <w:tcPr>
            <w:tcW w:w="0" w:type="auto"/>
            <w:hideMark/>
          </w:tcPr>
          <w:p w14:paraId="3F5CD731" w14:textId="77777777" w:rsidR="00AC597C" w:rsidRPr="00235AF3" w:rsidRDefault="00AC597C" w:rsidP="00BD7DA7">
            <w:pPr>
              <w:tabs>
                <w:tab w:val="left" w:pos="5700"/>
              </w:tabs>
              <w:spacing w:after="0" w:line="360" w:lineRule="auto"/>
              <w:jc w:val="both"/>
              <w:rPr>
                <w:rFonts w:ascii="Times New Roman" w:hAnsi="Times New Roman" w:cs="Times New Roman"/>
                <w:sz w:val="24"/>
                <w:szCs w:val="24"/>
                <w:lang w:val="en-IN"/>
              </w:rPr>
            </w:pPr>
            <w:r w:rsidRPr="00235AF3">
              <w:rPr>
                <w:rFonts w:ascii="Times New Roman" w:hAnsi="Times New Roman" w:cs="Times New Roman"/>
                <w:sz w:val="24"/>
                <w:szCs w:val="24"/>
                <w:lang w:val="en-IN"/>
              </w:rPr>
              <w:t>0.68</w:t>
            </w:r>
          </w:p>
        </w:tc>
        <w:tc>
          <w:tcPr>
            <w:tcW w:w="0" w:type="auto"/>
            <w:hideMark/>
          </w:tcPr>
          <w:p w14:paraId="67B84AB1"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0.64</w:t>
            </w:r>
          </w:p>
        </w:tc>
        <w:tc>
          <w:tcPr>
            <w:tcW w:w="0" w:type="auto"/>
            <w:hideMark/>
          </w:tcPr>
          <w:p w14:paraId="2416449D" w14:textId="77777777" w:rsidR="00AC597C" w:rsidRPr="00235AF3" w:rsidRDefault="00AC597C" w:rsidP="00BD7DA7">
            <w:pPr>
              <w:tabs>
                <w:tab w:val="left" w:pos="5700"/>
              </w:tabs>
              <w:spacing w:after="0" w:line="360" w:lineRule="auto"/>
              <w:jc w:val="both"/>
              <w:rPr>
                <w:rFonts w:ascii="Times New Roman" w:hAnsi="Times New Roman" w:cs="Times New Roman"/>
                <w:sz w:val="24"/>
                <w:szCs w:val="24"/>
                <w:lang w:val="en-IN"/>
              </w:rPr>
            </w:pPr>
            <w:r w:rsidRPr="00235AF3">
              <w:rPr>
                <w:rFonts w:ascii="Times New Roman" w:hAnsi="Times New Roman" w:cs="Times New Roman"/>
                <w:sz w:val="24"/>
                <w:szCs w:val="24"/>
                <w:lang w:val="en-IN"/>
              </w:rPr>
              <w:t>0.72</w:t>
            </w:r>
          </w:p>
        </w:tc>
        <w:tc>
          <w:tcPr>
            <w:tcW w:w="0" w:type="auto"/>
            <w:hideMark/>
          </w:tcPr>
          <w:p w14:paraId="05530C7C"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Good</w:t>
            </w:r>
          </w:p>
        </w:tc>
      </w:tr>
      <w:tr w:rsidR="00BD7DA7" w:rsidRPr="00BD7DA7" w14:paraId="66565C64" w14:textId="77777777" w:rsidTr="00AC597C">
        <w:tc>
          <w:tcPr>
            <w:tcW w:w="0" w:type="auto"/>
            <w:hideMark/>
          </w:tcPr>
          <w:p w14:paraId="0ECAFCFF"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Kidapram</w:t>
            </w:r>
            <w:proofErr w:type="spellEnd"/>
          </w:p>
        </w:tc>
        <w:tc>
          <w:tcPr>
            <w:tcW w:w="0" w:type="auto"/>
            <w:hideMark/>
          </w:tcPr>
          <w:p w14:paraId="1C588D45"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0.55</w:t>
            </w:r>
          </w:p>
        </w:tc>
        <w:tc>
          <w:tcPr>
            <w:tcW w:w="0" w:type="auto"/>
            <w:hideMark/>
          </w:tcPr>
          <w:p w14:paraId="0C304040"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0.52</w:t>
            </w:r>
          </w:p>
        </w:tc>
        <w:tc>
          <w:tcPr>
            <w:tcW w:w="0" w:type="auto"/>
            <w:hideMark/>
          </w:tcPr>
          <w:p w14:paraId="321D82DC"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0.60</w:t>
            </w:r>
          </w:p>
        </w:tc>
        <w:tc>
          <w:tcPr>
            <w:tcW w:w="0" w:type="auto"/>
            <w:hideMark/>
          </w:tcPr>
          <w:p w14:paraId="313200D3"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w:t>
            </w:r>
          </w:p>
        </w:tc>
      </w:tr>
      <w:tr w:rsidR="00BD7DA7" w:rsidRPr="00BD7DA7" w14:paraId="223BB2A2" w14:textId="77777777" w:rsidTr="00AC597C">
        <w:tc>
          <w:tcPr>
            <w:tcW w:w="0" w:type="auto"/>
            <w:hideMark/>
          </w:tcPr>
          <w:p w14:paraId="1A235BF2"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Cherikadavu</w:t>
            </w:r>
            <w:proofErr w:type="spellEnd"/>
          </w:p>
        </w:tc>
        <w:tc>
          <w:tcPr>
            <w:tcW w:w="0" w:type="auto"/>
            <w:hideMark/>
          </w:tcPr>
          <w:p w14:paraId="598B10CE"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0.63</w:t>
            </w:r>
          </w:p>
        </w:tc>
        <w:tc>
          <w:tcPr>
            <w:tcW w:w="0" w:type="auto"/>
            <w:hideMark/>
          </w:tcPr>
          <w:p w14:paraId="47108A06"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0.59</w:t>
            </w:r>
          </w:p>
        </w:tc>
        <w:tc>
          <w:tcPr>
            <w:tcW w:w="0" w:type="auto"/>
            <w:hideMark/>
          </w:tcPr>
          <w:p w14:paraId="608BE431"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0.67</w:t>
            </w:r>
          </w:p>
        </w:tc>
        <w:tc>
          <w:tcPr>
            <w:tcW w:w="0" w:type="auto"/>
            <w:hideMark/>
          </w:tcPr>
          <w:p w14:paraId="71BE07BC"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Moderate–Good</w:t>
            </w:r>
          </w:p>
        </w:tc>
      </w:tr>
    </w:tbl>
    <w:p w14:paraId="3AEAC561" w14:textId="027D62F9" w:rsidR="00AC597C" w:rsidRPr="00BD7DA7" w:rsidRDefault="006E2668" w:rsidP="00BD7DA7">
      <w:pPr>
        <w:tabs>
          <w:tab w:val="left" w:pos="5700"/>
        </w:tabs>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The Soil Quality Index (SQI) synthesized multiple soil physicochemical parameters into a single integrative metric to evaluate overall soil condition across ecosites and seasons of the Ashtamudi Lake</w:t>
      </w:r>
      <w:r w:rsidR="00CE4BE7">
        <w:rPr>
          <w:rFonts w:ascii="Times New Roman" w:hAnsi="Times New Roman" w:cs="Times New Roman"/>
          <w:bCs/>
          <w:sz w:val="24"/>
          <w:szCs w:val="24"/>
        </w:rPr>
        <w:t xml:space="preserve"> (Table 4)</w:t>
      </w:r>
      <w:r w:rsidRPr="00BD7DA7">
        <w:rPr>
          <w:rFonts w:ascii="Times New Roman" w:hAnsi="Times New Roman" w:cs="Times New Roman"/>
          <w:bCs/>
          <w:sz w:val="24"/>
          <w:szCs w:val="24"/>
        </w:rPr>
        <w:t xml:space="preserve">. SQI values ranged from 0.52 to 0.74, indicating moderate to good soil quality across the wetland. Post-monsoon season consistently recorded higher SQI values at all ecosites, with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and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exhibiting the highest scores (&gt;0.70), reflecting enhanced organic carbon accumulation and improved nutrient status following monsoonal sedimentation. Monsoon season showed relatively lower SQI values, particularly at </w:t>
      </w:r>
      <w:proofErr w:type="spellStart"/>
      <w:r w:rsidRPr="00BD7DA7">
        <w:rPr>
          <w:rFonts w:ascii="Times New Roman" w:hAnsi="Times New Roman" w:cs="Times New Roman"/>
          <w:bCs/>
          <w:sz w:val="24"/>
          <w:szCs w:val="24"/>
        </w:rPr>
        <w:t>Kidapram</w:t>
      </w:r>
      <w:proofErr w:type="spellEnd"/>
      <w:r w:rsidRPr="00BD7DA7">
        <w:rPr>
          <w:rFonts w:ascii="Times New Roman" w:hAnsi="Times New Roman" w:cs="Times New Roman"/>
          <w:bCs/>
          <w:sz w:val="24"/>
          <w:szCs w:val="24"/>
        </w:rPr>
        <w:t xml:space="preserve">, suggesting nutrient dilution and leaching effects during peak rainfall. Spatially,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and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maintained comparatively better soil quality across seasons, whereas </w:t>
      </w:r>
      <w:proofErr w:type="spellStart"/>
      <w:r w:rsidRPr="00BD7DA7">
        <w:rPr>
          <w:rFonts w:ascii="Times New Roman" w:hAnsi="Times New Roman" w:cs="Times New Roman"/>
          <w:bCs/>
          <w:sz w:val="24"/>
          <w:szCs w:val="24"/>
        </w:rPr>
        <w:t>Kidapram</w:t>
      </w:r>
      <w:proofErr w:type="spellEnd"/>
      <w:r w:rsidRPr="00BD7DA7">
        <w:rPr>
          <w:rFonts w:ascii="Times New Roman" w:hAnsi="Times New Roman" w:cs="Times New Roman"/>
          <w:bCs/>
          <w:sz w:val="24"/>
          <w:szCs w:val="24"/>
        </w:rPr>
        <w:t xml:space="preserve"> consistently exhibited moderate soil quality. The SQI results corroborate multivariate and post-hoc analyses, confirming strong seasonal control and ecosite-specific heterogeneity in soil quality within the wetland.</w:t>
      </w:r>
    </w:p>
    <w:p w14:paraId="66C864FA" w14:textId="55638A46" w:rsidR="001048FA" w:rsidRPr="00BD7DA7" w:rsidRDefault="00F731CE" w:rsidP="00BD7DA7">
      <w:pPr>
        <w:tabs>
          <w:tab w:val="left" w:pos="5700"/>
        </w:tabs>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4. </w:t>
      </w:r>
      <w:r w:rsidR="001048FA" w:rsidRPr="00BD7DA7">
        <w:rPr>
          <w:rFonts w:ascii="Times New Roman" w:hAnsi="Times New Roman" w:cs="Times New Roman"/>
          <w:b/>
          <w:bCs/>
          <w:sz w:val="24"/>
          <w:szCs w:val="24"/>
          <w:lang w:val="en-IN"/>
        </w:rPr>
        <w:t>Discussion</w:t>
      </w:r>
    </w:p>
    <w:p w14:paraId="2B0C328A" w14:textId="73FDDACB" w:rsidR="00680FEA" w:rsidRPr="00680FEA" w:rsidRDefault="00680FEA" w:rsidP="00680FEA">
      <w:pPr>
        <w:tabs>
          <w:tab w:val="left" w:pos="5700"/>
        </w:tabs>
        <w:spacing w:after="0" w:line="360" w:lineRule="auto"/>
        <w:jc w:val="both"/>
        <w:rPr>
          <w:rFonts w:ascii="Times New Roman" w:hAnsi="Times New Roman" w:cs="Times New Roman"/>
          <w:bCs/>
          <w:sz w:val="24"/>
          <w:szCs w:val="24"/>
          <w:lang w:val="en-IN"/>
        </w:rPr>
      </w:pPr>
      <w:r w:rsidRPr="00680FEA">
        <w:rPr>
          <w:rFonts w:ascii="Times New Roman" w:hAnsi="Times New Roman" w:cs="Times New Roman"/>
          <w:bCs/>
          <w:sz w:val="24"/>
          <w:szCs w:val="24"/>
          <w:lang w:val="en-IN"/>
        </w:rPr>
        <w:t xml:space="preserve">The present study demonstrates pronounced </w:t>
      </w:r>
      <w:proofErr w:type="spellStart"/>
      <w:r w:rsidRPr="00680FEA">
        <w:rPr>
          <w:rFonts w:ascii="Times New Roman" w:hAnsi="Times New Roman" w:cs="Times New Roman"/>
          <w:bCs/>
          <w:sz w:val="24"/>
          <w:szCs w:val="24"/>
          <w:lang w:val="en-IN"/>
        </w:rPr>
        <w:t>spatio</w:t>
      </w:r>
      <w:proofErr w:type="spellEnd"/>
      <w:r w:rsidRPr="00680FEA">
        <w:rPr>
          <w:rFonts w:ascii="Times New Roman" w:hAnsi="Times New Roman" w:cs="Times New Roman"/>
          <w:bCs/>
          <w:sz w:val="24"/>
          <w:szCs w:val="24"/>
          <w:lang w:val="en-IN"/>
        </w:rPr>
        <w:t xml:space="preserve">-temporal variability in soil physicochemical properties across the five ecosites of Ashtamudi Lake, reflecting strong seasonal control and site-specific environmental influences typical of tropical estuarine wetlands. Moderately acidic soil conditions observed across seasons are consistent with reports from other coastal and Ramsar wetlands, where freshwater influx, organic matter decomposition, and sulphate reduction processes regulate soil acidity (Mitsch &amp; Gosselink, 2015; Reddy &amp; </w:t>
      </w:r>
      <w:proofErr w:type="spellStart"/>
      <w:r w:rsidRPr="00680FEA">
        <w:rPr>
          <w:rFonts w:ascii="Times New Roman" w:hAnsi="Times New Roman" w:cs="Times New Roman"/>
          <w:bCs/>
          <w:sz w:val="24"/>
          <w:szCs w:val="24"/>
          <w:lang w:val="en-IN"/>
        </w:rPr>
        <w:t>DeLaune</w:t>
      </w:r>
      <w:proofErr w:type="spellEnd"/>
      <w:r w:rsidRPr="00680FEA">
        <w:rPr>
          <w:rFonts w:ascii="Times New Roman" w:hAnsi="Times New Roman" w:cs="Times New Roman"/>
          <w:bCs/>
          <w:sz w:val="24"/>
          <w:szCs w:val="24"/>
          <w:lang w:val="en-IN"/>
        </w:rPr>
        <w:t xml:space="preserve">, 2008; </w:t>
      </w:r>
      <w:proofErr w:type="spellStart"/>
      <w:r w:rsidRPr="00680FEA">
        <w:rPr>
          <w:rFonts w:ascii="Times New Roman" w:hAnsi="Times New Roman" w:cs="Times New Roman"/>
          <w:bCs/>
          <w:sz w:val="24"/>
          <w:szCs w:val="24"/>
          <w:lang w:val="en-IN"/>
        </w:rPr>
        <w:t>Babu</w:t>
      </w:r>
      <w:proofErr w:type="spellEnd"/>
      <w:r w:rsidRPr="00680FEA">
        <w:rPr>
          <w:rFonts w:ascii="Times New Roman" w:hAnsi="Times New Roman" w:cs="Times New Roman"/>
          <w:bCs/>
          <w:sz w:val="24"/>
          <w:szCs w:val="24"/>
          <w:lang w:val="en-IN"/>
        </w:rPr>
        <w:t xml:space="preserve"> et al., 2010). The monsoonal decline in soil pH and electrical conductivity further supports earlier findings that intense rainfall and freshwater inflow enhance leaching and dilution of soluble ions in wetland soils (Li et al., 2024). Elevated organic carbon concentrations during the post-monsoon season, particularly at </w:t>
      </w:r>
      <w:proofErr w:type="spellStart"/>
      <w:r w:rsidRPr="00680FEA">
        <w:rPr>
          <w:rFonts w:ascii="Times New Roman" w:hAnsi="Times New Roman" w:cs="Times New Roman"/>
          <w:bCs/>
          <w:sz w:val="24"/>
          <w:szCs w:val="24"/>
          <w:lang w:val="en-IN"/>
        </w:rPr>
        <w:t>Neendakara</w:t>
      </w:r>
      <w:proofErr w:type="spellEnd"/>
      <w:r w:rsidRPr="00680FEA">
        <w:rPr>
          <w:rFonts w:ascii="Times New Roman" w:hAnsi="Times New Roman" w:cs="Times New Roman"/>
          <w:bCs/>
          <w:sz w:val="24"/>
          <w:szCs w:val="24"/>
          <w:lang w:val="en-IN"/>
        </w:rPr>
        <w:t xml:space="preserve"> and </w:t>
      </w:r>
      <w:proofErr w:type="spellStart"/>
      <w:r w:rsidRPr="00680FEA">
        <w:rPr>
          <w:rFonts w:ascii="Times New Roman" w:hAnsi="Times New Roman" w:cs="Times New Roman"/>
          <w:bCs/>
          <w:sz w:val="24"/>
          <w:szCs w:val="24"/>
          <w:lang w:val="en-IN"/>
        </w:rPr>
        <w:t>Asramam</w:t>
      </w:r>
      <w:proofErr w:type="spellEnd"/>
      <w:r w:rsidRPr="00680FEA">
        <w:rPr>
          <w:rFonts w:ascii="Times New Roman" w:hAnsi="Times New Roman" w:cs="Times New Roman"/>
          <w:bCs/>
          <w:sz w:val="24"/>
          <w:szCs w:val="24"/>
          <w:lang w:val="en-IN"/>
        </w:rPr>
        <w:t xml:space="preserve">, indicate enhanced organic matter deposition and reduced mineralization following monsoonal sedimentation, a pattern widely reported in estuarine and floodplain wetlands (Zhang et al., 2022; Kumar &amp; Sharma, 2025). The pronounced seasonal variability of phosphorus, with monsoon-time peaks, further highlights episodic nutrient enrichment driven by surface runoff and catchment-scale anthropogenic inputs, consistent with wetland nutrient </w:t>
      </w:r>
      <w:r w:rsidRPr="00680FEA">
        <w:rPr>
          <w:rFonts w:ascii="Times New Roman" w:hAnsi="Times New Roman" w:cs="Times New Roman"/>
          <w:bCs/>
          <w:sz w:val="24"/>
          <w:szCs w:val="24"/>
          <w:lang w:val="en-IN"/>
        </w:rPr>
        <w:lastRenderedPageBreak/>
        <w:t xml:space="preserve">pulse dynamics described in previous studies (Reddy &amp; </w:t>
      </w:r>
      <w:proofErr w:type="spellStart"/>
      <w:r w:rsidRPr="00680FEA">
        <w:rPr>
          <w:rFonts w:ascii="Times New Roman" w:hAnsi="Times New Roman" w:cs="Times New Roman"/>
          <w:bCs/>
          <w:sz w:val="24"/>
          <w:szCs w:val="24"/>
          <w:lang w:val="en-IN"/>
        </w:rPr>
        <w:t>DeLaune</w:t>
      </w:r>
      <w:proofErr w:type="spellEnd"/>
      <w:r w:rsidRPr="00680FEA">
        <w:rPr>
          <w:rFonts w:ascii="Times New Roman" w:hAnsi="Times New Roman" w:cs="Times New Roman"/>
          <w:bCs/>
          <w:sz w:val="24"/>
          <w:szCs w:val="24"/>
          <w:lang w:val="en-IN"/>
        </w:rPr>
        <w:t>, 2008; Selmy et al., 2024; Babu et al., 2000).</w:t>
      </w:r>
    </w:p>
    <w:p w14:paraId="0DFBAF6D" w14:textId="77777777" w:rsidR="00680FEA" w:rsidRPr="00680FEA" w:rsidRDefault="00680FEA" w:rsidP="00680FEA">
      <w:pPr>
        <w:tabs>
          <w:tab w:val="left" w:pos="5700"/>
        </w:tabs>
        <w:spacing w:after="0" w:line="360" w:lineRule="auto"/>
        <w:jc w:val="both"/>
        <w:rPr>
          <w:rFonts w:ascii="Times New Roman" w:hAnsi="Times New Roman" w:cs="Times New Roman"/>
          <w:bCs/>
          <w:sz w:val="24"/>
          <w:szCs w:val="24"/>
          <w:lang w:val="en-IN"/>
        </w:rPr>
      </w:pPr>
      <w:r w:rsidRPr="00680FEA">
        <w:rPr>
          <w:rFonts w:ascii="Times New Roman" w:hAnsi="Times New Roman" w:cs="Times New Roman"/>
          <w:bCs/>
          <w:sz w:val="24"/>
          <w:szCs w:val="24"/>
          <w:lang w:val="en-IN"/>
        </w:rPr>
        <w:t xml:space="preserve">Multivariate and inferential analyses provided additional insight into the processes regulating soil quality across the study area. Two-way ANOVA and Tukey HSD tests confirmed significant effects of season, ecosite, and their interaction for most parameters, emphasizing that seasonal processes do not operate uniformly across the wetland landscape. Pearson correlation analysis revealed the central role of organic carbon in mediating nutrient availability, with negative associations between organic carbon and available nitrogen and phosphorus suggesting immobilization and differential mineralization pathways in organic-rich soils, as documented in earlier soil biogeochemical studies (Vasu et al., 2017; Oviedo et al., 2024). PCA further substantiated these findings by identifying organic carbon and potassium as dominant contributors to PC1, while pH and electrical conductivity structured PC2, indicating coupled controls of organic matter accumulation and ionic composition on soil quality. The Soil Quality Index (SQI) effectively integrated these multiple indicators into a single metric, revealing overall moderate to good soil quality across ecosites, with consistently higher post-monsoon SQI values (Nosrati, 2012). Similar PCA- and index-based approaches have been widely recommended for wetland soil assessment due to their ability to synthesize complex datasets into management-relevant indicators (Vasu et al., 2017; Zhang et al., 2022; </w:t>
      </w:r>
      <w:proofErr w:type="spellStart"/>
      <w:r w:rsidRPr="00680FEA">
        <w:rPr>
          <w:rFonts w:ascii="Times New Roman" w:hAnsi="Times New Roman" w:cs="Times New Roman"/>
          <w:bCs/>
          <w:sz w:val="24"/>
          <w:szCs w:val="24"/>
          <w:lang w:val="en-IN"/>
        </w:rPr>
        <w:t>Shokr</w:t>
      </w:r>
      <w:proofErr w:type="spellEnd"/>
      <w:r w:rsidRPr="00680FEA">
        <w:rPr>
          <w:rFonts w:ascii="Times New Roman" w:hAnsi="Times New Roman" w:cs="Times New Roman"/>
          <w:bCs/>
          <w:sz w:val="24"/>
          <w:szCs w:val="24"/>
          <w:lang w:val="en-IN"/>
        </w:rPr>
        <w:t xml:space="preserve"> et al., 2025). Collectively, these results highlight strong seasonal forcing and localized heterogeneity in soil nutrient dynamics, underscoring the importance of ecosite-level monitoring for effective conservation and sustainable management of Ramsar wetlands.</w:t>
      </w:r>
    </w:p>
    <w:p w14:paraId="5D454F26" w14:textId="6567ACF8" w:rsidR="0073376E" w:rsidRPr="00BD7DA7" w:rsidRDefault="00F731CE" w:rsidP="00BD7DA7">
      <w:pPr>
        <w:tabs>
          <w:tab w:val="left" w:pos="5700"/>
        </w:tabs>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5. </w:t>
      </w:r>
      <w:r w:rsidR="0073376E" w:rsidRPr="00BD7DA7">
        <w:rPr>
          <w:rFonts w:ascii="Times New Roman" w:hAnsi="Times New Roman" w:cs="Times New Roman"/>
          <w:b/>
          <w:bCs/>
          <w:sz w:val="24"/>
          <w:szCs w:val="24"/>
          <w:lang w:val="en-IN"/>
        </w:rPr>
        <w:t>Conclusion</w:t>
      </w:r>
    </w:p>
    <w:p w14:paraId="46FA5280" w14:textId="71B123F3" w:rsidR="0073376E" w:rsidRPr="00BD7DA7" w:rsidRDefault="00763BDD" w:rsidP="00BD7DA7">
      <w:pPr>
        <w:tabs>
          <w:tab w:val="left" w:pos="5700"/>
        </w:tabs>
        <w:spacing w:after="0" w:line="360" w:lineRule="auto"/>
        <w:jc w:val="both"/>
        <w:rPr>
          <w:rFonts w:ascii="Times New Roman" w:hAnsi="Times New Roman" w:cs="Times New Roman"/>
          <w:bCs/>
          <w:sz w:val="24"/>
          <w:szCs w:val="24"/>
          <w:lang w:val="en-IN"/>
        </w:rPr>
      </w:pPr>
      <w:r w:rsidRPr="00763BDD">
        <w:rPr>
          <w:rFonts w:ascii="Times New Roman" w:hAnsi="Times New Roman" w:cs="Times New Roman"/>
          <w:bCs/>
          <w:sz w:val="24"/>
          <w:szCs w:val="24"/>
        </w:rPr>
        <w:t xml:space="preserve">This study provides an integrated </w:t>
      </w:r>
      <w:proofErr w:type="spellStart"/>
      <w:r w:rsidRPr="00763BDD">
        <w:rPr>
          <w:rFonts w:ascii="Times New Roman" w:hAnsi="Times New Roman" w:cs="Times New Roman"/>
          <w:bCs/>
          <w:sz w:val="24"/>
          <w:szCs w:val="24"/>
        </w:rPr>
        <w:t>spatio</w:t>
      </w:r>
      <w:proofErr w:type="spellEnd"/>
      <w:r w:rsidRPr="00763BDD">
        <w:rPr>
          <w:rFonts w:ascii="Times New Roman" w:hAnsi="Times New Roman" w:cs="Times New Roman"/>
          <w:bCs/>
          <w:sz w:val="24"/>
          <w:szCs w:val="24"/>
        </w:rPr>
        <w:t xml:space="preserve">-temporal understanding of soil quality dynamics in Ashtamudi Lake, demonstrating strong seasonal forcing and localized heterogeneity as dominant regulators of wetland soil processes. The observed patterns highlight the sensitivity of tropical Ramsar wetlands to hydrological variability, sediment dynamics, and nutrient fluxes, emphasizing the need for long-term, site-specific monitoring frameworks. In the context of increasing climate variability, changing monsoon regimes, and intensifying anthropogenic pressures, sustained soil quality assessment is essential for tracking ecosystem resilience, early detection of degradation, and adaptive management. The findings have direct relevance for wetland policy and management by supporting evidence-based conservation planning, Ramsar site monitoring, and nutrient management strategies. By linking soil quality dynamics with ecosystem sustainability, this study provides a scientific foundation for policy formulation, </w:t>
      </w:r>
      <w:r w:rsidRPr="00763BDD">
        <w:rPr>
          <w:rFonts w:ascii="Times New Roman" w:hAnsi="Times New Roman" w:cs="Times New Roman"/>
          <w:bCs/>
          <w:sz w:val="24"/>
          <w:szCs w:val="24"/>
        </w:rPr>
        <w:lastRenderedPageBreak/>
        <w:t>extension programs, and community-based conservation initiatives aimed at safeguarding the long-term ecological integrity and ecosystem services of tropical estuarine wetlands.</w:t>
      </w:r>
    </w:p>
    <w:p w14:paraId="492B29BF" w14:textId="77777777" w:rsidR="00A81478" w:rsidRPr="00A81478" w:rsidRDefault="00A81478" w:rsidP="00BD7DA7">
      <w:pPr>
        <w:spacing w:after="0" w:line="360" w:lineRule="auto"/>
        <w:jc w:val="both"/>
        <w:rPr>
          <w:rFonts w:ascii="Times New Roman" w:hAnsi="Times New Roman" w:cs="Times New Roman"/>
          <w:b/>
          <w:bCs/>
          <w:sz w:val="24"/>
          <w:szCs w:val="24"/>
        </w:rPr>
      </w:pPr>
      <w:r w:rsidRPr="00A81478">
        <w:rPr>
          <w:rFonts w:ascii="Times New Roman" w:hAnsi="Times New Roman" w:cs="Times New Roman"/>
          <w:b/>
          <w:bCs/>
          <w:sz w:val="24"/>
          <w:szCs w:val="24"/>
        </w:rPr>
        <w:t>Disclaimer (Artificial Intelligence)</w:t>
      </w:r>
    </w:p>
    <w:p w14:paraId="55E72199" w14:textId="1E062712" w:rsidR="00A81478" w:rsidRPr="00BD7DA7" w:rsidRDefault="00A81478" w:rsidP="00BD7DA7">
      <w:pPr>
        <w:spacing w:after="0" w:line="360" w:lineRule="auto"/>
        <w:jc w:val="both"/>
        <w:rPr>
          <w:rFonts w:ascii="Times New Roman" w:hAnsi="Times New Roman" w:cs="Times New Roman"/>
          <w:sz w:val="24"/>
          <w:szCs w:val="24"/>
        </w:rPr>
      </w:pPr>
      <w:r w:rsidRPr="00A81478">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388008F4" w14:textId="7852975D" w:rsidR="00702C17" w:rsidRPr="00BD7DA7" w:rsidRDefault="00702C17" w:rsidP="00BD7DA7">
      <w:pPr>
        <w:tabs>
          <w:tab w:val="left" w:pos="5700"/>
        </w:tabs>
        <w:spacing w:after="0" w:line="360" w:lineRule="auto"/>
        <w:jc w:val="both"/>
        <w:rPr>
          <w:rFonts w:ascii="Times New Roman" w:hAnsi="Times New Roman" w:cs="Times New Roman"/>
          <w:b/>
          <w:bCs/>
          <w:sz w:val="24"/>
          <w:szCs w:val="24"/>
          <w:lang w:val="en-IN"/>
        </w:rPr>
      </w:pPr>
      <w:bookmarkStart w:id="0" w:name="_GoBack"/>
      <w:bookmarkEnd w:id="0"/>
      <w:r w:rsidRPr="00BD7DA7">
        <w:rPr>
          <w:rFonts w:ascii="Times New Roman" w:hAnsi="Times New Roman" w:cs="Times New Roman"/>
          <w:b/>
          <w:bCs/>
          <w:sz w:val="24"/>
          <w:szCs w:val="24"/>
          <w:lang w:val="en-IN"/>
        </w:rPr>
        <w:t>References</w:t>
      </w:r>
    </w:p>
    <w:p w14:paraId="18C30412" w14:textId="21D6F2AF"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rPr>
        <w:t xml:space="preserve">Alexander T. (2025). Diversity and Community Structure of Benthic Macrofauna in Ashtamudi Lake, Kerala: Implications for Estuarine Health and Productivity, </w:t>
      </w:r>
      <w:r w:rsidRPr="00BD7DA7">
        <w:rPr>
          <w:rFonts w:ascii="Times New Roman" w:hAnsi="Times New Roman" w:cs="Times New Roman"/>
          <w:i/>
          <w:iCs/>
        </w:rPr>
        <w:t>International Journal of Science, Architecture, Technology, and Environment</w:t>
      </w:r>
      <w:r w:rsidRPr="00BD7DA7">
        <w:rPr>
          <w:rFonts w:ascii="Times New Roman" w:hAnsi="Times New Roman" w:cs="Times New Roman"/>
        </w:rPr>
        <w:t xml:space="preserve">, 2 (11): 381-390. </w:t>
      </w:r>
      <w:hyperlink r:id="rId11" w:tgtFrame="_blank" w:history="1">
        <w:r w:rsidRPr="00747DC5">
          <w:rPr>
            <w:rStyle w:val="Hyperlink"/>
            <w:rFonts w:ascii="Times New Roman" w:hAnsi="Times New Roman" w:cs="Times New Roman"/>
            <w:color w:val="215E99" w:themeColor="text2" w:themeTint="BF"/>
          </w:rPr>
          <w:t>http://dx.doi.org/10.63680/ijsate1125039.032</w:t>
        </w:r>
      </w:hyperlink>
    </w:p>
    <w:p w14:paraId="0C7FE0E9" w14:textId="4E40A1C1"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Babu, K. N., Ouseph, P. P., &amp; </w:t>
      </w:r>
      <w:proofErr w:type="spellStart"/>
      <w:r w:rsidRPr="00BD7DA7">
        <w:rPr>
          <w:rFonts w:ascii="Times New Roman" w:hAnsi="Times New Roman" w:cs="Times New Roman"/>
          <w:bCs/>
          <w:lang w:val="en-US"/>
        </w:rPr>
        <w:t>Padmalal</w:t>
      </w:r>
      <w:proofErr w:type="spellEnd"/>
      <w:r w:rsidRPr="00BD7DA7">
        <w:rPr>
          <w:rFonts w:ascii="Times New Roman" w:hAnsi="Times New Roman" w:cs="Times New Roman"/>
          <w:bCs/>
          <w:lang w:val="en-US"/>
        </w:rPr>
        <w:t>, D. (2000). Interstitial water-sediment geochemistry of N, P and Fe and its response to overlying waters of tropical estuaries: a case from the south west coast of India. </w:t>
      </w:r>
      <w:r w:rsidRPr="00BD7DA7">
        <w:rPr>
          <w:rFonts w:ascii="Times New Roman" w:hAnsi="Times New Roman" w:cs="Times New Roman"/>
          <w:bCs/>
          <w:i/>
          <w:iCs/>
          <w:lang w:val="en-US"/>
        </w:rPr>
        <w:t>Environmental Geology</w:t>
      </w:r>
      <w:r w:rsidRPr="00BD7DA7">
        <w:rPr>
          <w:rFonts w:ascii="Times New Roman" w:hAnsi="Times New Roman" w:cs="Times New Roman"/>
          <w:bCs/>
          <w:lang w:val="en-US"/>
        </w:rPr>
        <w:t>, </w:t>
      </w:r>
      <w:r w:rsidRPr="00BD7DA7">
        <w:rPr>
          <w:rFonts w:ascii="Times New Roman" w:hAnsi="Times New Roman" w:cs="Times New Roman"/>
          <w:bCs/>
          <w:i/>
          <w:iCs/>
          <w:lang w:val="en-US"/>
        </w:rPr>
        <w:t>39</w:t>
      </w:r>
      <w:r w:rsidRPr="00BD7DA7">
        <w:rPr>
          <w:rFonts w:ascii="Times New Roman" w:hAnsi="Times New Roman" w:cs="Times New Roman"/>
          <w:bCs/>
          <w:lang w:val="en-US"/>
        </w:rPr>
        <w:t>(6)</w:t>
      </w:r>
      <w:r w:rsidR="003A1A8B" w:rsidRPr="00BD7DA7">
        <w:rPr>
          <w:rFonts w:ascii="Times New Roman" w:hAnsi="Times New Roman" w:cs="Times New Roman"/>
          <w:bCs/>
          <w:lang w:val="en-US"/>
        </w:rPr>
        <w:t>:</w:t>
      </w:r>
      <w:r w:rsidRPr="00BD7DA7">
        <w:rPr>
          <w:rFonts w:ascii="Times New Roman" w:hAnsi="Times New Roman" w:cs="Times New Roman"/>
          <w:bCs/>
          <w:lang w:val="en-US"/>
        </w:rPr>
        <w:t xml:space="preserve"> 633-640. </w:t>
      </w:r>
      <w:r w:rsidR="00FB4A86" w:rsidRPr="00BD7DA7">
        <w:rPr>
          <w:rFonts w:ascii="Times New Roman" w:hAnsi="Times New Roman" w:cs="Times New Roman"/>
          <w:bCs/>
          <w:lang w:val="en-US"/>
        </w:rPr>
        <w:t>DOI</w:t>
      </w:r>
      <w:r w:rsidRPr="00BD7DA7">
        <w:rPr>
          <w:rFonts w:ascii="Times New Roman" w:hAnsi="Times New Roman" w:cs="Times New Roman"/>
          <w:bCs/>
          <w:lang w:val="en-US"/>
        </w:rPr>
        <w:t>:</w:t>
      </w:r>
      <w:hyperlink r:id="rId12" w:history="1">
        <w:r w:rsidRPr="00BD7DA7">
          <w:rPr>
            <w:rStyle w:val="Hyperlink"/>
            <w:rFonts w:ascii="Times New Roman" w:hAnsi="Times New Roman" w:cs="Times New Roman"/>
            <w:bCs/>
            <w:color w:val="auto"/>
            <w:lang w:val="en-US"/>
          </w:rPr>
          <w:t>10.1007/s002540050475</w:t>
        </w:r>
      </w:hyperlink>
      <w:r w:rsidRPr="00BD7DA7">
        <w:rPr>
          <w:rFonts w:ascii="Times New Roman" w:hAnsi="Times New Roman" w:cs="Times New Roman"/>
          <w:bCs/>
          <w:lang w:val="en-US"/>
        </w:rPr>
        <w:t>.</w:t>
      </w:r>
    </w:p>
    <w:p w14:paraId="20E4113B" w14:textId="04DEF59B"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Babu, K.N., Omana, P.K. &amp; Mohan, M. (2010). Water and sediment quality of Ashtamudi estuary, a Ramsar site, southwest coast of India-a statistical appraisal. </w:t>
      </w:r>
      <w:r w:rsidRPr="00BD7DA7">
        <w:rPr>
          <w:rFonts w:ascii="Times New Roman" w:hAnsi="Times New Roman" w:cs="Times New Roman"/>
          <w:bCs/>
          <w:i/>
          <w:iCs/>
          <w:lang w:val="en-US"/>
        </w:rPr>
        <w:t>Environ</w:t>
      </w:r>
      <w:r w:rsidR="001F332A" w:rsidRPr="00BD7DA7">
        <w:rPr>
          <w:rFonts w:ascii="Times New Roman" w:hAnsi="Times New Roman" w:cs="Times New Roman"/>
          <w:bCs/>
          <w:i/>
          <w:iCs/>
          <w:lang w:val="en-US"/>
        </w:rPr>
        <w:t>mental</w:t>
      </w:r>
      <w:r w:rsidRPr="00BD7DA7">
        <w:rPr>
          <w:rFonts w:ascii="Times New Roman" w:hAnsi="Times New Roman" w:cs="Times New Roman"/>
          <w:bCs/>
          <w:i/>
          <w:iCs/>
          <w:lang w:val="en-US"/>
        </w:rPr>
        <w:t xml:space="preserve"> Monit</w:t>
      </w:r>
      <w:r w:rsidR="00C07EDB" w:rsidRPr="00BD7DA7">
        <w:rPr>
          <w:rFonts w:ascii="Times New Roman" w:hAnsi="Times New Roman" w:cs="Times New Roman"/>
          <w:bCs/>
          <w:i/>
          <w:iCs/>
          <w:lang w:val="en-US"/>
        </w:rPr>
        <w:t>oring and</w:t>
      </w:r>
      <w:r w:rsidRPr="00BD7DA7">
        <w:rPr>
          <w:rFonts w:ascii="Times New Roman" w:hAnsi="Times New Roman" w:cs="Times New Roman"/>
          <w:bCs/>
          <w:i/>
          <w:iCs/>
          <w:lang w:val="en-US"/>
        </w:rPr>
        <w:t xml:space="preserve"> Assess</w:t>
      </w:r>
      <w:r w:rsidR="00572B26" w:rsidRPr="00BD7DA7">
        <w:rPr>
          <w:rFonts w:ascii="Times New Roman" w:hAnsi="Times New Roman" w:cs="Times New Roman"/>
          <w:bCs/>
          <w:i/>
          <w:iCs/>
          <w:lang w:val="en-US"/>
        </w:rPr>
        <w:t>ment</w:t>
      </w:r>
      <w:r w:rsidRPr="00BD7DA7">
        <w:rPr>
          <w:rFonts w:ascii="Times New Roman" w:hAnsi="Times New Roman" w:cs="Times New Roman"/>
          <w:bCs/>
          <w:lang w:val="en-US"/>
        </w:rPr>
        <w:t>, 307</w:t>
      </w:r>
      <w:r w:rsidR="008340C5" w:rsidRPr="00BD7DA7">
        <w:rPr>
          <w:rFonts w:ascii="Times New Roman" w:hAnsi="Times New Roman" w:cs="Times New Roman"/>
          <w:bCs/>
          <w:lang w:val="en-US"/>
        </w:rPr>
        <w:t>-</w:t>
      </w:r>
      <w:r w:rsidRPr="00BD7DA7">
        <w:rPr>
          <w:rFonts w:ascii="Times New Roman" w:hAnsi="Times New Roman" w:cs="Times New Roman"/>
          <w:bCs/>
          <w:lang w:val="en-US"/>
        </w:rPr>
        <w:t>319</w:t>
      </w:r>
      <w:r w:rsidR="00A15B23" w:rsidRPr="00BD7DA7">
        <w:rPr>
          <w:rFonts w:ascii="Times New Roman" w:hAnsi="Times New Roman" w:cs="Times New Roman"/>
          <w:bCs/>
          <w:lang w:val="en-US"/>
        </w:rPr>
        <w:t>.</w:t>
      </w:r>
      <w:r w:rsidRPr="00BD7DA7">
        <w:rPr>
          <w:rFonts w:ascii="Times New Roman" w:hAnsi="Times New Roman" w:cs="Times New Roman"/>
          <w:bCs/>
          <w:lang w:val="en-US"/>
        </w:rPr>
        <w:t xml:space="preserve"> </w:t>
      </w:r>
      <w:hyperlink r:id="rId13" w:history="1">
        <w:r w:rsidRPr="00747DC5">
          <w:rPr>
            <w:rStyle w:val="Hyperlink"/>
            <w:rFonts w:ascii="Times New Roman" w:hAnsi="Times New Roman" w:cs="Times New Roman"/>
            <w:bCs/>
            <w:color w:val="215E99" w:themeColor="text2" w:themeTint="BF"/>
            <w:lang w:val="en-US"/>
          </w:rPr>
          <w:t>https://doi.org/10.1007/s10661-009-0947-0</w:t>
        </w:r>
      </w:hyperlink>
      <w:r w:rsidRPr="00747DC5">
        <w:rPr>
          <w:rFonts w:ascii="Times New Roman" w:hAnsi="Times New Roman" w:cs="Times New Roman"/>
          <w:bCs/>
          <w:color w:val="215E99" w:themeColor="text2" w:themeTint="BF"/>
          <w:lang w:val="en-US"/>
        </w:rPr>
        <w:t xml:space="preserve"> </w:t>
      </w:r>
      <w:r w:rsidR="00C07EDB" w:rsidRPr="00BD7DA7">
        <w:rPr>
          <w:rFonts w:ascii="Times New Roman" w:hAnsi="Times New Roman" w:cs="Times New Roman"/>
          <w:bCs/>
          <w:lang w:val="en-US"/>
        </w:rPr>
        <w:tab/>
      </w:r>
    </w:p>
    <w:p w14:paraId="6875BBF4"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Brady, N. C., &amp; Weil, R. R. (2017). </w:t>
      </w:r>
      <w:r w:rsidRPr="00BD7DA7">
        <w:rPr>
          <w:rFonts w:ascii="Times New Roman" w:hAnsi="Times New Roman" w:cs="Times New Roman"/>
          <w:bCs/>
          <w:i/>
          <w:iCs/>
          <w:lang w:val="en-US"/>
        </w:rPr>
        <w:t>The nature and properties of soils</w:t>
      </w:r>
      <w:r w:rsidRPr="00BD7DA7">
        <w:rPr>
          <w:rFonts w:ascii="Times New Roman" w:hAnsi="Times New Roman" w:cs="Times New Roman"/>
          <w:bCs/>
          <w:lang w:val="en-US"/>
        </w:rPr>
        <w:t xml:space="preserve"> (15th ed.). Pearson Education.</w:t>
      </w:r>
    </w:p>
    <w:p w14:paraId="330EE9FC" w14:textId="622CE424" w:rsidR="006177EC" w:rsidRPr="00BD7DA7" w:rsidRDefault="006177EC"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Devi, S. S., Gouri, B. R., Anjali, S., &amp; Kumar, A. B. (2024). Microplastic contamination in Ashtamudi Lake, India: Insights from a Ramsar wetland. </w:t>
      </w:r>
      <w:r w:rsidRPr="00BD7DA7">
        <w:rPr>
          <w:rFonts w:ascii="Times New Roman" w:hAnsi="Times New Roman" w:cs="Times New Roman"/>
          <w:bCs/>
          <w:i/>
          <w:iCs/>
          <w:lang w:val="en-US"/>
        </w:rPr>
        <w:t>Journal of Contaminant Hydrology, 264</w:t>
      </w:r>
      <w:r w:rsidRPr="00BD7DA7">
        <w:rPr>
          <w:rFonts w:ascii="Times New Roman" w:hAnsi="Times New Roman" w:cs="Times New Roman"/>
          <w:bCs/>
          <w:lang w:val="en-US"/>
        </w:rPr>
        <w:t xml:space="preserve">, Article 104367. </w:t>
      </w:r>
      <w:hyperlink r:id="rId14" w:history="1">
        <w:r w:rsidRPr="00747DC5">
          <w:rPr>
            <w:rStyle w:val="Hyperlink"/>
            <w:rFonts w:ascii="Times New Roman" w:hAnsi="Times New Roman" w:cs="Times New Roman"/>
            <w:bCs/>
            <w:color w:val="215E99" w:themeColor="text2" w:themeTint="BF"/>
            <w:lang w:val="en-US"/>
          </w:rPr>
          <w:t>https://doi.org/10.1016/j.jconhyd.2024.104367</w:t>
        </w:r>
      </w:hyperlink>
    </w:p>
    <w:p w14:paraId="49BA4DE9" w14:textId="4EC1F36F" w:rsidR="00065636" w:rsidRPr="00BD7DA7" w:rsidRDefault="00123757"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lang w:val="en-US"/>
        </w:rPr>
        <w:t>Kumar, S., &amp; Sharma, L. K. (2025).</w:t>
      </w:r>
      <w:r w:rsidRPr="00BD7DA7">
        <w:rPr>
          <w:rFonts w:ascii="Times New Roman" w:hAnsi="Times New Roman" w:cs="Times New Roman"/>
          <w:bCs/>
          <w:lang w:val="en-US"/>
        </w:rPr>
        <w:t xml:space="preserve"> Assessing spatial and seasonal variability in soil organic carbon fractions of teal carbon in semi-arid Ramsar wetlands of India as a natural climate solution. </w:t>
      </w:r>
      <w:r w:rsidRPr="00BD7DA7">
        <w:rPr>
          <w:rFonts w:ascii="Times New Roman" w:hAnsi="Times New Roman" w:cs="Times New Roman"/>
          <w:bCs/>
          <w:i/>
          <w:iCs/>
          <w:lang w:val="en-US"/>
        </w:rPr>
        <w:t xml:space="preserve">Discover Soil, </w:t>
      </w:r>
      <w:r w:rsidRPr="00BD7DA7">
        <w:rPr>
          <w:rFonts w:ascii="Times New Roman" w:hAnsi="Times New Roman" w:cs="Times New Roman"/>
          <w:bCs/>
          <w:lang w:val="en-US"/>
        </w:rPr>
        <w:t>2</w:t>
      </w:r>
      <w:r w:rsidR="00BC581A" w:rsidRPr="00BD7DA7">
        <w:rPr>
          <w:rFonts w:ascii="Times New Roman" w:hAnsi="Times New Roman" w:cs="Times New Roman"/>
          <w:bCs/>
          <w:lang w:val="en-US"/>
        </w:rPr>
        <w:t>:</w:t>
      </w:r>
      <w:r w:rsidRPr="00BD7DA7">
        <w:rPr>
          <w:rFonts w:ascii="Times New Roman" w:hAnsi="Times New Roman" w:cs="Times New Roman"/>
          <w:bCs/>
          <w:lang w:val="en-US"/>
        </w:rPr>
        <w:t xml:space="preserve"> 66. </w:t>
      </w:r>
      <w:hyperlink r:id="rId15" w:history="1">
        <w:r w:rsidR="00B53859" w:rsidRPr="00747DC5">
          <w:rPr>
            <w:rStyle w:val="Hyperlink"/>
            <w:rFonts w:ascii="Times New Roman" w:hAnsi="Times New Roman" w:cs="Times New Roman"/>
            <w:bCs/>
            <w:color w:val="215E99" w:themeColor="text2" w:themeTint="BF"/>
            <w:lang w:val="en-US"/>
          </w:rPr>
          <w:t>https://doi.org/10.1007/s44378-025-00085-w</w:t>
        </w:r>
      </w:hyperlink>
      <w:r w:rsidR="00B53859" w:rsidRPr="00747DC5">
        <w:rPr>
          <w:rFonts w:ascii="Times New Roman" w:hAnsi="Times New Roman" w:cs="Times New Roman"/>
          <w:bCs/>
          <w:color w:val="215E99" w:themeColor="text2" w:themeTint="BF"/>
          <w:lang w:val="en-US"/>
        </w:rPr>
        <w:t xml:space="preserve"> </w:t>
      </w:r>
      <w:r w:rsidR="00065636" w:rsidRPr="00747DC5">
        <w:rPr>
          <w:rFonts w:ascii="Times New Roman" w:hAnsi="Times New Roman" w:cs="Times New Roman"/>
          <w:bCs/>
          <w:color w:val="215E99" w:themeColor="text2" w:themeTint="BF"/>
        </w:rPr>
        <w:t xml:space="preserve"> </w:t>
      </w:r>
    </w:p>
    <w:p w14:paraId="0B4BC61B" w14:textId="30A92E16" w:rsidR="00065636" w:rsidRPr="00747DC5"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color w:val="215E99" w:themeColor="text2" w:themeTint="BF"/>
        </w:rPr>
      </w:pPr>
      <w:r w:rsidRPr="00BD7DA7">
        <w:rPr>
          <w:rFonts w:ascii="Times New Roman" w:hAnsi="Times New Roman" w:cs="Times New Roman"/>
          <w:bCs/>
        </w:rPr>
        <w:t>Li, Y., Wang, J., Zhang, C., Wang, Z., &amp; Bai, J. (2024). Seasonal dynamics and driving factors of soil organic carbon and nitrogen</w:t>
      </w:r>
      <w:r w:rsidR="00C74252" w:rsidRPr="00BD7DA7">
        <w:rPr>
          <w:rFonts w:ascii="Times New Roman" w:hAnsi="Times New Roman" w:cs="Times New Roman"/>
          <w:bCs/>
        </w:rPr>
        <w:t xml:space="preserve"> </w:t>
      </w:r>
      <w:r w:rsidRPr="00BD7DA7">
        <w:rPr>
          <w:rFonts w:ascii="Times New Roman" w:hAnsi="Times New Roman" w:cs="Times New Roman"/>
          <w:bCs/>
        </w:rPr>
        <w:t xml:space="preserve">in estuarine wetlands. </w:t>
      </w:r>
      <w:r w:rsidRPr="00BD7DA7">
        <w:rPr>
          <w:rFonts w:ascii="Times New Roman" w:hAnsi="Times New Roman" w:cs="Times New Roman"/>
          <w:bCs/>
          <w:i/>
          <w:iCs/>
        </w:rPr>
        <w:t xml:space="preserve">Journal of Environmental Management, </w:t>
      </w:r>
      <w:r w:rsidRPr="00BD7DA7">
        <w:rPr>
          <w:rFonts w:ascii="Times New Roman" w:hAnsi="Times New Roman" w:cs="Times New Roman"/>
          <w:bCs/>
        </w:rPr>
        <w:t>349</w:t>
      </w:r>
      <w:r w:rsidR="0085540B" w:rsidRPr="00BD7DA7">
        <w:rPr>
          <w:rFonts w:ascii="Times New Roman" w:hAnsi="Times New Roman" w:cs="Times New Roman"/>
          <w:bCs/>
        </w:rPr>
        <w:t>:</w:t>
      </w:r>
      <w:r w:rsidRPr="00BD7DA7">
        <w:rPr>
          <w:rFonts w:ascii="Times New Roman" w:hAnsi="Times New Roman" w:cs="Times New Roman"/>
          <w:bCs/>
        </w:rPr>
        <w:t xml:space="preserve"> 119683. </w:t>
      </w:r>
      <w:hyperlink r:id="rId16" w:history="1">
        <w:r w:rsidRPr="00747DC5">
          <w:rPr>
            <w:rStyle w:val="Hyperlink"/>
            <w:rFonts w:ascii="Times New Roman" w:hAnsi="Times New Roman" w:cs="Times New Roman"/>
            <w:bCs/>
            <w:color w:val="215E99" w:themeColor="text2" w:themeTint="BF"/>
          </w:rPr>
          <w:t>https://doi.org/10.1016/j.jenvman.2023.119683</w:t>
        </w:r>
      </w:hyperlink>
      <w:r w:rsidRPr="00747DC5">
        <w:rPr>
          <w:rFonts w:ascii="Times New Roman" w:hAnsi="Times New Roman" w:cs="Times New Roman"/>
          <w:bCs/>
          <w:color w:val="215E99" w:themeColor="text2" w:themeTint="BF"/>
        </w:rPr>
        <w:t xml:space="preserve"> </w:t>
      </w:r>
    </w:p>
    <w:p w14:paraId="74FBA0D8"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rPr>
        <w:t xml:space="preserve">Mitsch, W. J., &amp; Gosselink, J. G. (2015). </w:t>
      </w:r>
      <w:r w:rsidRPr="00BD7DA7">
        <w:rPr>
          <w:rFonts w:ascii="Times New Roman" w:hAnsi="Times New Roman" w:cs="Times New Roman"/>
          <w:bCs/>
          <w:i/>
          <w:iCs/>
        </w:rPr>
        <w:t>Wetlands</w:t>
      </w:r>
      <w:r w:rsidRPr="00BD7DA7">
        <w:rPr>
          <w:rFonts w:ascii="Times New Roman" w:hAnsi="Times New Roman" w:cs="Times New Roman"/>
          <w:bCs/>
        </w:rPr>
        <w:t xml:space="preserve"> (5th ed.). John Wiley &amp; Sons. </w:t>
      </w:r>
      <w:hyperlink r:id="rId17" w:history="1">
        <w:r w:rsidRPr="00747DC5">
          <w:rPr>
            <w:rStyle w:val="Hyperlink"/>
            <w:rFonts w:ascii="Times New Roman" w:hAnsi="Times New Roman" w:cs="Times New Roman"/>
            <w:bCs/>
            <w:color w:val="215E99" w:themeColor="text2" w:themeTint="BF"/>
          </w:rPr>
          <w:t>https://www.wiley.com/en-us/Wetlands%2C+5th+Edition-p-9780470699432</w:t>
        </w:r>
      </w:hyperlink>
      <w:r w:rsidRPr="00747DC5">
        <w:rPr>
          <w:rFonts w:ascii="Times New Roman" w:hAnsi="Times New Roman" w:cs="Times New Roman"/>
          <w:bCs/>
          <w:color w:val="215E99" w:themeColor="text2" w:themeTint="BF"/>
        </w:rPr>
        <w:t xml:space="preserve"> </w:t>
      </w:r>
    </w:p>
    <w:p w14:paraId="44B19955" w14:textId="14F2B8EE" w:rsidR="007D79AD" w:rsidRPr="00BD7DA7" w:rsidRDefault="007D79AD"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lang w:val="en-US"/>
        </w:rPr>
        <w:t>Nosrati, K. (2012).</w:t>
      </w:r>
      <w:r w:rsidRPr="00BD7DA7">
        <w:rPr>
          <w:rFonts w:ascii="Times New Roman" w:hAnsi="Times New Roman" w:cs="Times New Roman"/>
          <w:bCs/>
          <w:lang w:val="en-US"/>
        </w:rPr>
        <w:t xml:space="preserve"> Assessing soil quality indicator under different land use and soil erosion using multivariate statistical techniques. </w:t>
      </w:r>
      <w:r w:rsidRPr="00BD7DA7">
        <w:rPr>
          <w:rFonts w:ascii="Times New Roman" w:hAnsi="Times New Roman" w:cs="Times New Roman"/>
          <w:bCs/>
          <w:i/>
          <w:iCs/>
          <w:lang w:val="en-US"/>
        </w:rPr>
        <w:t>Environmental Monitoring and Assessment, 185</w:t>
      </w:r>
      <w:r w:rsidRPr="00BD7DA7">
        <w:rPr>
          <w:rFonts w:ascii="Times New Roman" w:hAnsi="Times New Roman" w:cs="Times New Roman"/>
          <w:bCs/>
          <w:lang w:val="en-US"/>
        </w:rPr>
        <w:t>(4), 2895</w:t>
      </w:r>
      <w:r w:rsidR="00377F77" w:rsidRPr="00BD7DA7">
        <w:rPr>
          <w:rFonts w:ascii="Times New Roman" w:hAnsi="Times New Roman" w:cs="Times New Roman"/>
          <w:bCs/>
          <w:lang w:val="en-US"/>
        </w:rPr>
        <w:t>-</w:t>
      </w:r>
      <w:r w:rsidRPr="00BD7DA7">
        <w:rPr>
          <w:rFonts w:ascii="Times New Roman" w:hAnsi="Times New Roman" w:cs="Times New Roman"/>
          <w:bCs/>
          <w:lang w:val="en-US"/>
        </w:rPr>
        <w:t xml:space="preserve">2907. </w:t>
      </w:r>
      <w:hyperlink r:id="rId18" w:history="1">
        <w:r w:rsidRPr="00747DC5">
          <w:rPr>
            <w:rStyle w:val="Hyperlink"/>
            <w:rFonts w:ascii="Times New Roman" w:hAnsi="Times New Roman" w:cs="Times New Roman"/>
            <w:bCs/>
            <w:color w:val="215E99" w:themeColor="text2" w:themeTint="BF"/>
            <w:lang w:val="en-US"/>
          </w:rPr>
          <w:t>https://doi.org/10.1007/s10661-012-2758-y</w:t>
        </w:r>
      </w:hyperlink>
      <w:r w:rsidRPr="00BD7DA7">
        <w:rPr>
          <w:rFonts w:ascii="Times New Roman" w:hAnsi="Times New Roman" w:cs="Times New Roman"/>
          <w:bCs/>
          <w:lang w:val="en-US"/>
        </w:rPr>
        <w:t xml:space="preserve"> </w:t>
      </w:r>
    </w:p>
    <w:p w14:paraId="745670A8" w14:textId="08FDF24D"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rPr>
        <w:lastRenderedPageBreak/>
        <w:t xml:space="preserve">Rajagopal, P. K. </w:t>
      </w:r>
      <w:r w:rsidR="004313A4" w:rsidRPr="00BD7DA7">
        <w:rPr>
          <w:rFonts w:ascii="Times New Roman" w:hAnsi="Times New Roman" w:cs="Times New Roman"/>
        </w:rPr>
        <w:t xml:space="preserve">&amp; Sreekala K. </w:t>
      </w:r>
      <w:r w:rsidRPr="00BD7DA7">
        <w:rPr>
          <w:rFonts w:ascii="Times New Roman" w:hAnsi="Times New Roman" w:cs="Times New Roman"/>
        </w:rPr>
        <w:t xml:space="preserve">(2025). </w:t>
      </w:r>
      <w:r w:rsidRPr="00BD7DA7">
        <w:rPr>
          <w:rStyle w:val="Emphasis"/>
          <w:rFonts w:ascii="Times New Roman" w:eastAsiaTheme="majorEastAsia" w:hAnsi="Times New Roman" w:cs="Times New Roman"/>
          <w:i w:val="0"/>
          <w:iCs w:val="0"/>
        </w:rPr>
        <w:t>Ashtamudi Lake: Balancing ecosystem conservation and socio-cultural dynamics</w:t>
      </w:r>
      <w:r w:rsidRPr="00BD7DA7">
        <w:rPr>
          <w:rStyle w:val="Emphasis"/>
          <w:rFonts w:ascii="Times New Roman" w:eastAsiaTheme="majorEastAsia" w:hAnsi="Times New Roman" w:cs="Times New Roman"/>
        </w:rPr>
        <w:t>.</w:t>
      </w:r>
      <w:r w:rsidRPr="00BD7DA7">
        <w:rPr>
          <w:rFonts w:ascii="Times New Roman" w:hAnsi="Times New Roman" w:cs="Times New Roman"/>
        </w:rPr>
        <w:t xml:space="preserve"> </w:t>
      </w:r>
      <w:r w:rsidRPr="00BD7DA7">
        <w:rPr>
          <w:rStyle w:val="Emphasis"/>
          <w:rFonts w:ascii="Times New Roman" w:eastAsiaTheme="majorEastAsia" w:hAnsi="Times New Roman" w:cs="Times New Roman"/>
        </w:rPr>
        <w:t>Artha</w:t>
      </w:r>
      <w:r w:rsidR="004A41AB" w:rsidRPr="00BD7DA7">
        <w:rPr>
          <w:rStyle w:val="Emphasis"/>
          <w:rFonts w:ascii="Times New Roman" w:eastAsiaTheme="majorEastAsia" w:hAnsi="Times New Roman" w:cs="Times New Roman"/>
        </w:rPr>
        <w:t xml:space="preserve"> -</w:t>
      </w:r>
      <w:r w:rsidRPr="00BD7DA7">
        <w:rPr>
          <w:rStyle w:val="Emphasis"/>
          <w:rFonts w:ascii="Times New Roman" w:eastAsiaTheme="majorEastAsia" w:hAnsi="Times New Roman" w:cs="Times New Roman"/>
        </w:rPr>
        <w:t xml:space="preserve"> Journal</w:t>
      </w:r>
      <w:r w:rsidR="00187C73" w:rsidRPr="00BD7DA7">
        <w:rPr>
          <w:rStyle w:val="Emphasis"/>
          <w:rFonts w:ascii="Times New Roman" w:eastAsiaTheme="majorEastAsia" w:hAnsi="Times New Roman" w:cs="Times New Roman"/>
        </w:rPr>
        <w:t xml:space="preserve"> of Social Science</w:t>
      </w:r>
      <w:r w:rsidRPr="00BD7DA7">
        <w:rPr>
          <w:rFonts w:ascii="Times New Roman" w:hAnsi="Times New Roman" w:cs="Times New Roman"/>
        </w:rPr>
        <w:t>.</w:t>
      </w:r>
      <w:r w:rsidR="00FB4A86" w:rsidRPr="00BD7DA7">
        <w:rPr>
          <w:rFonts w:ascii="Times New Roman" w:hAnsi="Times New Roman" w:cs="Times New Roman"/>
        </w:rPr>
        <w:t xml:space="preserve"> </w:t>
      </w:r>
      <w:r w:rsidR="00C82BC8" w:rsidRPr="00BD7DA7">
        <w:rPr>
          <w:rFonts w:ascii="Times New Roman" w:hAnsi="Times New Roman" w:cs="Times New Roman"/>
        </w:rPr>
        <w:t>26</w:t>
      </w:r>
      <w:r w:rsidR="004E64F0" w:rsidRPr="00BD7DA7">
        <w:rPr>
          <w:rFonts w:ascii="Times New Roman" w:hAnsi="Times New Roman" w:cs="Times New Roman"/>
        </w:rPr>
        <w:t>(2)</w:t>
      </w:r>
      <w:r w:rsidR="004A41AB" w:rsidRPr="00BD7DA7">
        <w:rPr>
          <w:rFonts w:ascii="Times New Roman" w:hAnsi="Times New Roman" w:cs="Times New Roman"/>
        </w:rPr>
        <w:t>: 113-133</w:t>
      </w:r>
      <w:r w:rsidR="004E64F0" w:rsidRPr="00BD7DA7">
        <w:rPr>
          <w:rFonts w:ascii="Times New Roman" w:hAnsi="Times New Roman" w:cs="Times New Roman"/>
        </w:rPr>
        <w:t xml:space="preserve"> </w:t>
      </w:r>
      <w:hyperlink r:id="rId19" w:history="1">
        <w:r w:rsidR="00187C73" w:rsidRPr="00747DC5">
          <w:rPr>
            <w:rStyle w:val="Hyperlink"/>
            <w:rFonts w:ascii="Times New Roman" w:eastAsiaTheme="majorEastAsia" w:hAnsi="Times New Roman" w:cs="Times New Roman"/>
            <w:color w:val="215E99" w:themeColor="text2" w:themeTint="BF"/>
          </w:rPr>
          <w:t>https://journals.christuniversity.in/index.php/artha/article/view/6846</w:t>
        </w:r>
      </w:hyperlink>
      <w:r w:rsidRPr="00747DC5">
        <w:rPr>
          <w:rFonts w:ascii="Times New Roman" w:hAnsi="Times New Roman" w:cs="Times New Roman"/>
          <w:color w:val="215E99" w:themeColor="text2" w:themeTint="BF"/>
        </w:rPr>
        <w:t xml:space="preserve"> </w:t>
      </w:r>
    </w:p>
    <w:p w14:paraId="1E030E5E" w14:textId="0EED3BC8" w:rsidR="00D92DE0" w:rsidRPr="00BD7DA7" w:rsidRDefault="00D92DE0"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Oviedo Celis, R. A., Hernández Gamboa, C., Pascual, J. A., &amp; Ros, M. (2024). Conceptual and practical challenges of assessing soil quality. </w:t>
      </w:r>
      <w:r w:rsidRPr="00BD7DA7">
        <w:rPr>
          <w:rFonts w:ascii="Times New Roman" w:hAnsi="Times New Roman" w:cs="Times New Roman"/>
          <w:bCs/>
          <w:i/>
          <w:iCs/>
          <w:lang w:val="en-US"/>
        </w:rPr>
        <w:t xml:space="preserve">Soil Use and Management, </w:t>
      </w:r>
      <w:r w:rsidRPr="00BD7DA7">
        <w:rPr>
          <w:rFonts w:ascii="Times New Roman" w:hAnsi="Times New Roman" w:cs="Times New Roman"/>
          <w:bCs/>
          <w:lang w:val="en-US"/>
        </w:rPr>
        <w:t>40(4)</w:t>
      </w:r>
      <w:r w:rsidR="00F46A6C" w:rsidRPr="00BD7DA7">
        <w:rPr>
          <w:rFonts w:ascii="Times New Roman" w:hAnsi="Times New Roman" w:cs="Times New Roman"/>
          <w:bCs/>
          <w:lang w:val="en-US"/>
        </w:rPr>
        <w:t xml:space="preserve">: </w:t>
      </w:r>
      <w:r w:rsidRPr="00BD7DA7">
        <w:rPr>
          <w:rFonts w:ascii="Times New Roman" w:hAnsi="Times New Roman" w:cs="Times New Roman"/>
          <w:bCs/>
          <w:lang w:val="en-US"/>
        </w:rPr>
        <w:t xml:space="preserve">e13137. </w:t>
      </w:r>
      <w:hyperlink r:id="rId20" w:history="1">
        <w:r w:rsidR="00F46A6C" w:rsidRPr="00747DC5">
          <w:rPr>
            <w:rStyle w:val="Hyperlink"/>
            <w:rFonts w:ascii="Times New Roman" w:hAnsi="Times New Roman" w:cs="Times New Roman"/>
            <w:bCs/>
            <w:color w:val="215E99" w:themeColor="text2" w:themeTint="BF"/>
            <w:lang w:val="en-US"/>
          </w:rPr>
          <w:t>https://doi.org/10.1111/sum.13137</w:t>
        </w:r>
      </w:hyperlink>
      <w:r w:rsidR="00F46A6C" w:rsidRPr="00BD7DA7">
        <w:rPr>
          <w:rFonts w:ascii="Times New Roman" w:hAnsi="Times New Roman" w:cs="Times New Roman"/>
          <w:bCs/>
          <w:lang w:val="en-US"/>
        </w:rPr>
        <w:t xml:space="preserve"> </w:t>
      </w:r>
    </w:p>
    <w:p w14:paraId="5A27A471"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rPr>
        <w:t xml:space="preserve">Reddy, K. R., &amp; </w:t>
      </w:r>
      <w:proofErr w:type="spellStart"/>
      <w:r w:rsidRPr="00BD7DA7">
        <w:rPr>
          <w:rFonts w:ascii="Times New Roman" w:hAnsi="Times New Roman" w:cs="Times New Roman"/>
          <w:bCs/>
        </w:rPr>
        <w:t>DeLaune</w:t>
      </w:r>
      <w:proofErr w:type="spellEnd"/>
      <w:r w:rsidRPr="00BD7DA7">
        <w:rPr>
          <w:rFonts w:ascii="Times New Roman" w:hAnsi="Times New Roman" w:cs="Times New Roman"/>
          <w:bCs/>
        </w:rPr>
        <w:t xml:space="preserve">, R. D. (2008). </w:t>
      </w:r>
      <w:r w:rsidRPr="00BD7DA7">
        <w:rPr>
          <w:rFonts w:ascii="Times New Roman" w:hAnsi="Times New Roman" w:cs="Times New Roman"/>
          <w:bCs/>
          <w:i/>
          <w:iCs/>
        </w:rPr>
        <w:t>Biogeochemistry of wetlands: Science and applications</w:t>
      </w:r>
      <w:r w:rsidRPr="00BD7DA7">
        <w:rPr>
          <w:rFonts w:ascii="Times New Roman" w:hAnsi="Times New Roman" w:cs="Times New Roman"/>
          <w:bCs/>
        </w:rPr>
        <w:t xml:space="preserve">. CRC Press. </w:t>
      </w:r>
      <w:hyperlink r:id="rId21" w:history="1">
        <w:r w:rsidRPr="00747DC5">
          <w:rPr>
            <w:rStyle w:val="Hyperlink"/>
            <w:rFonts w:ascii="Times New Roman" w:hAnsi="Times New Roman" w:cs="Times New Roman"/>
            <w:bCs/>
            <w:color w:val="215E99" w:themeColor="text2" w:themeTint="BF"/>
          </w:rPr>
          <w:t>https://doi.org/10.1201/9780203491454</w:t>
        </w:r>
      </w:hyperlink>
      <w:r w:rsidRPr="00747DC5">
        <w:rPr>
          <w:rFonts w:ascii="Times New Roman" w:hAnsi="Times New Roman" w:cs="Times New Roman"/>
          <w:bCs/>
          <w:color w:val="215E99" w:themeColor="text2" w:themeTint="BF"/>
        </w:rPr>
        <w:t xml:space="preserve"> </w:t>
      </w:r>
    </w:p>
    <w:p w14:paraId="3DDC5EEA"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rPr>
        <w:t xml:space="preserve">RIS (Ramsar Information Sheet). (2002). </w:t>
      </w:r>
      <w:r w:rsidRPr="00BD7DA7">
        <w:rPr>
          <w:rStyle w:val="Emphasis"/>
          <w:rFonts w:ascii="Times New Roman" w:eastAsiaTheme="majorEastAsia" w:hAnsi="Times New Roman" w:cs="Times New Roman"/>
        </w:rPr>
        <w:t xml:space="preserve">Information Sheet on Ramsar Wetlands: Ashtamudi Wetland </w:t>
      </w:r>
      <w:r w:rsidRPr="00BD7DA7">
        <w:rPr>
          <w:rStyle w:val="Emphasis"/>
          <w:rFonts w:ascii="Times New Roman" w:eastAsiaTheme="majorEastAsia" w:hAnsi="Times New Roman" w:cs="Times New Roman"/>
          <w:i w:val="0"/>
          <w:iCs w:val="0"/>
        </w:rPr>
        <w:t>(No. 1204)</w:t>
      </w:r>
      <w:r w:rsidRPr="00BD7DA7">
        <w:rPr>
          <w:rFonts w:ascii="Times New Roman" w:hAnsi="Times New Roman" w:cs="Times New Roman"/>
          <w:i/>
          <w:iCs/>
        </w:rPr>
        <w:t>.</w:t>
      </w:r>
      <w:r w:rsidRPr="00BD7DA7">
        <w:rPr>
          <w:rFonts w:ascii="Times New Roman" w:hAnsi="Times New Roman" w:cs="Times New Roman"/>
        </w:rPr>
        <w:t xml:space="preserve"> Ramsar Convention Secretariat. </w:t>
      </w:r>
      <w:hyperlink r:id="rId22" w:tgtFrame="_new" w:history="1">
        <w:r w:rsidRPr="00747DC5">
          <w:rPr>
            <w:rStyle w:val="Hyperlink"/>
            <w:rFonts w:ascii="Times New Roman" w:eastAsiaTheme="majorEastAsia" w:hAnsi="Times New Roman" w:cs="Times New Roman"/>
            <w:color w:val="215E99" w:themeColor="text2" w:themeTint="BF"/>
          </w:rPr>
          <w:t>https://rsis.ramsar.org/RISapp/files/RISrep/IN1204RIS.pdf</w:t>
        </w:r>
      </w:hyperlink>
      <w:r w:rsidRPr="00BD7DA7">
        <w:rPr>
          <w:rFonts w:ascii="Times New Roman" w:hAnsi="Times New Roman" w:cs="Times New Roman"/>
        </w:rPr>
        <w:t xml:space="preserve"> </w:t>
      </w:r>
    </w:p>
    <w:p w14:paraId="0425CA35" w14:textId="1FB24264" w:rsidR="00835F66" w:rsidRPr="00747DC5" w:rsidRDefault="00835F66" w:rsidP="00BD7DA7">
      <w:pPr>
        <w:pStyle w:val="ListParagraph"/>
        <w:numPr>
          <w:ilvl w:val="0"/>
          <w:numId w:val="1"/>
        </w:numPr>
        <w:tabs>
          <w:tab w:val="left" w:pos="5700"/>
        </w:tabs>
        <w:spacing w:after="0" w:line="360" w:lineRule="auto"/>
        <w:ind w:left="426"/>
        <w:jc w:val="both"/>
        <w:rPr>
          <w:rFonts w:ascii="Times New Roman" w:hAnsi="Times New Roman" w:cs="Times New Roman"/>
          <w:bCs/>
          <w:color w:val="215E99" w:themeColor="text2" w:themeTint="BF"/>
        </w:rPr>
      </w:pPr>
      <w:r w:rsidRPr="00BD7DA7">
        <w:rPr>
          <w:rFonts w:ascii="Times New Roman" w:hAnsi="Times New Roman" w:cs="Times New Roman"/>
          <w:lang w:val="en-US"/>
        </w:rPr>
        <w:t>Selmy, S. A. H., Abd Al-Aziz, S. H., Jiménez-Ballesta, R., Jesús García-Navarro, F., &amp; Fadl, M. E. (2021).</w:t>
      </w:r>
      <w:r w:rsidRPr="00BD7DA7">
        <w:rPr>
          <w:rFonts w:ascii="Times New Roman" w:hAnsi="Times New Roman" w:cs="Times New Roman"/>
          <w:bCs/>
          <w:lang w:val="en-US"/>
        </w:rPr>
        <w:t xml:space="preserve"> Soil quality assessment using multivariate approaches: A case study of the Dakhla Oasis arid lands. </w:t>
      </w:r>
      <w:r w:rsidRPr="00BD7DA7">
        <w:rPr>
          <w:rFonts w:ascii="Times New Roman" w:hAnsi="Times New Roman" w:cs="Times New Roman"/>
          <w:bCs/>
          <w:i/>
          <w:iCs/>
          <w:lang w:val="en-US"/>
        </w:rPr>
        <w:t xml:space="preserve">Land, </w:t>
      </w:r>
      <w:r w:rsidRPr="00BD7DA7">
        <w:rPr>
          <w:rFonts w:ascii="Times New Roman" w:hAnsi="Times New Roman" w:cs="Times New Roman"/>
          <w:bCs/>
          <w:lang w:val="en-US"/>
        </w:rPr>
        <w:t xml:space="preserve">10(10), 1074. </w:t>
      </w:r>
      <w:hyperlink r:id="rId23" w:history="1">
        <w:r w:rsidRPr="00747DC5">
          <w:rPr>
            <w:rStyle w:val="Hyperlink"/>
            <w:rFonts w:ascii="Times New Roman" w:hAnsi="Times New Roman" w:cs="Times New Roman"/>
            <w:bCs/>
            <w:color w:val="215E99" w:themeColor="text2" w:themeTint="BF"/>
            <w:lang w:val="en-US"/>
          </w:rPr>
          <w:t>https://doi.org/10.3390/land10101074</w:t>
        </w:r>
      </w:hyperlink>
    </w:p>
    <w:p w14:paraId="7BF6FAEF" w14:textId="119862F0"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proofErr w:type="spellStart"/>
      <w:r w:rsidRPr="00BD7DA7">
        <w:rPr>
          <w:rFonts w:ascii="Times New Roman" w:hAnsi="Times New Roman" w:cs="Times New Roman"/>
          <w:bCs/>
        </w:rPr>
        <w:t>Shokr</w:t>
      </w:r>
      <w:proofErr w:type="spellEnd"/>
      <w:r w:rsidRPr="00BD7DA7">
        <w:rPr>
          <w:rFonts w:ascii="Times New Roman" w:hAnsi="Times New Roman" w:cs="Times New Roman"/>
          <w:bCs/>
        </w:rPr>
        <w:t xml:space="preserve">, M. S., El-Baroudy, A. A., Ali, R. R., &amp; </w:t>
      </w:r>
      <w:proofErr w:type="spellStart"/>
      <w:r w:rsidRPr="00BD7DA7">
        <w:rPr>
          <w:rFonts w:ascii="Times New Roman" w:hAnsi="Times New Roman" w:cs="Times New Roman"/>
          <w:bCs/>
        </w:rPr>
        <w:t>Moghanm</w:t>
      </w:r>
      <w:proofErr w:type="spellEnd"/>
      <w:r w:rsidRPr="00BD7DA7">
        <w:rPr>
          <w:rFonts w:ascii="Times New Roman" w:hAnsi="Times New Roman" w:cs="Times New Roman"/>
          <w:bCs/>
        </w:rPr>
        <w:t xml:space="preserve">, F. S. (2025). A PCA-based soil quality index for evaluating soil health under different land uses. </w:t>
      </w:r>
      <w:r w:rsidRPr="00BD7DA7">
        <w:rPr>
          <w:rFonts w:ascii="Times New Roman" w:hAnsi="Times New Roman" w:cs="Times New Roman"/>
          <w:bCs/>
          <w:i/>
          <w:iCs/>
        </w:rPr>
        <w:t xml:space="preserve">PLOS ONE, </w:t>
      </w:r>
      <w:r w:rsidRPr="00BD7DA7">
        <w:rPr>
          <w:rFonts w:ascii="Times New Roman" w:hAnsi="Times New Roman" w:cs="Times New Roman"/>
          <w:bCs/>
        </w:rPr>
        <w:t>20(2)</w:t>
      </w:r>
      <w:r w:rsidR="007E54C0" w:rsidRPr="00BD7DA7">
        <w:rPr>
          <w:rFonts w:ascii="Times New Roman" w:hAnsi="Times New Roman" w:cs="Times New Roman"/>
          <w:bCs/>
        </w:rPr>
        <w:t>:</w:t>
      </w:r>
      <w:r w:rsidRPr="00BD7DA7">
        <w:rPr>
          <w:rFonts w:ascii="Times New Roman" w:hAnsi="Times New Roman" w:cs="Times New Roman"/>
          <w:bCs/>
        </w:rPr>
        <w:t xml:space="preserve"> e0337063. </w:t>
      </w:r>
      <w:hyperlink r:id="rId24" w:history="1">
        <w:r w:rsidRPr="00747DC5">
          <w:rPr>
            <w:rStyle w:val="Hyperlink"/>
            <w:rFonts w:ascii="Times New Roman" w:hAnsi="Times New Roman" w:cs="Times New Roman"/>
            <w:bCs/>
            <w:color w:val="215E99" w:themeColor="text2" w:themeTint="BF"/>
          </w:rPr>
          <w:t>https://doi.org/10.1371/journal.pone.0337063</w:t>
        </w:r>
      </w:hyperlink>
      <w:r w:rsidRPr="00BD7DA7">
        <w:rPr>
          <w:rFonts w:ascii="Times New Roman" w:hAnsi="Times New Roman" w:cs="Times New Roman"/>
          <w:bCs/>
        </w:rPr>
        <w:t xml:space="preserve"> </w:t>
      </w:r>
    </w:p>
    <w:p w14:paraId="36E1CA45" w14:textId="739C1206" w:rsidR="000115CF" w:rsidRPr="00BD7DA7" w:rsidRDefault="00CD30C2"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lang w:val="en-US"/>
        </w:rPr>
        <w:t>Vasu, D., Singh, S. K., Sahu, N., Tiwary, P., Chandran, P., Duraisamy, V. P., Ramamurthy, V., Lalitha, M., &amp; Kalaiselvi, B. (2017).</w:t>
      </w:r>
      <w:r w:rsidRPr="00BD7DA7">
        <w:rPr>
          <w:rFonts w:ascii="Times New Roman" w:hAnsi="Times New Roman" w:cs="Times New Roman"/>
          <w:bCs/>
          <w:lang w:val="en-US"/>
        </w:rPr>
        <w:t xml:space="preserve"> Assessment of spatial variability of soil properties using geospatial techniques for farm level nutrient management. </w:t>
      </w:r>
      <w:r w:rsidRPr="00BD7DA7">
        <w:rPr>
          <w:rFonts w:ascii="Times New Roman" w:hAnsi="Times New Roman" w:cs="Times New Roman"/>
          <w:bCs/>
          <w:i/>
          <w:iCs/>
          <w:lang w:val="en-US"/>
        </w:rPr>
        <w:t xml:space="preserve">Soil &amp; Tillage Research, </w:t>
      </w:r>
      <w:r w:rsidRPr="00BD7DA7">
        <w:rPr>
          <w:rFonts w:ascii="Times New Roman" w:hAnsi="Times New Roman" w:cs="Times New Roman"/>
          <w:bCs/>
          <w:lang w:val="en-US"/>
        </w:rPr>
        <w:t xml:space="preserve">169, 25–34. </w:t>
      </w:r>
      <w:hyperlink r:id="rId25" w:history="1">
        <w:r w:rsidRPr="00747DC5">
          <w:rPr>
            <w:rStyle w:val="Hyperlink"/>
            <w:rFonts w:ascii="Times New Roman" w:hAnsi="Times New Roman" w:cs="Times New Roman"/>
            <w:bCs/>
            <w:color w:val="215E99" w:themeColor="text2" w:themeTint="BF"/>
            <w:lang w:val="en-US"/>
          </w:rPr>
          <w:t>https://doi.org/10.1016/j.still.2017.01.006</w:t>
        </w:r>
      </w:hyperlink>
      <w:r w:rsidRPr="00BD7DA7">
        <w:rPr>
          <w:rFonts w:ascii="Times New Roman" w:hAnsi="Times New Roman" w:cs="Times New Roman"/>
          <w:bCs/>
          <w:lang w:val="en-US"/>
        </w:rPr>
        <w:t xml:space="preserve"> </w:t>
      </w:r>
    </w:p>
    <w:p w14:paraId="6C1297E0" w14:textId="677B1BFD"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rPr>
        <w:t xml:space="preserve">Zhang, G., Bai, J., Xi, M., Zhao, Q., Lu, Q., &amp; Jia, J. (2022). Soil quality assessment using a minimum data set and soil quality index in a coastal wetland of the Yellow River Delta, China. </w:t>
      </w:r>
      <w:r w:rsidRPr="00BD7DA7">
        <w:rPr>
          <w:rFonts w:ascii="Times New Roman" w:hAnsi="Times New Roman" w:cs="Times New Roman"/>
          <w:bCs/>
          <w:i/>
          <w:iCs/>
        </w:rPr>
        <w:t xml:space="preserve">Soil Use and Management, </w:t>
      </w:r>
      <w:r w:rsidRPr="00BD7DA7">
        <w:rPr>
          <w:rFonts w:ascii="Times New Roman" w:hAnsi="Times New Roman" w:cs="Times New Roman"/>
          <w:bCs/>
        </w:rPr>
        <w:t>38(2)</w:t>
      </w:r>
      <w:r w:rsidR="00DE34ED" w:rsidRPr="00BD7DA7">
        <w:rPr>
          <w:rFonts w:ascii="Times New Roman" w:hAnsi="Times New Roman" w:cs="Times New Roman"/>
          <w:bCs/>
        </w:rPr>
        <w:t>:</w:t>
      </w:r>
      <w:r w:rsidRPr="00BD7DA7">
        <w:rPr>
          <w:rFonts w:ascii="Times New Roman" w:hAnsi="Times New Roman" w:cs="Times New Roman"/>
          <w:bCs/>
        </w:rPr>
        <w:t xml:space="preserve"> 845</w:t>
      </w:r>
      <w:r w:rsidR="00DE34ED" w:rsidRPr="00BD7DA7">
        <w:rPr>
          <w:rFonts w:ascii="Times New Roman" w:hAnsi="Times New Roman" w:cs="Times New Roman"/>
          <w:bCs/>
        </w:rPr>
        <w:t>-</w:t>
      </w:r>
      <w:r w:rsidRPr="00BD7DA7">
        <w:rPr>
          <w:rFonts w:ascii="Times New Roman" w:hAnsi="Times New Roman" w:cs="Times New Roman"/>
          <w:bCs/>
        </w:rPr>
        <w:t xml:space="preserve">858. </w:t>
      </w:r>
      <w:hyperlink r:id="rId26" w:history="1">
        <w:r w:rsidRPr="00747DC5">
          <w:rPr>
            <w:rStyle w:val="Hyperlink"/>
            <w:rFonts w:ascii="Times New Roman" w:hAnsi="Times New Roman" w:cs="Times New Roman"/>
            <w:bCs/>
            <w:color w:val="215E99" w:themeColor="text2" w:themeTint="BF"/>
          </w:rPr>
          <w:t>https://doi.org/10.1111/sum.12755</w:t>
        </w:r>
      </w:hyperlink>
      <w:r w:rsidRPr="00BD7DA7">
        <w:rPr>
          <w:rFonts w:ascii="Times New Roman" w:hAnsi="Times New Roman" w:cs="Times New Roman"/>
          <w:bCs/>
        </w:rPr>
        <w:t xml:space="preserve"> </w:t>
      </w:r>
    </w:p>
    <w:sectPr w:rsidR="00065636" w:rsidRPr="00BD7DA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BB4B3" w14:textId="77777777" w:rsidR="00CA68A6" w:rsidRDefault="00CA68A6" w:rsidP="0097653F">
      <w:pPr>
        <w:spacing w:after="0" w:line="240" w:lineRule="auto"/>
      </w:pPr>
      <w:r>
        <w:separator/>
      </w:r>
    </w:p>
  </w:endnote>
  <w:endnote w:type="continuationSeparator" w:id="0">
    <w:p w14:paraId="6D505E8F" w14:textId="77777777" w:rsidR="00CA68A6" w:rsidRDefault="00CA68A6" w:rsidP="0097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5525B" w14:textId="77777777" w:rsidR="00A16512" w:rsidRDefault="00A16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577239"/>
      <w:docPartObj>
        <w:docPartGallery w:val="Page Numbers (Bottom of Page)"/>
        <w:docPartUnique/>
      </w:docPartObj>
    </w:sdtPr>
    <w:sdtEndPr>
      <w:rPr>
        <w:noProof/>
      </w:rPr>
    </w:sdtEndPr>
    <w:sdtContent>
      <w:p w14:paraId="6E217E71" w14:textId="0F0B2FC5" w:rsidR="0097653F" w:rsidRDefault="009765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E72875" w14:textId="77777777" w:rsidR="0097653F" w:rsidRDefault="00976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AF5BF" w14:textId="77777777" w:rsidR="00A16512" w:rsidRDefault="00A16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C9C59" w14:textId="77777777" w:rsidR="00CA68A6" w:rsidRDefault="00CA68A6" w:rsidP="0097653F">
      <w:pPr>
        <w:spacing w:after="0" w:line="240" w:lineRule="auto"/>
      </w:pPr>
      <w:r>
        <w:separator/>
      </w:r>
    </w:p>
  </w:footnote>
  <w:footnote w:type="continuationSeparator" w:id="0">
    <w:p w14:paraId="45422508" w14:textId="77777777" w:rsidR="00CA68A6" w:rsidRDefault="00CA68A6" w:rsidP="00976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E211" w14:textId="0852FD50" w:rsidR="00A16512" w:rsidRDefault="00CA68A6">
    <w:pPr>
      <w:pStyle w:val="Header"/>
    </w:pPr>
    <w:r>
      <w:rPr>
        <w:noProof/>
      </w:rPr>
      <w:pict w14:anchorId="1BE70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5976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6AD0" w14:textId="2F9FE064" w:rsidR="00A16512" w:rsidRDefault="00CA68A6">
    <w:pPr>
      <w:pStyle w:val="Header"/>
    </w:pPr>
    <w:r>
      <w:rPr>
        <w:noProof/>
      </w:rPr>
      <w:pict w14:anchorId="21680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5976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1B0F6" w14:textId="4E99115D" w:rsidR="00A16512" w:rsidRDefault="00CA68A6">
    <w:pPr>
      <w:pStyle w:val="Header"/>
    </w:pPr>
    <w:r>
      <w:rPr>
        <w:noProof/>
      </w:rPr>
      <w:pict w14:anchorId="3A905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5976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0773E"/>
    <w:multiLevelType w:val="multilevel"/>
    <w:tmpl w:val="A512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FA1552"/>
    <w:multiLevelType w:val="hybridMultilevel"/>
    <w:tmpl w:val="214E23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AA"/>
    <w:rsid w:val="000115CF"/>
    <w:rsid w:val="00013D52"/>
    <w:rsid w:val="00045FDF"/>
    <w:rsid w:val="00065636"/>
    <w:rsid w:val="000834A3"/>
    <w:rsid w:val="0008523B"/>
    <w:rsid w:val="00087047"/>
    <w:rsid w:val="000961DE"/>
    <w:rsid w:val="00097934"/>
    <w:rsid w:val="000A3FE0"/>
    <w:rsid w:val="000B122E"/>
    <w:rsid w:val="000C501B"/>
    <w:rsid w:val="000D3DE4"/>
    <w:rsid w:val="000D53CC"/>
    <w:rsid w:val="000E1BC1"/>
    <w:rsid w:val="000E6186"/>
    <w:rsid w:val="000F3E26"/>
    <w:rsid w:val="001048FA"/>
    <w:rsid w:val="001051B5"/>
    <w:rsid w:val="00112D02"/>
    <w:rsid w:val="00123757"/>
    <w:rsid w:val="0013063E"/>
    <w:rsid w:val="001410E5"/>
    <w:rsid w:val="0014123A"/>
    <w:rsid w:val="001426A5"/>
    <w:rsid w:val="0014361F"/>
    <w:rsid w:val="001509B7"/>
    <w:rsid w:val="001619FF"/>
    <w:rsid w:val="00161A1A"/>
    <w:rsid w:val="00164E03"/>
    <w:rsid w:val="00187C73"/>
    <w:rsid w:val="00194F5C"/>
    <w:rsid w:val="001A053B"/>
    <w:rsid w:val="001A2B6F"/>
    <w:rsid w:val="001C6922"/>
    <w:rsid w:val="001D6766"/>
    <w:rsid w:val="001E4F4B"/>
    <w:rsid w:val="001F1E6B"/>
    <w:rsid w:val="001F332A"/>
    <w:rsid w:val="0020028B"/>
    <w:rsid w:val="0020230C"/>
    <w:rsid w:val="00212122"/>
    <w:rsid w:val="00235AF3"/>
    <w:rsid w:val="00240195"/>
    <w:rsid w:val="002578D2"/>
    <w:rsid w:val="002657A0"/>
    <w:rsid w:val="00272220"/>
    <w:rsid w:val="00276DAA"/>
    <w:rsid w:val="00281FDC"/>
    <w:rsid w:val="00282636"/>
    <w:rsid w:val="002A1F7F"/>
    <w:rsid w:val="002A3DF6"/>
    <w:rsid w:val="002E25C1"/>
    <w:rsid w:val="002E36E6"/>
    <w:rsid w:val="002E67B4"/>
    <w:rsid w:val="002F0B60"/>
    <w:rsid w:val="002F23A3"/>
    <w:rsid w:val="00307709"/>
    <w:rsid w:val="00321338"/>
    <w:rsid w:val="00326CF4"/>
    <w:rsid w:val="00337250"/>
    <w:rsid w:val="00347011"/>
    <w:rsid w:val="003477B0"/>
    <w:rsid w:val="00365FF8"/>
    <w:rsid w:val="00370477"/>
    <w:rsid w:val="00377F77"/>
    <w:rsid w:val="00384145"/>
    <w:rsid w:val="00391F7E"/>
    <w:rsid w:val="0039595C"/>
    <w:rsid w:val="003A1A8B"/>
    <w:rsid w:val="003A620C"/>
    <w:rsid w:val="003B0B09"/>
    <w:rsid w:val="003C1AB2"/>
    <w:rsid w:val="00412441"/>
    <w:rsid w:val="00422211"/>
    <w:rsid w:val="0042434F"/>
    <w:rsid w:val="004268D1"/>
    <w:rsid w:val="004313A4"/>
    <w:rsid w:val="00450619"/>
    <w:rsid w:val="0046376F"/>
    <w:rsid w:val="004713FE"/>
    <w:rsid w:val="0047219F"/>
    <w:rsid w:val="004760C3"/>
    <w:rsid w:val="00483938"/>
    <w:rsid w:val="004A02A4"/>
    <w:rsid w:val="004A41AB"/>
    <w:rsid w:val="004D3C6E"/>
    <w:rsid w:val="004D7634"/>
    <w:rsid w:val="004E07D4"/>
    <w:rsid w:val="004E64F0"/>
    <w:rsid w:val="005103EA"/>
    <w:rsid w:val="00533A85"/>
    <w:rsid w:val="00555D88"/>
    <w:rsid w:val="00570E94"/>
    <w:rsid w:val="0057276F"/>
    <w:rsid w:val="00572B26"/>
    <w:rsid w:val="00573892"/>
    <w:rsid w:val="005872A4"/>
    <w:rsid w:val="005E5ED8"/>
    <w:rsid w:val="00606269"/>
    <w:rsid w:val="00611A5B"/>
    <w:rsid w:val="006177EC"/>
    <w:rsid w:val="00622E48"/>
    <w:rsid w:val="006252EE"/>
    <w:rsid w:val="00671018"/>
    <w:rsid w:val="00680FEA"/>
    <w:rsid w:val="006934D7"/>
    <w:rsid w:val="006B1021"/>
    <w:rsid w:val="006B54CF"/>
    <w:rsid w:val="006B58C5"/>
    <w:rsid w:val="006B78B4"/>
    <w:rsid w:val="006D3EA8"/>
    <w:rsid w:val="006E2668"/>
    <w:rsid w:val="006E33B8"/>
    <w:rsid w:val="006E6E2C"/>
    <w:rsid w:val="00702C17"/>
    <w:rsid w:val="007040A9"/>
    <w:rsid w:val="00706B64"/>
    <w:rsid w:val="007278E0"/>
    <w:rsid w:val="0073376E"/>
    <w:rsid w:val="00747DC5"/>
    <w:rsid w:val="0075203B"/>
    <w:rsid w:val="00754493"/>
    <w:rsid w:val="00755CEE"/>
    <w:rsid w:val="00757BB1"/>
    <w:rsid w:val="00763BDD"/>
    <w:rsid w:val="00764AA3"/>
    <w:rsid w:val="0077020E"/>
    <w:rsid w:val="007A3286"/>
    <w:rsid w:val="007B5E4B"/>
    <w:rsid w:val="007C6888"/>
    <w:rsid w:val="007D79AD"/>
    <w:rsid w:val="007E54C0"/>
    <w:rsid w:val="008041A7"/>
    <w:rsid w:val="008340C5"/>
    <w:rsid w:val="00835F66"/>
    <w:rsid w:val="008416BF"/>
    <w:rsid w:val="0085540B"/>
    <w:rsid w:val="00857513"/>
    <w:rsid w:val="00875F35"/>
    <w:rsid w:val="00890979"/>
    <w:rsid w:val="00891437"/>
    <w:rsid w:val="008C34B9"/>
    <w:rsid w:val="008C75F4"/>
    <w:rsid w:val="009152B9"/>
    <w:rsid w:val="00924DE0"/>
    <w:rsid w:val="00933121"/>
    <w:rsid w:val="0095458C"/>
    <w:rsid w:val="00973BE1"/>
    <w:rsid w:val="0097653F"/>
    <w:rsid w:val="0099701A"/>
    <w:rsid w:val="009A5F17"/>
    <w:rsid w:val="009B6181"/>
    <w:rsid w:val="009B658E"/>
    <w:rsid w:val="009C727D"/>
    <w:rsid w:val="009D0BED"/>
    <w:rsid w:val="009D15E5"/>
    <w:rsid w:val="009D6881"/>
    <w:rsid w:val="009F714D"/>
    <w:rsid w:val="00A05955"/>
    <w:rsid w:val="00A12626"/>
    <w:rsid w:val="00A14627"/>
    <w:rsid w:val="00A15B23"/>
    <w:rsid w:val="00A16512"/>
    <w:rsid w:val="00A3176F"/>
    <w:rsid w:val="00A374CE"/>
    <w:rsid w:val="00A47565"/>
    <w:rsid w:val="00A52B77"/>
    <w:rsid w:val="00A56550"/>
    <w:rsid w:val="00A70319"/>
    <w:rsid w:val="00A81478"/>
    <w:rsid w:val="00A82472"/>
    <w:rsid w:val="00A869D5"/>
    <w:rsid w:val="00AA6AA5"/>
    <w:rsid w:val="00AB0E9B"/>
    <w:rsid w:val="00AB274D"/>
    <w:rsid w:val="00AC597C"/>
    <w:rsid w:val="00AD09E0"/>
    <w:rsid w:val="00AD1E6C"/>
    <w:rsid w:val="00AD2B63"/>
    <w:rsid w:val="00AE5D6E"/>
    <w:rsid w:val="00AE79A2"/>
    <w:rsid w:val="00B024BB"/>
    <w:rsid w:val="00B146EA"/>
    <w:rsid w:val="00B21683"/>
    <w:rsid w:val="00B33069"/>
    <w:rsid w:val="00B473D0"/>
    <w:rsid w:val="00B5097E"/>
    <w:rsid w:val="00B53859"/>
    <w:rsid w:val="00BC581A"/>
    <w:rsid w:val="00BD2B89"/>
    <w:rsid w:val="00BD34C1"/>
    <w:rsid w:val="00BD7DA7"/>
    <w:rsid w:val="00BE5262"/>
    <w:rsid w:val="00C04F06"/>
    <w:rsid w:val="00C07EDB"/>
    <w:rsid w:val="00C176B3"/>
    <w:rsid w:val="00C33C97"/>
    <w:rsid w:val="00C35470"/>
    <w:rsid w:val="00C57FD6"/>
    <w:rsid w:val="00C700A1"/>
    <w:rsid w:val="00C72502"/>
    <w:rsid w:val="00C74252"/>
    <w:rsid w:val="00C82BC8"/>
    <w:rsid w:val="00C90172"/>
    <w:rsid w:val="00CA2C50"/>
    <w:rsid w:val="00CA3A5A"/>
    <w:rsid w:val="00CA68A6"/>
    <w:rsid w:val="00CC1ACE"/>
    <w:rsid w:val="00CD30C2"/>
    <w:rsid w:val="00CE3D02"/>
    <w:rsid w:val="00CE4BE7"/>
    <w:rsid w:val="00CE4E54"/>
    <w:rsid w:val="00CE4FFB"/>
    <w:rsid w:val="00D0364C"/>
    <w:rsid w:val="00D24E51"/>
    <w:rsid w:val="00D26564"/>
    <w:rsid w:val="00D8100C"/>
    <w:rsid w:val="00D858CE"/>
    <w:rsid w:val="00D87436"/>
    <w:rsid w:val="00D92DE0"/>
    <w:rsid w:val="00DA5B60"/>
    <w:rsid w:val="00DB17C5"/>
    <w:rsid w:val="00DE34ED"/>
    <w:rsid w:val="00DE387A"/>
    <w:rsid w:val="00DE68AF"/>
    <w:rsid w:val="00E32481"/>
    <w:rsid w:val="00E45748"/>
    <w:rsid w:val="00E544FA"/>
    <w:rsid w:val="00EA05AB"/>
    <w:rsid w:val="00EB60AA"/>
    <w:rsid w:val="00EB6F8F"/>
    <w:rsid w:val="00EC2944"/>
    <w:rsid w:val="00ED7DA1"/>
    <w:rsid w:val="00EF5791"/>
    <w:rsid w:val="00F12047"/>
    <w:rsid w:val="00F20BF8"/>
    <w:rsid w:val="00F3449C"/>
    <w:rsid w:val="00F43661"/>
    <w:rsid w:val="00F46A6C"/>
    <w:rsid w:val="00F51C29"/>
    <w:rsid w:val="00F731CE"/>
    <w:rsid w:val="00F82FAC"/>
    <w:rsid w:val="00FA090E"/>
    <w:rsid w:val="00FA6DA0"/>
    <w:rsid w:val="00FA6E12"/>
    <w:rsid w:val="00FB4A86"/>
    <w:rsid w:val="00FC1974"/>
    <w:rsid w:val="00FC4FE9"/>
    <w:rsid w:val="00FE7B67"/>
    <w:rsid w:val="00FF7B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DB014"/>
  <w15:chartTrackingRefBased/>
  <w15:docId w15:val="{78AE22A6-8271-4834-B793-72146FC2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4BB"/>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276DA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276DA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276DAA"/>
    <w:pPr>
      <w:keepNext/>
      <w:keepLines/>
      <w:spacing w:before="160" w:after="80" w:line="278" w:lineRule="auto"/>
      <w:outlineLvl w:val="2"/>
    </w:pPr>
    <w:rPr>
      <w:rFonts w:eastAsiaTheme="majorEastAsia"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276DAA"/>
    <w:pPr>
      <w:keepNext/>
      <w:keepLines/>
      <w:spacing w:before="80" w:after="40" w:line="278" w:lineRule="auto"/>
      <w:outlineLvl w:val="3"/>
    </w:pPr>
    <w:rPr>
      <w:rFonts w:eastAsiaTheme="majorEastAsia" w:cstheme="majorBidi"/>
      <w:i/>
      <w:iCs/>
      <w:color w:val="0F4761"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276DAA"/>
    <w:pPr>
      <w:keepNext/>
      <w:keepLines/>
      <w:spacing w:before="80" w:after="40" w:line="278" w:lineRule="auto"/>
      <w:outlineLvl w:val="4"/>
    </w:pPr>
    <w:rPr>
      <w:rFonts w:eastAsiaTheme="majorEastAsia" w:cstheme="majorBidi"/>
      <w:color w:val="0F4761"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276DAA"/>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276DAA"/>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276DAA"/>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276DAA"/>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D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6D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6D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6D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6D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6D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D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D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DAA"/>
    <w:rPr>
      <w:rFonts w:eastAsiaTheme="majorEastAsia" w:cstheme="majorBidi"/>
      <w:color w:val="272727" w:themeColor="text1" w:themeTint="D8"/>
    </w:rPr>
  </w:style>
  <w:style w:type="paragraph" w:styleId="Title">
    <w:name w:val="Title"/>
    <w:basedOn w:val="Normal"/>
    <w:next w:val="Normal"/>
    <w:link w:val="TitleChar"/>
    <w:uiPriority w:val="10"/>
    <w:qFormat/>
    <w:rsid w:val="00276DAA"/>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276D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DAA"/>
    <w:pPr>
      <w:numPr>
        <w:ilvl w:val="1"/>
      </w:numPr>
      <w:spacing w:after="160"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276D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DAA"/>
    <w:pPr>
      <w:spacing w:before="160" w:after="160" w:line="278" w:lineRule="auto"/>
      <w:jc w:val="center"/>
    </w:pPr>
    <w:rPr>
      <w:rFonts w:eastAsiaTheme="minorHAnsi"/>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276DAA"/>
    <w:rPr>
      <w:i/>
      <w:iCs/>
      <w:color w:val="404040" w:themeColor="text1" w:themeTint="BF"/>
    </w:rPr>
  </w:style>
  <w:style w:type="paragraph" w:styleId="ListParagraph">
    <w:name w:val="List Paragraph"/>
    <w:basedOn w:val="Normal"/>
    <w:uiPriority w:val="34"/>
    <w:qFormat/>
    <w:rsid w:val="00276DAA"/>
    <w:pPr>
      <w:spacing w:after="160" w:line="278" w:lineRule="auto"/>
      <w:ind w:left="720"/>
      <w:contextualSpacing/>
    </w:pPr>
    <w:rPr>
      <w:rFonts w:eastAsiaTheme="minorHAnsi"/>
      <w:kern w:val="2"/>
      <w:sz w:val="24"/>
      <w:szCs w:val="24"/>
      <w:lang w:val="en-IN"/>
      <w14:ligatures w14:val="standardContextual"/>
    </w:rPr>
  </w:style>
  <w:style w:type="character" w:styleId="IntenseEmphasis">
    <w:name w:val="Intense Emphasis"/>
    <w:basedOn w:val="DefaultParagraphFont"/>
    <w:uiPriority w:val="21"/>
    <w:qFormat/>
    <w:rsid w:val="00276DAA"/>
    <w:rPr>
      <w:i/>
      <w:iCs/>
      <w:color w:val="0F4761" w:themeColor="accent1" w:themeShade="BF"/>
    </w:rPr>
  </w:style>
  <w:style w:type="paragraph" w:styleId="IntenseQuote">
    <w:name w:val="Intense Quote"/>
    <w:basedOn w:val="Normal"/>
    <w:next w:val="Normal"/>
    <w:link w:val="IntenseQuoteChar"/>
    <w:uiPriority w:val="30"/>
    <w:qFormat/>
    <w:rsid w:val="00276DA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276DAA"/>
    <w:rPr>
      <w:i/>
      <w:iCs/>
      <w:color w:val="0F4761" w:themeColor="accent1" w:themeShade="BF"/>
    </w:rPr>
  </w:style>
  <w:style w:type="character" w:styleId="IntenseReference">
    <w:name w:val="Intense Reference"/>
    <w:basedOn w:val="DefaultParagraphFont"/>
    <w:uiPriority w:val="32"/>
    <w:qFormat/>
    <w:rsid w:val="00276DAA"/>
    <w:rPr>
      <w:b/>
      <w:bCs/>
      <w:smallCaps/>
      <w:color w:val="0F4761" w:themeColor="accent1" w:themeShade="BF"/>
      <w:spacing w:val="5"/>
    </w:rPr>
  </w:style>
  <w:style w:type="table" w:styleId="TableGrid">
    <w:name w:val="Table Grid"/>
    <w:basedOn w:val="TableNormal"/>
    <w:uiPriority w:val="39"/>
    <w:rsid w:val="00933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2C17"/>
    <w:rPr>
      <w:color w:val="467886" w:themeColor="hyperlink"/>
      <w:u w:val="single"/>
    </w:rPr>
  </w:style>
  <w:style w:type="character" w:styleId="UnresolvedMention">
    <w:name w:val="Unresolved Mention"/>
    <w:basedOn w:val="DefaultParagraphFont"/>
    <w:uiPriority w:val="99"/>
    <w:semiHidden/>
    <w:unhideWhenUsed/>
    <w:rsid w:val="00702C17"/>
    <w:rPr>
      <w:color w:val="605E5C"/>
      <w:shd w:val="clear" w:color="auto" w:fill="E1DFDD"/>
    </w:rPr>
  </w:style>
  <w:style w:type="paragraph" w:styleId="NormalWeb">
    <w:name w:val="Normal (Web)"/>
    <w:basedOn w:val="Normal"/>
    <w:unhideWhenUsed/>
    <w:rsid w:val="00C33C9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C33C97"/>
    <w:rPr>
      <w:i/>
      <w:iCs/>
    </w:rPr>
  </w:style>
  <w:style w:type="paragraph" w:styleId="Header">
    <w:name w:val="header"/>
    <w:basedOn w:val="Normal"/>
    <w:link w:val="HeaderChar"/>
    <w:uiPriority w:val="99"/>
    <w:unhideWhenUsed/>
    <w:rsid w:val="00976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53F"/>
    <w:rPr>
      <w:rFonts w:eastAsiaTheme="minorEastAsia"/>
      <w:kern w:val="0"/>
      <w:sz w:val="22"/>
      <w:szCs w:val="22"/>
      <w:lang w:val="en-US"/>
      <w14:ligatures w14:val="none"/>
    </w:rPr>
  </w:style>
  <w:style w:type="paragraph" w:styleId="Footer">
    <w:name w:val="footer"/>
    <w:basedOn w:val="Normal"/>
    <w:link w:val="FooterChar"/>
    <w:uiPriority w:val="99"/>
    <w:unhideWhenUsed/>
    <w:rsid w:val="00976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53F"/>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661-009-0947-0" TargetMode="External"/><Relationship Id="rId18" Type="http://schemas.openxmlformats.org/officeDocument/2006/relationships/hyperlink" Target="https://doi.org/10.1007/s10661-012-2758-y" TargetMode="External"/><Relationship Id="rId26" Type="http://schemas.openxmlformats.org/officeDocument/2006/relationships/hyperlink" Target="https://doi.org/10.1111/sum.12755" TargetMode="External"/><Relationship Id="rId3" Type="http://schemas.openxmlformats.org/officeDocument/2006/relationships/settings" Target="settings.xml"/><Relationship Id="rId21" Type="http://schemas.openxmlformats.org/officeDocument/2006/relationships/hyperlink" Target="https://doi.org/10.1201/9780203491454" TargetMode="External"/><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doi.org/10.1007/s002540050475" TargetMode="External"/><Relationship Id="rId17" Type="http://schemas.openxmlformats.org/officeDocument/2006/relationships/hyperlink" Target="https://www.wiley.com/en-us/Wetlands%2C+5th+Edition-p-9780470699432" TargetMode="External"/><Relationship Id="rId25" Type="http://schemas.openxmlformats.org/officeDocument/2006/relationships/hyperlink" Target="https://doi.org/10.1016/j.still.2017.01.00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jenvman.2023.119683" TargetMode="External"/><Relationship Id="rId20" Type="http://schemas.openxmlformats.org/officeDocument/2006/relationships/hyperlink" Target="https://doi.org/10.1111/sum.13137"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63680/ijsate1125039.032" TargetMode="External"/><Relationship Id="rId24" Type="http://schemas.openxmlformats.org/officeDocument/2006/relationships/hyperlink" Target="https://doi.org/10.1371/journal.pone.033706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44378-025-00085-w" TargetMode="External"/><Relationship Id="rId23" Type="http://schemas.openxmlformats.org/officeDocument/2006/relationships/hyperlink" Target="https://doi.org/10.3390/land10101074"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journals.christuniversity.in/index.php/artha/article/view/6846"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016/j.jconhyd.2024.104367" TargetMode="External"/><Relationship Id="rId22" Type="http://schemas.openxmlformats.org/officeDocument/2006/relationships/hyperlink" Target="https://rsis.ramsar.org/RISapp/files/RISrep/IN1204RIS.pdf?utm_source=chatgpt.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2084</TotalTime>
  <Pages>14</Pages>
  <Words>4481</Words>
  <Characters>25546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Editor-1183</cp:lastModifiedBy>
  <cp:revision>239</cp:revision>
  <dcterms:created xsi:type="dcterms:W3CDTF">2026-01-19T15:18:00Z</dcterms:created>
  <dcterms:modified xsi:type="dcterms:W3CDTF">2026-02-04T09:45:00Z</dcterms:modified>
</cp:coreProperties>
</file>