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42407" w14:textId="4A7C0BBA" w:rsidR="00D61E0E" w:rsidRPr="007C5A10" w:rsidRDefault="00D6697C" w:rsidP="00D61E0E">
      <w:pPr>
        <w:pStyle w:val="Author"/>
        <w:spacing w:line="240" w:lineRule="auto"/>
        <w:rPr>
          <w:rFonts w:ascii="Arial" w:hAnsi="Arial" w:cs="Arial"/>
          <w:sz w:val="32"/>
          <w:szCs w:val="18"/>
        </w:rPr>
      </w:pPr>
      <w:r w:rsidRPr="00D6697C">
        <w:rPr>
          <w:rFonts w:ascii="Arial" w:hAnsi="Arial" w:cs="Arial"/>
          <w:bCs/>
          <w:iCs/>
          <w:kern w:val="28"/>
          <w:sz w:val="36"/>
        </w:rPr>
        <w:t>A Reclassification-Based Framework for Vegetation Greenness Assessment Across Mixed Landscapes and Spatial Extents</w:t>
      </w:r>
    </w:p>
    <w:p w14:paraId="754FEAF2" w14:textId="77777777" w:rsidR="00790ADA" w:rsidRDefault="00790ADA" w:rsidP="00441B6F">
      <w:pPr>
        <w:pStyle w:val="Affiliation"/>
        <w:spacing w:after="0" w:line="240" w:lineRule="auto"/>
        <w:jc w:val="both"/>
        <w:rPr>
          <w:rFonts w:ascii="Arial" w:hAnsi="Arial" w:cs="Arial"/>
        </w:rPr>
      </w:pPr>
    </w:p>
    <w:p w14:paraId="15F54A51" w14:textId="77777777" w:rsidR="002C57D2" w:rsidRPr="00FB3A86" w:rsidRDefault="002C57D2" w:rsidP="00441B6F">
      <w:pPr>
        <w:pStyle w:val="Affiliation"/>
        <w:spacing w:after="0" w:line="240" w:lineRule="auto"/>
        <w:jc w:val="both"/>
        <w:rPr>
          <w:rFonts w:ascii="Arial" w:hAnsi="Arial" w:cs="Arial"/>
        </w:rPr>
      </w:pPr>
    </w:p>
    <w:p w14:paraId="7E30B766" w14:textId="77777777" w:rsidR="00B01FCD" w:rsidRPr="00FB3A86" w:rsidRDefault="003F2F53" w:rsidP="00441B6F">
      <w:pPr>
        <w:pStyle w:val="Copyright"/>
        <w:spacing w:after="0" w:line="240" w:lineRule="auto"/>
        <w:jc w:val="both"/>
        <w:rPr>
          <w:rFonts w:ascii="Arial" w:hAnsi="Arial" w:cs="Arial"/>
        </w:rPr>
        <w:sectPr w:rsidR="00B01FCD" w:rsidRPr="00FB3A86" w:rsidSect="008C4B4E">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12E0BE4">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C70FF95" w14:textId="4D361183"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98E169C" w14:textId="77777777" w:rsidTr="001E44FE">
        <w:tc>
          <w:tcPr>
            <w:tcW w:w="9576" w:type="dxa"/>
            <w:shd w:val="clear" w:color="auto" w:fill="F2F2F2"/>
          </w:tcPr>
          <w:p w14:paraId="396AD288" w14:textId="1ACDAF3C" w:rsidR="002D325A" w:rsidRPr="002D325A" w:rsidRDefault="002D325A" w:rsidP="002D325A">
            <w:pPr>
              <w:spacing w:before="80" w:after="80" w:line="276" w:lineRule="auto"/>
              <w:jc w:val="both"/>
              <w:rPr>
                <w:rFonts w:ascii="Arial" w:hAnsi="Arial" w:cs="Arial"/>
              </w:rPr>
            </w:pPr>
            <w:r w:rsidRPr="002D325A">
              <w:rPr>
                <w:rFonts w:ascii="Arial" w:hAnsi="Arial" w:cs="Arial"/>
              </w:rPr>
              <w:t xml:space="preserve">Vegetation dynamics are fundamental indicators of environmental health, yet evaluating them in complex, mixed-use landscapes </w:t>
            </w:r>
            <w:r w:rsidR="00B57753">
              <w:rPr>
                <w:rFonts w:ascii="Arial" w:hAnsi="Arial" w:cs="Arial"/>
              </w:rPr>
              <w:t>remains</w:t>
            </w:r>
            <w:r w:rsidRPr="002D325A">
              <w:rPr>
                <w:rFonts w:ascii="Arial" w:hAnsi="Arial" w:cs="Arial"/>
              </w:rPr>
              <w:t xml:space="preserve"> methodologically challenging. Traditional statistics are not the real representative of the pixel-level distribution of greenness in a particular area of study, which results in critical disparities in the spatial extent and density of vegetation. To overcome these limitations, this study introduces the </w:t>
            </w:r>
            <w:r w:rsidR="00B57753">
              <w:rPr>
                <w:rFonts w:ascii="Arial" w:hAnsi="Arial" w:cs="Arial"/>
              </w:rPr>
              <w:t>Greenness</w:t>
            </w:r>
            <w:r w:rsidRPr="002D325A">
              <w:rPr>
                <w:rFonts w:ascii="Arial" w:hAnsi="Arial" w:cs="Arial"/>
              </w:rPr>
              <w:t xml:space="preserve"> Score (GS), a spatially explicit, area-weighted framework that reclassifies NDVI into ecologically distinct categories to quantify peak greenness intensity and coverage.</w:t>
            </w:r>
          </w:p>
          <w:p w14:paraId="521B71C3" w14:textId="475FF699" w:rsidR="002D325A" w:rsidRPr="002D325A" w:rsidRDefault="002D325A" w:rsidP="002D325A">
            <w:pPr>
              <w:spacing w:before="80" w:after="80" w:line="276" w:lineRule="auto"/>
              <w:jc w:val="both"/>
              <w:rPr>
                <w:rFonts w:ascii="Arial" w:hAnsi="Arial" w:cs="Arial"/>
              </w:rPr>
            </w:pPr>
            <w:r w:rsidRPr="002D325A">
              <w:rPr>
                <w:rFonts w:ascii="Arial" w:hAnsi="Arial" w:cs="Arial"/>
              </w:rPr>
              <w:t xml:space="preserve">To test this framework, this study utilizes </w:t>
            </w:r>
            <w:r w:rsidR="00A021BF">
              <w:rPr>
                <w:rFonts w:ascii="Arial" w:hAnsi="Arial" w:cs="Arial"/>
              </w:rPr>
              <w:t xml:space="preserve">the NDVI of ten Nigerian cities across diverse bioclimatic zones for the years </w:t>
            </w:r>
            <w:r w:rsidRPr="002D325A">
              <w:rPr>
                <w:rFonts w:ascii="Arial" w:hAnsi="Arial" w:cs="Arial"/>
              </w:rPr>
              <w:t>2015 and 2025. The analysis shows that traditional summary statistics frequently fail to represent ecological reality. In 2015, Asaba and Ibadan exhibited comparable maximum NDVI values (0.67 and 0.83) and mean NDVI values (0.41 and 0.57), suggesting similar greenness potential. However, the GS analysis exposed a stark contrast in actual biomass: Ibadan supported 175,411 hectares of dense vegetation (56.44% of its area), while Asaba contained only 17.46 hectares (0.06%).</w:t>
            </w:r>
          </w:p>
          <w:p w14:paraId="61EE082C" w14:textId="6F454E67" w:rsidR="00B57753" w:rsidRDefault="002D325A" w:rsidP="002D325A">
            <w:pPr>
              <w:pStyle w:val="Body"/>
              <w:spacing w:after="0"/>
              <w:rPr>
                <w:rFonts w:ascii="Arial" w:hAnsi="Arial" w:cs="Arial"/>
              </w:rPr>
            </w:pPr>
            <w:r w:rsidRPr="002D325A">
              <w:rPr>
                <w:rFonts w:ascii="Arial" w:hAnsi="Arial" w:cs="Arial"/>
              </w:rPr>
              <w:t xml:space="preserve">The GS framework also shows high performance in detecting temporal shifts invisible to central-tendency measures. Between 2015 and 2025, Asaba’s Average NDVI remained deceptively stable (0.41 to 0.42), masking a significant ecological recovery where dense vegetation expanded from 0.06% to 21.76% of the city. Additionally, Abuja’s Average NDVI </w:t>
            </w:r>
            <w:r w:rsidR="00B57753">
              <w:rPr>
                <w:rFonts w:ascii="Arial" w:hAnsi="Arial" w:cs="Arial"/>
              </w:rPr>
              <w:t>declined</w:t>
            </w:r>
            <w:r w:rsidRPr="002D325A">
              <w:rPr>
                <w:rFonts w:ascii="Arial" w:hAnsi="Arial" w:cs="Arial"/>
              </w:rPr>
              <w:t xml:space="preserve"> (0.39 to 0.25), and Abuja lost approximately 112,000 hectares of moderate vegetation.</w:t>
            </w:r>
          </w:p>
          <w:p w14:paraId="6FC297CD" w14:textId="77777777" w:rsidR="00B57753" w:rsidRPr="00B57753" w:rsidRDefault="00B57753" w:rsidP="002D325A">
            <w:pPr>
              <w:pStyle w:val="Body"/>
              <w:spacing w:after="0"/>
              <w:rPr>
                <w:rFonts w:ascii="Arial" w:hAnsi="Arial" w:cs="Arial"/>
                <w:sz w:val="6"/>
                <w:szCs w:val="6"/>
              </w:rPr>
            </w:pPr>
          </w:p>
          <w:p w14:paraId="2113A42D" w14:textId="05409246" w:rsidR="00505F06" w:rsidRPr="002D325A" w:rsidRDefault="00B57753" w:rsidP="002D325A">
            <w:pPr>
              <w:pStyle w:val="Body"/>
              <w:spacing w:after="0"/>
              <w:rPr>
                <w:rFonts w:asciiTheme="minorHAnsi" w:hAnsiTheme="minorHAnsi"/>
              </w:rPr>
            </w:pPr>
            <w:r>
              <w:rPr>
                <w:rFonts w:ascii="Arial" w:hAnsi="Arial" w:cs="Arial"/>
              </w:rPr>
              <w:t>This</w:t>
            </w:r>
            <w:r w:rsidRPr="00B57753">
              <w:rPr>
                <w:rFonts w:ascii="Arial" w:hAnsi="Arial" w:cs="Arial"/>
              </w:rPr>
              <w:t xml:space="preserve"> </w:t>
            </w:r>
            <w:r>
              <w:rPr>
                <w:rFonts w:ascii="Arial" w:hAnsi="Arial" w:cs="Arial"/>
              </w:rPr>
              <w:t>study</w:t>
            </w:r>
            <w:r w:rsidRPr="00B57753">
              <w:rPr>
                <w:rFonts w:ascii="Arial" w:hAnsi="Arial" w:cs="Arial"/>
              </w:rPr>
              <w:t xml:space="preserve"> </w:t>
            </w:r>
            <w:proofErr w:type="gramStart"/>
            <w:r>
              <w:rPr>
                <w:rFonts w:ascii="Arial" w:hAnsi="Arial" w:cs="Arial"/>
              </w:rPr>
              <w:t>reveal</w:t>
            </w:r>
            <w:proofErr w:type="gramEnd"/>
            <w:r>
              <w:rPr>
                <w:rFonts w:ascii="Arial" w:hAnsi="Arial" w:cs="Arial"/>
              </w:rPr>
              <w:t xml:space="preserve"> that GS </w:t>
            </w:r>
            <w:r w:rsidRPr="00B57753">
              <w:rPr>
                <w:rFonts w:ascii="Arial" w:hAnsi="Arial" w:cs="Arial"/>
              </w:rPr>
              <w:t>provides a more accurate and ecologically meaningful assessment of urban vegetation than traditional summary statistics, highlighting its value for monitoring and managing urban greenness</w:t>
            </w:r>
          </w:p>
        </w:tc>
      </w:tr>
    </w:tbl>
    <w:p w14:paraId="2B06245B" w14:textId="77777777" w:rsidR="00636EB2" w:rsidRDefault="00636EB2" w:rsidP="00441B6F">
      <w:pPr>
        <w:pStyle w:val="Body"/>
        <w:spacing w:after="0"/>
        <w:rPr>
          <w:rFonts w:ascii="Arial" w:hAnsi="Arial" w:cs="Arial"/>
          <w:i/>
        </w:rPr>
      </w:pPr>
    </w:p>
    <w:p w14:paraId="0E2F5E25" w14:textId="58C750E5" w:rsidR="00790ADA" w:rsidRDefault="0061446B" w:rsidP="00441B6F">
      <w:pPr>
        <w:pStyle w:val="Body"/>
        <w:spacing w:after="0"/>
        <w:rPr>
          <w:rFonts w:ascii="Arial" w:hAnsi="Arial" w:cs="Arial"/>
          <w:i/>
        </w:rPr>
      </w:pPr>
      <w:r w:rsidRPr="0061446B">
        <w:rPr>
          <w:rFonts w:ascii="Arial" w:hAnsi="Arial" w:cs="Arial"/>
          <w:i/>
        </w:rPr>
        <w:t xml:space="preserve">Keywords: NDVI; </w:t>
      </w:r>
      <w:r w:rsidR="00B57753">
        <w:rPr>
          <w:rFonts w:ascii="Arial" w:hAnsi="Arial" w:cs="Arial"/>
          <w:i/>
        </w:rPr>
        <w:t>Greenness</w:t>
      </w:r>
      <w:r w:rsidRPr="0061446B">
        <w:rPr>
          <w:rFonts w:ascii="Arial" w:hAnsi="Arial" w:cs="Arial"/>
          <w:i/>
        </w:rPr>
        <w:t xml:space="preserve"> Score; </w:t>
      </w:r>
      <w:r w:rsidR="002D325A">
        <w:rPr>
          <w:rFonts w:ascii="Arial" w:hAnsi="Arial" w:cs="Arial"/>
          <w:i/>
        </w:rPr>
        <w:t>V</w:t>
      </w:r>
      <w:r w:rsidRPr="0061446B">
        <w:rPr>
          <w:rFonts w:ascii="Arial" w:hAnsi="Arial" w:cs="Arial"/>
          <w:i/>
        </w:rPr>
        <w:t xml:space="preserve">egetation dynamics; </w:t>
      </w:r>
      <w:r w:rsidR="002D325A">
        <w:rPr>
          <w:rFonts w:ascii="Arial" w:hAnsi="Arial" w:cs="Arial"/>
          <w:i/>
        </w:rPr>
        <w:t>S</w:t>
      </w:r>
      <w:r w:rsidRPr="0061446B">
        <w:rPr>
          <w:rFonts w:ascii="Arial" w:hAnsi="Arial" w:cs="Arial"/>
          <w:i/>
        </w:rPr>
        <w:t>patial heterogeneity</w:t>
      </w:r>
      <w:r w:rsidR="00B57753">
        <w:rPr>
          <w:rFonts w:ascii="Arial" w:hAnsi="Arial" w:cs="Arial"/>
          <w:i/>
        </w:rPr>
        <w:t>;</w:t>
      </w:r>
      <w:r w:rsidR="00D61E0E">
        <w:rPr>
          <w:rFonts w:ascii="Arial" w:hAnsi="Arial" w:cs="Arial"/>
          <w:i/>
        </w:rPr>
        <w:t xml:space="preserve"> Statistics</w:t>
      </w:r>
      <w:r w:rsidR="002D325A">
        <w:rPr>
          <w:rFonts w:ascii="Arial" w:hAnsi="Arial" w:cs="Arial"/>
          <w:i/>
        </w:rPr>
        <w:t>.</w:t>
      </w:r>
    </w:p>
    <w:p w14:paraId="21DE552B" w14:textId="77777777" w:rsidR="0061446B" w:rsidRDefault="0061446B" w:rsidP="00441B6F">
      <w:pPr>
        <w:pStyle w:val="Body"/>
        <w:spacing w:after="0"/>
        <w:rPr>
          <w:rFonts w:ascii="Arial" w:hAnsi="Arial" w:cs="Arial"/>
          <w:i/>
        </w:rPr>
      </w:pPr>
    </w:p>
    <w:p w14:paraId="29EA88D7" w14:textId="77777777" w:rsidR="00505F06" w:rsidRPr="00A24E7E" w:rsidRDefault="00505F06" w:rsidP="00441B6F">
      <w:pPr>
        <w:pStyle w:val="Body"/>
        <w:spacing w:after="0"/>
        <w:rPr>
          <w:rFonts w:ascii="Arial" w:hAnsi="Arial" w:cs="Arial"/>
          <w:i/>
        </w:rPr>
      </w:pPr>
    </w:p>
    <w:p w14:paraId="25905F32" w14:textId="755BEC55" w:rsidR="007F7B32" w:rsidRPr="002D325A" w:rsidRDefault="00902823" w:rsidP="00441B6F">
      <w:pPr>
        <w:pStyle w:val="AbstHead"/>
        <w:spacing w:after="0"/>
        <w:jc w:val="both"/>
        <w:rPr>
          <w:rFonts w:ascii="Arial" w:hAnsi="Arial" w:cs="Arial"/>
          <w:sz w:val="20"/>
        </w:rPr>
      </w:pPr>
      <w:r w:rsidRPr="002D325A">
        <w:rPr>
          <w:rFonts w:ascii="Arial" w:hAnsi="Arial" w:cs="Arial"/>
          <w:sz w:val="20"/>
        </w:rPr>
        <w:t xml:space="preserve">1. </w:t>
      </w:r>
      <w:r w:rsidR="00B01FCD" w:rsidRPr="002D325A">
        <w:rPr>
          <w:rFonts w:ascii="Arial" w:hAnsi="Arial" w:cs="Arial"/>
          <w:sz w:val="20"/>
        </w:rPr>
        <w:t>INTRODUCTION</w:t>
      </w:r>
    </w:p>
    <w:p w14:paraId="25393DEF" w14:textId="002E1575" w:rsidR="0061446B" w:rsidRPr="002D325A" w:rsidRDefault="0061446B" w:rsidP="0061446B">
      <w:pPr>
        <w:pStyle w:val="Body"/>
        <w:rPr>
          <w:rFonts w:ascii="Arial" w:hAnsi="Arial" w:cs="Arial"/>
        </w:rPr>
      </w:pPr>
      <w:r w:rsidRPr="002D325A">
        <w:rPr>
          <w:rFonts w:ascii="Arial" w:hAnsi="Arial" w:cs="Arial"/>
        </w:rPr>
        <w:t>Vegetation is a fundamental constituent of the biosphere, and its dynamic changes are important indicators of climate and environmental change. Monitoring these changes is essential for understanding critical global challenges, from deforestation and desertification to the impacts of droughts and wildfires (Li et al., 202</w:t>
      </w:r>
      <w:r w:rsidR="0097607C">
        <w:rPr>
          <w:rFonts w:ascii="Arial" w:hAnsi="Arial" w:cs="Arial"/>
        </w:rPr>
        <w:t>4</w:t>
      </w:r>
      <w:r w:rsidRPr="002D325A">
        <w:rPr>
          <w:rFonts w:ascii="Arial" w:hAnsi="Arial" w:cs="Arial"/>
        </w:rPr>
        <w:t xml:space="preserve">; Mariano et al., 2018). </w:t>
      </w:r>
    </w:p>
    <w:p w14:paraId="314C91FD" w14:textId="3E873E1A" w:rsidR="0061446B" w:rsidRPr="002D325A" w:rsidRDefault="0061446B" w:rsidP="0061446B">
      <w:pPr>
        <w:pStyle w:val="Body"/>
        <w:rPr>
          <w:rFonts w:ascii="Arial" w:hAnsi="Arial" w:cs="Arial"/>
        </w:rPr>
      </w:pPr>
      <w:r w:rsidRPr="002D325A">
        <w:rPr>
          <w:rFonts w:ascii="Arial" w:hAnsi="Arial" w:cs="Arial"/>
        </w:rPr>
        <w:t xml:space="preserve">The Normalized Difference Vegetation Index (NDVI) is a widely used spectral index for assessing vegetation greenness. It is a key tool in remote sensing, allowing scientists to analyze vegetation health, density, and coverage over an area directly from satellite or aerial imagery (Huang et al., 2020). According to </w:t>
      </w:r>
      <w:proofErr w:type="spellStart"/>
      <w:r w:rsidRPr="002D325A">
        <w:rPr>
          <w:rFonts w:ascii="Arial" w:hAnsi="Arial" w:cs="Arial"/>
        </w:rPr>
        <w:t>Rabatel</w:t>
      </w:r>
      <w:proofErr w:type="spellEnd"/>
      <w:r w:rsidRPr="002D325A">
        <w:rPr>
          <w:rFonts w:ascii="Arial" w:hAnsi="Arial" w:cs="Arial"/>
        </w:rPr>
        <w:t xml:space="preserve"> et al. (2014), NDVI leverages the spectral reflectance profile of vegetation, which shows strong absorption in the red region (RED) and high reflectance in the near infrared (NIR). NDVI values range from −1 to +1, with higher values indicating denser green vegetation. </w:t>
      </w:r>
    </w:p>
    <w:p w14:paraId="61895207" w14:textId="640C7B34" w:rsidR="0061446B" w:rsidRPr="002D325A" w:rsidRDefault="0061446B" w:rsidP="0061446B">
      <w:pPr>
        <w:pStyle w:val="Body"/>
        <w:rPr>
          <w:rFonts w:ascii="Arial" w:hAnsi="Arial" w:cs="Arial"/>
        </w:rPr>
      </w:pPr>
      <w:r w:rsidRPr="002D325A">
        <w:rPr>
          <w:rFonts w:ascii="Arial" w:hAnsi="Arial" w:cs="Arial"/>
        </w:rPr>
        <w:t>NDVI products play an essential role in vegetation monitoring at various scales (</w:t>
      </w:r>
      <w:r w:rsidR="00D267D1">
        <w:rPr>
          <w:rFonts w:ascii="Arial" w:hAnsi="Arial" w:cs="Arial"/>
        </w:rPr>
        <w:t xml:space="preserve">Ma </w:t>
      </w:r>
      <w:r w:rsidRPr="002D325A">
        <w:rPr>
          <w:rFonts w:ascii="Arial" w:hAnsi="Arial" w:cs="Arial"/>
        </w:rPr>
        <w:t>et al., 202</w:t>
      </w:r>
      <w:r w:rsidR="00D267D1">
        <w:rPr>
          <w:rFonts w:ascii="Arial" w:hAnsi="Arial" w:cs="Arial"/>
        </w:rPr>
        <w:t>5</w:t>
      </w:r>
      <w:r w:rsidRPr="002D325A">
        <w:rPr>
          <w:rFonts w:ascii="Arial" w:hAnsi="Arial" w:cs="Arial"/>
        </w:rPr>
        <w:t xml:space="preserve">). Ensuring that the evaluation of these vegetation indices is both accurate and evenly distributed is crucial, as it provides a true and reliable representation of a region’s vegetation health, spatial patterns, and ecological conditions (Brown et al., 2020; Yang et al., 2024; </w:t>
      </w:r>
      <w:proofErr w:type="spellStart"/>
      <w:r w:rsidRPr="002D325A">
        <w:rPr>
          <w:rFonts w:ascii="Arial" w:hAnsi="Arial" w:cs="Arial"/>
        </w:rPr>
        <w:t>Latuamury</w:t>
      </w:r>
      <w:proofErr w:type="spellEnd"/>
      <w:r w:rsidRPr="002D325A">
        <w:rPr>
          <w:rFonts w:ascii="Arial" w:hAnsi="Arial" w:cs="Arial"/>
        </w:rPr>
        <w:t xml:space="preserve"> et al., 2025).</w:t>
      </w:r>
    </w:p>
    <w:p w14:paraId="6C1CBC71" w14:textId="3C174441" w:rsidR="0061446B" w:rsidRPr="002D325A" w:rsidRDefault="0061446B" w:rsidP="0061446B">
      <w:pPr>
        <w:pStyle w:val="Body"/>
        <w:rPr>
          <w:rFonts w:ascii="Arial" w:hAnsi="Arial" w:cs="Arial"/>
        </w:rPr>
      </w:pPr>
      <w:r w:rsidRPr="002D325A">
        <w:rPr>
          <w:rFonts w:ascii="Arial" w:hAnsi="Arial" w:cs="Arial"/>
        </w:rPr>
        <w:lastRenderedPageBreak/>
        <w:t xml:space="preserve">However, summarizing an area with a single central-tendency statistic, such as the mean or median NDVI, can mask the existence of small but ecologically significant high-NDVI patches (Huete et al., 2002). The use of summary statistics, like the mean or median, can be problematic in spatially heterogeneous areas, as they are sensitive to the large proportion of bare or built-up surfaces that may dominate urban and mixed landscapes. This is particularly true in complex, fragmented ecosystems where small, dense patches of vegetation (e.g., urban greens or fragmented forests) are ecologically important but may not significantly influence the overall mean NDVI of a large, mixed-use region (Sadeh et al., 2021). NDVI also shows saturation at high leaf-area values, which can further complicate interpretation (Gitelson, </w:t>
      </w:r>
      <w:r w:rsidR="004C141C">
        <w:rPr>
          <w:rFonts w:ascii="Arial" w:hAnsi="Arial" w:cs="Arial"/>
        </w:rPr>
        <w:t>2004</w:t>
      </w:r>
      <w:r w:rsidRPr="002D325A">
        <w:rPr>
          <w:rFonts w:ascii="Arial" w:hAnsi="Arial" w:cs="Arial"/>
        </w:rPr>
        <w:t>; Townshend</w:t>
      </w:r>
      <w:r w:rsidR="004C141C">
        <w:rPr>
          <w:rFonts w:ascii="Arial" w:hAnsi="Arial" w:cs="Arial"/>
        </w:rPr>
        <w:t xml:space="preserve"> &amp; Justice</w:t>
      </w:r>
      <w:r w:rsidRPr="002D325A">
        <w:rPr>
          <w:rFonts w:ascii="Arial" w:hAnsi="Arial" w:cs="Arial"/>
        </w:rPr>
        <w:t>, 19</w:t>
      </w:r>
      <w:r w:rsidR="004C141C">
        <w:rPr>
          <w:rFonts w:ascii="Arial" w:hAnsi="Arial" w:cs="Arial"/>
        </w:rPr>
        <w:t>95</w:t>
      </w:r>
      <w:r w:rsidRPr="002D325A">
        <w:rPr>
          <w:rFonts w:ascii="Arial" w:hAnsi="Arial" w:cs="Arial"/>
        </w:rPr>
        <w:t>).</w:t>
      </w:r>
    </w:p>
    <w:p w14:paraId="25763C74" w14:textId="4E0D8FE4" w:rsidR="0061446B" w:rsidRPr="002D325A" w:rsidRDefault="0061446B" w:rsidP="0061446B">
      <w:pPr>
        <w:pStyle w:val="Body"/>
        <w:rPr>
          <w:rFonts w:ascii="Arial" w:hAnsi="Arial" w:cs="Arial"/>
        </w:rPr>
      </w:pPr>
      <w:r w:rsidRPr="002D325A">
        <w:rPr>
          <w:rFonts w:ascii="Arial" w:hAnsi="Arial" w:cs="Arial"/>
        </w:rPr>
        <w:t xml:space="preserve">A common method for evaluating and </w:t>
      </w:r>
      <w:proofErr w:type="spellStart"/>
      <w:r w:rsidRPr="002D325A">
        <w:rPr>
          <w:rFonts w:ascii="Arial" w:hAnsi="Arial" w:cs="Arial"/>
        </w:rPr>
        <w:t>analysing</w:t>
      </w:r>
      <w:proofErr w:type="spellEnd"/>
      <w:r w:rsidRPr="002D325A">
        <w:rPr>
          <w:rFonts w:ascii="Arial" w:hAnsi="Arial" w:cs="Arial"/>
        </w:rPr>
        <w:t xml:space="preserve"> vegetation indices, such as NDVI, involves the use of descriptive statistics, including minimum, median, maximum, and standard deviation, to </w:t>
      </w:r>
      <w:proofErr w:type="spellStart"/>
      <w:r w:rsidRPr="002D325A">
        <w:rPr>
          <w:rFonts w:ascii="Arial" w:hAnsi="Arial" w:cs="Arial"/>
        </w:rPr>
        <w:t>analyse</w:t>
      </w:r>
      <w:proofErr w:type="spellEnd"/>
      <w:r w:rsidRPr="002D325A">
        <w:rPr>
          <w:rFonts w:ascii="Arial" w:hAnsi="Arial" w:cs="Arial"/>
        </w:rPr>
        <w:t xml:space="preserve"> and compare time series data (D’Ercole et al., 2024; Li et al., 2024; Gutiérrez-Castorena et al., 2025). These measures of central tendency and dispersion are frequently employed to assess vegetation dynamics over time. However, a significant methodological limitation arises when these statistics are used to compare different geographical areas or time series vegetation analysis (D’Ercole et al., 2024). The major limitation of using summary statistics, such as the mean or maximum NDVI, is that they depend heavily on how pixel values are distributed and represented. In some cases, a pixel may appear to be an outlier, but it is not necessarily an error; it simply reflects the true vegetation characteristics of that specific location.</w:t>
      </w:r>
    </w:p>
    <w:p w14:paraId="43F9FC4A" w14:textId="77777777" w:rsidR="0061446B" w:rsidRPr="002D325A" w:rsidRDefault="0061446B" w:rsidP="0061446B">
      <w:pPr>
        <w:pStyle w:val="Body"/>
        <w:rPr>
          <w:rFonts w:ascii="Arial" w:hAnsi="Arial" w:cs="Arial"/>
        </w:rPr>
      </w:pPr>
      <w:r w:rsidRPr="002D325A">
        <w:rPr>
          <w:rFonts w:ascii="Arial" w:hAnsi="Arial" w:cs="Arial"/>
        </w:rPr>
        <w:t>A spatially smaller region with a dense canopy cover may exhibit a higher maximum or mean NDVI value than a larger region with more extensive, but less dense, vegetation (Gamon et al., 1995; Shabani et al., 2025). This does not mean that the smaller area is more ecologically significant than the larger one; it simply reflects differences in the spatial distribution of pixel-level radiometric properties. Therefore, direct comparisons of summary statistics across disparate locations can be misleading. This underscores the necessity of complementing simple descriptive statistics with analytical techniques that account for the spatial distribution, heterogeneity, and area-dependent context of the pixel values to enable valid cross-regional comparisons.</w:t>
      </w:r>
    </w:p>
    <w:p w14:paraId="1B8E2451" w14:textId="20DDD6E3" w:rsidR="00790ADA" w:rsidRPr="002D325A" w:rsidRDefault="0061446B" w:rsidP="009E18B3">
      <w:pPr>
        <w:pStyle w:val="Body"/>
        <w:rPr>
          <w:rFonts w:ascii="Arial" w:hAnsi="Arial" w:cs="Arial"/>
        </w:rPr>
      </w:pPr>
      <w:r w:rsidRPr="002D325A">
        <w:rPr>
          <w:rFonts w:ascii="Arial" w:hAnsi="Arial" w:cs="Arial"/>
        </w:rPr>
        <w:t>These limitations underscore the necessity of complementing simple descriptive statistics with analytical techniques that account for the spatial distribution, heterogeneity, and area-dependent context of the pixel values to enable valid cross-regional comparisons. Studies have shown that vegetation metrics are highly sensitive to the spatial resolution and the aggregation area used for calculation (</w:t>
      </w:r>
      <w:r w:rsidR="009E18B3" w:rsidRPr="009E18B3">
        <w:rPr>
          <w:rFonts w:ascii="Arial" w:hAnsi="Arial" w:cs="Arial"/>
        </w:rPr>
        <w:t>(Jiménez-Jiménez et al., 2022</w:t>
      </w:r>
      <w:r w:rsidRPr="002D325A">
        <w:rPr>
          <w:rFonts w:ascii="Arial" w:hAnsi="Arial" w:cs="Arial"/>
        </w:rPr>
        <w:t>). To address these limitations, this study proposes reclassifying NDVI into five ecologically informed classes and computing a composite “</w:t>
      </w:r>
      <w:r w:rsidR="00B57753">
        <w:rPr>
          <w:rFonts w:ascii="Arial" w:hAnsi="Arial" w:cs="Arial"/>
        </w:rPr>
        <w:t>Greenness</w:t>
      </w:r>
      <w:r w:rsidRPr="002D325A">
        <w:rPr>
          <w:rFonts w:ascii="Arial" w:hAnsi="Arial" w:cs="Arial"/>
        </w:rPr>
        <w:t xml:space="preserve"> Score” (GS) that emphasizes the area and intensity of the highest NDVI classes. This paper describes the GS formulation, justifies threshold choices from the literature, and demonstrates the method with a Landsat 8 case study in Nigeria.</w:t>
      </w:r>
    </w:p>
    <w:p w14:paraId="49D2C0A1" w14:textId="77777777" w:rsidR="00941379" w:rsidRPr="002D325A" w:rsidRDefault="00941379" w:rsidP="0061446B">
      <w:pPr>
        <w:pStyle w:val="Body"/>
        <w:spacing w:after="0"/>
        <w:rPr>
          <w:rFonts w:ascii="Arial" w:hAnsi="Arial" w:cs="Arial"/>
        </w:rPr>
      </w:pPr>
    </w:p>
    <w:p w14:paraId="371403A1" w14:textId="1D6269F0" w:rsidR="007F7B32" w:rsidRPr="002D325A" w:rsidRDefault="00902823" w:rsidP="00441B6F">
      <w:pPr>
        <w:pStyle w:val="AbstHead"/>
        <w:spacing w:after="0"/>
        <w:jc w:val="both"/>
        <w:rPr>
          <w:rFonts w:ascii="Arial" w:hAnsi="Arial" w:cs="Arial"/>
          <w:sz w:val="20"/>
        </w:rPr>
      </w:pPr>
      <w:r w:rsidRPr="002D325A">
        <w:rPr>
          <w:rFonts w:ascii="Arial" w:hAnsi="Arial" w:cs="Arial"/>
          <w:sz w:val="20"/>
        </w:rPr>
        <w:t>2. material and method</w:t>
      </w:r>
      <w:r w:rsidR="00000F8F" w:rsidRPr="002D325A">
        <w:rPr>
          <w:rFonts w:ascii="Arial" w:hAnsi="Arial" w:cs="Arial"/>
          <w:sz w:val="20"/>
        </w:rPr>
        <w:t xml:space="preserve">s </w:t>
      </w:r>
    </w:p>
    <w:p w14:paraId="15DC06EA" w14:textId="77777777" w:rsidR="00790ADA" w:rsidRPr="002D325A" w:rsidRDefault="00790ADA" w:rsidP="00441B6F">
      <w:pPr>
        <w:pStyle w:val="AbstHead"/>
        <w:spacing w:after="0"/>
        <w:jc w:val="both"/>
        <w:rPr>
          <w:rFonts w:ascii="Arial" w:hAnsi="Arial" w:cs="Arial"/>
          <w:sz w:val="20"/>
        </w:rPr>
      </w:pPr>
    </w:p>
    <w:p w14:paraId="78D90055" w14:textId="77777777" w:rsidR="00941379" w:rsidRPr="002D325A" w:rsidRDefault="00941379" w:rsidP="00941379">
      <w:pPr>
        <w:spacing w:before="80" w:after="80" w:line="276" w:lineRule="auto"/>
        <w:jc w:val="both"/>
        <w:rPr>
          <w:rFonts w:ascii="Arial" w:hAnsi="Arial" w:cs="Arial"/>
          <w:b/>
          <w:bCs/>
          <w:lang w:val="en-GB"/>
        </w:rPr>
      </w:pPr>
      <w:r w:rsidRPr="002D325A">
        <w:rPr>
          <w:rFonts w:ascii="Arial" w:hAnsi="Arial" w:cs="Arial"/>
          <w:b/>
          <w:bCs/>
          <w:lang w:val="en-GB"/>
        </w:rPr>
        <w:t>2.1 Study Area</w:t>
      </w:r>
    </w:p>
    <w:p w14:paraId="37EEA375"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To experiment with the idea of the Greenness score calculations, ten (10) cities in Nigeria were carefully selected </w:t>
      </w:r>
      <w:r w:rsidRPr="002D325A">
        <w:rPr>
          <w:rFonts w:ascii="Arial" w:hAnsi="Arial" w:cs="Arial"/>
        </w:rPr>
        <w:t>based on</w:t>
      </w:r>
      <w:r w:rsidRPr="002D325A">
        <w:rPr>
          <w:rFonts w:ascii="Arial" w:hAnsi="Arial" w:cs="Arial"/>
          <w:lang w:val="en-GB"/>
        </w:rPr>
        <w:t xml:space="preserve"> their geographical location to represent the country’s diverse ecological and climatic gradients. Nigeria spans several bioclimatic zones, which makes it an ideal landscape for evaluating variability in vegetation greenness patterns (</w:t>
      </w:r>
      <w:proofErr w:type="spellStart"/>
      <w:r w:rsidRPr="002D325A">
        <w:rPr>
          <w:rFonts w:ascii="Arial" w:hAnsi="Arial" w:cs="Arial"/>
          <w:lang w:val="en-GB"/>
        </w:rPr>
        <w:t>Ayanlade</w:t>
      </w:r>
      <w:proofErr w:type="spellEnd"/>
      <w:r w:rsidRPr="002D325A">
        <w:rPr>
          <w:rFonts w:ascii="Arial" w:hAnsi="Arial" w:cs="Arial"/>
          <w:lang w:val="en-GB"/>
        </w:rPr>
        <w:t xml:space="preserve"> et al., 2021). </w:t>
      </w:r>
    </w:p>
    <w:p w14:paraId="59018C9B"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The selected cities (Abuja, Asaba, Enugu, Ibadan, Kano, Ikeja, Maiduguri, Owerri, Sokoto, and </w:t>
      </w:r>
      <w:proofErr w:type="spellStart"/>
      <w:r w:rsidRPr="002D325A">
        <w:rPr>
          <w:rFonts w:ascii="Arial" w:hAnsi="Arial" w:cs="Arial"/>
          <w:lang w:val="en-GB"/>
        </w:rPr>
        <w:t>Uyo</w:t>
      </w:r>
      <w:proofErr w:type="spellEnd"/>
      <w:r w:rsidRPr="002D325A">
        <w:rPr>
          <w:rFonts w:ascii="Arial" w:hAnsi="Arial" w:cs="Arial"/>
          <w:lang w:val="en-GB"/>
        </w:rPr>
        <w:t xml:space="preserve">) capture the significant gradients in climate and vegetation across the country. Asaba, Enugu, Ibadan, Ikeja, Owerri, and </w:t>
      </w:r>
      <w:proofErr w:type="spellStart"/>
      <w:r w:rsidRPr="002D325A">
        <w:rPr>
          <w:rFonts w:ascii="Arial" w:hAnsi="Arial" w:cs="Arial"/>
          <w:lang w:val="en-GB"/>
        </w:rPr>
        <w:t>Uyo</w:t>
      </w:r>
      <w:proofErr w:type="spellEnd"/>
      <w:r w:rsidRPr="002D325A">
        <w:rPr>
          <w:rFonts w:ascii="Arial" w:hAnsi="Arial" w:cs="Arial"/>
          <w:lang w:val="en-GB"/>
        </w:rPr>
        <w:t xml:space="preserve"> are located in Southern Nigeria and lie within the humid tropical region </w:t>
      </w:r>
      <w:r w:rsidRPr="002D325A">
        <w:rPr>
          <w:rFonts w:ascii="Arial" w:hAnsi="Arial" w:cs="Arial"/>
        </w:rPr>
        <w:t>(Adepoju et al., 2019)</w:t>
      </w:r>
      <w:r w:rsidRPr="002D325A">
        <w:rPr>
          <w:rFonts w:ascii="Arial" w:hAnsi="Arial" w:cs="Arial"/>
          <w:lang w:val="en-GB"/>
        </w:rPr>
        <w:t xml:space="preserve">, Maiduguri, Kano, and Sokoto are located in Northern Nigeria and lie within the Sudan and Sahel savanna zones </w:t>
      </w:r>
      <w:r w:rsidRPr="002D325A">
        <w:rPr>
          <w:rFonts w:ascii="Arial" w:hAnsi="Arial" w:cs="Arial"/>
        </w:rPr>
        <w:t>(Herrmann et al., 2005)</w:t>
      </w:r>
      <w:r w:rsidRPr="002D325A">
        <w:rPr>
          <w:rFonts w:ascii="Arial" w:hAnsi="Arial" w:cs="Arial"/>
          <w:lang w:val="en-GB"/>
        </w:rPr>
        <w:t xml:space="preserve">, while FCT is located in the North-Central/Middle Belt part of Nigeria, which falls within the Guinea savanna </w:t>
      </w:r>
      <w:r w:rsidRPr="002D325A">
        <w:rPr>
          <w:rFonts w:ascii="Arial" w:hAnsi="Arial" w:cs="Arial"/>
        </w:rPr>
        <w:t>(</w:t>
      </w:r>
      <w:proofErr w:type="spellStart"/>
      <w:r w:rsidRPr="002D325A">
        <w:rPr>
          <w:rFonts w:ascii="Arial" w:hAnsi="Arial" w:cs="Arial"/>
        </w:rPr>
        <w:t>Ayanlade</w:t>
      </w:r>
      <w:proofErr w:type="spellEnd"/>
      <w:r w:rsidRPr="002D325A">
        <w:rPr>
          <w:rFonts w:ascii="Arial" w:hAnsi="Arial" w:cs="Arial"/>
        </w:rPr>
        <w:t xml:space="preserve"> et al., 2021)</w:t>
      </w:r>
      <w:r w:rsidRPr="002D325A">
        <w:rPr>
          <w:rFonts w:ascii="Arial" w:hAnsi="Arial" w:cs="Arial"/>
          <w:lang w:val="en-GB"/>
        </w:rPr>
        <w:t>.</w:t>
      </w:r>
    </w:p>
    <w:p w14:paraId="2B7BECA1" w14:textId="2C2D7151"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By incorporating cities from diverse ecological contexts, the analysis ensures that the proposed </w:t>
      </w:r>
      <w:r w:rsidR="00B57753">
        <w:rPr>
          <w:rFonts w:ascii="Arial" w:hAnsi="Arial" w:cs="Arial"/>
          <w:lang w:val="en-GB"/>
        </w:rPr>
        <w:t>Greenness</w:t>
      </w:r>
      <w:r w:rsidRPr="002D325A">
        <w:rPr>
          <w:rFonts w:ascii="Arial" w:hAnsi="Arial" w:cs="Arial"/>
          <w:lang w:val="en-GB"/>
        </w:rPr>
        <w:t xml:space="preserve"> Score (GS) is tested against variations in vegetation biomass, land cover heterogeneity, and climatic seasonality.</w:t>
      </w:r>
    </w:p>
    <w:p w14:paraId="4C31998E" w14:textId="77777777" w:rsidR="00941379" w:rsidRPr="002D325A" w:rsidRDefault="00941379" w:rsidP="00941379">
      <w:pPr>
        <w:spacing w:before="80" w:after="80" w:line="276" w:lineRule="auto"/>
        <w:jc w:val="center"/>
        <w:rPr>
          <w:rFonts w:ascii="Arial" w:hAnsi="Arial" w:cs="Arial"/>
          <w:lang w:val="en-GB"/>
        </w:rPr>
      </w:pPr>
      <w:r w:rsidRPr="002D325A">
        <w:rPr>
          <w:rFonts w:ascii="Arial" w:hAnsi="Arial" w:cs="Arial"/>
          <w:noProof/>
        </w:rPr>
        <w:lastRenderedPageBreak/>
        <w:drawing>
          <wp:inline distT="0" distB="0" distL="0" distR="0" wp14:anchorId="13FC00DF" wp14:editId="302E7224">
            <wp:extent cx="5074178" cy="3587750"/>
            <wp:effectExtent l="19050" t="19050" r="12700" b="12700"/>
            <wp:docPr id="1543538311" name="Picture 7" descr="A map of nigeria with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38311" name="Picture 7" descr="A map of nigeria with different colored stat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5662" cy="3588799"/>
                    </a:xfrm>
                    <a:prstGeom prst="rect">
                      <a:avLst/>
                    </a:prstGeom>
                    <a:noFill/>
                    <a:ln>
                      <a:solidFill>
                        <a:schemeClr val="tx1"/>
                      </a:solidFill>
                    </a:ln>
                  </pic:spPr>
                </pic:pic>
              </a:graphicData>
            </a:graphic>
          </wp:inline>
        </w:drawing>
      </w:r>
    </w:p>
    <w:p w14:paraId="25DCB7DA" w14:textId="77777777" w:rsidR="00941379" w:rsidRPr="002D325A" w:rsidRDefault="00941379" w:rsidP="00941379">
      <w:pPr>
        <w:spacing w:before="80" w:after="80" w:line="276" w:lineRule="auto"/>
        <w:jc w:val="both"/>
        <w:rPr>
          <w:rFonts w:ascii="Arial" w:hAnsi="Arial" w:cs="Arial"/>
          <w:bCs/>
          <w:lang w:val="en-GB"/>
        </w:rPr>
      </w:pPr>
      <w:r w:rsidRPr="002D325A">
        <w:rPr>
          <w:rFonts w:ascii="Arial" w:hAnsi="Arial" w:cs="Arial"/>
          <w:bCs/>
          <w:lang w:val="en-GB"/>
        </w:rPr>
        <w:t>Figure 1: The Study Area map showing their geopolitical zones in Nigeria.</w:t>
      </w:r>
    </w:p>
    <w:p w14:paraId="1DBC4087" w14:textId="77777777" w:rsidR="00BB7517" w:rsidRPr="002D325A" w:rsidRDefault="00BB7517" w:rsidP="00941379">
      <w:pPr>
        <w:spacing w:before="80" w:after="80" w:line="276" w:lineRule="auto"/>
        <w:jc w:val="both"/>
        <w:rPr>
          <w:rFonts w:ascii="Arial" w:hAnsi="Arial" w:cs="Arial"/>
          <w:b/>
          <w:lang w:val="en-GB"/>
        </w:rPr>
      </w:pPr>
    </w:p>
    <w:p w14:paraId="566555D5" w14:textId="77777777" w:rsidR="002D325A" w:rsidRPr="002D325A" w:rsidRDefault="002D325A" w:rsidP="00941379">
      <w:pPr>
        <w:spacing w:before="80" w:after="80" w:line="276" w:lineRule="auto"/>
        <w:jc w:val="both"/>
        <w:rPr>
          <w:rFonts w:ascii="Arial" w:hAnsi="Arial" w:cs="Arial"/>
          <w:b/>
          <w:lang w:val="en-GB"/>
        </w:rPr>
      </w:pPr>
    </w:p>
    <w:p w14:paraId="3BCFBBF2" w14:textId="4136796A" w:rsidR="002D325A" w:rsidRPr="002D325A" w:rsidRDefault="002D325A" w:rsidP="00941379">
      <w:pPr>
        <w:spacing w:before="80" w:after="80" w:line="276" w:lineRule="auto"/>
        <w:jc w:val="both"/>
        <w:rPr>
          <w:rFonts w:ascii="Arial" w:hAnsi="Arial" w:cs="Arial"/>
          <w:b/>
          <w:lang w:val="en-GB"/>
        </w:rPr>
      </w:pPr>
    </w:p>
    <w:p w14:paraId="1F85E2D1" w14:textId="74289ADD" w:rsidR="00941379" w:rsidRPr="002D325A" w:rsidRDefault="003A53FE" w:rsidP="00941379">
      <w:pPr>
        <w:spacing w:before="80" w:after="80" w:line="276" w:lineRule="auto"/>
        <w:jc w:val="both"/>
        <w:rPr>
          <w:rFonts w:ascii="Arial" w:hAnsi="Arial" w:cs="Arial"/>
          <w:b/>
          <w:lang w:val="en-GB"/>
        </w:rPr>
      </w:pPr>
      <w:r w:rsidRPr="002D325A">
        <w:rPr>
          <w:rFonts w:ascii="Arial" w:hAnsi="Arial" w:cs="Arial"/>
          <w:b/>
          <w:bCs/>
          <w:noProof/>
          <w:lang w:val="en-GB"/>
        </w:rPr>
        <w:drawing>
          <wp:anchor distT="0" distB="0" distL="114300" distR="114300" simplePos="0" relativeHeight="251660288" behindDoc="1" locked="0" layoutInCell="1" allowOverlap="1" wp14:anchorId="10F3EA4B" wp14:editId="4477EDD6">
            <wp:simplePos x="0" y="0"/>
            <wp:positionH relativeFrom="column">
              <wp:posOffset>2473960</wp:posOffset>
            </wp:positionH>
            <wp:positionV relativeFrom="paragraph">
              <wp:posOffset>25400</wp:posOffset>
            </wp:positionV>
            <wp:extent cx="4016375" cy="2033270"/>
            <wp:effectExtent l="19050" t="19050" r="3175" b="5080"/>
            <wp:wrapThrough wrapText="bothSides">
              <wp:wrapPolygon edited="0">
                <wp:start x="21702" y="21802"/>
                <wp:lineTo x="21702" y="-54"/>
                <wp:lineTo x="-17" y="-54"/>
                <wp:lineTo x="-17" y="21802"/>
                <wp:lineTo x="21702" y="21802"/>
              </wp:wrapPolygon>
            </wp:wrapThrough>
            <wp:docPr id="361341554" name="Picture 2" descr="A diagram of plants growing from seed to se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41554" name="Picture 2" descr="A diagram of plants growing from seed to seed&#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373"/>
                    <a:stretch>
                      <a:fillRect/>
                    </a:stretch>
                  </pic:blipFill>
                  <pic:spPr bwMode="auto">
                    <a:xfrm rot="10800000" flipH="1" flipV="1">
                      <a:off x="0" y="0"/>
                      <a:ext cx="4016375" cy="2033270"/>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379" w:rsidRPr="002D325A">
        <w:rPr>
          <w:rFonts w:ascii="Arial" w:hAnsi="Arial" w:cs="Arial"/>
          <w:b/>
          <w:lang w:val="en-GB"/>
        </w:rPr>
        <w:t>2.2 Methodological Flowchart</w:t>
      </w:r>
    </w:p>
    <w:p w14:paraId="6E5B1D60" w14:textId="1B10F235" w:rsidR="00941379" w:rsidRPr="002D325A" w:rsidRDefault="003A53FE" w:rsidP="00941379">
      <w:pPr>
        <w:spacing w:before="80" w:after="80" w:line="276" w:lineRule="auto"/>
        <w:jc w:val="both"/>
        <w:rPr>
          <w:rFonts w:ascii="Arial" w:hAnsi="Arial" w:cs="Arial"/>
          <w:b/>
          <w:lang w:val="en-GB"/>
        </w:rPr>
      </w:pPr>
      <w:r>
        <w:rPr>
          <w:rFonts w:ascii="Arial" w:hAnsi="Arial" w:cs="Arial"/>
          <w:noProof/>
          <w:lang w:val="pl-PL"/>
        </w:rPr>
        <w:pict w14:anchorId="34D23198">
          <v:rect id="Rectangle 3" o:spid="_x0000_s1027" style="position:absolute;left:0;text-align:left;margin-left:196.3pt;margin-top:147.05pt;width:314.75pt;height:34.8pt;z-index:25165772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" filled="f" stroked="f" strokeweight="1pt">
            <v:textbox style="mso-next-textbox:#Rectangle 3">
              <w:txbxContent>
                <w:p w14:paraId="7EC551F5" w14:textId="29BF5829" w:rsidR="00941379" w:rsidRPr="002B1F29" w:rsidRDefault="00941379" w:rsidP="00941379">
                  <w:pPr>
                    <w:rPr>
                      <w:sz w:val="16"/>
                      <w:szCs w:val="16"/>
                      <w:lang w:val="en-GB"/>
                    </w:rPr>
                  </w:pPr>
                  <w:r w:rsidRPr="002B1F29">
                    <w:rPr>
                      <w:sz w:val="16"/>
                      <w:szCs w:val="16"/>
                      <w:lang w:val="en-GB"/>
                    </w:rPr>
                    <w:t xml:space="preserve">Figure </w:t>
                  </w:r>
                  <w:r>
                    <w:rPr>
                      <w:sz w:val="16"/>
                      <w:szCs w:val="16"/>
                      <w:lang w:val="en-GB"/>
                    </w:rPr>
                    <w:t>2</w:t>
                  </w:r>
                  <w:r w:rsidRPr="002B1F29">
                    <w:rPr>
                      <w:sz w:val="16"/>
                      <w:szCs w:val="16"/>
                      <w:lang w:val="en-GB"/>
                    </w:rPr>
                    <w:t>b:</w:t>
                  </w:r>
                  <w:r w:rsidR="003A53FE">
                    <w:rPr>
                      <w:sz w:val="16"/>
                      <w:szCs w:val="16"/>
                      <w:lang w:val="en-GB"/>
                    </w:rPr>
                    <w:t xml:space="preserve"> </w:t>
                  </w:r>
                  <w:r w:rsidRPr="002B1F29">
                    <w:rPr>
                      <w:sz w:val="16"/>
                      <w:szCs w:val="16"/>
                      <w:lang w:val="en-GB"/>
                    </w:rPr>
                    <w:t>NDVI Classification grade</w:t>
                  </w:r>
                </w:p>
                <w:p w14:paraId="72E6179E" w14:textId="77777777" w:rsidR="00941379" w:rsidRPr="002B1F29" w:rsidRDefault="00941379" w:rsidP="00941379">
                  <w:pPr>
                    <w:rPr>
                      <w:sz w:val="16"/>
                      <w:szCs w:val="16"/>
                      <w:lang w:val="en-GB"/>
                    </w:rPr>
                  </w:pPr>
                  <w:r w:rsidRPr="002B1F29">
                    <w:rPr>
                      <w:sz w:val="16"/>
                      <w:szCs w:val="16"/>
                      <w:lang w:val="en-GB"/>
                    </w:rPr>
                    <w:t>Source: https://xrtechgroup.com/what-is-ndvi-and-how-to-calculate-ndvi/</w:t>
                  </w:r>
                </w:p>
                <w:p w14:paraId="0024ECBB" w14:textId="77777777" w:rsidR="00941379" w:rsidRPr="009838A9" w:rsidRDefault="00941379" w:rsidP="00941379">
                  <w:pPr>
                    <w:jc w:val="center"/>
                    <w:rPr>
                      <w:color w:val="000000" w:themeColor="text1"/>
                      <w:szCs w:val="18"/>
                      <w:lang w:val="en-GB"/>
                    </w:rPr>
                  </w:pPr>
                </w:p>
              </w:txbxContent>
            </v:textbox>
          </v:rect>
        </w:pict>
      </w:r>
      <w:r w:rsidR="00941379" w:rsidRPr="002D325A">
        <w:rPr>
          <w:rFonts w:ascii="Arial" w:hAnsi="Arial" w:cs="Arial"/>
          <w:b/>
          <w:noProof/>
          <w:lang w:val="en-GB"/>
        </w:rPr>
        <w:drawing>
          <wp:inline distT="0" distB="0" distL="0" distR="0" wp14:anchorId="77EDC9D4" wp14:editId="59067CFB">
            <wp:extent cx="2127081" cy="2360540"/>
            <wp:effectExtent l="0" t="0" r="6985" b="1905"/>
            <wp:docPr id="1262426680" name="Picture 2" descr="A diagram of a data process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26680" name="Picture 2" descr="A diagram of a data processing proce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5308" cy="2369670"/>
                    </a:xfrm>
                    <a:prstGeom prst="rect">
                      <a:avLst/>
                    </a:prstGeom>
                    <a:noFill/>
                    <a:ln>
                      <a:noFill/>
                    </a:ln>
                  </pic:spPr>
                </pic:pic>
              </a:graphicData>
            </a:graphic>
          </wp:inline>
        </w:drawing>
      </w:r>
    </w:p>
    <w:p w14:paraId="3882E795" w14:textId="77777777" w:rsidR="00941379" w:rsidRPr="002D325A" w:rsidRDefault="00941379" w:rsidP="00941379">
      <w:pPr>
        <w:spacing w:before="80" w:after="80" w:line="276" w:lineRule="auto"/>
        <w:jc w:val="both"/>
        <w:rPr>
          <w:rFonts w:ascii="Arial" w:hAnsi="Arial" w:cs="Arial"/>
          <w:bCs/>
          <w:lang w:val="en-GB"/>
        </w:rPr>
      </w:pPr>
      <w:r w:rsidRPr="002D325A">
        <w:rPr>
          <w:rFonts w:ascii="Arial" w:hAnsi="Arial" w:cs="Arial"/>
          <w:bCs/>
          <w:lang w:val="en-GB"/>
        </w:rPr>
        <w:t>Figure 2a: Methodological Flowchart</w:t>
      </w:r>
    </w:p>
    <w:p w14:paraId="10FB14C6" w14:textId="77777777" w:rsidR="00941379" w:rsidRPr="002D325A" w:rsidRDefault="00941379" w:rsidP="00941379">
      <w:pPr>
        <w:spacing w:before="80" w:after="80" w:line="276" w:lineRule="auto"/>
        <w:jc w:val="both"/>
        <w:rPr>
          <w:rFonts w:ascii="Arial" w:hAnsi="Arial" w:cs="Arial"/>
          <w:b/>
          <w:lang w:val="en-GB"/>
        </w:rPr>
      </w:pPr>
    </w:p>
    <w:p w14:paraId="0B58BB03"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b/>
          <w:lang w:val="en-GB"/>
        </w:rPr>
        <w:t>2.3 Data Processing and Analysis</w:t>
      </w:r>
    </w:p>
    <w:p w14:paraId="660B15B7"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Data Preprocessing procedures included atmospheric correction, cloud masking, and the construction of a seamless composite mosaic to minimize temporal inconsistencies and residual noise (Zhang et al., 2022). A final composite image was generated for the peak greenness period of 2015 and 2025 to represent maximum vegetation expression. </w:t>
      </w:r>
    </w:p>
    <w:p w14:paraId="524CED17"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lang w:val="en-GB"/>
        </w:rPr>
        <w:lastRenderedPageBreak/>
        <w:t>Landsat 8 Operational Land Imager (OLI) imagery was used for this study; a commonly used source for regional vegetation analysis due to its consistent radiometric calibration and moderate spatial resolution (Okeke et al., 2018). The following table summarizes the key data characteristics.</w:t>
      </w:r>
    </w:p>
    <w:p w14:paraId="6C305C80" w14:textId="568792F5" w:rsidR="00941379" w:rsidRPr="002D325A" w:rsidRDefault="00941379" w:rsidP="00BB7517">
      <w:pPr>
        <w:spacing w:before="80" w:after="80" w:line="276" w:lineRule="auto"/>
        <w:rPr>
          <w:rFonts w:ascii="Arial" w:hAnsi="Arial" w:cs="Arial"/>
          <w:bCs/>
          <w:lang w:val="en-GB"/>
        </w:rPr>
      </w:pPr>
      <w:r w:rsidRPr="002D325A">
        <w:rPr>
          <w:rFonts w:ascii="Arial" w:hAnsi="Arial" w:cs="Arial"/>
          <w:bCs/>
          <w:lang w:val="en-GB"/>
        </w:rPr>
        <w:t>Table 1: Data Source</w:t>
      </w:r>
    </w:p>
    <w:tbl>
      <w:tblPr>
        <w:tblStyle w:val="TableGrid"/>
        <w:tblW w:w="5000" w:type="pct"/>
        <w:tblLook w:val="04A0" w:firstRow="1" w:lastRow="0" w:firstColumn="1" w:lastColumn="0" w:noHBand="0" w:noVBand="1"/>
      </w:tblPr>
      <w:tblGrid>
        <w:gridCol w:w="1559"/>
        <w:gridCol w:w="1290"/>
        <w:gridCol w:w="1884"/>
        <w:gridCol w:w="3051"/>
        <w:gridCol w:w="3232"/>
      </w:tblGrid>
      <w:tr w:rsidR="00941379" w:rsidRPr="002D325A" w14:paraId="419A26F3" w14:textId="77777777" w:rsidTr="0098464F">
        <w:tc>
          <w:tcPr>
            <w:tcW w:w="707" w:type="pct"/>
          </w:tcPr>
          <w:p w14:paraId="16598FD7"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Data</w:t>
            </w:r>
          </w:p>
        </w:tc>
        <w:tc>
          <w:tcPr>
            <w:tcW w:w="585" w:type="pct"/>
          </w:tcPr>
          <w:p w14:paraId="04EFEFF8"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Resolution</w:t>
            </w:r>
          </w:p>
        </w:tc>
        <w:tc>
          <w:tcPr>
            <w:tcW w:w="855" w:type="pct"/>
          </w:tcPr>
          <w:p w14:paraId="03D5ADCD"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Source</w:t>
            </w:r>
          </w:p>
        </w:tc>
        <w:tc>
          <w:tcPr>
            <w:tcW w:w="1385" w:type="pct"/>
          </w:tcPr>
          <w:p w14:paraId="3779477F"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Bands Used</w:t>
            </w:r>
          </w:p>
        </w:tc>
        <w:tc>
          <w:tcPr>
            <w:tcW w:w="1467" w:type="pct"/>
          </w:tcPr>
          <w:p w14:paraId="42B8AB8D" w14:textId="77777777" w:rsidR="00941379" w:rsidRPr="002D325A" w:rsidRDefault="00941379" w:rsidP="0098464F">
            <w:pPr>
              <w:spacing w:before="80" w:after="80" w:line="276" w:lineRule="auto"/>
              <w:jc w:val="both"/>
              <w:rPr>
                <w:rFonts w:ascii="Arial" w:hAnsi="Arial" w:cs="Arial"/>
                <w:b/>
                <w:sz w:val="20"/>
                <w:szCs w:val="20"/>
                <w:lang w:val="en-GB"/>
              </w:rPr>
            </w:pPr>
            <w:r w:rsidRPr="002D325A">
              <w:rPr>
                <w:rFonts w:ascii="Arial" w:hAnsi="Arial" w:cs="Arial"/>
                <w:b/>
                <w:sz w:val="20"/>
                <w:szCs w:val="20"/>
                <w:lang w:val="en-GB"/>
              </w:rPr>
              <w:t>Purpose</w:t>
            </w:r>
          </w:p>
        </w:tc>
      </w:tr>
      <w:tr w:rsidR="00941379" w:rsidRPr="002D325A" w14:paraId="45508E52" w14:textId="77777777" w:rsidTr="0098464F">
        <w:tc>
          <w:tcPr>
            <w:tcW w:w="707" w:type="pct"/>
          </w:tcPr>
          <w:p w14:paraId="51D5133D" w14:textId="77777777" w:rsidR="00941379" w:rsidRPr="002D325A" w:rsidRDefault="00941379" w:rsidP="0098464F">
            <w:pPr>
              <w:spacing w:before="80" w:after="80" w:line="276" w:lineRule="auto"/>
              <w:jc w:val="both"/>
              <w:rPr>
                <w:rFonts w:ascii="Arial" w:hAnsi="Arial" w:cs="Arial"/>
                <w:bCs/>
                <w:sz w:val="20"/>
                <w:szCs w:val="20"/>
                <w:lang w:val="en-GB"/>
              </w:rPr>
            </w:pPr>
            <w:r w:rsidRPr="002D325A">
              <w:rPr>
                <w:rFonts w:ascii="Arial" w:hAnsi="Arial" w:cs="Arial"/>
                <w:bCs/>
                <w:sz w:val="20"/>
                <w:szCs w:val="20"/>
                <w:lang w:val="en-GB"/>
              </w:rPr>
              <w:t>Landsat 8 (OLI)</w:t>
            </w:r>
          </w:p>
        </w:tc>
        <w:tc>
          <w:tcPr>
            <w:tcW w:w="585" w:type="pct"/>
          </w:tcPr>
          <w:p w14:paraId="764FF8A1" w14:textId="77777777" w:rsidR="00941379" w:rsidRPr="002D325A" w:rsidRDefault="00941379" w:rsidP="0098464F">
            <w:pPr>
              <w:spacing w:before="80" w:after="80" w:line="276" w:lineRule="auto"/>
              <w:jc w:val="both"/>
              <w:rPr>
                <w:rFonts w:ascii="Arial" w:hAnsi="Arial" w:cs="Arial"/>
                <w:bCs/>
                <w:sz w:val="20"/>
                <w:szCs w:val="20"/>
                <w:lang w:val="en-GB"/>
              </w:rPr>
            </w:pPr>
            <w:r w:rsidRPr="002D325A">
              <w:rPr>
                <w:rFonts w:ascii="Arial" w:hAnsi="Arial" w:cs="Arial"/>
                <w:bCs/>
                <w:sz w:val="20"/>
                <w:szCs w:val="20"/>
                <w:lang w:val="en-GB"/>
              </w:rPr>
              <w:t>30m</w:t>
            </w:r>
          </w:p>
        </w:tc>
        <w:tc>
          <w:tcPr>
            <w:tcW w:w="855" w:type="pct"/>
          </w:tcPr>
          <w:p w14:paraId="750220C9" w14:textId="77777777" w:rsidR="00941379" w:rsidRPr="002D325A" w:rsidRDefault="00941379" w:rsidP="0098464F">
            <w:pPr>
              <w:spacing w:before="80" w:after="80" w:line="276" w:lineRule="auto"/>
              <w:jc w:val="both"/>
              <w:rPr>
                <w:rFonts w:ascii="Arial" w:hAnsi="Arial" w:cs="Arial"/>
                <w:bCs/>
                <w:sz w:val="20"/>
                <w:szCs w:val="20"/>
                <w:lang w:val="en-GB"/>
              </w:rPr>
            </w:pPr>
            <w:r w:rsidRPr="002D325A">
              <w:rPr>
                <w:rFonts w:ascii="Arial" w:hAnsi="Arial" w:cs="Arial"/>
                <w:bCs/>
                <w:sz w:val="20"/>
                <w:szCs w:val="20"/>
                <w:lang w:val="en-GB"/>
              </w:rPr>
              <w:t>Google Earth Engine</w:t>
            </w:r>
          </w:p>
        </w:tc>
        <w:tc>
          <w:tcPr>
            <w:tcW w:w="1385" w:type="pct"/>
          </w:tcPr>
          <w:p w14:paraId="6DB0B93A" w14:textId="77777777" w:rsidR="00941379" w:rsidRPr="002D325A" w:rsidRDefault="00941379" w:rsidP="0098464F">
            <w:pPr>
              <w:spacing w:before="80" w:after="80" w:line="276" w:lineRule="auto"/>
              <w:jc w:val="both"/>
              <w:rPr>
                <w:rFonts w:ascii="Arial" w:hAnsi="Arial" w:cs="Arial"/>
                <w:bCs/>
                <w:sz w:val="20"/>
                <w:szCs w:val="20"/>
                <w:lang w:val="en-GB"/>
              </w:rPr>
            </w:pPr>
            <w:r w:rsidRPr="002D325A">
              <w:rPr>
                <w:rFonts w:ascii="Arial" w:hAnsi="Arial" w:cs="Arial"/>
                <w:bCs/>
                <w:sz w:val="20"/>
                <w:szCs w:val="20"/>
              </w:rPr>
              <w:t>Red (Band 4), Near Infrared (Band 5)</w:t>
            </w:r>
          </w:p>
        </w:tc>
        <w:tc>
          <w:tcPr>
            <w:tcW w:w="1467" w:type="pct"/>
          </w:tcPr>
          <w:p w14:paraId="2FBEC9CD" w14:textId="77777777" w:rsidR="00941379" w:rsidRPr="002D325A" w:rsidRDefault="00941379" w:rsidP="0098464F">
            <w:pPr>
              <w:spacing w:before="80" w:after="80" w:line="276" w:lineRule="auto"/>
              <w:jc w:val="both"/>
              <w:rPr>
                <w:rFonts w:ascii="Arial" w:hAnsi="Arial" w:cs="Arial"/>
                <w:bCs/>
                <w:sz w:val="20"/>
                <w:szCs w:val="20"/>
              </w:rPr>
            </w:pPr>
            <w:r w:rsidRPr="002D325A">
              <w:rPr>
                <w:rFonts w:ascii="Arial" w:hAnsi="Arial" w:cs="Arial"/>
                <w:bCs/>
                <w:sz w:val="20"/>
                <w:szCs w:val="20"/>
              </w:rPr>
              <w:t>To calculate the NDVI of the study area</w:t>
            </w:r>
          </w:p>
        </w:tc>
      </w:tr>
    </w:tbl>
    <w:p w14:paraId="3E70B941" w14:textId="77777777" w:rsidR="00941379" w:rsidRPr="002D325A" w:rsidRDefault="00941379" w:rsidP="00941379">
      <w:pPr>
        <w:spacing w:before="80" w:after="80" w:line="276" w:lineRule="auto"/>
        <w:jc w:val="both"/>
        <w:rPr>
          <w:rFonts w:ascii="Arial" w:hAnsi="Arial" w:cs="Arial"/>
          <w:b/>
          <w:lang w:val="en-GB"/>
        </w:rPr>
      </w:pPr>
    </w:p>
    <w:p w14:paraId="057FC7D0"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b/>
          <w:lang w:val="en-GB"/>
        </w:rPr>
        <w:t>2.3.1 Normalized Difference Vegetation Index (NDVI)</w:t>
      </w:r>
    </w:p>
    <w:p w14:paraId="122117D5" w14:textId="08778C65"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The Normalized Difference Vegetation Index (NDVI) is the vegetation assessment metric used in this study. It is one of the spectral indices for analysing vegetation health, density, and coverage over an area in remote sensing applications (Huang et al., 2020). NDVI leverages the characteristic reflectance properties of vegetation, which exhibit strong absorption in the red region (RED) of the electromagnetic spectrum and high reflectance in the near-infrared (NIR) region (</w:t>
      </w:r>
      <w:proofErr w:type="spellStart"/>
      <w:r w:rsidRPr="002D325A">
        <w:rPr>
          <w:rFonts w:ascii="Arial" w:hAnsi="Arial" w:cs="Arial"/>
          <w:lang w:val="en-GB"/>
        </w:rPr>
        <w:t>Pettorelli</w:t>
      </w:r>
      <w:proofErr w:type="spellEnd"/>
      <w:r w:rsidRPr="002D325A">
        <w:rPr>
          <w:rFonts w:ascii="Arial" w:hAnsi="Arial" w:cs="Arial"/>
          <w:lang w:val="en-GB"/>
        </w:rPr>
        <w:t xml:space="preserve"> et al., 2005).</w:t>
      </w:r>
    </w:p>
    <w:p w14:paraId="1A9C12BC"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NDVI is mathematically expressed as:</w:t>
      </w:r>
    </w:p>
    <w:p w14:paraId="70876D4B" w14:textId="0C15FE01" w:rsidR="00941379" w:rsidRPr="002D325A" w:rsidRDefault="003F2F53" w:rsidP="00941379">
      <w:pPr>
        <w:spacing w:before="80" w:after="80" w:line="276" w:lineRule="auto"/>
        <w:jc w:val="both"/>
        <w:rPr>
          <w:rFonts w:ascii="Arial" w:hAnsi="Arial" w:cs="Arial"/>
          <w:lang w:val="en-GB"/>
        </w:rPr>
      </w:pPr>
      <m:oMathPara>
        <m:oMath>
          <m:m>
            <m:mPr>
              <m:plcHide m:val="1"/>
              <m:mcs>
                <m:mc>
                  <m:mcPr>
                    <m:count m:val="4"/>
                    <m:mcJc m:val="center"/>
                  </m:mcPr>
                </m:mc>
              </m:mcs>
              <m:ctrlPr>
                <w:rPr>
                  <w:rFonts w:ascii="Cambria Math" w:hAnsi="Cambria Math" w:cs="Arial"/>
                  <w:lang w:val="en-GB"/>
                </w:rPr>
              </m:ctrlPr>
            </m:mPr>
            <m:mr>
              <m:e/>
              <m:e>
                <m:r>
                  <m:rPr>
                    <m:sty m:val="p"/>
                  </m:rPr>
                  <w:rPr>
                    <w:rFonts w:ascii="Cambria Math" w:hAnsi="Cambria Math" w:cs="Arial"/>
                    <w:lang w:val="en-GB"/>
                  </w:rPr>
                  <m:t>NDVI=</m:t>
                </m:r>
                <m:f>
                  <m:fPr>
                    <m:ctrlPr>
                      <w:rPr>
                        <w:rFonts w:ascii="Cambria Math" w:hAnsi="Cambria Math" w:cs="Arial"/>
                        <w:lang w:val="en-GB"/>
                      </w:rPr>
                    </m:ctrlPr>
                  </m:fPr>
                  <m:num>
                    <m:r>
                      <m:rPr>
                        <m:sty m:val="p"/>
                      </m:rPr>
                      <w:rPr>
                        <w:rFonts w:ascii="Cambria Math" w:hAnsi="Cambria Math" w:cs="Arial"/>
                        <w:lang w:val="en-GB"/>
                      </w:rPr>
                      <m:t>NIR-Red</m:t>
                    </m:r>
                  </m:num>
                  <m:den>
                    <m:r>
                      <m:rPr>
                        <m:sty m:val="p"/>
                      </m:rPr>
                      <w:rPr>
                        <w:rFonts w:ascii="Cambria Math" w:hAnsi="Cambria Math" w:cs="Arial"/>
                        <w:lang w:val="en-GB"/>
                      </w:rPr>
                      <m:t>NIR+Red</m:t>
                    </m:r>
                  </m:den>
                </m:f>
              </m:e>
              <m:e/>
              <m:e>
                <m:r>
                  <m:rPr>
                    <m:nor/>
                  </m:rPr>
                  <w:rPr>
                    <w:rFonts w:ascii="Arial" w:hAnsi="Arial" w:cs="Arial"/>
                    <w:lang w:val="en-GB"/>
                  </w:rPr>
                  <m:t>(1)</m:t>
                </m:r>
              </m:e>
            </m:mr>
          </m:m>
          <m:r>
            <m:rPr>
              <m:sty m:val="p"/>
            </m:rPr>
            <w:rPr>
              <w:rFonts w:ascii="Cambria Math" w:hAnsi="Cambria Math" w:cs="Arial"/>
              <w:lang w:val="en-GB"/>
            </w:rPr>
            <w:br/>
          </m:r>
        </m:oMath>
      </m:oMathPara>
      <w:r w:rsidR="00941379" w:rsidRPr="002D325A">
        <w:rPr>
          <w:rFonts w:ascii="Arial" w:hAnsi="Arial" w:cs="Arial"/>
          <w:lang w:val="en-GB"/>
        </w:rPr>
        <w:t xml:space="preserve">where NIR and Red are the near-infrared and red reflectance, respectively. </w:t>
      </w:r>
    </w:p>
    <w:p w14:paraId="1678BC87" w14:textId="6A3CDD92"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NDVI values range from -1 to +1, with values close to +1 indicating dense, healthy vegetation and values near zero or negative representing non-vegetated areas such as bare soils, rocks, and water. Values ranging from 0.3 to 0.6 signify moderate vegetative cover, characteristic of grassland, shrub, or crops. Values above 0.6 indicate dense vegetation, closed-canopy forest, or areas with high biomass (Rouse </w:t>
      </w:r>
      <w:r w:rsidR="001C03B5">
        <w:rPr>
          <w:rFonts w:ascii="Arial" w:hAnsi="Arial" w:cs="Arial"/>
          <w:lang w:val="en-GB"/>
        </w:rPr>
        <w:t xml:space="preserve">Jr, </w:t>
      </w:r>
      <w:r w:rsidRPr="002D325A">
        <w:rPr>
          <w:rFonts w:ascii="Arial" w:hAnsi="Arial" w:cs="Arial"/>
          <w:lang w:val="en-GB"/>
        </w:rPr>
        <w:t>et al., 1973; Carlson &amp; Ripley, 1997).</w:t>
      </w:r>
    </w:p>
    <w:p w14:paraId="30E53846" w14:textId="15110A89"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In this study, the NDVI was generated from atmospherically corrected, cloud-masked Landsat 8 imagery. The derived NDVI raster is the essential input layer for the subsequent reclassification and </w:t>
      </w:r>
      <w:r w:rsidR="00B57753">
        <w:rPr>
          <w:rFonts w:ascii="Arial" w:hAnsi="Arial" w:cs="Arial"/>
          <w:lang w:val="en-GB"/>
        </w:rPr>
        <w:t>Greenness</w:t>
      </w:r>
      <w:r w:rsidRPr="002D325A">
        <w:rPr>
          <w:rFonts w:ascii="Arial" w:hAnsi="Arial" w:cs="Arial"/>
          <w:lang w:val="en-GB"/>
        </w:rPr>
        <w:t xml:space="preserve"> Score (GS) analysis.</w:t>
      </w:r>
    </w:p>
    <w:p w14:paraId="64AC95DE"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b/>
          <w:lang w:val="en-GB"/>
        </w:rPr>
        <w:t>2.3.2 NDVI Reclassification into Vegetation Classes</w:t>
      </w:r>
    </w:p>
    <w:p w14:paraId="4BFE4794" w14:textId="1261F924" w:rsidR="00941379" w:rsidRPr="002D325A" w:rsidRDefault="00941379" w:rsidP="00941379">
      <w:pPr>
        <w:spacing w:before="80" w:after="80" w:line="276" w:lineRule="auto"/>
        <w:jc w:val="both"/>
        <w:rPr>
          <w:rFonts w:ascii="Arial" w:hAnsi="Arial" w:cs="Arial"/>
          <w:lang w:val="en-GB"/>
        </w:rPr>
      </w:pPr>
      <w:r w:rsidRPr="002D325A">
        <w:rPr>
          <w:rFonts w:ascii="Arial" w:hAnsi="Arial" w:cs="Arial"/>
          <w:bCs/>
          <w:lang w:val="en-GB"/>
        </w:rPr>
        <w:t xml:space="preserve">Reclassifying NDVI into a range of classes is the most important task in calculating the </w:t>
      </w:r>
      <w:r w:rsidR="00B57753">
        <w:rPr>
          <w:rFonts w:ascii="Arial" w:hAnsi="Arial" w:cs="Arial"/>
          <w:bCs/>
          <w:lang w:val="en-GB"/>
        </w:rPr>
        <w:t>Greenness</w:t>
      </w:r>
      <w:r w:rsidRPr="002D325A">
        <w:rPr>
          <w:rFonts w:ascii="Arial" w:hAnsi="Arial" w:cs="Arial"/>
          <w:bCs/>
          <w:lang w:val="en-GB"/>
        </w:rPr>
        <w:t xml:space="preserve"> Score. The NDVI range is reclassified into the range of values as specified in Table 2. </w:t>
      </w:r>
      <w:r w:rsidRPr="002D325A">
        <w:rPr>
          <w:rFonts w:ascii="Arial" w:hAnsi="Arial" w:cs="Arial"/>
          <w:lang w:val="en-GB"/>
        </w:rPr>
        <w:t>Based on this and other field studies, we adopt the following class thresholds (illustrated conceptually in Fig. </w:t>
      </w:r>
      <w:r w:rsidR="00EC634B">
        <w:rPr>
          <w:rFonts w:ascii="Arial" w:hAnsi="Arial" w:cs="Arial"/>
          <w:lang w:val="en-GB"/>
        </w:rPr>
        <w:t>2</w:t>
      </w:r>
      <w:r w:rsidRPr="002D325A">
        <w:rPr>
          <w:rFonts w:ascii="Arial" w:hAnsi="Arial" w:cs="Arial"/>
          <w:lang w:val="en-GB"/>
        </w:rPr>
        <w:t>b and summarized in Table 2): NDVI values were reclassified into five ecologically meaningful vegetation density classes following established literature</w:t>
      </w:r>
      <w:r w:rsidRPr="002D325A">
        <w:rPr>
          <w:rFonts w:ascii="Arial" w:hAnsi="Arial" w:cs="Arial"/>
        </w:rPr>
        <w:t xml:space="preserve"> and based on the characteristics of the study area</w:t>
      </w:r>
      <w:r w:rsidRPr="002D325A">
        <w:rPr>
          <w:rFonts w:ascii="Arial" w:hAnsi="Arial" w:cs="Arial"/>
          <w:lang w:val="en-GB"/>
        </w:rPr>
        <w:t xml:space="preserve"> (Rouse et al., 1973; Carlson &amp; Ripley, 1997; Xue &amp; Su, 2017)</w:t>
      </w:r>
      <w:r w:rsidRPr="002D325A">
        <w:rPr>
          <w:rFonts w:ascii="Arial" w:hAnsi="Arial" w:cs="Arial"/>
        </w:rPr>
        <w:t>.</w:t>
      </w:r>
    </w:p>
    <w:p w14:paraId="750CE21D"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Each pixel in the image is classified into one of these five categories. Then for any area of interest(boundary), let </w:t>
      </w:r>
      <m:oMath>
        <m:sSub>
          <m:sSubPr>
            <m:ctrlPr>
              <w:rPr>
                <w:rFonts w:ascii="Cambria Math" w:hAnsi="Cambria Math" w:cs="Arial"/>
                <w:lang w:val="en-GB"/>
              </w:rPr>
            </m:ctrlPr>
          </m:sSubPr>
          <m:e>
            <m:r>
              <m:rPr>
                <m:sty m:val="p"/>
              </m:rPr>
              <w:rPr>
                <w:rFonts w:ascii="Cambria Math" w:hAnsi="Cambria Math" w:cs="Arial"/>
                <w:lang w:val="en-GB"/>
              </w:rPr>
              <m:t>f</m:t>
            </m:r>
          </m:e>
          <m:sub>
            <m:r>
              <m:rPr>
                <m:sty m:val="p"/>
              </m:rPr>
              <w:rPr>
                <w:rFonts w:ascii="Cambria Math" w:hAnsi="Cambria Math" w:cs="Arial"/>
                <w:lang w:val="en-GB"/>
              </w:rPr>
              <m:t>i</m:t>
            </m:r>
          </m:sub>
        </m:sSub>
      </m:oMath>
      <w:r w:rsidRPr="002D325A">
        <w:rPr>
          <w:rFonts w:ascii="Arial" w:hAnsi="Arial" w:cs="Arial"/>
          <w:lang w:val="en-GB"/>
        </w:rPr>
        <w:t xml:space="preserve"> be the fraction of the area (or fraction of pixels) in class </w:t>
      </w:r>
      <m:oMath>
        <m:r>
          <w:rPr>
            <w:rFonts w:ascii="Cambria Math" w:hAnsi="Cambria Math" w:cs="Arial"/>
            <w:lang w:val="en-GB"/>
          </w:rPr>
          <m:t>i</m:t>
        </m:r>
      </m:oMath>
      <w:r w:rsidRPr="002D325A">
        <w:rPr>
          <w:rFonts w:ascii="Arial" w:hAnsi="Arial" w:cs="Arial"/>
          <w:lang w:val="en-GB"/>
        </w:rPr>
        <w:t xml:space="preserve">. For example, the </w:t>
      </w:r>
      <m:oMath>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dense</m:t>
            </m:r>
          </m:sub>
        </m:sSub>
      </m:oMath>
      <w:r w:rsidRPr="002D325A">
        <w:rPr>
          <w:rFonts w:ascii="Arial" w:hAnsi="Arial" w:cs="Arial"/>
          <w:lang w:val="en-GB"/>
        </w:rPr>
        <w:t xml:space="preserve">  is fraction of area with NDVI ≥ 0.8. In practice, we apply this reclassification to Landsat NDVI composites (at 30 m resolution) and compute </w:t>
      </w:r>
      <m:oMath>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i</m:t>
            </m:r>
          </m:sub>
        </m:sSub>
      </m:oMath>
      <w:r w:rsidRPr="002D325A">
        <w:rPr>
          <w:rFonts w:ascii="Arial" w:hAnsi="Arial" w:cs="Arial"/>
          <w:lang w:val="en-GB"/>
        </w:rPr>
        <w:t xml:space="preserve"> by simple counting.</w:t>
      </w:r>
    </w:p>
    <w:p w14:paraId="0A4B5B37"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bCs/>
          <w:lang w:val="en-GB"/>
        </w:rPr>
        <w:t xml:space="preserve">The Landsat imagery is </w:t>
      </w:r>
      <w:proofErr w:type="spellStart"/>
      <w:r w:rsidRPr="002D325A">
        <w:rPr>
          <w:rFonts w:ascii="Arial" w:hAnsi="Arial" w:cs="Arial"/>
          <w:bCs/>
          <w:lang w:val="en-GB"/>
        </w:rPr>
        <w:t>preprocessed</w:t>
      </w:r>
      <w:proofErr w:type="spellEnd"/>
      <w:r w:rsidRPr="002D325A">
        <w:rPr>
          <w:rFonts w:ascii="Arial" w:hAnsi="Arial" w:cs="Arial"/>
          <w:bCs/>
          <w:lang w:val="en-GB"/>
        </w:rPr>
        <w:t xml:space="preserve"> by subletting the area of interest, applying atmospheric correction, and mosaicking the scenes. After these steps, the NDVI is computed (Eq. 1). </w:t>
      </w:r>
      <w:r w:rsidRPr="002D325A">
        <w:rPr>
          <w:rFonts w:ascii="Arial" w:hAnsi="Arial" w:cs="Arial"/>
          <w:lang w:val="en-GB"/>
        </w:rPr>
        <w:t xml:space="preserve">Then, using the thresholds above, the NDVI raster is classified into five distinct classes to generate the final classified imagery. Area fractions </w:t>
      </w:r>
      <m:oMath>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i</m:t>
            </m:r>
          </m:sub>
        </m:sSub>
      </m:oMath>
      <w:r w:rsidRPr="002D325A">
        <w:rPr>
          <w:rFonts w:ascii="Arial" w:hAnsi="Arial" w:cs="Arial"/>
          <w:lang w:val="en-GB"/>
        </w:rPr>
        <w:t xml:space="preserve"> are obtained by counting pixels per class in each boundary (or whole study area). The GS metrics (Eq. 2 and 3) are then calculated. For time</w:t>
      </w:r>
      <w:r w:rsidRPr="002D325A">
        <w:rPr>
          <w:rFonts w:ascii="Cambria Math" w:hAnsi="Cambria Math" w:cs="Cambria Math"/>
          <w:lang w:val="en-GB"/>
        </w:rPr>
        <w:t>‐</w:t>
      </w:r>
      <w:r w:rsidRPr="002D325A">
        <w:rPr>
          <w:rFonts w:ascii="Arial" w:hAnsi="Arial" w:cs="Arial"/>
          <w:lang w:val="en-GB"/>
        </w:rPr>
        <w:t>series or larger areas, the same process can be applied per year or based on the boundary.</w:t>
      </w:r>
    </w:p>
    <w:p w14:paraId="0A3AA96C" w14:textId="77777777" w:rsidR="00BB7517" w:rsidRPr="002D325A" w:rsidRDefault="00BB7517" w:rsidP="00BB7517">
      <w:pPr>
        <w:spacing w:before="80" w:after="80" w:line="276" w:lineRule="auto"/>
        <w:rPr>
          <w:rFonts w:ascii="Arial" w:hAnsi="Arial" w:cs="Arial"/>
          <w:lang w:val="en-GB"/>
        </w:rPr>
      </w:pPr>
    </w:p>
    <w:p w14:paraId="286F2A79" w14:textId="072AA64E" w:rsidR="00941379" w:rsidRPr="002D325A" w:rsidRDefault="00941379" w:rsidP="00BB7517">
      <w:pPr>
        <w:spacing w:before="80" w:after="80" w:line="276" w:lineRule="auto"/>
        <w:rPr>
          <w:rFonts w:ascii="Arial" w:hAnsi="Arial" w:cs="Arial"/>
          <w:lang w:val="en-GB"/>
        </w:rPr>
      </w:pPr>
      <w:r w:rsidRPr="002D325A">
        <w:rPr>
          <w:rFonts w:ascii="Arial" w:hAnsi="Arial" w:cs="Arial"/>
          <w:lang w:val="en-GB"/>
        </w:rPr>
        <w:t>Table 2: NDVI Range Interpretation</w:t>
      </w:r>
    </w:p>
    <w:tbl>
      <w:tblPr>
        <w:tblStyle w:val="TableGrid"/>
        <w:tblW w:w="10143" w:type="dxa"/>
        <w:tblInd w:w="-522" w:type="dxa"/>
        <w:tblLook w:val="04A0" w:firstRow="1" w:lastRow="0" w:firstColumn="1" w:lastColumn="0" w:noHBand="0" w:noVBand="1"/>
      </w:tblPr>
      <w:tblGrid>
        <w:gridCol w:w="1530"/>
        <w:gridCol w:w="1669"/>
        <w:gridCol w:w="4101"/>
        <w:gridCol w:w="2843"/>
      </w:tblGrid>
      <w:tr w:rsidR="00941379" w:rsidRPr="002D325A" w14:paraId="07E39037" w14:textId="77777777" w:rsidTr="0098464F">
        <w:trPr>
          <w:trHeight w:val="164"/>
        </w:trPr>
        <w:tc>
          <w:tcPr>
            <w:tcW w:w="1530" w:type="dxa"/>
            <w:hideMark/>
          </w:tcPr>
          <w:p w14:paraId="4BBD2B83" w14:textId="77777777" w:rsidR="00941379" w:rsidRPr="002D325A" w:rsidRDefault="00941379" w:rsidP="0098464F">
            <w:pPr>
              <w:spacing w:before="80" w:after="80" w:line="276" w:lineRule="auto"/>
              <w:jc w:val="both"/>
              <w:rPr>
                <w:rFonts w:ascii="Arial" w:hAnsi="Arial" w:cs="Arial"/>
                <w:b/>
                <w:bCs/>
                <w:sz w:val="20"/>
                <w:szCs w:val="20"/>
                <w:lang w:val="en-GB"/>
              </w:rPr>
            </w:pPr>
            <w:r w:rsidRPr="002D325A">
              <w:rPr>
                <w:rFonts w:ascii="Arial" w:hAnsi="Arial" w:cs="Arial"/>
                <w:b/>
                <w:bCs/>
                <w:sz w:val="20"/>
                <w:szCs w:val="20"/>
                <w:lang w:val="en-GB"/>
              </w:rPr>
              <w:t>Class</w:t>
            </w:r>
          </w:p>
        </w:tc>
        <w:tc>
          <w:tcPr>
            <w:tcW w:w="1669" w:type="dxa"/>
            <w:hideMark/>
          </w:tcPr>
          <w:p w14:paraId="333B2C56" w14:textId="77777777" w:rsidR="00941379" w:rsidRPr="002D325A" w:rsidRDefault="00941379" w:rsidP="0098464F">
            <w:pPr>
              <w:spacing w:before="80" w:after="80" w:line="276" w:lineRule="auto"/>
              <w:jc w:val="both"/>
              <w:rPr>
                <w:rFonts w:ascii="Arial" w:hAnsi="Arial" w:cs="Arial"/>
                <w:b/>
                <w:bCs/>
                <w:sz w:val="20"/>
                <w:szCs w:val="20"/>
                <w:lang w:val="en-GB"/>
              </w:rPr>
            </w:pPr>
            <w:r w:rsidRPr="002D325A">
              <w:rPr>
                <w:rFonts w:ascii="Arial" w:hAnsi="Arial" w:cs="Arial"/>
                <w:b/>
                <w:bCs/>
                <w:sz w:val="20"/>
                <w:szCs w:val="20"/>
                <w:lang w:val="en-GB"/>
              </w:rPr>
              <w:t>NDVI Range</w:t>
            </w:r>
          </w:p>
        </w:tc>
        <w:tc>
          <w:tcPr>
            <w:tcW w:w="4101" w:type="dxa"/>
            <w:hideMark/>
          </w:tcPr>
          <w:p w14:paraId="0020C0BA" w14:textId="77777777" w:rsidR="00941379" w:rsidRPr="002D325A" w:rsidRDefault="00941379" w:rsidP="0098464F">
            <w:pPr>
              <w:spacing w:before="80" w:after="80" w:line="276" w:lineRule="auto"/>
              <w:jc w:val="both"/>
              <w:rPr>
                <w:rFonts w:ascii="Arial" w:hAnsi="Arial" w:cs="Arial"/>
                <w:b/>
                <w:bCs/>
                <w:sz w:val="20"/>
                <w:szCs w:val="20"/>
                <w:lang w:val="en-GB"/>
              </w:rPr>
            </w:pPr>
            <w:r w:rsidRPr="002D325A">
              <w:rPr>
                <w:rFonts w:ascii="Arial" w:hAnsi="Arial" w:cs="Arial"/>
                <w:b/>
                <w:bCs/>
                <w:sz w:val="20"/>
                <w:szCs w:val="20"/>
                <w:lang w:val="en-GB"/>
              </w:rPr>
              <w:t>Vegetation Description</w:t>
            </w:r>
          </w:p>
        </w:tc>
        <w:tc>
          <w:tcPr>
            <w:tcW w:w="2843" w:type="dxa"/>
            <w:hideMark/>
          </w:tcPr>
          <w:p w14:paraId="038E5F1D" w14:textId="77777777" w:rsidR="00941379" w:rsidRPr="002D325A" w:rsidRDefault="00941379" w:rsidP="0098464F">
            <w:pPr>
              <w:spacing w:before="80" w:after="80" w:line="276" w:lineRule="auto"/>
              <w:jc w:val="both"/>
              <w:rPr>
                <w:rFonts w:ascii="Arial" w:hAnsi="Arial" w:cs="Arial"/>
                <w:b/>
                <w:bCs/>
                <w:sz w:val="20"/>
                <w:szCs w:val="20"/>
                <w:lang w:val="en-GB"/>
              </w:rPr>
            </w:pPr>
            <w:r w:rsidRPr="002D325A">
              <w:rPr>
                <w:rFonts w:ascii="Arial" w:hAnsi="Arial" w:cs="Arial"/>
                <w:b/>
                <w:bCs/>
                <w:sz w:val="20"/>
                <w:szCs w:val="20"/>
                <w:lang w:val="en-GB"/>
              </w:rPr>
              <w:t>Ecological Interpretation</w:t>
            </w:r>
          </w:p>
        </w:tc>
      </w:tr>
      <w:tr w:rsidR="00941379" w:rsidRPr="002D325A" w14:paraId="0D8721CC" w14:textId="77777777" w:rsidTr="0098464F">
        <w:trPr>
          <w:trHeight w:val="98"/>
        </w:trPr>
        <w:tc>
          <w:tcPr>
            <w:tcW w:w="1530" w:type="dxa"/>
            <w:hideMark/>
          </w:tcPr>
          <w:p w14:paraId="40204411"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lang w:val="en-GB"/>
              </w:rPr>
              <w:t>Bare</w:t>
            </w:r>
          </w:p>
        </w:tc>
        <w:tc>
          <w:tcPr>
            <w:tcW w:w="1669" w:type="dxa"/>
            <w:hideMark/>
          </w:tcPr>
          <w:p w14:paraId="30E008AC"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NDVI &lt; 0</w:t>
            </w:r>
          </w:p>
        </w:tc>
        <w:tc>
          <w:tcPr>
            <w:tcW w:w="4101" w:type="dxa"/>
            <w:hideMark/>
          </w:tcPr>
          <w:p w14:paraId="1DB96B07"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 xml:space="preserve">Non-vegetated, such as </w:t>
            </w:r>
            <w:r w:rsidRPr="002D325A">
              <w:rPr>
                <w:rFonts w:ascii="Arial" w:hAnsi="Arial" w:cs="Arial"/>
                <w:sz w:val="20"/>
                <w:szCs w:val="20"/>
                <w:lang w:val="en-GB"/>
              </w:rPr>
              <w:t>Exposed soil</w:t>
            </w:r>
            <w:r w:rsidRPr="002D325A">
              <w:rPr>
                <w:rFonts w:ascii="Arial" w:hAnsi="Arial" w:cs="Arial"/>
                <w:sz w:val="20"/>
                <w:szCs w:val="20"/>
              </w:rPr>
              <w:t xml:space="preserve">, rock, </w:t>
            </w:r>
            <w:r w:rsidRPr="002D325A">
              <w:rPr>
                <w:rFonts w:ascii="Arial" w:hAnsi="Arial" w:cs="Arial"/>
                <w:sz w:val="20"/>
                <w:szCs w:val="20"/>
                <w:lang w:val="en-GB"/>
              </w:rPr>
              <w:t xml:space="preserve">or </w:t>
            </w:r>
            <w:r w:rsidRPr="002D325A">
              <w:rPr>
                <w:rFonts w:ascii="Arial" w:hAnsi="Arial" w:cs="Arial"/>
                <w:sz w:val="20"/>
                <w:szCs w:val="20"/>
              </w:rPr>
              <w:t>water</w:t>
            </w:r>
          </w:p>
        </w:tc>
        <w:tc>
          <w:tcPr>
            <w:tcW w:w="2843" w:type="dxa"/>
            <w:hideMark/>
          </w:tcPr>
          <w:p w14:paraId="6D4BBC63"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No greenness</w:t>
            </w:r>
          </w:p>
        </w:tc>
      </w:tr>
      <w:tr w:rsidR="00941379" w:rsidRPr="002D325A" w14:paraId="680A8B04" w14:textId="77777777" w:rsidTr="0098464F">
        <w:trPr>
          <w:trHeight w:val="162"/>
        </w:trPr>
        <w:tc>
          <w:tcPr>
            <w:tcW w:w="1530" w:type="dxa"/>
            <w:hideMark/>
          </w:tcPr>
          <w:p w14:paraId="14283E18"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rPr>
              <w:t>Very little</w:t>
            </w:r>
          </w:p>
        </w:tc>
        <w:tc>
          <w:tcPr>
            <w:tcW w:w="1669" w:type="dxa"/>
            <w:hideMark/>
          </w:tcPr>
          <w:p w14:paraId="66E2CDEC"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0 ≤ NDVI &lt; 0.</w:t>
            </w:r>
            <w:r w:rsidRPr="002D325A">
              <w:rPr>
                <w:rFonts w:ascii="Arial" w:hAnsi="Arial" w:cs="Arial"/>
                <w:sz w:val="20"/>
                <w:szCs w:val="20"/>
              </w:rPr>
              <w:t>1</w:t>
            </w:r>
          </w:p>
        </w:tc>
        <w:tc>
          <w:tcPr>
            <w:tcW w:w="4101" w:type="dxa"/>
            <w:hideMark/>
          </w:tcPr>
          <w:p w14:paraId="2602C136"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Little to no</w:t>
            </w:r>
            <w:r w:rsidRPr="002D325A">
              <w:rPr>
                <w:rFonts w:ascii="Arial" w:hAnsi="Arial" w:cs="Arial"/>
                <w:sz w:val="20"/>
                <w:szCs w:val="20"/>
                <w:lang w:val="en-GB"/>
              </w:rPr>
              <w:t xml:space="preserve"> vegetation</w:t>
            </w:r>
          </w:p>
        </w:tc>
        <w:tc>
          <w:tcPr>
            <w:tcW w:w="2843" w:type="dxa"/>
            <w:hideMark/>
          </w:tcPr>
          <w:p w14:paraId="52BAEC5D"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Minimal greenness</w:t>
            </w:r>
          </w:p>
        </w:tc>
      </w:tr>
      <w:tr w:rsidR="00941379" w:rsidRPr="002D325A" w14:paraId="27046549" w14:textId="77777777" w:rsidTr="0098464F">
        <w:trPr>
          <w:trHeight w:val="164"/>
        </w:trPr>
        <w:tc>
          <w:tcPr>
            <w:tcW w:w="1530" w:type="dxa"/>
            <w:hideMark/>
          </w:tcPr>
          <w:p w14:paraId="7784137B"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rPr>
              <w:lastRenderedPageBreak/>
              <w:t>Sparse</w:t>
            </w:r>
          </w:p>
        </w:tc>
        <w:tc>
          <w:tcPr>
            <w:tcW w:w="1669" w:type="dxa"/>
            <w:hideMark/>
          </w:tcPr>
          <w:p w14:paraId="20EC5FA1"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0.</w:t>
            </w:r>
            <w:r w:rsidRPr="002D325A">
              <w:rPr>
                <w:rFonts w:ascii="Arial" w:hAnsi="Arial" w:cs="Arial"/>
                <w:sz w:val="20"/>
                <w:szCs w:val="20"/>
              </w:rPr>
              <w:t>1</w:t>
            </w:r>
            <w:r w:rsidRPr="002D325A">
              <w:rPr>
                <w:rFonts w:ascii="Arial" w:hAnsi="Arial" w:cs="Arial"/>
                <w:sz w:val="20"/>
                <w:szCs w:val="20"/>
                <w:lang w:val="en-GB"/>
              </w:rPr>
              <w:t xml:space="preserve"> ≤ NDVI &lt; 0.</w:t>
            </w:r>
            <w:r w:rsidRPr="002D325A">
              <w:rPr>
                <w:rFonts w:ascii="Arial" w:hAnsi="Arial" w:cs="Arial"/>
                <w:sz w:val="20"/>
                <w:szCs w:val="20"/>
              </w:rPr>
              <w:t>3</w:t>
            </w:r>
          </w:p>
        </w:tc>
        <w:tc>
          <w:tcPr>
            <w:tcW w:w="4101" w:type="dxa"/>
            <w:hideMark/>
          </w:tcPr>
          <w:p w14:paraId="271D6667"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Urban areas with m</w:t>
            </w:r>
            <w:proofErr w:type="spellStart"/>
            <w:r w:rsidRPr="002D325A">
              <w:rPr>
                <w:rFonts w:ascii="Arial" w:hAnsi="Arial" w:cs="Arial"/>
                <w:sz w:val="20"/>
                <w:szCs w:val="20"/>
                <w:lang w:val="en-GB"/>
              </w:rPr>
              <w:t>ixed</w:t>
            </w:r>
            <w:proofErr w:type="spellEnd"/>
            <w:r w:rsidRPr="002D325A">
              <w:rPr>
                <w:rFonts w:ascii="Arial" w:hAnsi="Arial" w:cs="Arial"/>
                <w:sz w:val="20"/>
                <w:szCs w:val="20"/>
                <w:lang w:val="en-GB"/>
              </w:rPr>
              <w:t xml:space="preserve"> grasses/shrubs or young crops</w:t>
            </w:r>
          </w:p>
        </w:tc>
        <w:tc>
          <w:tcPr>
            <w:tcW w:w="2843" w:type="dxa"/>
            <w:hideMark/>
          </w:tcPr>
          <w:p w14:paraId="2DEE38C3"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Low photosynthetic activity</w:t>
            </w:r>
          </w:p>
        </w:tc>
      </w:tr>
      <w:tr w:rsidR="00941379" w:rsidRPr="002D325A" w14:paraId="7C9218B7" w14:textId="77777777" w:rsidTr="0098464F">
        <w:trPr>
          <w:trHeight w:val="164"/>
        </w:trPr>
        <w:tc>
          <w:tcPr>
            <w:tcW w:w="1530" w:type="dxa"/>
            <w:hideMark/>
          </w:tcPr>
          <w:p w14:paraId="6EAE7031"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rPr>
              <w:t>Moderate</w:t>
            </w:r>
          </w:p>
        </w:tc>
        <w:tc>
          <w:tcPr>
            <w:tcW w:w="1669" w:type="dxa"/>
            <w:hideMark/>
          </w:tcPr>
          <w:p w14:paraId="3512FD5D"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0.</w:t>
            </w:r>
            <w:r w:rsidRPr="002D325A">
              <w:rPr>
                <w:rFonts w:ascii="Arial" w:hAnsi="Arial" w:cs="Arial"/>
                <w:sz w:val="20"/>
                <w:szCs w:val="20"/>
              </w:rPr>
              <w:t>3</w:t>
            </w:r>
            <w:r w:rsidRPr="002D325A">
              <w:rPr>
                <w:rFonts w:ascii="Arial" w:hAnsi="Arial" w:cs="Arial"/>
                <w:sz w:val="20"/>
                <w:szCs w:val="20"/>
                <w:lang w:val="en-GB"/>
              </w:rPr>
              <w:t xml:space="preserve"> ≤ NDVI &lt; 0.</w:t>
            </w:r>
            <w:r w:rsidRPr="002D325A">
              <w:rPr>
                <w:rFonts w:ascii="Arial" w:hAnsi="Arial" w:cs="Arial"/>
                <w:sz w:val="20"/>
                <w:szCs w:val="20"/>
              </w:rPr>
              <w:t>6</w:t>
            </w:r>
          </w:p>
        </w:tc>
        <w:tc>
          <w:tcPr>
            <w:tcW w:w="4101" w:type="dxa"/>
            <w:hideMark/>
          </w:tcPr>
          <w:p w14:paraId="348EB27A"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Moderate</w:t>
            </w:r>
            <w:r w:rsidRPr="002D325A">
              <w:rPr>
                <w:rFonts w:ascii="Arial" w:hAnsi="Arial" w:cs="Arial"/>
                <w:sz w:val="20"/>
                <w:szCs w:val="20"/>
                <w:lang w:val="en-GB"/>
              </w:rPr>
              <w:t xml:space="preserve"> vegetative cover, such as cropland or secondary forest</w:t>
            </w:r>
          </w:p>
        </w:tc>
        <w:tc>
          <w:tcPr>
            <w:tcW w:w="2843" w:type="dxa"/>
            <w:hideMark/>
          </w:tcPr>
          <w:p w14:paraId="6161B60E"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Moderate vegetation density</w:t>
            </w:r>
          </w:p>
        </w:tc>
      </w:tr>
      <w:tr w:rsidR="00941379" w:rsidRPr="002D325A" w14:paraId="133D7B18" w14:textId="77777777" w:rsidTr="0098464F">
        <w:trPr>
          <w:trHeight w:val="422"/>
        </w:trPr>
        <w:tc>
          <w:tcPr>
            <w:tcW w:w="1530" w:type="dxa"/>
            <w:hideMark/>
          </w:tcPr>
          <w:p w14:paraId="0BCB1853"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b/>
                <w:bCs/>
                <w:sz w:val="20"/>
                <w:szCs w:val="20"/>
              </w:rPr>
              <w:t xml:space="preserve">High to </w:t>
            </w:r>
            <w:r w:rsidRPr="002D325A">
              <w:rPr>
                <w:rFonts w:ascii="Arial" w:hAnsi="Arial" w:cs="Arial"/>
                <w:b/>
                <w:bCs/>
                <w:sz w:val="20"/>
                <w:szCs w:val="20"/>
                <w:lang w:val="en-GB"/>
              </w:rPr>
              <w:t>Dense</w:t>
            </w:r>
          </w:p>
        </w:tc>
        <w:tc>
          <w:tcPr>
            <w:tcW w:w="1669" w:type="dxa"/>
            <w:hideMark/>
          </w:tcPr>
          <w:p w14:paraId="0970D4BD"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NDVI ≥ 0.</w:t>
            </w:r>
            <w:r w:rsidRPr="002D325A">
              <w:rPr>
                <w:rFonts w:ascii="Arial" w:hAnsi="Arial" w:cs="Arial"/>
                <w:sz w:val="20"/>
                <w:szCs w:val="20"/>
              </w:rPr>
              <w:t>6</w:t>
            </w:r>
          </w:p>
        </w:tc>
        <w:tc>
          <w:tcPr>
            <w:tcW w:w="4101" w:type="dxa"/>
            <w:hideMark/>
          </w:tcPr>
          <w:p w14:paraId="489E0D0F"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rPr>
              <w:t>Dense to very</w:t>
            </w:r>
            <w:r w:rsidRPr="002D325A">
              <w:rPr>
                <w:rFonts w:ascii="Arial" w:hAnsi="Arial" w:cs="Arial"/>
                <w:sz w:val="20"/>
                <w:szCs w:val="20"/>
                <w:lang w:val="en-GB"/>
              </w:rPr>
              <w:t xml:space="preserve"> dense </w:t>
            </w:r>
            <w:r w:rsidRPr="002D325A">
              <w:rPr>
                <w:rFonts w:ascii="Arial" w:hAnsi="Arial" w:cs="Arial"/>
                <w:sz w:val="20"/>
                <w:szCs w:val="20"/>
              </w:rPr>
              <w:t>vegetation cover</w:t>
            </w:r>
          </w:p>
        </w:tc>
        <w:tc>
          <w:tcPr>
            <w:tcW w:w="2843" w:type="dxa"/>
            <w:hideMark/>
          </w:tcPr>
          <w:p w14:paraId="7267CD57" w14:textId="77777777" w:rsidR="00941379" w:rsidRPr="002D325A" w:rsidRDefault="00941379" w:rsidP="0098464F">
            <w:pPr>
              <w:spacing w:before="80" w:after="80" w:line="276" w:lineRule="auto"/>
              <w:jc w:val="both"/>
              <w:rPr>
                <w:rFonts w:ascii="Arial" w:hAnsi="Arial" w:cs="Arial"/>
                <w:sz w:val="20"/>
                <w:szCs w:val="20"/>
                <w:lang w:val="en-GB"/>
              </w:rPr>
            </w:pPr>
            <w:r w:rsidRPr="002D325A">
              <w:rPr>
                <w:rFonts w:ascii="Arial" w:hAnsi="Arial" w:cs="Arial"/>
                <w:sz w:val="20"/>
                <w:szCs w:val="20"/>
                <w:lang w:val="en-GB"/>
              </w:rPr>
              <w:t>Strong vegetative growth</w:t>
            </w:r>
            <w:r w:rsidRPr="002D325A">
              <w:rPr>
                <w:rFonts w:ascii="Arial" w:hAnsi="Arial" w:cs="Arial"/>
                <w:sz w:val="20"/>
                <w:szCs w:val="20"/>
              </w:rPr>
              <w:t xml:space="preserve"> to </w:t>
            </w:r>
            <w:r w:rsidRPr="002D325A">
              <w:rPr>
                <w:rFonts w:ascii="Arial" w:hAnsi="Arial" w:cs="Arial"/>
                <w:sz w:val="20"/>
                <w:szCs w:val="20"/>
                <w:lang w:val="en-GB"/>
              </w:rPr>
              <w:t>Peak greenness, maximum biomass</w:t>
            </w:r>
          </w:p>
        </w:tc>
      </w:tr>
    </w:tbl>
    <w:p w14:paraId="38A7FE31" w14:textId="77777777"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lang w:val="en-GB"/>
        </w:rPr>
        <w:t xml:space="preserve">Source: </w:t>
      </w:r>
      <w:r w:rsidRPr="002D325A">
        <w:rPr>
          <w:rFonts w:ascii="Arial" w:hAnsi="Arial" w:cs="Arial"/>
        </w:rPr>
        <w:t>Authors’ Interpretation of the Vegetation Characteristics of the Study Area</w:t>
      </w:r>
    </w:p>
    <w:p w14:paraId="1FCF79AA" w14:textId="429992D4" w:rsidR="00941379" w:rsidRPr="002D325A" w:rsidRDefault="00941379" w:rsidP="00941379">
      <w:pPr>
        <w:spacing w:before="80" w:after="80" w:line="276" w:lineRule="auto"/>
        <w:jc w:val="both"/>
        <w:rPr>
          <w:rFonts w:ascii="Arial" w:hAnsi="Arial" w:cs="Arial"/>
          <w:b/>
          <w:lang w:val="en-GB"/>
        </w:rPr>
      </w:pPr>
      <w:r w:rsidRPr="002D325A">
        <w:rPr>
          <w:rFonts w:ascii="Arial" w:hAnsi="Arial" w:cs="Arial"/>
          <w:b/>
          <w:lang w:val="en-GB"/>
        </w:rPr>
        <w:t xml:space="preserve">2.3.3 </w:t>
      </w:r>
      <w:r w:rsidR="00B57753">
        <w:rPr>
          <w:rFonts w:ascii="Arial" w:hAnsi="Arial" w:cs="Arial"/>
          <w:b/>
          <w:lang w:val="en-GB"/>
        </w:rPr>
        <w:t>Greenness</w:t>
      </w:r>
      <w:r w:rsidRPr="002D325A">
        <w:rPr>
          <w:rFonts w:ascii="Arial" w:hAnsi="Arial" w:cs="Arial"/>
          <w:b/>
          <w:lang w:val="en-GB"/>
        </w:rPr>
        <w:t xml:space="preserve"> Score (GS) Calculation</w:t>
      </w:r>
    </w:p>
    <w:p w14:paraId="757B3CC1" w14:textId="305D6BF3" w:rsidR="00941379" w:rsidRPr="00F64E58" w:rsidRDefault="00941379" w:rsidP="00941379">
      <w:pPr>
        <w:spacing w:before="80" w:after="80" w:line="276" w:lineRule="auto"/>
        <w:jc w:val="both"/>
        <w:rPr>
          <w:rFonts w:ascii="Arial" w:hAnsi="Arial" w:cs="Arial"/>
        </w:rPr>
      </w:pPr>
      <w:r w:rsidRPr="002D325A">
        <w:rPr>
          <w:rFonts w:ascii="Arial" w:hAnsi="Arial" w:cs="Arial"/>
          <w:lang w:val="en-GB"/>
        </w:rPr>
        <w:t xml:space="preserve">The </w:t>
      </w:r>
      <w:r w:rsidR="00B57753">
        <w:rPr>
          <w:rFonts w:ascii="Arial" w:hAnsi="Arial" w:cs="Arial"/>
          <w:lang w:val="en-GB"/>
        </w:rPr>
        <w:t>Greenness</w:t>
      </w:r>
      <w:r w:rsidRPr="002D325A">
        <w:rPr>
          <w:rFonts w:ascii="Arial" w:hAnsi="Arial" w:cs="Arial"/>
          <w:lang w:val="en-GB"/>
        </w:rPr>
        <w:t xml:space="preserve"> Score (GS) was applied to the NDVI raster generated from the Landsat Imagery Ratio calculation selected to represent the period of peak vegetation greenness within the study area (Zhang et al., 202</w:t>
      </w:r>
      <w:r w:rsidR="00FB7C8E">
        <w:rPr>
          <w:rFonts w:ascii="Arial" w:hAnsi="Arial" w:cs="Arial"/>
          <w:lang w:val="en-GB"/>
        </w:rPr>
        <w:t>4</w:t>
      </w:r>
      <w:r w:rsidRPr="002D325A">
        <w:rPr>
          <w:rFonts w:ascii="Arial" w:hAnsi="Arial" w:cs="Arial"/>
          <w:lang w:val="en-GB"/>
        </w:rPr>
        <w:t xml:space="preserve">; </w:t>
      </w:r>
      <w:proofErr w:type="spellStart"/>
      <w:r w:rsidR="00F64E58" w:rsidRPr="00F64E58">
        <w:rPr>
          <w:rFonts w:ascii="Arial" w:hAnsi="Arial" w:cs="Arial"/>
        </w:rPr>
        <w:t>Maryoud</w:t>
      </w:r>
      <w:proofErr w:type="spellEnd"/>
      <w:r w:rsidR="00F64E58" w:rsidRPr="00F64E58">
        <w:rPr>
          <w:rFonts w:ascii="Arial" w:hAnsi="Arial" w:cs="Arial"/>
        </w:rPr>
        <w:t xml:space="preserve"> &amp; Ibrahim, 2023</w:t>
      </w:r>
      <w:r w:rsidRPr="002D325A">
        <w:rPr>
          <w:rFonts w:ascii="Arial" w:hAnsi="Arial" w:cs="Arial"/>
          <w:lang w:val="en-GB"/>
        </w:rPr>
        <w:t>). This selection ensures that vegetation signals across urban and peri</w:t>
      </w:r>
      <w:r w:rsidRPr="002D325A">
        <w:rPr>
          <w:rFonts w:ascii="Cambria Math" w:hAnsi="Cambria Math" w:cs="Cambria Math"/>
          <w:lang w:val="en-GB"/>
        </w:rPr>
        <w:t>‑</w:t>
      </w:r>
      <w:r w:rsidRPr="002D325A">
        <w:rPr>
          <w:rFonts w:ascii="Arial" w:hAnsi="Arial" w:cs="Arial"/>
          <w:lang w:val="en-GB"/>
        </w:rPr>
        <w:t>urban environments are captured at their maximum radiometric expression, allowing a more reliable assessment of spatial variation in canopy condition.</w:t>
      </w:r>
    </w:p>
    <w:p w14:paraId="13D6BBB1" w14:textId="4C5F1B05"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For each Area of Interest (AOI), a suite of NDVI</w:t>
      </w:r>
      <w:r w:rsidRPr="002D325A">
        <w:rPr>
          <w:rFonts w:ascii="Cambria Math" w:hAnsi="Cambria Math" w:cs="Cambria Math"/>
          <w:lang w:val="en-GB"/>
        </w:rPr>
        <w:t>‑</w:t>
      </w:r>
      <w:r w:rsidRPr="002D325A">
        <w:rPr>
          <w:rFonts w:ascii="Arial" w:hAnsi="Arial" w:cs="Arial"/>
          <w:lang w:val="en-GB"/>
        </w:rPr>
        <w:t xml:space="preserve">derived metrics was generated: mean NDVI, median NDVI, and normalized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oMath>
      <w:r w:rsidRPr="002D325A">
        <w:rPr>
          <w:rFonts w:ascii="Arial" w:hAnsi="Arial" w:cs="Arial"/>
          <w:lang w:val="en-GB"/>
        </w:rPr>
        <w:t xml:space="preserve">, TCF, and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10%</m:t>
            </m:r>
          </m:sub>
        </m:sSub>
      </m:oMath>
      <w:r w:rsidRPr="002D325A">
        <w:rPr>
          <w:rFonts w:ascii="Arial" w:hAnsi="Arial" w:cs="Arial"/>
          <w:lang w:val="en-GB"/>
        </w:rPr>
        <w:t xml:space="preserve"> (defined as the mean of the highest 10% NDVI pixels within the AOI). These metrics characterize the internal structure, distribution, and dominance of high</w:t>
      </w:r>
      <w:r w:rsidRPr="002D325A">
        <w:rPr>
          <w:rFonts w:ascii="Cambria Math" w:hAnsi="Cambria Math" w:cs="Cambria Math"/>
          <w:lang w:val="en-GB"/>
        </w:rPr>
        <w:t>‑</w:t>
      </w:r>
      <w:r w:rsidRPr="002D325A">
        <w:rPr>
          <w:rFonts w:ascii="Arial" w:hAnsi="Arial" w:cs="Arial"/>
          <w:lang w:val="en-GB"/>
        </w:rPr>
        <w:t>greenness pixels, providing a more nuanced evaluation of vegetation patterns beyond conventional summary statistics (</w:t>
      </w:r>
      <w:proofErr w:type="spellStart"/>
      <w:r w:rsidR="00F64E58" w:rsidRPr="00F64E58">
        <w:rPr>
          <w:rFonts w:ascii="Arial" w:hAnsi="Arial" w:cs="Arial"/>
        </w:rPr>
        <w:t>Maryoud</w:t>
      </w:r>
      <w:proofErr w:type="spellEnd"/>
      <w:r w:rsidR="00F64E58" w:rsidRPr="00F64E58">
        <w:rPr>
          <w:rFonts w:ascii="Arial" w:hAnsi="Arial" w:cs="Arial"/>
        </w:rPr>
        <w:t xml:space="preserve"> &amp; Ibrahim, 2023</w:t>
      </w:r>
      <w:r w:rsidRPr="002D325A">
        <w:rPr>
          <w:rFonts w:ascii="Arial" w:hAnsi="Arial" w:cs="Arial"/>
          <w:lang w:val="en-GB"/>
        </w:rPr>
        <w:t xml:space="preserve">; </w:t>
      </w:r>
      <w:proofErr w:type="spellStart"/>
      <w:r w:rsidRPr="002D325A">
        <w:rPr>
          <w:rFonts w:ascii="Arial" w:hAnsi="Arial" w:cs="Arial"/>
          <w:lang w:val="en-GB"/>
        </w:rPr>
        <w:t>Amuyou</w:t>
      </w:r>
      <w:proofErr w:type="spellEnd"/>
      <w:r w:rsidRPr="002D325A">
        <w:rPr>
          <w:rFonts w:ascii="Arial" w:hAnsi="Arial" w:cs="Arial"/>
          <w:lang w:val="en-GB"/>
        </w:rPr>
        <w:t xml:space="preserve"> et al., 2022).</w:t>
      </w:r>
    </w:p>
    <w:p w14:paraId="2FEB2747" w14:textId="135B5C95" w:rsidR="00941379" w:rsidRPr="002D325A" w:rsidRDefault="00941379" w:rsidP="00941379">
      <w:pPr>
        <w:spacing w:before="80" w:after="80" w:line="276" w:lineRule="auto"/>
        <w:jc w:val="both"/>
        <w:rPr>
          <w:rFonts w:ascii="Arial" w:hAnsi="Arial" w:cs="Arial"/>
          <w:bCs/>
          <w:lang w:val="en-GB"/>
        </w:rPr>
      </w:pPr>
      <w:r w:rsidRPr="002D325A">
        <w:rPr>
          <w:rFonts w:ascii="Arial" w:hAnsi="Arial" w:cs="Arial"/>
          <w:bCs/>
          <w:lang w:val="en-GB"/>
        </w:rPr>
        <w:t xml:space="preserve">The </w:t>
      </w:r>
      <w:r w:rsidR="00B57753">
        <w:rPr>
          <w:rFonts w:ascii="Arial" w:hAnsi="Arial" w:cs="Arial"/>
          <w:bCs/>
          <w:lang w:val="en-GB"/>
        </w:rPr>
        <w:t>Greenness</w:t>
      </w:r>
      <w:r w:rsidRPr="002D325A">
        <w:rPr>
          <w:rFonts w:ascii="Arial" w:hAnsi="Arial" w:cs="Arial"/>
          <w:bCs/>
          <w:lang w:val="en-GB"/>
        </w:rPr>
        <w:t xml:space="preserve"> Score is defined as a weighted sum of the class fractions, assigning a higher weight to greener classes. A simple choice is to let the class index itself serve as weight (e.g. 1=bare … 5=dense). Then the Weighted GS is:</w:t>
      </w:r>
    </w:p>
    <w:p w14:paraId="6B4EAE8D" w14:textId="77777777" w:rsidR="00941379" w:rsidRPr="002D325A" w:rsidRDefault="003F2F53" w:rsidP="00941379">
      <w:pPr>
        <w:spacing w:before="80" w:after="80" w:line="276" w:lineRule="auto"/>
        <w:jc w:val="both"/>
        <w:rPr>
          <w:rFonts w:ascii="Arial" w:hAnsi="Arial" w:cs="Arial"/>
          <w:lang w:val="en-GB"/>
        </w:rPr>
      </w:pPr>
      <m:oMathPara>
        <m:oMath>
          <m:m>
            <m:mPr>
              <m:plcHide m:val="1"/>
              <m:mcs>
                <m:mc>
                  <m:mcPr>
                    <m:count m:val="4"/>
                    <m:mcJc m:val="center"/>
                  </m:mcPr>
                </m:mc>
              </m:mcs>
              <m:ctrlPr>
                <w:rPr>
                  <w:rFonts w:ascii="Cambria Math" w:hAnsi="Cambria Math" w:cs="Arial"/>
                  <w:lang w:val="en-GB"/>
                </w:rPr>
              </m:ctrlPr>
            </m:mPr>
            <m:mr>
              <m:e/>
              <m:e>
                <m:r>
                  <m:rPr>
                    <m:sty m:val="p"/>
                  </m:rP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w</m:t>
                    </m:r>
                  </m:sub>
                </m:sSub>
                <m:r>
                  <m:rPr>
                    <m:sty m:val="p"/>
                  </m:rPr>
                  <w:rPr>
                    <w:rFonts w:ascii="Cambria Math" w:hAnsi="Cambria Math" w:cs="Arial"/>
                    <w:lang w:val="en-GB"/>
                  </w:rPr>
                  <m:t>=</m:t>
                </m:r>
                <m:nary>
                  <m:naryPr>
                    <m:chr m:val="∑"/>
                    <m:limLoc m:val="undOvr"/>
                    <m:grow m:val="1"/>
                    <m:ctrlPr>
                      <w:rPr>
                        <w:rFonts w:ascii="Cambria Math" w:hAnsi="Cambria Math" w:cs="Arial"/>
                        <w:lang w:val="en-GB"/>
                      </w:rPr>
                    </m:ctrlPr>
                  </m:naryPr>
                  <m:sub>
                    <m:r>
                      <m:rPr>
                        <m:sty m:val="p"/>
                      </m:rPr>
                      <w:rPr>
                        <w:rFonts w:ascii="Cambria Math" w:hAnsi="Cambria Math" w:cs="Arial"/>
                        <w:lang w:val="en-GB"/>
                      </w:rPr>
                      <m:t>i=1</m:t>
                    </m:r>
                  </m:sub>
                  <m:sup>
                    <m:r>
                      <m:rPr>
                        <m:sty m:val="p"/>
                      </m:rPr>
                      <w:rPr>
                        <w:rFonts w:ascii="Cambria Math" w:hAnsi="Cambria Math" w:cs="Arial"/>
                        <w:lang w:val="en-GB"/>
                      </w:rPr>
                      <m:t>5</m:t>
                    </m:r>
                  </m:sup>
                  <m:e>
                    <m:r>
                      <m:rPr>
                        <m:sty m:val="p"/>
                      </m:rPr>
                      <w:rPr>
                        <w:rFonts w:ascii="Cambria Math" w:hAnsi="Cambria Math" w:cs="Arial"/>
                        <w:lang w:val="en-GB"/>
                      </w:rPr>
                      <m:t xml:space="preserve"> </m:t>
                    </m:r>
                  </m:e>
                </m:nary>
                <m:r>
                  <m:rPr>
                    <m:sty m:val="p"/>
                  </m:rPr>
                  <w:rPr>
                    <w:rFonts w:ascii="Cambria Math" w:hAnsi="Cambria Math" w:cs="Arial"/>
                    <w:lang w:val="en-GB"/>
                  </w:rPr>
                  <m:t>i</m:t>
                </m:r>
                <m:r>
                  <m:rPr>
                    <m:nor/>
                  </m:rPr>
                  <w:rPr>
                    <w:rFonts w:ascii="Arial" w:hAnsi="Arial" w:cs="Arial"/>
                    <w:lang w:val="en-GB"/>
                  </w:rPr>
                  <m:t> </m:t>
                </m:r>
                <m:sSub>
                  <m:sSubPr>
                    <m:ctrlPr>
                      <w:rPr>
                        <w:rFonts w:ascii="Cambria Math" w:hAnsi="Cambria Math" w:cs="Arial"/>
                        <w:lang w:val="en-GB"/>
                      </w:rPr>
                    </m:ctrlPr>
                  </m:sSubPr>
                  <m:e>
                    <m:r>
                      <m:rPr>
                        <m:sty m:val="p"/>
                      </m:rPr>
                      <w:rPr>
                        <w:rFonts w:ascii="Cambria Math" w:hAnsi="Cambria Math" w:cs="Arial"/>
                        <w:lang w:val="en-GB"/>
                      </w:rPr>
                      <m:t>f</m:t>
                    </m:r>
                  </m:e>
                  <m:sub>
                    <m:r>
                      <m:rPr>
                        <m:sty m:val="p"/>
                      </m:rPr>
                      <w:rPr>
                        <w:rFonts w:ascii="Cambria Math" w:hAnsi="Cambria Math" w:cs="Arial"/>
                        <w:lang w:val="en-GB"/>
                      </w:rPr>
                      <m:t>i</m:t>
                    </m:r>
                  </m:sub>
                </m:sSub>
                <m:r>
                  <m:rPr>
                    <m:sty m:val="p"/>
                  </m:rPr>
                  <w:rPr>
                    <w:rFonts w:ascii="Cambria Math" w:hAnsi="Cambria Math" w:cs="Arial"/>
                    <w:lang w:val="en-GB"/>
                  </w:rPr>
                  <m:t>,</m:t>
                </m:r>
              </m:e>
              <m:e/>
              <m:e>
                <m:r>
                  <m:rPr>
                    <m:nor/>
                  </m:rPr>
                  <w:rPr>
                    <w:rFonts w:ascii="Arial" w:hAnsi="Arial" w:cs="Arial"/>
                    <w:lang w:val="en-GB"/>
                  </w:rPr>
                  <m:t>(2)</m:t>
                </m:r>
              </m:e>
            </m:mr>
          </m:m>
          <m:r>
            <m:rPr>
              <m:sty m:val="p"/>
            </m:rPr>
            <w:rPr>
              <w:rFonts w:ascii="Cambria Math" w:hAnsi="Cambria Math" w:cs="Arial"/>
              <w:lang w:val="en-GB"/>
            </w:rPr>
            <w:br/>
          </m:r>
        </m:oMath>
      </m:oMathPara>
      <w:r w:rsidR="00941379" w:rsidRPr="002D325A">
        <w:rPr>
          <w:rFonts w:ascii="Arial" w:hAnsi="Arial" w:cs="Arial"/>
          <w:lang w:val="en-GB"/>
        </w:rPr>
        <w:t xml:space="preserve">where </w:t>
      </w:r>
      <m:oMath>
        <m:r>
          <w:rPr>
            <w:rFonts w:ascii="Cambria Math" w:hAnsi="Cambria Math" w:cs="Arial"/>
            <w:lang w:val="en-GB"/>
          </w:rPr>
          <m:t>i=1</m:t>
        </m:r>
      </m:oMath>
      <w:r w:rsidR="00941379" w:rsidRPr="002D325A">
        <w:rPr>
          <w:rFonts w:ascii="Arial" w:hAnsi="Arial" w:cs="Arial"/>
          <w:lang w:val="en-GB"/>
        </w:rPr>
        <w:t xml:space="preserve"> for bare up to </w:t>
      </w:r>
      <m:oMath>
        <m:r>
          <w:rPr>
            <w:rFonts w:ascii="Cambria Math" w:hAnsi="Cambria Math" w:cs="Arial"/>
            <w:lang w:val="en-GB"/>
          </w:rPr>
          <m:t>i=5</m:t>
        </m:r>
      </m:oMath>
      <w:r w:rsidR="00941379" w:rsidRPr="002D325A">
        <w:rPr>
          <w:rFonts w:ascii="Arial" w:hAnsi="Arial" w:cs="Arial"/>
          <w:lang w:val="en-GB"/>
        </w:rPr>
        <w:t xml:space="preserve"> for dense. In this scheme, a higher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oMath>
      <w:r w:rsidR="00941379" w:rsidRPr="002D325A">
        <w:rPr>
          <w:rFonts w:ascii="Arial" w:hAnsi="Arial" w:cs="Arial"/>
          <w:lang w:val="en-GB"/>
        </w:rPr>
        <w:t xml:space="preserve"> implies a larger share of high-NDVI classes. In fact, if all pixels were dense vegetation </w:t>
      </w:r>
      <m:oMath>
        <m:sSub>
          <m:sSubPr>
            <m:ctrlPr>
              <w:rPr>
                <w:rFonts w:ascii="Cambria Math" w:hAnsi="Cambria Math" w:cs="Arial"/>
                <w:lang w:val="en-GB"/>
              </w:rPr>
            </m:ctrlPr>
          </m:sSubPr>
          <m:e>
            <m:r>
              <m:rPr>
                <m:sty m:val="p"/>
              </m:rPr>
              <w:rPr>
                <w:rFonts w:ascii="Cambria Math" w:hAnsi="Cambria Math" w:cs="Arial"/>
                <w:lang w:val="en-GB"/>
              </w:rPr>
              <m:t>f</m:t>
            </m:r>
          </m:e>
          <m:sub>
            <m:r>
              <m:rPr>
                <m:sty m:val="p"/>
              </m:rPr>
              <w:rPr>
                <w:rFonts w:ascii="Cambria Math" w:hAnsi="Cambria Math" w:cs="Arial"/>
                <w:lang w:val="en-GB"/>
              </w:rPr>
              <m:t>5</m:t>
            </m:r>
          </m:sub>
        </m:sSub>
        <m:r>
          <m:rPr>
            <m:sty m:val="p"/>
          </m:rPr>
          <w:rPr>
            <w:rFonts w:ascii="Cambria Math" w:hAnsi="Cambria Math" w:cs="Arial"/>
            <w:lang w:val="en-GB"/>
          </w:rPr>
          <m:t>=1</m:t>
        </m:r>
      </m:oMath>
      <w:r w:rsidR="00941379" w:rsidRPr="002D325A">
        <w:rPr>
          <w:rFonts w:ascii="Arial" w:hAnsi="Arial" w:cs="Arial"/>
          <w:lang w:val="en-GB"/>
        </w:rPr>
        <w:t xml:space="preserve"> ,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r>
          <w:rPr>
            <w:rFonts w:ascii="Cambria Math" w:hAnsi="Cambria Math" w:cs="Arial"/>
            <w:lang w:val="en-GB"/>
          </w:rPr>
          <m:t>=5</m:t>
        </m:r>
      </m:oMath>
      <w:r w:rsidR="00941379" w:rsidRPr="002D325A">
        <w:rPr>
          <w:rFonts w:ascii="Arial" w:hAnsi="Arial" w:cs="Arial"/>
          <w:lang w:val="en-GB"/>
        </w:rPr>
        <w:t xml:space="preserve"> (the maximum); if mostly bare, </w:t>
      </w:r>
      <m:oMath>
        <m:r>
          <m:rPr>
            <m:sty m:val="p"/>
          </m:rP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w</m:t>
            </m:r>
          </m:sub>
        </m:sSub>
      </m:oMath>
      <w:r w:rsidR="00941379" w:rsidRPr="002D325A">
        <w:rPr>
          <w:rFonts w:ascii="Arial" w:hAnsi="Arial" w:cs="Arial"/>
          <w:lang w:val="en-GB"/>
        </w:rPr>
        <w:t xml:space="preserve"> approaches 1. One can also normalize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oMath>
      <w:r w:rsidR="00941379" w:rsidRPr="002D325A">
        <w:rPr>
          <w:rFonts w:ascii="Arial" w:hAnsi="Arial" w:cs="Arial"/>
          <w:lang w:val="en-GB"/>
        </w:rPr>
        <w:t xml:space="preserve"> by dividing by 5 to scale it 0–1. Equation (2) can be viewed as a </w:t>
      </w:r>
      <w:proofErr w:type="gramStart"/>
      <w:r w:rsidR="00941379" w:rsidRPr="002D325A">
        <w:rPr>
          <w:rFonts w:ascii="Arial" w:hAnsi="Arial" w:cs="Arial"/>
          <w:lang w:val="en-GB"/>
        </w:rPr>
        <w:t>coarse</w:t>
      </w:r>
      <w:proofErr w:type="gramEnd"/>
      <w:r w:rsidR="00941379" w:rsidRPr="002D325A">
        <w:rPr>
          <w:rFonts w:ascii="Arial" w:hAnsi="Arial" w:cs="Arial"/>
          <w:lang w:val="en-GB"/>
        </w:rPr>
        <w:t xml:space="preserve"> “average class index”, analogous to mean NDVI but less sensitive to the large bare fraction. Alternatively, one could set the weights </w:t>
      </w:r>
      <m:oMath>
        <m:sSub>
          <m:sSubPr>
            <m:ctrlPr>
              <w:rPr>
                <w:rFonts w:ascii="Cambria Math" w:hAnsi="Cambria Math" w:cs="Arial"/>
                <w:i/>
                <w:lang w:val="en-GB"/>
              </w:rPr>
            </m:ctrlPr>
          </m:sSubPr>
          <m:e>
            <m:r>
              <w:rPr>
                <w:rFonts w:ascii="Cambria Math" w:hAnsi="Cambria Math" w:cs="Arial"/>
                <w:lang w:val="en-GB"/>
              </w:rPr>
              <m:t>w</m:t>
            </m:r>
          </m:e>
          <m:sub>
            <m:r>
              <w:rPr>
                <w:rFonts w:ascii="Cambria Math" w:hAnsi="Cambria Math" w:cs="Arial"/>
                <w:lang w:val="en-GB"/>
              </w:rPr>
              <m:t>i</m:t>
            </m:r>
          </m:sub>
        </m:sSub>
      </m:oMath>
      <w:r w:rsidR="00941379" w:rsidRPr="002D325A">
        <w:rPr>
          <w:rFonts w:ascii="Arial" w:hAnsi="Arial" w:cs="Arial"/>
          <w:lang w:val="en-GB"/>
        </w:rPr>
        <w:t xml:space="preserve"> equal to representative NDVI values of each class (e.g., the class midpoint), in which case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w</m:t>
            </m:r>
          </m:sub>
        </m:sSub>
      </m:oMath>
      <w:r w:rsidR="00941379" w:rsidRPr="002D325A">
        <w:rPr>
          <w:rFonts w:ascii="Arial" w:hAnsi="Arial" w:cs="Arial"/>
          <w:lang w:val="en-GB"/>
        </w:rPr>
        <w:t xml:space="preserve"> approximates the mean NDVI of the area (since </w:t>
      </w:r>
      <m:oMath>
        <m:nary>
          <m:naryPr>
            <m:chr m:val="∑"/>
            <m:subHide m:val="1"/>
            <m:supHide m:val="1"/>
            <m:ctrlPr>
              <w:rPr>
                <w:rFonts w:ascii="Cambria Math" w:hAnsi="Cambria Math" w:cs="Arial"/>
                <w:lang w:val="en-GB"/>
              </w:rPr>
            </m:ctrlPr>
          </m:naryPr>
          <m:sub>
            <m:ctrlPr>
              <w:rPr>
                <w:rFonts w:ascii="Cambria Math" w:hAnsi="Cambria Math" w:cs="Arial"/>
                <w:i/>
                <w:lang w:val="en-GB"/>
              </w:rPr>
            </m:ctrlPr>
          </m:sub>
          <m:sup>
            <m:ctrlPr>
              <w:rPr>
                <w:rFonts w:ascii="Cambria Math" w:hAnsi="Cambria Math" w:cs="Arial"/>
                <w:i/>
                <w:lang w:val="en-GB"/>
              </w:rPr>
            </m:ctrlPr>
          </m:sup>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i</m:t>
                </m:r>
              </m:sub>
            </m:sSub>
            <m:ctrlPr>
              <w:rPr>
                <w:rFonts w:ascii="Cambria Math" w:hAnsi="Cambria Math" w:cs="Arial"/>
                <w:i/>
                <w:lang w:val="en-GB"/>
              </w:rPr>
            </m:ctrlPr>
          </m:e>
        </m:nary>
        <m:r>
          <w:rPr>
            <w:rFonts w:ascii="Cambria Math" w:hAnsi="Cambria Math" w:cs="Arial"/>
            <w:lang w:val="en-GB"/>
          </w:rPr>
          <m:t>=1</m:t>
        </m:r>
      </m:oMath>
      <w:r w:rsidR="00941379" w:rsidRPr="002D325A">
        <w:rPr>
          <w:rFonts w:ascii="Arial" w:hAnsi="Arial" w:cs="Arial"/>
          <w:lang w:val="en-GB"/>
        </w:rPr>
        <w:t>). We instead use integer weights to highlight class differences, but other weighting schemes (e.g. square of class number) could further emphasize the top classes if desired.</w:t>
      </w:r>
    </w:p>
    <w:p w14:paraId="448B364F" w14:textId="72BCFC6B" w:rsidR="00941379" w:rsidRPr="002D325A" w:rsidRDefault="00941379" w:rsidP="00941379">
      <w:pPr>
        <w:spacing w:before="80" w:after="80" w:line="276" w:lineRule="auto"/>
        <w:jc w:val="both"/>
        <w:rPr>
          <w:rFonts w:ascii="Arial" w:hAnsi="Arial" w:cs="Arial"/>
          <w:b/>
          <w:bCs/>
          <w:lang w:val="en-GB"/>
        </w:rPr>
      </w:pPr>
      <w:r w:rsidRPr="002D325A">
        <w:rPr>
          <w:rFonts w:ascii="Arial" w:hAnsi="Arial" w:cs="Arial"/>
          <w:lang w:val="en-GB"/>
        </w:rPr>
        <w:t xml:space="preserve">To continue the </w:t>
      </w:r>
      <w:r w:rsidR="00B57753">
        <w:rPr>
          <w:rFonts w:ascii="Arial" w:hAnsi="Arial" w:cs="Arial"/>
          <w:lang w:val="en-GB"/>
        </w:rPr>
        <w:t>Greenness</w:t>
      </w:r>
      <w:r w:rsidRPr="002D325A">
        <w:rPr>
          <w:rFonts w:ascii="Arial" w:hAnsi="Arial" w:cs="Arial"/>
          <w:lang w:val="en-GB"/>
        </w:rPr>
        <w:t xml:space="preserve"> Calculation</w:t>
      </w:r>
      <w:r w:rsidRPr="002D325A">
        <w:rPr>
          <w:rFonts w:ascii="Arial" w:hAnsi="Arial" w:cs="Arial"/>
        </w:rPr>
        <w:t>, it</w:t>
      </w:r>
      <w:r w:rsidRPr="002D325A">
        <w:rPr>
          <w:rFonts w:ascii="Arial" w:hAnsi="Arial" w:cs="Arial"/>
          <w:lang w:val="en-GB"/>
        </w:rPr>
        <w:t xml:space="preserve"> is important to calculate the percentages of each class using the</w:t>
      </w:r>
      <w:r w:rsidRPr="002D325A">
        <w:rPr>
          <w:rFonts w:ascii="Arial" w:hAnsi="Arial" w:cs="Arial"/>
          <w:b/>
          <w:bCs/>
          <w:lang w:val="en-GB"/>
        </w:rPr>
        <w:t xml:space="preserve"> </w:t>
      </w:r>
      <w:r w:rsidRPr="002D325A">
        <w:rPr>
          <w:rFonts w:ascii="Arial" w:hAnsi="Arial" w:cs="Arial"/>
          <w:lang w:val="en-GB"/>
        </w:rPr>
        <w:t>Top-Class Percentage (TCP) formula.</w:t>
      </w:r>
    </w:p>
    <w:p w14:paraId="2BAF3B82" w14:textId="77777777" w:rsidR="00941379" w:rsidRPr="002D325A" w:rsidRDefault="00941379" w:rsidP="00941379">
      <w:pPr>
        <w:spacing w:before="80" w:after="80" w:line="276" w:lineRule="auto"/>
        <w:jc w:val="both"/>
        <w:rPr>
          <w:rFonts w:ascii="Arial" w:hAnsi="Arial" w:cs="Arial"/>
          <w:lang w:val="en-GB"/>
        </w:rPr>
      </w:pPr>
      <m:oMath>
        <m:r>
          <w:rPr>
            <w:rFonts w:ascii="Cambria Math" w:hAnsi="Cambria Math" w:cs="Arial"/>
            <w:lang w:val="en-GB"/>
          </w:rPr>
          <m:t>TCP=</m:t>
        </m:r>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dense</m:t>
            </m:r>
          </m:sub>
        </m:sSub>
      </m:oMath>
      <w:r w:rsidRPr="002D325A">
        <w:rPr>
          <w:rFonts w:ascii="Arial" w:hAnsi="Arial" w:cs="Arial"/>
          <w:lang w:val="en-GB"/>
        </w:rPr>
        <w:t xml:space="preserve"> (percentage of area in the densest class). </w:t>
      </w:r>
    </w:p>
    <w:p w14:paraId="7C8AB6A6" w14:textId="77777777" w:rsidR="00941379" w:rsidRPr="002D325A" w:rsidRDefault="00941379" w:rsidP="00941379">
      <w:pPr>
        <w:spacing w:before="80" w:after="80" w:line="276" w:lineRule="auto"/>
        <w:jc w:val="both"/>
        <w:rPr>
          <w:rFonts w:ascii="Arial" w:hAnsi="Arial" w:cs="Arial"/>
          <w:lang w:val="en-GB"/>
        </w:rPr>
      </w:pPr>
      <w:r w:rsidRPr="002D325A">
        <w:rPr>
          <w:rFonts w:ascii="Arial" w:hAnsi="Arial" w:cs="Arial"/>
          <w:lang w:val="en-GB"/>
        </w:rPr>
        <w:t xml:space="preserve">A higher TCP means more area at the highest greenness threshold. For example, let </w:t>
      </w:r>
      <m:oMath>
        <m:r>
          <w:rPr>
            <w:rFonts w:ascii="Cambria Math" w:hAnsi="Cambria Math" w:cs="Arial"/>
            <w:lang w:val="en-GB"/>
          </w:rPr>
          <m:t>NDV</m:t>
        </m:r>
        <m:sSub>
          <m:sSubPr>
            <m:ctrlPr>
              <w:rPr>
                <w:rFonts w:ascii="Cambria Math" w:hAnsi="Cambria Math" w:cs="Arial"/>
                <w:i/>
                <w:lang w:val="en-GB"/>
              </w:rPr>
            </m:ctrlPr>
          </m:sSubPr>
          <m:e>
            <m:r>
              <w:rPr>
                <w:rFonts w:ascii="Cambria Math" w:hAnsi="Cambria Math" w:cs="Arial"/>
                <w:lang w:val="en-GB"/>
              </w:rPr>
              <m:t>I</m:t>
            </m:r>
          </m:e>
          <m:sub>
            <m:d>
              <m:dPr>
                <m:ctrlPr>
                  <w:rPr>
                    <w:rFonts w:ascii="Cambria Math" w:hAnsi="Cambria Math" w:cs="Arial"/>
                    <w:i/>
                    <w:lang w:val="en-GB"/>
                  </w:rPr>
                </m:ctrlPr>
              </m:dPr>
              <m:e>
                <m:r>
                  <w:rPr>
                    <w:rFonts w:ascii="Cambria Math" w:hAnsi="Cambria Math" w:cs="Arial"/>
                    <w:lang w:val="en-GB"/>
                  </w:rPr>
                  <m:t>1</m:t>
                </m:r>
              </m:e>
            </m:d>
          </m:sub>
        </m:sSub>
        <m:r>
          <m:rPr>
            <m:sty m:val="p"/>
          </m:rPr>
          <w:rPr>
            <w:rFonts w:ascii="Cambria Math" w:hAnsi="Cambria Math" w:cs="Arial"/>
            <w:lang w:val="en-GB"/>
          </w:rPr>
          <m:t>≥</m:t>
        </m:r>
        <m:r>
          <w:rPr>
            <w:rFonts w:ascii="Cambria Math" w:hAnsi="Cambria Math" w:cs="Arial"/>
            <w:lang w:val="en-GB"/>
          </w:rPr>
          <m:t>NDV</m:t>
        </m:r>
        <m:sSub>
          <m:sSubPr>
            <m:ctrlPr>
              <w:rPr>
                <w:rFonts w:ascii="Cambria Math" w:hAnsi="Cambria Math" w:cs="Arial"/>
                <w:i/>
                <w:lang w:val="en-GB"/>
              </w:rPr>
            </m:ctrlPr>
          </m:sSubPr>
          <m:e>
            <m:r>
              <w:rPr>
                <w:rFonts w:ascii="Cambria Math" w:hAnsi="Cambria Math" w:cs="Arial"/>
                <w:lang w:val="en-GB"/>
              </w:rPr>
              <m:t>I</m:t>
            </m:r>
          </m:e>
          <m:sub>
            <m:d>
              <m:dPr>
                <m:ctrlPr>
                  <w:rPr>
                    <w:rFonts w:ascii="Cambria Math" w:hAnsi="Cambria Math" w:cs="Arial"/>
                    <w:i/>
                    <w:lang w:val="en-GB"/>
                  </w:rPr>
                </m:ctrlPr>
              </m:dPr>
              <m:e>
                <m:r>
                  <w:rPr>
                    <w:rFonts w:ascii="Cambria Math" w:hAnsi="Cambria Math" w:cs="Arial"/>
                    <w:lang w:val="en-GB"/>
                  </w:rPr>
                  <m:t>2</m:t>
                </m:r>
              </m:e>
            </m:d>
          </m:sub>
        </m:sSub>
        <m:r>
          <m:rPr>
            <m:sty m:val="p"/>
          </m:rPr>
          <w:rPr>
            <w:rFonts w:ascii="Cambria Math" w:hAnsi="Cambria Math" w:cs="Arial"/>
            <w:lang w:val="en-GB"/>
          </w:rPr>
          <m:t>≥…≥</m:t>
        </m:r>
        <m:r>
          <w:rPr>
            <w:rFonts w:ascii="Cambria Math" w:hAnsi="Cambria Math" w:cs="Arial"/>
            <w:lang w:val="en-GB"/>
          </w:rPr>
          <m:t>NDV</m:t>
        </m:r>
        <m:sSub>
          <m:sSubPr>
            <m:ctrlPr>
              <w:rPr>
                <w:rFonts w:ascii="Cambria Math" w:hAnsi="Cambria Math" w:cs="Arial"/>
                <w:i/>
                <w:lang w:val="en-GB"/>
              </w:rPr>
            </m:ctrlPr>
          </m:sSubPr>
          <m:e>
            <m:r>
              <w:rPr>
                <w:rFonts w:ascii="Cambria Math" w:hAnsi="Cambria Math" w:cs="Arial"/>
                <w:lang w:val="en-GB"/>
              </w:rPr>
              <m:t>I</m:t>
            </m:r>
          </m:e>
          <m:sub>
            <m:d>
              <m:dPr>
                <m:ctrlPr>
                  <w:rPr>
                    <w:rFonts w:ascii="Cambria Math" w:hAnsi="Cambria Math" w:cs="Arial"/>
                    <w:i/>
                    <w:lang w:val="en-GB"/>
                  </w:rPr>
                </m:ctrlPr>
              </m:dPr>
              <m:e>
                <m:r>
                  <w:rPr>
                    <w:rFonts w:ascii="Cambria Math" w:hAnsi="Cambria Math" w:cs="Arial"/>
                    <w:lang w:val="en-GB"/>
                  </w:rPr>
                  <m:t>n</m:t>
                </m:r>
              </m:e>
            </m:d>
          </m:sub>
        </m:sSub>
      </m:oMath>
      <w:r w:rsidRPr="002D325A">
        <w:rPr>
          <w:rFonts w:ascii="Arial" w:hAnsi="Arial" w:cs="Arial"/>
          <w:lang w:val="en-GB"/>
        </w:rPr>
        <w:t xml:space="preserve"> The NDVI values are sorted in descending order over the area of interest. </w:t>
      </w:r>
    </w:p>
    <w:p w14:paraId="708E08FF" w14:textId="6365B6D3" w:rsidR="00941379" w:rsidRPr="002D325A" w:rsidRDefault="003F2F53" w:rsidP="00941379">
      <w:pPr>
        <w:spacing w:before="80" w:after="80" w:line="276" w:lineRule="auto"/>
        <w:jc w:val="both"/>
        <w:rPr>
          <w:rFonts w:ascii="Arial" w:hAnsi="Arial" w:cs="Arial"/>
          <w:lang w:val="en-GB"/>
        </w:rPr>
      </w:pPr>
      <m:oMathPara>
        <m:oMath>
          <m:m>
            <m:mPr>
              <m:plcHide m:val="1"/>
              <m:mcs>
                <m:mc>
                  <m:mcPr>
                    <m:count m:val="4"/>
                    <m:mcJc m:val="center"/>
                  </m:mcPr>
                </m:mc>
              </m:mcs>
              <m:ctrlPr>
                <w:rPr>
                  <w:rFonts w:ascii="Cambria Math" w:hAnsi="Cambria Math" w:cs="Arial"/>
                  <w:lang w:val="en-GB"/>
                </w:rPr>
              </m:ctrlPr>
            </m:mPr>
            <m:mr>
              <m:e/>
              <m:e>
                <m:r>
                  <m:rPr>
                    <m:sty m:val="p"/>
                  </m:rP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p</m:t>
                    </m:r>
                  </m:sub>
                </m:sSub>
                <m:r>
                  <m:rPr>
                    <m:sty m:val="p"/>
                  </m:rPr>
                  <w:rPr>
                    <w:rFonts w:ascii="Cambria Math" w:hAnsi="Cambria Math" w:cs="Arial"/>
                    <w:lang w:val="en-GB"/>
                  </w:rPr>
                  <m:t>=</m:t>
                </m:r>
                <m:f>
                  <m:fPr>
                    <m:ctrlPr>
                      <w:rPr>
                        <w:rFonts w:ascii="Cambria Math" w:hAnsi="Cambria Math" w:cs="Arial"/>
                        <w:lang w:val="en-GB"/>
                      </w:rPr>
                    </m:ctrlPr>
                  </m:fPr>
                  <m:num>
                    <m:r>
                      <m:rPr>
                        <m:sty m:val="p"/>
                      </m:rPr>
                      <w:rPr>
                        <w:rFonts w:ascii="Cambria Math" w:hAnsi="Cambria Math" w:cs="Arial"/>
                        <w:lang w:val="en-GB"/>
                      </w:rPr>
                      <m:t>1</m:t>
                    </m:r>
                  </m:num>
                  <m:den>
                    <m:sSub>
                      <m:sSubPr>
                        <m:ctrlPr>
                          <w:rPr>
                            <w:rFonts w:ascii="Cambria Math" w:hAnsi="Cambria Math" w:cs="Arial"/>
                            <w:lang w:val="en-GB"/>
                          </w:rPr>
                        </m:ctrlPr>
                      </m:sSubPr>
                      <m:e>
                        <m:r>
                          <m:rPr>
                            <m:sty m:val="p"/>
                          </m:rPr>
                          <w:rPr>
                            <w:rFonts w:ascii="Cambria Math" w:hAnsi="Cambria Math" w:cs="Arial"/>
                            <w:lang w:val="en-GB"/>
                          </w:rPr>
                          <m:t>n</m:t>
                        </m:r>
                      </m:e>
                      <m:sub>
                        <m:r>
                          <m:rPr>
                            <m:sty m:val="p"/>
                          </m:rPr>
                          <w:rPr>
                            <w:rFonts w:ascii="Cambria Math" w:hAnsi="Cambria Math" w:cs="Arial"/>
                            <w:lang w:val="en-GB"/>
                          </w:rPr>
                          <m:t>p</m:t>
                        </m:r>
                      </m:sub>
                    </m:sSub>
                  </m:den>
                </m:f>
                <m:nary>
                  <m:naryPr>
                    <m:chr m:val="∑"/>
                    <m:limLoc m:val="undOvr"/>
                    <m:grow m:val="1"/>
                    <m:ctrlPr>
                      <w:rPr>
                        <w:rFonts w:ascii="Cambria Math" w:hAnsi="Cambria Math" w:cs="Arial"/>
                        <w:lang w:val="en-GB"/>
                      </w:rPr>
                    </m:ctrlPr>
                  </m:naryPr>
                  <m:sub>
                    <m:r>
                      <m:rPr>
                        <m:sty m:val="p"/>
                      </m:rPr>
                      <w:rPr>
                        <w:rFonts w:ascii="Cambria Math" w:hAnsi="Cambria Math" w:cs="Arial"/>
                        <w:lang w:val="en-GB"/>
                      </w:rPr>
                      <m:t>j=1</m:t>
                    </m:r>
                  </m:sub>
                  <m:sup>
                    <m:sSub>
                      <m:sSubPr>
                        <m:ctrlPr>
                          <w:rPr>
                            <w:rFonts w:ascii="Cambria Math" w:hAnsi="Cambria Math" w:cs="Arial"/>
                            <w:lang w:val="en-GB"/>
                          </w:rPr>
                        </m:ctrlPr>
                      </m:sSubPr>
                      <m:e>
                        <m:r>
                          <m:rPr>
                            <m:sty m:val="p"/>
                          </m:rPr>
                          <w:rPr>
                            <w:rFonts w:ascii="Cambria Math" w:hAnsi="Cambria Math" w:cs="Arial"/>
                            <w:lang w:val="en-GB"/>
                          </w:rPr>
                          <m:t>n</m:t>
                        </m:r>
                      </m:e>
                      <m:sub>
                        <m:r>
                          <m:rPr>
                            <m:sty m:val="p"/>
                          </m:rPr>
                          <w:rPr>
                            <w:rFonts w:ascii="Cambria Math" w:hAnsi="Cambria Math" w:cs="Arial"/>
                            <w:lang w:val="en-GB"/>
                          </w:rPr>
                          <m:t>p</m:t>
                        </m:r>
                      </m:sub>
                    </m:sSub>
                  </m:sup>
                  <m:e>
                    <m:r>
                      <m:rPr>
                        <m:sty m:val="p"/>
                      </m:rPr>
                      <w:rPr>
                        <w:rFonts w:ascii="Cambria Math" w:hAnsi="Cambria Math" w:cs="Arial"/>
                        <w:lang w:val="en-GB"/>
                      </w:rPr>
                      <m:t xml:space="preserve"> </m:t>
                    </m:r>
                  </m:e>
                </m:nary>
                <m:r>
                  <m:rPr>
                    <m:sty m:val="p"/>
                  </m:rPr>
                  <w:rPr>
                    <w:rFonts w:ascii="Cambria Math" w:hAnsi="Cambria Math" w:cs="Arial"/>
                    <w:lang w:val="en-GB"/>
                  </w:rPr>
                  <m:t>NDV</m:t>
                </m:r>
                <m:sSub>
                  <m:sSubPr>
                    <m:ctrlPr>
                      <w:rPr>
                        <w:rFonts w:ascii="Cambria Math" w:hAnsi="Cambria Math" w:cs="Arial"/>
                        <w:lang w:val="en-GB"/>
                      </w:rPr>
                    </m:ctrlPr>
                  </m:sSubPr>
                  <m:e>
                    <m:r>
                      <m:rPr>
                        <m:sty m:val="p"/>
                      </m:rPr>
                      <w:rPr>
                        <w:rFonts w:ascii="Cambria Math" w:hAnsi="Cambria Math" w:cs="Arial"/>
                        <w:lang w:val="en-GB"/>
                      </w:rPr>
                      <m:t>I</m:t>
                    </m:r>
                  </m:e>
                  <m:sub>
                    <m:d>
                      <m:dPr>
                        <m:ctrlPr>
                          <w:rPr>
                            <w:rFonts w:ascii="Cambria Math" w:hAnsi="Cambria Math" w:cs="Arial"/>
                            <w:lang w:val="en-GB"/>
                          </w:rPr>
                        </m:ctrlPr>
                      </m:dPr>
                      <m:e>
                        <m:r>
                          <m:rPr>
                            <m:sty m:val="p"/>
                          </m:rPr>
                          <w:rPr>
                            <w:rFonts w:ascii="Cambria Math" w:hAnsi="Cambria Math" w:cs="Arial"/>
                            <w:lang w:val="en-GB"/>
                          </w:rPr>
                          <m:t>j</m:t>
                        </m:r>
                      </m:e>
                    </m:d>
                  </m:sub>
                </m:sSub>
                <m:r>
                  <m:rPr>
                    <m:sty m:val="p"/>
                  </m:rPr>
                  <w:rPr>
                    <w:rFonts w:ascii="Cambria Math" w:hAnsi="Cambria Math" w:cs="Arial"/>
                    <w:lang w:val="en-GB"/>
                  </w:rPr>
                  <m:t>,</m:t>
                </m:r>
                <m:sSub>
                  <m:sSubPr>
                    <m:ctrlPr>
                      <w:rPr>
                        <w:rFonts w:ascii="Cambria Math" w:hAnsi="Cambria Math" w:cs="Arial"/>
                        <w:lang w:val="en-GB"/>
                      </w:rPr>
                    </m:ctrlPr>
                  </m:sSubPr>
                  <m:e>
                    <m:r>
                      <m:rPr>
                        <m:sty m:val="p"/>
                      </m:rPr>
                      <w:rPr>
                        <w:rFonts w:ascii="Cambria Math" w:hAnsi="Cambria Math" w:cs="Arial"/>
                        <w:lang w:val="en-GB"/>
                      </w:rPr>
                      <m:t>n</m:t>
                    </m:r>
                  </m:e>
                  <m:sub>
                    <m:r>
                      <m:rPr>
                        <m:sty m:val="p"/>
                      </m:rPr>
                      <w:rPr>
                        <w:rFonts w:ascii="Cambria Math" w:hAnsi="Cambria Math" w:cs="Arial"/>
                        <w:lang w:val="en-GB"/>
                      </w:rPr>
                      <m:t>p</m:t>
                    </m:r>
                  </m:sub>
                </m:sSub>
                <m:r>
                  <m:rPr>
                    <m:sty m:val="p"/>
                  </m:rPr>
                  <w:rPr>
                    <w:rFonts w:ascii="Cambria Math" w:hAnsi="Cambria Math" w:cs="Arial"/>
                    <w:lang w:val="en-GB"/>
                  </w:rPr>
                  <m:t>=</m:t>
                </m:r>
                <m:d>
                  <m:dPr>
                    <m:begChr m:val="⌈"/>
                    <m:endChr m:val="⌉"/>
                    <m:ctrlPr>
                      <w:rPr>
                        <w:rFonts w:ascii="Cambria Math" w:hAnsi="Cambria Math" w:cs="Arial"/>
                        <w:lang w:val="en-GB"/>
                      </w:rPr>
                    </m:ctrlPr>
                  </m:dPr>
                  <m:e>
                    <m:r>
                      <m:rPr>
                        <m:sty m:val="p"/>
                      </m:rPr>
                      <w:rPr>
                        <w:rFonts w:ascii="Cambria Math" w:hAnsi="Cambria Math" w:cs="Arial"/>
                        <w:lang w:val="en-GB"/>
                      </w:rPr>
                      <m:t>p</m:t>
                    </m:r>
                    <m:r>
                      <m:rPr>
                        <m:nor/>
                      </m:rPr>
                      <w:rPr>
                        <w:rFonts w:ascii="Arial" w:hAnsi="Arial" w:cs="Arial"/>
                        <w:lang w:val="en-GB"/>
                      </w:rPr>
                      <m:t> </m:t>
                    </m:r>
                    <m:r>
                      <m:rPr>
                        <m:sty m:val="p"/>
                      </m:rPr>
                      <w:rPr>
                        <w:rFonts w:ascii="Cambria Math" w:hAnsi="Cambria Math" w:cs="Arial"/>
                        <w:lang w:val="en-GB"/>
                      </w:rPr>
                      <m:t>n</m:t>
                    </m:r>
                    <m:r>
                      <m:rPr>
                        <m:lit/>
                        <m:sty m:val="p"/>
                      </m:rPr>
                      <w:rPr>
                        <w:rFonts w:ascii="Cambria Math" w:hAnsi="Cambria Math" w:cs="Arial"/>
                        <w:lang w:val="en-GB"/>
                      </w:rPr>
                      <m:t>/</m:t>
                    </m:r>
                    <m:r>
                      <m:rPr>
                        <m:sty m:val="p"/>
                      </m:rPr>
                      <w:rPr>
                        <w:rFonts w:ascii="Cambria Math" w:hAnsi="Cambria Math" w:cs="Arial"/>
                        <w:lang w:val="en-GB"/>
                      </w:rPr>
                      <m:t>100</m:t>
                    </m:r>
                  </m:e>
                </m:d>
                <m:r>
                  <m:rPr>
                    <m:sty m:val="p"/>
                  </m:rPr>
                  <w:rPr>
                    <w:rFonts w:ascii="Cambria Math" w:hAnsi="Cambria Math" w:cs="Arial"/>
                    <w:lang w:val="en-GB"/>
                  </w:rPr>
                  <m:t>,</m:t>
                </m:r>
              </m:e>
              <m:e/>
              <m:e>
                <m:r>
                  <m:rPr>
                    <m:nor/>
                  </m:rPr>
                  <w:rPr>
                    <w:rFonts w:ascii="Arial" w:hAnsi="Arial" w:cs="Arial"/>
                    <w:lang w:val="en-GB"/>
                  </w:rPr>
                  <m:t>(3)</m:t>
                </m:r>
              </m:e>
            </m:mr>
          </m:m>
          <m:r>
            <m:rPr>
              <m:sty m:val="p"/>
            </m:rPr>
            <w:rPr>
              <w:rFonts w:ascii="Cambria Math" w:hAnsi="Cambria Math" w:cs="Arial"/>
              <w:lang w:val="en-GB"/>
            </w:rPr>
            <w:br/>
          </m:r>
        </m:oMath>
      </m:oMathPara>
      <w:r w:rsidR="00941379" w:rsidRPr="002D325A">
        <w:rPr>
          <w:rFonts w:ascii="Arial" w:hAnsi="Arial" w:cs="Arial"/>
          <w:lang w:val="en-GB"/>
        </w:rPr>
        <w:t xml:space="preserve">where </w:t>
      </w:r>
      <m:oMath>
        <m:r>
          <w:rPr>
            <w:rFonts w:ascii="Cambria Math" w:hAnsi="Cambria Math" w:cs="Arial"/>
            <w:lang w:val="en-GB"/>
          </w:rPr>
          <m:t>n</m:t>
        </m:r>
      </m:oMath>
      <w:r w:rsidR="00941379" w:rsidRPr="002D325A">
        <w:rPr>
          <w:rFonts w:ascii="Arial" w:hAnsi="Arial" w:cs="Arial"/>
          <w:lang w:val="en-GB"/>
        </w:rPr>
        <w:t xml:space="preserve"> is the total number of pixels is</w:t>
      </w:r>
      <w:proofErr w:type="gramStart"/>
      <w:r w:rsidR="00941379" w:rsidRPr="002D325A">
        <w:rPr>
          <w:rFonts w:ascii="Arial" w:hAnsi="Arial" w:cs="Arial"/>
          <w:lang w:val="en-GB"/>
        </w:rPr>
        <w:t>, ,</w:t>
      </w:r>
      <w:proofErr w:type="gramEnd"/>
      <w:r w:rsidR="00941379" w:rsidRPr="002D325A">
        <w:rPr>
          <w:rFonts w:ascii="Arial" w:hAnsi="Arial" w:cs="Arial"/>
          <w:lang w:val="en-GB"/>
        </w:rPr>
        <w:t xml:space="preserve"> </w:t>
      </w:r>
      <m:oMath>
        <m:r>
          <w:rPr>
            <w:rFonts w:ascii="Cambria Math" w:hAnsi="Cambria Math" w:cs="Arial"/>
            <w:lang w:val="en-GB"/>
          </w:rPr>
          <m:t>p=%</m:t>
        </m:r>
      </m:oMath>
      <w:r w:rsidR="00941379" w:rsidRPr="002D325A">
        <w:rPr>
          <w:rFonts w:ascii="Arial" w:hAnsi="Arial" w:cs="Arial"/>
          <w:lang w:val="en-GB"/>
        </w:rPr>
        <w:t xml:space="preserve"> of NDVI pixels. This directly measures the greenness of the very top fraction of the area. Like mean NDVI, it is a single index (on the NDVI scale) but restricted to high values. We consider </w:t>
      </w:r>
      <m:oMath>
        <m:r>
          <w:rPr>
            <w:rFonts w:ascii="Cambria Math" w:hAnsi="Cambria Math" w:cs="Arial"/>
            <w:lang w:val="en-GB"/>
          </w:rPr>
          <m:t>G</m:t>
        </m:r>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lang w:val="en-GB"/>
              </w:rPr>
              <m:t>p</m:t>
            </m:r>
          </m:sub>
        </m:sSub>
      </m:oMath>
      <w:r w:rsidR="00941379" w:rsidRPr="002D325A">
        <w:rPr>
          <w:rFonts w:ascii="Arial" w:hAnsi="Arial" w:cs="Arial"/>
          <w:lang w:val="en-GB"/>
        </w:rPr>
        <w:t xml:space="preserve"> mainly as a descriptive indicator; in practice, to obtain a comprehensive characterization of vegetation patterns, TCP is combined with the Weighted </w:t>
      </w:r>
      <w:r w:rsidR="00B57753">
        <w:rPr>
          <w:rFonts w:ascii="Arial" w:hAnsi="Arial" w:cs="Arial"/>
          <w:lang w:val="en-GB"/>
        </w:rPr>
        <w:t>Greenness</w:t>
      </w:r>
      <w:r w:rsidR="00941379" w:rsidRPr="002D325A">
        <w:rPr>
          <w:rFonts w:ascii="Arial" w:hAnsi="Arial" w:cs="Arial"/>
          <w:lang w:val="en-GB"/>
        </w:rPr>
        <w:t xml:space="preserve"> Score </w:t>
      </w:r>
      <m:oMath>
        <m: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w</m:t>
            </m:r>
          </m:sub>
        </m:sSub>
      </m:oMath>
      <w:r w:rsidR="00941379" w:rsidRPr="002D325A">
        <w:rPr>
          <w:rFonts w:ascii="Arial" w:hAnsi="Arial" w:cs="Arial"/>
          <w:lang w:val="en-GB"/>
        </w:rPr>
        <w:t xml:space="preserve">  or other GS metrics. While </w:t>
      </w:r>
      <m:oMath>
        <m:r>
          <w:rPr>
            <w:rFonts w:ascii="Cambria Math" w:hAnsi="Cambria Math" w:cs="Arial"/>
            <w:lang w:val="en-GB"/>
          </w:rPr>
          <m:t>G</m:t>
        </m:r>
        <m:sSub>
          <m:sSubPr>
            <m:ctrlPr>
              <w:rPr>
                <w:rFonts w:ascii="Cambria Math" w:hAnsi="Cambria Math" w:cs="Arial"/>
                <w:lang w:val="en-GB"/>
              </w:rPr>
            </m:ctrlPr>
          </m:sSubPr>
          <m:e>
            <m:r>
              <m:rPr>
                <m:sty m:val="p"/>
              </m:rPr>
              <w:rPr>
                <w:rFonts w:ascii="Cambria Math" w:hAnsi="Cambria Math" w:cs="Arial"/>
                <w:lang w:val="en-GB"/>
              </w:rPr>
              <m:t>S</m:t>
            </m:r>
          </m:e>
          <m:sub>
            <m:r>
              <m:rPr>
                <m:sty m:val="p"/>
              </m:rPr>
              <w:rPr>
                <w:rFonts w:ascii="Cambria Math" w:hAnsi="Cambria Math" w:cs="Arial"/>
                <w:lang w:val="en-GB"/>
              </w:rPr>
              <m:t>w</m:t>
            </m:r>
          </m:sub>
        </m:sSub>
      </m:oMath>
      <w:r w:rsidR="00941379" w:rsidRPr="002D325A">
        <w:rPr>
          <w:rFonts w:ascii="Arial" w:hAnsi="Arial" w:cs="Arial"/>
          <w:lang w:val="en-GB"/>
        </w:rPr>
        <w:t xml:space="preserve"> captures the overall distribution of greenness across all classes, TCP emphasizes the dominance of the classes using the percentage of distribution of the classes of vegetation. </w:t>
      </w:r>
    </w:p>
    <w:p w14:paraId="53D3DB5B" w14:textId="77777777" w:rsidR="00A03B96" w:rsidRPr="002D325A" w:rsidRDefault="00A03B96" w:rsidP="00441B6F">
      <w:pPr>
        <w:pStyle w:val="Body"/>
        <w:spacing w:after="0"/>
        <w:rPr>
          <w:rFonts w:ascii="Arial" w:hAnsi="Arial" w:cs="Arial"/>
          <w:lang w:val="en-GB"/>
        </w:rPr>
      </w:pPr>
    </w:p>
    <w:p w14:paraId="0B384305" w14:textId="77777777" w:rsidR="00902823" w:rsidRPr="002D325A" w:rsidRDefault="00000F8F" w:rsidP="00441B6F">
      <w:pPr>
        <w:pStyle w:val="Head1"/>
        <w:spacing w:after="0"/>
        <w:jc w:val="both"/>
        <w:rPr>
          <w:rFonts w:ascii="Arial" w:hAnsi="Arial" w:cs="Arial"/>
          <w:sz w:val="20"/>
        </w:rPr>
      </w:pPr>
      <w:r w:rsidRPr="002D325A">
        <w:rPr>
          <w:rFonts w:ascii="Arial" w:hAnsi="Arial" w:cs="Arial"/>
          <w:sz w:val="20"/>
        </w:rPr>
        <w:lastRenderedPageBreak/>
        <w:t>3</w:t>
      </w:r>
      <w:r w:rsidR="00902823" w:rsidRPr="002D325A">
        <w:rPr>
          <w:rFonts w:ascii="Arial" w:hAnsi="Arial" w:cs="Arial"/>
          <w:sz w:val="20"/>
        </w:rPr>
        <w:t xml:space="preserve">. </w:t>
      </w:r>
      <w:r w:rsidRPr="002D325A">
        <w:rPr>
          <w:rFonts w:ascii="Arial" w:hAnsi="Arial" w:cs="Arial"/>
          <w:sz w:val="20"/>
        </w:rPr>
        <w:t>results and discussion</w:t>
      </w:r>
    </w:p>
    <w:p w14:paraId="3B77521F" w14:textId="77777777" w:rsidR="00BB7517" w:rsidRPr="002D325A" w:rsidRDefault="00BB7517" w:rsidP="00BB7517">
      <w:pPr>
        <w:pStyle w:val="Body"/>
        <w:rPr>
          <w:rFonts w:ascii="Arial" w:hAnsi="Arial" w:cs="Arial"/>
        </w:rPr>
      </w:pPr>
      <w:r w:rsidRPr="002D325A">
        <w:rPr>
          <w:rFonts w:ascii="Arial" w:hAnsi="Arial" w:cs="Arial"/>
        </w:rPr>
        <w:t>The NDVI analysis for 2015 and 2025 revealed notable spatial and temporal variations in vegetation greenness across the ten selected Nigerian cities. Descriptive statistics of NDVI values indicate differences in both the mean greenness and the distribution of vegetation across urban landscapes. To complement these statistics, the reclassification-based Greenness Score (GS) framework was applied, categorizing vegetation into standardized classes ranging from low to high greenness. The GS results highlight areas of increased vegetation, as well as regions experiencing a decline in greenness over the ten-year period, providing a comprehensive overview of urban vegetation dynamics across the study sites.</w:t>
      </w:r>
    </w:p>
    <w:p w14:paraId="00904FD6" w14:textId="77777777" w:rsidR="00BB7517" w:rsidRPr="002D325A" w:rsidRDefault="00BB7517" w:rsidP="00BB7517">
      <w:pPr>
        <w:pStyle w:val="Body"/>
        <w:rPr>
          <w:rFonts w:ascii="Arial" w:hAnsi="Arial" w:cs="Arial"/>
          <w:b/>
          <w:bCs/>
        </w:rPr>
      </w:pPr>
      <w:r w:rsidRPr="002D325A">
        <w:rPr>
          <w:rFonts w:ascii="Arial" w:hAnsi="Arial" w:cs="Arial"/>
          <w:b/>
          <w:bCs/>
        </w:rPr>
        <w:t>3.1 NDVI Classification (2015 and 2025)</w:t>
      </w:r>
    </w:p>
    <w:p w14:paraId="3B536FFA" w14:textId="77777777" w:rsidR="00BB7517" w:rsidRPr="002D325A" w:rsidRDefault="00BB7517" w:rsidP="00BB7517">
      <w:pPr>
        <w:pStyle w:val="Body"/>
        <w:rPr>
          <w:rFonts w:ascii="Arial" w:hAnsi="Arial" w:cs="Arial"/>
        </w:rPr>
      </w:pPr>
      <w:r w:rsidRPr="002D325A">
        <w:rPr>
          <w:rFonts w:ascii="Arial" w:hAnsi="Arial" w:cs="Arial"/>
        </w:rPr>
        <w:t>Figure 3 shows the NDVI map for 2015. The southern cities, particularly Ibadan (Fig. 3h), Enugu (Fig. 3c), and Owerri (Fig. 3e), are dominated by expansive continuous patches of moderate-to-dense vegetation. Ibadan exhibits a dense green core radiating outward. In contrast, the northern cities of Maiduguri (Fig. 3a), Kano (Fig. 3f), and Sokoto (Fig. 3j) are depicted predominantly as very little (0.0–0.1) to sparse (0.1–0.3) vegetation classes. Abuja (Fig. 3d) shows a mix of urban buildup and moderate greenness.</w:t>
      </w:r>
    </w:p>
    <w:p w14:paraId="0AFB9C3F" w14:textId="77777777" w:rsidR="00BB7517" w:rsidRPr="002D325A" w:rsidRDefault="00BB7517" w:rsidP="00BB7517">
      <w:pPr>
        <w:pStyle w:val="Body"/>
        <w:rPr>
          <w:rFonts w:ascii="Arial" w:hAnsi="Arial" w:cs="Arial"/>
        </w:rPr>
      </w:pPr>
      <w:r w:rsidRPr="002D325A">
        <w:rPr>
          <w:rFonts w:ascii="Arial" w:hAnsi="Arial" w:cs="Arial"/>
        </w:rPr>
        <w:t>Temporal shifts become visually apparent in 2025 (Figure 4). Ibadan (Fig. 4h) and Owerri (Fig. 4e) retain their deep green vegetative signatures, indicating the strength of the area's dense canopy. Abuja (Fig. 4d) shows a noticeable loss of thousands of hectares of moderate vegetation. On the other hand, Asaba (Fig. 4b).</w:t>
      </w:r>
    </w:p>
    <w:p w14:paraId="71A5D455" w14:textId="59B65C48" w:rsidR="00BB7517" w:rsidRPr="002D325A" w:rsidRDefault="00BB7517" w:rsidP="00BB7517">
      <w:pPr>
        <w:pStyle w:val="Body"/>
        <w:rPr>
          <w:rFonts w:ascii="Arial" w:hAnsi="Arial" w:cs="Arial"/>
        </w:rPr>
      </w:pPr>
      <w:r w:rsidRPr="002D325A">
        <w:rPr>
          <w:rFonts w:ascii="Arial" w:hAnsi="Arial" w:cs="Arial"/>
        </w:rPr>
        <w:t xml:space="preserve">  </w:t>
      </w:r>
      <w:r w:rsidR="0057168A" w:rsidRPr="002D325A">
        <w:rPr>
          <w:rFonts w:ascii="Arial" w:hAnsi="Arial" w:cs="Arial"/>
          <w:noProof/>
          <w:lang w:val="en-GB"/>
        </w:rPr>
        <w:drawing>
          <wp:inline distT="0" distB="0" distL="0" distR="0" wp14:anchorId="43FF0EF2" wp14:editId="1859144A">
            <wp:extent cx="5212080" cy="3445643"/>
            <wp:effectExtent l="19050" t="19050" r="7620" b="2540"/>
            <wp:docPr id="917762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445643"/>
                    </a:xfrm>
                    <a:prstGeom prst="rect">
                      <a:avLst/>
                    </a:prstGeom>
                    <a:noFill/>
                    <a:ln>
                      <a:solidFill>
                        <a:schemeClr val="tx1"/>
                      </a:solidFill>
                    </a:ln>
                  </pic:spPr>
                </pic:pic>
              </a:graphicData>
            </a:graphic>
          </wp:inline>
        </w:drawing>
      </w:r>
    </w:p>
    <w:p w14:paraId="01CFAA9B" w14:textId="7DB7C284" w:rsidR="00BB7517" w:rsidRPr="002D325A" w:rsidRDefault="00BB7517" w:rsidP="00BB7517">
      <w:pPr>
        <w:pStyle w:val="Body"/>
        <w:rPr>
          <w:rFonts w:ascii="Arial" w:hAnsi="Arial" w:cs="Arial"/>
        </w:rPr>
      </w:pPr>
      <w:r w:rsidRPr="002D325A">
        <w:rPr>
          <w:rFonts w:ascii="Arial" w:hAnsi="Arial" w:cs="Arial"/>
        </w:rPr>
        <w:t xml:space="preserve">Figure 3: NDVI </w:t>
      </w:r>
      <w:r w:rsidR="003A53FE">
        <w:rPr>
          <w:rFonts w:ascii="Arial" w:hAnsi="Arial" w:cs="Arial"/>
        </w:rPr>
        <w:t xml:space="preserve">Map </w:t>
      </w:r>
      <w:r w:rsidRPr="002D325A">
        <w:rPr>
          <w:rFonts w:ascii="Arial" w:hAnsi="Arial" w:cs="Arial"/>
        </w:rPr>
        <w:t>2015 for (a) Maiduguri, (b) Asaba, (b) Enugu, (d) Abuja, (e) Owerri, (f) Kano, (g) Ikeja, (h) Ibadan, (</w:t>
      </w:r>
      <w:proofErr w:type="spellStart"/>
      <w:r w:rsidRPr="002D325A">
        <w:rPr>
          <w:rFonts w:ascii="Arial" w:hAnsi="Arial" w:cs="Arial"/>
        </w:rPr>
        <w:t>i</w:t>
      </w:r>
      <w:proofErr w:type="spellEnd"/>
      <w:r w:rsidRPr="002D325A">
        <w:rPr>
          <w:rFonts w:ascii="Arial" w:hAnsi="Arial" w:cs="Arial"/>
        </w:rPr>
        <w:t xml:space="preserve">) </w:t>
      </w:r>
      <w:proofErr w:type="spellStart"/>
      <w:r w:rsidRPr="002D325A">
        <w:rPr>
          <w:rFonts w:ascii="Arial" w:hAnsi="Arial" w:cs="Arial"/>
        </w:rPr>
        <w:t>Uyo</w:t>
      </w:r>
      <w:proofErr w:type="spellEnd"/>
      <w:r w:rsidRPr="002D325A">
        <w:rPr>
          <w:rFonts w:ascii="Arial" w:hAnsi="Arial" w:cs="Arial"/>
        </w:rPr>
        <w:t>, (j) Sokoto</w:t>
      </w:r>
    </w:p>
    <w:p w14:paraId="16D0BB2D" w14:textId="77777777" w:rsidR="00BB7517" w:rsidRPr="002D325A" w:rsidRDefault="00BB7517" w:rsidP="00BB7517">
      <w:pPr>
        <w:pStyle w:val="Body"/>
        <w:rPr>
          <w:rFonts w:ascii="Arial" w:hAnsi="Arial" w:cs="Arial"/>
        </w:rPr>
      </w:pPr>
      <w:r w:rsidRPr="002D325A">
        <w:rPr>
          <w:rFonts w:ascii="Arial" w:hAnsi="Arial" w:cs="Arial"/>
        </w:rPr>
        <w:t xml:space="preserve"> </w:t>
      </w:r>
    </w:p>
    <w:p w14:paraId="7B05BC1D" w14:textId="77777777" w:rsidR="0057168A" w:rsidRPr="002D325A" w:rsidRDefault="0057168A" w:rsidP="00BB7517">
      <w:pPr>
        <w:pStyle w:val="Body"/>
        <w:rPr>
          <w:rFonts w:ascii="Arial" w:hAnsi="Arial" w:cs="Arial"/>
        </w:rPr>
      </w:pPr>
    </w:p>
    <w:p w14:paraId="159DF169" w14:textId="77777777" w:rsidR="0057168A" w:rsidRPr="002D325A" w:rsidRDefault="0057168A" w:rsidP="00BB7517">
      <w:pPr>
        <w:pStyle w:val="Body"/>
        <w:rPr>
          <w:rFonts w:ascii="Arial" w:hAnsi="Arial" w:cs="Arial"/>
        </w:rPr>
      </w:pPr>
    </w:p>
    <w:p w14:paraId="13E46344" w14:textId="77777777" w:rsidR="0057168A" w:rsidRPr="002D325A" w:rsidRDefault="0057168A" w:rsidP="00BB7517">
      <w:pPr>
        <w:pStyle w:val="Body"/>
        <w:rPr>
          <w:rFonts w:ascii="Arial" w:hAnsi="Arial" w:cs="Arial"/>
        </w:rPr>
      </w:pPr>
    </w:p>
    <w:p w14:paraId="74513B17" w14:textId="77777777" w:rsidR="0057168A" w:rsidRPr="002D325A" w:rsidRDefault="0057168A" w:rsidP="00BB7517">
      <w:pPr>
        <w:pStyle w:val="Body"/>
        <w:rPr>
          <w:rFonts w:ascii="Arial" w:hAnsi="Arial" w:cs="Arial"/>
        </w:rPr>
      </w:pPr>
    </w:p>
    <w:p w14:paraId="5DB983AF" w14:textId="1FF7E638" w:rsidR="0057168A" w:rsidRPr="002D325A" w:rsidRDefault="0057168A" w:rsidP="00BB7517">
      <w:pPr>
        <w:pStyle w:val="Body"/>
        <w:rPr>
          <w:rFonts w:ascii="Arial" w:hAnsi="Arial" w:cs="Arial"/>
        </w:rPr>
      </w:pPr>
      <w:r w:rsidRPr="002D325A">
        <w:rPr>
          <w:rFonts w:ascii="Arial" w:hAnsi="Arial" w:cs="Arial"/>
          <w:noProof/>
        </w:rPr>
        <w:lastRenderedPageBreak/>
        <w:drawing>
          <wp:inline distT="0" distB="0" distL="0" distR="0" wp14:anchorId="0447A36D" wp14:editId="1093FCE2">
            <wp:extent cx="5199910" cy="3378298"/>
            <wp:effectExtent l="19050" t="19050" r="20320" b="12700"/>
            <wp:docPr id="1228607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7435" cy="3383187"/>
                    </a:xfrm>
                    <a:prstGeom prst="rect">
                      <a:avLst/>
                    </a:prstGeom>
                    <a:noFill/>
                    <a:ln>
                      <a:solidFill>
                        <a:schemeClr val="tx1"/>
                      </a:solidFill>
                    </a:ln>
                  </pic:spPr>
                </pic:pic>
              </a:graphicData>
            </a:graphic>
          </wp:inline>
        </w:drawing>
      </w:r>
    </w:p>
    <w:p w14:paraId="60A97009" w14:textId="02646781" w:rsidR="00BB7517" w:rsidRPr="002D325A" w:rsidRDefault="00BB7517" w:rsidP="00BB7517">
      <w:pPr>
        <w:pStyle w:val="Body"/>
        <w:rPr>
          <w:rFonts w:ascii="Arial" w:hAnsi="Arial" w:cs="Arial"/>
        </w:rPr>
      </w:pPr>
      <w:r w:rsidRPr="002D325A">
        <w:rPr>
          <w:rFonts w:ascii="Arial" w:hAnsi="Arial" w:cs="Arial"/>
        </w:rPr>
        <w:t>Figure 4: NDVI</w:t>
      </w:r>
      <w:r w:rsidR="003A53FE">
        <w:rPr>
          <w:rFonts w:ascii="Arial" w:hAnsi="Arial" w:cs="Arial"/>
        </w:rPr>
        <w:t xml:space="preserve"> Map </w:t>
      </w:r>
      <w:r w:rsidRPr="002D325A">
        <w:rPr>
          <w:rFonts w:ascii="Arial" w:hAnsi="Arial" w:cs="Arial"/>
        </w:rPr>
        <w:t>2025 for (a) Maiduguri, (b) Asaba, (b) Enugu, (d) Abuja, (e) Owerri, (f) Kano, (g) Ikeja, (h) Ibadan, (</w:t>
      </w:r>
      <w:proofErr w:type="spellStart"/>
      <w:r w:rsidRPr="002D325A">
        <w:rPr>
          <w:rFonts w:ascii="Arial" w:hAnsi="Arial" w:cs="Arial"/>
        </w:rPr>
        <w:t>i</w:t>
      </w:r>
      <w:proofErr w:type="spellEnd"/>
      <w:r w:rsidRPr="002D325A">
        <w:rPr>
          <w:rFonts w:ascii="Arial" w:hAnsi="Arial" w:cs="Arial"/>
        </w:rPr>
        <w:t xml:space="preserve">) </w:t>
      </w:r>
      <w:proofErr w:type="spellStart"/>
      <w:r w:rsidRPr="002D325A">
        <w:rPr>
          <w:rFonts w:ascii="Arial" w:hAnsi="Arial" w:cs="Arial"/>
        </w:rPr>
        <w:t>Uyo</w:t>
      </w:r>
      <w:proofErr w:type="spellEnd"/>
      <w:r w:rsidRPr="002D325A">
        <w:rPr>
          <w:rFonts w:ascii="Arial" w:hAnsi="Arial" w:cs="Arial"/>
        </w:rPr>
        <w:t>, (j) Sokoto</w:t>
      </w:r>
    </w:p>
    <w:p w14:paraId="1902C9A5" w14:textId="77777777" w:rsidR="00BB7517" w:rsidRPr="002D325A" w:rsidRDefault="00BB7517" w:rsidP="00BB7517">
      <w:pPr>
        <w:pStyle w:val="Body"/>
        <w:rPr>
          <w:rFonts w:ascii="Arial" w:hAnsi="Arial" w:cs="Arial"/>
          <w:b/>
          <w:bCs/>
        </w:rPr>
      </w:pPr>
      <w:r w:rsidRPr="002D325A">
        <w:rPr>
          <w:rFonts w:ascii="Arial" w:hAnsi="Arial" w:cs="Arial"/>
          <w:b/>
          <w:bCs/>
        </w:rPr>
        <w:t>3.2 Traditional NDVI Statistics</w:t>
      </w:r>
    </w:p>
    <w:p w14:paraId="1AFE8D52" w14:textId="77777777" w:rsidR="00BB7517" w:rsidRPr="002D325A" w:rsidRDefault="00BB7517" w:rsidP="00BB7517">
      <w:pPr>
        <w:pStyle w:val="Body"/>
        <w:rPr>
          <w:rFonts w:ascii="Arial" w:hAnsi="Arial" w:cs="Arial"/>
        </w:rPr>
      </w:pPr>
      <w:r w:rsidRPr="002D325A">
        <w:rPr>
          <w:rFonts w:ascii="Arial" w:hAnsi="Arial" w:cs="Arial"/>
        </w:rPr>
        <w:t>In 2015, (Table 3) Ibadan and Owerri cities recorded the highest Mean NDVI values (0.57 and 0.53, respectively), indicating a high overall vegetation signal, while Kano and Maiduguri cities recorded the lowest Mean values (0.19 and 0.21, respectively), which is expected due to their arid or semi-arid climatic contexts. The Median NDVI for Ibadan (0.63) and Owerri (0.57) were particularly high, suggesting a relatively uniform distribution of moderate-to-dense vegetation across a large portion of the area. The maximum NDVI was 0.83 in both Ibadan and Enugu cities, confirming the presence of very dense, peak greenness vegetation patches in these regions. The highest degree of internal variability was indicated by the Standard Deviation (Std), which was highest in Asaba (0.19) and Ibadan (0.16), highlighting the high spatial heterogeneity and mixed land cover within these cities.</w:t>
      </w:r>
    </w:p>
    <w:p w14:paraId="3280361E" w14:textId="77777777" w:rsidR="00BB7517" w:rsidRPr="002D325A" w:rsidRDefault="00BB7517" w:rsidP="00BB7517">
      <w:pPr>
        <w:pStyle w:val="Body"/>
        <w:rPr>
          <w:rFonts w:ascii="Arial" w:hAnsi="Arial" w:cs="Arial"/>
        </w:rPr>
      </w:pPr>
      <w:r w:rsidRPr="002D325A">
        <w:rPr>
          <w:rFonts w:ascii="Arial" w:hAnsi="Arial" w:cs="Arial"/>
        </w:rPr>
        <w:t>Table 4, 2025 NDVI Statistics shows that Owerri recorded the highest Mean NDVI value (0.55), followed by Ibadan (0.43), suggesting that Owerri city retained the most vigorous overall greenness of the ten cities. The lowest Mean NDVI values were again observed in Kano (0.19) and Abuja (0.25), indicating persistent low vegetation cover and a significant decrease in the overall mean for Abuja compared to 2015. Imo also showed the highest Median NDVI at 0.57. The maximum NDVI reached 1.0 in Lagos and 0.99 in Owerri, demonstrating the presence of areas of maximum spectral saturation and peak greenness in these cities. Asaba (0.23) and Owerri (0.16) exhibited the highest Standard Deviation values.</w:t>
      </w:r>
    </w:p>
    <w:p w14:paraId="7BA8E0A1" w14:textId="6BBD3A50" w:rsidR="00BB7517" w:rsidRPr="002D325A" w:rsidRDefault="00BB7517" w:rsidP="00BB7517">
      <w:pPr>
        <w:pStyle w:val="Body"/>
        <w:rPr>
          <w:rFonts w:ascii="Arial" w:hAnsi="Arial" w:cs="Arial"/>
        </w:rPr>
      </w:pPr>
      <w:r w:rsidRPr="002D325A">
        <w:rPr>
          <w:rFonts w:ascii="Arial" w:hAnsi="Arial" w:cs="Arial"/>
        </w:rPr>
        <w:t xml:space="preserve">Importantly, summary statistics alone may obscure small patches of dense vegetation, reinforcing the need for complementary metrics such as GS </w:t>
      </w:r>
      <w:r w:rsidR="00F64E58" w:rsidRPr="00F64E58">
        <w:rPr>
          <w:rFonts w:ascii="Arial" w:hAnsi="Arial" w:cs="Arial"/>
        </w:rPr>
        <w:t>(Jiménez-Jiménez et al., 2022)</w:t>
      </w:r>
      <w:r w:rsidR="00F64E58">
        <w:rPr>
          <w:rFonts w:ascii="Arial" w:hAnsi="Arial" w:cs="Arial"/>
        </w:rPr>
        <w:t>.</w:t>
      </w:r>
    </w:p>
    <w:p w14:paraId="14A5BD45" w14:textId="77777777" w:rsidR="0057168A" w:rsidRPr="002D325A" w:rsidRDefault="0057168A" w:rsidP="00BB7517">
      <w:pPr>
        <w:pStyle w:val="Body"/>
        <w:rPr>
          <w:rFonts w:ascii="Arial" w:hAnsi="Arial" w:cs="Arial"/>
        </w:rPr>
      </w:pPr>
    </w:p>
    <w:p w14:paraId="18BE887C" w14:textId="5BC7A22F" w:rsidR="00BB7517" w:rsidRPr="002D325A" w:rsidRDefault="00BB7517" w:rsidP="00BB7517">
      <w:pPr>
        <w:pStyle w:val="Body"/>
        <w:rPr>
          <w:rFonts w:ascii="Arial" w:hAnsi="Arial" w:cs="Arial"/>
        </w:rPr>
      </w:pPr>
      <w:r w:rsidRPr="002D325A">
        <w:rPr>
          <w:rFonts w:ascii="Arial" w:hAnsi="Arial" w:cs="Arial"/>
        </w:rPr>
        <w:t>Table 3: 2015 NDVI Statistics</w:t>
      </w:r>
    </w:p>
    <w:tbl>
      <w:tblPr>
        <w:tblStyle w:val="TableGridLight"/>
        <w:tblW w:w="9067" w:type="dxa"/>
        <w:tblLook w:val="04A0" w:firstRow="1" w:lastRow="0" w:firstColumn="1" w:lastColumn="0" w:noHBand="0" w:noVBand="1"/>
      </w:tblPr>
      <w:tblGrid>
        <w:gridCol w:w="1835"/>
        <w:gridCol w:w="1727"/>
        <w:gridCol w:w="1620"/>
        <w:gridCol w:w="1295"/>
        <w:gridCol w:w="1295"/>
        <w:gridCol w:w="1295"/>
      </w:tblGrid>
      <w:tr w:rsidR="0057168A" w:rsidRPr="002D325A" w14:paraId="30D83CD7" w14:textId="77777777" w:rsidTr="00A97EB0">
        <w:trPr>
          <w:trHeight w:val="250"/>
        </w:trPr>
        <w:tc>
          <w:tcPr>
            <w:tcW w:w="1835" w:type="dxa"/>
            <w:noWrap/>
            <w:hideMark/>
          </w:tcPr>
          <w:p w14:paraId="3D07742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State</w:t>
            </w:r>
          </w:p>
        </w:tc>
        <w:tc>
          <w:tcPr>
            <w:tcW w:w="1727" w:type="dxa"/>
            <w:noWrap/>
            <w:hideMark/>
          </w:tcPr>
          <w:p w14:paraId="6200F65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Min</w:t>
            </w:r>
          </w:p>
        </w:tc>
        <w:tc>
          <w:tcPr>
            <w:tcW w:w="1620" w:type="dxa"/>
            <w:noWrap/>
            <w:hideMark/>
          </w:tcPr>
          <w:p w14:paraId="59F6EAC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Max</w:t>
            </w:r>
          </w:p>
        </w:tc>
        <w:tc>
          <w:tcPr>
            <w:tcW w:w="1295" w:type="dxa"/>
            <w:noWrap/>
            <w:hideMark/>
          </w:tcPr>
          <w:p w14:paraId="7098B9B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Mean</w:t>
            </w:r>
          </w:p>
        </w:tc>
        <w:tc>
          <w:tcPr>
            <w:tcW w:w="1295" w:type="dxa"/>
            <w:noWrap/>
            <w:hideMark/>
          </w:tcPr>
          <w:p w14:paraId="2E1985E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Std</w:t>
            </w:r>
          </w:p>
        </w:tc>
        <w:tc>
          <w:tcPr>
            <w:tcW w:w="1295" w:type="dxa"/>
            <w:noWrap/>
            <w:hideMark/>
          </w:tcPr>
          <w:p w14:paraId="2432183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Median</w:t>
            </w:r>
          </w:p>
        </w:tc>
      </w:tr>
      <w:tr w:rsidR="0057168A" w:rsidRPr="002D325A" w14:paraId="212A2AF4" w14:textId="77777777" w:rsidTr="00A97EB0">
        <w:trPr>
          <w:trHeight w:val="250"/>
        </w:trPr>
        <w:tc>
          <w:tcPr>
            <w:tcW w:w="1835" w:type="dxa"/>
            <w:noWrap/>
            <w:hideMark/>
          </w:tcPr>
          <w:p w14:paraId="72A2E0C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Maiduguri</w:t>
            </w:r>
          </w:p>
        </w:tc>
        <w:tc>
          <w:tcPr>
            <w:tcW w:w="1727" w:type="dxa"/>
            <w:noWrap/>
            <w:hideMark/>
          </w:tcPr>
          <w:p w14:paraId="6D9699A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-0.48</w:t>
            </w:r>
          </w:p>
        </w:tc>
        <w:tc>
          <w:tcPr>
            <w:tcW w:w="1620" w:type="dxa"/>
            <w:noWrap/>
            <w:hideMark/>
          </w:tcPr>
          <w:p w14:paraId="459231B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0.68</w:t>
            </w:r>
          </w:p>
        </w:tc>
        <w:tc>
          <w:tcPr>
            <w:tcW w:w="1295" w:type="dxa"/>
            <w:noWrap/>
            <w:hideMark/>
          </w:tcPr>
          <w:p w14:paraId="148A891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0.21</w:t>
            </w:r>
          </w:p>
        </w:tc>
        <w:tc>
          <w:tcPr>
            <w:tcW w:w="1295" w:type="dxa"/>
            <w:noWrap/>
            <w:hideMark/>
          </w:tcPr>
          <w:p w14:paraId="21BAB72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0.08</w:t>
            </w:r>
          </w:p>
        </w:tc>
        <w:tc>
          <w:tcPr>
            <w:tcW w:w="1295" w:type="dxa"/>
            <w:noWrap/>
            <w:hideMark/>
          </w:tcPr>
          <w:p w14:paraId="13117E6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0.20</w:t>
            </w:r>
          </w:p>
        </w:tc>
      </w:tr>
      <w:tr w:rsidR="0057168A" w:rsidRPr="002D325A" w14:paraId="279A9B20" w14:textId="77777777" w:rsidTr="00A97EB0">
        <w:trPr>
          <w:trHeight w:val="250"/>
        </w:trPr>
        <w:tc>
          <w:tcPr>
            <w:tcW w:w="1835" w:type="dxa"/>
            <w:noWrap/>
            <w:hideMark/>
          </w:tcPr>
          <w:p w14:paraId="69BE92B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Asaba</w:t>
            </w:r>
          </w:p>
        </w:tc>
        <w:tc>
          <w:tcPr>
            <w:tcW w:w="1727" w:type="dxa"/>
            <w:noWrap/>
            <w:hideMark/>
          </w:tcPr>
          <w:p w14:paraId="4F0EE8D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-0.21</w:t>
            </w:r>
          </w:p>
        </w:tc>
        <w:tc>
          <w:tcPr>
            <w:tcW w:w="1620" w:type="dxa"/>
            <w:noWrap/>
            <w:hideMark/>
          </w:tcPr>
          <w:p w14:paraId="0A077E1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0.67</w:t>
            </w:r>
          </w:p>
        </w:tc>
        <w:tc>
          <w:tcPr>
            <w:tcW w:w="1295" w:type="dxa"/>
            <w:noWrap/>
            <w:hideMark/>
          </w:tcPr>
          <w:p w14:paraId="5C7BEC4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0.41</w:t>
            </w:r>
          </w:p>
        </w:tc>
        <w:tc>
          <w:tcPr>
            <w:tcW w:w="1295" w:type="dxa"/>
            <w:noWrap/>
            <w:hideMark/>
          </w:tcPr>
          <w:p w14:paraId="1923352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0.19</w:t>
            </w:r>
          </w:p>
        </w:tc>
        <w:tc>
          <w:tcPr>
            <w:tcW w:w="1295" w:type="dxa"/>
            <w:noWrap/>
            <w:hideMark/>
          </w:tcPr>
          <w:p w14:paraId="76BC0F0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0.51</w:t>
            </w:r>
          </w:p>
        </w:tc>
      </w:tr>
      <w:tr w:rsidR="0057168A" w:rsidRPr="002D325A" w14:paraId="44AFBE80" w14:textId="77777777" w:rsidTr="00A97EB0">
        <w:trPr>
          <w:trHeight w:val="250"/>
        </w:trPr>
        <w:tc>
          <w:tcPr>
            <w:tcW w:w="1835" w:type="dxa"/>
            <w:noWrap/>
            <w:hideMark/>
          </w:tcPr>
          <w:p w14:paraId="713DEB0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Enugu</w:t>
            </w:r>
          </w:p>
        </w:tc>
        <w:tc>
          <w:tcPr>
            <w:tcW w:w="1727" w:type="dxa"/>
            <w:noWrap/>
            <w:hideMark/>
          </w:tcPr>
          <w:p w14:paraId="6F6E1B3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-0.09</w:t>
            </w:r>
          </w:p>
        </w:tc>
        <w:tc>
          <w:tcPr>
            <w:tcW w:w="1620" w:type="dxa"/>
            <w:noWrap/>
            <w:hideMark/>
          </w:tcPr>
          <w:p w14:paraId="6E163B1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0.83</w:t>
            </w:r>
          </w:p>
        </w:tc>
        <w:tc>
          <w:tcPr>
            <w:tcW w:w="1295" w:type="dxa"/>
            <w:noWrap/>
            <w:hideMark/>
          </w:tcPr>
          <w:p w14:paraId="65E5807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0.43</w:t>
            </w:r>
          </w:p>
        </w:tc>
        <w:tc>
          <w:tcPr>
            <w:tcW w:w="1295" w:type="dxa"/>
            <w:noWrap/>
            <w:hideMark/>
          </w:tcPr>
          <w:p w14:paraId="307DA44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295" w:type="dxa"/>
            <w:noWrap/>
            <w:hideMark/>
          </w:tcPr>
          <w:p w14:paraId="5F1506B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0.43</w:t>
            </w:r>
          </w:p>
        </w:tc>
      </w:tr>
      <w:tr w:rsidR="0057168A" w:rsidRPr="002D325A" w14:paraId="32D8C001" w14:textId="77777777" w:rsidTr="00A97EB0">
        <w:trPr>
          <w:trHeight w:val="250"/>
        </w:trPr>
        <w:tc>
          <w:tcPr>
            <w:tcW w:w="1835" w:type="dxa"/>
            <w:noWrap/>
            <w:hideMark/>
          </w:tcPr>
          <w:p w14:paraId="252BFF6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Abuja</w:t>
            </w:r>
          </w:p>
        </w:tc>
        <w:tc>
          <w:tcPr>
            <w:tcW w:w="1727" w:type="dxa"/>
            <w:noWrap/>
            <w:hideMark/>
          </w:tcPr>
          <w:p w14:paraId="23F2EB0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-0.23</w:t>
            </w:r>
          </w:p>
        </w:tc>
        <w:tc>
          <w:tcPr>
            <w:tcW w:w="1620" w:type="dxa"/>
            <w:noWrap/>
            <w:hideMark/>
          </w:tcPr>
          <w:p w14:paraId="392EB9F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0.77</w:t>
            </w:r>
          </w:p>
        </w:tc>
        <w:tc>
          <w:tcPr>
            <w:tcW w:w="1295" w:type="dxa"/>
            <w:noWrap/>
            <w:hideMark/>
          </w:tcPr>
          <w:p w14:paraId="50A022F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0.39</w:t>
            </w:r>
          </w:p>
        </w:tc>
        <w:tc>
          <w:tcPr>
            <w:tcW w:w="1295" w:type="dxa"/>
            <w:noWrap/>
            <w:hideMark/>
          </w:tcPr>
          <w:p w14:paraId="2A699A4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0.11</w:t>
            </w:r>
          </w:p>
        </w:tc>
        <w:tc>
          <w:tcPr>
            <w:tcW w:w="1295" w:type="dxa"/>
            <w:noWrap/>
            <w:hideMark/>
          </w:tcPr>
          <w:p w14:paraId="30511D2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0.39</w:t>
            </w:r>
          </w:p>
        </w:tc>
      </w:tr>
      <w:tr w:rsidR="0057168A" w:rsidRPr="002D325A" w14:paraId="04929D15" w14:textId="77777777" w:rsidTr="00A97EB0">
        <w:trPr>
          <w:trHeight w:val="250"/>
        </w:trPr>
        <w:tc>
          <w:tcPr>
            <w:tcW w:w="1835" w:type="dxa"/>
            <w:noWrap/>
            <w:hideMark/>
          </w:tcPr>
          <w:p w14:paraId="404AC7D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Owerri</w:t>
            </w:r>
          </w:p>
        </w:tc>
        <w:tc>
          <w:tcPr>
            <w:tcW w:w="1727" w:type="dxa"/>
            <w:noWrap/>
            <w:hideMark/>
          </w:tcPr>
          <w:p w14:paraId="0FE18F6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-0.23</w:t>
            </w:r>
          </w:p>
        </w:tc>
        <w:tc>
          <w:tcPr>
            <w:tcW w:w="1620" w:type="dxa"/>
            <w:noWrap/>
            <w:hideMark/>
          </w:tcPr>
          <w:p w14:paraId="5B460A8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0.75</w:t>
            </w:r>
          </w:p>
        </w:tc>
        <w:tc>
          <w:tcPr>
            <w:tcW w:w="1295" w:type="dxa"/>
            <w:noWrap/>
            <w:hideMark/>
          </w:tcPr>
          <w:p w14:paraId="290F914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0.53</w:t>
            </w:r>
          </w:p>
        </w:tc>
        <w:tc>
          <w:tcPr>
            <w:tcW w:w="1295" w:type="dxa"/>
            <w:noWrap/>
            <w:hideMark/>
          </w:tcPr>
          <w:p w14:paraId="5545F4C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295" w:type="dxa"/>
            <w:noWrap/>
            <w:hideMark/>
          </w:tcPr>
          <w:p w14:paraId="77CCBD9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0.57</w:t>
            </w:r>
          </w:p>
        </w:tc>
      </w:tr>
      <w:tr w:rsidR="0057168A" w:rsidRPr="002D325A" w14:paraId="28381097" w14:textId="77777777" w:rsidTr="00A97EB0">
        <w:trPr>
          <w:trHeight w:val="250"/>
        </w:trPr>
        <w:tc>
          <w:tcPr>
            <w:tcW w:w="1835" w:type="dxa"/>
            <w:noWrap/>
            <w:hideMark/>
          </w:tcPr>
          <w:p w14:paraId="07A0E3E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lastRenderedPageBreak/>
              <w:t>Kano</w:t>
            </w:r>
          </w:p>
        </w:tc>
        <w:tc>
          <w:tcPr>
            <w:tcW w:w="1727" w:type="dxa"/>
            <w:noWrap/>
            <w:hideMark/>
          </w:tcPr>
          <w:p w14:paraId="4253F46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-0.36</w:t>
            </w:r>
          </w:p>
        </w:tc>
        <w:tc>
          <w:tcPr>
            <w:tcW w:w="1620" w:type="dxa"/>
            <w:noWrap/>
            <w:hideMark/>
          </w:tcPr>
          <w:p w14:paraId="29D2F07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0.54</w:t>
            </w:r>
          </w:p>
        </w:tc>
        <w:tc>
          <w:tcPr>
            <w:tcW w:w="1295" w:type="dxa"/>
            <w:noWrap/>
            <w:hideMark/>
          </w:tcPr>
          <w:p w14:paraId="1C5F42F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0.19</w:t>
            </w:r>
          </w:p>
        </w:tc>
        <w:tc>
          <w:tcPr>
            <w:tcW w:w="1295" w:type="dxa"/>
            <w:noWrap/>
            <w:hideMark/>
          </w:tcPr>
          <w:p w14:paraId="0D99F49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0.06</w:t>
            </w:r>
          </w:p>
        </w:tc>
        <w:tc>
          <w:tcPr>
            <w:tcW w:w="1295" w:type="dxa"/>
            <w:noWrap/>
            <w:hideMark/>
          </w:tcPr>
          <w:p w14:paraId="664961C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0.20</w:t>
            </w:r>
          </w:p>
        </w:tc>
      </w:tr>
      <w:tr w:rsidR="0057168A" w:rsidRPr="002D325A" w14:paraId="5A96A76D" w14:textId="77777777" w:rsidTr="00A97EB0">
        <w:trPr>
          <w:trHeight w:val="250"/>
        </w:trPr>
        <w:tc>
          <w:tcPr>
            <w:tcW w:w="1835" w:type="dxa"/>
            <w:noWrap/>
            <w:hideMark/>
          </w:tcPr>
          <w:p w14:paraId="09E144C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Ikeja</w:t>
            </w:r>
          </w:p>
        </w:tc>
        <w:tc>
          <w:tcPr>
            <w:tcW w:w="1727" w:type="dxa"/>
            <w:noWrap/>
            <w:hideMark/>
          </w:tcPr>
          <w:p w14:paraId="22184A8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0.04</w:t>
            </w:r>
          </w:p>
        </w:tc>
        <w:tc>
          <w:tcPr>
            <w:tcW w:w="1620" w:type="dxa"/>
            <w:noWrap/>
            <w:hideMark/>
          </w:tcPr>
          <w:p w14:paraId="18F0EF4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0.76</w:t>
            </w:r>
          </w:p>
        </w:tc>
        <w:tc>
          <w:tcPr>
            <w:tcW w:w="1295" w:type="dxa"/>
            <w:noWrap/>
            <w:hideMark/>
          </w:tcPr>
          <w:p w14:paraId="6E18010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0.26</w:t>
            </w:r>
          </w:p>
        </w:tc>
        <w:tc>
          <w:tcPr>
            <w:tcW w:w="1295" w:type="dxa"/>
            <w:noWrap/>
            <w:hideMark/>
          </w:tcPr>
          <w:p w14:paraId="29ED71D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295" w:type="dxa"/>
            <w:noWrap/>
            <w:hideMark/>
          </w:tcPr>
          <w:p w14:paraId="15362E3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0.21</w:t>
            </w:r>
          </w:p>
        </w:tc>
      </w:tr>
      <w:tr w:rsidR="0057168A" w:rsidRPr="002D325A" w14:paraId="2852E6C3" w14:textId="77777777" w:rsidTr="00A97EB0">
        <w:trPr>
          <w:trHeight w:val="250"/>
        </w:trPr>
        <w:tc>
          <w:tcPr>
            <w:tcW w:w="1835" w:type="dxa"/>
            <w:noWrap/>
            <w:hideMark/>
          </w:tcPr>
          <w:p w14:paraId="60A1DF1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Ibadan</w:t>
            </w:r>
          </w:p>
        </w:tc>
        <w:tc>
          <w:tcPr>
            <w:tcW w:w="1727" w:type="dxa"/>
            <w:noWrap/>
            <w:hideMark/>
          </w:tcPr>
          <w:p w14:paraId="3CF8045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0.03</w:t>
            </w:r>
          </w:p>
        </w:tc>
        <w:tc>
          <w:tcPr>
            <w:tcW w:w="1620" w:type="dxa"/>
            <w:noWrap/>
            <w:hideMark/>
          </w:tcPr>
          <w:p w14:paraId="11CB640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0.83</w:t>
            </w:r>
          </w:p>
        </w:tc>
        <w:tc>
          <w:tcPr>
            <w:tcW w:w="1295" w:type="dxa"/>
            <w:noWrap/>
            <w:hideMark/>
          </w:tcPr>
          <w:p w14:paraId="42C96C5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0.57</w:t>
            </w:r>
          </w:p>
        </w:tc>
        <w:tc>
          <w:tcPr>
            <w:tcW w:w="1295" w:type="dxa"/>
            <w:noWrap/>
            <w:hideMark/>
          </w:tcPr>
          <w:p w14:paraId="444EDD0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0.16</w:t>
            </w:r>
          </w:p>
        </w:tc>
        <w:tc>
          <w:tcPr>
            <w:tcW w:w="1295" w:type="dxa"/>
            <w:noWrap/>
            <w:hideMark/>
          </w:tcPr>
          <w:p w14:paraId="2081A2E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0.63</w:t>
            </w:r>
          </w:p>
        </w:tc>
      </w:tr>
      <w:tr w:rsidR="0057168A" w:rsidRPr="002D325A" w14:paraId="1E902A21" w14:textId="77777777" w:rsidTr="00A97EB0">
        <w:trPr>
          <w:trHeight w:val="250"/>
        </w:trPr>
        <w:tc>
          <w:tcPr>
            <w:tcW w:w="1835" w:type="dxa"/>
            <w:noWrap/>
          </w:tcPr>
          <w:p w14:paraId="0F6B89D4" w14:textId="77777777" w:rsidR="0057168A" w:rsidRPr="002D325A" w:rsidRDefault="0057168A" w:rsidP="00A97EB0">
            <w:pPr>
              <w:jc w:val="center"/>
              <w:rPr>
                <w:rFonts w:ascii="Arial" w:hAnsi="Arial" w:cs="Arial"/>
                <w:color w:val="000000"/>
                <w:sz w:val="20"/>
                <w:szCs w:val="20"/>
              </w:rPr>
            </w:pPr>
            <w:proofErr w:type="spellStart"/>
            <w:r w:rsidRPr="002D325A">
              <w:rPr>
                <w:rFonts w:ascii="Arial" w:hAnsi="Arial" w:cs="Arial"/>
                <w:color w:val="000000"/>
                <w:sz w:val="20"/>
                <w:szCs w:val="20"/>
              </w:rPr>
              <w:t>Uyo</w:t>
            </w:r>
            <w:proofErr w:type="spellEnd"/>
          </w:p>
        </w:tc>
        <w:tc>
          <w:tcPr>
            <w:tcW w:w="1727" w:type="dxa"/>
            <w:noWrap/>
          </w:tcPr>
          <w:p w14:paraId="2B934C5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0.09</w:t>
            </w:r>
          </w:p>
        </w:tc>
        <w:tc>
          <w:tcPr>
            <w:tcW w:w="1620" w:type="dxa"/>
            <w:noWrap/>
          </w:tcPr>
          <w:p w14:paraId="4CE402D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0.81</w:t>
            </w:r>
          </w:p>
        </w:tc>
        <w:tc>
          <w:tcPr>
            <w:tcW w:w="1295" w:type="dxa"/>
            <w:noWrap/>
          </w:tcPr>
          <w:p w14:paraId="624DC12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0.46</w:t>
            </w:r>
          </w:p>
        </w:tc>
        <w:tc>
          <w:tcPr>
            <w:tcW w:w="1295" w:type="dxa"/>
            <w:noWrap/>
          </w:tcPr>
          <w:p w14:paraId="5BF7E73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0.12</w:t>
            </w:r>
          </w:p>
        </w:tc>
        <w:tc>
          <w:tcPr>
            <w:tcW w:w="1295" w:type="dxa"/>
            <w:noWrap/>
          </w:tcPr>
          <w:p w14:paraId="506DC7A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0.47</w:t>
            </w:r>
          </w:p>
        </w:tc>
      </w:tr>
      <w:tr w:rsidR="0057168A" w:rsidRPr="002D325A" w14:paraId="0FF37615" w14:textId="77777777" w:rsidTr="00A97EB0">
        <w:trPr>
          <w:trHeight w:val="250"/>
        </w:trPr>
        <w:tc>
          <w:tcPr>
            <w:tcW w:w="1835" w:type="dxa"/>
            <w:noWrap/>
            <w:hideMark/>
          </w:tcPr>
          <w:p w14:paraId="1BAD082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Sokoto</w:t>
            </w:r>
          </w:p>
        </w:tc>
        <w:tc>
          <w:tcPr>
            <w:tcW w:w="1727" w:type="dxa"/>
            <w:noWrap/>
            <w:hideMark/>
          </w:tcPr>
          <w:p w14:paraId="581DD98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-0.12</w:t>
            </w:r>
          </w:p>
        </w:tc>
        <w:tc>
          <w:tcPr>
            <w:tcW w:w="1620" w:type="dxa"/>
            <w:noWrap/>
            <w:hideMark/>
          </w:tcPr>
          <w:p w14:paraId="0C2E7CA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0.63</w:t>
            </w:r>
          </w:p>
        </w:tc>
        <w:tc>
          <w:tcPr>
            <w:tcW w:w="1295" w:type="dxa"/>
            <w:noWrap/>
            <w:hideMark/>
          </w:tcPr>
          <w:p w14:paraId="6E70515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0.23</w:t>
            </w:r>
          </w:p>
        </w:tc>
        <w:tc>
          <w:tcPr>
            <w:tcW w:w="1295" w:type="dxa"/>
            <w:noWrap/>
            <w:hideMark/>
          </w:tcPr>
          <w:p w14:paraId="65ECF4B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0.09</w:t>
            </w:r>
          </w:p>
        </w:tc>
        <w:tc>
          <w:tcPr>
            <w:tcW w:w="1295" w:type="dxa"/>
            <w:noWrap/>
            <w:hideMark/>
          </w:tcPr>
          <w:p w14:paraId="4E75957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0.20</w:t>
            </w:r>
          </w:p>
        </w:tc>
      </w:tr>
    </w:tbl>
    <w:p w14:paraId="656732DE" w14:textId="77777777" w:rsidR="00BB7517" w:rsidRPr="002D325A" w:rsidRDefault="00BB7517" w:rsidP="00BB7517">
      <w:pPr>
        <w:pStyle w:val="Body"/>
        <w:rPr>
          <w:rFonts w:ascii="Arial" w:hAnsi="Arial" w:cs="Arial"/>
          <w:lang w:val="pl-PL"/>
        </w:rPr>
      </w:pPr>
    </w:p>
    <w:p w14:paraId="4317566D" w14:textId="77777777" w:rsidR="00BB7517" w:rsidRPr="002D325A" w:rsidRDefault="00BB7517" w:rsidP="00BB7517">
      <w:pPr>
        <w:pStyle w:val="Body"/>
        <w:rPr>
          <w:rFonts w:ascii="Arial" w:hAnsi="Arial" w:cs="Arial"/>
        </w:rPr>
      </w:pPr>
      <w:r w:rsidRPr="002D325A">
        <w:rPr>
          <w:rFonts w:ascii="Arial" w:hAnsi="Arial" w:cs="Arial"/>
        </w:rPr>
        <w:t>Table 4: 2025 NDVI Statistics</w:t>
      </w:r>
    </w:p>
    <w:tbl>
      <w:tblPr>
        <w:tblStyle w:val="TableGridLight"/>
        <w:tblW w:w="9178" w:type="dxa"/>
        <w:tblLook w:val="04A0" w:firstRow="1" w:lastRow="0" w:firstColumn="1" w:lastColumn="0" w:noHBand="0" w:noVBand="1"/>
      </w:tblPr>
      <w:tblGrid>
        <w:gridCol w:w="1824"/>
        <w:gridCol w:w="1680"/>
        <w:gridCol w:w="1560"/>
        <w:gridCol w:w="1320"/>
        <w:gridCol w:w="1080"/>
        <w:gridCol w:w="1714"/>
      </w:tblGrid>
      <w:tr w:rsidR="0057168A" w:rsidRPr="002D325A" w14:paraId="69BD5E10" w14:textId="77777777" w:rsidTr="00A97EB0">
        <w:trPr>
          <w:trHeight w:val="250"/>
        </w:trPr>
        <w:tc>
          <w:tcPr>
            <w:tcW w:w="1824" w:type="dxa"/>
            <w:noWrap/>
            <w:hideMark/>
          </w:tcPr>
          <w:p w14:paraId="64F3D73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State</w:t>
            </w:r>
          </w:p>
        </w:tc>
        <w:tc>
          <w:tcPr>
            <w:tcW w:w="1680" w:type="dxa"/>
            <w:noWrap/>
            <w:hideMark/>
          </w:tcPr>
          <w:p w14:paraId="7994D50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Min</w:t>
            </w:r>
          </w:p>
        </w:tc>
        <w:tc>
          <w:tcPr>
            <w:tcW w:w="1560" w:type="dxa"/>
            <w:noWrap/>
            <w:hideMark/>
          </w:tcPr>
          <w:p w14:paraId="5DBDBBF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Max</w:t>
            </w:r>
          </w:p>
        </w:tc>
        <w:tc>
          <w:tcPr>
            <w:tcW w:w="1320" w:type="dxa"/>
            <w:noWrap/>
            <w:hideMark/>
          </w:tcPr>
          <w:p w14:paraId="52E1031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Mean</w:t>
            </w:r>
          </w:p>
        </w:tc>
        <w:tc>
          <w:tcPr>
            <w:tcW w:w="1080" w:type="dxa"/>
            <w:noWrap/>
            <w:hideMark/>
          </w:tcPr>
          <w:p w14:paraId="1D41709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Std</w:t>
            </w:r>
          </w:p>
        </w:tc>
        <w:tc>
          <w:tcPr>
            <w:tcW w:w="1714" w:type="dxa"/>
            <w:noWrap/>
            <w:hideMark/>
          </w:tcPr>
          <w:p w14:paraId="728815E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Median</w:t>
            </w:r>
          </w:p>
        </w:tc>
      </w:tr>
      <w:tr w:rsidR="0057168A" w:rsidRPr="002D325A" w14:paraId="0BBAE532" w14:textId="77777777" w:rsidTr="00A97EB0">
        <w:trPr>
          <w:trHeight w:val="250"/>
        </w:trPr>
        <w:tc>
          <w:tcPr>
            <w:tcW w:w="1824" w:type="dxa"/>
            <w:noWrap/>
            <w:hideMark/>
          </w:tcPr>
          <w:p w14:paraId="20CE848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Maiduguri</w:t>
            </w:r>
          </w:p>
        </w:tc>
        <w:tc>
          <w:tcPr>
            <w:tcW w:w="1680" w:type="dxa"/>
            <w:noWrap/>
            <w:hideMark/>
          </w:tcPr>
          <w:p w14:paraId="2DBED40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-0.41</w:t>
            </w:r>
          </w:p>
        </w:tc>
        <w:tc>
          <w:tcPr>
            <w:tcW w:w="1560" w:type="dxa"/>
            <w:noWrap/>
            <w:hideMark/>
          </w:tcPr>
          <w:p w14:paraId="0CDA12F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0.77</w:t>
            </w:r>
          </w:p>
        </w:tc>
        <w:tc>
          <w:tcPr>
            <w:tcW w:w="1320" w:type="dxa"/>
            <w:noWrap/>
            <w:hideMark/>
          </w:tcPr>
          <w:p w14:paraId="2515C36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0.27</w:t>
            </w:r>
          </w:p>
        </w:tc>
        <w:tc>
          <w:tcPr>
            <w:tcW w:w="1080" w:type="dxa"/>
            <w:noWrap/>
            <w:hideMark/>
          </w:tcPr>
          <w:p w14:paraId="4EF6191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0.08</w:t>
            </w:r>
          </w:p>
        </w:tc>
        <w:tc>
          <w:tcPr>
            <w:tcW w:w="1714" w:type="dxa"/>
            <w:noWrap/>
            <w:hideMark/>
          </w:tcPr>
          <w:p w14:paraId="522C621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0.26</w:t>
            </w:r>
          </w:p>
        </w:tc>
      </w:tr>
      <w:tr w:rsidR="0057168A" w:rsidRPr="002D325A" w14:paraId="39F537AB" w14:textId="77777777" w:rsidTr="00A97EB0">
        <w:trPr>
          <w:trHeight w:val="250"/>
        </w:trPr>
        <w:tc>
          <w:tcPr>
            <w:tcW w:w="1824" w:type="dxa"/>
            <w:noWrap/>
            <w:hideMark/>
          </w:tcPr>
          <w:p w14:paraId="1BF7596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Asaba</w:t>
            </w:r>
          </w:p>
        </w:tc>
        <w:tc>
          <w:tcPr>
            <w:tcW w:w="1680" w:type="dxa"/>
            <w:noWrap/>
            <w:hideMark/>
          </w:tcPr>
          <w:p w14:paraId="7B2E6F2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-0.31</w:t>
            </w:r>
          </w:p>
        </w:tc>
        <w:tc>
          <w:tcPr>
            <w:tcW w:w="1560" w:type="dxa"/>
            <w:noWrap/>
            <w:hideMark/>
          </w:tcPr>
          <w:p w14:paraId="3F6B331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0.74</w:t>
            </w:r>
          </w:p>
        </w:tc>
        <w:tc>
          <w:tcPr>
            <w:tcW w:w="1320" w:type="dxa"/>
            <w:noWrap/>
            <w:hideMark/>
          </w:tcPr>
          <w:p w14:paraId="0E93C00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0.42</w:t>
            </w:r>
          </w:p>
        </w:tc>
        <w:tc>
          <w:tcPr>
            <w:tcW w:w="1080" w:type="dxa"/>
            <w:noWrap/>
            <w:hideMark/>
          </w:tcPr>
          <w:p w14:paraId="553A17F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0.23</w:t>
            </w:r>
          </w:p>
        </w:tc>
        <w:tc>
          <w:tcPr>
            <w:tcW w:w="1714" w:type="dxa"/>
            <w:noWrap/>
            <w:hideMark/>
          </w:tcPr>
          <w:p w14:paraId="30B5652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0.48</w:t>
            </w:r>
          </w:p>
        </w:tc>
      </w:tr>
      <w:tr w:rsidR="0057168A" w:rsidRPr="002D325A" w14:paraId="19145EED" w14:textId="77777777" w:rsidTr="00A97EB0">
        <w:trPr>
          <w:trHeight w:val="250"/>
        </w:trPr>
        <w:tc>
          <w:tcPr>
            <w:tcW w:w="1824" w:type="dxa"/>
            <w:noWrap/>
            <w:hideMark/>
          </w:tcPr>
          <w:p w14:paraId="0F657A0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Enugu</w:t>
            </w:r>
          </w:p>
        </w:tc>
        <w:tc>
          <w:tcPr>
            <w:tcW w:w="1680" w:type="dxa"/>
            <w:noWrap/>
            <w:hideMark/>
          </w:tcPr>
          <w:p w14:paraId="43084A3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-0.05</w:t>
            </w:r>
          </w:p>
        </w:tc>
        <w:tc>
          <w:tcPr>
            <w:tcW w:w="1560" w:type="dxa"/>
            <w:noWrap/>
            <w:hideMark/>
          </w:tcPr>
          <w:p w14:paraId="3015209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0.88</w:t>
            </w:r>
          </w:p>
        </w:tc>
        <w:tc>
          <w:tcPr>
            <w:tcW w:w="1320" w:type="dxa"/>
            <w:noWrap/>
            <w:hideMark/>
          </w:tcPr>
          <w:p w14:paraId="3590023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0.37</w:t>
            </w:r>
          </w:p>
        </w:tc>
        <w:tc>
          <w:tcPr>
            <w:tcW w:w="1080" w:type="dxa"/>
            <w:noWrap/>
            <w:hideMark/>
          </w:tcPr>
          <w:p w14:paraId="70B0FA9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0.11</w:t>
            </w:r>
          </w:p>
        </w:tc>
        <w:tc>
          <w:tcPr>
            <w:tcW w:w="1714" w:type="dxa"/>
            <w:noWrap/>
            <w:hideMark/>
          </w:tcPr>
          <w:p w14:paraId="508BAA6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0.37</w:t>
            </w:r>
          </w:p>
        </w:tc>
      </w:tr>
      <w:tr w:rsidR="0057168A" w:rsidRPr="002D325A" w14:paraId="5CE0EE5A" w14:textId="77777777" w:rsidTr="00A97EB0">
        <w:trPr>
          <w:trHeight w:val="250"/>
        </w:trPr>
        <w:tc>
          <w:tcPr>
            <w:tcW w:w="1824" w:type="dxa"/>
            <w:noWrap/>
            <w:hideMark/>
          </w:tcPr>
          <w:p w14:paraId="3D8A5E1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Abuja</w:t>
            </w:r>
          </w:p>
        </w:tc>
        <w:tc>
          <w:tcPr>
            <w:tcW w:w="1680" w:type="dxa"/>
            <w:noWrap/>
            <w:hideMark/>
          </w:tcPr>
          <w:p w14:paraId="0048C12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-0.16</w:t>
            </w:r>
          </w:p>
        </w:tc>
        <w:tc>
          <w:tcPr>
            <w:tcW w:w="1560" w:type="dxa"/>
            <w:noWrap/>
            <w:hideMark/>
          </w:tcPr>
          <w:p w14:paraId="0227718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0.74</w:t>
            </w:r>
          </w:p>
        </w:tc>
        <w:tc>
          <w:tcPr>
            <w:tcW w:w="1320" w:type="dxa"/>
            <w:noWrap/>
            <w:hideMark/>
          </w:tcPr>
          <w:p w14:paraId="3E3B18E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0.25</w:t>
            </w:r>
          </w:p>
        </w:tc>
        <w:tc>
          <w:tcPr>
            <w:tcW w:w="1080" w:type="dxa"/>
            <w:noWrap/>
            <w:hideMark/>
          </w:tcPr>
          <w:p w14:paraId="7C36CAA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0.07</w:t>
            </w:r>
          </w:p>
        </w:tc>
        <w:tc>
          <w:tcPr>
            <w:tcW w:w="1714" w:type="dxa"/>
            <w:noWrap/>
            <w:hideMark/>
          </w:tcPr>
          <w:p w14:paraId="5D09D298"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0.24</w:t>
            </w:r>
          </w:p>
        </w:tc>
      </w:tr>
      <w:tr w:rsidR="0057168A" w:rsidRPr="002D325A" w14:paraId="361ECF41" w14:textId="77777777" w:rsidTr="00A97EB0">
        <w:trPr>
          <w:trHeight w:val="250"/>
        </w:trPr>
        <w:tc>
          <w:tcPr>
            <w:tcW w:w="1824" w:type="dxa"/>
            <w:noWrap/>
            <w:hideMark/>
          </w:tcPr>
          <w:p w14:paraId="3C24EA6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Owerri</w:t>
            </w:r>
          </w:p>
        </w:tc>
        <w:tc>
          <w:tcPr>
            <w:tcW w:w="1680" w:type="dxa"/>
            <w:noWrap/>
            <w:hideMark/>
          </w:tcPr>
          <w:p w14:paraId="6F4261D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-0.40</w:t>
            </w:r>
          </w:p>
        </w:tc>
        <w:tc>
          <w:tcPr>
            <w:tcW w:w="1560" w:type="dxa"/>
            <w:noWrap/>
            <w:hideMark/>
          </w:tcPr>
          <w:p w14:paraId="60B053D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0.99</w:t>
            </w:r>
          </w:p>
        </w:tc>
        <w:tc>
          <w:tcPr>
            <w:tcW w:w="1320" w:type="dxa"/>
            <w:noWrap/>
            <w:hideMark/>
          </w:tcPr>
          <w:p w14:paraId="678C432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0.55</w:t>
            </w:r>
          </w:p>
        </w:tc>
        <w:tc>
          <w:tcPr>
            <w:tcW w:w="1080" w:type="dxa"/>
            <w:noWrap/>
            <w:hideMark/>
          </w:tcPr>
          <w:p w14:paraId="0AFA15C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0.16</w:t>
            </w:r>
          </w:p>
        </w:tc>
        <w:tc>
          <w:tcPr>
            <w:tcW w:w="1714" w:type="dxa"/>
            <w:noWrap/>
            <w:hideMark/>
          </w:tcPr>
          <w:p w14:paraId="3722338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0.57</w:t>
            </w:r>
          </w:p>
        </w:tc>
      </w:tr>
      <w:tr w:rsidR="0057168A" w:rsidRPr="002D325A" w14:paraId="5FFE91EA" w14:textId="77777777" w:rsidTr="00A97EB0">
        <w:trPr>
          <w:trHeight w:val="250"/>
        </w:trPr>
        <w:tc>
          <w:tcPr>
            <w:tcW w:w="1824" w:type="dxa"/>
            <w:noWrap/>
            <w:hideMark/>
          </w:tcPr>
          <w:p w14:paraId="5701BFF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Kano</w:t>
            </w:r>
          </w:p>
        </w:tc>
        <w:tc>
          <w:tcPr>
            <w:tcW w:w="1680" w:type="dxa"/>
            <w:noWrap/>
            <w:hideMark/>
          </w:tcPr>
          <w:p w14:paraId="792E27E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-0.41</w:t>
            </w:r>
          </w:p>
        </w:tc>
        <w:tc>
          <w:tcPr>
            <w:tcW w:w="1560" w:type="dxa"/>
            <w:noWrap/>
            <w:hideMark/>
          </w:tcPr>
          <w:p w14:paraId="7ABE3D42"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0.63</w:t>
            </w:r>
          </w:p>
        </w:tc>
        <w:tc>
          <w:tcPr>
            <w:tcW w:w="1320" w:type="dxa"/>
            <w:noWrap/>
            <w:hideMark/>
          </w:tcPr>
          <w:p w14:paraId="6F40F38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0.19</w:t>
            </w:r>
          </w:p>
        </w:tc>
        <w:tc>
          <w:tcPr>
            <w:tcW w:w="1080" w:type="dxa"/>
            <w:noWrap/>
            <w:hideMark/>
          </w:tcPr>
          <w:p w14:paraId="29CC5BB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0.07</w:t>
            </w:r>
          </w:p>
        </w:tc>
        <w:tc>
          <w:tcPr>
            <w:tcW w:w="1714" w:type="dxa"/>
            <w:noWrap/>
            <w:hideMark/>
          </w:tcPr>
          <w:p w14:paraId="1FE64555"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0.19</w:t>
            </w:r>
          </w:p>
        </w:tc>
      </w:tr>
      <w:tr w:rsidR="0057168A" w:rsidRPr="002D325A" w14:paraId="50C706BF" w14:textId="77777777" w:rsidTr="00A97EB0">
        <w:trPr>
          <w:trHeight w:val="250"/>
        </w:trPr>
        <w:tc>
          <w:tcPr>
            <w:tcW w:w="1824" w:type="dxa"/>
            <w:noWrap/>
            <w:hideMark/>
          </w:tcPr>
          <w:p w14:paraId="4430952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Ikeja</w:t>
            </w:r>
          </w:p>
        </w:tc>
        <w:tc>
          <w:tcPr>
            <w:tcW w:w="1680" w:type="dxa"/>
            <w:noWrap/>
            <w:hideMark/>
          </w:tcPr>
          <w:p w14:paraId="16D6B62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0.03</w:t>
            </w:r>
          </w:p>
        </w:tc>
        <w:tc>
          <w:tcPr>
            <w:tcW w:w="1560" w:type="dxa"/>
            <w:noWrap/>
            <w:hideMark/>
          </w:tcPr>
          <w:p w14:paraId="4617173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1.00</w:t>
            </w:r>
          </w:p>
        </w:tc>
        <w:tc>
          <w:tcPr>
            <w:tcW w:w="1320" w:type="dxa"/>
            <w:noWrap/>
            <w:hideMark/>
          </w:tcPr>
          <w:p w14:paraId="7EE1738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0.20</w:t>
            </w:r>
          </w:p>
        </w:tc>
        <w:tc>
          <w:tcPr>
            <w:tcW w:w="1080" w:type="dxa"/>
            <w:noWrap/>
            <w:hideMark/>
          </w:tcPr>
          <w:p w14:paraId="2A1A4C9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714" w:type="dxa"/>
            <w:noWrap/>
            <w:hideMark/>
          </w:tcPr>
          <w:p w14:paraId="4DF87C57"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0.16</w:t>
            </w:r>
          </w:p>
        </w:tc>
      </w:tr>
      <w:tr w:rsidR="0057168A" w:rsidRPr="002D325A" w14:paraId="0C7D7A0D" w14:textId="77777777" w:rsidTr="00A97EB0">
        <w:trPr>
          <w:trHeight w:val="250"/>
        </w:trPr>
        <w:tc>
          <w:tcPr>
            <w:tcW w:w="1824" w:type="dxa"/>
            <w:noWrap/>
            <w:hideMark/>
          </w:tcPr>
          <w:p w14:paraId="7E5AB1D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Ibadan</w:t>
            </w:r>
          </w:p>
        </w:tc>
        <w:tc>
          <w:tcPr>
            <w:tcW w:w="1680" w:type="dxa"/>
            <w:noWrap/>
            <w:hideMark/>
          </w:tcPr>
          <w:p w14:paraId="78665B60"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-0.11</w:t>
            </w:r>
          </w:p>
        </w:tc>
        <w:tc>
          <w:tcPr>
            <w:tcW w:w="1560" w:type="dxa"/>
            <w:noWrap/>
            <w:hideMark/>
          </w:tcPr>
          <w:p w14:paraId="09CC67E4"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0.92</w:t>
            </w:r>
          </w:p>
        </w:tc>
        <w:tc>
          <w:tcPr>
            <w:tcW w:w="1320" w:type="dxa"/>
            <w:noWrap/>
            <w:hideMark/>
          </w:tcPr>
          <w:p w14:paraId="01BA4C9B"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0.43</w:t>
            </w:r>
          </w:p>
        </w:tc>
        <w:tc>
          <w:tcPr>
            <w:tcW w:w="1080" w:type="dxa"/>
            <w:noWrap/>
            <w:hideMark/>
          </w:tcPr>
          <w:p w14:paraId="6319815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0.14</w:t>
            </w:r>
          </w:p>
        </w:tc>
        <w:tc>
          <w:tcPr>
            <w:tcW w:w="1714" w:type="dxa"/>
            <w:noWrap/>
            <w:hideMark/>
          </w:tcPr>
          <w:p w14:paraId="6482E44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0.45</w:t>
            </w:r>
          </w:p>
        </w:tc>
      </w:tr>
      <w:tr w:rsidR="0057168A" w:rsidRPr="002D325A" w14:paraId="6E95D13B" w14:textId="77777777" w:rsidTr="00A97EB0">
        <w:trPr>
          <w:trHeight w:val="250"/>
        </w:trPr>
        <w:tc>
          <w:tcPr>
            <w:tcW w:w="1824" w:type="dxa"/>
            <w:noWrap/>
            <w:hideMark/>
          </w:tcPr>
          <w:p w14:paraId="44C005E9" w14:textId="77777777" w:rsidR="0057168A" w:rsidRPr="002D325A" w:rsidRDefault="0057168A" w:rsidP="00A97EB0">
            <w:pPr>
              <w:jc w:val="center"/>
              <w:rPr>
                <w:rFonts w:ascii="Arial" w:hAnsi="Arial" w:cs="Arial"/>
                <w:color w:val="000000"/>
                <w:sz w:val="20"/>
                <w:szCs w:val="20"/>
              </w:rPr>
            </w:pPr>
            <w:proofErr w:type="spellStart"/>
            <w:r w:rsidRPr="002D325A">
              <w:rPr>
                <w:rFonts w:ascii="Arial" w:hAnsi="Arial" w:cs="Arial"/>
                <w:color w:val="000000"/>
                <w:sz w:val="20"/>
                <w:szCs w:val="20"/>
              </w:rPr>
              <w:t>Uyo</w:t>
            </w:r>
            <w:proofErr w:type="spellEnd"/>
          </w:p>
        </w:tc>
        <w:tc>
          <w:tcPr>
            <w:tcW w:w="1680" w:type="dxa"/>
            <w:noWrap/>
            <w:hideMark/>
          </w:tcPr>
          <w:p w14:paraId="15AF968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0.07</w:t>
            </w:r>
          </w:p>
        </w:tc>
        <w:tc>
          <w:tcPr>
            <w:tcW w:w="1560" w:type="dxa"/>
            <w:noWrap/>
            <w:hideMark/>
          </w:tcPr>
          <w:p w14:paraId="0C2EC5E9"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0.98</w:t>
            </w:r>
          </w:p>
        </w:tc>
        <w:tc>
          <w:tcPr>
            <w:tcW w:w="1320" w:type="dxa"/>
            <w:noWrap/>
            <w:hideMark/>
          </w:tcPr>
          <w:p w14:paraId="796B41B3"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0.41</w:t>
            </w:r>
          </w:p>
        </w:tc>
        <w:tc>
          <w:tcPr>
            <w:tcW w:w="1080" w:type="dxa"/>
            <w:noWrap/>
            <w:hideMark/>
          </w:tcPr>
          <w:p w14:paraId="22C469D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0.13</w:t>
            </w:r>
          </w:p>
        </w:tc>
        <w:tc>
          <w:tcPr>
            <w:tcW w:w="1714" w:type="dxa"/>
            <w:noWrap/>
            <w:hideMark/>
          </w:tcPr>
          <w:p w14:paraId="641E043F"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0.40</w:t>
            </w:r>
          </w:p>
        </w:tc>
      </w:tr>
      <w:tr w:rsidR="0057168A" w:rsidRPr="002D325A" w14:paraId="7D9A53A6" w14:textId="77777777" w:rsidTr="00A97EB0">
        <w:trPr>
          <w:trHeight w:val="250"/>
        </w:trPr>
        <w:tc>
          <w:tcPr>
            <w:tcW w:w="1824" w:type="dxa"/>
            <w:noWrap/>
            <w:hideMark/>
          </w:tcPr>
          <w:p w14:paraId="0488B74D"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Sokoto</w:t>
            </w:r>
          </w:p>
        </w:tc>
        <w:tc>
          <w:tcPr>
            <w:tcW w:w="1680" w:type="dxa"/>
            <w:noWrap/>
            <w:hideMark/>
          </w:tcPr>
          <w:p w14:paraId="0BECC9FC"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-0.24</w:t>
            </w:r>
          </w:p>
        </w:tc>
        <w:tc>
          <w:tcPr>
            <w:tcW w:w="1560" w:type="dxa"/>
            <w:noWrap/>
            <w:hideMark/>
          </w:tcPr>
          <w:p w14:paraId="160D8731"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0.67</w:t>
            </w:r>
          </w:p>
        </w:tc>
        <w:tc>
          <w:tcPr>
            <w:tcW w:w="1320" w:type="dxa"/>
            <w:noWrap/>
            <w:hideMark/>
          </w:tcPr>
          <w:p w14:paraId="20081096"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0.26</w:t>
            </w:r>
          </w:p>
        </w:tc>
        <w:tc>
          <w:tcPr>
            <w:tcW w:w="1080" w:type="dxa"/>
            <w:noWrap/>
            <w:hideMark/>
          </w:tcPr>
          <w:p w14:paraId="7070FD4A"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0.11</w:t>
            </w:r>
          </w:p>
        </w:tc>
        <w:tc>
          <w:tcPr>
            <w:tcW w:w="1714" w:type="dxa"/>
            <w:noWrap/>
            <w:hideMark/>
          </w:tcPr>
          <w:p w14:paraId="39B205EE" w14:textId="77777777" w:rsidR="0057168A" w:rsidRPr="002D325A" w:rsidRDefault="0057168A" w:rsidP="00A97EB0">
            <w:pPr>
              <w:jc w:val="center"/>
              <w:rPr>
                <w:rFonts w:ascii="Arial" w:hAnsi="Arial" w:cs="Arial"/>
                <w:color w:val="000000"/>
                <w:sz w:val="20"/>
                <w:szCs w:val="20"/>
              </w:rPr>
            </w:pPr>
            <w:r w:rsidRPr="002D325A">
              <w:rPr>
                <w:rFonts w:ascii="Arial" w:hAnsi="Arial" w:cs="Arial"/>
                <w:color w:val="000000"/>
                <w:sz w:val="20"/>
                <w:szCs w:val="20"/>
              </w:rPr>
              <w:t>0.22</w:t>
            </w:r>
          </w:p>
        </w:tc>
      </w:tr>
    </w:tbl>
    <w:p w14:paraId="5E2A7088" w14:textId="77777777" w:rsidR="00BB7517" w:rsidRPr="002D325A" w:rsidRDefault="00BB7517" w:rsidP="00BB7517">
      <w:pPr>
        <w:pStyle w:val="Body"/>
        <w:rPr>
          <w:rFonts w:ascii="Arial" w:hAnsi="Arial" w:cs="Arial"/>
          <w:lang w:val="pl-PL"/>
        </w:rPr>
      </w:pPr>
    </w:p>
    <w:p w14:paraId="1D2BF0CB" w14:textId="77777777" w:rsidR="00BB7517" w:rsidRPr="002D325A" w:rsidRDefault="00BB7517" w:rsidP="00BB7517">
      <w:pPr>
        <w:pStyle w:val="Body"/>
        <w:rPr>
          <w:rFonts w:ascii="Arial" w:hAnsi="Arial" w:cs="Arial"/>
          <w:b/>
          <w:bCs/>
        </w:rPr>
      </w:pPr>
      <w:r w:rsidRPr="002D325A">
        <w:rPr>
          <w:rFonts w:ascii="Arial" w:hAnsi="Arial" w:cs="Arial"/>
          <w:b/>
          <w:bCs/>
        </w:rPr>
        <w:t>3.3 Greenness Score (GS) Classification</w:t>
      </w:r>
    </w:p>
    <w:p w14:paraId="39C157FD" w14:textId="274DAF49" w:rsidR="00BB7517" w:rsidRPr="002D325A" w:rsidRDefault="00BB7517" w:rsidP="00BB7517">
      <w:pPr>
        <w:pStyle w:val="Body"/>
        <w:rPr>
          <w:rFonts w:ascii="Arial" w:hAnsi="Arial" w:cs="Arial"/>
        </w:rPr>
      </w:pPr>
      <w:r w:rsidRPr="002D325A">
        <w:rPr>
          <w:rFonts w:ascii="Arial" w:hAnsi="Arial" w:cs="Arial"/>
        </w:rPr>
        <w:t xml:space="preserve">The GS provides a more spatially honest representation of vegetation distribution by emphasizing the proportion and dominance of high-NDVI pixels. Tables </w:t>
      </w:r>
      <w:r w:rsidR="00A10823">
        <w:rPr>
          <w:rFonts w:ascii="Arial" w:hAnsi="Arial" w:cs="Arial"/>
        </w:rPr>
        <w:t xml:space="preserve">5, 6, 7, and 8 </w:t>
      </w:r>
      <w:r w:rsidRPr="002D325A">
        <w:rPr>
          <w:rFonts w:ascii="Arial" w:hAnsi="Arial" w:cs="Arial"/>
        </w:rPr>
        <w:t xml:space="preserve">and Figures </w:t>
      </w:r>
      <w:r w:rsidR="00A10823">
        <w:rPr>
          <w:rFonts w:ascii="Arial" w:hAnsi="Arial" w:cs="Arial"/>
        </w:rPr>
        <w:t>5 and 6</w:t>
      </w:r>
      <w:r w:rsidRPr="002D325A">
        <w:rPr>
          <w:rFonts w:ascii="Arial" w:hAnsi="Arial" w:cs="Arial"/>
        </w:rPr>
        <w:t xml:space="preserve"> present the distribution of pixel percentages and hectares across the five reclassified vegetation classes for 2015 and 2025, respectively.</w:t>
      </w:r>
    </w:p>
    <w:p w14:paraId="4959603F" w14:textId="77777777" w:rsidR="00BB7517" w:rsidRPr="002D325A" w:rsidRDefault="00BB7517" w:rsidP="00BB7517">
      <w:pPr>
        <w:pStyle w:val="Body"/>
        <w:rPr>
          <w:rFonts w:ascii="Arial" w:hAnsi="Arial" w:cs="Arial"/>
        </w:rPr>
      </w:pPr>
      <w:r w:rsidRPr="002D325A">
        <w:rPr>
          <w:rFonts w:ascii="Arial" w:hAnsi="Arial" w:cs="Arial"/>
        </w:rPr>
        <w:t xml:space="preserve">The 2015 and 2025 NDVI-derived greenness scores reveal substantial spatial and temporal differences in vegetation conditions across the ten Nigerian cities. In 2015, most urban centers, particularly Maiduguri (93.56%), Kano (89.87%), and Ikeja (70.45%), were predominantly characterized by NDVI values between 0.1 and 0.3, indicating extensive built-up surfaces with sparse vegetation. Cities such as Owerri, Ibadan, and </w:t>
      </w:r>
      <w:proofErr w:type="spellStart"/>
      <w:r w:rsidRPr="002D325A">
        <w:rPr>
          <w:rFonts w:ascii="Arial" w:hAnsi="Arial" w:cs="Arial"/>
        </w:rPr>
        <w:t>Uyo</w:t>
      </w:r>
      <w:proofErr w:type="spellEnd"/>
      <w:r w:rsidRPr="002D325A">
        <w:rPr>
          <w:rFonts w:ascii="Arial" w:hAnsi="Arial" w:cs="Arial"/>
        </w:rPr>
        <w:t xml:space="preserve"> exhibited more balanced greenness profiles, with moderate vegetation (0.3–0.6) accounting for between 34% and 78% of their total area. Dense vegetation (0.6–1.0) remained relatively limited across the dataset, except in vegetation-rich cities like Ibadan (56.44%) and Owerri (35.81%).</w:t>
      </w:r>
    </w:p>
    <w:p w14:paraId="04CE3AD7" w14:textId="77777777" w:rsidR="00BB7517" w:rsidRPr="002D325A" w:rsidRDefault="00BB7517" w:rsidP="00BB7517">
      <w:pPr>
        <w:pStyle w:val="Body"/>
        <w:rPr>
          <w:rFonts w:ascii="Arial" w:hAnsi="Arial" w:cs="Arial"/>
        </w:rPr>
      </w:pPr>
      <w:r w:rsidRPr="002D325A">
        <w:rPr>
          <w:rFonts w:ascii="Arial" w:hAnsi="Arial" w:cs="Arial"/>
        </w:rPr>
        <w:t xml:space="preserve">By 2025, the distribution of NDVI classes shifted markedly. Maiduguri, Abuja, Kano, and Ikeja showed substantial increases in the proportion of sparse built-up vegetation in the 0.1–0.3 range, especially Abuja, where built-up NDVI expanded from 19.56% to 83.66% of the city footprint. Conversely, several southern cities, including Asaba, Owerri, Ibadan, and </w:t>
      </w:r>
      <w:proofErr w:type="spellStart"/>
      <w:r w:rsidRPr="002D325A">
        <w:rPr>
          <w:rFonts w:ascii="Arial" w:hAnsi="Arial" w:cs="Arial"/>
        </w:rPr>
        <w:t>Uyo</w:t>
      </w:r>
      <w:proofErr w:type="spellEnd"/>
      <w:r w:rsidRPr="002D325A">
        <w:rPr>
          <w:rFonts w:ascii="Arial" w:hAnsi="Arial" w:cs="Arial"/>
        </w:rPr>
        <w:t>, exhibited increases in moderate and dense vegetation categories. For example, Asaba’s dense vegetation rose from 0.06% in 2015 to 21.76% in 2025, while Owerri’s dense canopy expanded from 35.81% to 43.06%. These patterns indicate divergent trajectories of urban expansion and vegetation recovery across regions.</w:t>
      </w:r>
    </w:p>
    <w:p w14:paraId="76B3F76F" w14:textId="77777777" w:rsidR="00BB7517" w:rsidRPr="002D325A" w:rsidRDefault="00BB7517" w:rsidP="00BB7517">
      <w:pPr>
        <w:pStyle w:val="Body"/>
        <w:rPr>
          <w:rFonts w:ascii="Arial" w:hAnsi="Arial" w:cs="Arial"/>
        </w:rPr>
      </w:pPr>
      <w:r w:rsidRPr="002D325A">
        <w:rPr>
          <w:rFonts w:ascii="Arial" w:hAnsi="Arial" w:cs="Arial"/>
        </w:rPr>
        <w:t xml:space="preserve">The hectare-based estimates (Tables 7 and 8) further contextualize these changes by revealing the absolute scale of vegetation gain or loss. Cities such as Abuja and Maiduguri experienced dramatic increases in the extent of sparsely vegetated urban surfaces between 2015 and 2025, reflected by shifts from 35,270.55 ha to 150,833.50 ha in Abuja and 95,644.17 ha to 74,686.95 ha in Maiduguri. Meanwhile, Ibadan and </w:t>
      </w:r>
      <w:proofErr w:type="spellStart"/>
      <w:r w:rsidRPr="002D325A">
        <w:rPr>
          <w:rFonts w:ascii="Arial" w:hAnsi="Arial" w:cs="Arial"/>
        </w:rPr>
        <w:t>Uyo</w:t>
      </w:r>
      <w:proofErr w:type="spellEnd"/>
      <w:r w:rsidRPr="002D325A">
        <w:rPr>
          <w:rFonts w:ascii="Arial" w:hAnsi="Arial" w:cs="Arial"/>
        </w:rPr>
        <w:t xml:space="preserve"> maintained extremely large areas of moderate to dense vegetation, with Ibadan’s dense vegetation still exceeding 25,000 ha in 2025 and </w:t>
      </w:r>
      <w:proofErr w:type="spellStart"/>
      <w:r w:rsidRPr="002D325A">
        <w:rPr>
          <w:rFonts w:ascii="Arial" w:hAnsi="Arial" w:cs="Arial"/>
        </w:rPr>
        <w:t>Uyo</w:t>
      </w:r>
      <w:proofErr w:type="spellEnd"/>
      <w:r w:rsidRPr="002D325A">
        <w:rPr>
          <w:rFonts w:ascii="Arial" w:hAnsi="Arial" w:cs="Arial"/>
        </w:rPr>
        <w:t xml:space="preserve"> maintaining over 12,000 ha of moderate vegetation. These spatialized hectare values emphasize that the percentage shares alone do not adequately describe ecological significance; large southern cities retain ecologically important vegetation extents despite reductions in proportional values.</w:t>
      </w:r>
    </w:p>
    <w:p w14:paraId="33FABCD4" w14:textId="77777777" w:rsidR="00BB7517" w:rsidRPr="002D325A" w:rsidRDefault="00BB7517" w:rsidP="00BB7517">
      <w:pPr>
        <w:pStyle w:val="Body"/>
        <w:rPr>
          <w:rFonts w:ascii="Arial" w:hAnsi="Arial" w:cs="Arial"/>
        </w:rPr>
      </w:pPr>
      <w:r w:rsidRPr="002D325A">
        <w:rPr>
          <w:rFonts w:ascii="Arial" w:hAnsi="Arial" w:cs="Arial"/>
        </w:rPr>
        <w:t>Table 5: 2015 Greenness Score (Percentage)</w:t>
      </w:r>
    </w:p>
    <w:tbl>
      <w:tblPr>
        <w:tblStyle w:val="TableGridLight"/>
        <w:tblW w:w="10837" w:type="dxa"/>
        <w:jc w:val="center"/>
        <w:tblLook w:val="04A0" w:firstRow="1" w:lastRow="0" w:firstColumn="1" w:lastColumn="0" w:noHBand="0" w:noVBand="1"/>
      </w:tblPr>
      <w:tblGrid>
        <w:gridCol w:w="899"/>
        <w:gridCol w:w="1419"/>
        <w:gridCol w:w="1076"/>
        <w:gridCol w:w="827"/>
        <w:gridCol w:w="827"/>
        <w:gridCol w:w="827"/>
        <w:gridCol w:w="827"/>
        <w:gridCol w:w="827"/>
        <w:gridCol w:w="827"/>
        <w:gridCol w:w="827"/>
        <w:gridCol w:w="827"/>
        <w:gridCol w:w="827"/>
      </w:tblGrid>
      <w:tr w:rsidR="00CC3D9E" w:rsidRPr="003C32DB" w14:paraId="6C41E837" w14:textId="77777777" w:rsidTr="00A10823">
        <w:trPr>
          <w:trHeight w:val="478"/>
          <w:jc w:val="center"/>
        </w:trPr>
        <w:tc>
          <w:tcPr>
            <w:tcW w:w="899" w:type="dxa"/>
            <w:noWrap/>
            <w:hideMark/>
          </w:tcPr>
          <w:p w14:paraId="4E8F019D"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NDVI RANGE</w:t>
            </w:r>
          </w:p>
        </w:tc>
        <w:tc>
          <w:tcPr>
            <w:tcW w:w="1772" w:type="dxa"/>
          </w:tcPr>
          <w:p w14:paraId="5F3DB316"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rPr>
              <w:t>Range Interpretation</w:t>
            </w:r>
          </w:p>
        </w:tc>
        <w:tc>
          <w:tcPr>
            <w:tcW w:w="1068" w:type="dxa"/>
            <w:noWrap/>
            <w:hideMark/>
          </w:tcPr>
          <w:p w14:paraId="5D0C2D0E"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Maiduguri</w:t>
            </w:r>
          </w:p>
        </w:tc>
        <w:tc>
          <w:tcPr>
            <w:tcW w:w="785" w:type="dxa"/>
            <w:noWrap/>
            <w:hideMark/>
          </w:tcPr>
          <w:p w14:paraId="372958AA"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Asaba</w:t>
            </w:r>
          </w:p>
        </w:tc>
        <w:tc>
          <w:tcPr>
            <w:tcW w:w="785" w:type="dxa"/>
            <w:noWrap/>
            <w:hideMark/>
          </w:tcPr>
          <w:p w14:paraId="483B3EC9"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Enugu</w:t>
            </w:r>
          </w:p>
        </w:tc>
        <w:tc>
          <w:tcPr>
            <w:tcW w:w="785" w:type="dxa"/>
            <w:noWrap/>
            <w:hideMark/>
          </w:tcPr>
          <w:p w14:paraId="23E4745F"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Abuja</w:t>
            </w:r>
          </w:p>
        </w:tc>
        <w:tc>
          <w:tcPr>
            <w:tcW w:w="792" w:type="dxa"/>
            <w:noWrap/>
            <w:hideMark/>
          </w:tcPr>
          <w:p w14:paraId="0E5121B4"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Owerri</w:t>
            </w:r>
          </w:p>
        </w:tc>
        <w:tc>
          <w:tcPr>
            <w:tcW w:w="785" w:type="dxa"/>
            <w:noWrap/>
            <w:hideMark/>
          </w:tcPr>
          <w:p w14:paraId="5986AAEA"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Kano</w:t>
            </w:r>
          </w:p>
        </w:tc>
        <w:tc>
          <w:tcPr>
            <w:tcW w:w="785" w:type="dxa"/>
            <w:noWrap/>
            <w:hideMark/>
          </w:tcPr>
          <w:p w14:paraId="1E57B983"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Ikeja</w:t>
            </w:r>
          </w:p>
        </w:tc>
        <w:tc>
          <w:tcPr>
            <w:tcW w:w="811" w:type="dxa"/>
            <w:noWrap/>
            <w:hideMark/>
          </w:tcPr>
          <w:p w14:paraId="26749CA6"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Ibadan</w:t>
            </w:r>
          </w:p>
        </w:tc>
        <w:tc>
          <w:tcPr>
            <w:tcW w:w="785" w:type="dxa"/>
          </w:tcPr>
          <w:p w14:paraId="62AA5FC6" w14:textId="77777777" w:rsidR="00CC3D9E" w:rsidRPr="003C32DB" w:rsidRDefault="00CC3D9E" w:rsidP="00A97EB0">
            <w:pPr>
              <w:jc w:val="both"/>
              <w:rPr>
                <w:rFonts w:ascii="Arial" w:hAnsi="Arial" w:cs="Arial"/>
                <w:b/>
                <w:bCs/>
                <w:color w:val="000000"/>
                <w:sz w:val="18"/>
                <w:szCs w:val="18"/>
                <w:lang w:val="en-GB"/>
              </w:rPr>
            </w:pPr>
            <w:proofErr w:type="spellStart"/>
            <w:r w:rsidRPr="003C32DB">
              <w:rPr>
                <w:rFonts w:ascii="Arial" w:hAnsi="Arial" w:cs="Arial"/>
                <w:b/>
                <w:bCs/>
                <w:color w:val="000000"/>
                <w:sz w:val="18"/>
                <w:szCs w:val="18"/>
                <w:lang w:val="en-GB"/>
              </w:rPr>
              <w:t>Uyo</w:t>
            </w:r>
            <w:proofErr w:type="spellEnd"/>
          </w:p>
        </w:tc>
        <w:tc>
          <w:tcPr>
            <w:tcW w:w="785" w:type="dxa"/>
            <w:noWrap/>
            <w:hideMark/>
          </w:tcPr>
          <w:p w14:paraId="3D29161B" w14:textId="77777777" w:rsidR="00CC3D9E" w:rsidRPr="003C32DB" w:rsidRDefault="00CC3D9E" w:rsidP="00A97EB0">
            <w:pPr>
              <w:jc w:val="both"/>
              <w:rPr>
                <w:rFonts w:ascii="Arial" w:hAnsi="Arial" w:cs="Arial"/>
                <w:b/>
                <w:bCs/>
                <w:color w:val="000000"/>
                <w:sz w:val="18"/>
                <w:szCs w:val="18"/>
                <w:lang w:val="en-GB"/>
              </w:rPr>
            </w:pPr>
            <w:r w:rsidRPr="003C32DB">
              <w:rPr>
                <w:rFonts w:ascii="Arial" w:hAnsi="Arial" w:cs="Arial"/>
                <w:b/>
                <w:bCs/>
                <w:color w:val="000000"/>
                <w:sz w:val="18"/>
                <w:szCs w:val="18"/>
                <w:lang w:val="en-GB"/>
              </w:rPr>
              <w:t>Sokoto</w:t>
            </w:r>
          </w:p>
        </w:tc>
      </w:tr>
      <w:tr w:rsidR="00CC3D9E" w:rsidRPr="003C32DB" w14:paraId="10724C19" w14:textId="77777777" w:rsidTr="00A10823">
        <w:trPr>
          <w:trHeight w:val="478"/>
          <w:jc w:val="center"/>
        </w:trPr>
        <w:tc>
          <w:tcPr>
            <w:tcW w:w="899" w:type="dxa"/>
            <w:noWrap/>
            <w:hideMark/>
          </w:tcPr>
          <w:p w14:paraId="3776811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-1.0 - 0.0</w:t>
            </w:r>
          </w:p>
        </w:tc>
        <w:tc>
          <w:tcPr>
            <w:tcW w:w="1772" w:type="dxa"/>
          </w:tcPr>
          <w:p w14:paraId="5843139D"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Non-vegetated areas</w:t>
            </w:r>
          </w:p>
        </w:tc>
        <w:tc>
          <w:tcPr>
            <w:tcW w:w="1068" w:type="dxa"/>
            <w:noWrap/>
            <w:hideMark/>
          </w:tcPr>
          <w:p w14:paraId="20545A1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1.39%</w:t>
            </w:r>
          </w:p>
        </w:tc>
        <w:tc>
          <w:tcPr>
            <w:tcW w:w="785" w:type="dxa"/>
            <w:noWrap/>
            <w:hideMark/>
          </w:tcPr>
          <w:p w14:paraId="5F10AE9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6.55%</w:t>
            </w:r>
          </w:p>
        </w:tc>
        <w:tc>
          <w:tcPr>
            <w:tcW w:w="785" w:type="dxa"/>
            <w:noWrap/>
            <w:hideMark/>
          </w:tcPr>
          <w:p w14:paraId="1E07DF2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0.01%</w:t>
            </w:r>
          </w:p>
        </w:tc>
        <w:tc>
          <w:tcPr>
            <w:tcW w:w="785" w:type="dxa"/>
            <w:noWrap/>
            <w:hideMark/>
          </w:tcPr>
          <w:p w14:paraId="2F09C440"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0.06%</w:t>
            </w:r>
          </w:p>
        </w:tc>
        <w:tc>
          <w:tcPr>
            <w:tcW w:w="792" w:type="dxa"/>
            <w:noWrap/>
            <w:hideMark/>
          </w:tcPr>
          <w:p w14:paraId="24BA8B3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0.01%</w:t>
            </w:r>
          </w:p>
        </w:tc>
        <w:tc>
          <w:tcPr>
            <w:tcW w:w="785" w:type="dxa"/>
            <w:noWrap/>
            <w:hideMark/>
          </w:tcPr>
          <w:p w14:paraId="237C81A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0.07%</w:t>
            </w:r>
          </w:p>
        </w:tc>
        <w:tc>
          <w:tcPr>
            <w:tcW w:w="785" w:type="dxa"/>
            <w:noWrap/>
            <w:hideMark/>
          </w:tcPr>
          <w:p w14:paraId="7A8672A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811" w:type="dxa"/>
            <w:noWrap/>
            <w:hideMark/>
          </w:tcPr>
          <w:p w14:paraId="12E95719"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785" w:type="dxa"/>
          </w:tcPr>
          <w:p w14:paraId="1CBF1940"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785" w:type="dxa"/>
            <w:noWrap/>
            <w:hideMark/>
          </w:tcPr>
          <w:p w14:paraId="6A386472"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0.01%</w:t>
            </w:r>
          </w:p>
        </w:tc>
      </w:tr>
      <w:tr w:rsidR="00CC3D9E" w:rsidRPr="003C32DB" w14:paraId="0B9F82A3" w14:textId="77777777" w:rsidTr="00A10823">
        <w:trPr>
          <w:trHeight w:val="478"/>
          <w:jc w:val="center"/>
        </w:trPr>
        <w:tc>
          <w:tcPr>
            <w:tcW w:w="899" w:type="dxa"/>
            <w:noWrap/>
            <w:hideMark/>
          </w:tcPr>
          <w:p w14:paraId="0BDE170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lastRenderedPageBreak/>
              <w:t>0.0 - 0.1</w:t>
            </w:r>
          </w:p>
        </w:tc>
        <w:tc>
          <w:tcPr>
            <w:tcW w:w="1772" w:type="dxa"/>
          </w:tcPr>
          <w:p w14:paraId="6226270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Little to no vegetation</w:t>
            </w:r>
          </w:p>
        </w:tc>
        <w:tc>
          <w:tcPr>
            <w:tcW w:w="1068" w:type="dxa"/>
            <w:noWrap/>
            <w:hideMark/>
          </w:tcPr>
          <w:p w14:paraId="6CB34BC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0.14%</w:t>
            </w:r>
          </w:p>
        </w:tc>
        <w:tc>
          <w:tcPr>
            <w:tcW w:w="785" w:type="dxa"/>
            <w:noWrap/>
            <w:hideMark/>
          </w:tcPr>
          <w:p w14:paraId="356FA34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0.75%</w:t>
            </w:r>
          </w:p>
        </w:tc>
        <w:tc>
          <w:tcPr>
            <w:tcW w:w="785" w:type="dxa"/>
            <w:noWrap/>
            <w:hideMark/>
          </w:tcPr>
          <w:p w14:paraId="16D8CB3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0.03%</w:t>
            </w:r>
          </w:p>
        </w:tc>
        <w:tc>
          <w:tcPr>
            <w:tcW w:w="785" w:type="dxa"/>
            <w:noWrap/>
            <w:hideMark/>
          </w:tcPr>
          <w:p w14:paraId="15F8DBB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0.12%</w:t>
            </w:r>
          </w:p>
        </w:tc>
        <w:tc>
          <w:tcPr>
            <w:tcW w:w="792" w:type="dxa"/>
            <w:noWrap/>
            <w:hideMark/>
          </w:tcPr>
          <w:p w14:paraId="0710DF8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0.04%</w:t>
            </w:r>
          </w:p>
        </w:tc>
        <w:tc>
          <w:tcPr>
            <w:tcW w:w="785" w:type="dxa"/>
            <w:noWrap/>
            <w:hideMark/>
          </w:tcPr>
          <w:p w14:paraId="2D5D24A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5.56%</w:t>
            </w:r>
          </w:p>
        </w:tc>
        <w:tc>
          <w:tcPr>
            <w:tcW w:w="785" w:type="dxa"/>
            <w:noWrap/>
            <w:hideMark/>
          </w:tcPr>
          <w:p w14:paraId="6953DAE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0.97%</w:t>
            </w:r>
          </w:p>
        </w:tc>
        <w:tc>
          <w:tcPr>
            <w:tcW w:w="811" w:type="dxa"/>
            <w:noWrap/>
            <w:hideMark/>
          </w:tcPr>
          <w:p w14:paraId="5100DD2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0.20%</w:t>
            </w:r>
          </w:p>
        </w:tc>
        <w:tc>
          <w:tcPr>
            <w:tcW w:w="785" w:type="dxa"/>
          </w:tcPr>
          <w:p w14:paraId="29300A5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785" w:type="dxa"/>
            <w:noWrap/>
            <w:hideMark/>
          </w:tcPr>
          <w:p w14:paraId="33096CC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2.25%</w:t>
            </w:r>
          </w:p>
        </w:tc>
      </w:tr>
      <w:tr w:rsidR="00CC3D9E" w:rsidRPr="003C32DB" w14:paraId="7B6DE516" w14:textId="77777777" w:rsidTr="00A10823">
        <w:trPr>
          <w:trHeight w:val="478"/>
          <w:jc w:val="center"/>
        </w:trPr>
        <w:tc>
          <w:tcPr>
            <w:tcW w:w="899" w:type="dxa"/>
            <w:noWrap/>
            <w:hideMark/>
          </w:tcPr>
          <w:p w14:paraId="0163675C"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0.1 - 0.3</w:t>
            </w:r>
          </w:p>
        </w:tc>
        <w:tc>
          <w:tcPr>
            <w:tcW w:w="1772" w:type="dxa"/>
          </w:tcPr>
          <w:p w14:paraId="5D80D41D"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Urban areas with sparse vegetation</w:t>
            </w:r>
          </w:p>
        </w:tc>
        <w:tc>
          <w:tcPr>
            <w:tcW w:w="1068" w:type="dxa"/>
            <w:noWrap/>
            <w:hideMark/>
          </w:tcPr>
          <w:p w14:paraId="3256565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93.56%</w:t>
            </w:r>
          </w:p>
        </w:tc>
        <w:tc>
          <w:tcPr>
            <w:tcW w:w="785" w:type="dxa"/>
            <w:noWrap/>
            <w:hideMark/>
          </w:tcPr>
          <w:p w14:paraId="353C46CA"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14.78%</w:t>
            </w:r>
          </w:p>
        </w:tc>
        <w:tc>
          <w:tcPr>
            <w:tcW w:w="785" w:type="dxa"/>
            <w:noWrap/>
            <w:hideMark/>
          </w:tcPr>
          <w:p w14:paraId="647489C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15.47%</w:t>
            </w:r>
          </w:p>
        </w:tc>
        <w:tc>
          <w:tcPr>
            <w:tcW w:w="785" w:type="dxa"/>
            <w:noWrap/>
            <w:hideMark/>
          </w:tcPr>
          <w:p w14:paraId="65D65B53"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19.56%</w:t>
            </w:r>
          </w:p>
        </w:tc>
        <w:tc>
          <w:tcPr>
            <w:tcW w:w="792" w:type="dxa"/>
            <w:noWrap/>
            <w:hideMark/>
          </w:tcPr>
          <w:p w14:paraId="6B7A7CA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8.44%</w:t>
            </w:r>
          </w:p>
        </w:tc>
        <w:tc>
          <w:tcPr>
            <w:tcW w:w="785" w:type="dxa"/>
            <w:noWrap/>
            <w:hideMark/>
          </w:tcPr>
          <w:p w14:paraId="550D1C63"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89.87%</w:t>
            </w:r>
          </w:p>
        </w:tc>
        <w:tc>
          <w:tcPr>
            <w:tcW w:w="785" w:type="dxa"/>
            <w:noWrap/>
            <w:hideMark/>
          </w:tcPr>
          <w:p w14:paraId="7306D66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70.45%</w:t>
            </w:r>
          </w:p>
        </w:tc>
        <w:tc>
          <w:tcPr>
            <w:tcW w:w="811" w:type="dxa"/>
            <w:noWrap/>
            <w:hideMark/>
          </w:tcPr>
          <w:p w14:paraId="685C48D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8.69%</w:t>
            </w:r>
          </w:p>
        </w:tc>
        <w:tc>
          <w:tcPr>
            <w:tcW w:w="785" w:type="dxa"/>
          </w:tcPr>
          <w:p w14:paraId="37626FA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12.80%</w:t>
            </w:r>
          </w:p>
        </w:tc>
        <w:tc>
          <w:tcPr>
            <w:tcW w:w="785" w:type="dxa"/>
            <w:noWrap/>
            <w:hideMark/>
          </w:tcPr>
          <w:p w14:paraId="5661A7C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75.02%</w:t>
            </w:r>
          </w:p>
        </w:tc>
      </w:tr>
      <w:tr w:rsidR="00CC3D9E" w:rsidRPr="003C32DB" w14:paraId="1902FA7B" w14:textId="77777777" w:rsidTr="00A10823">
        <w:trPr>
          <w:trHeight w:val="478"/>
          <w:jc w:val="center"/>
        </w:trPr>
        <w:tc>
          <w:tcPr>
            <w:tcW w:w="899" w:type="dxa"/>
            <w:noWrap/>
            <w:hideMark/>
          </w:tcPr>
          <w:p w14:paraId="41FA89DC"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0.3 - 0.6</w:t>
            </w:r>
          </w:p>
        </w:tc>
        <w:tc>
          <w:tcPr>
            <w:tcW w:w="1772" w:type="dxa"/>
          </w:tcPr>
          <w:p w14:paraId="438782F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Moderate vegetation</w:t>
            </w:r>
          </w:p>
        </w:tc>
        <w:tc>
          <w:tcPr>
            <w:tcW w:w="1068" w:type="dxa"/>
            <w:noWrap/>
            <w:hideMark/>
          </w:tcPr>
          <w:p w14:paraId="40B8AAA7"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4.86%</w:t>
            </w:r>
          </w:p>
        </w:tc>
        <w:tc>
          <w:tcPr>
            <w:tcW w:w="785" w:type="dxa"/>
            <w:noWrap/>
            <w:hideMark/>
          </w:tcPr>
          <w:p w14:paraId="0777AFD9"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77.86%</w:t>
            </w:r>
          </w:p>
        </w:tc>
        <w:tc>
          <w:tcPr>
            <w:tcW w:w="785" w:type="dxa"/>
            <w:noWrap/>
            <w:hideMark/>
          </w:tcPr>
          <w:p w14:paraId="15A1CFE2"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74.15%</w:t>
            </w:r>
          </w:p>
        </w:tc>
        <w:tc>
          <w:tcPr>
            <w:tcW w:w="785" w:type="dxa"/>
            <w:noWrap/>
            <w:hideMark/>
          </w:tcPr>
          <w:p w14:paraId="7BB0BF7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78.31%</w:t>
            </w:r>
          </w:p>
        </w:tc>
        <w:tc>
          <w:tcPr>
            <w:tcW w:w="792" w:type="dxa"/>
            <w:noWrap/>
            <w:hideMark/>
          </w:tcPr>
          <w:p w14:paraId="46AEBC3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55.71%</w:t>
            </w:r>
          </w:p>
        </w:tc>
        <w:tc>
          <w:tcPr>
            <w:tcW w:w="785" w:type="dxa"/>
            <w:noWrap/>
            <w:hideMark/>
          </w:tcPr>
          <w:p w14:paraId="387808AA"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4.49%</w:t>
            </w:r>
          </w:p>
        </w:tc>
        <w:tc>
          <w:tcPr>
            <w:tcW w:w="785" w:type="dxa"/>
            <w:noWrap/>
            <w:hideMark/>
          </w:tcPr>
          <w:p w14:paraId="6FF1247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26.46%</w:t>
            </w:r>
          </w:p>
        </w:tc>
        <w:tc>
          <w:tcPr>
            <w:tcW w:w="811" w:type="dxa"/>
            <w:noWrap/>
            <w:hideMark/>
          </w:tcPr>
          <w:p w14:paraId="110FF63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34.66%</w:t>
            </w:r>
          </w:p>
        </w:tc>
        <w:tc>
          <w:tcPr>
            <w:tcW w:w="785" w:type="dxa"/>
          </w:tcPr>
          <w:p w14:paraId="2C657CDD"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76.35%</w:t>
            </w:r>
          </w:p>
        </w:tc>
        <w:tc>
          <w:tcPr>
            <w:tcW w:w="785" w:type="dxa"/>
            <w:noWrap/>
            <w:hideMark/>
          </w:tcPr>
          <w:p w14:paraId="4C73FEC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22.69%</w:t>
            </w:r>
          </w:p>
        </w:tc>
      </w:tr>
      <w:tr w:rsidR="00CC3D9E" w:rsidRPr="003C32DB" w14:paraId="502673EE" w14:textId="77777777" w:rsidTr="00A10823">
        <w:trPr>
          <w:trHeight w:val="478"/>
          <w:jc w:val="center"/>
        </w:trPr>
        <w:tc>
          <w:tcPr>
            <w:tcW w:w="899" w:type="dxa"/>
            <w:noWrap/>
            <w:hideMark/>
          </w:tcPr>
          <w:p w14:paraId="22500BC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0.6 - 1.0</w:t>
            </w:r>
          </w:p>
        </w:tc>
        <w:tc>
          <w:tcPr>
            <w:tcW w:w="1772" w:type="dxa"/>
          </w:tcPr>
          <w:p w14:paraId="73E011D3"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Dense vegetation</w:t>
            </w:r>
          </w:p>
        </w:tc>
        <w:tc>
          <w:tcPr>
            <w:tcW w:w="1068" w:type="dxa"/>
            <w:noWrap/>
            <w:hideMark/>
          </w:tcPr>
          <w:p w14:paraId="7618D19F"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0.06%</w:t>
            </w:r>
          </w:p>
        </w:tc>
        <w:tc>
          <w:tcPr>
            <w:tcW w:w="785" w:type="dxa"/>
            <w:noWrap/>
            <w:hideMark/>
          </w:tcPr>
          <w:p w14:paraId="312EB846"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0.06%</w:t>
            </w:r>
          </w:p>
        </w:tc>
        <w:tc>
          <w:tcPr>
            <w:tcW w:w="785" w:type="dxa"/>
            <w:noWrap/>
            <w:hideMark/>
          </w:tcPr>
          <w:p w14:paraId="6860247A"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10.34%</w:t>
            </w:r>
          </w:p>
        </w:tc>
        <w:tc>
          <w:tcPr>
            <w:tcW w:w="785" w:type="dxa"/>
            <w:noWrap/>
            <w:hideMark/>
          </w:tcPr>
          <w:p w14:paraId="4B644E5C"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1.94%</w:t>
            </w:r>
          </w:p>
        </w:tc>
        <w:tc>
          <w:tcPr>
            <w:tcW w:w="792" w:type="dxa"/>
            <w:noWrap/>
            <w:hideMark/>
          </w:tcPr>
          <w:p w14:paraId="621F0AC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35.81%</w:t>
            </w:r>
          </w:p>
        </w:tc>
        <w:tc>
          <w:tcPr>
            <w:tcW w:w="785" w:type="dxa"/>
            <w:noWrap/>
            <w:hideMark/>
          </w:tcPr>
          <w:p w14:paraId="5BEDF2C0"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0.00%</w:t>
            </w:r>
          </w:p>
        </w:tc>
        <w:tc>
          <w:tcPr>
            <w:tcW w:w="785" w:type="dxa"/>
            <w:noWrap/>
            <w:hideMark/>
          </w:tcPr>
          <w:p w14:paraId="528683E5"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2.12%</w:t>
            </w:r>
          </w:p>
        </w:tc>
        <w:tc>
          <w:tcPr>
            <w:tcW w:w="811" w:type="dxa"/>
            <w:noWrap/>
            <w:hideMark/>
          </w:tcPr>
          <w:p w14:paraId="0D7EC15C"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56.44%</w:t>
            </w:r>
          </w:p>
        </w:tc>
        <w:tc>
          <w:tcPr>
            <w:tcW w:w="785" w:type="dxa"/>
          </w:tcPr>
          <w:p w14:paraId="52CC9FB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10.85%</w:t>
            </w:r>
          </w:p>
        </w:tc>
        <w:tc>
          <w:tcPr>
            <w:tcW w:w="785" w:type="dxa"/>
            <w:noWrap/>
            <w:hideMark/>
          </w:tcPr>
          <w:p w14:paraId="0F19142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lang w:val="en-GB"/>
              </w:rPr>
              <w:t>0.03%</w:t>
            </w:r>
          </w:p>
        </w:tc>
      </w:tr>
    </w:tbl>
    <w:p w14:paraId="273F3FED" w14:textId="77777777" w:rsidR="00CC3D9E" w:rsidRPr="002D325A" w:rsidRDefault="00CC3D9E" w:rsidP="00BB7517">
      <w:pPr>
        <w:pStyle w:val="Body"/>
        <w:rPr>
          <w:rFonts w:ascii="Arial" w:hAnsi="Arial" w:cs="Arial"/>
        </w:rPr>
      </w:pPr>
    </w:p>
    <w:p w14:paraId="4365DF9A" w14:textId="35FBA50B" w:rsidR="00BB7517" w:rsidRPr="002D325A" w:rsidRDefault="00BB7517" w:rsidP="00BB7517">
      <w:pPr>
        <w:pStyle w:val="Body"/>
        <w:rPr>
          <w:rFonts w:ascii="Arial" w:hAnsi="Arial" w:cs="Arial"/>
        </w:rPr>
      </w:pPr>
      <w:r w:rsidRPr="002D325A">
        <w:rPr>
          <w:rFonts w:ascii="Arial" w:hAnsi="Arial" w:cs="Arial"/>
        </w:rPr>
        <w:t xml:space="preserve">Table 6: 2025 </w:t>
      </w:r>
      <w:r w:rsidR="00F64E58" w:rsidRPr="002D325A">
        <w:rPr>
          <w:rFonts w:ascii="Arial" w:hAnsi="Arial" w:cs="Arial"/>
        </w:rPr>
        <w:t>Greenness Score</w:t>
      </w:r>
      <w:r w:rsidRPr="002D325A">
        <w:rPr>
          <w:rFonts w:ascii="Arial" w:hAnsi="Arial" w:cs="Arial"/>
        </w:rPr>
        <w:t xml:space="preserve"> (Percentage)</w:t>
      </w:r>
    </w:p>
    <w:tbl>
      <w:tblPr>
        <w:tblStyle w:val="TableGridLight"/>
        <w:tblW w:w="9974" w:type="dxa"/>
        <w:jc w:val="center"/>
        <w:tblLook w:val="04A0" w:firstRow="1" w:lastRow="0" w:firstColumn="1" w:lastColumn="0" w:noHBand="0" w:noVBand="1"/>
      </w:tblPr>
      <w:tblGrid>
        <w:gridCol w:w="867"/>
        <w:gridCol w:w="1377"/>
        <w:gridCol w:w="1076"/>
        <w:gridCol w:w="827"/>
        <w:gridCol w:w="827"/>
        <w:gridCol w:w="827"/>
        <w:gridCol w:w="827"/>
        <w:gridCol w:w="827"/>
        <w:gridCol w:w="827"/>
        <w:gridCol w:w="827"/>
        <w:gridCol w:w="827"/>
        <w:gridCol w:w="827"/>
      </w:tblGrid>
      <w:tr w:rsidR="00CC3D9E" w:rsidRPr="003C32DB" w14:paraId="4639815A" w14:textId="77777777" w:rsidTr="00A10823">
        <w:trPr>
          <w:trHeight w:val="503"/>
          <w:jc w:val="center"/>
        </w:trPr>
        <w:tc>
          <w:tcPr>
            <w:tcW w:w="802" w:type="dxa"/>
            <w:noWrap/>
            <w:hideMark/>
          </w:tcPr>
          <w:p w14:paraId="10EB6D7B"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NDVI RANGE</w:t>
            </w:r>
          </w:p>
        </w:tc>
        <w:tc>
          <w:tcPr>
            <w:tcW w:w="1286" w:type="dxa"/>
          </w:tcPr>
          <w:p w14:paraId="32D3CDBE"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Range Interpretation</w:t>
            </w:r>
          </w:p>
        </w:tc>
        <w:tc>
          <w:tcPr>
            <w:tcW w:w="1001" w:type="dxa"/>
            <w:noWrap/>
            <w:hideMark/>
          </w:tcPr>
          <w:p w14:paraId="0288C57F"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Maiduguri</w:t>
            </w:r>
          </w:p>
        </w:tc>
        <w:tc>
          <w:tcPr>
            <w:tcW w:w="765" w:type="dxa"/>
            <w:noWrap/>
            <w:hideMark/>
          </w:tcPr>
          <w:p w14:paraId="540D59F3"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Asaba</w:t>
            </w:r>
          </w:p>
        </w:tc>
        <w:tc>
          <w:tcPr>
            <w:tcW w:w="765" w:type="dxa"/>
            <w:noWrap/>
            <w:hideMark/>
          </w:tcPr>
          <w:p w14:paraId="1F409DB1"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Enugu</w:t>
            </w:r>
          </w:p>
        </w:tc>
        <w:tc>
          <w:tcPr>
            <w:tcW w:w="765" w:type="dxa"/>
            <w:noWrap/>
            <w:hideMark/>
          </w:tcPr>
          <w:p w14:paraId="0CEE54B0"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Abuja</w:t>
            </w:r>
          </w:p>
        </w:tc>
        <w:tc>
          <w:tcPr>
            <w:tcW w:w="765" w:type="dxa"/>
            <w:noWrap/>
            <w:hideMark/>
          </w:tcPr>
          <w:p w14:paraId="2E339F0F"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Owerri</w:t>
            </w:r>
          </w:p>
        </w:tc>
        <w:tc>
          <w:tcPr>
            <w:tcW w:w="765" w:type="dxa"/>
            <w:noWrap/>
            <w:hideMark/>
          </w:tcPr>
          <w:p w14:paraId="0D69C1FE"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Kano</w:t>
            </w:r>
          </w:p>
        </w:tc>
        <w:tc>
          <w:tcPr>
            <w:tcW w:w="765" w:type="dxa"/>
            <w:noWrap/>
            <w:hideMark/>
          </w:tcPr>
          <w:p w14:paraId="2D43E1F3"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Ikeja</w:t>
            </w:r>
          </w:p>
        </w:tc>
        <w:tc>
          <w:tcPr>
            <w:tcW w:w="765" w:type="dxa"/>
            <w:noWrap/>
            <w:hideMark/>
          </w:tcPr>
          <w:p w14:paraId="203FF55B"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Ibadan</w:t>
            </w:r>
          </w:p>
        </w:tc>
        <w:tc>
          <w:tcPr>
            <w:tcW w:w="765" w:type="dxa"/>
          </w:tcPr>
          <w:p w14:paraId="50B461E0" w14:textId="77777777" w:rsidR="00CC3D9E" w:rsidRPr="003C32DB" w:rsidRDefault="00CC3D9E" w:rsidP="00A97EB0">
            <w:pPr>
              <w:jc w:val="both"/>
              <w:rPr>
                <w:rFonts w:ascii="Arial" w:hAnsi="Arial" w:cs="Arial"/>
                <w:b/>
                <w:bCs/>
                <w:color w:val="000000"/>
                <w:sz w:val="18"/>
                <w:szCs w:val="18"/>
              </w:rPr>
            </w:pPr>
            <w:proofErr w:type="spellStart"/>
            <w:r w:rsidRPr="003C32DB">
              <w:rPr>
                <w:rFonts w:ascii="Arial" w:hAnsi="Arial" w:cs="Arial"/>
                <w:b/>
                <w:bCs/>
                <w:color w:val="000000"/>
                <w:sz w:val="18"/>
                <w:szCs w:val="18"/>
              </w:rPr>
              <w:t>Uyo</w:t>
            </w:r>
            <w:proofErr w:type="spellEnd"/>
          </w:p>
        </w:tc>
        <w:tc>
          <w:tcPr>
            <w:tcW w:w="765" w:type="dxa"/>
            <w:noWrap/>
            <w:hideMark/>
          </w:tcPr>
          <w:p w14:paraId="331BA298" w14:textId="77777777" w:rsidR="00CC3D9E" w:rsidRPr="003C32DB" w:rsidRDefault="00CC3D9E" w:rsidP="00A97EB0">
            <w:pPr>
              <w:jc w:val="both"/>
              <w:rPr>
                <w:rFonts w:ascii="Arial" w:hAnsi="Arial" w:cs="Arial"/>
                <w:b/>
                <w:bCs/>
                <w:color w:val="000000"/>
                <w:sz w:val="18"/>
                <w:szCs w:val="18"/>
              </w:rPr>
            </w:pPr>
            <w:r w:rsidRPr="003C32DB">
              <w:rPr>
                <w:rFonts w:ascii="Arial" w:hAnsi="Arial" w:cs="Arial"/>
                <w:b/>
                <w:bCs/>
                <w:color w:val="000000"/>
                <w:sz w:val="18"/>
                <w:szCs w:val="18"/>
              </w:rPr>
              <w:t>Sokoto</w:t>
            </w:r>
          </w:p>
        </w:tc>
      </w:tr>
      <w:tr w:rsidR="00CC3D9E" w:rsidRPr="003C32DB" w14:paraId="18619A4E" w14:textId="77777777" w:rsidTr="00A10823">
        <w:trPr>
          <w:trHeight w:val="503"/>
          <w:jc w:val="center"/>
        </w:trPr>
        <w:tc>
          <w:tcPr>
            <w:tcW w:w="802" w:type="dxa"/>
            <w:noWrap/>
            <w:hideMark/>
          </w:tcPr>
          <w:p w14:paraId="2724354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-1.0 - 0.0</w:t>
            </w:r>
          </w:p>
        </w:tc>
        <w:tc>
          <w:tcPr>
            <w:tcW w:w="1286" w:type="dxa"/>
          </w:tcPr>
          <w:p w14:paraId="331BFD78"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Non-vegetated areas</w:t>
            </w:r>
          </w:p>
        </w:tc>
        <w:tc>
          <w:tcPr>
            <w:tcW w:w="1001" w:type="dxa"/>
            <w:noWrap/>
            <w:hideMark/>
          </w:tcPr>
          <w:p w14:paraId="53D7ABED"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1.05%</w:t>
            </w:r>
          </w:p>
        </w:tc>
        <w:tc>
          <w:tcPr>
            <w:tcW w:w="765" w:type="dxa"/>
            <w:noWrap/>
            <w:hideMark/>
          </w:tcPr>
          <w:p w14:paraId="13EB79F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6.04%</w:t>
            </w:r>
          </w:p>
        </w:tc>
        <w:tc>
          <w:tcPr>
            <w:tcW w:w="765" w:type="dxa"/>
            <w:noWrap/>
            <w:hideMark/>
          </w:tcPr>
          <w:p w14:paraId="4BB1DA0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0.02%</w:t>
            </w:r>
          </w:p>
        </w:tc>
        <w:tc>
          <w:tcPr>
            <w:tcW w:w="765" w:type="dxa"/>
            <w:noWrap/>
            <w:hideMark/>
          </w:tcPr>
          <w:p w14:paraId="010649B0"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0.03%</w:t>
            </w:r>
          </w:p>
        </w:tc>
        <w:tc>
          <w:tcPr>
            <w:tcW w:w="765" w:type="dxa"/>
            <w:noWrap/>
            <w:hideMark/>
          </w:tcPr>
          <w:p w14:paraId="6945A42D"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0.11%</w:t>
            </w:r>
          </w:p>
        </w:tc>
        <w:tc>
          <w:tcPr>
            <w:tcW w:w="765" w:type="dxa"/>
            <w:noWrap/>
            <w:hideMark/>
          </w:tcPr>
          <w:p w14:paraId="2FB837E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0.15%</w:t>
            </w:r>
          </w:p>
        </w:tc>
        <w:tc>
          <w:tcPr>
            <w:tcW w:w="765" w:type="dxa"/>
            <w:noWrap/>
            <w:hideMark/>
          </w:tcPr>
          <w:p w14:paraId="4944766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0.00%</w:t>
            </w:r>
          </w:p>
        </w:tc>
        <w:tc>
          <w:tcPr>
            <w:tcW w:w="765" w:type="dxa"/>
            <w:noWrap/>
            <w:hideMark/>
          </w:tcPr>
          <w:p w14:paraId="627F01B7"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0.03%</w:t>
            </w:r>
          </w:p>
        </w:tc>
        <w:tc>
          <w:tcPr>
            <w:tcW w:w="765" w:type="dxa"/>
          </w:tcPr>
          <w:p w14:paraId="3D71C17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0.00%</w:t>
            </w:r>
          </w:p>
        </w:tc>
        <w:tc>
          <w:tcPr>
            <w:tcW w:w="765" w:type="dxa"/>
            <w:noWrap/>
            <w:hideMark/>
          </w:tcPr>
          <w:p w14:paraId="5016DE79"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0.17%</w:t>
            </w:r>
          </w:p>
        </w:tc>
      </w:tr>
      <w:tr w:rsidR="00CC3D9E" w:rsidRPr="003C32DB" w14:paraId="0C46462A" w14:textId="77777777" w:rsidTr="00A10823">
        <w:trPr>
          <w:trHeight w:val="503"/>
          <w:jc w:val="center"/>
        </w:trPr>
        <w:tc>
          <w:tcPr>
            <w:tcW w:w="802" w:type="dxa"/>
            <w:noWrap/>
            <w:hideMark/>
          </w:tcPr>
          <w:p w14:paraId="73696DB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0.0 - 0.1</w:t>
            </w:r>
          </w:p>
        </w:tc>
        <w:tc>
          <w:tcPr>
            <w:tcW w:w="1286" w:type="dxa"/>
          </w:tcPr>
          <w:p w14:paraId="2EA2D4FB"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Little to no vegetation</w:t>
            </w:r>
          </w:p>
        </w:tc>
        <w:tc>
          <w:tcPr>
            <w:tcW w:w="1001" w:type="dxa"/>
            <w:noWrap/>
            <w:hideMark/>
          </w:tcPr>
          <w:p w14:paraId="37D1706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0.20%</w:t>
            </w:r>
          </w:p>
        </w:tc>
        <w:tc>
          <w:tcPr>
            <w:tcW w:w="765" w:type="dxa"/>
            <w:noWrap/>
            <w:hideMark/>
          </w:tcPr>
          <w:p w14:paraId="78D1393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0.37%</w:t>
            </w:r>
          </w:p>
        </w:tc>
        <w:tc>
          <w:tcPr>
            <w:tcW w:w="765" w:type="dxa"/>
            <w:noWrap/>
            <w:hideMark/>
          </w:tcPr>
          <w:p w14:paraId="0D8CD61D"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0.02%</w:t>
            </w:r>
          </w:p>
        </w:tc>
        <w:tc>
          <w:tcPr>
            <w:tcW w:w="765" w:type="dxa"/>
            <w:noWrap/>
            <w:hideMark/>
          </w:tcPr>
          <w:p w14:paraId="6EFED5FF"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0.42%</w:t>
            </w:r>
          </w:p>
        </w:tc>
        <w:tc>
          <w:tcPr>
            <w:tcW w:w="765" w:type="dxa"/>
            <w:noWrap/>
            <w:hideMark/>
          </w:tcPr>
          <w:p w14:paraId="4164921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0.11%</w:t>
            </w:r>
          </w:p>
        </w:tc>
        <w:tc>
          <w:tcPr>
            <w:tcW w:w="765" w:type="dxa"/>
            <w:noWrap/>
            <w:hideMark/>
          </w:tcPr>
          <w:p w14:paraId="4A448EE3"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8.35%</w:t>
            </w:r>
          </w:p>
        </w:tc>
        <w:tc>
          <w:tcPr>
            <w:tcW w:w="765" w:type="dxa"/>
            <w:noWrap/>
            <w:hideMark/>
          </w:tcPr>
          <w:p w14:paraId="432A65D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13.57%</w:t>
            </w:r>
          </w:p>
        </w:tc>
        <w:tc>
          <w:tcPr>
            <w:tcW w:w="765" w:type="dxa"/>
            <w:noWrap/>
            <w:hideMark/>
          </w:tcPr>
          <w:p w14:paraId="4C91DEF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0.14%</w:t>
            </w:r>
          </w:p>
        </w:tc>
        <w:tc>
          <w:tcPr>
            <w:tcW w:w="765" w:type="dxa"/>
          </w:tcPr>
          <w:p w14:paraId="13239F39"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0.00%</w:t>
            </w:r>
          </w:p>
        </w:tc>
        <w:tc>
          <w:tcPr>
            <w:tcW w:w="765" w:type="dxa"/>
            <w:noWrap/>
            <w:hideMark/>
          </w:tcPr>
          <w:p w14:paraId="589FF9FD"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1.49%</w:t>
            </w:r>
          </w:p>
        </w:tc>
      </w:tr>
      <w:tr w:rsidR="00CC3D9E" w:rsidRPr="003C32DB" w14:paraId="59A7DD69" w14:textId="77777777" w:rsidTr="00A10823">
        <w:trPr>
          <w:trHeight w:val="503"/>
          <w:jc w:val="center"/>
        </w:trPr>
        <w:tc>
          <w:tcPr>
            <w:tcW w:w="802" w:type="dxa"/>
            <w:noWrap/>
            <w:hideMark/>
          </w:tcPr>
          <w:p w14:paraId="7EFE7845"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0.1 - 0.3</w:t>
            </w:r>
          </w:p>
        </w:tc>
        <w:tc>
          <w:tcPr>
            <w:tcW w:w="1286" w:type="dxa"/>
          </w:tcPr>
          <w:p w14:paraId="0358E60E"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Urban areas with sparse vegetation</w:t>
            </w:r>
          </w:p>
        </w:tc>
        <w:tc>
          <w:tcPr>
            <w:tcW w:w="1001" w:type="dxa"/>
            <w:noWrap/>
            <w:hideMark/>
          </w:tcPr>
          <w:p w14:paraId="047E6BA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73.06%</w:t>
            </w:r>
          </w:p>
        </w:tc>
        <w:tc>
          <w:tcPr>
            <w:tcW w:w="765" w:type="dxa"/>
            <w:noWrap/>
            <w:hideMark/>
          </w:tcPr>
          <w:p w14:paraId="00F47A8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19.04%</w:t>
            </w:r>
          </w:p>
        </w:tc>
        <w:tc>
          <w:tcPr>
            <w:tcW w:w="765" w:type="dxa"/>
            <w:noWrap/>
            <w:hideMark/>
          </w:tcPr>
          <w:p w14:paraId="3E0C470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25.33%</w:t>
            </w:r>
          </w:p>
        </w:tc>
        <w:tc>
          <w:tcPr>
            <w:tcW w:w="765" w:type="dxa"/>
            <w:noWrap/>
            <w:hideMark/>
          </w:tcPr>
          <w:p w14:paraId="780CEEA4"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83.66%</w:t>
            </w:r>
          </w:p>
        </w:tc>
        <w:tc>
          <w:tcPr>
            <w:tcW w:w="765" w:type="dxa"/>
            <w:noWrap/>
            <w:hideMark/>
          </w:tcPr>
          <w:p w14:paraId="232C09DC"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9.52%</w:t>
            </w:r>
          </w:p>
        </w:tc>
        <w:tc>
          <w:tcPr>
            <w:tcW w:w="765" w:type="dxa"/>
            <w:noWrap/>
            <w:hideMark/>
          </w:tcPr>
          <w:p w14:paraId="6B82EF32"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85.05%</w:t>
            </w:r>
          </w:p>
        </w:tc>
        <w:tc>
          <w:tcPr>
            <w:tcW w:w="765" w:type="dxa"/>
            <w:noWrap/>
            <w:hideMark/>
          </w:tcPr>
          <w:p w14:paraId="191F4CCC"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70.24%</w:t>
            </w:r>
          </w:p>
        </w:tc>
        <w:tc>
          <w:tcPr>
            <w:tcW w:w="765" w:type="dxa"/>
            <w:noWrap/>
            <w:hideMark/>
          </w:tcPr>
          <w:p w14:paraId="60D1FCDB"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19.35%</w:t>
            </w:r>
          </w:p>
        </w:tc>
        <w:tc>
          <w:tcPr>
            <w:tcW w:w="765" w:type="dxa"/>
          </w:tcPr>
          <w:p w14:paraId="72DE5A16"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22.44%</w:t>
            </w:r>
          </w:p>
        </w:tc>
        <w:tc>
          <w:tcPr>
            <w:tcW w:w="765" w:type="dxa"/>
            <w:noWrap/>
            <w:hideMark/>
          </w:tcPr>
          <w:p w14:paraId="5732F9D9"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66.08%</w:t>
            </w:r>
          </w:p>
        </w:tc>
      </w:tr>
      <w:tr w:rsidR="00CC3D9E" w:rsidRPr="003C32DB" w14:paraId="272295D6" w14:textId="77777777" w:rsidTr="00A10823">
        <w:trPr>
          <w:trHeight w:val="503"/>
          <w:jc w:val="center"/>
        </w:trPr>
        <w:tc>
          <w:tcPr>
            <w:tcW w:w="802" w:type="dxa"/>
            <w:noWrap/>
            <w:hideMark/>
          </w:tcPr>
          <w:p w14:paraId="17E5EE59"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0.3 - 0.6</w:t>
            </w:r>
          </w:p>
        </w:tc>
        <w:tc>
          <w:tcPr>
            <w:tcW w:w="1286" w:type="dxa"/>
          </w:tcPr>
          <w:p w14:paraId="6AF580B4"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Moderate vegetation</w:t>
            </w:r>
          </w:p>
        </w:tc>
        <w:tc>
          <w:tcPr>
            <w:tcW w:w="1001" w:type="dxa"/>
            <w:noWrap/>
            <w:hideMark/>
          </w:tcPr>
          <w:p w14:paraId="6757785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25.40%</w:t>
            </w:r>
          </w:p>
        </w:tc>
        <w:tc>
          <w:tcPr>
            <w:tcW w:w="765" w:type="dxa"/>
            <w:noWrap/>
            <w:hideMark/>
          </w:tcPr>
          <w:p w14:paraId="21AFB03E"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52.80%</w:t>
            </w:r>
          </w:p>
        </w:tc>
        <w:tc>
          <w:tcPr>
            <w:tcW w:w="765" w:type="dxa"/>
            <w:noWrap/>
            <w:hideMark/>
          </w:tcPr>
          <w:p w14:paraId="6C08F4D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71.96%</w:t>
            </w:r>
          </w:p>
        </w:tc>
        <w:tc>
          <w:tcPr>
            <w:tcW w:w="765" w:type="dxa"/>
            <w:noWrap/>
            <w:hideMark/>
          </w:tcPr>
          <w:p w14:paraId="2EA4DBE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15.78%</w:t>
            </w:r>
          </w:p>
        </w:tc>
        <w:tc>
          <w:tcPr>
            <w:tcW w:w="765" w:type="dxa"/>
            <w:noWrap/>
            <w:hideMark/>
          </w:tcPr>
          <w:p w14:paraId="05950F0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47.20%</w:t>
            </w:r>
          </w:p>
        </w:tc>
        <w:tc>
          <w:tcPr>
            <w:tcW w:w="765" w:type="dxa"/>
            <w:noWrap/>
            <w:hideMark/>
          </w:tcPr>
          <w:p w14:paraId="426D43EC"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6.45%</w:t>
            </w:r>
          </w:p>
        </w:tc>
        <w:tc>
          <w:tcPr>
            <w:tcW w:w="765" w:type="dxa"/>
            <w:noWrap/>
            <w:hideMark/>
          </w:tcPr>
          <w:p w14:paraId="74D3952A"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14.16%</w:t>
            </w:r>
          </w:p>
        </w:tc>
        <w:tc>
          <w:tcPr>
            <w:tcW w:w="765" w:type="dxa"/>
            <w:noWrap/>
            <w:hideMark/>
          </w:tcPr>
          <w:p w14:paraId="740E63B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72.15%</w:t>
            </w:r>
          </w:p>
        </w:tc>
        <w:tc>
          <w:tcPr>
            <w:tcW w:w="765" w:type="dxa"/>
          </w:tcPr>
          <w:p w14:paraId="67136BD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67.28%</w:t>
            </w:r>
          </w:p>
        </w:tc>
        <w:tc>
          <w:tcPr>
            <w:tcW w:w="765" w:type="dxa"/>
            <w:noWrap/>
            <w:hideMark/>
          </w:tcPr>
          <w:p w14:paraId="6F1C2E2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32.08%</w:t>
            </w:r>
          </w:p>
        </w:tc>
      </w:tr>
      <w:tr w:rsidR="00CC3D9E" w:rsidRPr="003C32DB" w14:paraId="135A19B1" w14:textId="77777777" w:rsidTr="00A10823">
        <w:trPr>
          <w:trHeight w:val="503"/>
          <w:jc w:val="center"/>
        </w:trPr>
        <w:tc>
          <w:tcPr>
            <w:tcW w:w="802" w:type="dxa"/>
            <w:noWrap/>
            <w:hideMark/>
          </w:tcPr>
          <w:p w14:paraId="74DAF14E"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0.6 - 1.0</w:t>
            </w:r>
          </w:p>
        </w:tc>
        <w:tc>
          <w:tcPr>
            <w:tcW w:w="1286" w:type="dxa"/>
          </w:tcPr>
          <w:p w14:paraId="0E6830E1" w14:textId="77777777" w:rsidR="00CC3D9E" w:rsidRPr="003C32DB" w:rsidRDefault="00CC3D9E" w:rsidP="00A97EB0">
            <w:pPr>
              <w:jc w:val="both"/>
              <w:rPr>
                <w:rFonts w:ascii="Arial" w:hAnsi="Arial" w:cs="Arial"/>
                <w:color w:val="000000"/>
                <w:sz w:val="18"/>
                <w:szCs w:val="18"/>
                <w:lang w:val="en-GB"/>
              </w:rPr>
            </w:pPr>
            <w:r w:rsidRPr="003C32DB">
              <w:rPr>
                <w:rFonts w:ascii="Arial" w:hAnsi="Arial" w:cs="Arial"/>
                <w:color w:val="000000"/>
                <w:sz w:val="18"/>
                <w:szCs w:val="18"/>
              </w:rPr>
              <w:t>Dense vegetation</w:t>
            </w:r>
          </w:p>
        </w:tc>
        <w:tc>
          <w:tcPr>
            <w:tcW w:w="1001" w:type="dxa"/>
            <w:noWrap/>
            <w:hideMark/>
          </w:tcPr>
          <w:p w14:paraId="4E27DECF"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0.30%</w:t>
            </w:r>
          </w:p>
        </w:tc>
        <w:tc>
          <w:tcPr>
            <w:tcW w:w="765" w:type="dxa"/>
            <w:noWrap/>
            <w:hideMark/>
          </w:tcPr>
          <w:p w14:paraId="6A9B9871"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21.76%</w:t>
            </w:r>
          </w:p>
        </w:tc>
        <w:tc>
          <w:tcPr>
            <w:tcW w:w="765" w:type="dxa"/>
            <w:noWrap/>
            <w:hideMark/>
          </w:tcPr>
          <w:p w14:paraId="6E3420CF"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2.68%</w:t>
            </w:r>
          </w:p>
        </w:tc>
        <w:tc>
          <w:tcPr>
            <w:tcW w:w="765" w:type="dxa"/>
            <w:noWrap/>
            <w:hideMark/>
          </w:tcPr>
          <w:p w14:paraId="60DB8568"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0.11%</w:t>
            </w:r>
          </w:p>
        </w:tc>
        <w:tc>
          <w:tcPr>
            <w:tcW w:w="765" w:type="dxa"/>
            <w:noWrap/>
            <w:hideMark/>
          </w:tcPr>
          <w:p w14:paraId="6099C94F"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43.06%</w:t>
            </w:r>
          </w:p>
        </w:tc>
        <w:tc>
          <w:tcPr>
            <w:tcW w:w="765" w:type="dxa"/>
            <w:noWrap/>
            <w:hideMark/>
          </w:tcPr>
          <w:p w14:paraId="06CCD670"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0.00%</w:t>
            </w:r>
          </w:p>
        </w:tc>
        <w:tc>
          <w:tcPr>
            <w:tcW w:w="765" w:type="dxa"/>
            <w:noWrap/>
            <w:hideMark/>
          </w:tcPr>
          <w:p w14:paraId="7B4B2807"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2.03%</w:t>
            </w:r>
          </w:p>
        </w:tc>
        <w:tc>
          <w:tcPr>
            <w:tcW w:w="765" w:type="dxa"/>
            <w:noWrap/>
            <w:hideMark/>
          </w:tcPr>
          <w:p w14:paraId="0D4B8E3B"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8.33%</w:t>
            </w:r>
          </w:p>
        </w:tc>
        <w:tc>
          <w:tcPr>
            <w:tcW w:w="765" w:type="dxa"/>
          </w:tcPr>
          <w:p w14:paraId="269C2050"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10.28%</w:t>
            </w:r>
          </w:p>
        </w:tc>
        <w:tc>
          <w:tcPr>
            <w:tcW w:w="765" w:type="dxa"/>
            <w:noWrap/>
            <w:hideMark/>
          </w:tcPr>
          <w:p w14:paraId="4E905D5A" w14:textId="77777777" w:rsidR="00CC3D9E" w:rsidRPr="003C32DB" w:rsidRDefault="00CC3D9E" w:rsidP="00A97EB0">
            <w:pPr>
              <w:jc w:val="both"/>
              <w:rPr>
                <w:rFonts w:ascii="Arial" w:hAnsi="Arial" w:cs="Arial"/>
                <w:color w:val="000000"/>
                <w:sz w:val="18"/>
                <w:szCs w:val="18"/>
              </w:rPr>
            </w:pPr>
            <w:r w:rsidRPr="003C32DB">
              <w:rPr>
                <w:rFonts w:ascii="Arial" w:hAnsi="Arial" w:cs="Arial"/>
                <w:color w:val="000000"/>
                <w:sz w:val="18"/>
                <w:szCs w:val="18"/>
              </w:rPr>
              <w:t>0.18%</w:t>
            </w:r>
          </w:p>
        </w:tc>
      </w:tr>
    </w:tbl>
    <w:p w14:paraId="72EB556E" w14:textId="77777777" w:rsidR="00CC3D9E" w:rsidRPr="002D325A" w:rsidRDefault="00CC3D9E" w:rsidP="00BB7517">
      <w:pPr>
        <w:pStyle w:val="Body"/>
        <w:rPr>
          <w:rFonts w:ascii="Arial" w:hAnsi="Arial" w:cs="Arial"/>
        </w:rPr>
      </w:pPr>
    </w:p>
    <w:p w14:paraId="5BDD8667" w14:textId="1768A499" w:rsidR="00BB7517" w:rsidRPr="002D325A" w:rsidRDefault="00BB7517" w:rsidP="00BB7517">
      <w:pPr>
        <w:pStyle w:val="Body"/>
        <w:rPr>
          <w:rFonts w:ascii="Arial" w:hAnsi="Arial" w:cs="Arial"/>
        </w:rPr>
      </w:pPr>
      <w:r w:rsidRPr="002D325A">
        <w:rPr>
          <w:rFonts w:ascii="Arial" w:hAnsi="Arial" w:cs="Arial"/>
        </w:rPr>
        <w:t>Table 7: 2015 Greenness Score (Hectares)</w:t>
      </w:r>
    </w:p>
    <w:tbl>
      <w:tblPr>
        <w:tblStyle w:val="TableGridLight"/>
        <w:tblpPr w:leftFromText="180" w:rightFromText="180" w:vertAnchor="text" w:horzAnchor="page" w:tblpX="1179" w:tblpY="29"/>
        <w:tblW w:w="10703" w:type="dxa"/>
        <w:tblLook w:val="04A0" w:firstRow="1" w:lastRow="0" w:firstColumn="1" w:lastColumn="0" w:noHBand="0" w:noVBand="1"/>
      </w:tblPr>
      <w:tblGrid>
        <w:gridCol w:w="794"/>
        <w:gridCol w:w="1248"/>
        <w:gridCol w:w="981"/>
        <w:gridCol w:w="884"/>
        <w:gridCol w:w="884"/>
        <w:gridCol w:w="884"/>
        <w:gridCol w:w="884"/>
        <w:gridCol w:w="884"/>
        <w:gridCol w:w="706"/>
        <w:gridCol w:w="884"/>
        <w:gridCol w:w="884"/>
        <w:gridCol w:w="1053"/>
      </w:tblGrid>
      <w:tr w:rsidR="00CC3D9E" w:rsidRPr="003C32DB" w14:paraId="4DD6FAE1" w14:textId="77777777" w:rsidTr="003C32DB">
        <w:trPr>
          <w:trHeight w:val="487"/>
        </w:trPr>
        <w:tc>
          <w:tcPr>
            <w:tcW w:w="777" w:type="dxa"/>
            <w:noWrap/>
            <w:hideMark/>
          </w:tcPr>
          <w:p w14:paraId="5DBF2C07"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NDVI RANGE</w:t>
            </w:r>
          </w:p>
        </w:tc>
        <w:tc>
          <w:tcPr>
            <w:tcW w:w="1234" w:type="dxa"/>
            <w:noWrap/>
            <w:hideMark/>
          </w:tcPr>
          <w:p w14:paraId="0A08E04A"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Range Interpretation</w:t>
            </w:r>
          </w:p>
        </w:tc>
        <w:tc>
          <w:tcPr>
            <w:tcW w:w="964" w:type="dxa"/>
            <w:noWrap/>
            <w:hideMark/>
          </w:tcPr>
          <w:p w14:paraId="11911EE6"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Maiduguri</w:t>
            </w:r>
          </w:p>
        </w:tc>
        <w:tc>
          <w:tcPr>
            <w:tcW w:w="866" w:type="dxa"/>
            <w:noWrap/>
            <w:hideMark/>
          </w:tcPr>
          <w:p w14:paraId="075B10E2"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Asaba</w:t>
            </w:r>
          </w:p>
        </w:tc>
        <w:tc>
          <w:tcPr>
            <w:tcW w:w="866" w:type="dxa"/>
            <w:noWrap/>
            <w:hideMark/>
          </w:tcPr>
          <w:p w14:paraId="4BA371D6"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Enugu</w:t>
            </w:r>
          </w:p>
        </w:tc>
        <w:tc>
          <w:tcPr>
            <w:tcW w:w="866" w:type="dxa"/>
            <w:noWrap/>
            <w:hideMark/>
          </w:tcPr>
          <w:p w14:paraId="5853005F"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Abuja</w:t>
            </w:r>
          </w:p>
        </w:tc>
        <w:tc>
          <w:tcPr>
            <w:tcW w:w="866" w:type="dxa"/>
            <w:noWrap/>
            <w:hideMark/>
          </w:tcPr>
          <w:p w14:paraId="0342305B"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Owerri</w:t>
            </w:r>
          </w:p>
        </w:tc>
        <w:tc>
          <w:tcPr>
            <w:tcW w:w="866" w:type="dxa"/>
            <w:noWrap/>
            <w:hideMark/>
          </w:tcPr>
          <w:p w14:paraId="1D45BF7E"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Kano</w:t>
            </w:r>
          </w:p>
        </w:tc>
        <w:tc>
          <w:tcPr>
            <w:tcW w:w="687" w:type="dxa"/>
            <w:noWrap/>
            <w:hideMark/>
          </w:tcPr>
          <w:p w14:paraId="17D0139A"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Ikeja</w:t>
            </w:r>
          </w:p>
        </w:tc>
        <w:tc>
          <w:tcPr>
            <w:tcW w:w="866" w:type="dxa"/>
            <w:noWrap/>
            <w:hideMark/>
          </w:tcPr>
          <w:p w14:paraId="248CC8B9"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Ibadan</w:t>
            </w:r>
          </w:p>
        </w:tc>
        <w:tc>
          <w:tcPr>
            <w:tcW w:w="792" w:type="dxa"/>
            <w:noWrap/>
            <w:hideMark/>
          </w:tcPr>
          <w:p w14:paraId="47FD2983" w14:textId="77777777" w:rsidR="00CC3D9E" w:rsidRPr="003C32DB" w:rsidRDefault="00CC3D9E" w:rsidP="00A97EB0">
            <w:pPr>
              <w:jc w:val="both"/>
              <w:rPr>
                <w:rFonts w:ascii="Arial" w:hAnsi="Arial" w:cs="Arial"/>
                <w:b/>
                <w:bCs/>
                <w:color w:val="000000"/>
                <w:sz w:val="16"/>
                <w:szCs w:val="16"/>
              </w:rPr>
            </w:pPr>
            <w:proofErr w:type="spellStart"/>
            <w:r w:rsidRPr="003C32DB">
              <w:rPr>
                <w:rFonts w:ascii="Arial" w:hAnsi="Arial" w:cs="Arial"/>
                <w:b/>
                <w:bCs/>
                <w:color w:val="000000"/>
                <w:sz w:val="16"/>
                <w:szCs w:val="16"/>
              </w:rPr>
              <w:t>Uyo</w:t>
            </w:r>
            <w:proofErr w:type="spellEnd"/>
          </w:p>
        </w:tc>
        <w:tc>
          <w:tcPr>
            <w:tcW w:w="1053" w:type="dxa"/>
            <w:noWrap/>
            <w:hideMark/>
          </w:tcPr>
          <w:p w14:paraId="562E6B4B" w14:textId="77777777" w:rsidR="00CC3D9E" w:rsidRPr="003C32DB" w:rsidRDefault="00CC3D9E" w:rsidP="00A97EB0">
            <w:pPr>
              <w:jc w:val="both"/>
              <w:rPr>
                <w:rFonts w:ascii="Arial" w:hAnsi="Arial" w:cs="Arial"/>
                <w:b/>
                <w:bCs/>
                <w:color w:val="000000"/>
                <w:sz w:val="16"/>
                <w:szCs w:val="16"/>
              </w:rPr>
            </w:pPr>
            <w:r w:rsidRPr="003C32DB">
              <w:rPr>
                <w:rFonts w:ascii="Arial" w:hAnsi="Arial" w:cs="Arial"/>
                <w:b/>
                <w:bCs/>
                <w:color w:val="000000"/>
                <w:sz w:val="16"/>
                <w:szCs w:val="16"/>
              </w:rPr>
              <w:t>Sokoto</w:t>
            </w:r>
          </w:p>
        </w:tc>
      </w:tr>
      <w:tr w:rsidR="00CC3D9E" w:rsidRPr="003C32DB" w14:paraId="2D023B53" w14:textId="77777777" w:rsidTr="003C32DB">
        <w:trPr>
          <w:trHeight w:val="487"/>
        </w:trPr>
        <w:tc>
          <w:tcPr>
            <w:tcW w:w="777" w:type="dxa"/>
            <w:noWrap/>
            <w:hideMark/>
          </w:tcPr>
          <w:p w14:paraId="4B637363"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-1.0 - 0.0</w:t>
            </w:r>
          </w:p>
        </w:tc>
        <w:tc>
          <w:tcPr>
            <w:tcW w:w="1234" w:type="dxa"/>
            <w:hideMark/>
          </w:tcPr>
          <w:p w14:paraId="414E7B2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Non-vegetated areas</w:t>
            </w:r>
          </w:p>
        </w:tc>
        <w:tc>
          <w:tcPr>
            <w:tcW w:w="964" w:type="dxa"/>
            <w:noWrap/>
            <w:hideMark/>
          </w:tcPr>
          <w:p w14:paraId="7AD74701"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1068.57</w:t>
            </w:r>
          </w:p>
        </w:tc>
        <w:tc>
          <w:tcPr>
            <w:tcW w:w="866" w:type="dxa"/>
            <w:noWrap/>
            <w:hideMark/>
          </w:tcPr>
          <w:p w14:paraId="2FCBE84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1635.48</w:t>
            </w:r>
          </w:p>
        </w:tc>
        <w:tc>
          <w:tcPr>
            <w:tcW w:w="866" w:type="dxa"/>
            <w:noWrap/>
            <w:hideMark/>
          </w:tcPr>
          <w:p w14:paraId="3C9AA97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9.45</w:t>
            </w:r>
          </w:p>
        </w:tc>
        <w:tc>
          <w:tcPr>
            <w:tcW w:w="866" w:type="dxa"/>
            <w:noWrap/>
            <w:hideMark/>
          </w:tcPr>
          <w:p w14:paraId="1463DA2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50.85</w:t>
            </w:r>
          </w:p>
        </w:tc>
        <w:tc>
          <w:tcPr>
            <w:tcW w:w="866" w:type="dxa"/>
            <w:noWrap/>
            <w:hideMark/>
          </w:tcPr>
          <w:p w14:paraId="55B4CC2E"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60.39</w:t>
            </w:r>
          </w:p>
        </w:tc>
        <w:tc>
          <w:tcPr>
            <w:tcW w:w="866" w:type="dxa"/>
            <w:noWrap/>
            <w:hideMark/>
          </w:tcPr>
          <w:p w14:paraId="1409DB8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78.57</w:t>
            </w:r>
          </w:p>
        </w:tc>
        <w:tc>
          <w:tcPr>
            <w:tcW w:w="687" w:type="dxa"/>
            <w:noWrap/>
            <w:hideMark/>
          </w:tcPr>
          <w:p w14:paraId="5937833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w:t>
            </w:r>
          </w:p>
        </w:tc>
        <w:tc>
          <w:tcPr>
            <w:tcW w:w="866" w:type="dxa"/>
            <w:noWrap/>
            <w:hideMark/>
          </w:tcPr>
          <w:p w14:paraId="41B19F2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86.49</w:t>
            </w:r>
          </w:p>
        </w:tc>
        <w:tc>
          <w:tcPr>
            <w:tcW w:w="792" w:type="dxa"/>
            <w:noWrap/>
            <w:hideMark/>
          </w:tcPr>
          <w:p w14:paraId="5633BAF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w:t>
            </w:r>
          </w:p>
        </w:tc>
        <w:tc>
          <w:tcPr>
            <w:tcW w:w="1053" w:type="dxa"/>
            <w:noWrap/>
            <w:hideMark/>
          </w:tcPr>
          <w:p w14:paraId="1999669C"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15.84</w:t>
            </w:r>
          </w:p>
        </w:tc>
      </w:tr>
      <w:tr w:rsidR="00CC3D9E" w:rsidRPr="003C32DB" w14:paraId="16190831" w14:textId="77777777" w:rsidTr="003C32DB">
        <w:trPr>
          <w:trHeight w:val="487"/>
        </w:trPr>
        <w:tc>
          <w:tcPr>
            <w:tcW w:w="777" w:type="dxa"/>
            <w:noWrap/>
            <w:hideMark/>
          </w:tcPr>
          <w:p w14:paraId="49AAB20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0.0 - 0.1</w:t>
            </w:r>
          </w:p>
        </w:tc>
        <w:tc>
          <w:tcPr>
            <w:tcW w:w="1234" w:type="dxa"/>
            <w:hideMark/>
          </w:tcPr>
          <w:p w14:paraId="347C65F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Little to no vegetation</w:t>
            </w:r>
          </w:p>
        </w:tc>
        <w:tc>
          <w:tcPr>
            <w:tcW w:w="964" w:type="dxa"/>
            <w:noWrap/>
            <w:hideMark/>
          </w:tcPr>
          <w:p w14:paraId="2360DA7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202.95</w:t>
            </w:r>
          </w:p>
        </w:tc>
        <w:tc>
          <w:tcPr>
            <w:tcW w:w="866" w:type="dxa"/>
            <w:noWrap/>
            <w:hideMark/>
          </w:tcPr>
          <w:p w14:paraId="55AA25B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99.63</w:t>
            </w:r>
          </w:p>
        </w:tc>
        <w:tc>
          <w:tcPr>
            <w:tcW w:w="866" w:type="dxa"/>
            <w:noWrap/>
            <w:hideMark/>
          </w:tcPr>
          <w:p w14:paraId="7B754ABF"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11.25</w:t>
            </w:r>
          </w:p>
        </w:tc>
        <w:tc>
          <w:tcPr>
            <w:tcW w:w="866" w:type="dxa"/>
            <w:noWrap/>
            <w:hideMark/>
          </w:tcPr>
          <w:p w14:paraId="5DC171DA"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756.63</w:t>
            </w:r>
          </w:p>
        </w:tc>
        <w:tc>
          <w:tcPr>
            <w:tcW w:w="866" w:type="dxa"/>
            <w:noWrap/>
            <w:hideMark/>
          </w:tcPr>
          <w:p w14:paraId="6139AAC2"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61.83</w:t>
            </w:r>
          </w:p>
        </w:tc>
        <w:tc>
          <w:tcPr>
            <w:tcW w:w="866" w:type="dxa"/>
            <w:noWrap/>
            <w:hideMark/>
          </w:tcPr>
          <w:p w14:paraId="7C58CA43"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4298.49</w:t>
            </w:r>
          </w:p>
        </w:tc>
        <w:tc>
          <w:tcPr>
            <w:tcW w:w="687" w:type="dxa"/>
            <w:noWrap/>
            <w:hideMark/>
          </w:tcPr>
          <w:p w14:paraId="75545ADB"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627.75</w:t>
            </w:r>
          </w:p>
        </w:tc>
        <w:tc>
          <w:tcPr>
            <w:tcW w:w="866" w:type="dxa"/>
            <w:noWrap/>
            <w:hideMark/>
          </w:tcPr>
          <w:p w14:paraId="402E80C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433.35</w:t>
            </w:r>
          </w:p>
        </w:tc>
        <w:tc>
          <w:tcPr>
            <w:tcW w:w="792" w:type="dxa"/>
            <w:noWrap/>
            <w:hideMark/>
          </w:tcPr>
          <w:p w14:paraId="530EA6C2"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0.18</w:t>
            </w:r>
          </w:p>
        </w:tc>
        <w:tc>
          <w:tcPr>
            <w:tcW w:w="1053" w:type="dxa"/>
            <w:noWrap/>
            <w:hideMark/>
          </w:tcPr>
          <w:p w14:paraId="74204C38"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141.66</w:t>
            </w:r>
          </w:p>
        </w:tc>
      </w:tr>
      <w:tr w:rsidR="00CC3D9E" w:rsidRPr="003C32DB" w14:paraId="4B4B3489" w14:textId="77777777" w:rsidTr="003C32DB">
        <w:trPr>
          <w:trHeight w:val="487"/>
        </w:trPr>
        <w:tc>
          <w:tcPr>
            <w:tcW w:w="777" w:type="dxa"/>
            <w:noWrap/>
            <w:hideMark/>
          </w:tcPr>
          <w:p w14:paraId="595BFF6A"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0.1 - 0.3</w:t>
            </w:r>
          </w:p>
        </w:tc>
        <w:tc>
          <w:tcPr>
            <w:tcW w:w="1234" w:type="dxa"/>
            <w:hideMark/>
          </w:tcPr>
          <w:p w14:paraId="3962678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Urban areas with sparse vegetation</w:t>
            </w:r>
          </w:p>
        </w:tc>
        <w:tc>
          <w:tcPr>
            <w:tcW w:w="964" w:type="dxa"/>
            <w:noWrap/>
            <w:hideMark/>
          </w:tcPr>
          <w:p w14:paraId="0F29FCE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74686.95</w:t>
            </w:r>
          </w:p>
        </w:tc>
        <w:tc>
          <w:tcPr>
            <w:tcW w:w="866" w:type="dxa"/>
            <w:noWrap/>
            <w:hideMark/>
          </w:tcPr>
          <w:p w14:paraId="58D834D5"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5156.73</w:t>
            </w:r>
          </w:p>
        </w:tc>
        <w:tc>
          <w:tcPr>
            <w:tcW w:w="866" w:type="dxa"/>
            <w:noWrap/>
            <w:hideMark/>
          </w:tcPr>
          <w:p w14:paraId="796FC67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14299.2</w:t>
            </w:r>
          </w:p>
        </w:tc>
        <w:tc>
          <w:tcPr>
            <w:tcW w:w="866" w:type="dxa"/>
            <w:noWrap/>
            <w:hideMark/>
          </w:tcPr>
          <w:p w14:paraId="501CA89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150833.5</w:t>
            </w:r>
          </w:p>
        </w:tc>
        <w:tc>
          <w:tcPr>
            <w:tcW w:w="866" w:type="dxa"/>
            <w:noWrap/>
            <w:hideMark/>
          </w:tcPr>
          <w:p w14:paraId="767C1333"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5298.93</w:t>
            </w:r>
          </w:p>
        </w:tc>
        <w:tc>
          <w:tcPr>
            <w:tcW w:w="866" w:type="dxa"/>
            <w:noWrap/>
            <w:hideMark/>
          </w:tcPr>
          <w:p w14:paraId="10F978C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43767.72</w:t>
            </w:r>
          </w:p>
        </w:tc>
        <w:tc>
          <w:tcPr>
            <w:tcW w:w="687" w:type="dxa"/>
            <w:noWrap/>
            <w:hideMark/>
          </w:tcPr>
          <w:p w14:paraId="4D9B1779"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3249</w:t>
            </w:r>
          </w:p>
        </w:tc>
        <w:tc>
          <w:tcPr>
            <w:tcW w:w="866" w:type="dxa"/>
            <w:noWrap/>
            <w:hideMark/>
          </w:tcPr>
          <w:p w14:paraId="51E06B1A"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60148.71</w:t>
            </w:r>
          </w:p>
        </w:tc>
        <w:tc>
          <w:tcPr>
            <w:tcW w:w="792" w:type="dxa"/>
            <w:noWrap/>
            <w:hideMark/>
          </w:tcPr>
          <w:p w14:paraId="29799EBC"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4231.08</w:t>
            </w:r>
          </w:p>
        </w:tc>
        <w:tc>
          <w:tcPr>
            <w:tcW w:w="1053" w:type="dxa"/>
            <w:noWrap/>
            <w:hideMark/>
          </w:tcPr>
          <w:p w14:paraId="39CB676B"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6263.1</w:t>
            </w:r>
          </w:p>
        </w:tc>
      </w:tr>
      <w:tr w:rsidR="00CC3D9E" w:rsidRPr="003C32DB" w14:paraId="552C7F31" w14:textId="77777777" w:rsidTr="003C32DB">
        <w:trPr>
          <w:trHeight w:val="487"/>
        </w:trPr>
        <w:tc>
          <w:tcPr>
            <w:tcW w:w="777" w:type="dxa"/>
            <w:noWrap/>
            <w:hideMark/>
          </w:tcPr>
          <w:p w14:paraId="1F2B3C3F"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0.3 - 0.6</w:t>
            </w:r>
          </w:p>
        </w:tc>
        <w:tc>
          <w:tcPr>
            <w:tcW w:w="1234" w:type="dxa"/>
            <w:hideMark/>
          </w:tcPr>
          <w:p w14:paraId="58B2F382"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Moderate vegetation</w:t>
            </w:r>
          </w:p>
        </w:tc>
        <w:tc>
          <w:tcPr>
            <w:tcW w:w="964" w:type="dxa"/>
            <w:noWrap/>
            <w:hideMark/>
          </w:tcPr>
          <w:p w14:paraId="6434AC0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25967.25</w:t>
            </w:r>
          </w:p>
        </w:tc>
        <w:tc>
          <w:tcPr>
            <w:tcW w:w="866" w:type="dxa"/>
            <w:noWrap/>
            <w:hideMark/>
          </w:tcPr>
          <w:p w14:paraId="53B84E4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14297.58</w:t>
            </w:r>
          </w:p>
        </w:tc>
        <w:tc>
          <w:tcPr>
            <w:tcW w:w="866" w:type="dxa"/>
            <w:noWrap/>
            <w:hideMark/>
          </w:tcPr>
          <w:p w14:paraId="60A0BDEE"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40620.51</w:t>
            </w:r>
          </w:p>
        </w:tc>
        <w:tc>
          <w:tcPr>
            <w:tcW w:w="866" w:type="dxa"/>
            <w:noWrap/>
            <w:hideMark/>
          </w:tcPr>
          <w:p w14:paraId="11A34B2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28443.51</w:t>
            </w:r>
          </w:p>
        </w:tc>
        <w:tc>
          <w:tcPr>
            <w:tcW w:w="866" w:type="dxa"/>
            <w:noWrap/>
            <w:hideMark/>
          </w:tcPr>
          <w:p w14:paraId="4085C12C"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26278.56</w:t>
            </w:r>
          </w:p>
        </w:tc>
        <w:tc>
          <w:tcPr>
            <w:tcW w:w="866" w:type="dxa"/>
            <w:noWrap/>
            <w:hideMark/>
          </w:tcPr>
          <w:p w14:paraId="665097D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3317.4</w:t>
            </w:r>
          </w:p>
        </w:tc>
        <w:tc>
          <w:tcPr>
            <w:tcW w:w="687" w:type="dxa"/>
            <w:noWrap/>
            <w:hideMark/>
          </w:tcPr>
          <w:p w14:paraId="3CDCF6CE"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654.75</w:t>
            </w:r>
          </w:p>
        </w:tc>
        <w:tc>
          <w:tcPr>
            <w:tcW w:w="866" w:type="dxa"/>
            <w:noWrap/>
            <w:hideMark/>
          </w:tcPr>
          <w:p w14:paraId="03F51A6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224231.4</w:t>
            </w:r>
          </w:p>
        </w:tc>
        <w:tc>
          <w:tcPr>
            <w:tcW w:w="792" w:type="dxa"/>
            <w:noWrap/>
            <w:hideMark/>
          </w:tcPr>
          <w:p w14:paraId="6D03760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12685.77</w:t>
            </w:r>
          </w:p>
        </w:tc>
        <w:tc>
          <w:tcPr>
            <w:tcW w:w="1053" w:type="dxa"/>
            <w:noWrap/>
            <w:hideMark/>
          </w:tcPr>
          <w:p w14:paraId="38D4C23D"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3040.38</w:t>
            </w:r>
          </w:p>
        </w:tc>
      </w:tr>
      <w:tr w:rsidR="00CC3D9E" w:rsidRPr="003C32DB" w14:paraId="3E3E87E4" w14:textId="77777777" w:rsidTr="003C32DB">
        <w:trPr>
          <w:trHeight w:val="487"/>
        </w:trPr>
        <w:tc>
          <w:tcPr>
            <w:tcW w:w="777" w:type="dxa"/>
            <w:noWrap/>
            <w:hideMark/>
          </w:tcPr>
          <w:p w14:paraId="27185D42"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0.6 - 1.0</w:t>
            </w:r>
          </w:p>
        </w:tc>
        <w:tc>
          <w:tcPr>
            <w:tcW w:w="1234" w:type="dxa"/>
            <w:hideMark/>
          </w:tcPr>
          <w:p w14:paraId="6CBE7A6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Dense vegetation</w:t>
            </w:r>
          </w:p>
        </w:tc>
        <w:tc>
          <w:tcPr>
            <w:tcW w:w="964" w:type="dxa"/>
            <w:noWrap/>
            <w:hideMark/>
          </w:tcPr>
          <w:p w14:paraId="6269A71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303.12</w:t>
            </w:r>
          </w:p>
        </w:tc>
        <w:tc>
          <w:tcPr>
            <w:tcW w:w="866" w:type="dxa"/>
            <w:noWrap/>
            <w:hideMark/>
          </w:tcPr>
          <w:p w14:paraId="0A3B0A2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5891.67</w:t>
            </w:r>
          </w:p>
        </w:tc>
        <w:tc>
          <w:tcPr>
            <w:tcW w:w="866" w:type="dxa"/>
            <w:noWrap/>
            <w:hideMark/>
          </w:tcPr>
          <w:p w14:paraId="16002407"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1511.19</w:t>
            </w:r>
          </w:p>
        </w:tc>
        <w:tc>
          <w:tcPr>
            <w:tcW w:w="866" w:type="dxa"/>
            <w:noWrap/>
            <w:hideMark/>
          </w:tcPr>
          <w:p w14:paraId="1E72CF13"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203.49</w:t>
            </w:r>
          </w:p>
        </w:tc>
        <w:tc>
          <w:tcPr>
            <w:tcW w:w="866" w:type="dxa"/>
            <w:noWrap/>
            <w:hideMark/>
          </w:tcPr>
          <w:p w14:paraId="357EDE06"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23976.36</w:t>
            </w:r>
          </w:p>
        </w:tc>
        <w:tc>
          <w:tcPr>
            <w:tcW w:w="866" w:type="dxa"/>
            <w:noWrap/>
            <w:hideMark/>
          </w:tcPr>
          <w:p w14:paraId="5F186904"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1.17</w:t>
            </w:r>
          </w:p>
        </w:tc>
        <w:tc>
          <w:tcPr>
            <w:tcW w:w="687" w:type="dxa"/>
            <w:noWrap/>
            <w:hideMark/>
          </w:tcPr>
          <w:p w14:paraId="46819A51"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94.05</w:t>
            </w:r>
          </w:p>
        </w:tc>
        <w:tc>
          <w:tcPr>
            <w:tcW w:w="866" w:type="dxa"/>
            <w:noWrap/>
            <w:hideMark/>
          </w:tcPr>
          <w:p w14:paraId="7509E36C"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25892.91</w:t>
            </w:r>
          </w:p>
        </w:tc>
        <w:tc>
          <w:tcPr>
            <w:tcW w:w="792" w:type="dxa"/>
            <w:noWrap/>
            <w:hideMark/>
          </w:tcPr>
          <w:p w14:paraId="1766A9D0"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1939.05</w:t>
            </w:r>
          </w:p>
        </w:tc>
        <w:tc>
          <w:tcPr>
            <w:tcW w:w="1053" w:type="dxa"/>
            <w:noWrap/>
            <w:hideMark/>
          </w:tcPr>
          <w:p w14:paraId="588D428A" w14:textId="77777777" w:rsidR="00CC3D9E" w:rsidRPr="003C32DB" w:rsidRDefault="00CC3D9E" w:rsidP="00A97EB0">
            <w:pPr>
              <w:jc w:val="both"/>
              <w:rPr>
                <w:rFonts w:ascii="Arial" w:hAnsi="Arial" w:cs="Arial"/>
                <w:color w:val="000000"/>
                <w:sz w:val="16"/>
                <w:szCs w:val="16"/>
              </w:rPr>
            </w:pPr>
            <w:r w:rsidRPr="003C32DB">
              <w:rPr>
                <w:rFonts w:ascii="Arial" w:hAnsi="Arial" w:cs="Arial"/>
                <w:color w:val="000000"/>
                <w:sz w:val="16"/>
                <w:szCs w:val="16"/>
              </w:rPr>
              <w:t>17.46</w:t>
            </w:r>
          </w:p>
        </w:tc>
      </w:tr>
    </w:tbl>
    <w:p w14:paraId="5CB3E3E4" w14:textId="77777777" w:rsidR="00BB7517" w:rsidRPr="002D325A" w:rsidRDefault="00BB7517" w:rsidP="00BB7517">
      <w:pPr>
        <w:pStyle w:val="Body"/>
        <w:rPr>
          <w:rFonts w:ascii="Arial" w:hAnsi="Arial" w:cs="Arial"/>
        </w:rPr>
      </w:pPr>
    </w:p>
    <w:p w14:paraId="758024C0" w14:textId="5E3B753A" w:rsidR="00CC3D9E" w:rsidRPr="002D325A" w:rsidRDefault="00CC3D9E" w:rsidP="00BB7517">
      <w:pPr>
        <w:pStyle w:val="Body"/>
        <w:rPr>
          <w:rFonts w:ascii="Arial" w:hAnsi="Arial" w:cs="Arial"/>
        </w:rPr>
      </w:pPr>
      <w:r w:rsidRPr="002D325A">
        <w:rPr>
          <w:rFonts w:ascii="Arial" w:hAnsi="Arial" w:cs="Arial"/>
          <w:noProof/>
          <w:color w:val="FF0000"/>
        </w:rPr>
        <w:drawing>
          <wp:inline distT="0" distB="0" distL="0" distR="0" wp14:anchorId="2A0D290F" wp14:editId="429A389D">
            <wp:extent cx="5972670" cy="1812943"/>
            <wp:effectExtent l="0" t="0" r="0" b="0"/>
            <wp:docPr id="1598946037" name="Chart 1">
              <a:extLst xmlns:a="http://schemas.openxmlformats.org/drawingml/2006/main">
                <a:ext uri="{FF2B5EF4-FFF2-40B4-BE49-F238E27FC236}">
                  <a16:creationId xmlns:a16="http://schemas.microsoft.com/office/drawing/2014/main" id="{7A04C340-2763-15FA-09E8-17F45E132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FC70B8" w14:textId="2416F172" w:rsidR="00CC3D9E" w:rsidRPr="002D325A" w:rsidRDefault="00CC3D9E" w:rsidP="00BB7517">
      <w:pPr>
        <w:pStyle w:val="Body"/>
        <w:rPr>
          <w:rFonts w:ascii="Arial" w:hAnsi="Arial" w:cs="Arial"/>
        </w:rPr>
      </w:pPr>
      <w:r w:rsidRPr="002D325A">
        <w:rPr>
          <w:rFonts w:ascii="Arial" w:hAnsi="Arial" w:cs="Arial"/>
        </w:rPr>
        <w:lastRenderedPageBreak/>
        <w:t>Figure 5: 2015 Greenness Score Chart</w:t>
      </w:r>
    </w:p>
    <w:p w14:paraId="2622789B" w14:textId="77777777" w:rsidR="00CC3D9E" w:rsidRPr="002D325A" w:rsidRDefault="00CC3D9E" w:rsidP="00CC3D9E">
      <w:pPr>
        <w:pStyle w:val="Body"/>
        <w:rPr>
          <w:rFonts w:ascii="Arial" w:hAnsi="Arial" w:cs="Arial"/>
        </w:rPr>
      </w:pPr>
      <w:r w:rsidRPr="002D325A">
        <w:rPr>
          <w:rFonts w:ascii="Arial" w:hAnsi="Arial" w:cs="Arial"/>
        </w:rPr>
        <w:t>Table 8: 2025 Greenness Score (Hectares)</w:t>
      </w:r>
    </w:p>
    <w:tbl>
      <w:tblPr>
        <w:tblStyle w:val="TableGridLight"/>
        <w:tblpPr w:leftFromText="180" w:rightFromText="180" w:vertAnchor="text" w:horzAnchor="page" w:tblpX="1179" w:tblpY="29"/>
        <w:tblW w:w="10459" w:type="dxa"/>
        <w:tblLook w:val="04A0" w:firstRow="1" w:lastRow="0" w:firstColumn="1" w:lastColumn="0" w:noHBand="0" w:noVBand="1"/>
      </w:tblPr>
      <w:tblGrid>
        <w:gridCol w:w="794"/>
        <w:gridCol w:w="1248"/>
        <w:gridCol w:w="981"/>
        <w:gridCol w:w="884"/>
        <w:gridCol w:w="884"/>
        <w:gridCol w:w="884"/>
        <w:gridCol w:w="884"/>
        <w:gridCol w:w="884"/>
        <w:gridCol w:w="795"/>
        <w:gridCol w:w="884"/>
        <w:gridCol w:w="795"/>
        <w:gridCol w:w="795"/>
      </w:tblGrid>
      <w:tr w:rsidR="00CC3D9E" w:rsidRPr="003C32DB" w14:paraId="588FE508" w14:textId="77777777" w:rsidTr="003C32DB">
        <w:trPr>
          <w:trHeight w:val="463"/>
        </w:trPr>
        <w:tc>
          <w:tcPr>
            <w:tcW w:w="773" w:type="dxa"/>
            <w:noWrap/>
            <w:hideMark/>
          </w:tcPr>
          <w:p w14:paraId="54119F53" w14:textId="555D268C"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NDVI RANGE</w:t>
            </w:r>
          </w:p>
        </w:tc>
        <w:tc>
          <w:tcPr>
            <w:tcW w:w="1229" w:type="dxa"/>
            <w:noWrap/>
            <w:hideMark/>
          </w:tcPr>
          <w:p w14:paraId="431A0B91" w14:textId="25227046"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Range Interpretation</w:t>
            </w:r>
          </w:p>
        </w:tc>
        <w:tc>
          <w:tcPr>
            <w:tcW w:w="960" w:type="dxa"/>
            <w:noWrap/>
            <w:hideMark/>
          </w:tcPr>
          <w:p w14:paraId="593AA067" w14:textId="0AE899C3"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Maiduguri</w:t>
            </w:r>
          </w:p>
        </w:tc>
        <w:tc>
          <w:tcPr>
            <w:tcW w:w="863" w:type="dxa"/>
            <w:noWrap/>
            <w:hideMark/>
          </w:tcPr>
          <w:p w14:paraId="39286A62" w14:textId="26382C56"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Asaba</w:t>
            </w:r>
          </w:p>
        </w:tc>
        <w:tc>
          <w:tcPr>
            <w:tcW w:w="863" w:type="dxa"/>
            <w:noWrap/>
            <w:hideMark/>
          </w:tcPr>
          <w:p w14:paraId="5E85F8B5" w14:textId="11E08565"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Enugu</w:t>
            </w:r>
          </w:p>
        </w:tc>
        <w:tc>
          <w:tcPr>
            <w:tcW w:w="863" w:type="dxa"/>
            <w:noWrap/>
            <w:hideMark/>
          </w:tcPr>
          <w:p w14:paraId="54A3200E" w14:textId="1B7079AD"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Abuja</w:t>
            </w:r>
          </w:p>
        </w:tc>
        <w:tc>
          <w:tcPr>
            <w:tcW w:w="863" w:type="dxa"/>
            <w:noWrap/>
            <w:hideMark/>
          </w:tcPr>
          <w:p w14:paraId="11118CEF" w14:textId="1214C557"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Owerri</w:t>
            </w:r>
          </w:p>
        </w:tc>
        <w:tc>
          <w:tcPr>
            <w:tcW w:w="863" w:type="dxa"/>
            <w:noWrap/>
            <w:hideMark/>
          </w:tcPr>
          <w:p w14:paraId="69586A1D" w14:textId="4B116C74"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Kano</w:t>
            </w:r>
          </w:p>
        </w:tc>
        <w:tc>
          <w:tcPr>
            <w:tcW w:w="773" w:type="dxa"/>
            <w:noWrap/>
            <w:hideMark/>
          </w:tcPr>
          <w:p w14:paraId="7FEBCAB3" w14:textId="51A4BD83"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Ikeja</w:t>
            </w:r>
          </w:p>
        </w:tc>
        <w:tc>
          <w:tcPr>
            <w:tcW w:w="863" w:type="dxa"/>
            <w:noWrap/>
            <w:hideMark/>
          </w:tcPr>
          <w:p w14:paraId="13CC3203" w14:textId="06E4CC6D"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Ibadan</w:t>
            </w:r>
          </w:p>
        </w:tc>
        <w:tc>
          <w:tcPr>
            <w:tcW w:w="773" w:type="dxa"/>
            <w:noWrap/>
            <w:hideMark/>
          </w:tcPr>
          <w:p w14:paraId="1BA74FAB" w14:textId="4E544300" w:rsidR="00CC3D9E" w:rsidRPr="003C32DB" w:rsidRDefault="00CC3D9E" w:rsidP="00CC3D9E">
            <w:pPr>
              <w:jc w:val="both"/>
              <w:rPr>
                <w:rFonts w:ascii="Arial" w:hAnsi="Arial" w:cs="Arial"/>
                <w:b/>
                <w:bCs/>
                <w:color w:val="000000"/>
                <w:sz w:val="16"/>
                <w:szCs w:val="16"/>
              </w:rPr>
            </w:pPr>
            <w:proofErr w:type="spellStart"/>
            <w:r w:rsidRPr="003C32DB">
              <w:rPr>
                <w:rFonts w:ascii="Arial" w:hAnsi="Arial" w:cs="Arial"/>
                <w:b/>
                <w:bCs/>
                <w:color w:val="000000"/>
                <w:sz w:val="16"/>
                <w:szCs w:val="16"/>
              </w:rPr>
              <w:t>Uyo</w:t>
            </w:r>
            <w:proofErr w:type="spellEnd"/>
          </w:p>
        </w:tc>
        <w:tc>
          <w:tcPr>
            <w:tcW w:w="773" w:type="dxa"/>
            <w:noWrap/>
            <w:hideMark/>
          </w:tcPr>
          <w:p w14:paraId="7CA81DE5" w14:textId="0D005380" w:rsidR="00CC3D9E" w:rsidRPr="003C32DB" w:rsidRDefault="00CC3D9E" w:rsidP="00CC3D9E">
            <w:pPr>
              <w:jc w:val="both"/>
              <w:rPr>
                <w:rFonts w:ascii="Arial" w:hAnsi="Arial" w:cs="Arial"/>
                <w:b/>
                <w:bCs/>
                <w:color w:val="000000"/>
                <w:sz w:val="16"/>
                <w:szCs w:val="16"/>
              </w:rPr>
            </w:pPr>
            <w:r w:rsidRPr="003C32DB">
              <w:rPr>
                <w:rFonts w:ascii="Arial" w:hAnsi="Arial" w:cs="Arial"/>
                <w:b/>
                <w:bCs/>
                <w:color w:val="000000"/>
                <w:sz w:val="16"/>
                <w:szCs w:val="16"/>
              </w:rPr>
              <w:t>Sokoto</w:t>
            </w:r>
          </w:p>
        </w:tc>
      </w:tr>
      <w:tr w:rsidR="00CC3D9E" w:rsidRPr="003C32DB" w14:paraId="4F0506C3" w14:textId="77777777" w:rsidTr="003C32DB">
        <w:trPr>
          <w:trHeight w:val="463"/>
        </w:trPr>
        <w:tc>
          <w:tcPr>
            <w:tcW w:w="773" w:type="dxa"/>
            <w:noWrap/>
            <w:hideMark/>
          </w:tcPr>
          <w:p w14:paraId="23525413" w14:textId="11CEE3D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-1.0 - 0.0</w:t>
            </w:r>
          </w:p>
        </w:tc>
        <w:tc>
          <w:tcPr>
            <w:tcW w:w="1229" w:type="dxa"/>
            <w:hideMark/>
          </w:tcPr>
          <w:p w14:paraId="28703385" w14:textId="21456C5B"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Non-vegetated areas</w:t>
            </w:r>
          </w:p>
        </w:tc>
        <w:tc>
          <w:tcPr>
            <w:tcW w:w="960" w:type="dxa"/>
            <w:noWrap/>
            <w:hideMark/>
          </w:tcPr>
          <w:p w14:paraId="73754E41" w14:textId="545D7948"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1424.97</w:t>
            </w:r>
          </w:p>
        </w:tc>
        <w:tc>
          <w:tcPr>
            <w:tcW w:w="863" w:type="dxa"/>
            <w:noWrap/>
            <w:hideMark/>
          </w:tcPr>
          <w:p w14:paraId="764804C1" w14:textId="7B86426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1773.36</w:t>
            </w:r>
          </w:p>
        </w:tc>
        <w:tc>
          <w:tcPr>
            <w:tcW w:w="863" w:type="dxa"/>
            <w:noWrap/>
            <w:hideMark/>
          </w:tcPr>
          <w:p w14:paraId="43EB44BE" w14:textId="5C296D6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7.47</w:t>
            </w:r>
          </w:p>
        </w:tc>
        <w:tc>
          <w:tcPr>
            <w:tcW w:w="863" w:type="dxa"/>
            <w:noWrap/>
            <w:hideMark/>
          </w:tcPr>
          <w:p w14:paraId="33B904C4" w14:textId="79531877"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113.67</w:t>
            </w:r>
          </w:p>
        </w:tc>
        <w:tc>
          <w:tcPr>
            <w:tcW w:w="863" w:type="dxa"/>
            <w:noWrap/>
            <w:hideMark/>
          </w:tcPr>
          <w:p w14:paraId="5BF8A194" w14:textId="08837414"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6.03</w:t>
            </w:r>
          </w:p>
        </w:tc>
        <w:tc>
          <w:tcPr>
            <w:tcW w:w="863" w:type="dxa"/>
            <w:noWrap/>
            <w:hideMark/>
          </w:tcPr>
          <w:p w14:paraId="6C5B8474" w14:textId="0A543D85"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35.91</w:t>
            </w:r>
          </w:p>
        </w:tc>
        <w:tc>
          <w:tcPr>
            <w:tcW w:w="773" w:type="dxa"/>
            <w:noWrap/>
            <w:hideMark/>
          </w:tcPr>
          <w:p w14:paraId="0DF5403E" w14:textId="1FB96CAB"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w:t>
            </w:r>
          </w:p>
        </w:tc>
        <w:tc>
          <w:tcPr>
            <w:tcW w:w="863" w:type="dxa"/>
            <w:noWrap/>
            <w:hideMark/>
          </w:tcPr>
          <w:p w14:paraId="14AE45CB" w14:textId="0C1236F8"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w:t>
            </w:r>
          </w:p>
        </w:tc>
        <w:tc>
          <w:tcPr>
            <w:tcW w:w="773" w:type="dxa"/>
            <w:noWrap/>
            <w:hideMark/>
          </w:tcPr>
          <w:p w14:paraId="7CB84A38" w14:textId="1B12AC6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w:t>
            </w:r>
          </w:p>
        </w:tc>
        <w:tc>
          <w:tcPr>
            <w:tcW w:w="773" w:type="dxa"/>
            <w:noWrap/>
            <w:hideMark/>
          </w:tcPr>
          <w:p w14:paraId="45043F81" w14:textId="595E66E8"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0.99</w:t>
            </w:r>
          </w:p>
        </w:tc>
      </w:tr>
      <w:tr w:rsidR="00CC3D9E" w:rsidRPr="003C32DB" w14:paraId="7C122EB0" w14:textId="77777777" w:rsidTr="003C32DB">
        <w:trPr>
          <w:trHeight w:val="463"/>
        </w:trPr>
        <w:tc>
          <w:tcPr>
            <w:tcW w:w="773" w:type="dxa"/>
            <w:noWrap/>
            <w:hideMark/>
          </w:tcPr>
          <w:p w14:paraId="0EE14AF3" w14:textId="0609B2B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0.0 - 0.1</w:t>
            </w:r>
          </w:p>
        </w:tc>
        <w:tc>
          <w:tcPr>
            <w:tcW w:w="1229" w:type="dxa"/>
            <w:hideMark/>
          </w:tcPr>
          <w:p w14:paraId="7404F32A" w14:textId="3F85D2B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Little to no vegetation</w:t>
            </w:r>
          </w:p>
        </w:tc>
        <w:tc>
          <w:tcPr>
            <w:tcW w:w="960" w:type="dxa"/>
            <w:noWrap/>
            <w:hideMark/>
          </w:tcPr>
          <w:p w14:paraId="7CF17682" w14:textId="2F31256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139.14</w:t>
            </w:r>
          </w:p>
        </w:tc>
        <w:tc>
          <w:tcPr>
            <w:tcW w:w="863" w:type="dxa"/>
            <w:noWrap/>
            <w:hideMark/>
          </w:tcPr>
          <w:p w14:paraId="565C5AED" w14:textId="1FD10ECE"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203.49</w:t>
            </w:r>
          </w:p>
        </w:tc>
        <w:tc>
          <w:tcPr>
            <w:tcW w:w="863" w:type="dxa"/>
            <w:noWrap/>
            <w:hideMark/>
          </w:tcPr>
          <w:p w14:paraId="3019201F" w14:textId="3729AA31"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15.39</w:t>
            </w:r>
          </w:p>
        </w:tc>
        <w:tc>
          <w:tcPr>
            <w:tcW w:w="863" w:type="dxa"/>
            <w:noWrap/>
            <w:hideMark/>
          </w:tcPr>
          <w:p w14:paraId="4EF21FED" w14:textId="567E68D4"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221.85</w:t>
            </w:r>
          </w:p>
        </w:tc>
        <w:tc>
          <w:tcPr>
            <w:tcW w:w="863" w:type="dxa"/>
            <w:noWrap/>
            <w:hideMark/>
          </w:tcPr>
          <w:p w14:paraId="39BF98B2" w14:textId="720EE0FD"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20.7</w:t>
            </w:r>
          </w:p>
        </w:tc>
        <w:tc>
          <w:tcPr>
            <w:tcW w:w="863" w:type="dxa"/>
            <w:noWrap/>
            <w:hideMark/>
          </w:tcPr>
          <w:p w14:paraId="0651B717" w14:textId="33E431A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2863.26</w:t>
            </w:r>
          </w:p>
        </w:tc>
        <w:tc>
          <w:tcPr>
            <w:tcW w:w="773" w:type="dxa"/>
            <w:noWrap/>
            <w:hideMark/>
          </w:tcPr>
          <w:p w14:paraId="07E99958" w14:textId="669251A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44.91</w:t>
            </w:r>
          </w:p>
        </w:tc>
        <w:tc>
          <w:tcPr>
            <w:tcW w:w="863" w:type="dxa"/>
            <w:noWrap/>
            <w:hideMark/>
          </w:tcPr>
          <w:p w14:paraId="27AC69FC" w14:textId="7A76D56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634.95</w:t>
            </w:r>
          </w:p>
        </w:tc>
        <w:tc>
          <w:tcPr>
            <w:tcW w:w="773" w:type="dxa"/>
            <w:noWrap/>
            <w:hideMark/>
          </w:tcPr>
          <w:p w14:paraId="1C6AB80C" w14:textId="17DE036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0.36</w:t>
            </w:r>
          </w:p>
        </w:tc>
        <w:tc>
          <w:tcPr>
            <w:tcW w:w="773" w:type="dxa"/>
            <w:noWrap/>
            <w:hideMark/>
          </w:tcPr>
          <w:p w14:paraId="4523737C" w14:textId="00C79CB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212.85</w:t>
            </w:r>
          </w:p>
        </w:tc>
      </w:tr>
      <w:tr w:rsidR="00CC3D9E" w:rsidRPr="003C32DB" w14:paraId="72358683" w14:textId="77777777" w:rsidTr="003C32DB">
        <w:trPr>
          <w:trHeight w:val="463"/>
        </w:trPr>
        <w:tc>
          <w:tcPr>
            <w:tcW w:w="773" w:type="dxa"/>
            <w:noWrap/>
            <w:hideMark/>
          </w:tcPr>
          <w:p w14:paraId="6096238D" w14:textId="5B3BFB4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0.1 - 0.3</w:t>
            </w:r>
          </w:p>
        </w:tc>
        <w:tc>
          <w:tcPr>
            <w:tcW w:w="1229" w:type="dxa"/>
            <w:hideMark/>
          </w:tcPr>
          <w:p w14:paraId="7ADEBDBF" w14:textId="2AAD4BDB"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Urban areas with sparse vegetation</w:t>
            </w:r>
          </w:p>
        </w:tc>
        <w:tc>
          <w:tcPr>
            <w:tcW w:w="960" w:type="dxa"/>
            <w:noWrap/>
            <w:hideMark/>
          </w:tcPr>
          <w:p w14:paraId="4E224D4F" w14:textId="25BB685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95644.17</w:t>
            </w:r>
          </w:p>
        </w:tc>
        <w:tc>
          <w:tcPr>
            <w:tcW w:w="863" w:type="dxa"/>
            <w:noWrap/>
            <w:hideMark/>
          </w:tcPr>
          <w:p w14:paraId="14FCB288" w14:textId="323CEB43"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4002.39</w:t>
            </w:r>
          </w:p>
        </w:tc>
        <w:tc>
          <w:tcPr>
            <w:tcW w:w="863" w:type="dxa"/>
            <w:noWrap/>
            <w:hideMark/>
          </w:tcPr>
          <w:p w14:paraId="3D59D549" w14:textId="1614C9F7"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8734.68</w:t>
            </w:r>
          </w:p>
        </w:tc>
        <w:tc>
          <w:tcPr>
            <w:tcW w:w="863" w:type="dxa"/>
            <w:noWrap/>
            <w:hideMark/>
          </w:tcPr>
          <w:p w14:paraId="3A582F1B" w14:textId="07353EB1"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35270.55</w:t>
            </w:r>
          </w:p>
        </w:tc>
        <w:tc>
          <w:tcPr>
            <w:tcW w:w="863" w:type="dxa"/>
            <w:noWrap/>
            <w:hideMark/>
          </w:tcPr>
          <w:p w14:paraId="6413F3A0" w14:textId="03FE2C45"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4698.45</w:t>
            </w:r>
          </w:p>
        </w:tc>
        <w:tc>
          <w:tcPr>
            <w:tcW w:w="863" w:type="dxa"/>
            <w:noWrap/>
            <w:hideMark/>
          </w:tcPr>
          <w:p w14:paraId="6C7632A4" w14:textId="7D4A9A2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46252.71</w:t>
            </w:r>
          </w:p>
        </w:tc>
        <w:tc>
          <w:tcPr>
            <w:tcW w:w="773" w:type="dxa"/>
            <w:noWrap/>
            <w:hideMark/>
          </w:tcPr>
          <w:p w14:paraId="0D819E8A" w14:textId="2F8EED39"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3269.97</w:t>
            </w:r>
          </w:p>
        </w:tc>
        <w:tc>
          <w:tcPr>
            <w:tcW w:w="863" w:type="dxa"/>
            <w:noWrap/>
            <w:hideMark/>
          </w:tcPr>
          <w:p w14:paraId="40ABC968" w14:textId="4B5273A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27014.76</w:t>
            </w:r>
          </w:p>
        </w:tc>
        <w:tc>
          <w:tcPr>
            <w:tcW w:w="773" w:type="dxa"/>
            <w:noWrap/>
            <w:hideMark/>
          </w:tcPr>
          <w:p w14:paraId="195A7A3E" w14:textId="781F101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2414.43</w:t>
            </w:r>
          </w:p>
        </w:tc>
        <w:tc>
          <w:tcPr>
            <w:tcW w:w="773" w:type="dxa"/>
            <w:noWrap/>
            <w:hideMark/>
          </w:tcPr>
          <w:p w14:paraId="3F105FBC" w14:textId="0A9B1A91"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7110.54</w:t>
            </w:r>
          </w:p>
        </w:tc>
      </w:tr>
      <w:tr w:rsidR="00CC3D9E" w:rsidRPr="003C32DB" w14:paraId="33FA9A6C" w14:textId="77777777" w:rsidTr="003C32DB">
        <w:trPr>
          <w:trHeight w:val="463"/>
        </w:trPr>
        <w:tc>
          <w:tcPr>
            <w:tcW w:w="773" w:type="dxa"/>
            <w:noWrap/>
            <w:hideMark/>
          </w:tcPr>
          <w:p w14:paraId="0A7639EB" w14:textId="4FDC1E9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0.3 - 0.6</w:t>
            </w:r>
          </w:p>
        </w:tc>
        <w:tc>
          <w:tcPr>
            <w:tcW w:w="1229" w:type="dxa"/>
            <w:hideMark/>
          </w:tcPr>
          <w:p w14:paraId="74989641" w14:textId="511535DF"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Moderate vegetation</w:t>
            </w:r>
          </w:p>
        </w:tc>
        <w:tc>
          <w:tcPr>
            <w:tcW w:w="960" w:type="dxa"/>
            <w:noWrap/>
            <w:hideMark/>
          </w:tcPr>
          <w:p w14:paraId="1CC92A0F" w14:textId="38F52A2D"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4963.77</w:t>
            </w:r>
          </w:p>
        </w:tc>
        <w:tc>
          <w:tcPr>
            <w:tcW w:w="863" w:type="dxa"/>
            <w:noWrap/>
            <w:hideMark/>
          </w:tcPr>
          <w:p w14:paraId="6C5F5165" w14:textId="6476A0D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21084.48</w:t>
            </w:r>
          </w:p>
        </w:tc>
        <w:tc>
          <w:tcPr>
            <w:tcW w:w="863" w:type="dxa"/>
            <w:noWrap/>
            <w:hideMark/>
          </w:tcPr>
          <w:p w14:paraId="1FC288A1" w14:textId="65501A0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41857.29</w:t>
            </w:r>
          </w:p>
        </w:tc>
        <w:tc>
          <w:tcPr>
            <w:tcW w:w="863" w:type="dxa"/>
            <w:noWrap/>
            <w:hideMark/>
          </w:tcPr>
          <w:p w14:paraId="05004290" w14:textId="6FEFDD1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141176.4</w:t>
            </w:r>
          </w:p>
        </w:tc>
        <w:tc>
          <w:tcPr>
            <w:tcW w:w="863" w:type="dxa"/>
            <w:noWrap/>
            <w:hideMark/>
          </w:tcPr>
          <w:p w14:paraId="76063905" w14:textId="136F936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31017.87</w:t>
            </w:r>
          </w:p>
        </w:tc>
        <w:tc>
          <w:tcPr>
            <w:tcW w:w="863" w:type="dxa"/>
            <w:noWrap/>
            <w:hideMark/>
          </w:tcPr>
          <w:p w14:paraId="67C6632F" w14:textId="009ACF5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2311.56</w:t>
            </w:r>
          </w:p>
        </w:tc>
        <w:tc>
          <w:tcPr>
            <w:tcW w:w="773" w:type="dxa"/>
            <w:noWrap/>
            <w:hideMark/>
          </w:tcPr>
          <w:p w14:paraId="40D7F158" w14:textId="5C5AE66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1228.05</w:t>
            </w:r>
          </w:p>
        </w:tc>
        <w:tc>
          <w:tcPr>
            <w:tcW w:w="863" w:type="dxa"/>
            <w:noWrap/>
            <w:hideMark/>
          </w:tcPr>
          <w:p w14:paraId="37528CB1" w14:textId="7CC289B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107732.2</w:t>
            </w:r>
          </w:p>
        </w:tc>
        <w:tc>
          <w:tcPr>
            <w:tcW w:w="773" w:type="dxa"/>
            <w:noWrap/>
            <w:hideMark/>
          </w:tcPr>
          <w:p w14:paraId="74EC4654" w14:textId="3AB4008F"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14396.4</w:t>
            </w:r>
          </w:p>
        </w:tc>
        <w:tc>
          <w:tcPr>
            <w:tcW w:w="773" w:type="dxa"/>
            <w:noWrap/>
            <w:hideMark/>
          </w:tcPr>
          <w:p w14:paraId="2752F12A" w14:textId="070FD27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2151.09</w:t>
            </w:r>
          </w:p>
        </w:tc>
      </w:tr>
      <w:tr w:rsidR="00CC3D9E" w:rsidRPr="003C32DB" w14:paraId="2EAA08B7" w14:textId="77777777" w:rsidTr="003C32DB">
        <w:trPr>
          <w:trHeight w:val="463"/>
        </w:trPr>
        <w:tc>
          <w:tcPr>
            <w:tcW w:w="773" w:type="dxa"/>
            <w:noWrap/>
            <w:hideMark/>
          </w:tcPr>
          <w:p w14:paraId="3002E39F" w14:textId="7F84A8C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0.6 - 1.0</w:t>
            </w:r>
          </w:p>
        </w:tc>
        <w:tc>
          <w:tcPr>
            <w:tcW w:w="1229" w:type="dxa"/>
            <w:hideMark/>
          </w:tcPr>
          <w:p w14:paraId="79E3220D" w14:textId="4EF591E5"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Dense vegetation</w:t>
            </w:r>
          </w:p>
        </w:tc>
        <w:tc>
          <w:tcPr>
            <w:tcW w:w="960" w:type="dxa"/>
            <w:noWrap/>
            <w:hideMark/>
          </w:tcPr>
          <w:p w14:paraId="199E3E04" w14:textId="75549DBD"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56.79</w:t>
            </w:r>
          </w:p>
        </w:tc>
        <w:tc>
          <w:tcPr>
            <w:tcW w:w="863" w:type="dxa"/>
            <w:noWrap/>
            <w:hideMark/>
          </w:tcPr>
          <w:p w14:paraId="66BDEB81" w14:textId="5572E1EE"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17.46</w:t>
            </w:r>
          </w:p>
        </w:tc>
        <w:tc>
          <w:tcPr>
            <w:tcW w:w="863" w:type="dxa"/>
            <w:noWrap/>
            <w:hideMark/>
          </w:tcPr>
          <w:p w14:paraId="1F009BB7" w14:textId="78437A40"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5836.68</w:t>
            </w:r>
          </w:p>
        </w:tc>
        <w:tc>
          <w:tcPr>
            <w:tcW w:w="863" w:type="dxa"/>
            <w:noWrap/>
            <w:hideMark/>
          </w:tcPr>
          <w:p w14:paraId="75628BE0" w14:textId="0F5149C2"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3505.5</w:t>
            </w:r>
          </w:p>
        </w:tc>
        <w:tc>
          <w:tcPr>
            <w:tcW w:w="863" w:type="dxa"/>
            <w:noWrap/>
            <w:hideMark/>
          </w:tcPr>
          <w:p w14:paraId="609D0CC1" w14:textId="2DAC604E"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19937.16</w:t>
            </w:r>
          </w:p>
        </w:tc>
        <w:tc>
          <w:tcPr>
            <w:tcW w:w="863" w:type="dxa"/>
            <w:noWrap/>
            <w:hideMark/>
          </w:tcPr>
          <w:p w14:paraId="03FF3609" w14:textId="54BA08A7"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0</w:t>
            </w:r>
          </w:p>
        </w:tc>
        <w:tc>
          <w:tcPr>
            <w:tcW w:w="773" w:type="dxa"/>
            <w:noWrap/>
            <w:hideMark/>
          </w:tcPr>
          <w:p w14:paraId="70C8BCA7" w14:textId="6BE1A2FE"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98.37</w:t>
            </w:r>
          </w:p>
        </w:tc>
        <w:tc>
          <w:tcPr>
            <w:tcW w:w="863" w:type="dxa"/>
            <w:noWrap/>
            <w:hideMark/>
          </w:tcPr>
          <w:p w14:paraId="5FFA3426" w14:textId="36136FFC"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175411.4</w:t>
            </w:r>
          </w:p>
        </w:tc>
        <w:tc>
          <w:tcPr>
            <w:tcW w:w="773" w:type="dxa"/>
            <w:noWrap/>
            <w:hideMark/>
          </w:tcPr>
          <w:p w14:paraId="1CAF7BC9" w14:textId="1D5B4AA6"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2044.98</w:t>
            </w:r>
          </w:p>
        </w:tc>
        <w:tc>
          <w:tcPr>
            <w:tcW w:w="773" w:type="dxa"/>
            <w:noWrap/>
            <w:hideMark/>
          </w:tcPr>
          <w:p w14:paraId="132C89AA" w14:textId="386D37BA" w:rsidR="00CC3D9E" w:rsidRPr="003C32DB" w:rsidRDefault="00CC3D9E" w:rsidP="00CC3D9E">
            <w:pPr>
              <w:jc w:val="both"/>
              <w:rPr>
                <w:rFonts w:ascii="Arial" w:hAnsi="Arial" w:cs="Arial"/>
                <w:color w:val="000000"/>
                <w:sz w:val="16"/>
                <w:szCs w:val="16"/>
              </w:rPr>
            </w:pPr>
            <w:r w:rsidRPr="003C32DB">
              <w:rPr>
                <w:rFonts w:ascii="Arial" w:hAnsi="Arial" w:cs="Arial"/>
                <w:color w:val="000000"/>
                <w:sz w:val="16"/>
                <w:szCs w:val="16"/>
              </w:rPr>
              <w:t>2.97</w:t>
            </w:r>
          </w:p>
        </w:tc>
      </w:tr>
    </w:tbl>
    <w:p w14:paraId="67F24B8B" w14:textId="278AD82F" w:rsidR="00CC3D9E" w:rsidRPr="002D325A" w:rsidRDefault="00CC3D9E" w:rsidP="00CC3D9E">
      <w:pPr>
        <w:pStyle w:val="Body"/>
        <w:rPr>
          <w:rFonts w:ascii="Arial" w:hAnsi="Arial" w:cs="Arial"/>
        </w:rPr>
      </w:pPr>
      <w:r w:rsidRPr="002D325A">
        <w:rPr>
          <w:rFonts w:ascii="Arial" w:hAnsi="Arial" w:cs="Arial"/>
          <w:noProof/>
        </w:rPr>
        <w:drawing>
          <wp:inline distT="0" distB="0" distL="0" distR="0" wp14:anchorId="14944E3B" wp14:editId="584E55BC">
            <wp:extent cx="5925100" cy="1908083"/>
            <wp:effectExtent l="0" t="0" r="0" b="0"/>
            <wp:docPr id="954729245" name="Chart 1">
              <a:extLst xmlns:a="http://schemas.openxmlformats.org/drawingml/2006/main">
                <a:ext uri="{FF2B5EF4-FFF2-40B4-BE49-F238E27FC236}">
                  <a16:creationId xmlns:a16="http://schemas.microsoft.com/office/drawing/2014/main" id="{ECC1FAEA-01FC-4CF6-95FA-01BB4B5DE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E8521B" w14:textId="103DF237" w:rsidR="00BB7517" w:rsidRPr="002D325A" w:rsidRDefault="00CC3D9E" w:rsidP="00BB7517">
      <w:pPr>
        <w:pStyle w:val="Body"/>
        <w:rPr>
          <w:rFonts w:ascii="Arial" w:hAnsi="Arial" w:cs="Arial"/>
        </w:rPr>
      </w:pPr>
      <w:r w:rsidRPr="002D325A">
        <w:rPr>
          <w:rFonts w:ascii="Arial" w:hAnsi="Arial" w:cs="Arial"/>
        </w:rPr>
        <w:t xml:space="preserve">Figure </w:t>
      </w:r>
      <w:r w:rsidR="00707A83">
        <w:rPr>
          <w:rFonts w:ascii="Arial" w:hAnsi="Arial" w:cs="Arial"/>
        </w:rPr>
        <w:t>6</w:t>
      </w:r>
      <w:r w:rsidRPr="002D325A">
        <w:rPr>
          <w:rFonts w:ascii="Arial" w:hAnsi="Arial" w:cs="Arial"/>
        </w:rPr>
        <w:t>: 2025</w:t>
      </w:r>
      <w:r w:rsidR="00BB7517" w:rsidRPr="002D325A">
        <w:rPr>
          <w:rFonts w:ascii="Arial" w:hAnsi="Arial" w:cs="Arial"/>
        </w:rPr>
        <w:t xml:space="preserve"> Greenness Score Chart</w:t>
      </w:r>
    </w:p>
    <w:p w14:paraId="08A2BF76" w14:textId="05073DB5" w:rsidR="00BB7517" w:rsidRPr="002D325A" w:rsidRDefault="00BB7517" w:rsidP="00BB7517">
      <w:pPr>
        <w:pStyle w:val="Body"/>
        <w:rPr>
          <w:rFonts w:ascii="Arial" w:hAnsi="Arial" w:cs="Arial"/>
          <w:b/>
          <w:bCs/>
        </w:rPr>
      </w:pPr>
      <w:r w:rsidRPr="002D325A">
        <w:rPr>
          <w:rFonts w:ascii="Arial" w:hAnsi="Arial" w:cs="Arial"/>
          <w:b/>
          <w:bCs/>
        </w:rPr>
        <w:t xml:space="preserve">3.4 Statistical NDVI and </w:t>
      </w:r>
      <w:r w:rsidR="00A11071">
        <w:rPr>
          <w:rFonts w:ascii="Arial" w:hAnsi="Arial" w:cs="Arial"/>
          <w:b/>
          <w:bCs/>
        </w:rPr>
        <w:t>Greenness</w:t>
      </w:r>
      <w:r w:rsidRPr="002D325A">
        <w:rPr>
          <w:rFonts w:ascii="Arial" w:hAnsi="Arial" w:cs="Arial"/>
          <w:b/>
          <w:bCs/>
        </w:rPr>
        <w:t xml:space="preserve"> Score</w:t>
      </w:r>
    </w:p>
    <w:p w14:paraId="6697C9B0" w14:textId="023CBB56" w:rsidR="00BB7517" w:rsidRPr="002D325A" w:rsidRDefault="00BB7517" w:rsidP="00BB7517">
      <w:pPr>
        <w:pStyle w:val="Body"/>
        <w:rPr>
          <w:rFonts w:ascii="Arial" w:hAnsi="Arial" w:cs="Arial"/>
        </w:rPr>
      </w:pPr>
      <w:r w:rsidRPr="002D325A">
        <w:rPr>
          <w:rFonts w:ascii="Arial" w:hAnsi="Arial" w:cs="Arial"/>
        </w:rPr>
        <w:t>The comparison of NDVI statistics across the ten cities reveals a fundamental limitation in relying on descriptive statistics and central measures of tendency to evaluate vegetation conditions. This issue, often linked to the "scale effect" in landscape ecology (</w:t>
      </w:r>
      <w:r w:rsidR="00A11071">
        <w:rPr>
          <w:rFonts w:ascii="Arial" w:hAnsi="Arial" w:cs="Arial"/>
        </w:rPr>
        <w:t xml:space="preserve">Li &amp; </w:t>
      </w:r>
      <w:r w:rsidRPr="002D325A">
        <w:rPr>
          <w:rFonts w:ascii="Arial" w:hAnsi="Arial" w:cs="Arial"/>
        </w:rPr>
        <w:t>Wu, 2004; Chase &amp; Knight, 2013), is evident when examining maximum values. For instance, in 2015, Enugu recorded a high maximum NDVI of 0.83, Owerri reached 0.75, and Ibadan also exhibited a maximum of 0.83 (Table 3), which would traditionally indicate that these locations are among the “</w:t>
      </w:r>
      <w:r w:rsidR="00B57753">
        <w:rPr>
          <w:rFonts w:ascii="Arial" w:hAnsi="Arial" w:cs="Arial"/>
        </w:rPr>
        <w:t>Greenness</w:t>
      </w:r>
      <w:r w:rsidRPr="002D325A">
        <w:rPr>
          <w:rFonts w:ascii="Arial" w:hAnsi="Arial" w:cs="Arial"/>
        </w:rPr>
        <w:t>.” However, the hectare-level distribution reveals that the ecological relevance of these maxima varies dramatically. Enugu’s dense vegetation accounted for only 10.34% of its landscape (5,836.68 ha), while Owerri’s dense green class accounted for 35.81% (19,937.16 ha), and Ibadan’s high-NDVI footprint reached 56.44%, equivalent to a remarkable 175,411.4 ha (Table 7). Conversely, a city such as Asaba, which recorded a similarly high maximum NDVI of 0.67, had almost no dense vegetation in 2015, with only 0.06% (17.46 ha). These comparisons demonstrate that maximum NDVI acts as a single-pixel statistic that fails to capture the spatial extent of vegetation (Jensen, 2009), potentially misleading interpretations by elevating cities with isolated bright green pixels over those with expansive, continuous vegetated areas.</w:t>
      </w:r>
    </w:p>
    <w:p w14:paraId="68214B23" w14:textId="77777777" w:rsidR="00BB7517" w:rsidRPr="002D325A" w:rsidRDefault="00BB7517" w:rsidP="00BB7517">
      <w:pPr>
        <w:pStyle w:val="Body"/>
        <w:rPr>
          <w:rFonts w:ascii="Arial" w:hAnsi="Arial" w:cs="Arial"/>
        </w:rPr>
      </w:pPr>
      <w:r w:rsidRPr="002D325A">
        <w:rPr>
          <w:rFonts w:ascii="Arial" w:hAnsi="Arial" w:cs="Arial"/>
        </w:rPr>
        <w:t xml:space="preserve">The mean NDVI similarly hides spatial structure, often masking the true size of the vegetation cover. In 2015, Ibadan’s mean NDVI was 0.57, only slightly higher than </w:t>
      </w:r>
      <w:proofErr w:type="spellStart"/>
      <w:r w:rsidRPr="002D325A">
        <w:rPr>
          <w:rFonts w:ascii="Arial" w:hAnsi="Arial" w:cs="Arial"/>
        </w:rPr>
        <w:t>Uyo</w:t>
      </w:r>
      <w:proofErr w:type="spellEnd"/>
      <w:r w:rsidRPr="002D325A">
        <w:rPr>
          <w:rFonts w:ascii="Arial" w:hAnsi="Arial" w:cs="Arial"/>
        </w:rPr>
        <w:t xml:space="preserve"> at 0.46 and Owerri at 0.53, suggesting comparable vegetation performance. Yet the hectare distributions illustrate enormous differences: Ibadan contained 107,732.2 ha of moderate vegetation and 175,411.4 ha of dense vegetation, far surpassing </w:t>
      </w:r>
      <w:proofErr w:type="spellStart"/>
      <w:r w:rsidRPr="002D325A">
        <w:rPr>
          <w:rFonts w:ascii="Arial" w:hAnsi="Arial" w:cs="Arial"/>
        </w:rPr>
        <w:t>Uyo’s</w:t>
      </w:r>
      <w:proofErr w:type="spellEnd"/>
      <w:r w:rsidRPr="002D325A">
        <w:rPr>
          <w:rFonts w:ascii="Arial" w:hAnsi="Arial" w:cs="Arial"/>
        </w:rPr>
        <w:t xml:space="preserve"> 14,396.4 ha and 2,044.98 ha, respectively, and Owerri’s 31,017.87 ha and 19,937.16 ha (Table 7). This discrepancy aligns with observations by Oyedepo et al. (2021), who noted that simple averaging often under-represents the massive vegetal cover along the Lagos-Ibadan corridor. Similarly, Abuja’s 2015 mean NDVI of 0.39 masked the fact that it possessed 141,176.4 ha of moderate vegetation but only 3,505.5 ha of dense vegetation, indicating a large area dominated not by lush canopy but by mid-greenness transitional vegetation. Thus, cities that appear similar in mean NDVI diverge sharply when spatial distribution is considered. This empirical evidence confirms that NDVI central-tendency statistics bias interpretation toward pixel frequency rather than ecological significance, particularly in mixed landscapes where built-up areas dominate the pixel count.</w:t>
      </w:r>
    </w:p>
    <w:p w14:paraId="604C74A0" w14:textId="19228C66" w:rsidR="00BB7517" w:rsidRPr="002D325A" w:rsidRDefault="00BB7517" w:rsidP="00BB7517">
      <w:pPr>
        <w:pStyle w:val="Body"/>
        <w:rPr>
          <w:rFonts w:ascii="Arial" w:hAnsi="Arial" w:cs="Arial"/>
        </w:rPr>
      </w:pPr>
      <w:r w:rsidRPr="002D325A">
        <w:rPr>
          <w:rFonts w:ascii="Arial" w:hAnsi="Arial" w:cs="Arial"/>
        </w:rPr>
        <w:lastRenderedPageBreak/>
        <w:t xml:space="preserve">Time-series analysis further demonstrates the weakness of conventional NDVI statistics in tracking environmental change. Between 2015 and 2025, several cities experienced notable shifts in vegetation intensity and extent, but these shifts are poorly reflected in their summary metrics. For example, Asaba’s mean NDVI changed only marginally from 0.41 to 0.42 (Tables 3–4), which would imply vegetative stability. Yet the hectare coverage of dense vegetation increased dramatically from 17.46 ha to 5,891.67 ha, and moderate vegetation declined from 21,084.48 ha to 14,297.58 ha (Tables 7–8), indicating a major reorganization of vegetation structure rather than stability. Similarly, </w:t>
      </w:r>
      <w:proofErr w:type="spellStart"/>
      <w:r w:rsidRPr="002D325A">
        <w:rPr>
          <w:rFonts w:ascii="Arial" w:hAnsi="Arial" w:cs="Arial"/>
        </w:rPr>
        <w:t>Uyo’s</w:t>
      </w:r>
      <w:proofErr w:type="spellEnd"/>
      <w:r w:rsidRPr="002D325A">
        <w:rPr>
          <w:rFonts w:ascii="Arial" w:hAnsi="Arial" w:cs="Arial"/>
        </w:rPr>
        <w:t xml:space="preserve"> mean NDVI dropped slightly from 0.46 to 0.41, but its dense vegetation remained largely stable (2,044.98 ha in 2015 versus 1,939.05 ha in 2025), while moderate vegetation decreased from 14,396.4 ha to 12,685.77 ha</w:t>
      </w:r>
      <w:r w:rsidR="00182742">
        <w:rPr>
          <w:rFonts w:ascii="Arial" w:hAnsi="Arial" w:cs="Arial"/>
        </w:rPr>
        <w:t xml:space="preserve">, </w:t>
      </w:r>
      <w:r w:rsidRPr="002D325A">
        <w:rPr>
          <w:rFonts w:ascii="Arial" w:hAnsi="Arial" w:cs="Arial"/>
        </w:rPr>
        <w:t xml:space="preserve">changes again invisible in its mean NDVI. Abuja’s example is even more striking: its mean NDVI declined from 0.39 to 0.25, suggesting severe vegetation loss; however, moderate vegetation dropped sharply from 141,176.4 ha to 28,443.51 ha, while sparse vegetation pixels expanded massively from 35,270.55 ha to 150,833.5 ha (Tables 7–8). This reflects the rapid land cover transitions and urban expansion in Abuja documented by </w:t>
      </w:r>
      <w:proofErr w:type="spellStart"/>
      <w:r w:rsidRPr="002D325A">
        <w:rPr>
          <w:rFonts w:ascii="Arial" w:hAnsi="Arial" w:cs="Arial"/>
        </w:rPr>
        <w:t>Mshelia</w:t>
      </w:r>
      <w:proofErr w:type="spellEnd"/>
      <w:r w:rsidRPr="002D325A">
        <w:rPr>
          <w:rFonts w:ascii="Arial" w:hAnsi="Arial" w:cs="Arial"/>
        </w:rPr>
        <w:t xml:space="preserve"> et al. (2024). These cases show that NDVI summary statistics obscure ecological dynamics, particularly when the proportion of built-up or sparse vegetation expands or contracts.</w:t>
      </w:r>
    </w:p>
    <w:p w14:paraId="70230214" w14:textId="7E6A53D7" w:rsidR="00BB7517" w:rsidRPr="002D325A" w:rsidRDefault="00BB7517" w:rsidP="00BB7517">
      <w:pPr>
        <w:pStyle w:val="Body"/>
        <w:rPr>
          <w:rFonts w:ascii="Arial" w:hAnsi="Arial" w:cs="Arial"/>
        </w:rPr>
      </w:pPr>
      <w:r w:rsidRPr="002D325A">
        <w:rPr>
          <w:rFonts w:ascii="Arial" w:hAnsi="Arial" w:cs="Arial"/>
        </w:rPr>
        <w:t xml:space="preserve">In contrast, the Greenness Score (GS), constructed from area-weighted NDVI classes, provides a more accurate and ecologically </w:t>
      </w:r>
      <w:r w:rsidR="003C32DB">
        <w:rPr>
          <w:rFonts w:ascii="Arial" w:hAnsi="Arial" w:cs="Arial"/>
        </w:rPr>
        <w:t xml:space="preserve">clear </w:t>
      </w:r>
      <w:r w:rsidRPr="002D325A">
        <w:rPr>
          <w:rFonts w:ascii="Arial" w:hAnsi="Arial" w:cs="Arial"/>
        </w:rPr>
        <w:t xml:space="preserve">representation of vegetation patterns across space and time. In 2015, GS clearly distinguished cities by their actual greenness distribution: Ibadan, Owerri, Enugu, and </w:t>
      </w:r>
      <w:proofErr w:type="spellStart"/>
      <w:r w:rsidRPr="002D325A">
        <w:rPr>
          <w:rFonts w:ascii="Arial" w:hAnsi="Arial" w:cs="Arial"/>
        </w:rPr>
        <w:t>Uyo</w:t>
      </w:r>
      <w:proofErr w:type="spellEnd"/>
      <w:r w:rsidRPr="002D325A">
        <w:rPr>
          <w:rFonts w:ascii="Arial" w:hAnsi="Arial" w:cs="Arial"/>
        </w:rPr>
        <w:t xml:space="preserve"> ranked highest due to their large moderate and dense vegetation footprints (Figure 5), while Maiduguri, Kano, and Sokoto ranked lowest because over 75–93% of their areas fell within the low-NDVI built-up or sparse vegetation classes (Table 5). This accurately captures the "high degradation" of vegetation often found in northern forest reserves </w:t>
      </w:r>
      <w:r w:rsidR="00D16AFB" w:rsidRPr="00D16AFB">
        <w:rPr>
          <w:rFonts w:ascii="Arial" w:hAnsi="Arial" w:cs="Arial"/>
        </w:rPr>
        <w:t>(Suleiman et al., 2017)</w:t>
      </w:r>
      <w:r w:rsidR="00D16AFB">
        <w:rPr>
          <w:rFonts w:ascii="Arial" w:hAnsi="Arial" w:cs="Arial"/>
        </w:rPr>
        <w:t xml:space="preserve">. </w:t>
      </w:r>
      <w:r w:rsidRPr="002D325A">
        <w:rPr>
          <w:rFonts w:ascii="Arial" w:hAnsi="Arial" w:cs="Arial"/>
        </w:rPr>
        <w:t>By 2025 (Figure 6), GS captured substantial greenness gains in Asaba (dense NDVI increasing from 0.06% to 21.76%) and Owerri (dense NDVI increasing from 35.81% to 43.06%), as well as sharp declines in Abuja (dense NDVI falling from 1.94% to 0.11%, moderate declining from 78.31% to 15.78%). These city-to-city and year-to-year differences are not reflected in the min–max–mean values, which remain deceptively similar despite large shifts in vegetation distribution. The GS method</w:t>
      </w:r>
      <w:r w:rsidR="003C32DB">
        <w:rPr>
          <w:rFonts w:ascii="Arial" w:hAnsi="Arial" w:cs="Arial"/>
        </w:rPr>
        <w:t>,</w:t>
      </w:r>
      <w:r w:rsidRPr="002D325A">
        <w:rPr>
          <w:rFonts w:ascii="Arial" w:hAnsi="Arial" w:cs="Arial"/>
        </w:rPr>
        <w:t xml:space="preserve"> </w:t>
      </w:r>
      <w:r w:rsidR="003C32DB" w:rsidRPr="002D325A">
        <w:rPr>
          <w:rFonts w:ascii="Arial" w:hAnsi="Arial" w:cs="Arial"/>
        </w:rPr>
        <w:t>therefore,</w:t>
      </w:r>
      <w:r w:rsidRPr="002D325A">
        <w:rPr>
          <w:rFonts w:ascii="Arial" w:hAnsi="Arial" w:cs="Arial"/>
        </w:rPr>
        <w:t xml:space="preserve"> resolves the limitation of conventional NDVI analysis</w:t>
      </w:r>
      <w:r w:rsidR="003C32DB">
        <w:rPr>
          <w:rFonts w:ascii="Arial" w:hAnsi="Arial" w:cs="Arial"/>
        </w:rPr>
        <w:t xml:space="preserve">, </w:t>
      </w:r>
      <w:r w:rsidRPr="002D325A">
        <w:rPr>
          <w:rFonts w:ascii="Arial" w:hAnsi="Arial" w:cs="Arial"/>
        </w:rPr>
        <w:t>the saturation and resolution issues noted by Mutanga and Skidmore (2004)</w:t>
      </w:r>
      <w:r w:rsidR="003C32DB">
        <w:rPr>
          <w:rFonts w:ascii="Arial" w:hAnsi="Arial" w:cs="Arial"/>
        </w:rPr>
        <w:t xml:space="preserve">, </w:t>
      </w:r>
      <w:r w:rsidRPr="002D325A">
        <w:rPr>
          <w:rFonts w:ascii="Arial" w:hAnsi="Arial" w:cs="Arial"/>
        </w:rPr>
        <w:t>by incorporating both intensity and extent. This ensures that a city with a single high-NDVI pixel does not appear “greener” than one with tens of thousands of hectares of real vegetation, enabling fair comparison among cities of different sizes (</w:t>
      </w:r>
      <w:proofErr w:type="spellStart"/>
      <w:r w:rsidRPr="002D325A">
        <w:rPr>
          <w:rFonts w:ascii="Arial" w:hAnsi="Arial" w:cs="Arial"/>
        </w:rPr>
        <w:t>Enoguanbhor</w:t>
      </w:r>
      <w:proofErr w:type="spellEnd"/>
      <w:r w:rsidRPr="002D325A">
        <w:rPr>
          <w:rFonts w:ascii="Arial" w:hAnsi="Arial" w:cs="Arial"/>
        </w:rPr>
        <w:t>, 2023).</w:t>
      </w:r>
    </w:p>
    <w:p w14:paraId="0A139EF2" w14:textId="77777777" w:rsidR="00BB7517" w:rsidRPr="002D325A" w:rsidRDefault="00BB7517" w:rsidP="00BB7517">
      <w:pPr>
        <w:pStyle w:val="Body"/>
        <w:rPr>
          <w:rFonts w:ascii="Arial" w:hAnsi="Arial" w:cs="Arial"/>
          <w:b/>
          <w:bCs/>
        </w:rPr>
      </w:pPr>
      <w:r w:rsidRPr="002D325A">
        <w:rPr>
          <w:rFonts w:ascii="Arial" w:hAnsi="Arial" w:cs="Arial"/>
          <w:b/>
          <w:bCs/>
        </w:rPr>
        <w:t>3.5 Comparative Analysis of NDVI Descriptive Statistics and Area-Weighted Greenness</w:t>
      </w:r>
    </w:p>
    <w:p w14:paraId="2DC57020" w14:textId="5A452EBC" w:rsidR="00BB7517" w:rsidRPr="002D325A" w:rsidRDefault="00BB7517" w:rsidP="00BB7517">
      <w:pPr>
        <w:pStyle w:val="Body"/>
        <w:rPr>
          <w:rFonts w:ascii="Arial" w:hAnsi="Arial" w:cs="Arial"/>
        </w:rPr>
      </w:pPr>
      <w:r w:rsidRPr="002D325A">
        <w:rPr>
          <w:rFonts w:ascii="Arial" w:hAnsi="Arial" w:cs="Arial"/>
        </w:rPr>
        <w:t xml:space="preserve">A detailed examination of the data from 2015 to 2025 provides critical insights into the comparative greenness of Nigerian cities. This analysis demonstrates how the </w:t>
      </w:r>
      <w:r w:rsidR="00B57753">
        <w:rPr>
          <w:rFonts w:ascii="Arial" w:hAnsi="Arial" w:cs="Arial"/>
        </w:rPr>
        <w:t>Greenness</w:t>
      </w:r>
      <w:r w:rsidRPr="002D325A">
        <w:rPr>
          <w:rFonts w:ascii="Arial" w:hAnsi="Arial" w:cs="Arial"/>
        </w:rPr>
        <w:t xml:space="preserve"> Score (GS) offers a more robust ranking than standard metrics like minimum, maximum, or mean Normalized Difference Vegetation Index (NDVI), consistent with established principles of urban remote sensing (Jensen, 2009).</w:t>
      </w:r>
    </w:p>
    <w:p w14:paraId="0A6B36AC" w14:textId="6BC4BFB4" w:rsidR="00BB7517" w:rsidRPr="002D325A" w:rsidRDefault="00BB7517" w:rsidP="00BB7517">
      <w:pPr>
        <w:pStyle w:val="Body"/>
        <w:rPr>
          <w:rFonts w:ascii="Arial" w:hAnsi="Arial" w:cs="Arial"/>
        </w:rPr>
      </w:pPr>
      <w:r w:rsidRPr="002D325A">
        <w:rPr>
          <w:rFonts w:ascii="Arial" w:hAnsi="Arial" w:cs="Arial"/>
        </w:rPr>
        <w:t>The Limitation of Conventional Statistics Standard statistics often rank cities incorrectly by ignoring the "scale effect," a fundamental challenge in landscape pattern analysis where the size of the unit conceals the true shape size (</w:t>
      </w:r>
      <w:r w:rsidR="00C7462E">
        <w:rPr>
          <w:rFonts w:ascii="Arial" w:hAnsi="Arial" w:cs="Arial"/>
        </w:rPr>
        <w:t xml:space="preserve">Li &amp; </w:t>
      </w:r>
      <w:r w:rsidRPr="002D325A">
        <w:rPr>
          <w:rFonts w:ascii="Arial" w:hAnsi="Arial" w:cs="Arial"/>
        </w:rPr>
        <w:t>Wu, 2004). A direct comparison between Ibadan and Asaba illustrates this. In 2015, Asaba’s maximum NDVI (0.67) and mean NDVI (0.41) suggested greenness comparable to Ibadan (max 0.83, mean 0.57). However, the breakdown of land area reveals a major discrepancy. Ibadan contained over 175,000 hectares of dense vegetation, whereas Asaba possessed only about 17 hectares. Relying solely on mean NDVI creates a false equivalency. This aligns with findings by Oyedepo et al. (2021), who reported that vege</w:t>
      </w:r>
      <w:r w:rsidR="008A36AD">
        <w:rPr>
          <w:rFonts w:ascii="Arial" w:hAnsi="Arial" w:cs="Arial"/>
        </w:rPr>
        <w:t>tation</w:t>
      </w:r>
      <w:r w:rsidRPr="002D325A">
        <w:rPr>
          <w:rFonts w:ascii="Arial" w:hAnsi="Arial" w:cs="Arial"/>
        </w:rPr>
        <w:t xml:space="preserve"> cover along the Lagos-Ibadan corridor is frequently under-characterized by simple averaging despite its vast absolute magnitude. The GS corrects this by weighing the metric by land area, correctly prioritizing Ibadan’s ecological volume.</w:t>
      </w:r>
    </w:p>
    <w:p w14:paraId="4E1D1D0E" w14:textId="77777777" w:rsidR="00BB7517" w:rsidRPr="002D325A" w:rsidRDefault="00BB7517" w:rsidP="00BB7517">
      <w:pPr>
        <w:pStyle w:val="Body"/>
        <w:rPr>
          <w:rFonts w:ascii="Arial" w:hAnsi="Arial" w:cs="Arial"/>
        </w:rPr>
      </w:pPr>
      <w:r w:rsidRPr="002D325A">
        <w:rPr>
          <w:rFonts w:ascii="Arial" w:hAnsi="Arial" w:cs="Arial"/>
        </w:rPr>
        <w:t xml:space="preserve">The temporal dynamics of Abuja and Owerri between 2015 and 2025 highlight how GS tracks environmental change more effectively than mean values. Abuja experienced a collapse in moderate vegetation, dropping from roughly 141,000 ha to 28,000 ha, while built-up areas expanded by over 115,000 ha. A simple drop in mean NDVI fails to convey the severity of this transition. This trajectory is supported by </w:t>
      </w:r>
      <w:proofErr w:type="spellStart"/>
      <w:r w:rsidRPr="002D325A">
        <w:rPr>
          <w:rFonts w:ascii="Arial" w:hAnsi="Arial" w:cs="Arial"/>
        </w:rPr>
        <w:t>Mshelia</w:t>
      </w:r>
      <w:proofErr w:type="spellEnd"/>
      <w:r w:rsidRPr="002D325A">
        <w:rPr>
          <w:rFonts w:ascii="Arial" w:hAnsi="Arial" w:cs="Arial"/>
        </w:rPr>
        <w:t xml:space="preserve"> et al. (2024), whose modeling of Abuja’s land cover transitions revealed that rapid urbanization has led to a significant expansion of built-up areas at the direct expense of vegetation. In contrast, Owerri maintained stable vegetation levels. The GS captures this divergence: Abuja’s score plummets due to the massive loss of green hectares, reflecting the spatial planning challenges noted by </w:t>
      </w:r>
      <w:proofErr w:type="spellStart"/>
      <w:r w:rsidRPr="002D325A">
        <w:rPr>
          <w:rFonts w:ascii="Arial" w:hAnsi="Arial" w:cs="Arial"/>
        </w:rPr>
        <w:t>Enoguanbhor</w:t>
      </w:r>
      <w:proofErr w:type="spellEnd"/>
      <w:r w:rsidRPr="002D325A">
        <w:rPr>
          <w:rFonts w:ascii="Arial" w:hAnsi="Arial" w:cs="Arial"/>
        </w:rPr>
        <w:t xml:space="preserve"> (2023) in assessing urban patterns.</w:t>
      </w:r>
    </w:p>
    <w:p w14:paraId="4DF0813F" w14:textId="77777777" w:rsidR="00BB7517" w:rsidRPr="002D325A" w:rsidRDefault="00BB7517" w:rsidP="00BB7517">
      <w:pPr>
        <w:pStyle w:val="Body"/>
        <w:rPr>
          <w:rFonts w:ascii="Arial" w:hAnsi="Arial" w:cs="Arial"/>
        </w:rPr>
      </w:pPr>
      <w:r w:rsidRPr="002D325A">
        <w:rPr>
          <w:rFonts w:ascii="Arial" w:hAnsi="Arial" w:cs="Arial"/>
        </w:rPr>
        <w:t xml:space="preserve">The data for Maiduguri and Kano illustrate the misleading nature of central-tendency metrics in arid, built-up environments. Both cities remained dominated by sparse or built-up land (73–93%) with consistently low mean NDVI values. While this signals poor greenness, it fails to differentiate between minor recovery and permanent degradation. Recent research by Ahmed et al. (2022) on forest reserves in the Kano region confirms that high-quality vegetation is </w:t>
      </w:r>
      <w:r w:rsidRPr="002D325A">
        <w:rPr>
          <w:rFonts w:ascii="Arial" w:hAnsi="Arial" w:cs="Arial"/>
        </w:rPr>
        <w:lastRenderedPageBreak/>
        <w:t>experiencing degradation due to various pressures. Because GS accounts for the negligible hectares of high-NDVI classes in these cities, it remains low, accurately flagging them as priority zones for heat mitigation and active greening.</w:t>
      </w:r>
    </w:p>
    <w:p w14:paraId="1E9B1B97" w14:textId="77777777" w:rsidR="00BB7517" w:rsidRPr="002D325A" w:rsidRDefault="00BB7517" w:rsidP="00BB7517">
      <w:pPr>
        <w:pStyle w:val="Body"/>
        <w:rPr>
          <w:rFonts w:ascii="Arial" w:hAnsi="Arial" w:cs="Arial"/>
        </w:rPr>
      </w:pPr>
      <w:r w:rsidRPr="002D325A">
        <w:rPr>
          <w:rFonts w:ascii="Arial" w:hAnsi="Arial" w:cs="Arial"/>
        </w:rPr>
        <w:t xml:space="preserve">The cases of Enugu and </w:t>
      </w:r>
      <w:proofErr w:type="spellStart"/>
      <w:r w:rsidRPr="002D325A">
        <w:rPr>
          <w:rFonts w:ascii="Arial" w:hAnsi="Arial" w:cs="Arial"/>
        </w:rPr>
        <w:t>Uyo</w:t>
      </w:r>
      <w:proofErr w:type="spellEnd"/>
      <w:r w:rsidRPr="002D325A">
        <w:rPr>
          <w:rFonts w:ascii="Arial" w:hAnsi="Arial" w:cs="Arial"/>
        </w:rPr>
        <w:t xml:space="preserve"> demonstrate how GS distinguishes between different mechanisms of vegetation loss. Enugu lost a significant dense forest (dropping from approximately 5,800 ha to 1,500 ha), while </w:t>
      </w:r>
      <w:proofErr w:type="spellStart"/>
      <w:r w:rsidRPr="002D325A">
        <w:rPr>
          <w:rFonts w:ascii="Arial" w:hAnsi="Arial" w:cs="Arial"/>
        </w:rPr>
        <w:t>Uyo</w:t>
      </w:r>
      <w:proofErr w:type="spellEnd"/>
      <w:r w:rsidRPr="002D325A">
        <w:rPr>
          <w:rFonts w:ascii="Arial" w:hAnsi="Arial" w:cs="Arial"/>
        </w:rPr>
        <w:t xml:space="preserve"> largely maintained its moderate canopy. The GS would register a sharper decline for Enugu, highlighting the loss of high-value biodiversity. This is critical for policy, as noted by </w:t>
      </w:r>
      <w:proofErr w:type="spellStart"/>
      <w:r w:rsidRPr="002D325A">
        <w:rPr>
          <w:rFonts w:ascii="Arial" w:hAnsi="Arial" w:cs="Arial"/>
        </w:rPr>
        <w:t>Adegun</w:t>
      </w:r>
      <w:proofErr w:type="spellEnd"/>
      <w:r w:rsidRPr="002D325A">
        <w:rPr>
          <w:rFonts w:ascii="Arial" w:hAnsi="Arial" w:cs="Arial"/>
        </w:rPr>
        <w:t xml:space="preserve"> et al. (2021) in a review of green infrastructure in Nigeria, distinct strategies are needed for conserving remnant forests versus managing extensive urban tree canopies.</w:t>
      </w:r>
    </w:p>
    <w:p w14:paraId="3E873519" w14:textId="3F7E3131" w:rsidR="00E053D0" w:rsidRPr="002D325A" w:rsidRDefault="00BB7517" w:rsidP="00BB7517">
      <w:pPr>
        <w:pStyle w:val="Body"/>
        <w:spacing w:after="0"/>
        <w:rPr>
          <w:rFonts w:ascii="Arial" w:hAnsi="Arial" w:cs="Arial"/>
        </w:rPr>
      </w:pPr>
      <w:r w:rsidRPr="002D325A">
        <w:rPr>
          <w:rFonts w:ascii="Arial" w:hAnsi="Arial" w:cs="Arial"/>
        </w:rPr>
        <w:t>In cities like Sokoto, where dense vegetation is effectively negligible, relying on maximum NDVI can lead to "false positive" interpretations of greening. A high maximum value may simply reflect seasonal crops or small garden patches rather than genuine urban forestry. The GS remains low because the hectare basis is small, preventing policy misdirection. This approach addresses the saturation and resolution limitations of NDVI often cited in remote sensing literature (Mutanga &amp; Skidmore, 2004), ensuring that limited resources are not diverted from cities with genuine restoration needs.</w:t>
      </w:r>
    </w:p>
    <w:p w14:paraId="640CD14D" w14:textId="77777777" w:rsidR="00790ADA" w:rsidRPr="002D325A" w:rsidRDefault="00790ADA" w:rsidP="00441B6F">
      <w:pPr>
        <w:pStyle w:val="Body"/>
        <w:spacing w:after="0"/>
        <w:rPr>
          <w:rFonts w:ascii="Arial" w:hAnsi="Arial" w:cs="Arial"/>
        </w:rPr>
      </w:pPr>
    </w:p>
    <w:p w14:paraId="5AC67347" w14:textId="77777777" w:rsidR="00B01FCD" w:rsidRPr="002D325A" w:rsidRDefault="00000F8F" w:rsidP="00441B6F">
      <w:pPr>
        <w:pStyle w:val="ConcHead"/>
        <w:spacing w:after="0"/>
        <w:jc w:val="both"/>
        <w:rPr>
          <w:rFonts w:ascii="Arial" w:hAnsi="Arial" w:cs="Arial"/>
          <w:sz w:val="20"/>
        </w:rPr>
      </w:pPr>
      <w:r w:rsidRPr="002D325A">
        <w:rPr>
          <w:rFonts w:ascii="Arial" w:hAnsi="Arial" w:cs="Arial"/>
          <w:sz w:val="20"/>
        </w:rPr>
        <w:t xml:space="preserve">4. </w:t>
      </w:r>
      <w:r w:rsidR="00B01FCD" w:rsidRPr="002D325A">
        <w:rPr>
          <w:rFonts w:ascii="Arial" w:hAnsi="Arial" w:cs="Arial"/>
          <w:sz w:val="20"/>
        </w:rPr>
        <w:t>Conclusion</w:t>
      </w:r>
    </w:p>
    <w:p w14:paraId="0A4151BF" w14:textId="77777777" w:rsidR="00790ADA" w:rsidRPr="002D325A" w:rsidRDefault="00790ADA" w:rsidP="00441B6F">
      <w:pPr>
        <w:pStyle w:val="ConcHead"/>
        <w:spacing w:after="0"/>
        <w:jc w:val="both"/>
        <w:rPr>
          <w:rFonts w:ascii="Arial" w:hAnsi="Arial" w:cs="Arial"/>
          <w:sz w:val="20"/>
        </w:rPr>
      </w:pPr>
    </w:p>
    <w:p w14:paraId="5342E439" w14:textId="6AC73A47" w:rsidR="003A037B" w:rsidRPr="003A037B" w:rsidRDefault="003A037B" w:rsidP="003A037B">
      <w:pPr>
        <w:pStyle w:val="ReferHead"/>
        <w:jc w:val="both"/>
        <w:rPr>
          <w:rFonts w:ascii="Arial" w:hAnsi="Arial" w:cs="Arial"/>
          <w:b w:val="0"/>
          <w:caps w:val="0"/>
          <w:sz w:val="20"/>
        </w:rPr>
      </w:pPr>
      <w:r w:rsidRPr="003A037B">
        <w:rPr>
          <w:rFonts w:ascii="Arial" w:hAnsi="Arial" w:cs="Arial"/>
          <w:b w:val="0"/>
          <w:caps w:val="0"/>
          <w:sz w:val="20"/>
        </w:rPr>
        <w:t>This study demonstrates the limitations of relying solely on traditional descriptive statistics, including minimum, maximum, mean, median, and standard deviation, for evaluating vegetation greenness. While these metrics describe central tendency and dispersion, they do not adequately represent the spatial distribution or areal extent of vegetation, which can lead to incomplete or misleading assessments of urban greenness</w:t>
      </w:r>
      <w:r>
        <w:rPr>
          <w:rFonts w:ascii="Arial" w:hAnsi="Arial" w:cs="Arial"/>
          <w:b w:val="0"/>
          <w:caps w:val="0"/>
          <w:sz w:val="20"/>
        </w:rPr>
        <w:t>, ecological</w:t>
      </w:r>
      <w:r w:rsidR="00FC2303">
        <w:rPr>
          <w:rFonts w:ascii="Arial" w:hAnsi="Arial" w:cs="Arial"/>
          <w:b w:val="0"/>
          <w:caps w:val="0"/>
          <w:sz w:val="20"/>
        </w:rPr>
        <w:t xml:space="preserve"> conditions</w:t>
      </w:r>
      <w:r>
        <w:rPr>
          <w:rFonts w:ascii="Arial" w:hAnsi="Arial" w:cs="Arial"/>
          <w:b w:val="0"/>
          <w:caps w:val="0"/>
          <w:sz w:val="20"/>
        </w:rPr>
        <w:t xml:space="preserve">, vegetation health </w:t>
      </w:r>
      <w:r w:rsidR="007D29C9">
        <w:rPr>
          <w:rFonts w:ascii="Arial" w:hAnsi="Arial" w:cs="Arial"/>
          <w:b w:val="0"/>
          <w:caps w:val="0"/>
          <w:sz w:val="20"/>
        </w:rPr>
        <w:t>etc.</w:t>
      </w:r>
      <w:r w:rsidRPr="003A037B">
        <w:rPr>
          <w:rFonts w:ascii="Arial" w:hAnsi="Arial" w:cs="Arial"/>
          <w:b w:val="0"/>
          <w:caps w:val="0"/>
          <w:sz w:val="20"/>
        </w:rPr>
        <w:t xml:space="preserve"> High </w:t>
      </w:r>
      <w:r w:rsidR="00FC2303">
        <w:rPr>
          <w:rFonts w:ascii="Arial" w:hAnsi="Arial" w:cs="Arial"/>
          <w:b w:val="0"/>
          <w:caps w:val="0"/>
          <w:sz w:val="20"/>
        </w:rPr>
        <w:t xml:space="preserve">Vegetation Indices </w:t>
      </w:r>
      <w:r w:rsidRPr="003A037B">
        <w:rPr>
          <w:rFonts w:ascii="Arial" w:hAnsi="Arial" w:cs="Arial"/>
          <w:b w:val="0"/>
          <w:caps w:val="0"/>
          <w:sz w:val="20"/>
        </w:rPr>
        <w:t>values confined to limited spatial extents or small ecologically significant patches may be underrepresented or obscured by conventional summary statistics.</w:t>
      </w:r>
    </w:p>
    <w:p w14:paraId="35F6B7AC" w14:textId="5837F8F3" w:rsidR="007D29C9" w:rsidRDefault="007D29C9" w:rsidP="003A037B">
      <w:pPr>
        <w:pStyle w:val="ReferHead"/>
        <w:spacing w:after="0"/>
        <w:jc w:val="both"/>
        <w:rPr>
          <w:rFonts w:ascii="Arial" w:hAnsi="Arial" w:cs="Arial"/>
          <w:b w:val="0"/>
          <w:caps w:val="0"/>
          <w:sz w:val="20"/>
        </w:rPr>
      </w:pPr>
      <w:r>
        <w:rPr>
          <w:rFonts w:ascii="Arial" w:hAnsi="Arial" w:cs="Arial"/>
          <w:b w:val="0"/>
          <w:caps w:val="0"/>
          <w:sz w:val="20"/>
        </w:rPr>
        <w:t>Furthermore, i</w:t>
      </w:r>
      <w:r w:rsidR="003A037B" w:rsidRPr="003A037B">
        <w:rPr>
          <w:rFonts w:ascii="Arial" w:hAnsi="Arial" w:cs="Arial"/>
          <w:b w:val="0"/>
          <w:caps w:val="0"/>
          <w:sz w:val="20"/>
        </w:rPr>
        <w:t xml:space="preserve">ntegrating NDVI classes with their corresponding area coverage through the proposed </w:t>
      </w:r>
      <w:r w:rsidR="00B57753">
        <w:rPr>
          <w:rFonts w:ascii="Arial" w:hAnsi="Arial" w:cs="Arial"/>
          <w:b w:val="0"/>
          <w:caps w:val="0"/>
          <w:sz w:val="20"/>
        </w:rPr>
        <w:t>Greenness</w:t>
      </w:r>
      <w:r w:rsidR="003A037B" w:rsidRPr="003A037B">
        <w:rPr>
          <w:rFonts w:ascii="Arial" w:hAnsi="Arial" w:cs="Arial"/>
          <w:b w:val="0"/>
          <w:caps w:val="0"/>
          <w:sz w:val="20"/>
        </w:rPr>
        <w:t xml:space="preserve"> Score (GS), this research presents a more robust and spatially explicit measure of urban vegetation. GS complements traditional descriptive statistics by incorporating spatial significance, thereby enabling more reliable spatial and temporal comparisons. </w:t>
      </w:r>
    </w:p>
    <w:p w14:paraId="3F957DA1" w14:textId="77777777" w:rsidR="007D29C9" w:rsidRDefault="007D29C9" w:rsidP="003A037B">
      <w:pPr>
        <w:pStyle w:val="ReferHead"/>
        <w:spacing w:after="0"/>
        <w:jc w:val="both"/>
        <w:rPr>
          <w:rFonts w:ascii="Arial" w:hAnsi="Arial" w:cs="Arial"/>
          <w:b w:val="0"/>
          <w:caps w:val="0"/>
          <w:sz w:val="20"/>
        </w:rPr>
      </w:pPr>
    </w:p>
    <w:p w14:paraId="5515B2CB" w14:textId="206AB352" w:rsidR="000A58C4" w:rsidRDefault="007D29C9" w:rsidP="003A037B">
      <w:pPr>
        <w:pStyle w:val="ReferHead"/>
        <w:spacing w:after="0"/>
        <w:jc w:val="both"/>
        <w:rPr>
          <w:rFonts w:ascii="Arial" w:hAnsi="Arial" w:cs="Arial"/>
          <w:b w:val="0"/>
          <w:caps w:val="0"/>
          <w:sz w:val="20"/>
        </w:rPr>
      </w:pPr>
      <w:r>
        <w:rPr>
          <w:rFonts w:ascii="Arial" w:hAnsi="Arial" w:cs="Arial"/>
          <w:b w:val="0"/>
          <w:caps w:val="0"/>
          <w:sz w:val="20"/>
        </w:rPr>
        <w:t xml:space="preserve">In conclusion, </w:t>
      </w:r>
      <w:r w:rsidR="0069141B">
        <w:rPr>
          <w:rFonts w:ascii="Arial" w:hAnsi="Arial" w:cs="Arial"/>
          <w:b w:val="0"/>
          <w:caps w:val="0"/>
          <w:sz w:val="20"/>
        </w:rPr>
        <w:t>the application</w:t>
      </w:r>
      <w:r w:rsidR="003A037B" w:rsidRPr="003A037B">
        <w:rPr>
          <w:rFonts w:ascii="Arial" w:hAnsi="Arial" w:cs="Arial"/>
          <w:b w:val="0"/>
          <w:caps w:val="0"/>
          <w:sz w:val="20"/>
        </w:rPr>
        <w:t xml:space="preserve"> of GS across the analyzed Nigerian cities revealed substantial differences in urban greenness that were not captured by central tendency measures alone. These findings underscore the importance of combining statistical variability with spatial distribution in urban vegetation assessments and support the adoption of spatially explicit metrics in remote sensing–based greenness studies.</w:t>
      </w:r>
    </w:p>
    <w:p w14:paraId="29293FAD" w14:textId="77777777" w:rsidR="003A037B" w:rsidRPr="002D325A" w:rsidRDefault="003A037B" w:rsidP="003A037B">
      <w:pPr>
        <w:pStyle w:val="ReferHead"/>
        <w:spacing w:after="0"/>
        <w:jc w:val="both"/>
        <w:rPr>
          <w:rFonts w:ascii="Arial" w:hAnsi="Arial" w:cs="Arial"/>
          <w:b w:val="0"/>
          <w:caps w:val="0"/>
          <w:sz w:val="20"/>
        </w:rPr>
      </w:pPr>
    </w:p>
    <w:p w14:paraId="088A7DDF" w14:textId="440B7C19" w:rsidR="00E74C5C" w:rsidRDefault="00E74C5C" w:rsidP="00441B6F">
      <w:pPr>
        <w:pStyle w:val="ReferHead"/>
        <w:spacing w:after="0"/>
        <w:jc w:val="both"/>
        <w:rPr>
          <w:rFonts w:ascii="Arial" w:hAnsi="Arial" w:cs="Arial"/>
          <w:b w:val="0"/>
          <w:caps w:val="0"/>
          <w:sz w:val="20"/>
          <w:u w:val="single"/>
        </w:rPr>
      </w:pPr>
    </w:p>
    <w:p w14:paraId="535D57A3" w14:textId="77777777" w:rsidR="00E74C5C" w:rsidRPr="003A53FE" w:rsidRDefault="00E74C5C" w:rsidP="00E74C5C">
      <w:pPr>
        <w:pStyle w:val="NoSpacing"/>
        <w:rPr>
          <w:rFonts w:ascii="Arial" w:hAnsi="Arial" w:cs="Arial"/>
          <w:b/>
          <w:highlight w:val="yellow"/>
        </w:rPr>
      </w:pPr>
      <w:bookmarkStart w:id="0" w:name="_Hlk219284361"/>
      <w:bookmarkStart w:id="1" w:name="_Hlk198031404"/>
      <w:r w:rsidRPr="003A53FE">
        <w:rPr>
          <w:rFonts w:ascii="Arial" w:hAnsi="Arial" w:cs="Arial"/>
          <w:b/>
          <w:highlight w:val="yellow"/>
        </w:rPr>
        <w:t>Disclaimer (Artificial intelligence)</w:t>
      </w:r>
    </w:p>
    <w:p w14:paraId="3EF7EA39" w14:textId="77777777" w:rsidR="00E74C5C" w:rsidRPr="00005ED1" w:rsidRDefault="00E74C5C" w:rsidP="00E74C5C">
      <w:pPr>
        <w:pStyle w:val="NoSpacing"/>
        <w:rPr>
          <w:rFonts w:ascii="Arial" w:hAnsi="Arial" w:cs="Arial"/>
          <w:highlight w:val="yellow"/>
        </w:rPr>
      </w:pPr>
      <w:bookmarkStart w:id="2" w:name="_GoBack"/>
      <w:bookmarkEnd w:id="2"/>
    </w:p>
    <w:p w14:paraId="47E156A9" w14:textId="77777777" w:rsidR="00E74C5C" w:rsidRPr="00005ED1" w:rsidRDefault="00E74C5C" w:rsidP="00E74C5C">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07A4ABBE" w14:textId="77777777" w:rsidR="00E74C5C" w:rsidRPr="002D325A" w:rsidRDefault="00E74C5C" w:rsidP="00441B6F">
      <w:pPr>
        <w:pStyle w:val="ReferHead"/>
        <w:spacing w:after="0"/>
        <w:jc w:val="both"/>
        <w:rPr>
          <w:rFonts w:ascii="Arial" w:hAnsi="Arial" w:cs="Arial"/>
          <w:b w:val="0"/>
          <w:caps w:val="0"/>
          <w:sz w:val="20"/>
          <w:u w:val="single"/>
        </w:rPr>
      </w:pPr>
    </w:p>
    <w:p w14:paraId="16F6D2F5" w14:textId="77777777" w:rsidR="001A29D8" w:rsidRPr="002D325A" w:rsidRDefault="001A29D8" w:rsidP="00441B6F">
      <w:pPr>
        <w:pStyle w:val="ReferHead"/>
        <w:spacing w:after="0"/>
        <w:jc w:val="both"/>
        <w:rPr>
          <w:rFonts w:ascii="Arial" w:hAnsi="Arial" w:cs="Arial"/>
          <w:b w:val="0"/>
          <w:caps w:val="0"/>
          <w:sz w:val="20"/>
        </w:rPr>
      </w:pPr>
    </w:p>
    <w:p w14:paraId="3F60A9DD" w14:textId="77777777" w:rsidR="00860000" w:rsidRPr="002D325A" w:rsidRDefault="00860000" w:rsidP="00441B6F">
      <w:pPr>
        <w:pStyle w:val="ReferHead"/>
        <w:spacing w:after="0"/>
        <w:jc w:val="both"/>
        <w:rPr>
          <w:rFonts w:ascii="Arial" w:hAnsi="Arial" w:cs="Arial"/>
          <w:sz w:val="20"/>
        </w:rPr>
      </w:pPr>
    </w:p>
    <w:p w14:paraId="7A615973" w14:textId="77777777" w:rsidR="00B01FCD" w:rsidRPr="002D325A" w:rsidRDefault="00B01FCD" w:rsidP="00441B6F">
      <w:pPr>
        <w:pStyle w:val="ReferHead"/>
        <w:spacing w:after="0"/>
        <w:jc w:val="both"/>
        <w:rPr>
          <w:rFonts w:ascii="Arial" w:hAnsi="Arial" w:cs="Arial"/>
          <w:sz w:val="20"/>
        </w:rPr>
      </w:pPr>
      <w:r w:rsidRPr="002D325A">
        <w:rPr>
          <w:rFonts w:ascii="Arial" w:hAnsi="Arial" w:cs="Arial"/>
          <w:sz w:val="20"/>
        </w:rPr>
        <w:t>References</w:t>
      </w:r>
    </w:p>
    <w:p w14:paraId="03B18CA3" w14:textId="77777777" w:rsidR="00790ADA" w:rsidRPr="002D325A" w:rsidRDefault="00790ADA" w:rsidP="00441B6F">
      <w:pPr>
        <w:pStyle w:val="ReferHead"/>
        <w:spacing w:after="0"/>
        <w:jc w:val="both"/>
        <w:rPr>
          <w:rFonts w:ascii="Arial" w:hAnsi="Arial" w:cs="Arial"/>
          <w:sz w:val="20"/>
        </w:rPr>
      </w:pPr>
    </w:p>
    <w:p w14:paraId="15350F1A"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Adepoju, K., Adelabu, S., &amp; </w:t>
      </w:r>
      <w:proofErr w:type="spellStart"/>
      <w:r w:rsidRPr="00C7462E">
        <w:rPr>
          <w:rFonts w:ascii="Arial" w:hAnsi="Arial" w:cs="Arial"/>
        </w:rPr>
        <w:t>Fashae</w:t>
      </w:r>
      <w:proofErr w:type="spellEnd"/>
      <w:r w:rsidRPr="00C7462E">
        <w:rPr>
          <w:rFonts w:ascii="Arial" w:hAnsi="Arial" w:cs="Arial"/>
        </w:rPr>
        <w:t xml:space="preserve">, O. (2019). Vegetation Response to Recent Trends in Climate and </w:t>
      </w:r>
      <w:proofErr w:type="spellStart"/>
      <w:r w:rsidRPr="00C7462E">
        <w:rPr>
          <w:rFonts w:ascii="Arial" w:hAnsi="Arial" w:cs="Arial"/>
        </w:rPr>
        <w:t>Landuse</w:t>
      </w:r>
      <w:proofErr w:type="spellEnd"/>
      <w:r w:rsidRPr="00C7462E">
        <w:rPr>
          <w:rFonts w:ascii="Arial" w:hAnsi="Arial" w:cs="Arial"/>
        </w:rPr>
        <w:t xml:space="preserve"> Dynamics in a Typical Humid and Dry Tropical Region under Global Change. </w:t>
      </w:r>
      <w:r w:rsidRPr="00C7462E">
        <w:rPr>
          <w:rFonts w:ascii="Arial" w:hAnsi="Arial" w:cs="Arial"/>
          <w:i/>
          <w:iCs/>
        </w:rPr>
        <w:t>Advances in Meteorology</w:t>
      </w:r>
      <w:r w:rsidRPr="00C7462E">
        <w:rPr>
          <w:rFonts w:ascii="Arial" w:hAnsi="Arial" w:cs="Arial"/>
        </w:rPr>
        <w:t xml:space="preserve">, </w:t>
      </w:r>
      <w:r w:rsidRPr="00C7462E">
        <w:rPr>
          <w:rFonts w:ascii="Arial" w:hAnsi="Arial" w:cs="Arial"/>
          <w:i/>
          <w:iCs/>
        </w:rPr>
        <w:t>2019</w:t>
      </w:r>
      <w:r w:rsidRPr="00C7462E">
        <w:rPr>
          <w:rFonts w:ascii="Arial" w:hAnsi="Arial" w:cs="Arial"/>
        </w:rPr>
        <w:t>, 1–15. https://doi.org/10.1155/2019/4946127</w:t>
      </w:r>
    </w:p>
    <w:p w14:paraId="2F911211" w14:textId="77777777" w:rsidR="00C7462E" w:rsidRPr="00C7462E" w:rsidRDefault="00C7462E" w:rsidP="00C7462E">
      <w:pPr>
        <w:pStyle w:val="Body"/>
        <w:numPr>
          <w:ilvl w:val="0"/>
          <w:numId w:val="33"/>
        </w:numPr>
        <w:rPr>
          <w:rFonts w:ascii="Arial" w:hAnsi="Arial" w:cs="Arial"/>
        </w:rPr>
      </w:pPr>
      <w:r w:rsidRPr="00A10823">
        <w:rPr>
          <w:rFonts w:ascii="Arial" w:hAnsi="Arial" w:cs="Arial"/>
          <w:lang w:val="de-DE"/>
        </w:rPr>
        <w:t xml:space="preserve">Amuyou, U. A., Wang, Y., Ebuta, B. F., Iheaturu, C. J., &amp; Antonarakis, A. S. (2022). </w:t>
      </w:r>
      <w:r w:rsidRPr="00C7462E">
        <w:rPr>
          <w:rFonts w:ascii="Arial" w:hAnsi="Arial" w:cs="Arial"/>
        </w:rPr>
        <w:t xml:space="preserve">Quantification of Above-Ground Biomass over the Cross-River State, Nigeria, Using Sentinel-2 Data. </w:t>
      </w:r>
      <w:r w:rsidRPr="00C7462E">
        <w:rPr>
          <w:rFonts w:ascii="Arial" w:hAnsi="Arial" w:cs="Arial"/>
          <w:i/>
          <w:iCs/>
        </w:rPr>
        <w:t>Remote Sensing</w:t>
      </w:r>
      <w:r w:rsidRPr="00C7462E">
        <w:rPr>
          <w:rFonts w:ascii="Arial" w:hAnsi="Arial" w:cs="Arial"/>
        </w:rPr>
        <w:t xml:space="preserve">, </w:t>
      </w:r>
      <w:r w:rsidRPr="00C7462E">
        <w:rPr>
          <w:rFonts w:ascii="Arial" w:hAnsi="Arial" w:cs="Arial"/>
          <w:i/>
          <w:iCs/>
        </w:rPr>
        <w:t>14</w:t>
      </w:r>
      <w:r w:rsidRPr="00C7462E">
        <w:rPr>
          <w:rFonts w:ascii="Arial" w:hAnsi="Arial" w:cs="Arial"/>
        </w:rPr>
        <w:t>(22), 5741. https://doi.org/10.3390/rs14225741</w:t>
      </w:r>
    </w:p>
    <w:p w14:paraId="6B6EE3CD" w14:textId="77777777" w:rsidR="00C7462E" w:rsidRPr="00C7462E" w:rsidRDefault="00C7462E" w:rsidP="00C7462E">
      <w:pPr>
        <w:pStyle w:val="Body"/>
        <w:numPr>
          <w:ilvl w:val="0"/>
          <w:numId w:val="33"/>
        </w:numPr>
        <w:rPr>
          <w:rFonts w:ascii="Arial" w:hAnsi="Arial" w:cs="Arial"/>
        </w:rPr>
      </w:pPr>
      <w:proofErr w:type="spellStart"/>
      <w:r w:rsidRPr="00C7462E">
        <w:rPr>
          <w:rFonts w:ascii="Arial" w:hAnsi="Arial" w:cs="Arial"/>
        </w:rPr>
        <w:t>Ayanlade</w:t>
      </w:r>
      <w:proofErr w:type="spellEnd"/>
      <w:r w:rsidRPr="00C7462E">
        <w:rPr>
          <w:rFonts w:ascii="Arial" w:hAnsi="Arial" w:cs="Arial"/>
        </w:rPr>
        <w:t xml:space="preserve">, A., Jeje, O. D., </w:t>
      </w:r>
      <w:proofErr w:type="spellStart"/>
      <w:r w:rsidRPr="00C7462E">
        <w:rPr>
          <w:rFonts w:ascii="Arial" w:hAnsi="Arial" w:cs="Arial"/>
        </w:rPr>
        <w:t>Nwaezeigwe</w:t>
      </w:r>
      <w:proofErr w:type="spellEnd"/>
      <w:r w:rsidRPr="00C7462E">
        <w:rPr>
          <w:rFonts w:ascii="Arial" w:hAnsi="Arial" w:cs="Arial"/>
        </w:rPr>
        <w:t xml:space="preserve">, J. O., </w:t>
      </w:r>
      <w:proofErr w:type="spellStart"/>
      <w:r w:rsidRPr="00C7462E">
        <w:rPr>
          <w:rFonts w:ascii="Arial" w:hAnsi="Arial" w:cs="Arial"/>
        </w:rPr>
        <w:t>Orimoogunje</w:t>
      </w:r>
      <w:proofErr w:type="spellEnd"/>
      <w:r w:rsidRPr="00C7462E">
        <w:rPr>
          <w:rFonts w:ascii="Arial" w:hAnsi="Arial" w:cs="Arial"/>
        </w:rPr>
        <w:t xml:space="preserve">, O. O. I., &amp; </w:t>
      </w:r>
      <w:proofErr w:type="spellStart"/>
      <w:r w:rsidRPr="00C7462E">
        <w:rPr>
          <w:rFonts w:ascii="Arial" w:hAnsi="Arial" w:cs="Arial"/>
        </w:rPr>
        <w:t>Olokeogun</w:t>
      </w:r>
      <w:proofErr w:type="spellEnd"/>
      <w:r w:rsidRPr="00C7462E">
        <w:rPr>
          <w:rFonts w:ascii="Arial" w:hAnsi="Arial" w:cs="Arial"/>
        </w:rPr>
        <w:t xml:space="preserve">, O. S. (2021). Rainfall seasonality effects on vegetation greenness in different ecological zones. </w:t>
      </w:r>
      <w:r w:rsidRPr="00C7462E">
        <w:rPr>
          <w:rFonts w:ascii="Arial" w:hAnsi="Arial" w:cs="Arial"/>
          <w:i/>
          <w:iCs/>
        </w:rPr>
        <w:t>Environmental Challenges</w:t>
      </w:r>
      <w:r w:rsidRPr="00C7462E">
        <w:rPr>
          <w:rFonts w:ascii="Arial" w:hAnsi="Arial" w:cs="Arial"/>
        </w:rPr>
        <w:t xml:space="preserve">, </w:t>
      </w:r>
      <w:r w:rsidRPr="00C7462E">
        <w:rPr>
          <w:rFonts w:ascii="Arial" w:hAnsi="Arial" w:cs="Arial"/>
          <w:i/>
          <w:iCs/>
        </w:rPr>
        <w:t>4</w:t>
      </w:r>
      <w:r w:rsidRPr="00C7462E">
        <w:rPr>
          <w:rFonts w:ascii="Arial" w:hAnsi="Arial" w:cs="Arial"/>
        </w:rPr>
        <w:t>, 100144. https://doi.org/10.1016/j.envc.2021.100144</w:t>
      </w:r>
    </w:p>
    <w:p w14:paraId="18261035" w14:textId="77777777" w:rsidR="00C7462E" w:rsidRPr="00C7462E" w:rsidRDefault="00C7462E" w:rsidP="00C7462E">
      <w:pPr>
        <w:pStyle w:val="Body"/>
        <w:numPr>
          <w:ilvl w:val="0"/>
          <w:numId w:val="33"/>
        </w:numPr>
        <w:rPr>
          <w:rFonts w:ascii="Arial" w:hAnsi="Arial" w:cs="Arial"/>
        </w:rPr>
      </w:pPr>
      <w:r w:rsidRPr="00C7462E">
        <w:rPr>
          <w:rFonts w:ascii="Arial" w:hAnsi="Arial" w:cs="Arial"/>
        </w:rPr>
        <w:lastRenderedPageBreak/>
        <w:t xml:space="preserve">Brown, C. J., Parker, B., Hocking, M. D., &amp; Reynolds, J. D. (2020). Salmon abundance and patterns of forest greenness as measured by satellite imagery. </w:t>
      </w:r>
      <w:r w:rsidRPr="00C7462E">
        <w:rPr>
          <w:rFonts w:ascii="Arial" w:hAnsi="Arial" w:cs="Arial"/>
          <w:i/>
          <w:iCs/>
        </w:rPr>
        <w:t>Science of the Total Environment</w:t>
      </w:r>
      <w:r w:rsidRPr="00C7462E">
        <w:rPr>
          <w:rFonts w:ascii="Arial" w:hAnsi="Arial" w:cs="Arial"/>
        </w:rPr>
        <w:t xml:space="preserve">, </w:t>
      </w:r>
      <w:r w:rsidRPr="00C7462E">
        <w:rPr>
          <w:rFonts w:ascii="Arial" w:hAnsi="Arial" w:cs="Arial"/>
          <w:i/>
          <w:iCs/>
        </w:rPr>
        <w:t>725</w:t>
      </w:r>
      <w:r w:rsidRPr="00C7462E">
        <w:rPr>
          <w:rFonts w:ascii="Arial" w:hAnsi="Arial" w:cs="Arial"/>
        </w:rPr>
        <w:t>, 138448. https://doi.org/10.1016/j.scitotenv.2020.138448</w:t>
      </w:r>
    </w:p>
    <w:p w14:paraId="074887EA"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Carlson, T. N., &amp; Ripley, D. A. (1997). On the relation between NDVI, fractional vegetation cover, and leaf area index. </w:t>
      </w:r>
      <w:r w:rsidRPr="00C7462E">
        <w:rPr>
          <w:rFonts w:ascii="Arial" w:hAnsi="Arial" w:cs="Arial"/>
          <w:i/>
          <w:iCs/>
        </w:rPr>
        <w:t>Remote Sensing of Environment</w:t>
      </w:r>
      <w:r w:rsidRPr="00C7462E">
        <w:rPr>
          <w:rFonts w:ascii="Arial" w:hAnsi="Arial" w:cs="Arial"/>
        </w:rPr>
        <w:t xml:space="preserve">, </w:t>
      </w:r>
      <w:r w:rsidRPr="00C7462E">
        <w:rPr>
          <w:rFonts w:ascii="Arial" w:hAnsi="Arial" w:cs="Arial"/>
          <w:i/>
          <w:iCs/>
        </w:rPr>
        <w:t>62</w:t>
      </w:r>
      <w:r w:rsidRPr="00C7462E">
        <w:rPr>
          <w:rFonts w:ascii="Arial" w:hAnsi="Arial" w:cs="Arial"/>
        </w:rPr>
        <w:t>(3), 241–252. https://doi.org/10.1016/s0034-4257(97)00104-1</w:t>
      </w:r>
    </w:p>
    <w:p w14:paraId="0492DA81"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Chase, J. M., &amp; Knight, T. M. (2013). Scale-dependent effect sizes of ecological drivers on biodiversity: why </w:t>
      </w:r>
      <w:proofErr w:type="spellStart"/>
      <w:r w:rsidRPr="00C7462E">
        <w:rPr>
          <w:rFonts w:ascii="Arial" w:hAnsi="Arial" w:cs="Arial"/>
        </w:rPr>
        <w:t>standardised</w:t>
      </w:r>
      <w:proofErr w:type="spellEnd"/>
      <w:r w:rsidRPr="00C7462E">
        <w:rPr>
          <w:rFonts w:ascii="Arial" w:hAnsi="Arial" w:cs="Arial"/>
        </w:rPr>
        <w:t xml:space="preserve"> sampling is not enough. </w:t>
      </w:r>
      <w:r w:rsidRPr="00C7462E">
        <w:rPr>
          <w:rFonts w:ascii="Arial" w:hAnsi="Arial" w:cs="Arial"/>
          <w:i/>
          <w:iCs/>
        </w:rPr>
        <w:t>Ecology Letters</w:t>
      </w:r>
      <w:r w:rsidRPr="00C7462E">
        <w:rPr>
          <w:rFonts w:ascii="Arial" w:hAnsi="Arial" w:cs="Arial"/>
        </w:rPr>
        <w:t xml:space="preserve">, </w:t>
      </w:r>
      <w:r w:rsidRPr="00C7462E">
        <w:rPr>
          <w:rFonts w:ascii="Arial" w:hAnsi="Arial" w:cs="Arial"/>
          <w:i/>
          <w:iCs/>
        </w:rPr>
        <w:t>16</w:t>
      </w:r>
      <w:r w:rsidRPr="00C7462E">
        <w:rPr>
          <w:rFonts w:ascii="Arial" w:hAnsi="Arial" w:cs="Arial"/>
        </w:rPr>
        <w:t>, 17–26. https://doi.org/10.1111/ele.12112</w:t>
      </w:r>
    </w:p>
    <w:p w14:paraId="10D526B6"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D’Ercole, R., Casella, D., </w:t>
      </w:r>
      <w:proofErr w:type="spellStart"/>
      <w:r w:rsidRPr="00C7462E">
        <w:rPr>
          <w:rFonts w:ascii="Arial" w:hAnsi="Arial" w:cs="Arial"/>
        </w:rPr>
        <w:t>Panegrossi</w:t>
      </w:r>
      <w:proofErr w:type="spellEnd"/>
      <w:r w:rsidRPr="00C7462E">
        <w:rPr>
          <w:rFonts w:ascii="Arial" w:hAnsi="Arial" w:cs="Arial"/>
        </w:rPr>
        <w:t xml:space="preserve">, G., &amp; </w:t>
      </w:r>
      <w:proofErr w:type="spellStart"/>
      <w:r w:rsidRPr="00C7462E">
        <w:rPr>
          <w:rFonts w:ascii="Arial" w:hAnsi="Arial" w:cs="Arial"/>
        </w:rPr>
        <w:t>Sanò</w:t>
      </w:r>
      <w:proofErr w:type="spellEnd"/>
      <w:r w:rsidRPr="00C7462E">
        <w:rPr>
          <w:rFonts w:ascii="Arial" w:hAnsi="Arial" w:cs="Arial"/>
        </w:rPr>
        <w:t xml:space="preserve">, P. (2024). A high temporal resolution NDVI time series to monitor drought events in the Horn of Africa. </w:t>
      </w:r>
      <w:r w:rsidRPr="00C7462E">
        <w:rPr>
          <w:rFonts w:ascii="Arial" w:hAnsi="Arial" w:cs="Arial"/>
          <w:i/>
          <w:iCs/>
        </w:rPr>
        <w:t>International Journal of Applied Earth Observation and Geoinformation</w:t>
      </w:r>
      <w:r w:rsidRPr="00C7462E">
        <w:rPr>
          <w:rFonts w:ascii="Arial" w:hAnsi="Arial" w:cs="Arial"/>
        </w:rPr>
        <w:t xml:space="preserve">, </w:t>
      </w:r>
      <w:r w:rsidRPr="00C7462E">
        <w:rPr>
          <w:rFonts w:ascii="Arial" w:hAnsi="Arial" w:cs="Arial"/>
          <w:i/>
          <w:iCs/>
        </w:rPr>
        <w:t>135</w:t>
      </w:r>
      <w:r w:rsidRPr="00C7462E">
        <w:rPr>
          <w:rFonts w:ascii="Arial" w:hAnsi="Arial" w:cs="Arial"/>
        </w:rPr>
        <w:t>, 104264. https://doi.org/10.1016/j.jag.2024.104264</w:t>
      </w:r>
    </w:p>
    <w:p w14:paraId="5C3ACF29" w14:textId="77777777" w:rsidR="00C7462E" w:rsidRPr="00C7462E" w:rsidRDefault="00C7462E" w:rsidP="00C7462E">
      <w:pPr>
        <w:pStyle w:val="Body"/>
        <w:numPr>
          <w:ilvl w:val="0"/>
          <w:numId w:val="33"/>
        </w:numPr>
        <w:rPr>
          <w:rFonts w:ascii="Arial" w:hAnsi="Arial" w:cs="Arial"/>
        </w:rPr>
      </w:pPr>
      <w:proofErr w:type="spellStart"/>
      <w:r w:rsidRPr="00C7462E">
        <w:rPr>
          <w:rFonts w:ascii="Arial" w:hAnsi="Arial" w:cs="Arial"/>
        </w:rPr>
        <w:t>Enoguanbhor</w:t>
      </w:r>
      <w:proofErr w:type="spellEnd"/>
      <w:r w:rsidRPr="00C7462E">
        <w:rPr>
          <w:rFonts w:ascii="Arial" w:hAnsi="Arial" w:cs="Arial"/>
        </w:rPr>
        <w:t xml:space="preserve">, E. C. (2023). Assessing urban spatial patterns within the implemented urban planned areas using GIS and remote sensing data. </w:t>
      </w:r>
      <w:r w:rsidRPr="00C7462E">
        <w:rPr>
          <w:rFonts w:ascii="Arial" w:hAnsi="Arial" w:cs="Arial"/>
          <w:i/>
          <w:iCs/>
        </w:rPr>
        <w:t>International Journal of Multidisciplinary Perspectives</w:t>
      </w:r>
      <w:r w:rsidRPr="00C7462E">
        <w:rPr>
          <w:rFonts w:ascii="Arial" w:hAnsi="Arial" w:cs="Arial"/>
        </w:rPr>
        <w:t xml:space="preserve">, </w:t>
      </w:r>
      <w:r w:rsidRPr="00C7462E">
        <w:rPr>
          <w:rFonts w:ascii="Arial" w:hAnsi="Arial" w:cs="Arial"/>
          <w:i/>
          <w:iCs/>
        </w:rPr>
        <w:t>04</w:t>
      </w:r>
      <w:r w:rsidRPr="00C7462E">
        <w:rPr>
          <w:rFonts w:ascii="Arial" w:hAnsi="Arial" w:cs="Arial"/>
        </w:rPr>
        <w:t>(01), 87–96. https://doi.org/10.18801/ijmp.040123.14</w:t>
      </w:r>
    </w:p>
    <w:p w14:paraId="572A36D4"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Gamon, J. A., Field, C. B., Goulden, M. L., Griffin, K. L., Hartley, A. E., Joel, G., Penuelas, J., &amp; Valentini, R. (1995). Relationships Between NDVI, Canopy Structure, and Photosynthesis in Three Californian Vegetation Types. </w:t>
      </w:r>
      <w:r w:rsidRPr="00C7462E">
        <w:rPr>
          <w:rFonts w:ascii="Arial" w:hAnsi="Arial" w:cs="Arial"/>
          <w:i/>
          <w:iCs/>
        </w:rPr>
        <w:t>Ecological Applications</w:t>
      </w:r>
      <w:r w:rsidRPr="00C7462E">
        <w:rPr>
          <w:rFonts w:ascii="Arial" w:hAnsi="Arial" w:cs="Arial"/>
        </w:rPr>
        <w:t xml:space="preserve">, </w:t>
      </w:r>
      <w:r w:rsidRPr="00C7462E">
        <w:rPr>
          <w:rFonts w:ascii="Arial" w:hAnsi="Arial" w:cs="Arial"/>
          <w:i/>
          <w:iCs/>
        </w:rPr>
        <w:t>5</w:t>
      </w:r>
      <w:r w:rsidRPr="00C7462E">
        <w:rPr>
          <w:rFonts w:ascii="Arial" w:hAnsi="Arial" w:cs="Arial"/>
        </w:rPr>
        <w:t>(1), 28–41. https://doi.org/10.2307/1942049</w:t>
      </w:r>
    </w:p>
    <w:p w14:paraId="0986422E"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Gitelson, A. A. (2004). Wide Dynamic Range Vegetation Index for Remote Quantification of Biophysical Characteristics of Vegetation. </w:t>
      </w:r>
      <w:r w:rsidRPr="00C7462E">
        <w:rPr>
          <w:rFonts w:ascii="Arial" w:hAnsi="Arial" w:cs="Arial"/>
          <w:i/>
          <w:iCs/>
        </w:rPr>
        <w:t>Journal of Plant Physiology</w:t>
      </w:r>
      <w:r w:rsidRPr="00C7462E">
        <w:rPr>
          <w:rFonts w:ascii="Arial" w:hAnsi="Arial" w:cs="Arial"/>
        </w:rPr>
        <w:t xml:space="preserve">, </w:t>
      </w:r>
      <w:r w:rsidRPr="00C7462E">
        <w:rPr>
          <w:rFonts w:ascii="Arial" w:hAnsi="Arial" w:cs="Arial"/>
          <w:i/>
          <w:iCs/>
        </w:rPr>
        <w:t>161</w:t>
      </w:r>
      <w:r w:rsidRPr="00C7462E">
        <w:rPr>
          <w:rFonts w:ascii="Arial" w:hAnsi="Arial" w:cs="Arial"/>
        </w:rPr>
        <w:t>(2), 165–173. https://doi.org/10.1078/0176-1617-01176</w:t>
      </w:r>
    </w:p>
    <w:p w14:paraId="7EA5860B"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Gutiérrez-Castorena, E. V., Silva-Núñez, J. A., </w:t>
      </w:r>
      <w:proofErr w:type="spellStart"/>
      <w:r w:rsidRPr="00C7462E">
        <w:rPr>
          <w:rFonts w:ascii="Arial" w:hAnsi="Arial" w:cs="Arial"/>
        </w:rPr>
        <w:t>Gaytán</w:t>
      </w:r>
      <w:proofErr w:type="spellEnd"/>
      <w:r w:rsidRPr="00C7462E">
        <w:rPr>
          <w:rFonts w:ascii="Arial" w:hAnsi="Arial" w:cs="Arial"/>
        </w:rPr>
        <w:t xml:space="preserve">-Martínez, F. D., Encinia-Uribe, V. V., Ramírez-Gómez, G. A., &amp; Olivares-Sáenz, E. (2025). Evaluation of Statistical Models of NDVI and Agronomic Variables in a Protected Agriculture System. </w:t>
      </w:r>
      <w:proofErr w:type="spellStart"/>
      <w:r w:rsidRPr="00C7462E">
        <w:rPr>
          <w:rFonts w:ascii="Arial" w:hAnsi="Arial" w:cs="Arial"/>
          <w:i/>
          <w:iCs/>
        </w:rPr>
        <w:t>Horticulturae</w:t>
      </w:r>
      <w:proofErr w:type="spellEnd"/>
      <w:r w:rsidRPr="00C7462E">
        <w:rPr>
          <w:rFonts w:ascii="Arial" w:hAnsi="Arial" w:cs="Arial"/>
        </w:rPr>
        <w:t xml:space="preserve">, </w:t>
      </w:r>
      <w:r w:rsidRPr="00C7462E">
        <w:rPr>
          <w:rFonts w:ascii="Arial" w:hAnsi="Arial" w:cs="Arial"/>
          <w:i/>
          <w:iCs/>
        </w:rPr>
        <w:t>11</w:t>
      </w:r>
      <w:r w:rsidRPr="00C7462E">
        <w:rPr>
          <w:rFonts w:ascii="Arial" w:hAnsi="Arial" w:cs="Arial"/>
        </w:rPr>
        <w:t>(2), 131. https://doi.org/10.3390/horticulturae11020131</w:t>
      </w:r>
    </w:p>
    <w:p w14:paraId="2F146210" w14:textId="77777777" w:rsidR="00C7462E" w:rsidRPr="00C7462E" w:rsidRDefault="00C7462E" w:rsidP="00C7462E">
      <w:pPr>
        <w:pStyle w:val="Body"/>
        <w:numPr>
          <w:ilvl w:val="0"/>
          <w:numId w:val="33"/>
        </w:numPr>
        <w:rPr>
          <w:rFonts w:ascii="Arial" w:hAnsi="Arial" w:cs="Arial"/>
        </w:rPr>
      </w:pPr>
      <w:r w:rsidRPr="00A10823">
        <w:rPr>
          <w:rFonts w:ascii="Arial" w:hAnsi="Arial" w:cs="Arial"/>
          <w:lang w:val="de-DE"/>
        </w:rPr>
        <w:t xml:space="preserve">Herrmann, S. M., Anyamba, A., &amp; Tucker, C. J. (2005). </w:t>
      </w:r>
      <w:r w:rsidRPr="00C7462E">
        <w:rPr>
          <w:rFonts w:ascii="Arial" w:hAnsi="Arial" w:cs="Arial"/>
        </w:rPr>
        <w:t xml:space="preserve">Recent trends in vegetation dynamics in the African Sahel and their relationship to climate. </w:t>
      </w:r>
      <w:r w:rsidRPr="00C7462E">
        <w:rPr>
          <w:rFonts w:ascii="Arial" w:hAnsi="Arial" w:cs="Arial"/>
          <w:i/>
          <w:iCs/>
        </w:rPr>
        <w:t>Global Environmental Change</w:t>
      </w:r>
      <w:r w:rsidRPr="00C7462E">
        <w:rPr>
          <w:rFonts w:ascii="Arial" w:hAnsi="Arial" w:cs="Arial"/>
        </w:rPr>
        <w:t xml:space="preserve">, </w:t>
      </w:r>
      <w:r w:rsidRPr="00C7462E">
        <w:rPr>
          <w:rFonts w:ascii="Arial" w:hAnsi="Arial" w:cs="Arial"/>
          <w:i/>
          <w:iCs/>
        </w:rPr>
        <w:t>15</w:t>
      </w:r>
      <w:r w:rsidRPr="00C7462E">
        <w:rPr>
          <w:rFonts w:ascii="Arial" w:hAnsi="Arial" w:cs="Arial"/>
        </w:rPr>
        <w:t>(4), 394–404. https://doi.org/10.1016/j.gloenvcha.2005.08.004</w:t>
      </w:r>
    </w:p>
    <w:p w14:paraId="3C02C246"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Huang, S., Tang, L., Hupy, J. P., Wang, Y., &amp; Shao, G. (2020). A commentary review on the use of normalized difference vegetation index (NDVI) in the era of popular remote sensing. </w:t>
      </w:r>
      <w:r w:rsidRPr="00C7462E">
        <w:rPr>
          <w:rFonts w:ascii="Arial" w:hAnsi="Arial" w:cs="Arial"/>
          <w:i/>
          <w:iCs/>
        </w:rPr>
        <w:t>Journal of Forestry Research</w:t>
      </w:r>
      <w:r w:rsidRPr="00C7462E">
        <w:rPr>
          <w:rFonts w:ascii="Arial" w:hAnsi="Arial" w:cs="Arial"/>
        </w:rPr>
        <w:t xml:space="preserve">, </w:t>
      </w:r>
      <w:r w:rsidRPr="00C7462E">
        <w:rPr>
          <w:rFonts w:ascii="Arial" w:hAnsi="Arial" w:cs="Arial"/>
          <w:i/>
          <w:iCs/>
        </w:rPr>
        <w:t>32</w:t>
      </w:r>
      <w:r w:rsidRPr="00C7462E">
        <w:rPr>
          <w:rFonts w:ascii="Arial" w:hAnsi="Arial" w:cs="Arial"/>
        </w:rPr>
        <w:t>(1), 1–6. https://doi.org/10.1007/s11676-020-01155-1</w:t>
      </w:r>
    </w:p>
    <w:p w14:paraId="50E3D5B0"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Huete, A., Didan, K., Miura, T., Rodriguez, E. P., Gao, X., &amp; Ferreira, L. G. (2002). Overview of the radiometric and biophysical performance of the MODIS vegetation indices. </w:t>
      </w:r>
      <w:r w:rsidRPr="00C7462E">
        <w:rPr>
          <w:rFonts w:ascii="Arial" w:hAnsi="Arial" w:cs="Arial"/>
          <w:i/>
          <w:iCs/>
        </w:rPr>
        <w:t>Remote Sensing of Environment</w:t>
      </w:r>
      <w:r w:rsidRPr="00C7462E">
        <w:rPr>
          <w:rFonts w:ascii="Arial" w:hAnsi="Arial" w:cs="Arial"/>
        </w:rPr>
        <w:t xml:space="preserve">, </w:t>
      </w:r>
      <w:r w:rsidRPr="00C7462E">
        <w:rPr>
          <w:rFonts w:ascii="Arial" w:hAnsi="Arial" w:cs="Arial"/>
          <w:i/>
          <w:iCs/>
        </w:rPr>
        <w:t>83</w:t>
      </w:r>
      <w:r w:rsidRPr="00C7462E">
        <w:rPr>
          <w:rFonts w:ascii="Arial" w:hAnsi="Arial" w:cs="Arial"/>
        </w:rPr>
        <w:t>(1-2), 195–213. https://doi.org/10.1016/s0034-4257(02)00096-2</w:t>
      </w:r>
    </w:p>
    <w:p w14:paraId="4F89AE1B"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Jensen, J. R. (2009). Remote sensing of the environment: An earth resource perspective 2/e. </w:t>
      </w:r>
      <w:r w:rsidRPr="00C7462E">
        <w:rPr>
          <w:rFonts w:ascii="Arial" w:hAnsi="Arial" w:cs="Arial"/>
          <w:i/>
          <w:iCs/>
        </w:rPr>
        <w:t>Pearson Education India.</w:t>
      </w:r>
    </w:p>
    <w:p w14:paraId="6FE93499"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Jiménez-Jiménez, S. I., Marcial-Pablo, M. de J., Ojeda-Bustamante, W., Sifuentes-Ibarra, E., Inzunza-Ibarra, M. A., &amp; Sánchez-Cohen, I. (2022). VICAL: Global Calculator to Estimate Vegetation Indices for Agricultural Areas with Landsat and Sentinel-2 Data. </w:t>
      </w:r>
      <w:r w:rsidRPr="00C7462E">
        <w:rPr>
          <w:rFonts w:ascii="Arial" w:hAnsi="Arial" w:cs="Arial"/>
          <w:i/>
          <w:iCs/>
        </w:rPr>
        <w:t>Agronomy</w:t>
      </w:r>
      <w:r w:rsidRPr="00C7462E">
        <w:rPr>
          <w:rFonts w:ascii="Arial" w:hAnsi="Arial" w:cs="Arial"/>
        </w:rPr>
        <w:t xml:space="preserve">, </w:t>
      </w:r>
      <w:r w:rsidRPr="00C7462E">
        <w:rPr>
          <w:rFonts w:ascii="Arial" w:hAnsi="Arial" w:cs="Arial"/>
          <w:i/>
          <w:iCs/>
        </w:rPr>
        <w:t>12</w:t>
      </w:r>
      <w:r w:rsidRPr="00C7462E">
        <w:rPr>
          <w:rFonts w:ascii="Arial" w:hAnsi="Arial" w:cs="Arial"/>
        </w:rPr>
        <w:t>(7), 1518. https://doi.org/10.3390/agronomy12071518</w:t>
      </w:r>
    </w:p>
    <w:p w14:paraId="6093B5E9" w14:textId="77777777" w:rsidR="00C7462E" w:rsidRPr="00C7462E" w:rsidRDefault="00C7462E" w:rsidP="00C7462E">
      <w:pPr>
        <w:pStyle w:val="Body"/>
        <w:numPr>
          <w:ilvl w:val="0"/>
          <w:numId w:val="33"/>
        </w:numPr>
        <w:rPr>
          <w:rFonts w:ascii="Arial" w:hAnsi="Arial" w:cs="Arial"/>
        </w:rPr>
      </w:pPr>
      <w:r w:rsidRPr="00D6697C">
        <w:rPr>
          <w:rFonts w:ascii="Arial" w:hAnsi="Arial" w:cs="Arial"/>
          <w:lang w:val="pl-PL"/>
        </w:rPr>
        <w:t xml:space="preserve">Latuamury, B., Imlabla, W. N., Sahusilawane, F., &amp; Marasabessy, H. (2025). </w:t>
      </w:r>
      <w:r w:rsidRPr="00C7462E">
        <w:rPr>
          <w:rFonts w:ascii="Arial" w:hAnsi="Arial" w:cs="Arial"/>
        </w:rPr>
        <w:t xml:space="preserve">Spatial Patterns of NDVI Vegetation Greenness Index and NDWI Water Content Index Using Sentinel 2A Imagery. </w:t>
      </w:r>
      <w:r w:rsidRPr="00C7462E">
        <w:rPr>
          <w:rFonts w:ascii="Arial" w:hAnsi="Arial" w:cs="Arial"/>
          <w:i/>
          <w:iCs/>
        </w:rPr>
        <w:t>IOP Conference Series: Earth and Environmental Science</w:t>
      </w:r>
      <w:r w:rsidRPr="00C7462E">
        <w:rPr>
          <w:rFonts w:ascii="Arial" w:hAnsi="Arial" w:cs="Arial"/>
        </w:rPr>
        <w:t xml:space="preserve">, </w:t>
      </w:r>
      <w:r w:rsidRPr="00C7462E">
        <w:rPr>
          <w:rFonts w:ascii="Arial" w:hAnsi="Arial" w:cs="Arial"/>
          <w:i/>
          <w:iCs/>
        </w:rPr>
        <w:t>1527</w:t>
      </w:r>
      <w:r w:rsidRPr="00C7462E">
        <w:rPr>
          <w:rFonts w:ascii="Arial" w:hAnsi="Arial" w:cs="Arial"/>
        </w:rPr>
        <w:t>(1), 012002. https://doi.org/10.1088/1755-1315/1527/1/012002</w:t>
      </w:r>
    </w:p>
    <w:p w14:paraId="1DB68DE1"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Li, H., &amp; Wu, J. (2004). Use and misuse of landscape indices. </w:t>
      </w:r>
      <w:r w:rsidRPr="00C7462E">
        <w:rPr>
          <w:rFonts w:ascii="Arial" w:hAnsi="Arial" w:cs="Arial"/>
          <w:i/>
          <w:iCs/>
        </w:rPr>
        <w:t>Landscape Ecology</w:t>
      </w:r>
      <w:r w:rsidRPr="00C7462E">
        <w:rPr>
          <w:rFonts w:ascii="Arial" w:hAnsi="Arial" w:cs="Arial"/>
        </w:rPr>
        <w:t xml:space="preserve">, </w:t>
      </w:r>
      <w:r w:rsidRPr="00C7462E">
        <w:rPr>
          <w:rFonts w:ascii="Arial" w:hAnsi="Arial" w:cs="Arial"/>
          <w:i/>
          <w:iCs/>
        </w:rPr>
        <w:t>19</w:t>
      </w:r>
      <w:r w:rsidRPr="00C7462E">
        <w:rPr>
          <w:rFonts w:ascii="Arial" w:hAnsi="Arial" w:cs="Arial"/>
        </w:rPr>
        <w:t>(4), 389–399. https://doi.org/10.1023/b:land.0000030441.15628.d6</w:t>
      </w:r>
    </w:p>
    <w:p w14:paraId="7F6DA93B"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Li, X., Wang, K., </w:t>
      </w:r>
      <w:proofErr w:type="spellStart"/>
      <w:r w:rsidRPr="00C7462E">
        <w:rPr>
          <w:rFonts w:ascii="Arial" w:hAnsi="Arial" w:cs="Arial"/>
        </w:rPr>
        <w:t>Huntingford</w:t>
      </w:r>
      <w:proofErr w:type="spellEnd"/>
      <w:r w:rsidRPr="00C7462E">
        <w:rPr>
          <w:rFonts w:ascii="Arial" w:hAnsi="Arial" w:cs="Arial"/>
        </w:rPr>
        <w:t xml:space="preserve">, C., Zhu, Z., </w:t>
      </w:r>
      <w:proofErr w:type="spellStart"/>
      <w:r w:rsidRPr="00C7462E">
        <w:rPr>
          <w:rFonts w:ascii="Arial" w:hAnsi="Arial" w:cs="Arial"/>
        </w:rPr>
        <w:t>Peñuelas</w:t>
      </w:r>
      <w:proofErr w:type="spellEnd"/>
      <w:r w:rsidRPr="00C7462E">
        <w:rPr>
          <w:rFonts w:ascii="Arial" w:hAnsi="Arial" w:cs="Arial"/>
        </w:rPr>
        <w:t xml:space="preserve">, J., Myneni, R. B., &amp; Piao, S. (2024). Vegetation greenness in 2023. </w:t>
      </w:r>
      <w:r w:rsidRPr="00C7462E">
        <w:rPr>
          <w:rFonts w:ascii="Arial" w:hAnsi="Arial" w:cs="Arial"/>
          <w:i/>
          <w:iCs/>
        </w:rPr>
        <w:t>Nature Reviews Earth &amp; Environment</w:t>
      </w:r>
      <w:r w:rsidRPr="00C7462E">
        <w:rPr>
          <w:rFonts w:ascii="Arial" w:hAnsi="Arial" w:cs="Arial"/>
        </w:rPr>
        <w:t xml:space="preserve">, </w:t>
      </w:r>
      <w:r w:rsidRPr="00C7462E">
        <w:rPr>
          <w:rFonts w:ascii="Arial" w:hAnsi="Arial" w:cs="Arial"/>
          <w:i/>
          <w:iCs/>
        </w:rPr>
        <w:t>5</w:t>
      </w:r>
      <w:r w:rsidRPr="00C7462E">
        <w:rPr>
          <w:rFonts w:ascii="Arial" w:hAnsi="Arial" w:cs="Arial"/>
        </w:rPr>
        <w:t>(4), 241–243. https://doi.org/10.1038/s43017-024-00543-z</w:t>
      </w:r>
    </w:p>
    <w:p w14:paraId="2D023AFD" w14:textId="77777777" w:rsidR="00C7462E" w:rsidRPr="00C7462E" w:rsidRDefault="00C7462E" w:rsidP="00C7462E">
      <w:pPr>
        <w:pStyle w:val="Body"/>
        <w:numPr>
          <w:ilvl w:val="0"/>
          <w:numId w:val="33"/>
        </w:numPr>
        <w:rPr>
          <w:rFonts w:ascii="Arial" w:hAnsi="Arial" w:cs="Arial"/>
        </w:rPr>
      </w:pPr>
      <w:r w:rsidRPr="00C7462E">
        <w:rPr>
          <w:rFonts w:ascii="Arial" w:hAnsi="Arial" w:cs="Arial"/>
        </w:rPr>
        <w:lastRenderedPageBreak/>
        <w:t xml:space="preserve">Ma, N., Cao, S., Bai, T., Yang, Z., Cai, Z., &amp; Sun, W. (2025). Assessment of Vegetation Dynamics in Xinjiang Using NDVI Data and Machine Learning Models from 2000 to 2023. </w:t>
      </w:r>
      <w:r w:rsidRPr="00C7462E">
        <w:rPr>
          <w:rFonts w:ascii="Arial" w:hAnsi="Arial" w:cs="Arial"/>
          <w:i/>
          <w:iCs/>
        </w:rPr>
        <w:t>Sustainability</w:t>
      </w:r>
      <w:r w:rsidRPr="00C7462E">
        <w:rPr>
          <w:rFonts w:ascii="Arial" w:hAnsi="Arial" w:cs="Arial"/>
        </w:rPr>
        <w:t xml:space="preserve">, </w:t>
      </w:r>
      <w:r w:rsidRPr="00C7462E">
        <w:rPr>
          <w:rFonts w:ascii="Arial" w:hAnsi="Arial" w:cs="Arial"/>
          <w:i/>
          <w:iCs/>
        </w:rPr>
        <w:t>17</w:t>
      </w:r>
      <w:r w:rsidRPr="00C7462E">
        <w:rPr>
          <w:rFonts w:ascii="Arial" w:hAnsi="Arial" w:cs="Arial"/>
        </w:rPr>
        <w:t>(1), 306. https://doi.org/10.3390/su17010306</w:t>
      </w:r>
    </w:p>
    <w:p w14:paraId="499DCDCE"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Mariano, D. A., Santos, C. A. C. dos, Wardlow, B. D., Anderson, M. C., Schiltmeyer, A. V., Tadesse, T., &amp; Svoboda, M. D. (2018). Use of remote sensing indicators to assess effects of drought and human-induced land degradation on ecosystem health in Northeastern Brazil. </w:t>
      </w:r>
      <w:r w:rsidRPr="00C7462E">
        <w:rPr>
          <w:rFonts w:ascii="Arial" w:hAnsi="Arial" w:cs="Arial"/>
          <w:i/>
          <w:iCs/>
        </w:rPr>
        <w:t>Remote Sensing of Environment</w:t>
      </w:r>
      <w:r w:rsidRPr="00C7462E">
        <w:rPr>
          <w:rFonts w:ascii="Arial" w:hAnsi="Arial" w:cs="Arial"/>
        </w:rPr>
        <w:t xml:space="preserve">, </w:t>
      </w:r>
      <w:r w:rsidRPr="00C7462E">
        <w:rPr>
          <w:rFonts w:ascii="Arial" w:hAnsi="Arial" w:cs="Arial"/>
          <w:i/>
          <w:iCs/>
        </w:rPr>
        <w:t>213</w:t>
      </w:r>
      <w:r w:rsidRPr="00C7462E">
        <w:rPr>
          <w:rFonts w:ascii="Arial" w:hAnsi="Arial" w:cs="Arial"/>
        </w:rPr>
        <w:t>, 129–143. https://doi.org/10.1016/j.rse.2018.04.048</w:t>
      </w:r>
    </w:p>
    <w:p w14:paraId="45ED4621" w14:textId="77777777" w:rsidR="00C7462E" w:rsidRPr="00C7462E" w:rsidRDefault="00C7462E" w:rsidP="00C7462E">
      <w:pPr>
        <w:pStyle w:val="Body"/>
        <w:numPr>
          <w:ilvl w:val="0"/>
          <w:numId w:val="33"/>
        </w:numPr>
        <w:rPr>
          <w:rFonts w:ascii="Arial" w:hAnsi="Arial" w:cs="Arial"/>
        </w:rPr>
      </w:pPr>
      <w:proofErr w:type="spellStart"/>
      <w:r w:rsidRPr="00C7462E">
        <w:rPr>
          <w:rFonts w:ascii="Arial" w:hAnsi="Arial" w:cs="Arial"/>
        </w:rPr>
        <w:t>Maryoud</w:t>
      </w:r>
      <w:proofErr w:type="spellEnd"/>
      <w:r w:rsidRPr="00C7462E">
        <w:rPr>
          <w:rFonts w:ascii="Arial" w:hAnsi="Arial" w:cs="Arial"/>
        </w:rPr>
        <w:t xml:space="preserve">, D. A. M. B., &amp; Ibrahim, D. I. M. E. (2023). NDVI and Remote Sensing Spectral Index for Monitoring Land Surface Greenings Assessment Case-Umm </w:t>
      </w:r>
      <w:proofErr w:type="spellStart"/>
      <w:r w:rsidRPr="00C7462E">
        <w:rPr>
          <w:rFonts w:ascii="Arial" w:hAnsi="Arial" w:cs="Arial"/>
        </w:rPr>
        <w:t>Ruwabah</w:t>
      </w:r>
      <w:proofErr w:type="spellEnd"/>
      <w:r w:rsidRPr="00C7462E">
        <w:rPr>
          <w:rFonts w:ascii="Arial" w:hAnsi="Arial" w:cs="Arial"/>
        </w:rPr>
        <w:t xml:space="preserve">, North Kordofan-Sudan. </w:t>
      </w:r>
      <w:r w:rsidRPr="00C7462E">
        <w:rPr>
          <w:rFonts w:ascii="Arial" w:hAnsi="Arial" w:cs="Arial"/>
          <w:i/>
          <w:iCs/>
        </w:rPr>
        <w:t>International Journal of Current Research</w:t>
      </w:r>
      <w:r w:rsidRPr="00C7462E">
        <w:rPr>
          <w:rFonts w:ascii="Arial" w:hAnsi="Arial" w:cs="Arial"/>
        </w:rPr>
        <w:t xml:space="preserve">, </w:t>
      </w:r>
      <w:r w:rsidRPr="00C7462E">
        <w:rPr>
          <w:rFonts w:ascii="Arial" w:hAnsi="Arial" w:cs="Arial"/>
          <w:i/>
          <w:iCs/>
        </w:rPr>
        <w:t>15</w:t>
      </w:r>
      <w:r w:rsidRPr="00C7462E">
        <w:rPr>
          <w:rFonts w:ascii="Arial" w:hAnsi="Arial" w:cs="Arial"/>
        </w:rPr>
        <w:t>(10), 26299–26305. https://www.researchgate.net/profile/Amna-Maryoud/publication/381155838_NDVI_AND_REMOTE_SENSING_SPECTRAL_INDEX_FOR_MONITORING_LAND_SURFACE_GREENINGS_ASSESSMENT_CASE_-UMM_RUWABAH_NORTH_KORDOFAN-SUDAN/links/665f63fd0856f96e7f2a66b4/NDVI-AND-REMOTE-SENSING-SPECTRAL-INDEX-FOR-MONITORING-LAND-SURFACE-GREENINGS-ASSESSMENT-CASE-UMM-RUWABAH-NORTH-KORDOFAN-SUDAN.pdf</w:t>
      </w:r>
    </w:p>
    <w:p w14:paraId="3AA84837" w14:textId="77777777" w:rsidR="00C7462E" w:rsidRPr="00C7462E" w:rsidRDefault="00C7462E" w:rsidP="00C7462E">
      <w:pPr>
        <w:pStyle w:val="Body"/>
        <w:numPr>
          <w:ilvl w:val="0"/>
          <w:numId w:val="33"/>
        </w:numPr>
        <w:rPr>
          <w:rFonts w:ascii="Arial" w:hAnsi="Arial" w:cs="Arial"/>
        </w:rPr>
      </w:pPr>
      <w:proofErr w:type="spellStart"/>
      <w:r w:rsidRPr="00C7462E">
        <w:rPr>
          <w:rFonts w:ascii="Arial" w:hAnsi="Arial" w:cs="Arial"/>
        </w:rPr>
        <w:t>Mshelia</w:t>
      </w:r>
      <w:proofErr w:type="spellEnd"/>
      <w:r w:rsidRPr="00C7462E">
        <w:rPr>
          <w:rFonts w:ascii="Arial" w:hAnsi="Arial" w:cs="Arial"/>
        </w:rPr>
        <w:t xml:space="preserve">, Y. S., </w:t>
      </w:r>
      <w:proofErr w:type="spellStart"/>
      <w:r w:rsidRPr="00C7462E">
        <w:rPr>
          <w:rFonts w:ascii="Arial" w:hAnsi="Arial" w:cs="Arial"/>
        </w:rPr>
        <w:t>Onywere</w:t>
      </w:r>
      <w:proofErr w:type="spellEnd"/>
      <w:r w:rsidRPr="00C7462E">
        <w:rPr>
          <w:rFonts w:ascii="Arial" w:hAnsi="Arial" w:cs="Arial"/>
        </w:rPr>
        <w:t xml:space="preserve">, S. M., &amp; </w:t>
      </w:r>
      <w:proofErr w:type="spellStart"/>
      <w:r w:rsidRPr="00C7462E">
        <w:rPr>
          <w:rFonts w:ascii="Arial" w:hAnsi="Arial" w:cs="Arial"/>
        </w:rPr>
        <w:t>Letema</w:t>
      </w:r>
      <w:proofErr w:type="spellEnd"/>
      <w:r w:rsidRPr="00C7462E">
        <w:rPr>
          <w:rFonts w:ascii="Arial" w:hAnsi="Arial" w:cs="Arial"/>
        </w:rPr>
        <w:t xml:space="preserve">, S. (2024). Modeling the spatial dynamics of land cover transitions and vegetation conditions in Abuja city, Nigeria. </w:t>
      </w:r>
      <w:r w:rsidRPr="00C7462E">
        <w:rPr>
          <w:rFonts w:ascii="Arial" w:hAnsi="Arial" w:cs="Arial"/>
          <w:i/>
          <w:iCs/>
        </w:rPr>
        <w:t>Urbanization, Sustainability and Society.</w:t>
      </w:r>
      <w:r w:rsidRPr="00C7462E">
        <w:rPr>
          <w:rFonts w:ascii="Arial" w:hAnsi="Arial" w:cs="Arial"/>
        </w:rPr>
        <w:t xml:space="preserve">, </w:t>
      </w:r>
      <w:r w:rsidRPr="00C7462E">
        <w:rPr>
          <w:rFonts w:ascii="Arial" w:hAnsi="Arial" w:cs="Arial"/>
          <w:i/>
          <w:iCs/>
        </w:rPr>
        <w:t>1</w:t>
      </w:r>
      <w:r w:rsidRPr="00C7462E">
        <w:rPr>
          <w:rFonts w:ascii="Arial" w:hAnsi="Arial" w:cs="Arial"/>
        </w:rPr>
        <w:t>(1), 115–132. https://doi.org/10.1108/uss-12-2023-0026</w:t>
      </w:r>
    </w:p>
    <w:p w14:paraId="64E732DB"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Mutanga, O., &amp; Skidmore, A. K. (2004). Narrow band vegetation indices overcome the saturation problem in biomass estimation. </w:t>
      </w:r>
      <w:r w:rsidRPr="00C7462E">
        <w:rPr>
          <w:rFonts w:ascii="Arial" w:hAnsi="Arial" w:cs="Arial"/>
          <w:i/>
          <w:iCs/>
        </w:rPr>
        <w:t>International Journal of Remote Sensing</w:t>
      </w:r>
      <w:r w:rsidRPr="00C7462E">
        <w:rPr>
          <w:rFonts w:ascii="Arial" w:hAnsi="Arial" w:cs="Arial"/>
        </w:rPr>
        <w:t xml:space="preserve">, </w:t>
      </w:r>
      <w:r w:rsidRPr="00C7462E">
        <w:rPr>
          <w:rFonts w:ascii="Arial" w:hAnsi="Arial" w:cs="Arial"/>
          <w:i/>
          <w:iCs/>
        </w:rPr>
        <w:t>25</w:t>
      </w:r>
      <w:r w:rsidRPr="00C7462E">
        <w:rPr>
          <w:rFonts w:ascii="Arial" w:hAnsi="Arial" w:cs="Arial"/>
        </w:rPr>
        <w:t>(19), 3999–4014. https://doi.org/10.1080/01431160310001654923</w:t>
      </w:r>
    </w:p>
    <w:p w14:paraId="1496E356" w14:textId="77777777" w:rsidR="00C7462E" w:rsidRPr="00C7462E" w:rsidRDefault="00C7462E" w:rsidP="00C7462E">
      <w:pPr>
        <w:pStyle w:val="Body"/>
        <w:numPr>
          <w:ilvl w:val="0"/>
          <w:numId w:val="33"/>
        </w:numPr>
        <w:rPr>
          <w:rFonts w:ascii="Arial" w:hAnsi="Arial" w:cs="Arial"/>
        </w:rPr>
      </w:pPr>
      <w:r w:rsidRPr="00D6697C">
        <w:rPr>
          <w:rFonts w:ascii="Arial" w:hAnsi="Arial" w:cs="Arial"/>
          <w:lang w:val="pl-PL"/>
        </w:rPr>
        <w:t xml:space="preserve">Okeke, F. I., Ndukwe, N. K., &amp; Oturu, A. C. (2018). </w:t>
      </w:r>
      <w:r w:rsidRPr="00C7462E">
        <w:rPr>
          <w:rFonts w:ascii="Arial" w:hAnsi="Arial" w:cs="Arial"/>
        </w:rPr>
        <w:t xml:space="preserve">Cropped Area Mapping of Nigeria Using Time-Series NDV1 Data: A Case Study of Southeastern Nigeria. </w:t>
      </w:r>
      <w:r w:rsidRPr="00C7462E">
        <w:rPr>
          <w:rFonts w:ascii="Arial" w:hAnsi="Arial" w:cs="Arial"/>
          <w:i/>
          <w:iCs/>
        </w:rPr>
        <w:t>Nigerian Journal of Surveying and Geoinformatics</w:t>
      </w:r>
      <w:r w:rsidRPr="00C7462E">
        <w:rPr>
          <w:rFonts w:ascii="Arial" w:hAnsi="Arial" w:cs="Arial"/>
        </w:rPr>
        <w:t xml:space="preserve">, </w:t>
      </w:r>
      <w:r w:rsidRPr="00C7462E">
        <w:rPr>
          <w:rFonts w:ascii="Arial" w:hAnsi="Arial" w:cs="Arial"/>
          <w:i/>
          <w:iCs/>
        </w:rPr>
        <w:t>3</w:t>
      </w:r>
      <w:r w:rsidRPr="00C7462E">
        <w:rPr>
          <w:rFonts w:ascii="Arial" w:hAnsi="Arial" w:cs="Arial"/>
        </w:rPr>
        <w:t>(1), 5–17. https://nisngr.net/wp-content/uploads/2018/11/F.I.-OKEKE-N.K.-NDUKWE-A.C-OTURU.pdf</w:t>
      </w:r>
    </w:p>
    <w:p w14:paraId="7B9C23AB"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Oyedepo, J. A., </w:t>
      </w:r>
      <w:proofErr w:type="spellStart"/>
      <w:r w:rsidRPr="00C7462E">
        <w:rPr>
          <w:rFonts w:ascii="Arial" w:hAnsi="Arial" w:cs="Arial"/>
        </w:rPr>
        <w:t>Oluyege</w:t>
      </w:r>
      <w:proofErr w:type="spellEnd"/>
      <w:r w:rsidRPr="00C7462E">
        <w:rPr>
          <w:rFonts w:ascii="Arial" w:hAnsi="Arial" w:cs="Arial"/>
        </w:rPr>
        <w:t xml:space="preserve">, D. E., &amp; Babajide, E. I. (2021). Remote Sensing of City Extension and Vegetal Cover Changes along Lagos-Ibadan Access Strip in Nigeria. </w:t>
      </w:r>
      <w:r w:rsidRPr="00C7462E">
        <w:rPr>
          <w:rFonts w:ascii="Arial" w:hAnsi="Arial" w:cs="Arial"/>
          <w:i/>
          <w:iCs/>
        </w:rPr>
        <w:t>Journal of Applied Sciences and Environmental Management</w:t>
      </w:r>
      <w:r w:rsidRPr="00C7462E">
        <w:rPr>
          <w:rFonts w:ascii="Arial" w:hAnsi="Arial" w:cs="Arial"/>
        </w:rPr>
        <w:t xml:space="preserve">, </w:t>
      </w:r>
      <w:r w:rsidRPr="00C7462E">
        <w:rPr>
          <w:rFonts w:ascii="Arial" w:hAnsi="Arial" w:cs="Arial"/>
          <w:i/>
          <w:iCs/>
        </w:rPr>
        <w:t>25</w:t>
      </w:r>
      <w:r w:rsidRPr="00C7462E">
        <w:rPr>
          <w:rFonts w:ascii="Arial" w:hAnsi="Arial" w:cs="Arial"/>
        </w:rPr>
        <w:t>(8), 1371–1377. https://doi.org/10.4314/jasem.v25i8.13</w:t>
      </w:r>
    </w:p>
    <w:p w14:paraId="301157A0"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Pettorelli, N., Vik, J. O., </w:t>
      </w:r>
      <w:proofErr w:type="spellStart"/>
      <w:r w:rsidRPr="00C7462E">
        <w:rPr>
          <w:rFonts w:ascii="Arial" w:hAnsi="Arial" w:cs="Arial"/>
        </w:rPr>
        <w:t>Mysterud</w:t>
      </w:r>
      <w:proofErr w:type="spellEnd"/>
      <w:r w:rsidRPr="00C7462E">
        <w:rPr>
          <w:rFonts w:ascii="Arial" w:hAnsi="Arial" w:cs="Arial"/>
        </w:rPr>
        <w:t xml:space="preserve">, A., Gaillard, J.-M., Tucker, C. J., &amp; Stenseth, N. Chr. (2005). Using the satellite-derived NDVI to assess ecological responses to environmental change. </w:t>
      </w:r>
      <w:r w:rsidRPr="00C7462E">
        <w:rPr>
          <w:rFonts w:ascii="Arial" w:hAnsi="Arial" w:cs="Arial"/>
          <w:i/>
          <w:iCs/>
        </w:rPr>
        <w:t>Trends in Ecology &amp; Evolution</w:t>
      </w:r>
      <w:r w:rsidRPr="00C7462E">
        <w:rPr>
          <w:rFonts w:ascii="Arial" w:hAnsi="Arial" w:cs="Arial"/>
        </w:rPr>
        <w:t xml:space="preserve">, </w:t>
      </w:r>
      <w:r w:rsidRPr="00C7462E">
        <w:rPr>
          <w:rFonts w:ascii="Arial" w:hAnsi="Arial" w:cs="Arial"/>
          <w:i/>
          <w:iCs/>
        </w:rPr>
        <w:t>20</w:t>
      </w:r>
      <w:r w:rsidRPr="00C7462E">
        <w:rPr>
          <w:rFonts w:ascii="Arial" w:hAnsi="Arial" w:cs="Arial"/>
        </w:rPr>
        <w:t>(9), 503–510. https://doi.org/10.1016/j.tree.2005.05.011</w:t>
      </w:r>
    </w:p>
    <w:p w14:paraId="245B5C62" w14:textId="77777777" w:rsidR="00C7462E" w:rsidRPr="00C7462E" w:rsidRDefault="00C7462E" w:rsidP="00C7462E">
      <w:pPr>
        <w:pStyle w:val="Body"/>
        <w:numPr>
          <w:ilvl w:val="0"/>
          <w:numId w:val="33"/>
        </w:numPr>
        <w:rPr>
          <w:rFonts w:ascii="Arial" w:hAnsi="Arial" w:cs="Arial"/>
        </w:rPr>
      </w:pPr>
      <w:proofErr w:type="spellStart"/>
      <w:r w:rsidRPr="00C7462E">
        <w:rPr>
          <w:rFonts w:ascii="Arial" w:hAnsi="Arial" w:cs="Arial"/>
        </w:rPr>
        <w:t>Rabatel</w:t>
      </w:r>
      <w:proofErr w:type="spellEnd"/>
      <w:r w:rsidRPr="00C7462E">
        <w:rPr>
          <w:rFonts w:ascii="Arial" w:hAnsi="Arial" w:cs="Arial"/>
        </w:rPr>
        <w:t xml:space="preserve">, G., Gorretta, N., &amp; Labbé, S. (2014). Getting simultaneous red and near-infrared band data from a single digital camera for plant monitoring applications: Theoretical and practical study. </w:t>
      </w:r>
      <w:r w:rsidRPr="00C7462E">
        <w:rPr>
          <w:rFonts w:ascii="Arial" w:hAnsi="Arial" w:cs="Arial"/>
          <w:i/>
          <w:iCs/>
        </w:rPr>
        <w:t>Biosystems Engineering</w:t>
      </w:r>
      <w:r w:rsidRPr="00C7462E">
        <w:rPr>
          <w:rFonts w:ascii="Arial" w:hAnsi="Arial" w:cs="Arial"/>
        </w:rPr>
        <w:t xml:space="preserve">, </w:t>
      </w:r>
      <w:r w:rsidRPr="00C7462E">
        <w:rPr>
          <w:rFonts w:ascii="Arial" w:hAnsi="Arial" w:cs="Arial"/>
          <w:i/>
          <w:iCs/>
        </w:rPr>
        <w:t>117</w:t>
      </w:r>
      <w:r w:rsidRPr="00C7462E">
        <w:rPr>
          <w:rFonts w:ascii="Arial" w:hAnsi="Arial" w:cs="Arial"/>
        </w:rPr>
        <w:t>, 2–14. https://doi.org/10.1016/j.biosystemseng.2013.06.008</w:t>
      </w:r>
    </w:p>
    <w:p w14:paraId="5FF3EB79"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Rouse Jr., J. W., Haas, R. H., Schell, J. A., &amp; Deering, D. W. (1973). Monitoring the vernal advancement and retrogradation (green wave effect) of natural vegetation. </w:t>
      </w:r>
      <w:r w:rsidRPr="00C7462E">
        <w:rPr>
          <w:rFonts w:ascii="Arial" w:hAnsi="Arial" w:cs="Arial"/>
          <w:i/>
          <w:iCs/>
        </w:rPr>
        <w:t>NASA Contractor Report</w:t>
      </w:r>
      <w:r w:rsidRPr="00C7462E">
        <w:rPr>
          <w:rFonts w:ascii="Arial" w:hAnsi="Arial" w:cs="Arial"/>
        </w:rPr>
        <w:t xml:space="preserve">, </w:t>
      </w:r>
      <w:r w:rsidRPr="00C7462E">
        <w:rPr>
          <w:rFonts w:ascii="Arial" w:hAnsi="Arial" w:cs="Arial"/>
          <w:i/>
          <w:iCs/>
        </w:rPr>
        <w:t>(No. NASA-CR-132982)</w:t>
      </w:r>
      <w:r w:rsidRPr="00C7462E">
        <w:rPr>
          <w:rFonts w:ascii="Arial" w:hAnsi="Arial" w:cs="Arial"/>
        </w:rPr>
        <w:t>. https://ntrs.nasa.gov/api/citations/19730017588/downloads/19730017588.pdf</w:t>
      </w:r>
    </w:p>
    <w:p w14:paraId="2B9D72ED" w14:textId="77777777" w:rsidR="00C7462E" w:rsidRPr="00C7462E" w:rsidRDefault="00C7462E" w:rsidP="00C7462E">
      <w:pPr>
        <w:pStyle w:val="Body"/>
        <w:numPr>
          <w:ilvl w:val="0"/>
          <w:numId w:val="33"/>
        </w:numPr>
        <w:rPr>
          <w:rFonts w:ascii="Arial" w:hAnsi="Arial" w:cs="Arial"/>
        </w:rPr>
      </w:pPr>
      <w:r w:rsidRPr="00C7462E">
        <w:rPr>
          <w:rFonts w:ascii="Arial" w:hAnsi="Arial" w:cs="Arial"/>
          <w:lang w:val="de-DE"/>
        </w:rPr>
        <w:t xml:space="preserve">Sadeh, M., Brauer, M., Dankner, R., Fulman, N., &amp; Chudnovsky, A. (2021). </w:t>
      </w:r>
      <w:r w:rsidRPr="00C7462E">
        <w:rPr>
          <w:rFonts w:ascii="Arial" w:hAnsi="Arial" w:cs="Arial"/>
        </w:rPr>
        <w:t xml:space="preserve">Remote sensing metrics to assess exposure to residential greenness in epidemiological studies: A population case study from the Eastern Mediterranean. </w:t>
      </w:r>
      <w:r w:rsidRPr="00C7462E">
        <w:rPr>
          <w:rFonts w:ascii="Arial" w:hAnsi="Arial" w:cs="Arial"/>
          <w:i/>
          <w:iCs/>
        </w:rPr>
        <w:t>Environment International</w:t>
      </w:r>
      <w:r w:rsidRPr="00C7462E">
        <w:rPr>
          <w:rFonts w:ascii="Arial" w:hAnsi="Arial" w:cs="Arial"/>
        </w:rPr>
        <w:t xml:space="preserve">, </w:t>
      </w:r>
      <w:r w:rsidRPr="00C7462E">
        <w:rPr>
          <w:rFonts w:ascii="Arial" w:hAnsi="Arial" w:cs="Arial"/>
          <w:i/>
          <w:iCs/>
        </w:rPr>
        <w:t>146</w:t>
      </w:r>
      <w:r w:rsidRPr="00C7462E">
        <w:rPr>
          <w:rFonts w:ascii="Arial" w:hAnsi="Arial" w:cs="Arial"/>
        </w:rPr>
        <w:t>, 106270. https://doi.org/10.1016/j.envint.2020.106270</w:t>
      </w:r>
    </w:p>
    <w:p w14:paraId="524EAC23"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Shabani, S., Jaafari, A., Vahedi, A. A., </w:t>
      </w:r>
      <w:proofErr w:type="spellStart"/>
      <w:r w:rsidRPr="00C7462E">
        <w:rPr>
          <w:rFonts w:ascii="Arial" w:hAnsi="Arial" w:cs="Arial"/>
        </w:rPr>
        <w:t>Alidoost</w:t>
      </w:r>
      <w:proofErr w:type="spellEnd"/>
      <w:r w:rsidRPr="00C7462E">
        <w:rPr>
          <w:rFonts w:ascii="Arial" w:hAnsi="Arial" w:cs="Arial"/>
        </w:rPr>
        <w:t xml:space="preserve">, M., </w:t>
      </w:r>
      <w:proofErr w:type="spellStart"/>
      <w:r w:rsidRPr="00C7462E">
        <w:rPr>
          <w:rFonts w:ascii="Arial" w:hAnsi="Arial" w:cs="Arial"/>
        </w:rPr>
        <w:t>Sobhzahedi</w:t>
      </w:r>
      <w:proofErr w:type="spellEnd"/>
      <w:r w:rsidRPr="00C7462E">
        <w:rPr>
          <w:rFonts w:ascii="Arial" w:hAnsi="Arial" w:cs="Arial"/>
        </w:rPr>
        <w:t xml:space="preserve">, S., Ahmadi, A., </w:t>
      </w:r>
      <w:proofErr w:type="spellStart"/>
      <w:r w:rsidRPr="00C7462E">
        <w:rPr>
          <w:rFonts w:ascii="Arial" w:hAnsi="Arial" w:cs="Arial"/>
        </w:rPr>
        <w:t>Kornejady</w:t>
      </w:r>
      <w:proofErr w:type="spellEnd"/>
      <w:r w:rsidRPr="00C7462E">
        <w:rPr>
          <w:rFonts w:ascii="Arial" w:hAnsi="Arial" w:cs="Arial"/>
        </w:rPr>
        <w:t xml:space="preserve">, A., &amp; </w:t>
      </w:r>
      <w:proofErr w:type="spellStart"/>
      <w:r w:rsidRPr="00C7462E">
        <w:rPr>
          <w:rFonts w:ascii="Arial" w:hAnsi="Arial" w:cs="Arial"/>
        </w:rPr>
        <w:t>Silakhori</w:t>
      </w:r>
      <w:proofErr w:type="spellEnd"/>
      <w:r w:rsidRPr="00C7462E">
        <w:rPr>
          <w:rFonts w:ascii="Arial" w:hAnsi="Arial" w:cs="Arial"/>
        </w:rPr>
        <w:t xml:space="preserve">, E. (2025). Spatially explicit machine learning reveals province-specific drivers of deforestation in the Hyrcanian forests. </w:t>
      </w:r>
      <w:r w:rsidRPr="00C7462E">
        <w:rPr>
          <w:rFonts w:ascii="Arial" w:hAnsi="Arial" w:cs="Arial"/>
          <w:i/>
          <w:iCs/>
        </w:rPr>
        <w:t>Ecological Informatics</w:t>
      </w:r>
      <w:r w:rsidRPr="00C7462E">
        <w:rPr>
          <w:rFonts w:ascii="Arial" w:hAnsi="Arial" w:cs="Arial"/>
        </w:rPr>
        <w:t xml:space="preserve">, </w:t>
      </w:r>
      <w:r w:rsidRPr="00C7462E">
        <w:rPr>
          <w:rFonts w:ascii="Arial" w:hAnsi="Arial" w:cs="Arial"/>
          <w:i/>
          <w:iCs/>
        </w:rPr>
        <w:t>92</w:t>
      </w:r>
      <w:r w:rsidRPr="00C7462E">
        <w:rPr>
          <w:rFonts w:ascii="Arial" w:hAnsi="Arial" w:cs="Arial"/>
        </w:rPr>
        <w:t>, 103533. https://doi.org/10.1016/j.ecoinf.2025.103533</w:t>
      </w:r>
    </w:p>
    <w:p w14:paraId="2F2EA3D7" w14:textId="77777777" w:rsidR="00C7462E" w:rsidRPr="00C7462E" w:rsidRDefault="00C7462E" w:rsidP="00C7462E">
      <w:pPr>
        <w:pStyle w:val="Body"/>
        <w:numPr>
          <w:ilvl w:val="0"/>
          <w:numId w:val="33"/>
        </w:numPr>
        <w:rPr>
          <w:rFonts w:ascii="Arial" w:hAnsi="Arial" w:cs="Arial"/>
        </w:rPr>
      </w:pPr>
      <w:r w:rsidRPr="00A10823">
        <w:rPr>
          <w:rFonts w:ascii="Arial" w:hAnsi="Arial" w:cs="Arial"/>
          <w:lang w:val="de-DE"/>
        </w:rPr>
        <w:t xml:space="preserve">Suleiman, M. S., Wasonga, O. V., Mbau, J. S., &amp; Elhadi, Y. A. (2017). </w:t>
      </w:r>
      <w:r w:rsidRPr="00C7462E">
        <w:rPr>
          <w:rFonts w:ascii="Arial" w:hAnsi="Arial" w:cs="Arial"/>
        </w:rPr>
        <w:t xml:space="preserve">Spatial and temporal analysis of forest cover change in </w:t>
      </w:r>
      <w:proofErr w:type="spellStart"/>
      <w:r w:rsidRPr="00C7462E">
        <w:rPr>
          <w:rFonts w:ascii="Arial" w:hAnsi="Arial" w:cs="Arial"/>
        </w:rPr>
        <w:t>Falgore</w:t>
      </w:r>
      <w:proofErr w:type="spellEnd"/>
      <w:r w:rsidRPr="00C7462E">
        <w:rPr>
          <w:rFonts w:ascii="Arial" w:hAnsi="Arial" w:cs="Arial"/>
        </w:rPr>
        <w:t xml:space="preserve"> Game Reserve in Kano, Nigeria. </w:t>
      </w:r>
      <w:r w:rsidRPr="00C7462E">
        <w:rPr>
          <w:rFonts w:ascii="Arial" w:hAnsi="Arial" w:cs="Arial"/>
          <w:i/>
          <w:iCs/>
        </w:rPr>
        <w:t>Ecological Processes</w:t>
      </w:r>
      <w:r w:rsidRPr="00C7462E">
        <w:rPr>
          <w:rFonts w:ascii="Arial" w:hAnsi="Arial" w:cs="Arial"/>
        </w:rPr>
        <w:t xml:space="preserve">, </w:t>
      </w:r>
      <w:r w:rsidRPr="00C7462E">
        <w:rPr>
          <w:rFonts w:ascii="Arial" w:hAnsi="Arial" w:cs="Arial"/>
          <w:i/>
          <w:iCs/>
        </w:rPr>
        <w:t>6</w:t>
      </w:r>
      <w:r w:rsidRPr="00C7462E">
        <w:rPr>
          <w:rFonts w:ascii="Arial" w:hAnsi="Arial" w:cs="Arial"/>
        </w:rPr>
        <w:t>(1). https://doi.org/10.1186/s13717-017-0078-4</w:t>
      </w:r>
    </w:p>
    <w:p w14:paraId="2B5042E0" w14:textId="77777777" w:rsidR="00C7462E" w:rsidRPr="00C7462E" w:rsidRDefault="00C7462E" w:rsidP="00C7462E">
      <w:pPr>
        <w:pStyle w:val="Body"/>
        <w:numPr>
          <w:ilvl w:val="0"/>
          <w:numId w:val="33"/>
        </w:numPr>
        <w:rPr>
          <w:rFonts w:ascii="Arial" w:hAnsi="Arial" w:cs="Arial"/>
        </w:rPr>
      </w:pPr>
      <w:r w:rsidRPr="00C7462E">
        <w:rPr>
          <w:rFonts w:ascii="Arial" w:hAnsi="Arial" w:cs="Arial"/>
        </w:rPr>
        <w:lastRenderedPageBreak/>
        <w:t xml:space="preserve">TOWNSHEND, J. R. G., &amp; JUSTICE, C. O. (1995). Spatial variability of images and the monitoring of changes in the Normalized Difference Vegetation Index. </w:t>
      </w:r>
      <w:r w:rsidRPr="00C7462E">
        <w:rPr>
          <w:rFonts w:ascii="Arial" w:hAnsi="Arial" w:cs="Arial"/>
          <w:i/>
          <w:iCs/>
        </w:rPr>
        <w:t>International Journal of Remote Sensing</w:t>
      </w:r>
      <w:r w:rsidRPr="00C7462E">
        <w:rPr>
          <w:rFonts w:ascii="Arial" w:hAnsi="Arial" w:cs="Arial"/>
        </w:rPr>
        <w:t xml:space="preserve">, </w:t>
      </w:r>
      <w:r w:rsidRPr="00C7462E">
        <w:rPr>
          <w:rFonts w:ascii="Arial" w:hAnsi="Arial" w:cs="Arial"/>
          <w:i/>
          <w:iCs/>
        </w:rPr>
        <w:t>16</w:t>
      </w:r>
      <w:r w:rsidRPr="00C7462E">
        <w:rPr>
          <w:rFonts w:ascii="Arial" w:hAnsi="Arial" w:cs="Arial"/>
        </w:rPr>
        <w:t>(12), 2187–2195. https://doi.org/10.1080/01431169508954550</w:t>
      </w:r>
    </w:p>
    <w:p w14:paraId="41226810" w14:textId="77777777" w:rsidR="00C7462E" w:rsidRPr="00C7462E" w:rsidRDefault="00C7462E" w:rsidP="00C7462E">
      <w:pPr>
        <w:pStyle w:val="Body"/>
        <w:numPr>
          <w:ilvl w:val="0"/>
          <w:numId w:val="33"/>
        </w:numPr>
        <w:rPr>
          <w:rFonts w:ascii="Arial" w:hAnsi="Arial" w:cs="Arial"/>
        </w:rPr>
      </w:pPr>
      <w:r w:rsidRPr="00C7462E">
        <w:rPr>
          <w:rFonts w:ascii="Arial" w:hAnsi="Arial" w:cs="Arial"/>
        </w:rPr>
        <w:t xml:space="preserve">Xue, J., &amp; Su, B. (2017). Significant Remote Sensing Vegetation Indices: A Review of Developments and Applications. </w:t>
      </w:r>
      <w:r w:rsidRPr="00C7462E">
        <w:rPr>
          <w:rFonts w:ascii="Arial" w:hAnsi="Arial" w:cs="Arial"/>
          <w:i/>
          <w:iCs/>
        </w:rPr>
        <w:t>Journal of Sensors</w:t>
      </w:r>
      <w:r w:rsidRPr="00C7462E">
        <w:rPr>
          <w:rFonts w:ascii="Arial" w:hAnsi="Arial" w:cs="Arial"/>
        </w:rPr>
        <w:t xml:space="preserve">, </w:t>
      </w:r>
      <w:r w:rsidRPr="00C7462E">
        <w:rPr>
          <w:rFonts w:ascii="Arial" w:hAnsi="Arial" w:cs="Arial"/>
          <w:i/>
          <w:iCs/>
        </w:rPr>
        <w:t>2017</w:t>
      </w:r>
      <w:r w:rsidRPr="00C7462E">
        <w:rPr>
          <w:rFonts w:ascii="Arial" w:hAnsi="Arial" w:cs="Arial"/>
        </w:rPr>
        <w:t>, 1–17. https://doi.org/10.1155/2017/1353691</w:t>
      </w:r>
    </w:p>
    <w:p w14:paraId="5FFEFBBC" w14:textId="77777777" w:rsidR="00C7462E" w:rsidRPr="00C7462E" w:rsidRDefault="00C7462E" w:rsidP="00C7462E">
      <w:pPr>
        <w:pStyle w:val="Body"/>
        <w:numPr>
          <w:ilvl w:val="0"/>
          <w:numId w:val="33"/>
        </w:numPr>
        <w:rPr>
          <w:rFonts w:ascii="Arial" w:hAnsi="Arial" w:cs="Arial"/>
        </w:rPr>
      </w:pPr>
      <w:r w:rsidRPr="00C7462E">
        <w:rPr>
          <w:rFonts w:ascii="Arial" w:hAnsi="Arial" w:cs="Arial"/>
          <w:lang w:val="de-DE"/>
        </w:rPr>
        <w:t xml:space="preserve">Yang, S., Zhao, Y., Yang, D., &amp; Lan, A. (2024). </w:t>
      </w:r>
      <w:r w:rsidRPr="00C7462E">
        <w:rPr>
          <w:rFonts w:ascii="Arial" w:hAnsi="Arial" w:cs="Arial"/>
        </w:rPr>
        <w:t xml:space="preserve">Analysis of Vegetation NDVI Changes and Driving Factors in the Karst Concentration Distribution Area of Asia. </w:t>
      </w:r>
      <w:r w:rsidRPr="00C7462E">
        <w:rPr>
          <w:rFonts w:ascii="Arial" w:hAnsi="Arial" w:cs="Arial"/>
          <w:i/>
          <w:iCs/>
        </w:rPr>
        <w:t>Forests</w:t>
      </w:r>
      <w:r w:rsidRPr="00C7462E">
        <w:rPr>
          <w:rFonts w:ascii="Arial" w:hAnsi="Arial" w:cs="Arial"/>
        </w:rPr>
        <w:t xml:space="preserve">, </w:t>
      </w:r>
      <w:r w:rsidRPr="00C7462E">
        <w:rPr>
          <w:rFonts w:ascii="Arial" w:hAnsi="Arial" w:cs="Arial"/>
          <w:i/>
          <w:iCs/>
        </w:rPr>
        <w:t>15</w:t>
      </w:r>
      <w:r w:rsidRPr="00C7462E">
        <w:rPr>
          <w:rFonts w:ascii="Arial" w:hAnsi="Arial" w:cs="Arial"/>
        </w:rPr>
        <w:t>(3), 398–398. https://doi.org/10.3390/f15030398</w:t>
      </w:r>
    </w:p>
    <w:p w14:paraId="540C57E7" w14:textId="77777777" w:rsidR="00C7462E" w:rsidRPr="00C7462E" w:rsidRDefault="00C7462E" w:rsidP="00C7462E">
      <w:pPr>
        <w:pStyle w:val="Body"/>
        <w:numPr>
          <w:ilvl w:val="0"/>
          <w:numId w:val="33"/>
        </w:numPr>
        <w:rPr>
          <w:rFonts w:ascii="Arial" w:hAnsi="Arial" w:cs="Arial"/>
        </w:rPr>
      </w:pPr>
      <w:r w:rsidRPr="00A10823">
        <w:rPr>
          <w:rFonts w:ascii="Arial" w:hAnsi="Arial" w:cs="Arial"/>
          <w:lang w:val="de-DE"/>
        </w:rPr>
        <w:t xml:space="preserve">Zhang, D., Yi, M., Sun, Z., Wang, Y., &amp; Sui, K. (2024). </w:t>
      </w:r>
      <w:r w:rsidRPr="00C7462E">
        <w:rPr>
          <w:rFonts w:ascii="Arial" w:hAnsi="Arial" w:cs="Arial"/>
        </w:rPr>
        <w:t xml:space="preserve">Changes in Vegetation Greenness and Responses to Land Use Changes in the Yongding River Basin (in North China) from 2002 to 2022. </w:t>
      </w:r>
      <w:r w:rsidRPr="00C7462E">
        <w:rPr>
          <w:rFonts w:ascii="Arial" w:hAnsi="Arial" w:cs="Arial"/>
          <w:i/>
          <w:iCs/>
        </w:rPr>
        <w:t>Agronomy</w:t>
      </w:r>
      <w:r w:rsidRPr="00C7462E">
        <w:rPr>
          <w:rFonts w:ascii="Arial" w:hAnsi="Arial" w:cs="Arial"/>
        </w:rPr>
        <w:t xml:space="preserve">, </w:t>
      </w:r>
      <w:r w:rsidRPr="00C7462E">
        <w:rPr>
          <w:rFonts w:ascii="Arial" w:hAnsi="Arial" w:cs="Arial"/>
          <w:i/>
          <w:iCs/>
        </w:rPr>
        <w:t>14</w:t>
      </w:r>
      <w:r w:rsidRPr="00C7462E">
        <w:rPr>
          <w:rFonts w:ascii="Arial" w:hAnsi="Arial" w:cs="Arial"/>
        </w:rPr>
        <w:t>(10), 2292. https://doi.org/10.3390/agronomy14102292</w:t>
      </w:r>
    </w:p>
    <w:p w14:paraId="674CDB1B" w14:textId="41479A47" w:rsidR="00B01FCD" w:rsidRPr="00C7462E" w:rsidRDefault="00C7462E" w:rsidP="00C7462E">
      <w:pPr>
        <w:pStyle w:val="Body"/>
        <w:numPr>
          <w:ilvl w:val="0"/>
          <w:numId w:val="33"/>
        </w:numPr>
        <w:rPr>
          <w:rFonts w:ascii="Arial" w:hAnsi="Arial" w:cs="Arial"/>
        </w:rPr>
      </w:pPr>
      <w:r w:rsidRPr="00A10823">
        <w:rPr>
          <w:rFonts w:ascii="Arial" w:hAnsi="Arial" w:cs="Arial"/>
          <w:lang w:val="de-DE"/>
        </w:rPr>
        <w:t xml:space="preserve">Zhang, Y., Safdar, M., Xie, J., Li, J., Sage, M., &amp; Zhao, Y. F. (2022). </w:t>
      </w:r>
      <w:r w:rsidRPr="00C7462E">
        <w:rPr>
          <w:rFonts w:ascii="Arial" w:hAnsi="Arial" w:cs="Arial"/>
        </w:rPr>
        <w:t xml:space="preserve">A systematic review on data of additive manufacturing for machine learning applications: the data quality, type, preprocessing, and management. </w:t>
      </w:r>
      <w:r w:rsidRPr="00C7462E">
        <w:rPr>
          <w:rFonts w:ascii="Arial" w:hAnsi="Arial" w:cs="Arial"/>
          <w:i/>
          <w:iCs/>
        </w:rPr>
        <w:t>Journal of Intelligent Manufacturing</w:t>
      </w:r>
      <w:r w:rsidRPr="00C7462E">
        <w:rPr>
          <w:rFonts w:ascii="Arial" w:hAnsi="Arial" w:cs="Arial"/>
        </w:rPr>
        <w:t>. https://doi.org/10.1007/s10845-022-02017-9</w:t>
      </w:r>
    </w:p>
    <w:sectPr w:rsidR="00B01FCD" w:rsidRPr="00C7462E" w:rsidSect="008C4B4E">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5F142" w14:textId="77777777" w:rsidR="003F2F53" w:rsidRDefault="003F2F53" w:rsidP="00C37E61">
      <w:r>
        <w:separator/>
      </w:r>
    </w:p>
  </w:endnote>
  <w:endnote w:type="continuationSeparator" w:id="0">
    <w:p w14:paraId="2F218727" w14:textId="77777777" w:rsidR="003F2F53" w:rsidRDefault="003F2F5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0876C" w14:textId="77777777" w:rsidR="009E048A" w:rsidRDefault="009E048A">
    <w:pPr>
      <w:pStyle w:val="Footer"/>
      <w:rPr>
        <w:rFonts w:ascii="Arial" w:hAnsi="Arial" w:cs="Arial"/>
        <w:sz w:val="16"/>
      </w:rPr>
    </w:pPr>
  </w:p>
  <w:p w14:paraId="3AF8088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86C427D" w14:textId="77777777" w:rsidR="009E048A" w:rsidRDefault="009E048A">
    <w:pPr>
      <w:pStyle w:val="Footer"/>
      <w:rPr>
        <w:rFonts w:ascii="Arial" w:hAnsi="Arial" w:cs="Arial"/>
        <w:sz w:val="16"/>
      </w:rPr>
    </w:pPr>
  </w:p>
  <w:p w14:paraId="4C3FA3A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C86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379A5" w14:textId="77777777" w:rsidR="003F2F53" w:rsidRDefault="003F2F53" w:rsidP="00C37E61">
      <w:r>
        <w:separator/>
      </w:r>
    </w:p>
  </w:footnote>
  <w:footnote w:type="continuationSeparator" w:id="0">
    <w:p w14:paraId="603F41E7" w14:textId="77777777" w:rsidR="003F2F53" w:rsidRDefault="003F2F5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12127" w14:textId="50751CAB" w:rsidR="008C4B4E" w:rsidRDefault="003F2F53">
    <w:pPr>
      <w:pStyle w:val="Header"/>
    </w:pPr>
    <w:r>
      <w:rPr>
        <w:noProof/>
      </w:rPr>
      <w:pict w14:anchorId="359FD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84DA" w14:textId="6D04398D" w:rsidR="008C4B4E" w:rsidRDefault="003F2F53">
    <w:pPr>
      <w:pStyle w:val="Header"/>
    </w:pPr>
    <w:r>
      <w:rPr>
        <w:noProof/>
      </w:rPr>
      <w:pict w14:anchorId="7CB5F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E4CCD" w14:textId="64562D4B" w:rsidR="00296529" w:rsidRPr="00296529" w:rsidRDefault="003F2F53" w:rsidP="00296529">
    <w:pPr>
      <w:ind w:left="2160"/>
      <w:jc w:val="center"/>
      <w:rPr>
        <w:rFonts w:ascii="Times New Roman" w:eastAsia="Calibri" w:hAnsi="Times New Roman"/>
        <w:i/>
        <w:sz w:val="18"/>
        <w:szCs w:val="22"/>
      </w:rPr>
    </w:pPr>
    <w:r>
      <w:rPr>
        <w:noProof/>
      </w:rPr>
      <w:pict w14:anchorId="40610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CA52AB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648AF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331EE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36996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A8EC4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7E09A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A86A5" w14:textId="5CF7BE83" w:rsidR="008C4B4E" w:rsidRDefault="003F2F53">
    <w:pPr>
      <w:pStyle w:val="Header"/>
    </w:pPr>
    <w:r>
      <w:rPr>
        <w:noProof/>
      </w:rPr>
      <w:pict w14:anchorId="36DD2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5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998F" w14:textId="046BDA15" w:rsidR="008C4B4E" w:rsidRDefault="003F2F53">
    <w:pPr>
      <w:pStyle w:val="Header"/>
    </w:pPr>
    <w:r>
      <w:rPr>
        <w:noProof/>
      </w:rPr>
      <w:pict w14:anchorId="20F57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5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1BAD0" w14:textId="60BFEEA6" w:rsidR="008C4B4E" w:rsidRDefault="003F2F53">
    <w:pPr>
      <w:pStyle w:val="Header"/>
    </w:pPr>
    <w:r>
      <w:rPr>
        <w:noProof/>
      </w:rPr>
      <w:pict w14:anchorId="0B554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18054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E8E624A"/>
    <w:multiLevelType w:val="hybridMultilevel"/>
    <w:tmpl w:val="D570C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E12AF8"/>
    <w:multiLevelType w:val="hybridMultilevel"/>
    <w:tmpl w:val="AB94F642"/>
    <w:lvl w:ilvl="0" w:tplc="FBEE69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5EC322A"/>
    <w:multiLevelType w:val="hybridMultilevel"/>
    <w:tmpl w:val="5B787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7"/>
  </w:num>
  <w:num w:numId="27">
    <w:abstractNumId w:val="22"/>
  </w:num>
  <w:num w:numId="28">
    <w:abstractNumId w:val="30"/>
  </w:num>
  <w:num w:numId="29">
    <w:abstractNumId w:val="27"/>
  </w:num>
  <w:num w:numId="30">
    <w:abstractNumId w:val="10"/>
  </w:num>
  <w:num w:numId="31">
    <w:abstractNumId w:val="26"/>
  </w:num>
  <w:num w:numId="32">
    <w:abstractNumId w:val="2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FB9"/>
    <w:rsid w:val="000202A1"/>
    <w:rsid w:val="00030174"/>
    <w:rsid w:val="0004579C"/>
    <w:rsid w:val="00090C7B"/>
    <w:rsid w:val="000A47FA"/>
    <w:rsid w:val="000A58C4"/>
    <w:rsid w:val="000A65D3"/>
    <w:rsid w:val="000B1E33"/>
    <w:rsid w:val="000D689F"/>
    <w:rsid w:val="000E7B7B"/>
    <w:rsid w:val="000E7D62"/>
    <w:rsid w:val="00103357"/>
    <w:rsid w:val="00123C9F"/>
    <w:rsid w:val="00126190"/>
    <w:rsid w:val="00130F17"/>
    <w:rsid w:val="001320BF"/>
    <w:rsid w:val="00163BC4"/>
    <w:rsid w:val="00182742"/>
    <w:rsid w:val="00191062"/>
    <w:rsid w:val="00192B72"/>
    <w:rsid w:val="001A29D8"/>
    <w:rsid w:val="001A5CAA"/>
    <w:rsid w:val="001B0427"/>
    <w:rsid w:val="001C03B5"/>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1E11"/>
    <w:rsid w:val="00296529"/>
    <w:rsid w:val="002B27FB"/>
    <w:rsid w:val="002B685A"/>
    <w:rsid w:val="002C57D2"/>
    <w:rsid w:val="002C5FEF"/>
    <w:rsid w:val="002D325A"/>
    <w:rsid w:val="002E0D56"/>
    <w:rsid w:val="00307207"/>
    <w:rsid w:val="00315186"/>
    <w:rsid w:val="00317723"/>
    <w:rsid w:val="0033343E"/>
    <w:rsid w:val="003512C2"/>
    <w:rsid w:val="00371FB6"/>
    <w:rsid w:val="003763C1"/>
    <w:rsid w:val="00376BBE"/>
    <w:rsid w:val="0037733F"/>
    <w:rsid w:val="0039224F"/>
    <w:rsid w:val="003A037B"/>
    <w:rsid w:val="003A43A4"/>
    <w:rsid w:val="003A53FE"/>
    <w:rsid w:val="003A7E18"/>
    <w:rsid w:val="003C32DB"/>
    <w:rsid w:val="003C4C86"/>
    <w:rsid w:val="003C6258"/>
    <w:rsid w:val="003E2904"/>
    <w:rsid w:val="003F2F53"/>
    <w:rsid w:val="003F787F"/>
    <w:rsid w:val="00401927"/>
    <w:rsid w:val="0041027F"/>
    <w:rsid w:val="00412475"/>
    <w:rsid w:val="00423789"/>
    <w:rsid w:val="00440F43"/>
    <w:rsid w:val="00441B6F"/>
    <w:rsid w:val="00446221"/>
    <w:rsid w:val="00450E62"/>
    <w:rsid w:val="004539DB"/>
    <w:rsid w:val="0045541B"/>
    <w:rsid w:val="00471A80"/>
    <w:rsid w:val="004C141C"/>
    <w:rsid w:val="004D305E"/>
    <w:rsid w:val="004D4277"/>
    <w:rsid w:val="00502516"/>
    <w:rsid w:val="00505F06"/>
    <w:rsid w:val="00506828"/>
    <w:rsid w:val="0053056E"/>
    <w:rsid w:val="0053544F"/>
    <w:rsid w:val="00537351"/>
    <w:rsid w:val="00554FDA"/>
    <w:rsid w:val="00562168"/>
    <w:rsid w:val="0057168A"/>
    <w:rsid w:val="005C784C"/>
    <w:rsid w:val="005D17F6"/>
    <w:rsid w:val="005E5539"/>
    <w:rsid w:val="00602BF5"/>
    <w:rsid w:val="0061446B"/>
    <w:rsid w:val="00617FDD"/>
    <w:rsid w:val="0062045A"/>
    <w:rsid w:val="006246B0"/>
    <w:rsid w:val="00633614"/>
    <w:rsid w:val="00633F68"/>
    <w:rsid w:val="00636EB2"/>
    <w:rsid w:val="006375B8"/>
    <w:rsid w:val="0066510A"/>
    <w:rsid w:val="00670E2D"/>
    <w:rsid w:val="00673F9F"/>
    <w:rsid w:val="00686953"/>
    <w:rsid w:val="00687DEA"/>
    <w:rsid w:val="00687E67"/>
    <w:rsid w:val="0069141B"/>
    <w:rsid w:val="006967F7"/>
    <w:rsid w:val="006A250C"/>
    <w:rsid w:val="006B21D3"/>
    <w:rsid w:val="006B57D0"/>
    <w:rsid w:val="006D30FF"/>
    <w:rsid w:val="006D6940"/>
    <w:rsid w:val="006F11EC"/>
    <w:rsid w:val="0070082C"/>
    <w:rsid w:val="00707A83"/>
    <w:rsid w:val="007369E6"/>
    <w:rsid w:val="00746E59"/>
    <w:rsid w:val="00754C9A"/>
    <w:rsid w:val="0075599A"/>
    <w:rsid w:val="00761D52"/>
    <w:rsid w:val="0077749E"/>
    <w:rsid w:val="00790ADA"/>
    <w:rsid w:val="007C5A10"/>
    <w:rsid w:val="007D2288"/>
    <w:rsid w:val="007D29C9"/>
    <w:rsid w:val="007E088F"/>
    <w:rsid w:val="007E2CF5"/>
    <w:rsid w:val="007F7B32"/>
    <w:rsid w:val="00804BC2"/>
    <w:rsid w:val="0081431A"/>
    <w:rsid w:val="0083216F"/>
    <w:rsid w:val="00860000"/>
    <w:rsid w:val="00863BD3"/>
    <w:rsid w:val="008641ED"/>
    <w:rsid w:val="00866D66"/>
    <w:rsid w:val="008671C6"/>
    <w:rsid w:val="00875803"/>
    <w:rsid w:val="008A36AD"/>
    <w:rsid w:val="008B459E"/>
    <w:rsid w:val="008C4B4E"/>
    <w:rsid w:val="008D626D"/>
    <w:rsid w:val="008E13AE"/>
    <w:rsid w:val="008E1506"/>
    <w:rsid w:val="008E710C"/>
    <w:rsid w:val="008F69D6"/>
    <w:rsid w:val="00902823"/>
    <w:rsid w:val="00915CA6"/>
    <w:rsid w:val="00927834"/>
    <w:rsid w:val="00941379"/>
    <w:rsid w:val="009500A6"/>
    <w:rsid w:val="00957C18"/>
    <w:rsid w:val="009659BA"/>
    <w:rsid w:val="0097607C"/>
    <w:rsid w:val="00983040"/>
    <w:rsid w:val="009B3FB9"/>
    <w:rsid w:val="009C2465"/>
    <w:rsid w:val="009D35A0"/>
    <w:rsid w:val="009D7EB7"/>
    <w:rsid w:val="009E048A"/>
    <w:rsid w:val="009E08E9"/>
    <w:rsid w:val="009E18B3"/>
    <w:rsid w:val="009E3DB9"/>
    <w:rsid w:val="009E6E35"/>
    <w:rsid w:val="009F0EDA"/>
    <w:rsid w:val="00A021BF"/>
    <w:rsid w:val="00A03B96"/>
    <w:rsid w:val="00A05B19"/>
    <w:rsid w:val="00A10823"/>
    <w:rsid w:val="00A11071"/>
    <w:rsid w:val="00A1134E"/>
    <w:rsid w:val="00A2274B"/>
    <w:rsid w:val="00A24E7E"/>
    <w:rsid w:val="00A258C3"/>
    <w:rsid w:val="00A26BD3"/>
    <w:rsid w:val="00A347C0"/>
    <w:rsid w:val="00A349D9"/>
    <w:rsid w:val="00A51431"/>
    <w:rsid w:val="00A539AD"/>
    <w:rsid w:val="00A7253F"/>
    <w:rsid w:val="00A94063"/>
    <w:rsid w:val="00AA6219"/>
    <w:rsid w:val="00AA74E0"/>
    <w:rsid w:val="00AB703F"/>
    <w:rsid w:val="00AC302F"/>
    <w:rsid w:val="00AC6BB8"/>
    <w:rsid w:val="00AE008F"/>
    <w:rsid w:val="00B01FCD"/>
    <w:rsid w:val="00B1776C"/>
    <w:rsid w:val="00B454D6"/>
    <w:rsid w:val="00B52583"/>
    <w:rsid w:val="00B52896"/>
    <w:rsid w:val="00B57753"/>
    <w:rsid w:val="00B67E5A"/>
    <w:rsid w:val="00B95236"/>
    <w:rsid w:val="00B96BD9"/>
    <w:rsid w:val="00BA1B01"/>
    <w:rsid w:val="00BA2641"/>
    <w:rsid w:val="00BB37AA"/>
    <w:rsid w:val="00BB7517"/>
    <w:rsid w:val="00BC53A0"/>
    <w:rsid w:val="00BE02FC"/>
    <w:rsid w:val="00BE62AD"/>
    <w:rsid w:val="00BE6DED"/>
    <w:rsid w:val="00BF121F"/>
    <w:rsid w:val="00BF1F80"/>
    <w:rsid w:val="00C166EF"/>
    <w:rsid w:val="00C17EB0"/>
    <w:rsid w:val="00C27F5F"/>
    <w:rsid w:val="00C30A0F"/>
    <w:rsid w:val="00C37E61"/>
    <w:rsid w:val="00C52554"/>
    <w:rsid w:val="00C70F1B"/>
    <w:rsid w:val="00C71A47"/>
    <w:rsid w:val="00C7462E"/>
    <w:rsid w:val="00C7464C"/>
    <w:rsid w:val="00C85588"/>
    <w:rsid w:val="00CC3D9E"/>
    <w:rsid w:val="00CD6755"/>
    <w:rsid w:val="00CD6856"/>
    <w:rsid w:val="00CE0089"/>
    <w:rsid w:val="00CE3DB4"/>
    <w:rsid w:val="00CE793C"/>
    <w:rsid w:val="00CF193C"/>
    <w:rsid w:val="00D16AFB"/>
    <w:rsid w:val="00D173F1"/>
    <w:rsid w:val="00D267D1"/>
    <w:rsid w:val="00D47328"/>
    <w:rsid w:val="00D61E0E"/>
    <w:rsid w:val="00D65AB2"/>
    <w:rsid w:val="00D6697C"/>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4C5C"/>
    <w:rsid w:val="00E769F6"/>
    <w:rsid w:val="00E8407C"/>
    <w:rsid w:val="00E84F3C"/>
    <w:rsid w:val="00EA012C"/>
    <w:rsid w:val="00EC1817"/>
    <w:rsid w:val="00EC634B"/>
    <w:rsid w:val="00EC6A55"/>
    <w:rsid w:val="00ED0288"/>
    <w:rsid w:val="00EE52CB"/>
    <w:rsid w:val="00EF581D"/>
    <w:rsid w:val="00EF7FD8"/>
    <w:rsid w:val="00F06F59"/>
    <w:rsid w:val="00F168C6"/>
    <w:rsid w:val="00F17988"/>
    <w:rsid w:val="00F469F0"/>
    <w:rsid w:val="00F53273"/>
    <w:rsid w:val="00F64E58"/>
    <w:rsid w:val="00F755E4"/>
    <w:rsid w:val="00F77D02"/>
    <w:rsid w:val="00FB3A86"/>
    <w:rsid w:val="00FB4602"/>
    <w:rsid w:val="00FB7C8E"/>
    <w:rsid w:val="00FC230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74B82F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99"/>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2C5FEF"/>
    <w:rPr>
      <w:rFonts w:ascii="Times New Roman" w:hAnsi="Times New Roman"/>
      <w:sz w:val="24"/>
      <w:szCs w:val="24"/>
    </w:rPr>
  </w:style>
  <w:style w:type="table" w:styleId="TableGridLight">
    <w:name w:val="Grid Table Light"/>
    <w:basedOn w:val="TableNormal"/>
    <w:uiPriority w:val="99"/>
    <w:rsid w:val="0057168A"/>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74C5C"/>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4197808">
      <w:bodyDiv w:val="1"/>
      <w:marLeft w:val="0"/>
      <w:marRight w:val="0"/>
      <w:marTop w:val="0"/>
      <w:marBottom w:val="0"/>
      <w:divBdr>
        <w:top w:val="none" w:sz="0" w:space="0" w:color="auto"/>
        <w:left w:val="none" w:sz="0" w:space="0" w:color="auto"/>
        <w:bottom w:val="none" w:sz="0" w:space="0" w:color="auto"/>
        <w:right w:val="none" w:sz="0" w:space="0" w:color="auto"/>
      </w:divBdr>
      <w:divsChild>
        <w:div w:id="620579071">
          <w:marLeft w:val="-720"/>
          <w:marRight w:val="0"/>
          <w:marTop w:val="0"/>
          <w:marBottom w:val="0"/>
          <w:divBdr>
            <w:top w:val="none" w:sz="0" w:space="0" w:color="auto"/>
            <w:left w:val="none" w:sz="0" w:space="0" w:color="auto"/>
            <w:bottom w:val="none" w:sz="0" w:space="0" w:color="auto"/>
            <w:right w:val="none" w:sz="0" w:space="0" w:color="auto"/>
          </w:divBdr>
        </w:div>
      </w:divsChild>
    </w:div>
    <w:div w:id="224922644">
      <w:bodyDiv w:val="1"/>
      <w:marLeft w:val="0"/>
      <w:marRight w:val="0"/>
      <w:marTop w:val="0"/>
      <w:marBottom w:val="0"/>
      <w:divBdr>
        <w:top w:val="none" w:sz="0" w:space="0" w:color="auto"/>
        <w:left w:val="none" w:sz="0" w:space="0" w:color="auto"/>
        <w:bottom w:val="none" w:sz="0" w:space="0" w:color="auto"/>
        <w:right w:val="none" w:sz="0" w:space="0" w:color="auto"/>
      </w:divBdr>
      <w:divsChild>
        <w:div w:id="1020742151">
          <w:marLeft w:val="-720"/>
          <w:marRight w:val="0"/>
          <w:marTop w:val="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44602031">
      <w:bodyDiv w:val="1"/>
      <w:marLeft w:val="0"/>
      <w:marRight w:val="0"/>
      <w:marTop w:val="0"/>
      <w:marBottom w:val="0"/>
      <w:divBdr>
        <w:top w:val="none" w:sz="0" w:space="0" w:color="auto"/>
        <w:left w:val="none" w:sz="0" w:space="0" w:color="auto"/>
        <w:bottom w:val="none" w:sz="0" w:space="0" w:color="auto"/>
        <w:right w:val="none" w:sz="0" w:space="0" w:color="auto"/>
      </w:divBdr>
      <w:divsChild>
        <w:div w:id="1323310169">
          <w:marLeft w:val="-720"/>
          <w:marRight w:val="0"/>
          <w:marTop w:val="0"/>
          <w:marBottom w:val="0"/>
          <w:divBdr>
            <w:top w:val="none" w:sz="0" w:space="0" w:color="auto"/>
            <w:left w:val="none" w:sz="0" w:space="0" w:color="auto"/>
            <w:bottom w:val="none" w:sz="0" w:space="0" w:color="auto"/>
            <w:right w:val="none" w:sz="0" w:space="0" w:color="auto"/>
          </w:divBdr>
        </w:div>
      </w:divsChild>
    </w:div>
    <w:div w:id="362634878">
      <w:bodyDiv w:val="1"/>
      <w:marLeft w:val="0"/>
      <w:marRight w:val="0"/>
      <w:marTop w:val="0"/>
      <w:marBottom w:val="0"/>
      <w:divBdr>
        <w:top w:val="none" w:sz="0" w:space="0" w:color="auto"/>
        <w:left w:val="none" w:sz="0" w:space="0" w:color="auto"/>
        <w:bottom w:val="none" w:sz="0" w:space="0" w:color="auto"/>
        <w:right w:val="none" w:sz="0" w:space="0" w:color="auto"/>
      </w:divBdr>
      <w:divsChild>
        <w:div w:id="1194076116">
          <w:marLeft w:val="-720"/>
          <w:marRight w:val="0"/>
          <w:marTop w:val="0"/>
          <w:marBottom w:val="0"/>
          <w:divBdr>
            <w:top w:val="none" w:sz="0" w:space="0" w:color="auto"/>
            <w:left w:val="none" w:sz="0" w:space="0" w:color="auto"/>
            <w:bottom w:val="none" w:sz="0" w:space="0" w:color="auto"/>
            <w:right w:val="none" w:sz="0" w:space="0" w:color="auto"/>
          </w:divBdr>
        </w:div>
      </w:divsChild>
    </w:div>
    <w:div w:id="376659946">
      <w:bodyDiv w:val="1"/>
      <w:marLeft w:val="0"/>
      <w:marRight w:val="0"/>
      <w:marTop w:val="0"/>
      <w:marBottom w:val="0"/>
      <w:divBdr>
        <w:top w:val="none" w:sz="0" w:space="0" w:color="auto"/>
        <w:left w:val="none" w:sz="0" w:space="0" w:color="auto"/>
        <w:bottom w:val="none" w:sz="0" w:space="0" w:color="auto"/>
        <w:right w:val="none" w:sz="0" w:space="0" w:color="auto"/>
      </w:divBdr>
    </w:div>
    <w:div w:id="399987046">
      <w:bodyDiv w:val="1"/>
      <w:marLeft w:val="0"/>
      <w:marRight w:val="0"/>
      <w:marTop w:val="0"/>
      <w:marBottom w:val="0"/>
      <w:divBdr>
        <w:top w:val="none" w:sz="0" w:space="0" w:color="auto"/>
        <w:left w:val="none" w:sz="0" w:space="0" w:color="auto"/>
        <w:bottom w:val="none" w:sz="0" w:space="0" w:color="auto"/>
        <w:right w:val="none" w:sz="0" w:space="0" w:color="auto"/>
      </w:divBdr>
    </w:div>
    <w:div w:id="57890222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1581155">
      <w:bodyDiv w:val="1"/>
      <w:marLeft w:val="0"/>
      <w:marRight w:val="0"/>
      <w:marTop w:val="0"/>
      <w:marBottom w:val="0"/>
      <w:divBdr>
        <w:top w:val="none" w:sz="0" w:space="0" w:color="auto"/>
        <w:left w:val="none" w:sz="0" w:space="0" w:color="auto"/>
        <w:bottom w:val="none" w:sz="0" w:space="0" w:color="auto"/>
        <w:right w:val="none" w:sz="0" w:space="0" w:color="auto"/>
      </w:divBdr>
      <w:divsChild>
        <w:div w:id="231158709">
          <w:marLeft w:val="-720"/>
          <w:marRight w:val="0"/>
          <w:marTop w:val="0"/>
          <w:marBottom w:val="0"/>
          <w:divBdr>
            <w:top w:val="none" w:sz="0" w:space="0" w:color="auto"/>
            <w:left w:val="none" w:sz="0" w:space="0" w:color="auto"/>
            <w:bottom w:val="none" w:sz="0" w:space="0" w:color="auto"/>
            <w:right w:val="none" w:sz="0" w:space="0" w:color="auto"/>
          </w:divBdr>
        </w:div>
      </w:divsChild>
    </w:div>
    <w:div w:id="811949714">
      <w:bodyDiv w:val="1"/>
      <w:marLeft w:val="0"/>
      <w:marRight w:val="0"/>
      <w:marTop w:val="0"/>
      <w:marBottom w:val="0"/>
      <w:divBdr>
        <w:top w:val="none" w:sz="0" w:space="0" w:color="auto"/>
        <w:left w:val="none" w:sz="0" w:space="0" w:color="auto"/>
        <w:bottom w:val="none" w:sz="0" w:space="0" w:color="auto"/>
        <w:right w:val="none" w:sz="0" w:space="0" w:color="auto"/>
      </w:divBdr>
    </w:div>
    <w:div w:id="913976095">
      <w:bodyDiv w:val="1"/>
      <w:marLeft w:val="0"/>
      <w:marRight w:val="0"/>
      <w:marTop w:val="0"/>
      <w:marBottom w:val="0"/>
      <w:divBdr>
        <w:top w:val="none" w:sz="0" w:space="0" w:color="auto"/>
        <w:left w:val="none" w:sz="0" w:space="0" w:color="auto"/>
        <w:bottom w:val="none" w:sz="0" w:space="0" w:color="auto"/>
        <w:right w:val="none" w:sz="0" w:space="0" w:color="auto"/>
      </w:divBdr>
    </w:div>
    <w:div w:id="957875682">
      <w:bodyDiv w:val="1"/>
      <w:marLeft w:val="0"/>
      <w:marRight w:val="0"/>
      <w:marTop w:val="0"/>
      <w:marBottom w:val="0"/>
      <w:divBdr>
        <w:top w:val="none" w:sz="0" w:space="0" w:color="auto"/>
        <w:left w:val="none" w:sz="0" w:space="0" w:color="auto"/>
        <w:bottom w:val="none" w:sz="0" w:space="0" w:color="auto"/>
        <w:right w:val="none" w:sz="0" w:space="0" w:color="auto"/>
      </w:divBdr>
      <w:divsChild>
        <w:div w:id="1432316046">
          <w:marLeft w:val="-72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433655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7464310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759221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5780852">
      <w:bodyDiv w:val="1"/>
      <w:marLeft w:val="0"/>
      <w:marRight w:val="0"/>
      <w:marTop w:val="0"/>
      <w:marBottom w:val="0"/>
      <w:divBdr>
        <w:top w:val="none" w:sz="0" w:space="0" w:color="auto"/>
        <w:left w:val="none" w:sz="0" w:space="0" w:color="auto"/>
        <w:bottom w:val="none" w:sz="0" w:space="0" w:color="auto"/>
        <w:right w:val="none" w:sz="0" w:space="0" w:color="auto"/>
      </w:divBdr>
    </w:div>
    <w:div w:id="211663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2025\Work\November\NDVI%20paper\Maps\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2025\Work\November\NDVI%20paper\Maps\Sta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5.0925925925925923E-2"/>
          <c:w val="0.87232174103237092"/>
          <c:h val="0.5660378390201225"/>
        </c:manualLayout>
      </c:layout>
      <c:barChart>
        <c:barDir val="col"/>
        <c:grouping val="clustered"/>
        <c:varyColors val="0"/>
        <c:ser>
          <c:idx val="0"/>
          <c:order val="0"/>
          <c:tx>
            <c:strRef>
              <c:f>'%2015'!$C$11</c:f>
              <c:strCache>
                <c:ptCount val="1"/>
                <c:pt idx="0">
                  <c:v>Non-vegetated areas</c:v>
                </c:pt>
              </c:strCache>
            </c:strRef>
          </c:tx>
          <c:spPr>
            <a:solidFill>
              <a:srgbClr val="FF0000"/>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'%2015'!$D$11:$M$11</c:f>
              <c:numCache>
                <c:formatCode>0.00%</c:formatCode>
                <c:ptCount val="10"/>
                <c:pt idx="0">
                  <c:v>1.3939021512911621E-2</c:v>
                </c:pt>
                <c:pt idx="1">
                  <c:v>6.5483114103595197E-2</c:v>
                </c:pt>
                <c:pt idx="2">
                  <c:v>1.3232595549702745E-4</c:v>
                </c:pt>
                <c:pt idx="3">
                  <c:v>6.30491214057508E-4</c:v>
                </c:pt>
                <c:pt idx="4">
                  <c:v>1.0829700534534622E-4</c:v>
                </c:pt>
                <c:pt idx="5">
                  <c:v>6.9777690725687986E-4</c:v>
                </c:pt>
                <c:pt idx="6">
                  <c:v>0</c:v>
                </c:pt>
                <c:pt idx="7">
                  <c:v>0</c:v>
                </c:pt>
                <c:pt idx="8">
                  <c:v>0</c:v>
                </c:pt>
                <c:pt idx="9">
                  <c:v>1.0444756732120476E-4</c:v>
                </c:pt>
              </c:numCache>
            </c:numRef>
          </c:val>
          <c:extLst>
            <c:ext xmlns:c16="http://schemas.microsoft.com/office/drawing/2014/chart" uri="{C3380CC4-5D6E-409C-BE32-E72D297353CC}">
              <c16:uniqueId val="{00000000-C41E-47FC-ACA7-FE2964D99CD0}"/>
            </c:ext>
          </c:extLst>
        </c:ser>
        <c:ser>
          <c:idx val="1"/>
          <c:order val="1"/>
          <c:tx>
            <c:strRef>
              <c:f>'%2015'!$C$12</c:f>
              <c:strCache>
                <c:ptCount val="1"/>
                <c:pt idx="0">
                  <c:v>Little to no vegetation</c:v>
                </c:pt>
              </c:strCache>
            </c:strRef>
          </c:tx>
          <c:spPr>
            <a:solidFill>
              <a:schemeClr val="accent6">
                <a:lumMod val="60000"/>
                <a:lumOff val="40000"/>
              </a:schemeClr>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'%2015'!$D$12:$M$12</c:f>
              <c:numCache>
                <c:formatCode>0.00%</c:formatCode>
                <c:ptCount val="10"/>
                <c:pt idx="0">
                  <c:v>1.3610640598093453E-3</c:v>
                </c:pt>
                <c:pt idx="1">
                  <c:v>7.5140743497883033E-3</c:v>
                </c:pt>
                <c:pt idx="2">
                  <c:v>2.7262335409628549E-4</c:v>
                </c:pt>
                <c:pt idx="3">
                  <c:v>1.2305311501597444E-3</c:v>
                </c:pt>
                <c:pt idx="4">
                  <c:v>3.7176583924521838E-4</c:v>
                </c:pt>
                <c:pt idx="5">
                  <c:v>5.5636778264336779E-2</c:v>
                </c:pt>
                <c:pt idx="6">
                  <c:v>9.6761683149117709E-3</c:v>
                </c:pt>
                <c:pt idx="7">
                  <c:v>2.0429982352896886E-3</c:v>
                </c:pt>
                <c:pt idx="8">
                  <c:v>1.9091894059079867E-5</c:v>
                </c:pt>
                <c:pt idx="9">
                  <c:v>2.2456226974059024E-2</c:v>
                </c:pt>
              </c:numCache>
            </c:numRef>
          </c:val>
          <c:extLst>
            <c:ext xmlns:c16="http://schemas.microsoft.com/office/drawing/2014/chart" uri="{C3380CC4-5D6E-409C-BE32-E72D297353CC}">
              <c16:uniqueId val="{00000001-C41E-47FC-ACA7-FE2964D99CD0}"/>
            </c:ext>
          </c:extLst>
        </c:ser>
        <c:ser>
          <c:idx val="2"/>
          <c:order val="2"/>
          <c:tx>
            <c:strRef>
              <c:f>'%2015'!$C$13</c:f>
              <c:strCache>
                <c:ptCount val="1"/>
                <c:pt idx="0">
                  <c:v>Urban areas with sparse vegetation</c:v>
                </c:pt>
              </c:strCache>
            </c:strRef>
          </c:tx>
          <c:spPr>
            <a:solidFill>
              <a:srgbClr val="FFFFCC"/>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'%2015'!$D$13:$M$13</c:f>
              <c:numCache>
                <c:formatCode>0.00%</c:formatCode>
                <c:ptCount val="10"/>
                <c:pt idx="0">
                  <c:v>0.93558891991731497</c:v>
                </c:pt>
                <c:pt idx="1">
                  <c:v>0.14779230447122318</c:v>
                </c:pt>
                <c:pt idx="2">
                  <c:v>0.15472889919153623</c:v>
                </c:pt>
                <c:pt idx="3">
                  <c:v>0.19563448482428114</c:v>
                </c:pt>
                <c:pt idx="4">
                  <c:v>8.4382763642594019E-2</c:v>
                </c:pt>
                <c:pt idx="5">
                  <c:v>0.89874889824698856</c:v>
                </c:pt>
                <c:pt idx="6">
                  <c:v>0.70453752181500873</c:v>
                </c:pt>
                <c:pt idx="7">
                  <c:v>8.6921973394400304E-2</c:v>
                </c:pt>
                <c:pt idx="8">
                  <c:v>0.1280445604807339</c:v>
                </c:pt>
                <c:pt idx="9">
                  <c:v>0.75018040943446385</c:v>
                </c:pt>
              </c:numCache>
            </c:numRef>
          </c:val>
          <c:extLst>
            <c:ext xmlns:c16="http://schemas.microsoft.com/office/drawing/2014/chart" uri="{C3380CC4-5D6E-409C-BE32-E72D297353CC}">
              <c16:uniqueId val="{00000002-C41E-47FC-ACA7-FE2964D99CD0}"/>
            </c:ext>
          </c:extLst>
        </c:ser>
        <c:ser>
          <c:idx val="3"/>
          <c:order val="3"/>
          <c:tx>
            <c:strRef>
              <c:f>'%2015'!$C$14</c:f>
              <c:strCache>
                <c:ptCount val="1"/>
                <c:pt idx="0">
                  <c:v>Moderate vegetation</c:v>
                </c:pt>
              </c:strCache>
            </c:strRef>
          </c:tx>
          <c:spPr>
            <a:solidFill>
              <a:srgbClr val="92D050"/>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'%2015'!$D$14:$M$14</c:f>
              <c:numCache>
                <c:formatCode>0.00%</c:formatCode>
                <c:ptCount val="10"/>
                <c:pt idx="0">
                  <c:v>4.8555476125915153E-2</c:v>
                </c:pt>
                <c:pt idx="1">
                  <c:v>0.77856577889146628</c:v>
                </c:pt>
                <c:pt idx="2">
                  <c:v>0.74147334588569902</c:v>
                </c:pt>
                <c:pt idx="3">
                  <c:v>0.7830606030351438</c:v>
                </c:pt>
                <c:pt idx="4">
                  <c:v>0.55707171363039043</c:v>
                </c:pt>
                <c:pt idx="5">
                  <c:v>4.4916546581417797E-2</c:v>
                </c:pt>
                <c:pt idx="6">
                  <c:v>0.2645918169478379</c:v>
                </c:pt>
                <c:pt idx="7">
                  <c:v>0.34663613318205588</c:v>
                </c:pt>
                <c:pt idx="8">
                  <c:v>0.76348484342260381</c:v>
                </c:pt>
                <c:pt idx="9">
                  <c:v>0.22694557332219226</c:v>
                </c:pt>
              </c:numCache>
            </c:numRef>
          </c:val>
          <c:extLst>
            <c:ext xmlns:c16="http://schemas.microsoft.com/office/drawing/2014/chart" uri="{C3380CC4-5D6E-409C-BE32-E72D297353CC}">
              <c16:uniqueId val="{00000003-C41E-47FC-ACA7-FE2964D99CD0}"/>
            </c:ext>
          </c:extLst>
        </c:ser>
        <c:ser>
          <c:idx val="4"/>
          <c:order val="4"/>
          <c:tx>
            <c:strRef>
              <c:f>'%2015'!$C$15</c:f>
              <c:strCache>
                <c:ptCount val="1"/>
                <c:pt idx="0">
                  <c:v>Dense vegetation</c:v>
                </c:pt>
              </c:strCache>
            </c:strRef>
          </c:tx>
          <c:spPr>
            <a:solidFill>
              <a:srgbClr val="005800"/>
            </a:solidFill>
            <a:ln>
              <a:noFill/>
            </a:ln>
            <a:effectLst/>
          </c:spPr>
          <c:invertIfNegative val="0"/>
          <c:cat>
            <c:strRef>
              <c:f>'%2015'!$D$10:$M$10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'%2015'!$D$15:$M$15</c:f>
              <c:numCache>
                <c:formatCode>0.00%</c:formatCode>
                <c:ptCount val="10"/>
                <c:pt idx="0">
                  <c:v>5.5551838404896306E-4</c:v>
                </c:pt>
                <c:pt idx="1">
                  <c:v>6.4472818392699279E-4</c:v>
                </c:pt>
                <c:pt idx="2">
                  <c:v>0.10339280561317138</c:v>
                </c:pt>
                <c:pt idx="3">
                  <c:v>1.9443889776357828E-2</c:v>
                </c:pt>
                <c:pt idx="4">
                  <c:v>0.358065459882425</c:v>
                </c:pt>
                <c:pt idx="5">
                  <c:v>0</c:v>
                </c:pt>
                <c:pt idx="6">
                  <c:v>2.1194492922241612E-2</c:v>
                </c:pt>
                <c:pt idx="7">
                  <c:v>0.56439889518825415</c:v>
                </c:pt>
                <c:pt idx="8">
                  <c:v>0.10845150420260317</c:v>
                </c:pt>
                <c:pt idx="9">
                  <c:v>3.1334270196361428E-4</c:v>
                </c:pt>
              </c:numCache>
            </c:numRef>
          </c:val>
          <c:extLst>
            <c:ext xmlns:c16="http://schemas.microsoft.com/office/drawing/2014/chart" uri="{C3380CC4-5D6E-409C-BE32-E72D297353CC}">
              <c16:uniqueId val="{00000004-C41E-47FC-ACA7-FE2964D99CD0}"/>
            </c:ext>
          </c:extLst>
        </c:ser>
        <c:dLbls>
          <c:showLegendKey val="0"/>
          <c:showVal val="0"/>
          <c:showCatName val="0"/>
          <c:showSerName val="0"/>
          <c:showPercent val="0"/>
          <c:showBubbleSize val="0"/>
        </c:dLbls>
        <c:gapWidth val="0"/>
        <c:overlap val="-27"/>
        <c:axId val="845181071"/>
        <c:axId val="845186351"/>
      </c:barChart>
      <c:catAx>
        <c:axId val="845181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5186351"/>
        <c:crosses val="autoZero"/>
        <c:auto val="1"/>
        <c:lblAlgn val="ctr"/>
        <c:lblOffset val="100"/>
        <c:noMultiLvlLbl val="0"/>
      </c:catAx>
      <c:valAx>
        <c:axId val="84518635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181071"/>
        <c:crosses val="autoZero"/>
        <c:crossBetween val="between"/>
      </c:valAx>
      <c:spPr>
        <a:noFill/>
        <a:ln>
          <a:noFill/>
        </a:ln>
        <a:effectLst/>
      </c:spPr>
    </c:plotArea>
    <c:legend>
      <c:legendPos val="b"/>
      <c:layout>
        <c:manualLayout>
          <c:xMode val="edge"/>
          <c:yMode val="edge"/>
          <c:x val="1.4432183537166573E-2"/>
          <c:y val="0.71523526654591452"/>
          <c:w val="0.98365048118985132"/>
          <c:h val="0.19502478856809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5.0925925925925923E-2"/>
          <c:w val="0.87232174103237092"/>
          <c:h val="0.5660378390201225"/>
        </c:manualLayout>
      </c:layout>
      <c:barChart>
        <c:barDir val="col"/>
        <c:grouping val="clustered"/>
        <c:varyColors val="0"/>
        <c:ser>
          <c:idx val="0"/>
          <c:order val="0"/>
          <c:tx>
            <c:strRef>
              <c:f>'%2025'!$C$11</c:f>
              <c:strCache>
                <c:ptCount val="1"/>
                <c:pt idx="0">
                  <c:v>Non-vegetated areas</c:v>
                </c:pt>
              </c:strCache>
            </c:strRef>
          </c:tx>
          <c:spPr>
            <a:solidFill>
              <a:srgbClr val="FF0000"/>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'%2025'!$D$11:$M$11</c:f>
              <c:numCache>
                <c:formatCode>0.00%</c:formatCode>
                <c:ptCount val="10"/>
                <c:pt idx="0">
                  <c:v>1.0452725473555212E-2</c:v>
                </c:pt>
                <c:pt idx="1">
                  <c:v>6.0391956158337791E-2</c:v>
                </c:pt>
                <c:pt idx="2">
                  <c:v>1.6740003826286589E-4</c:v>
                </c:pt>
                <c:pt idx="3">
                  <c:v>2.8204872204472844E-4</c:v>
                </c:pt>
                <c:pt idx="4">
                  <c:v>1.0846670751006671E-3</c:v>
                </c:pt>
                <c:pt idx="5">
                  <c:v>1.5267175572519084E-3</c:v>
                </c:pt>
                <c:pt idx="6">
                  <c:v>0</c:v>
                </c:pt>
                <c:pt idx="7">
                  <c:v>2.782882463902163E-4</c:v>
                </c:pt>
                <c:pt idx="8">
                  <c:v>0</c:v>
                </c:pt>
                <c:pt idx="9">
                  <c:v>1.6711610771392761E-3</c:v>
                </c:pt>
              </c:numCache>
            </c:numRef>
          </c:val>
          <c:extLst>
            <c:ext xmlns:c16="http://schemas.microsoft.com/office/drawing/2014/chart" uri="{C3380CC4-5D6E-409C-BE32-E72D297353CC}">
              <c16:uniqueId val="{00000000-C4DC-4FCE-A3C4-AB0967D0F9D1}"/>
            </c:ext>
          </c:extLst>
        </c:ser>
        <c:ser>
          <c:idx val="1"/>
          <c:order val="1"/>
          <c:tx>
            <c:strRef>
              <c:f>'%2025'!$C$12</c:f>
              <c:strCache>
                <c:ptCount val="1"/>
                <c:pt idx="0">
                  <c:v>Little to no vegetation</c:v>
                </c:pt>
              </c:strCache>
            </c:strRef>
          </c:tx>
          <c:spPr>
            <a:solidFill>
              <a:schemeClr val="accent6">
                <a:lumMod val="60000"/>
                <a:lumOff val="40000"/>
              </a:schemeClr>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'%2025'!$D$12:$M$12</c:f>
              <c:numCache>
                <c:formatCode>0.00%</c:formatCode>
                <c:ptCount val="10"/>
                <c:pt idx="0">
                  <c:v>1.9852519113001772E-3</c:v>
                </c:pt>
                <c:pt idx="1">
                  <c:v>3.6789508841778523E-3</c:v>
                </c:pt>
                <c:pt idx="2">
                  <c:v>1.9928575983674512E-4</c:v>
                </c:pt>
                <c:pt idx="3">
                  <c:v>4.1967851437699679E-3</c:v>
                </c:pt>
                <c:pt idx="4">
                  <c:v>1.1105309695889096E-3</c:v>
                </c:pt>
                <c:pt idx="5">
                  <c:v>8.3525266038841237E-2</c:v>
                </c:pt>
                <c:pt idx="6">
                  <c:v>0.13571359081622725</c:v>
                </c:pt>
                <c:pt idx="7">
                  <c:v>1.3943370513724157E-3</c:v>
                </c:pt>
                <c:pt idx="8">
                  <c:v>9.5459925923097481E-6</c:v>
                </c:pt>
                <c:pt idx="9">
                  <c:v>1.4945497360325117E-2</c:v>
                </c:pt>
              </c:numCache>
            </c:numRef>
          </c:val>
          <c:extLst>
            <c:ext xmlns:c16="http://schemas.microsoft.com/office/drawing/2014/chart" uri="{C3380CC4-5D6E-409C-BE32-E72D297353CC}">
              <c16:uniqueId val="{00000001-C4DC-4FCE-A3C4-AB0967D0F9D1}"/>
            </c:ext>
          </c:extLst>
        </c:ser>
        <c:ser>
          <c:idx val="2"/>
          <c:order val="2"/>
          <c:tx>
            <c:strRef>
              <c:f>'%2025'!$C$13</c:f>
              <c:strCache>
                <c:ptCount val="1"/>
                <c:pt idx="0">
                  <c:v>Urban areas with sparse vegetation</c:v>
                </c:pt>
              </c:strCache>
            </c:strRef>
          </c:tx>
          <c:spPr>
            <a:solidFill>
              <a:srgbClr val="FFFFCC"/>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'%2025'!$D$13:$M$13</c:f>
              <c:numCache>
                <c:formatCode>0.00%</c:formatCode>
                <c:ptCount val="10"/>
                <c:pt idx="0">
                  <c:v>0.73058590902528098</c:v>
                </c:pt>
                <c:pt idx="1">
                  <c:v>0.1904181109401431</c:v>
                </c:pt>
                <c:pt idx="2">
                  <c:v>0.25330017218289652</c:v>
                </c:pt>
                <c:pt idx="3">
                  <c:v>0.83662539936102231</c:v>
                </c:pt>
                <c:pt idx="4">
                  <c:v>9.5174282236515612E-2</c:v>
                </c:pt>
                <c:pt idx="5">
                  <c:v>0.85046387380533917</c:v>
                </c:pt>
                <c:pt idx="6">
                  <c:v>0.70240295748613679</c:v>
                </c:pt>
                <c:pt idx="7">
                  <c:v>0.19353311398466491</c:v>
                </c:pt>
                <c:pt idx="8">
                  <c:v>0.22438810187483293</c:v>
                </c:pt>
                <c:pt idx="9">
                  <c:v>0.66077329180751265</c:v>
                </c:pt>
              </c:numCache>
            </c:numRef>
          </c:val>
          <c:extLst>
            <c:ext xmlns:c16="http://schemas.microsoft.com/office/drawing/2014/chart" uri="{C3380CC4-5D6E-409C-BE32-E72D297353CC}">
              <c16:uniqueId val="{00000002-C4DC-4FCE-A3C4-AB0967D0F9D1}"/>
            </c:ext>
          </c:extLst>
        </c:ser>
        <c:ser>
          <c:idx val="3"/>
          <c:order val="3"/>
          <c:tx>
            <c:strRef>
              <c:f>'%2025'!$C$14</c:f>
              <c:strCache>
                <c:ptCount val="1"/>
                <c:pt idx="0">
                  <c:v>Moderate vegetation</c:v>
                </c:pt>
              </c:strCache>
            </c:strRef>
          </c:tx>
          <c:spPr>
            <a:solidFill>
              <a:srgbClr val="92D050"/>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'%2025'!$D$14:$M$14</c:f>
              <c:numCache>
                <c:formatCode>0.00%</c:formatCode>
                <c:ptCount val="10"/>
                <c:pt idx="0">
                  <c:v>0.25401100120083531</c:v>
                </c:pt>
                <c:pt idx="1">
                  <c:v>0.52795437702101355</c:v>
                </c:pt>
                <c:pt idx="2">
                  <c:v>0.71956348447165364</c:v>
                </c:pt>
                <c:pt idx="3">
                  <c:v>0.15776707268370607</c:v>
                </c:pt>
                <c:pt idx="4">
                  <c:v>0.4719902105159362</c:v>
                </c:pt>
                <c:pt idx="5">
                  <c:v>6.4461407972858348E-2</c:v>
                </c:pt>
                <c:pt idx="6">
                  <c:v>0.14155073450724778</c:v>
                </c:pt>
                <c:pt idx="7">
                  <c:v>0.72148182554772977</c:v>
                </c:pt>
                <c:pt idx="8">
                  <c:v>0.672768146931918</c:v>
                </c:pt>
                <c:pt idx="9">
                  <c:v>0.32076797447681266</c:v>
                </c:pt>
              </c:numCache>
            </c:numRef>
          </c:val>
          <c:extLst>
            <c:ext xmlns:c16="http://schemas.microsoft.com/office/drawing/2014/chart" uri="{C3380CC4-5D6E-409C-BE32-E72D297353CC}">
              <c16:uniqueId val="{00000003-C4DC-4FCE-A3C4-AB0967D0F9D1}"/>
            </c:ext>
          </c:extLst>
        </c:ser>
        <c:ser>
          <c:idx val="4"/>
          <c:order val="4"/>
          <c:tx>
            <c:strRef>
              <c:f>'%2025'!$C$15</c:f>
              <c:strCache>
                <c:ptCount val="1"/>
                <c:pt idx="0">
                  <c:v>Dense vegetation</c:v>
                </c:pt>
              </c:strCache>
            </c:strRef>
          </c:tx>
          <c:spPr>
            <a:solidFill>
              <a:srgbClr val="005800"/>
            </a:solidFill>
            <a:ln>
              <a:noFill/>
            </a:ln>
            <a:effectLst/>
          </c:spPr>
          <c:invertIfNegative val="0"/>
          <c:cat>
            <c:strRef>
              <c:f>'%2025'!$D$10:$M$10</c:f>
              <c:strCache>
                <c:ptCount val="10"/>
                <c:pt idx="0">
                  <c:v>Maiduguri</c:v>
                </c:pt>
                <c:pt idx="1">
                  <c:v>Asaba</c:v>
                </c:pt>
                <c:pt idx="2">
                  <c:v>Enugu</c:v>
                </c:pt>
                <c:pt idx="3">
                  <c:v>Abuja</c:v>
                </c:pt>
                <c:pt idx="4">
                  <c:v>Owerri</c:v>
                </c:pt>
                <c:pt idx="5">
                  <c:v>Kano</c:v>
                </c:pt>
                <c:pt idx="6">
                  <c:v>Ikeja</c:v>
                </c:pt>
                <c:pt idx="7">
                  <c:v>Ibadan</c:v>
                </c:pt>
                <c:pt idx="8">
                  <c:v>Uyo</c:v>
                </c:pt>
                <c:pt idx="9">
                  <c:v>Sokoto</c:v>
                </c:pt>
              </c:strCache>
            </c:strRef>
          </c:cat>
          <c:val>
            <c:numRef>
              <c:f>'%2025'!$D$15:$M$15</c:f>
              <c:numCache>
                <c:formatCode>0.00%</c:formatCode>
                <c:ptCount val="10"/>
                <c:pt idx="0">
                  <c:v>2.96511238902838E-3</c:v>
                </c:pt>
                <c:pt idx="1">
                  <c:v>0.2175566049963277</c:v>
                </c:pt>
                <c:pt idx="2">
                  <c:v>2.6769657547350296E-2</c:v>
                </c:pt>
                <c:pt idx="3">
                  <c:v>1.128694089456869E-3</c:v>
                </c:pt>
                <c:pt idx="4">
                  <c:v>0.43064030920285862</c:v>
                </c:pt>
                <c:pt idx="5">
                  <c:v>2.2734625709364041E-5</c:v>
                </c:pt>
                <c:pt idx="6">
                  <c:v>2.0332717190388171E-2</c:v>
                </c:pt>
                <c:pt idx="7">
                  <c:v>8.33124351698427E-2</c:v>
                </c:pt>
                <c:pt idx="8">
                  <c:v>0.10283420520065677</c:v>
                </c:pt>
                <c:pt idx="9">
                  <c:v>1.8420752782103383E-3</c:v>
                </c:pt>
              </c:numCache>
            </c:numRef>
          </c:val>
          <c:extLst>
            <c:ext xmlns:c16="http://schemas.microsoft.com/office/drawing/2014/chart" uri="{C3380CC4-5D6E-409C-BE32-E72D297353CC}">
              <c16:uniqueId val="{00000004-C4DC-4FCE-A3C4-AB0967D0F9D1}"/>
            </c:ext>
          </c:extLst>
        </c:ser>
        <c:dLbls>
          <c:showLegendKey val="0"/>
          <c:showVal val="0"/>
          <c:showCatName val="0"/>
          <c:showSerName val="0"/>
          <c:showPercent val="0"/>
          <c:showBubbleSize val="0"/>
        </c:dLbls>
        <c:gapWidth val="0"/>
        <c:overlap val="-27"/>
        <c:axId val="845181071"/>
        <c:axId val="845186351"/>
      </c:barChart>
      <c:catAx>
        <c:axId val="845181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5186351"/>
        <c:crosses val="autoZero"/>
        <c:auto val="1"/>
        <c:lblAlgn val="ctr"/>
        <c:lblOffset val="100"/>
        <c:noMultiLvlLbl val="0"/>
      </c:catAx>
      <c:valAx>
        <c:axId val="84518635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181071"/>
        <c:crosses val="autoZero"/>
        <c:crossBetween val="between"/>
      </c:valAx>
      <c:spPr>
        <a:noFill/>
        <a:ln>
          <a:noFill/>
        </a:ln>
        <a:effectLst/>
      </c:spPr>
    </c:plotArea>
    <c:legend>
      <c:legendPos val="b"/>
      <c:layout>
        <c:manualLayout>
          <c:xMode val="edge"/>
          <c:yMode val="edge"/>
          <c:x val="2.082236010120276E-2"/>
          <c:y val="0.73204404147938729"/>
          <c:w val="0.97531714785651791"/>
          <c:h val="0.19502478856809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C84B3-97BE-4AC1-888E-CFFACC2A2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637</TotalTime>
  <Pages>15</Pages>
  <Words>7049</Words>
  <Characters>40185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47140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39</cp:revision>
  <cp:lastPrinted>1999-07-06T11:00:00Z</cp:lastPrinted>
  <dcterms:created xsi:type="dcterms:W3CDTF">2014-10-25T14:34:00Z</dcterms:created>
  <dcterms:modified xsi:type="dcterms:W3CDTF">2026-01-31T10:41:00Z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8a0873c1-7253-454f-bdd8-85718baf30b1</vt:lpwstr>
  </property>
</Properties>
</file>