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A0A5C" w14:textId="7C92F278" w:rsidR="00724233" w:rsidRDefault="00FE24D8">
      <w:pPr>
        <w:spacing w:after="0" w:line="480" w:lineRule="auto"/>
        <w:jc w:val="both"/>
        <w:rPr>
          <w:rFonts w:ascii="Times New Roman" w:hAnsi="Times New Roman" w:cs="Times New Roman"/>
          <w:b/>
          <w:sz w:val="24"/>
          <w:szCs w:val="24"/>
        </w:rPr>
      </w:pPr>
      <w:r w:rsidRPr="0017058A">
        <w:rPr>
          <w:rFonts w:ascii="Times New Roman" w:hAnsi="Times New Roman" w:cs="Times New Roman"/>
          <w:b/>
          <w:sz w:val="24"/>
          <w:szCs w:val="24"/>
        </w:rPr>
        <w:t xml:space="preserve">Coping Strategies Among Patients </w:t>
      </w:r>
      <w:r>
        <w:rPr>
          <w:rFonts w:ascii="Times New Roman" w:hAnsi="Times New Roman" w:cs="Times New Roman"/>
          <w:b/>
          <w:sz w:val="24"/>
          <w:szCs w:val="24"/>
        </w:rPr>
        <w:t>w</w:t>
      </w:r>
      <w:r w:rsidRPr="0017058A">
        <w:rPr>
          <w:rFonts w:ascii="Times New Roman" w:hAnsi="Times New Roman" w:cs="Times New Roman"/>
          <w:b/>
          <w:sz w:val="24"/>
          <w:szCs w:val="24"/>
        </w:rPr>
        <w:t xml:space="preserve">ith Type 2 Diabetes Mellitus Attending Secondary Healthcare Facilities </w:t>
      </w:r>
      <w:r>
        <w:rPr>
          <w:rFonts w:ascii="Times New Roman" w:hAnsi="Times New Roman" w:cs="Times New Roman"/>
          <w:b/>
          <w:sz w:val="24"/>
          <w:szCs w:val="24"/>
        </w:rPr>
        <w:t>i</w:t>
      </w:r>
      <w:r w:rsidRPr="0017058A">
        <w:rPr>
          <w:rFonts w:ascii="Times New Roman" w:hAnsi="Times New Roman" w:cs="Times New Roman"/>
          <w:b/>
          <w:sz w:val="24"/>
          <w:szCs w:val="24"/>
        </w:rPr>
        <w:t>n Kaduna State, Nigeria: </w:t>
      </w:r>
      <w:r w:rsidRPr="0017058A">
        <w:rPr>
          <w:rFonts w:ascii="Times New Roman" w:hAnsi="Times New Roman" w:cs="Times New Roman"/>
          <w:b/>
          <w:bCs/>
          <w:sz w:val="24"/>
          <w:szCs w:val="24"/>
        </w:rPr>
        <w:t>A Mixed-Methods Cross-Sectional Study</w:t>
      </w:r>
    </w:p>
    <w:p w14:paraId="5CEC3DB1" w14:textId="77777777" w:rsidR="00724233" w:rsidRDefault="00724233">
      <w:pPr>
        <w:spacing w:after="0" w:line="480" w:lineRule="auto"/>
        <w:jc w:val="both"/>
        <w:rPr>
          <w:rFonts w:ascii="Times New Roman" w:hAnsi="Times New Roman" w:cs="Times New Roman"/>
          <w:b/>
          <w:sz w:val="24"/>
          <w:szCs w:val="24"/>
        </w:rPr>
      </w:pPr>
    </w:p>
    <w:p w14:paraId="05CE3373" w14:textId="77777777" w:rsidR="00266919" w:rsidRDefault="00266919">
      <w:pPr>
        <w:spacing w:after="0" w:line="480" w:lineRule="auto"/>
        <w:jc w:val="both"/>
        <w:rPr>
          <w:rFonts w:ascii="Times New Roman" w:hAnsi="Times New Roman" w:cs="Times New Roman"/>
          <w:b/>
          <w:sz w:val="24"/>
          <w:szCs w:val="24"/>
        </w:rPr>
      </w:pPr>
    </w:p>
    <w:p w14:paraId="373BDF18" w14:textId="282A9CCD"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Abstract</w:t>
      </w:r>
    </w:p>
    <w:p w14:paraId="0EEA678D" w14:textId="3C1790BB" w:rsidR="00724233" w:rsidRDefault="009F143C">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Background</w:t>
      </w:r>
      <w:r>
        <w:rPr>
          <w:rFonts w:ascii="Times New Roman" w:hAnsi="Times New Roman" w:cs="Times New Roman"/>
          <w:sz w:val="24"/>
          <w:szCs w:val="24"/>
        </w:rPr>
        <w:t xml:space="preserve">: </w:t>
      </w:r>
      <w:r w:rsidR="00FE24D8" w:rsidRPr="00FE24D8">
        <w:rPr>
          <w:rFonts w:ascii="Times New Roman" w:hAnsi="Times New Roman" w:cs="Times New Roman"/>
          <w:sz w:val="24"/>
          <w:szCs w:val="24"/>
        </w:rPr>
        <w:t>Millions of individuals throughout the world suffer with diabetes mellitus (DM),</w:t>
      </w:r>
      <w:r w:rsidR="00FE24D8">
        <w:rPr>
          <w:rFonts w:ascii="Times New Roman" w:hAnsi="Times New Roman" w:cs="Times New Roman"/>
          <w:sz w:val="24"/>
          <w:szCs w:val="24"/>
        </w:rPr>
        <w:t xml:space="preserve"> which is </w:t>
      </w:r>
      <w:r w:rsidR="00FE24D8" w:rsidRPr="00FE24D8">
        <w:rPr>
          <w:rFonts w:ascii="Times New Roman" w:hAnsi="Times New Roman" w:cs="Times New Roman"/>
          <w:sz w:val="24"/>
          <w:szCs w:val="24"/>
        </w:rPr>
        <w:t xml:space="preserve">a chronic and complex metabolic </w:t>
      </w:r>
      <w:proofErr w:type="spellStart"/>
      <w:r w:rsidR="00FE24D8" w:rsidRPr="00FE24D8">
        <w:rPr>
          <w:rFonts w:ascii="Times New Roman" w:hAnsi="Times New Roman" w:cs="Times New Roman"/>
          <w:sz w:val="24"/>
          <w:szCs w:val="24"/>
        </w:rPr>
        <w:t>condition.</w:t>
      </w:r>
      <w:r w:rsidR="00FE24D8">
        <w:rPr>
          <w:rFonts w:ascii="Times New Roman" w:hAnsi="Times New Roman" w:cs="Times New Roman"/>
          <w:sz w:val="24"/>
          <w:szCs w:val="24"/>
        </w:rPr>
        <w:t xml:space="preserve"> </w:t>
      </w:r>
      <w:proofErr w:type="spellEnd"/>
      <w:r w:rsidR="00FE24D8">
        <w:rPr>
          <w:rFonts w:ascii="Times New Roman" w:hAnsi="Times New Roman" w:cs="Times New Roman"/>
          <w:sz w:val="24"/>
          <w:szCs w:val="24"/>
        </w:rPr>
        <w:t xml:space="preserve">It </w:t>
      </w:r>
      <w:r w:rsidR="00FE24D8" w:rsidRPr="00FE24D8">
        <w:rPr>
          <w:rFonts w:ascii="Times New Roman" w:hAnsi="Times New Roman" w:cs="Times New Roman"/>
          <w:sz w:val="24"/>
          <w:szCs w:val="24"/>
        </w:rPr>
        <w:t>is one of the most prevalent non-communicable diseases in the world. Its rising prevalence puts a significant strain on patients and healthcare systems.</w:t>
      </w:r>
      <w:r w:rsidR="00FE24D8">
        <w:rPr>
          <w:rFonts w:ascii="Times New Roman" w:hAnsi="Times New Roman" w:cs="Times New Roman"/>
          <w:sz w:val="24"/>
          <w:szCs w:val="24"/>
        </w:rPr>
        <w:t xml:space="preserve"> T</w:t>
      </w:r>
      <w:r>
        <w:rPr>
          <w:rFonts w:ascii="Times New Roman" w:hAnsi="Times New Roman" w:cs="Times New Roman"/>
          <w:sz w:val="24"/>
          <w:szCs w:val="24"/>
        </w:rPr>
        <w:t xml:space="preserve">his study explored the coping strategies used by patients with type 2 diabetes mellitus attending selected secondary healthcare facilities in Kaduna State, Nigeria. </w:t>
      </w:r>
    </w:p>
    <w:p w14:paraId="519338CE" w14:textId="6F183624" w:rsidR="00724233" w:rsidRPr="00855652" w:rsidRDefault="009F143C">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Objective</w:t>
      </w:r>
      <w:r>
        <w:rPr>
          <w:rFonts w:ascii="Times New Roman" w:hAnsi="Times New Roman" w:cs="Times New Roman"/>
          <w:sz w:val="24"/>
          <w:szCs w:val="24"/>
        </w:rPr>
        <w:t>:</w:t>
      </w:r>
      <w:r w:rsidR="00FE24D8">
        <w:rPr>
          <w:rFonts w:ascii="Times New Roman" w:hAnsi="Times New Roman" w:cs="Times New Roman"/>
          <w:sz w:val="24"/>
          <w:szCs w:val="24"/>
        </w:rPr>
        <w:t xml:space="preserve"> </w:t>
      </w:r>
      <w:r w:rsidR="00855652" w:rsidRPr="00855652">
        <w:rPr>
          <w:rFonts w:ascii="Times New Roman" w:hAnsi="Times New Roman" w:cs="Times New Roman"/>
          <w:sz w:val="24"/>
          <w:szCs w:val="24"/>
        </w:rPr>
        <w:t>The aim was to identify dominant coping mechanisms and </w:t>
      </w:r>
      <w:r w:rsidR="00855652" w:rsidRPr="00855652">
        <w:rPr>
          <w:rFonts w:ascii="Times New Roman" w:hAnsi="Times New Roman" w:cs="Times New Roman"/>
          <w:bCs/>
          <w:sz w:val="24"/>
          <w:szCs w:val="24"/>
        </w:rPr>
        <w:t>explore their perceived role in self-management from the patients' perspective</w:t>
      </w:r>
      <w:r w:rsidRPr="00855652">
        <w:rPr>
          <w:rFonts w:ascii="Times New Roman" w:hAnsi="Times New Roman" w:cs="Times New Roman"/>
          <w:sz w:val="24"/>
          <w:szCs w:val="24"/>
        </w:rPr>
        <w:t xml:space="preserve">. </w:t>
      </w:r>
    </w:p>
    <w:p w14:paraId="17F7139A" w14:textId="7BC90BEE" w:rsidR="00724233" w:rsidRDefault="009F143C">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Methods</w:t>
      </w:r>
      <w:r>
        <w:rPr>
          <w:rFonts w:ascii="Times New Roman" w:hAnsi="Times New Roman" w:cs="Times New Roman"/>
          <w:sz w:val="24"/>
          <w:szCs w:val="24"/>
        </w:rPr>
        <w:t xml:space="preserve">: </w:t>
      </w:r>
      <w:r w:rsidR="005D7B1E" w:rsidRPr="005D7B1E">
        <w:rPr>
          <w:rFonts w:ascii="Times New Roman" w:hAnsi="Times New Roman" w:cs="Times New Roman"/>
          <w:sz w:val="24"/>
          <w:szCs w:val="24"/>
        </w:rPr>
        <w:t xml:space="preserve">A mixed-method descriptive cross-sectional design was used. A multi-stage sampling technique was employed to select 332 adults with T2DM from secondary healthcare facilities in Kaduna South and </w:t>
      </w:r>
      <w:proofErr w:type="spellStart"/>
      <w:r w:rsidR="005D7B1E" w:rsidRPr="005D7B1E">
        <w:rPr>
          <w:rFonts w:ascii="Times New Roman" w:hAnsi="Times New Roman" w:cs="Times New Roman"/>
          <w:sz w:val="24"/>
          <w:szCs w:val="24"/>
        </w:rPr>
        <w:t>Chikun</w:t>
      </w:r>
      <w:proofErr w:type="spellEnd"/>
      <w:r w:rsidR="005D7B1E" w:rsidRPr="005D7B1E">
        <w:rPr>
          <w:rFonts w:ascii="Times New Roman" w:hAnsi="Times New Roman" w:cs="Times New Roman"/>
          <w:sz w:val="24"/>
          <w:szCs w:val="24"/>
        </w:rPr>
        <w:t xml:space="preserve"> Local Government Areas. The mean age of participants was 49.5 years (SD ± 12.3), and the majority were female (56.0%). Data were collected using the Brief COPE Inventory and open-ended questions. Quantitative data were analysed using descriptive statistics only (frequencies, percentages, means), and qualitative responses were thematically analysed.</w:t>
      </w:r>
    </w:p>
    <w:p w14:paraId="7CB7A979" w14:textId="77777777" w:rsidR="00724233" w:rsidRDefault="009F143C">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Results</w:t>
      </w:r>
      <w:r>
        <w:rPr>
          <w:rFonts w:ascii="Times New Roman" w:hAnsi="Times New Roman" w:cs="Times New Roman"/>
          <w:sz w:val="24"/>
          <w:szCs w:val="24"/>
        </w:rPr>
        <w:t>: Six major coping themes were identified. The most common were Constructive Engagement (236; 71.1%), Adaptive Cognitive Reframing (218; 65.7%), Social Support (204; 61.4%), and Spiritual and Religious Anchoring (192; 57.8%). Less frequent were Emotional Regulation and Distraction (138; 41.6%) and Withdrawal and Maladaptive Responses (94; 28.3%). Adaptive strategies reflected active problem-solving, acceptance, and reliance on social and faith networks, while maladaptive responses included denial, self-blame, and disengagement from self-care.</w:t>
      </w:r>
    </w:p>
    <w:p w14:paraId="2E3EEEE3" w14:textId="2E92376F" w:rsidR="00724233" w:rsidRPr="00020602" w:rsidRDefault="009F143C">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Conclusion</w:t>
      </w:r>
      <w:r>
        <w:rPr>
          <w:rFonts w:ascii="Times New Roman" w:hAnsi="Times New Roman" w:cs="Times New Roman"/>
          <w:sz w:val="24"/>
          <w:szCs w:val="24"/>
        </w:rPr>
        <w:t>:</w:t>
      </w:r>
      <w:r w:rsidR="005D7B1E">
        <w:rPr>
          <w:rFonts w:ascii="Times New Roman" w:hAnsi="Times New Roman" w:cs="Times New Roman"/>
          <w:bCs/>
          <w:sz w:val="24"/>
          <w:szCs w:val="24"/>
        </w:rPr>
        <w:t xml:space="preserve"> </w:t>
      </w:r>
      <w:r w:rsidR="005D7B1E" w:rsidRPr="005D7B1E">
        <w:rPr>
          <w:rFonts w:ascii="Times New Roman" w:hAnsi="Times New Roman" w:cs="Times New Roman"/>
          <w:bCs/>
          <w:sz w:val="24"/>
          <w:szCs w:val="24"/>
        </w:rPr>
        <w:t>Most participants demonstrated adaptive coping strategies. However, the presence of maladaptive coping in nearly one-third of participants highlights the need for targeted psychosocial interventions in diabetes care.</w:t>
      </w:r>
    </w:p>
    <w:p w14:paraId="477FA284" w14:textId="0B32661F" w:rsidR="00724233" w:rsidRDefault="009F143C">
      <w:pPr>
        <w:spacing w:after="0" w:line="240" w:lineRule="auto"/>
        <w:jc w:val="both"/>
        <w:rPr>
          <w:rFonts w:ascii="Times New Roman" w:hAnsi="Times New Roman" w:cs="Times New Roman"/>
          <w:sz w:val="24"/>
          <w:szCs w:val="24"/>
        </w:rPr>
      </w:pPr>
      <w:r w:rsidRPr="00020602">
        <w:rPr>
          <w:rFonts w:ascii="Times New Roman" w:hAnsi="Times New Roman" w:cs="Times New Roman"/>
          <w:sz w:val="24"/>
          <w:szCs w:val="24"/>
        </w:rPr>
        <w:t>Keywords:</w:t>
      </w:r>
      <w:r w:rsidR="00FE24D8">
        <w:rPr>
          <w:rFonts w:ascii="Times New Roman" w:hAnsi="Times New Roman" w:cs="Times New Roman"/>
          <w:sz w:val="24"/>
          <w:szCs w:val="24"/>
        </w:rPr>
        <w:t xml:space="preserve"> </w:t>
      </w:r>
      <w:r>
        <w:rPr>
          <w:rFonts w:ascii="Times New Roman" w:hAnsi="Times New Roman" w:cs="Times New Roman"/>
          <w:sz w:val="24"/>
          <w:szCs w:val="24"/>
        </w:rPr>
        <w:t>Diabetes mellitus, Coping strategies, Nurse-led care, Psychosocial support, Nigeria.</w:t>
      </w:r>
    </w:p>
    <w:p w14:paraId="2DDFC428" w14:textId="77777777" w:rsidR="00724233" w:rsidRDefault="00724233">
      <w:pPr>
        <w:spacing w:after="0" w:line="480" w:lineRule="auto"/>
        <w:jc w:val="both"/>
        <w:rPr>
          <w:rFonts w:ascii="Times New Roman" w:hAnsi="Times New Roman" w:cs="Times New Roman"/>
          <w:b/>
          <w:sz w:val="24"/>
          <w:szCs w:val="24"/>
        </w:rPr>
      </w:pPr>
    </w:p>
    <w:p w14:paraId="7C74FA4F" w14:textId="77777777" w:rsidR="00724233" w:rsidRDefault="009F14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2EB3A95A" w14:textId="5D517EC1"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Diabetes mellitus (DM) is a chronic and multifactorial metabolic disease that significantly affects millions of people worldwide. It is characterized by persistent hyperglycemia due to either insulin deficiency, resistance to insulin action, or a combination of both </w:t>
      </w:r>
      <w:r w:rsidR="0009595E">
        <w:rPr>
          <w:rFonts w:ascii="Times New Roman" w:hAnsi="Times New Roman" w:cs="Times New Roman"/>
          <w:sz w:val="24"/>
          <w:szCs w:val="24"/>
        </w:rPr>
        <w:t>(</w:t>
      </w:r>
      <w:proofErr w:type="spellStart"/>
      <w:r w:rsidR="0009595E">
        <w:rPr>
          <w:rStyle w:val="normaltextrun"/>
          <w:rFonts w:ascii="Arial" w:hAnsi="Arial" w:cs="Arial"/>
          <w:color w:val="000000"/>
          <w:shd w:val="clear" w:color="auto" w:fill="FFFFFF"/>
        </w:rPr>
        <w:t>Roglic</w:t>
      </w:r>
      <w:proofErr w:type="spellEnd"/>
      <w:r w:rsidR="0009595E">
        <w:rPr>
          <w:rStyle w:val="normaltextrun"/>
          <w:rFonts w:ascii="Arial" w:hAnsi="Arial" w:cs="Arial"/>
          <w:color w:val="000000"/>
          <w:shd w:val="clear" w:color="auto" w:fill="FFFFFF"/>
        </w:rPr>
        <w:t>, 2016</w:t>
      </w:r>
      <w:proofErr w:type="gramStart"/>
      <w:r w:rsidR="0009595E">
        <w:rPr>
          <w:rStyle w:val="normaltextrun"/>
          <w:rFonts w:ascii="Arial" w:hAnsi="Arial" w:cs="Arial"/>
          <w:color w:val="000000"/>
          <w:shd w:val="clear" w:color="auto" w:fill="FFFFFF"/>
        </w:rPr>
        <w:t>).</w:t>
      </w:r>
      <w:r w:rsidR="0009595E">
        <w:rPr>
          <w:rStyle w:val="contentcontrolboundarysink"/>
          <w:rFonts w:ascii="Arial" w:hAnsi="Arial" w:cs="Arial"/>
          <w:color w:val="000000"/>
          <w:shd w:val="clear" w:color="auto" w:fill="FFFFFF"/>
        </w:rPr>
        <w:t>​</w:t>
      </w:r>
      <w:proofErr w:type="gramEnd"/>
      <w:r w:rsidR="0009595E">
        <w:rPr>
          <w:rStyle w:val="normaltextrun"/>
          <w:rFonts w:ascii="Arial" w:hAnsi="Arial" w:cs="Arial"/>
          <w:color w:val="000000"/>
          <w:shd w:val="clear" w:color="auto" w:fill="FFFFFF"/>
        </w:rPr>
        <w:t> </w:t>
      </w:r>
      <w:r w:rsidR="0009595E">
        <w:rPr>
          <w:rFonts w:ascii="Times New Roman" w:hAnsi="Times New Roman" w:cs="Times New Roman"/>
          <w:sz w:val="24"/>
          <w:szCs w:val="24"/>
        </w:rPr>
        <w:t xml:space="preserve"> </w:t>
      </w:r>
      <w:r>
        <w:rPr>
          <w:rFonts w:ascii="Times New Roman" w:hAnsi="Times New Roman" w:cs="Times New Roman"/>
          <w:sz w:val="24"/>
          <w:szCs w:val="24"/>
        </w:rPr>
        <w:t xml:space="preserve">DM, particularly Type 2 diabetes mellitus (T2DM), is among the most common non-communicable diseases globally, with a growing prevalence that places a heavy burden on both patients and healthcare systems. According to Cho et al. (2018), the number of individuals </w:t>
      </w:r>
      <w:r>
        <w:rPr>
          <w:rFonts w:ascii="Times New Roman" w:hAnsi="Times New Roman" w:cs="Times New Roman"/>
          <w:sz w:val="24"/>
          <w:szCs w:val="24"/>
        </w:rPr>
        <w:lastRenderedPageBreak/>
        <w:t>living with diabetes rose from 108 million in 1980 to over 422 million in 2014, with low- and middle-income countries like Nigeria witnessing a disproportionate share of this increase. This rise in prevalence is associated with urbanization, changing dietary habits, sedentary lifestyles, and limited access to preventive healthcare services.</w:t>
      </w:r>
    </w:p>
    <w:p w14:paraId="3D74B6E4" w14:textId="018C3663"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Effective management of diabetes demands more than pharmacological treatment it requires a holistic approach that incorporates lifestyle changes, including healthy dietary practices, physical activity, blood glucose monitoring, stress management, and strict adherence to medications </w:t>
      </w:r>
      <w:r w:rsidR="007E33A1">
        <w:rPr>
          <w:rFonts w:ascii="Times New Roman" w:hAnsi="Times New Roman" w:cs="Times New Roman"/>
          <w:sz w:val="24"/>
          <w:szCs w:val="24"/>
        </w:rPr>
        <w:t>(</w:t>
      </w:r>
      <w:proofErr w:type="spellStart"/>
      <w:r w:rsidR="007E33A1">
        <w:rPr>
          <w:rStyle w:val="normaltextrun"/>
          <w:rFonts w:ascii="Arial" w:hAnsi="Arial" w:cs="Arial"/>
          <w:color w:val="000000"/>
          <w:shd w:val="clear" w:color="auto" w:fill="FFFFFF"/>
        </w:rPr>
        <w:t>Hapunda</w:t>
      </w:r>
      <w:proofErr w:type="spellEnd"/>
      <w:r w:rsidR="007E33A1">
        <w:rPr>
          <w:rStyle w:val="normaltextrun"/>
          <w:rFonts w:ascii="Arial" w:hAnsi="Arial" w:cs="Arial"/>
          <w:color w:val="000000"/>
          <w:shd w:val="clear" w:color="auto" w:fill="FFFFFF"/>
        </w:rPr>
        <w:t xml:space="preserve">, </w:t>
      </w:r>
      <w:proofErr w:type="gramStart"/>
      <w:r w:rsidR="007E33A1">
        <w:rPr>
          <w:rStyle w:val="normaltextrun"/>
          <w:rFonts w:ascii="Arial" w:hAnsi="Arial" w:cs="Arial"/>
          <w:color w:val="000000"/>
          <w:shd w:val="clear" w:color="auto" w:fill="FFFFFF"/>
        </w:rPr>
        <w:t>2022)</w:t>
      </w:r>
      <w:r w:rsidR="007E33A1">
        <w:rPr>
          <w:rStyle w:val="contentcontrolboundarysink"/>
          <w:rFonts w:ascii="Arial" w:hAnsi="Arial" w:cs="Arial"/>
          <w:color w:val="000000"/>
          <w:shd w:val="clear" w:color="auto" w:fill="FFFFFF"/>
        </w:rPr>
        <w:t>​</w:t>
      </w:r>
      <w:proofErr w:type="gramEnd"/>
      <w:r w:rsidR="007E33A1">
        <w:rPr>
          <w:rFonts w:ascii="Times New Roman" w:hAnsi="Times New Roman" w:cs="Times New Roman"/>
          <w:sz w:val="24"/>
          <w:szCs w:val="24"/>
        </w:rPr>
        <w:t xml:space="preserve">. </w:t>
      </w:r>
      <w:r>
        <w:rPr>
          <w:rFonts w:ascii="Times New Roman" w:hAnsi="Times New Roman" w:cs="Times New Roman"/>
          <w:sz w:val="24"/>
          <w:szCs w:val="24"/>
        </w:rPr>
        <w:t xml:space="preserve">The constant vigilance and self-regulation required can lead to what is known as diabetes-related emotional distress, characterized by feelings of burnout, frustration, and helplessness associated with disease management </w:t>
      </w:r>
      <w:r w:rsidR="007E33A1">
        <w:rPr>
          <w:rFonts w:ascii="Times New Roman" w:hAnsi="Times New Roman" w:cs="Times New Roman"/>
          <w:sz w:val="24"/>
          <w:szCs w:val="24"/>
        </w:rPr>
        <w:t>(</w:t>
      </w:r>
      <w:proofErr w:type="spellStart"/>
      <w:r w:rsidR="007E33A1">
        <w:rPr>
          <w:rStyle w:val="normaltextrun"/>
          <w:rFonts w:ascii="Arial" w:hAnsi="Arial" w:cs="Arial"/>
          <w:color w:val="000000"/>
          <w:shd w:val="clear" w:color="auto" w:fill="FFFFFF"/>
        </w:rPr>
        <w:t>Hapunda</w:t>
      </w:r>
      <w:proofErr w:type="spellEnd"/>
      <w:r w:rsidR="007E33A1">
        <w:rPr>
          <w:rStyle w:val="normaltextrun"/>
          <w:rFonts w:ascii="Arial" w:hAnsi="Arial" w:cs="Arial"/>
          <w:color w:val="000000"/>
          <w:shd w:val="clear" w:color="auto" w:fill="FFFFFF"/>
        </w:rPr>
        <w:t xml:space="preserve">, </w:t>
      </w:r>
      <w:proofErr w:type="gramStart"/>
      <w:r w:rsidR="007E33A1">
        <w:rPr>
          <w:rStyle w:val="normaltextrun"/>
          <w:rFonts w:ascii="Arial" w:hAnsi="Arial" w:cs="Arial"/>
          <w:color w:val="000000"/>
          <w:shd w:val="clear" w:color="auto" w:fill="FFFFFF"/>
        </w:rPr>
        <w:t>2022)</w:t>
      </w:r>
      <w:r w:rsidR="007E33A1">
        <w:rPr>
          <w:rStyle w:val="contentcontrolboundarysink"/>
          <w:rFonts w:ascii="Arial" w:hAnsi="Arial" w:cs="Arial"/>
          <w:color w:val="000000"/>
          <w:shd w:val="clear" w:color="auto" w:fill="FFFFFF"/>
        </w:rPr>
        <w:t>​</w:t>
      </w:r>
      <w:proofErr w:type="gramEnd"/>
      <w:r w:rsidR="007E33A1">
        <w:rPr>
          <w:rStyle w:val="contentcontrolboundarysink"/>
          <w:rFonts w:ascii="Arial" w:hAnsi="Arial" w:cs="Arial"/>
          <w:color w:val="000000"/>
          <w:shd w:val="clear" w:color="auto" w:fill="FFFFFF"/>
        </w:rPr>
        <w:t>.</w:t>
      </w:r>
      <w:r w:rsidR="007E33A1">
        <w:rPr>
          <w:rFonts w:ascii="Times New Roman" w:hAnsi="Times New Roman" w:cs="Times New Roman"/>
          <w:sz w:val="24"/>
          <w:szCs w:val="24"/>
        </w:rPr>
        <w:t xml:space="preserve"> </w:t>
      </w:r>
      <w:r>
        <w:rPr>
          <w:rFonts w:ascii="Times New Roman" w:hAnsi="Times New Roman" w:cs="Times New Roman"/>
          <w:sz w:val="24"/>
          <w:szCs w:val="24"/>
        </w:rPr>
        <w:t xml:space="preserve">In developing countries like Nigeria, where health literacy is low and healthcare systems are under-resourced, these challenges are exacerbated. Patients are often left to navigate their conditions with minimal structured psychosocial support, which further amplifies the emotional and physical burden of the disease </w:t>
      </w:r>
      <w:r w:rsidR="00697081">
        <w:rPr>
          <w:rFonts w:ascii="Times New Roman" w:hAnsi="Times New Roman" w:cs="Times New Roman"/>
          <w:sz w:val="24"/>
          <w:szCs w:val="24"/>
        </w:rPr>
        <w:t>(</w:t>
      </w:r>
      <w:proofErr w:type="spellStart"/>
      <w:r w:rsidR="00697081">
        <w:rPr>
          <w:rStyle w:val="normaltextrun"/>
          <w:rFonts w:ascii="Arial" w:hAnsi="Arial" w:cs="Arial"/>
          <w:color w:val="000000"/>
          <w:shd w:val="clear" w:color="auto" w:fill="FFFFFF"/>
        </w:rPr>
        <w:t>Pekarčík</w:t>
      </w:r>
      <w:proofErr w:type="spellEnd"/>
      <w:r w:rsidR="00697081">
        <w:rPr>
          <w:rStyle w:val="normaltextrun"/>
          <w:rFonts w:ascii="Arial" w:hAnsi="Arial" w:cs="Arial"/>
          <w:color w:val="000000"/>
          <w:shd w:val="clear" w:color="auto" w:fill="FFFFFF"/>
        </w:rPr>
        <w:t> et al., 2025)</w:t>
      </w:r>
    </w:p>
    <w:p w14:paraId="41991076" w14:textId="65AB3400"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Coping strategies are the cognitive and behavioral efforts individuals use to manage internal or external stressors perceived as taxing or exceeding their resources </w:t>
      </w:r>
      <w:proofErr w:type="gramStart"/>
      <w:r w:rsidR="002D1976">
        <w:rPr>
          <w:rStyle w:val="contentcontrolboundarysink"/>
          <w:rFonts w:ascii="Arial" w:hAnsi="Arial" w:cs="Arial"/>
          <w:color w:val="000000"/>
        </w:rPr>
        <w:t>​</w:t>
      </w:r>
      <w:r w:rsidR="002D1976">
        <w:rPr>
          <w:rStyle w:val="normaltextrun"/>
          <w:rFonts w:ascii="Arial" w:hAnsi="Arial" w:cs="Arial"/>
          <w:color w:val="000000"/>
        </w:rPr>
        <w:t>(</w:t>
      </w:r>
      <w:proofErr w:type="gramEnd"/>
      <w:r w:rsidR="002D1976">
        <w:rPr>
          <w:rStyle w:val="normaltextrun"/>
          <w:rFonts w:ascii="Arial" w:hAnsi="Arial" w:cs="Arial"/>
          <w:color w:val="000000"/>
        </w:rPr>
        <w:t>Folkman, 2013)</w:t>
      </w:r>
      <w:r w:rsidR="002D1976">
        <w:rPr>
          <w:rStyle w:val="contentcontrolboundarysink"/>
          <w:rFonts w:ascii="Arial" w:hAnsi="Arial" w:cs="Arial"/>
          <w:color w:val="000000"/>
        </w:rPr>
        <w:t>​</w:t>
      </w:r>
      <w:r w:rsidR="002D1976">
        <w:rPr>
          <w:rStyle w:val="normaltextrun"/>
          <w:rFonts w:ascii="Arial" w:hAnsi="Arial" w:cs="Arial"/>
          <w:color w:val="000000"/>
        </w:rPr>
        <w:t xml:space="preserve">. </w:t>
      </w:r>
      <w:r>
        <w:rPr>
          <w:rFonts w:ascii="Times New Roman" w:hAnsi="Times New Roman" w:cs="Times New Roman"/>
          <w:sz w:val="24"/>
          <w:szCs w:val="24"/>
        </w:rPr>
        <w:t xml:space="preserve">In the context of chronic illnesses like diabetes, coping mechanisms play a vital role in determining how individuals respond to the illness, adhere to treatment regimens, and sustain quality of life. Broadly, coping strategies can be categorized into adaptive (e.g., problem-solving, acceptance, seeking support) and maladaptive (e.g., denial, avoidance, self-blame) methods (McCoy &amp; Theeke, 2019). Adaptive coping has been linked to better health outcomes, including improved glycemic control, medication adherence, and emotional resilience </w:t>
      </w:r>
      <w:proofErr w:type="gramStart"/>
      <w:r w:rsidR="0009595E">
        <w:rPr>
          <w:rStyle w:val="normaltextrun"/>
          <w:rFonts w:ascii="Arial" w:hAnsi="Arial" w:cs="Arial"/>
          <w:color w:val="000000"/>
          <w:bdr w:val="none" w:sz="0" w:space="0" w:color="auto" w:frame="1"/>
        </w:rPr>
        <w:t>​(</w:t>
      </w:r>
      <w:proofErr w:type="gramEnd"/>
      <w:r w:rsidR="0009595E">
        <w:rPr>
          <w:rStyle w:val="normaltextrun"/>
          <w:rFonts w:ascii="Arial" w:hAnsi="Arial" w:cs="Arial"/>
          <w:color w:val="000000"/>
          <w:bdr w:val="none" w:sz="0" w:space="0" w:color="auto" w:frame="1"/>
        </w:rPr>
        <w:t>Snoek et al., 2015)</w:t>
      </w:r>
      <w:r w:rsidR="0009595E">
        <w:rPr>
          <w:rFonts w:ascii="Times New Roman" w:hAnsi="Times New Roman" w:cs="Times New Roman"/>
          <w:sz w:val="24"/>
          <w:szCs w:val="24"/>
        </w:rPr>
        <w:t xml:space="preserve"> </w:t>
      </w:r>
      <w:r>
        <w:rPr>
          <w:rFonts w:ascii="Times New Roman" w:hAnsi="Times New Roman" w:cs="Times New Roman"/>
          <w:sz w:val="24"/>
          <w:szCs w:val="24"/>
        </w:rPr>
        <w:t>Conversely, maladaptive coping correlates with psychological distress, poor metabolic control, and increased diabetes complications.</w:t>
      </w:r>
    </w:p>
    <w:p w14:paraId="28194B39" w14:textId="2748E7F4"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Nigeria, cultural values, religious beliefs, family dynamics, and socioeconomic constraints heavily influence how patients cope with chronic diseases. For example, many patients rely on spiritual and religious coping, such as prayer or belief in divine healing, while others may turn to their family or community for emotional and material support </w:t>
      </w:r>
      <w:r w:rsidR="00484F06">
        <w:rPr>
          <w:rStyle w:val="normaltextrun"/>
          <w:rFonts w:ascii="Arial" w:hAnsi="Arial" w:cs="Arial"/>
          <w:color w:val="000000"/>
          <w:shd w:val="clear" w:color="auto" w:fill="FFFFFF"/>
        </w:rPr>
        <w:t xml:space="preserve">(Mesquita et al., </w:t>
      </w:r>
      <w:proofErr w:type="gramStart"/>
      <w:r w:rsidR="00484F06">
        <w:rPr>
          <w:rStyle w:val="normaltextrun"/>
          <w:rFonts w:ascii="Arial" w:hAnsi="Arial" w:cs="Arial"/>
          <w:color w:val="000000"/>
          <w:shd w:val="clear" w:color="auto" w:fill="FFFFFF"/>
        </w:rPr>
        <w:t>2025)</w:t>
      </w:r>
      <w:r w:rsidR="00484F06">
        <w:rPr>
          <w:rStyle w:val="contentcontrolboundarysink"/>
          <w:rFonts w:ascii="Arial" w:hAnsi="Arial" w:cs="Arial"/>
          <w:color w:val="000000"/>
          <w:shd w:val="clear" w:color="auto" w:fill="FFFFFF"/>
        </w:rPr>
        <w:t>​</w:t>
      </w:r>
      <w:proofErr w:type="gramEnd"/>
      <w:r w:rsidR="00484F06">
        <w:rPr>
          <w:rStyle w:val="normaltextrun"/>
          <w:rFonts w:ascii="Arial" w:hAnsi="Arial" w:cs="Arial"/>
          <w:color w:val="000000"/>
          <w:shd w:val="clear" w:color="auto" w:fill="FFFFFF"/>
        </w:rPr>
        <w:t> </w:t>
      </w:r>
      <w:r w:rsidR="00484F06">
        <w:rPr>
          <w:rFonts w:ascii="Times New Roman" w:hAnsi="Times New Roman" w:cs="Times New Roman"/>
          <w:sz w:val="24"/>
          <w:szCs w:val="24"/>
        </w:rPr>
        <w:t xml:space="preserve"> </w:t>
      </w:r>
      <w:r>
        <w:rPr>
          <w:rFonts w:ascii="Times New Roman" w:hAnsi="Times New Roman" w:cs="Times New Roman"/>
          <w:sz w:val="24"/>
          <w:szCs w:val="24"/>
        </w:rPr>
        <w:t>These culturally rooted coping mechanisms can be beneficial but may also delay medical treatment or reduce adherence to evidence-based self-care practices if not integrated properly into healthcare delivery. The absence of structured psychological counseling in many health facilities means those patients often adopt coping strategies informally, which may be inadequate or maladaptive in the long term. It is therefore crucial to understand the specific coping strategies used by patients in different contexts, including the underlying motivations and barriers that influence their choices.</w:t>
      </w:r>
    </w:p>
    <w:p w14:paraId="6D6780B4" w14:textId="6290D5CF"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Given the increasing burden of diabetes and the role of coping in self-management, it becomes essential to investigate and understand how patients in Nigeria particularly in resource-constrained environments such as Kaduna State cope with the daily demands of the disease. </w:t>
      </w:r>
      <w:r w:rsidR="005D7B1E" w:rsidRPr="005D7B1E">
        <w:rPr>
          <w:rFonts w:ascii="Times New Roman" w:hAnsi="Times New Roman" w:cs="Times New Roman"/>
          <w:sz w:val="24"/>
          <w:szCs w:val="24"/>
        </w:rPr>
        <w:t xml:space="preserve">This study aims to assess the coping strategies used by diabetes patients attending selected secondary healthcare facilities. By identifying predominant coping mechanisms, the research will describe the </w:t>
      </w:r>
      <w:proofErr w:type="spellStart"/>
      <w:r w:rsidR="005D7B1E" w:rsidRPr="005D7B1E">
        <w:rPr>
          <w:rFonts w:ascii="Times New Roman" w:hAnsi="Times New Roman" w:cs="Times New Roman"/>
          <w:sz w:val="24"/>
          <w:szCs w:val="24"/>
        </w:rPr>
        <w:t>behavioral</w:t>
      </w:r>
      <w:proofErr w:type="spellEnd"/>
      <w:r w:rsidR="005D7B1E" w:rsidRPr="005D7B1E">
        <w:rPr>
          <w:rFonts w:ascii="Times New Roman" w:hAnsi="Times New Roman" w:cs="Times New Roman"/>
          <w:sz w:val="24"/>
          <w:szCs w:val="24"/>
        </w:rPr>
        <w:t xml:space="preserve"> and cognitive patterns employed to manage the illness, providing a basis for future psychosocial interventions.</w:t>
      </w:r>
      <w:r w:rsidR="005D7B1E">
        <w:rPr>
          <w:rFonts w:ascii="Times New Roman" w:hAnsi="Times New Roman" w:cs="Times New Roman"/>
          <w:sz w:val="24"/>
          <w:szCs w:val="24"/>
        </w:rPr>
        <w:t xml:space="preserve"> </w:t>
      </w:r>
      <w:r>
        <w:rPr>
          <w:rFonts w:ascii="Times New Roman" w:hAnsi="Times New Roman" w:cs="Times New Roman"/>
          <w:sz w:val="24"/>
          <w:szCs w:val="24"/>
        </w:rPr>
        <w:t>These insights can serve as a foundation for policy and practice reforms geared toward culturally competent and psychosocially supportive diabetes care in Nigeria.</w:t>
      </w:r>
    </w:p>
    <w:p w14:paraId="36C15FAB" w14:textId="77777777" w:rsidR="00724233" w:rsidRDefault="009F14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Methods</w:t>
      </w:r>
    </w:p>
    <w:p w14:paraId="337FFAB7" w14:textId="77777777" w:rsidR="00724233" w:rsidRDefault="009F14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Design: </w:t>
      </w:r>
      <w:r>
        <w:rPr>
          <w:rFonts w:ascii="Times New Roman" w:hAnsi="Times New Roman" w:cs="Times New Roman"/>
          <w:sz w:val="24"/>
          <w:szCs w:val="24"/>
        </w:rPr>
        <w:t xml:space="preserve">This study employed a mixed-method descriptive cross-sectional design to assess coping strategies utilized by individuals living with diabetes mellitus (DM) in selected secondary healthcare facilities in Kaduna State, Nigeria. This design was chosen because it allows for a comprehensive “snapshot” of prevailing coping behaviors at a specific point in </w:t>
      </w:r>
      <w:r>
        <w:rPr>
          <w:rFonts w:ascii="Times New Roman" w:hAnsi="Times New Roman" w:cs="Times New Roman"/>
          <w:sz w:val="24"/>
          <w:szCs w:val="24"/>
        </w:rPr>
        <w:lastRenderedPageBreak/>
        <w:t>time, enabling the description of patterns and variations without manipulating the study environment.</w:t>
      </w:r>
    </w:p>
    <w:p w14:paraId="4FC1FEEB" w14:textId="77777777"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Setting:</w:t>
      </w:r>
      <w:r>
        <w:rPr>
          <w:rFonts w:ascii="Times New Roman" w:hAnsi="Times New Roman" w:cs="Times New Roman"/>
          <w:sz w:val="24"/>
          <w:szCs w:val="24"/>
        </w:rPr>
        <w:t xml:space="preserve"> The study was conducted in secondary healthcare facilities located in Kaduna South and Chikun Local Government Areas (LGAs) of Kaduna State, Nigeria. These areas were selected to ensure representation from both urban and peri-urban contexts, reflecting diverse sociocultural and economic conditions that may influence coping strategies.</w:t>
      </w:r>
    </w:p>
    <w:p w14:paraId="605D5F4D" w14:textId="77777777"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Participants:</w:t>
      </w:r>
      <w:r>
        <w:rPr>
          <w:rFonts w:ascii="Times New Roman" w:hAnsi="Times New Roman" w:cs="Times New Roman"/>
          <w:sz w:val="24"/>
          <w:szCs w:val="24"/>
        </w:rPr>
        <w:t xml:space="preserve"> The study population comprised adult patients aged 18 years and above with a confirmed diagnosis of type 2 diabetes mellitus (T2DM) for at least six months who were receiving care at the selected facilities. Eligible participants were those who were mentally and physically capable of responding to questions and willing to provide informed consent, while patients with severe cognitive impairment or critical illness that impaired communication were excluded to ensure data quality and ethical compliance.</w:t>
      </w:r>
    </w:p>
    <w:p w14:paraId="791DF652" w14:textId="77777777" w:rsidR="00724233" w:rsidRDefault="009F14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p w14:paraId="1DCCA3AA" w14:textId="084BFEDA" w:rsidR="009F2049" w:rsidRPr="009F2049" w:rsidRDefault="009F2049">
      <w:pPr>
        <w:spacing w:after="0" w:line="480" w:lineRule="auto"/>
        <w:jc w:val="both"/>
        <w:rPr>
          <w:rFonts w:ascii="Times New Roman" w:hAnsi="Times New Roman" w:cs="Times New Roman"/>
          <w:sz w:val="24"/>
          <w:szCs w:val="24"/>
        </w:rPr>
      </w:pPr>
      <w:r w:rsidRPr="009F2049">
        <w:rPr>
          <w:rFonts w:ascii="Times New Roman" w:hAnsi="Times New Roman" w:cs="Times New Roman"/>
          <w:b/>
          <w:sz w:val="24"/>
          <w:szCs w:val="24"/>
        </w:rPr>
        <w:t>Quantitative variables:</w:t>
      </w:r>
      <w:r w:rsidRPr="009F2049">
        <w:rPr>
          <w:rFonts w:ascii="Times New Roman" w:hAnsi="Times New Roman" w:cs="Times New Roman"/>
          <w:sz w:val="24"/>
          <w:szCs w:val="24"/>
        </w:rPr>
        <w:t xml:space="preserve"> Coping strategies (categorized into problem-focused, emotion-focused, and maladaptive/avoidance strategies based on the Brief COPE Inventory scoring) and</w:t>
      </w:r>
      <w:r>
        <w:rPr>
          <w:rFonts w:ascii="Times New Roman" w:hAnsi="Times New Roman" w:cs="Times New Roman"/>
          <w:sz w:val="24"/>
          <w:szCs w:val="24"/>
        </w:rPr>
        <w:t xml:space="preserve"> </w:t>
      </w:r>
      <w:r w:rsidRPr="009F2049">
        <w:rPr>
          <w:rFonts w:ascii="Times New Roman" w:hAnsi="Times New Roman" w:cs="Times New Roman"/>
          <w:sz w:val="24"/>
          <w:szCs w:val="24"/>
        </w:rPr>
        <w:t>sociodemographic characteristics (age, gender, marital status, educational level, employment status, duration since diagnosis).</w:t>
      </w:r>
    </w:p>
    <w:p w14:paraId="71D5F5A0" w14:textId="44D440F4" w:rsidR="00724233" w:rsidRDefault="009F14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Qualitative variables: </w:t>
      </w:r>
      <w:r>
        <w:rPr>
          <w:rFonts w:ascii="Times New Roman" w:hAnsi="Times New Roman" w:cs="Times New Roman"/>
          <w:sz w:val="24"/>
          <w:szCs w:val="24"/>
        </w:rPr>
        <w:t>Narrative accounts of coping behaviors, motivations, and challenges in diabetes self-management, obtained from open-ended questionnaire items.</w:t>
      </w:r>
    </w:p>
    <w:p w14:paraId="383CF782" w14:textId="77777777" w:rsidR="00724233" w:rsidRDefault="009F14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Sample Size: </w:t>
      </w:r>
      <w:r>
        <w:rPr>
          <w:rFonts w:ascii="Times New Roman" w:hAnsi="Times New Roman" w:cs="Times New Roman"/>
          <w:sz w:val="24"/>
          <w:szCs w:val="24"/>
        </w:rPr>
        <w:t>Sample size was determined using Cochran’s formula for prevalence studies, adjusted for anticipated non-response. The final sample included 332 participants.</w:t>
      </w:r>
    </w:p>
    <w:p w14:paraId="15788426" w14:textId="77777777" w:rsidR="00D36E44" w:rsidRPr="00D36E44" w:rsidRDefault="00D36E44" w:rsidP="00D36E44">
      <w:pPr>
        <w:spacing w:after="0" w:line="480" w:lineRule="auto"/>
        <w:jc w:val="both"/>
        <w:rPr>
          <w:rFonts w:ascii="Times New Roman" w:hAnsi="Times New Roman" w:cs="Times New Roman"/>
          <w:sz w:val="24"/>
          <w:szCs w:val="24"/>
          <w:lang w:val="en-US"/>
        </w:rPr>
      </w:pPr>
      <w:r w:rsidRPr="00D36E44">
        <w:rPr>
          <w:rFonts w:ascii="Times New Roman" w:hAnsi="Times New Roman" w:cs="Times New Roman"/>
          <w:b/>
          <w:bCs/>
          <w:sz w:val="24"/>
          <w:szCs w:val="24"/>
          <w:lang w:val="en-US"/>
        </w:rPr>
        <w:t>Data Measurement/Sources:</w:t>
      </w:r>
      <w:r w:rsidRPr="00D36E44">
        <w:rPr>
          <w:rFonts w:ascii="Times New Roman" w:hAnsi="Times New Roman" w:cs="Times New Roman"/>
          <w:b/>
          <w:sz w:val="24"/>
          <w:szCs w:val="24"/>
          <w:lang w:val="en-US"/>
        </w:rPr>
        <w:t> </w:t>
      </w:r>
      <w:r w:rsidRPr="00D36E44">
        <w:rPr>
          <w:rFonts w:ascii="Times New Roman" w:hAnsi="Times New Roman" w:cs="Times New Roman"/>
          <w:sz w:val="24"/>
          <w:szCs w:val="24"/>
          <w:lang w:val="en-US"/>
        </w:rPr>
        <w:t xml:space="preserve">Data were collected using a structured, interviewer-administered questionnaire that included both closed and open-ended items. The Brief COPE Inventory (Carver, 1997) was used to measure coping strategies. This tool consists of 28 items covering 14 coping subscales (e.g., active coping, planning, emotional support, denial, </w:t>
      </w:r>
      <w:r w:rsidRPr="00D36E44">
        <w:rPr>
          <w:rFonts w:ascii="Times New Roman" w:hAnsi="Times New Roman" w:cs="Times New Roman"/>
          <w:sz w:val="24"/>
          <w:szCs w:val="24"/>
          <w:lang w:val="en-US"/>
        </w:rPr>
        <w:lastRenderedPageBreak/>
        <w:t>substance use, behavioral disengagement). Responses were recorded on a 4-point Likert scale ranging from "I haven't been doing this at all" (1) to "I've been doing this a lot" (4). The tool was pre-tested in a similar population outside the study area for clarity, reliability, and cultural relevance, yielding a Cronbach's alpha score of 0.81.</w:t>
      </w:r>
    </w:p>
    <w:p w14:paraId="663C3020" w14:textId="197559C6" w:rsidR="00D36E44" w:rsidRPr="00D36E44" w:rsidRDefault="00D36E44">
      <w:pPr>
        <w:spacing w:after="0" w:line="480" w:lineRule="auto"/>
        <w:jc w:val="both"/>
        <w:rPr>
          <w:rFonts w:ascii="Times New Roman" w:hAnsi="Times New Roman" w:cs="Times New Roman"/>
          <w:sz w:val="24"/>
          <w:szCs w:val="24"/>
          <w:lang w:val="en-US"/>
        </w:rPr>
      </w:pPr>
      <w:r w:rsidRPr="00D36E44">
        <w:rPr>
          <w:rFonts w:ascii="Times New Roman" w:hAnsi="Times New Roman" w:cs="Times New Roman"/>
          <w:b/>
          <w:bCs/>
          <w:sz w:val="24"/>
          <w:szCs w:val="24"/>
          <w:lang w:val="en-US"/>
        </w:rPr>
        <w:t>Qualitative Data Collection:</w:t>
      </w:r>
      <w:r w:rsidRPr="00D36E44">
        <w:rPr>
          <w:rFonts w:ascii="Times New Roman" w:hAnsi="Times New Roman" w:cs="Times New Roman"/>
          <w:b/>
          <w:sz w:val="24"/>
          <w:szCs w:val="24"/>
          <w:lang w:val="en-US"/>
        </w:rPr>
        <w:t> </w:t>
      </w:r>
      <w:r w:rsidRPr="00D36E44">
        <w:rPr>
          <w:rFonts w:ascii="Times New Roman" w:hAnsi="Times New Roman" w:cs="Times New Roman"/>
          <w:sz w:val="24"/>
          <w:szCs w:val="24"/>
          <w:lang w:val="en-US"/>
        </w:rPr>
        <w:t>To gather in-depth narrative data, a semi-structured interview guide comprising five open-ended questions was developed </w:t>
      </w:r>
      <w:r w:rsidRPr="00D36E44">
        <w:rPr>
          <w:rFonts w:ascii="Times New Roman" w:hAnsi="Times New Roman" w:cs="Times New Roman"/>
          <w:i/>
          <w:iCs/>
          <w:sz w:val="24"/>
          <w:szCs w:val="24"/>
          <w:lang w:val="en-US"/>
        </w:rPr>
        <w:t>de novo</w:t>
      </w:r>
      <w:r w:rsidRPr="00D36E44">
        <w:rPr>
          <w:rFonts w:ascii="Times New Roman" w:hAnsi="Times New Roman" w:cs="Times New Roman"/>
          <w:sz w:val="24"/>
          <w:szCs w:val="24"/>
          <w:lang w:val="en-US"/>
        </w:rPr>
        <w:t> by the research team. The guide was designed to probe areas not fully captured by the Brief COPE, focusing on personal experiences, motivations, challenges, and the contextual influences (e.g., family, faith, culture) on coping. Example questions included: </w:t>
      </w:r>
      <w:r w:rsidRPr="00D36E44">
        <w:rPr>
          <w:rFonts w:ascii="Times New Roman" w:hAnsi="Times New Roman" w:cs="Times New Roman"/>
          <w:i/>
          <w:iCs/>
          <w:sz w:val="24"/>
          <w:szCs w:val="24"/>
          <w:lang w:val="en-US"/>
        </w:rPr>
        <w:t>"Can you describe how you manage the stress or demands of living with diabetes in your daily life?"</w:t>
      </w:r>
      <w:r w:rsidRPr="00D36E44">
        <w:rPr>
          <w:rFonts w:ascii="Times New Roman" w:hAnsi="Times New Roman" w:cs="Times New Roman"/>
          <w:sz w:val="24"/>
          <w:szCs w:val="24"/>
          <w:lang w:val="en-US"/>
        </w:rPr>
        <w:t> and </w:t>
      </w:r>
      <w:r w:rsidRPr="00D36E44">
        <w:rPr>
          <w:rFonts w:ascii="Times New Roman" w:hAnsi="Times New Roman" w:cs="Times New Roman"/>
          <w:i/>
          <w:iCs/>
          <w:sz w:val="24"/>
          <w:szCs w:val="24"/>
          <w:lang w:val="en-US"/>
        </w:rPr>
        <w:t>"What or who helps you the most in dealing with your condition?"</w:t>
      </w:r>
      <w:r w:rsidRPr="00D36E44">
        <w:rPr>
          <w:rFonts w:ascii="Times New Roman" w:hAnsi="Times New Roman" w:cs="Times New Roman"/>
          <w:sz w:val="24"/>
          <w:szCs w:val="24"/>
          <w:lang w:val="en-US"/>
        </w:rPr>
        <w:t> Interviews were conducted in </w:t>
      </w:r>
      <w:r w:rsidRPr="00D36E44">
        <w:rPr>
          <w:rFonts w:ascii="Times New Roman" w:hAnsi="Times New Roman" w:cs="Times New Roman"/>
          <w:bCs/>
          <w:sz w:val="24"/>
          <w:szCs w:val="24"/>
          <w:lang w:val="en-US"/>
        </w:rPr>
        <w:t>Hausa</w:t>
      </w:r>
      <w:r w:rsidRPr="00D36E44">
        <w:rPr>
          <w:rFonts w:ascii="Times New Roman" w:hAnsi="Times New Roman" w:cs="Times New Roman"/>
          <w:sz w:val="24"/>
          <w:szCs w:val="24"/>
          <w:lang w:val="en-US"/>
        </w:rPr>
        <w:t>, the primary local language, by trained, fluent research assistants. All qualitative responses were audio-recorded with consent, transcribed verbatim in Hausa, and subsequently translated into English for analysis. </w:t>
      </w:r>
      <w:r w:rsidRPr="00D36E44">
        <w:rPr>
          <w:rFonts w:ascii="Times New Roman" w:hAnsi="Times New Roman" w:cs="Times New Roman"/>
          <w:bCs/>
          <w:sz w:val="24"/>
          <w:szCs w:val="24"/>
          <w:lang w:val="en-US"/>
        </w:rPr>
        <w:t>Translation was performed independently by two bilingual team members</w:t>
      </w:r>
      <w:r w:rsidRPr="00D36E44">
        <w:rPr>
          <w:rFonts w:ascii="Times New Roman" w:hAnsi="Times New Roman" w:cs="Times New Roman"/>
          <w:sz w:val="24"/>
          <w:szCs w:val="24"/>
          <w:lang w:val="en-US"/>
        </w:rPr>
        <w:t>, with discrepancies resolved through discussion to ensure conceptual accuracy and consistency.</w:t>
      </w:r>
    </w:p>
    <w:p w14:paraId="32C56094" w14:textId="2F415880" w:rsidR="00D36E44" w:rsidRPr="00D36E44" w:rsidRDefault="009F143C" w:rsidP="00D36E44">
      <w:pPr>
        <w:spacing w:after="0" w:line="480" w:lineRule="auto"/>
        <w:jc w:val="both"/>
        <w:rPr>
          <w:rFonts w:ascii="Times New Roman" w:hAnsi="Times New Roman" w:cs="Times New Roman"/>
          <w:sz w:val="24"/>
          <w:szCs w:val="24"/>
          <w:lang w:val="en-US"/>
        </w:rPr>
      </w:pPr>
      <w:r>
        <w:rPr>
          <w:rFonts w:ascii="Times New Roman" w:hAnsi="Times New Roman" w:cs="Times New Roman"/>
          <w:b/>
          <w:sz w:val="24"/>
          <w:szCs w:val="24"/>
        </w:rPr>
        <w:t>Statistics:</w:t>
      </w:r>
      <w:r>
        <w:rPr>
          <w:rFonts w:ascii="Times New Roman" w:hAnsi="Times New Roman" w:cs="Times New Roman"/>
          <w:sz w:val="24"/>
          <w:szCs w:val="24"/>
        </w:rPr>
        <w:t xml:space="preserve"> </w:t>
      </w:r>
      <w:r w:rsidR="009F2049" w:rsidRPr="009F2049">
        <w:rPr>
          <w:rFonts w:ascii="Times New Roman" w:hAnsi="Times New Roman" w:cs="Times New Roman"/>
          <w:sz w:val="24"/>
          <w:szCs w:val="24"/>
        </w:rPr>
        <w:t xml:space="preserve">Quantitative data were </w:t>
      </w:r>
      <w:proofErr w:type="spellStart"/>
      <w:r w:rsidR="009F2049" w:rsidRPr="009F2049">
        <w:rPr>
          <w:rFonts w:ascii="Times New Roman" w:hAnsi="Times New Roman" w:cs="Times New Roman"/>
          <w:sz w:val="24"/>
          <w:szCs w:val="24"/>
        </w:rPr>
        <w:t>analyzed</w:t>
      </w:r>
      <w:proofErr w:type="spellEnd"/>
      <w:r w:rsidR="009F2049" w:rsidRPr="009F2049">
        <w:rPr>
          <w:rFonts w:ascii="Times New Roman" w:hAnsi="Times New Roman" w:cs="Times New Roman"/>
          <w:sz w:val="24"/>
          <w:szCs w:val="24"/>
        </w:rPr>
        <w:t xml:space="preserve"> using SPSS version 25.0. Descriptive statistics (frequencies, percentages, means) were used to summarize sociodemographic characteristics and the prevalence of coping strategies. Coping domains were categorized based on Brief COPE scoring thresholds. This study was limited to descriptive analysis; no inferential statistical tests </w:t>
      </w:r>
      <w:proofErr w:type="gramStart"/>
      <w:r w:rsidR="009F2049" w:rsidRPr="009F2049">
        <w:rPr>
          <w:rFonts w:ascii="Times New Roman" w:hAnsi="Times New Roman" w:cs="Times New Roman"/>
          <w:sz w:val="24"/>
          <w:szCs w:val="24"/>
        </w:rPr>
        <w:t>( Chi</w:t>
      </w:r>
      <w:proofErr w:type="gramEnd"/>
      <w:r w:rsidR="009F2049" w:rsidRPr="009F2049">
        <w:rPr>
          <w:rFonts w:ascii="Times New Roman" w:hAnsi="Times New Roman" w:cs="Times New Roman"/>
          <w:sz w:val="24"/>
          <w:szCs w:val="24"/>
        </w:rPr>
        <w:t>-square, t-tests, regression) were performed to determine associations or relationships between sociodemographic factors and coping strategies.</w:t>
      </w:r>
    </w:p>
    <w:p w14:paraId="5916E98D" w14:textId="77777777" w:rsidR="00D36E44" w:rsidRPr="00D36E44" w:rsidRDefault="00D36E44" w:rsidP="00D36E44">
      <w:pPr>
        <w:spacing w:after="0" w:line="480" w:lineRule="auto"/>
        <w:jc w:val="both"/>
        <w:rPr>
          <w:rFonts w:ascii="Times New Roman" w:hAnsi="Times New Roman" w:cs="Times New Roman"/>
          <w:sz w:val="24"/>
          <w:szCs w:val="24"/>
          <w:lang w:val="en-US"/>
        </w:rPr>
      </w:pPr>
      <w:r w:rsidRPr="00D36E44">
        <w:rPr>
          <w:rFonts w:ascii="Times New Roman" w:hAnsi="Times New Roman" w:cs="Times New Roman"/>
          <w:b/>
          <w:bCs/>
          <w:sz w:val="24"/>
          <w:szCs w:val="24"/>
          <w:lang w:val="en-US"/>
        </w:rPr>
        <w:t>Qualitative Data Analysis:</w:t>
      </w:r>
      <w:r w:rsidRPr="00D36E44">
        <w:rPr>
          <w:rFonts w:ascii="Times New Roman" w:hAnsi="Times New Roman" w:cs="Times New Roman"/>
          <w:sz w:val="24"/>
          <w:szCs w:val="24"/>
          <w:lang w:val="en-US"/>
        </w:rPr>
        <w:t> Qualitative data were analyzed using thematic analysis following the framework by Braun and Clarke (2006). The analysis was conducted using </w:t>
      </w:r>
      <w:r w:rsidRPr="00D36E44">
        <w:rPr>
          <w:rFonts w:ascii="Times New Roman" w:hAnsi="Times New Roman" w:cs="Times New Roman"/>
          <w:b/>
          <w:bCs/>
          <w:sz w:val="24"/>
          <w:szCs w:val="24"/>
          <w:lang w:val="en-US"/>
        </w:rPr>
        <w:t>Microsoft Excel</w:t>
      </w:r>
      <w:r w:rsidRPr="00D36E44">
        <w:rPr>
          <w:rFonts w:ascii="Times New Roman" w:hAnsi="Times New Roman" w:cs="Times New Roman"/>
          <w:sz w:val="24"/>
          <w:szCs w:val="24"/>
          <w:lang w:val="en-US"/>
        </w:rPr>
        <w:t> to manage codes and themes. To ensure analytic rigor, a systematic multi-coder process was employed:</w:t>
      </w:r>
    </w:p>
    <w:p w14:paraId="4A62FF25" w14:textId="08470101" w:rsidR="00D36E44" w:rsidRPr="00D36E44" w:rsidRDefault="00D36E44" w:rsidP="00D36E44">
      <w:pPr>
        <w:spacing w:after="0" w:line="480" w:lineRule="auto"/>
        <w:jc w:val="both"/>
        <w:rPr>
          <w:rFonts w:ascii="Times New Roman" w:hAnsi="Times New Roman" w:cs="Times New Roman"/>
          <w:sz w:val="24"/>
          <w:szCs w:val="24"/>
          <w:lang w:val="en-US"/>
        </w:rPr>
      </w:pPr>
      <w:r w:rsidRPr="00D36E44">
        <w:rPr>
          <w:rFonts w:ascii="Times New Roman" w:hAnsi="Times New Roman" w:cs="Times New Roman"/>
          <w:sz w:val="24"/>
          <w:szCs w:val="24"/>
          <w:lang w:val="en-US"/>
        </w:rPr>
        <w:lastRenderedPageBreak/>
        <w:t>Two researchers (</w:t>
      </w:r>
      <w:r w:rsidRPr="00D36E44">
        <w:rPr>
          <w:rFonts w:ascii="Times New Roman" w:hAnsi="Times New Roman" w:cs="Times New Roman"/>
          <w:b/>
          <w:bCs/>
          <w:sz w:val="24"/>
          <w:szCs w:val="24"/>
          <w:lang w:val="en-US"/>
        </w:rPr>
        <w:t xml:space="preserve">Researcher </w:t>
      </w:r>
      <w:r>
        <w:rPr>
          <w:rFonts w:ascii="Times New Roman" w:hAnsi="Times New Roman" w:cs="Times New Roman"/>
          <w:b/>
          <w:bCs/>
          <w:sz w:val="24"/>
          <w:szCs w:val="24"/>
          <w:lang w:val="en-US"/>
        </w:rPr>
        <w:t>A</w:t>
      </w:r>
      <w:r w:rsidR="00C62385">
        <w:rPr>
          <w:rFonts w:ascii="Times New Roman" w:hAnsi="Times New Roman" w:cs="Times New Roman"/>
          <w:b/>
          <w:bCs/>
          <w:sz w:val="24"/>
          <w:szCs w:val="24"/>
          <w:lang w:val="en-US"/>
        </w:rPr>
        <w:t>)</w:t>
      </w:r>
      <w:r w:rsidRPr="00D36E44">
        <w:rPr>
          <w:rFonts w:ascii="Times New Roman" w:hAnsi="Times New Roman" w:cs="Times New Roman"/>
          <w:sz w:val="24"/>
          <w:szCs w:val="24"/>
          <w:lang w:val="en-US"/>
        </w:rPr>
        <w:t> and </w:t>
      </w:r>
      <w:r w:rsidR="00C62385">
        <w:rPr>
          <w:rFonts w:ascii="Times New Roman" w:hAnsi="Times New Roman" w:cs="Times New Roman"/>
          <w:b/>
          <w:bCs/>
          <w:sz w:val="24"/>
          <w:szCs w:val="24"/>
          <w:lang w:val="en-US"/>
        </w:rPr>
        <w:t>(</w:t>
      </w:r>
      <w:r w:rsidRPr="00D36E44">
        <w:rPr>
          <w:rFonts w:ascii="Times New Roman" w:hAnsi="Times New Roman" w:cs="Times New Roman"/>
          <w:b/>
          <w:bCs/>
          <w:sz w:val="24"/>
          <w:szCs w:val="24"/>
          <w:lang w:val="en-US"/>
        </w:rPr>
        <w:t xml:space="preserve">Researcher </w:t>
      </w:r>
      <w:r>
        <w:rPr>
          <w:rFonts w:ascii="Times New Roman" w:hAnsi="Times New Roman" w:cs="Times New Roman"/>
          <w:b/>
          <w:bCs/>
          <w:sz w:val="24"/>
          <w:szCs w:val="24"/>
          <w:lang w:val="en-US"/>
        </w:rPr>
        <w:t>B</w:t>
      </w:r>
      <w:r w:rsidR="00C62385">
        <w:rPr>
          <w:rFonts w:ascii="Times New Roman" w:hAnsi="Times New Roman" w:cs="Times New Roman"/>
          <w:b/>
          <w:bCs/>
          <w:sz w:val="24"/>
          <w:szCs w:val="24"/>
          <w:lang w:val="en-US"/>
        </w:rPr>
        <w:t>)</w:t>
      </w:r>
      <w:r w:rsidRPr="00D36E44">
        <w:rPr>
          <w:rFonts w:ascii="Times New Roman" w:hAnsi="Times New Roman" w:cs="Times New Roman"/>
          <w:sz w:val="24"/>
          <w:szCs w:val="24"/>
          <w:lang w:val="en-US"/>
        </w:rPr>
        <w:t xml:space="preserve"> independently read and generated initial codes from a randomly selected subset of 50 transcripts.</w:t>
      </w:r>
      <w:r>
        <w:rPr>
          <w:rFonts w:ascii="Times New Roman" w:hAnsi="Times New Roman" w:cs="Times New Roman"/>
          <w:sz w:val="24"/>
          <w:szCs w:val="24"/>
          <w:lang w:val="en-US"/>
        </w:rPr>
        <w:t xml:space="preserve"> </w:t>
      </w:r>
      <w:r w:rsidRPr="00D36E44">
        <w:rPr>
          <w:rFonts w:ascii="Times New Roman" w:hAnsi="Times New Roman" w:cs="Times New Roman"/>
          <w:sz w:val="24"/>
          <w:szCs w:val="24"/>
          <w:lang w:val="en-US"/>
        </w:rPr>
        <w:t>The researchers then met to compare, discuss, and reconcile their codes, collaboratively developing a preliminary codebook.</w:t>
      </w:r>
      <w:r>
        <w:rPr>
          <w:rFonts w:ascii="Times New Roman" w:hAnsi="Times New Roman" w:cs="Times New Roman"/>
          <w:sz w:val="24"/>
          <w:szCs w:val="24"/>
          <w:lang w:val="en-US"/>
        </w:rPr>
        <w:t xml:space="preserve"> </w:t>
      </w:r>
      <w:r w:rsidRPr="00D36E44">
        <w:rPr>
          <w:rFonts w:ascii="Times New Roman" w:hAnsi="Times New Roman" w:cs="Times New Roman"/>
          <w:sz w:val="24"/>
          <w:szCs w:val="24"/>
          <w:lang w:val="en-US"/>
        </w:rPr>
        <w:t>Using this codebook, both researchers independently coded a further 20% of the transcripts (n=66). </w:t>
      </w:r>
      <w:r w:rsidRPr="00D36E44">
        <w:rPr>
          <w:rFonts w:ascii="Times New Roman" w:hAnsi="Times New Roman" w:cs="Times New Roman"/>
          <w:b/>
          <w:bCs/>
          <w:sz w:val="24"/>
          <w:szCs w:val="24"/>
          <w:lang w:val="en-US"/>
        </w:rPr>
        <w:t>Inter-coder reliability was assessed using Cohen's Kappa, which reached 0.85, indicating excellent agreement.</w:t>
      </w:r>
      <w:r>
        <w:rPr>
          <w:rFonts w:ascii="Times New Roman" w:hAnsi="Times New Roman" w:cs="Times New Roman"/>
          <w:sz w:val="24"/>
          <w:szCs w:val="24"/>
          <w:lang w:val="en-US"/>
        </w:rPr>
        <w:t xml:space="preserve"> </w:t>
      </w:r>
      <w:r w:rsidRPr="00D36E44">
        <w:rPr>
          <w:rFonts w:ascii="Times New Roman" w:hAnsi="Times New Roman" w:cs="Times New Roman"/>
          <w:sz w:val="24"/>
          <w:szCs w:val="24"/>
          <w:lang w:val="en-US"/>
        </w:rPr>
        <w:t>Any remaining discrepancies were resolved through consensus discussion involving a third senior researcher (</w:t>
      </w:r>
      <w:r w:rsidRPr="00D36E44">
        <w:rPr>
          <w:rFonts w:ascii="Times New Roman" w:hAnsi="Times New Roman" w:cs="Times New Roman"/>
          <w:b/>
          <w:bCs/>
          <w:sz w:val="24"/>
          <w:szCs w:val="24"/>
          <w:lang w:val="en-US"/>
        </w:rPr>
        <w:t>Researcher</w:t>
      </w:r>
      <w:r>
        <w:rPr>
          <w:rFonts w:ascii="Times New Roman" w:hAnsi="Times New Roman" w:cs="Times New Roman"/>
          <w:b/>
          <w:bCs/>
          <w:sz w:val="24"/>
          <w:szCs w:val="24"/>
          <w:lang w:val="en-US"/>
        </w:rPr>
        <w:t xml:space="preserve"> C)</w:t>
      </w:r>
      <w:r w:rsidRPr="00D36E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36E44">
        <w:rPr>
          <w:rFonts w:ascii="Times New Roman" w:hAnsi="Times New Roman" w:cs="Times New Roman"/>
          <w:sz w:val="24"/>
          <w:szCs w:val="24"/>
          <w:lang w:val="en-US"/>
        </w:rPr>
        <w:t>Following this calibration, one researcher (</w:t>
      </w:r>
      <w:r w:rsidRPr="00D36E44">
        <w:rPr>
          <w:rFonts w:ascii="Times New Roman" w:hAnsi="Times New Roman" w:cs="Times New Roman"/>
          <w:b/>
          <w:bCs/>
          <w:sz w:val="24"/>
          <w:szCs w:val="24"/>
          <w:lang w:val="en-US"/>
        </w:rPr>
        <w:t xml:space="preserve">Researcher </w:t>
      </w:r>
      <w:r>
        <w:rPr>
          <w:rFonts w:ascii="Times New Roman" w:hAnsi="Times New Roman" w:cs="Times New Roman"/>
          <w:b/>
          <w:bCs/>
          <w:sz w:val="24"/>
          <w:szCs w:val="24"/>
          <w:lang w:val="en-US"/>
        </w:rPr>
        <w:t>A</w:t>
      </w:r>
      <w:r w:rsidRPr="00D36E44">
        <w:rPr>
          <w:rFonts w:ascii="Times New Roman" w:hAnsi="Times New Roman" w:cs="Times New Roman"/>
          <w:sz w:val="24"/>
          <w:szCs w:val="24"/>
          <w:lang w:val="en-US"/>
        </w:rPr>
        <w:t>) completed the coding of all remaining transcripts. The final codes were collated, reviewed, and grouped inductively into the six overarching themes that are presented in the results.</w:t>
      </w:r>
    </w:p>
    <w:p w14:paraId="337DA293" w14:textId="77777777"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Bias:</w:t>
      </w:r>
      <w:r>
        <w:rPr>
          <w:rFonts w:ascii="Times New Roman" w:hAnsi="Times New Roman" w:cs="Times New Roman"/>
          <w:sz w:val="24"/>
          <w:szCs w:val="24"/>
        </w:rPr>
        <w:t xml:space="preserve"> To minimize selection bias, a multi-stage sampling approach was applied, involving stratified sampling to select facilities from urban and peri-urban strata, purposive selection based on accessibility, patient volume, and willingness to participate, and convenience sampling within facilities during clinic days until the target sample was reached. Information bias was reduced by using trained research assistants to administer the questionnaire, ensuring consistent interpretation of questions, while pre-testing refined the tool for cultural appropriateness. Recall bias was minimized by framing questions around recent coping experiences rather than long-term recollections.</w:t>
      </w:r>
    </w:p>
    <w:p w14:paraId="75D2BC96" w14:textId="77777777" w:rsidR="00724233" w:rsidRDefault="009F14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Results</w:t>
      </w:r>
    </w:p>
    <w:p w14:paraId="3099C8DE" w14:textId="77777777" w:rsidR="00724233" w:rsidRDefault="009F143C">
      <w:pPr>
        <w:spacing w:after="0" w:line="480" w:lineRule="auto"/>
        <w:jc w:val="both"/>
        <w:rPr>
          <w:rStyle w:val="Strong"/>
          <w:rFonts w:ascii="Times New Roman" w:hAnsi="Times New Roman" w:cs="Times New Roman"/>
          <w:bCs w:val="0"/>
          <w:sz w:val="24"/>
          <w:szCs w:val="24"/>
        </w:rPr>
      </w:pPr>
      <w:r>
        <w:rPr>
          <w:rStyle w:val="Strong"/>
          <w:rFonts w:ascii="Times New Roman" w:hAnsi="Times New Roman" w:cs="Times New Roman"/>
          <w:sz w:val="24"/>
          <w:szCs w:val="24"/>
        </w:rPr>
        <w:t>Demographic Characteristics of Participants</w:t>
      </w:r>
    </w:p>
    <w:p w14:paraId="16BBC897" w14:textId="77777777" w:rsidR="00724233" w:rsidRDefault="009F143C">
      <w:pPr>
        <w:spacing w:after="0" w:line="480" w:lineRule="auto"/>
        <w:jc w:val="both"/>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rPr>
        <w:t>This section present information on the demographic characteristics of participants in the area</w:t>
      </w:r>
    </w:p>
    <w:p w14:paraId="3D0AF776" w14:textId="77777777" w:rsidR="00724233" w:rsidRDefault="009F143C">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Table 1: Demographic Characteristics of Participants</w:t>
      </w:r>
    </w:p>
    <w:tbl>
      <w:tblPr>
        <w:tblStyle w:val="LightShading"/>
        <w:tblW w:w="0" w:type="auto"/>
        <w:tblLook w:val="04A0" w:firstRow="1" w:lastRow="0" w:firstColumn="1" w:lastColumn="0" w:noHBand="0" w:noVBand="1"/>
      </w:tblPr>
      <w:tblGrid>
        <w:gridCol w:w="3510"/>
        <w:gridCol w:w="2268"/>
        <w:gridCol w:w="2835"/>
      </w:tblGrid>
      <w:tr w:rsidR="00724233" w14:paraId="601BD41B" w14:textId="77777777" w:rsidTr="007242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68C442F4" w14:textId="77777777" w:rsidR="00724233" w:rsidRDefault="009F143C">
            <w:pPr>
              <w:jc w:val="both"/>
              <w:rPr>
                <w:rFonts w:ascii="Times New Roman" w:hAnsi="Times New Roman" w:cs="Times New Roman"/>
                <w:sz w:val="24"/>
                <w:szCs w:val="24"/>
              </w:rPr>
            </w:pPr>
            <w:r>
              <w:rPr>
                <w:rStyle w:val="Strong"/>
                <w:rFonts w:ascii="Times New Roman" w:hAnsi="Times New Roman" w:cs="Times New Roman"/>
                <w:sz w:val="24"/>
                <w:szCs w:val="24"/>
              </w:rPr>
              <w:t>Variable</w:t>
            </w:r>
          </w:p>
        </w:tc>
        <w:tc>
          <w:tcPr>
            <w:tcW w:w="2268" w:type="dxa"/>
            <w:hideMark/>
          </w:tcPr>
          <w:p w14:paraId="4C4989B8" w14:textId="77777777" w:rsidR="00724233" w:rsidRDefault="009F143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Style w:val="Strong"/>
                <w:rFonts w:ascii="Times New Roman" w:hAnsi="Times New Roman" w:cs="Times New Roman"/>
                <w:sz w:val="24"/>
                <w:szCs w:val="24"/>
              </w:rPr>
              <w:t>Frequency</w:t>
            </w:r>
          </w:p>
        </w:tc>
        <w:tc>
          <w:tcPr>
            <w:tcW w:w="2835" w:type="dxa"/>
            <w:hideMark/>
          </w:tcPr>
          <w:p w14:paraId="3C353415" w14:textId="77777777" w:rsidR="00724233" w:rsidRDefault="009F143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Style w:val="Strong"/>
                <w:rFonts w:ascii="Times New Roman" w:hAnsi="Times New Roman" w:cs="Times New Roman"/>
                <w:sz w:val="24"/>
                <w:szCs w:val="24"/>
              </w:rPr>
              <w:t>Percentage (%)</w:t>
            </w:r>
          </w:p>
        </w:tc>
      </w:tr>
      <w:tr w:rsidR="00724233" w14:paraId="6BD1D505"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26A4FEC7" w14:textId="77777777" w:rsidR="00724233" w:rsidRDefault="009F143C">
            <w:pPr>
              <w:jc w:val="both"/>
              <w:rPr>
                <w:rFonts w:ascii="Times New Roman" w:hAnsi="Times New Roman" w:cs="Times New Roman"/>
                <w:sz w:val="24"/>
                <w:szCs w:val="24"/>
              </w:rPr>
            </w:pPr>
            <w:r>
              <w:rPr>
                <w:rStyle w:val="Strong"/>
                <w:rFonts w:ascii="Times New Roman" w:hAnsi="Times New Roman" w:cs="Times New Roman"/>
                <w:sz w:val="24"/>
                <w:szCs w:val="24"/>
              </w:rPr>
              <w:t>Gender</w:t>
            </w:r>
          </w:p>
        </w:tc>
        <w:tc>
          <w:tcPr>
            <w:tcW w:w="2268" w:type="dxa"/>
            <w:shd w:val="clear" w:color="auto" w:fill="auto"/>
            <w:hideMark/>
          </w:tcPr>
          <w:p w14:paraId="22CEF282" w14:textId="77777777" w:rsidR="00724233" w:rsidRDefault="0072423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35" w:type="dxa"/>
            <w:shd w:val="clear" w:color="auto" w:fill="auto"/>
            <w:hideMark/>
          </w:tcPr>
          <w:p w14:paraId="783A3360" w14:textId="77777777" w:rsidR="00724233" w:rsidRDefault="0072423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24233" w14:paraId="76B7F894"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6BE6176D"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Male</w:t>
            </w:r>
          </w:p>
        </w:tc>
        <w:tc>
          <w:tcPr>
            <w:tcW w:w="2268" w:type="dxa"/>
            <w:hideMark/>
          </w:tcPr>
          <w:p w14:paraId="751D9F1D"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146</w:t>
            </w:r>
          </w:p>
        </w:tc>
        <w:tc>
          <w:tcPr>
            <w:tcW w:w="2835" w:type="dxa"/>
            <w:hideMark/>
          </w:tcPr>
          <w:p w14:paraId="0C6E18BE"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44.0</w:t>
            </w:r>
          </w:p>
        </w:tc>
      </w:tr>
      <w:tr w:rsidR="00724233" w14:paraId="2653A5DF"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0AC83184"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Female</w:t>
            </w:r>
          </w:p>
        </w:tc>
        <w:tc>
          <w:tcPr>
            <w:tcW w:w="2268" w:type="dxa"/>
            <w:shd w:val="clear" w:color="auto" w:fill="auto"/>
            <w:hideMark/>
          </w:tcPr>
          <w:p w14:paraId="3D205039"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186</w:t>
            </w:r>
          </w:p>
        </w:tc>
        <w:tc>
          <w:tcPr>
            <w:tcW w:w="2835" w:type="dxa"/>
            <w:shd w:val="clear" w:color="auto" w:fill="auto"/>
            <w:hideMark/>
          </w:tcPr>
          <w:p w14:paraId="1BB2682F"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56.0</w:t>
            </w:r>
          </w:p>
        </w:tc>
      </w:tr>
      <w:tr w:rsidR="00724233" w14:paraId="286A6AEC" w14:textId="77777777" w:rsidTr="00724233">
        <w:tc>
          <w:tcPr>
            <w:cnfStyle w:val="001000000000" w:firstRow="0" w:lastRow="0" w:firstColumn="1" w:lastColumn="0" w:oddVBand="0" w:evenVBand="0" w:oddHBand="0" w:evenHBand="0" w:firstRowFirstColumn="0" w:firstRowLastColumn="0" w:lastRowFirstColumn="0" w:lastRowLastColumn="0"/>
            <w:tcW w:w="3510" w:type="dxa"/>
          </w:tcPr>
          <w:p w14:paraId="720F2AD5" w14:textId="77777777" w:rsidR="00724233" w:rsidRDefault="009F143C">
            <w:pPr>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b w:val="0"/>
                <w:sz w:val="24"/>
                <w:szCs w:val="24"/>
              </w:rPr>
              <w:t xml:space="preserve"> </w:t>
            </w:r>
          </w:p>
        </w:tc>
        <w:tc>
          <w:tcPr>
            <w:tcW w:w="2268" w:type="dxa"/>
          </w:tcPr>
          <w:p w14:paraId="4AEB30E1"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332</w:t>
            </w:r>
          </w:p>
        </w:tc>
        <w:tc>
          <w:tcPr>
            <w:tcW w:w="2835" w:type="dxa"/>
          </w:tcPr>
          <w:p w14:paraId="3BBEF930"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r w:rsidR="00724233" w14:paraId="6C33D57F"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1594BA53" w14:textId="77777777" w:rsidR="00724233" w:rsidRDefault="009F143C">
            <w:pPr>
              <w:jc w:val="both"/>
              <w:rPr>
                <w:rFonts w:ascii="Times New Roman" w:hAnsi="Times New Roman" w:cs="Times New Roman"/>
                <w:sz w:val="24"/>
                <w:szCs w:val="24"/>
              </w:rPr>
            </w:pPr>
            <w:r>
              <w:rPr>
                <w:rStyle w:val="Strong"/>
                <w:rFonts w:ascii="Times New Roman" w:hAnsi="Times New Roman" w:cs="Times New Roman"/>
                <w:sz w:val="24"/>
                <w:szCs w:val="24"/>
              </w:rPr>
              <w:t>Age Group (years)</w:t>
            </w:r>
          </w:p>
        </w:tc>
        <w:tc>
          <w:tcPr>
            <w:tcW w:w="2268" w:type="dxa"/>
            <w:shd w:val="clear" w:color="auto" w:fill="auto"/>
            <w:hideMark/>
          </w:tcPr>
          <w:p w14:paraId="05BCCCC9" w14:textId="77777777" w:rsidR="00724233" w:rsidRDefault="0072423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35" w:type="dxa"/>
            <w:shd w:val="clear" w:color="auto" w:fill="auto"/>
            <w:hideMark/>
          </w:tcPr>
          <w:p w14:paraId="3708EB33" w14:textId="77777777" w:rsidR="00724233" w:rsidRDefault="0072423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24233" w14:paraId="35CAEE96"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1B925E67"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lastRenderedPageBreak/>
              <w:t>18–29</w:t>
            </w:r>
          </w:p>
        </w:tc>
        <w:tc>
          <w:tcPr>
            <w:tcW w:w="2268" w:type="dxa"/>
            <w:hideMark/>
          </w:tcPr>
          <w:p w14:paraId="593C533C"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p>
        </w:tc>
        <w:tc>
          <w:tcPr>
            <w:tcW w:w="2835" w:type="dxa"/>
            <w:hideMark/>
          </w:tcPr>
          <w:p w14:paraId="7A51F903"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8.4</w:t>
            </w:r>
          </w:p>
        </w:tc>
      </w:tr>
      <w:tr w:rsidR="00724233" w14:paraId="15651C21"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452FCC21"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30–44</w:t>
            </w:r>
          </w:p>
        </w:tc>
        <w:tc>
          <w:tcPr>
            <w:tcW w:w="2268" w:type="dxa"/>
            <w:shd w:val="clear" w:color="auto" w:fill="auto"/>
            <w:hideMark/>
          </w:tcPr>
          <w:p w14:paraId="55B6ED72"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w:t>
            </w:r>
          </w:p>
        </w:tc>
        <w:tc>
          <w:tcPr>
            <w:tcW w:w="2835" w:type="dxa"/>
            <w:shd w:val="clear" w:color="auto" w:fill="auto"/>
            <w:hideMark/>
          </w:tcPr>
          <w:p w14:paraId="65C017FC"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22.3</w:t>
            </w:r>
          </w:p>
        </w:tc>
      </w:tr>
      <w:tr w:rsidR="00724233" w14:paraId="17443789"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62F4E1F2"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45–59</w:t>
            </w:r>
          </w:p>
        </w:tc>
        <w:tc>
          <w:tcPr>
            <w:tcW w:w="2268" w:type="dxa"/>
            <w:hideMark/>
          </w:tcPr>
          <w:p w14:paraId="678CF773"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w:t>
            </w:r>
          </w:p>
        </w:tc>
        <w:tc>
          <w:tcPr>
            <w:tcW w:w="2835" w:type="dxa"/>
            <w:hideMark/>
          </w:tcPr>
          <w:p w14:paraId="25FDDE41"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36.1</w:t>
            </w:r>
          </w:p>
        </w:tc>
      </w:tr>
      <w:tr w:rsidR="00724233" w14:paraId="50A1B040"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2F134708"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60 and above</w:t>
            </w:r>
          </w:p>
        </w:tc>
        <w:tc>
          <w:tcPr>
            <w:tcW w:w="2268" w:type="dxa"/>
            <w:shd w:val="clear" w:color="auto" w:fill="auto"/>
            <w:hideMark/>
          </w:tcPr>
          <w:p w14:paraId="1198C398"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110</w:t>
            </w:r>
          </w:p>
        </w:tc>
        <w:tc>
          <w:tcPr>
            <w:tcW w:w="2835" w:type="dxa"/>
            <w:shd w:val="clear" w:color="auto" w:fill="auto"/>
            <w:hideMark/>
          </w:tcPr>
          <w:p w14:paraId="2C944ED9"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33.1</w:t>
            </w:r>
          </w:p>
        </w:tc>
      </w:tr>
      <w:tr w:rsidR="00724233" w14:paraId="0878605A" w14:textId="77777777" w:rsidTr="00724233">
        <w:tc>
          <w:tcPr>
            <w:cnfStyle w:val="001000000000" w:firstRow="0" w:lastRow="0" w:firstColumn="1" w:lastColumn="0" w:oddVBand="0" w:evenVBand="0" w:oddHBand="0" w:evenHBand="0" w:firstRowFirstColumn="0" w:firstRowLastColumn="0" w:lastRowFirstColumn="0" w:lastRowLastColumn="0"/>
            <w:tcW w:w="3510" w:type="dxa"/>
          </w:tcPr>
          <w:p w14:paraId="65F363C9" w14:textId="77777777" w:rsidR="00724233" w:rsidRDefault="009F143C">
            <w:pPr>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b w:val="0"/>
                <w:sz w:val="24"/>
                <w:szCs w:val="24"/>
              </w:rPr>
              <w:t xml:space="preserve"> </w:t>
            </w:r>
          </w:p>
        </w:tc>
        <w:tc>
          <w:tcPr>
            <w:tcW w:w="2268" w:type="dxa"/>
          </w:tcPr>
          <w:p w14:paraId="4547FC5F"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332</w:t>
            </w:r>
          </w:p>
        </w:tc>
        <w:tc>
          <w:tcPr>
            <w:tcW w:w="2835" w:type="dxa"/>
          </w:tcPr>
          <w:p w14:paraId="75A9A6FE"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r w:rsidR="00724233" w14:paraId="1A918E9A"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0D151CC3" w14:textId="77777777" w:rsidR="00724233" w:rsidRDefault="009F143C">
            <w:pPr>
              <w:jc w:val="both"/>
              <w:rPr>
                <w:rFonts w:ascii="Times New Roman" w:hAnsi="Times New Roman" w:cs="Times New Roman"/>
                <w:sz w:val="24"/>
                <w:szCs w:val="24"/>
              </w:rPr>
            </w:pPr>
            <w:r>
              <w:rPr>
                <w:rStyle w:val="Strong"/>
                <w:rFonts w:ascii="Times New Roman" w:hAnsi="Times New Roman" w:cs="Times New Roman"/>
                <w:sz w:val="24"/>
                <w:szCs w:val="24"/>
              </w:rPr>
              <w:t>Marital Status</w:t>
            </w:r>
          </w:p>
        </w:tc>
        <w:tc>
          <w:tcPr>
            <w:tcW w:w="2268" w:type="dxa"/>
            <w:shd w:val="clear" w:color="auto" w:fill="auto"/>
            <w:hideMark/>
          </w:tcPr>
          <w:p w14:paraId="7DFD23ED" w14:textId="77777777" w:rsidR="00724233" w:rsidRDefault="0072423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35" w:type="dxa"/>
            <w:shd w:val="clear" w:color="auto" w:fill="auto"/>
            <w:hideMark/>
          </w:tcPr>
          <w:p w14:paraId="7358390D" w14:textId="77777777" w:rsidR="00724233" w:rsidRDefault="0072423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24233" w14:paraId="5ADEB7AB"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5D186C8E"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Single</w:t>
            </w:r>
          </w:p>
        </w:tc>
        <w:tc>
          <w:tcPr>
            <w:tcW w:w="2268" w:type="dxa"/>
            <w:hideMark/>
          </w:tcPr>
          <w:p w14:paraId="0D096FC9"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p>
        </w:tc>
        <w:tc>
          <w:tcPr>
            <w:tcW w:w="2835" w:type="dxa"/>
            <w:hideMark/>
          </w:tcPr>
          <w:p w14:paraId="3E123096"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w:t>
            </w:r>
          </w:p>
        </w:tc>
      </w:tr>
      <w:tr w:rsidR="00724233" w14:paraId="3E229DCF"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2D38F869"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Married</w:t>
            </w:r>
          </w:p>
        </w:tc>
        <w:tc>
          <w:tcPr>
            <w:tcW w:w="2268" w:type="dxa"/>
            <w:shd w:val="clear" w:color="auto" w:fill="auto"/>
            <w:hideMark/>
          </w:tcPr>
          <w:p w14:paraId="7D9E8D16"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240</w:t>
            </w:r>
          </w:p>
        </w:tc>
        <w:tc>
          <w:tcPr>
            <w:tcW w:w="2835" w:type="dxa"/>
            <w:shd w:val="clear" w:color="auto" w:fill="auto"/>
            <w:hideMark/>
          </w:tcPr>
          <w:p w14:paraId="469786FE"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72.3</w:t>
            </w:r>
          </w:p>
        </w:tc>
      </w:tr>
      <w:tr w:rsidR="00724233" w14:paraId="07A6196C"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510CD861"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Widowed/Divorced/Separated</w:t>
            </w:r>
          </w:p>
        </w:tc>
        <w:tc>
          <w:tcPr>
            <w:tcW w:w="2268" w:type="dxa"/>
            <w:hideMark/>
          </w:tcPr>
          <w:p w14:paraId="74D5D455"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w:t>
            </w:r>
          </w:p>
        </w:tc>
        <w:tc>
          <w:tcPr>
            <w:tcW w:w="2835" w:type="dxa"/>
            <w:hideMark/>
          </w:tcPr>
          <w:p w14:paraId="4A3FAB94"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15.7</w:t>
            </w:r>
          </w:p>
        </w:tc>
      </w:tr>
      <w:tr w:rsidR="00724233" w14:paraId="52CE1F4C"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0A29F0BF" w14:textId="77777777" w:rsidR="00724233" w:rsidRDefault="009F143C">
            <w:pPr>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b w:val="0"/>
                <w:sz w:val="24"/>
                <w:szCs w:val="24"/>
              </w:rPr>
              <w:t xml:space="preserve"> </w:t>
            </w:r>
          </w:p>
        </w:tc>
        <w:tc>
          <w:tcPr>
            <w:tcW w:w="2268" w:type="dxa"/>
            <w:shd w:val="clear" w:color="auto" w:fill="auto"/>
          </w:tcPr>
          <w:p w14:paraId="06057ED2"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332</w:t>
            </w:r>
          </w:p>
        </w:tc>
        <w:tc>
          <w:tcPr>
            <w:tcW w:w="2835" w:type="dxa"/>
            <w:shd w:val="clear" w:color="auto" w:fill="auto"/>
          </w:tcPr>
          <w:p w14:paraId="1BDEF0F1"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r w:rsidR="00724233" w14:paraId="5F20D77C"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489386F8" w14:textId="77777777" w:rsidR="00724233" w:rsidRDefault="009F143C">
            <w:pPr>
              <w:jc w:val="both"/>
              <w:rPr>
                <w:rFonts w:ascii="Times New Roman" w:hAnsi="Times New Roman" w:cs="Times New Roman"/>
                <w:sz w:val="24"/>
                <w:szCs w:val="24"/>
              </w:rPr>
            </w:pPr>
            <w:r>
              <w:rPr>
                <w:rStyle w:val="Strong"/>
                <w:rFonts w:ascii="Times New Roman" w:hAnsi="Times New Roman" w:cs="Times New Roman"/>
                <w:sz w:val="24"/>
                <w:szCs w:val="24"/>
              </w:rPr>
              <w:t>Educational Level</w:t>
            </w:r>
          </w:p>
        </w:tc>
        <w:tc>
          <w:tcPr>
            <w:tcW w:w="2268" w:type="dxa"/>
            <w:hideMark/>
          </w:tcPr>
          <w:p w14:paraId="5EADA232" w14:textId="77777777" w:rsidR="00724233" w:rsidRDefault="0072423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835" w:type="dxa"/>
            <w:hideMark/>
          </w:tcPr>
          <w:p w14:paraId="46344AA8" w14:textId="77777777" w:rsidR="00724233" w:rsidRDefault="0072423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24233" w14:paraId="7980F825"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09F7A2B1"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No formal education</w:t>
            </w:r>
          </w:p>
        </w:tc>
        <w:tc>
          <w:tcPr>
            <w:tcW w:w="2268" w:type="dxa"/>
            <w:shd w:val="clear" w:color="auto" w:fill="auto"/>
            <w:hideMark/>
          </w:tcPr>
          <w:p w14:paraId="7C291054"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w:t>
            </w:r>
          </w:p>
        </w:tc>
        <w:tc>
          <w:tcPr>
            <w:tcW w:w="2835" w:type="dxa"/>
            <w:shd w:val="clear" w:color="auto" w:fill="auto"/>
            <w:hideMark/>
          </w:tcPr>
          <w:p w14:paraId="4E6450EA"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10.2</w:t>
            </w:r>
          </w:p>
        </w:tc>
      </w:tr>
      <w:tr w:rsidR="00724233" w14:paraId="451CF35B"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63BCAD28"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Primary</w:t>
            </w:r>
          </w:p>
        </w:tc>
        <w:tc>
          <w:tcPr>
            <w:tcW w:w="2268" w:type="dxa"/>
            <w:hideMark/>
          </w:tcPr>
          <w:p w14:paraId="584BD256"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w:t>
            </w:r>
          </w:p>
        </w:tc>
        <w:tc>
          <w:tcPr>
            <w:tcW w:w="2835" w:type="dxa"/>
            <w:hideMark/>
          </w:tcPr>
          <w:p w14:paraId="6FD12247"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24.1</w:t>
            </w:r>
          </w:p>
        </w:tc>
      </w:tr>
      <w:tr w:rsidR="00724233" w14:paraId="34A635B1"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02B0C3C0"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Secondary</w:t>
            </w:r>
          </w:p>
        </w:tc>
        <w:tc>
          <w:tcPr>
            <w:tcW w:w="2268" w:type="dxa"/>
            <w:shd w:val="clear" w:color="auto" w:fill="auto"/>
            <w:hideMark/>
          </w:tcPr>
          <w:p w14:paraId="5252607C"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122</w:t>
            </w:r>
          </w:p>
        </w:tc>
        <w:tc>
          <w:tcPr>
            <w:tcW w:w="2835" w:type="dxa"/>
            <w:shd w:val="clear" w:color="auto" w:fill="auto"/>
            <w:hideMark/>
          </w:tcPr>
          <w:p w14:paraId="3D4C56AE"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36.7</w:t>
            </w:r>
          </w:p>
        </w:tc>
      </w:tr>
      <w:tr w:rsidR="00724233" w14:paraId="44A725B5"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67669107"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Tertiary</w:t>
            </w:r>
          </w:p>
        </w:tc>
        <w:tc>
          <w:tcPr>
            <w:tcW w:w="2268" w:type="dxa"/>
            <w:hideMark/>
          </w:tcPr>
          <w:p w14:paraId="64D6AF8E"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w:t>
            </w:r>
          </w:p>
        </w:tc>
        <w:tc>
          <w:tcPr>
            <w:tcW w:w="2835" w:type="dxa"/>
            <w:hideMark/>
          </w:tcPr>
          <w:p w14:paraId="1B19B7A6"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28.9</w:t>
            </w:r>
          </w:p>
        </w:tc>
      </w:tr>
      <w:tr w:rsidR="00724233" w14:paraId="4CEB46E4"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5B5E78C1" w14:textId="77777777" w:rsidR="00724233" w:rsidRDefault="009F143C">
            <w:pPr>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b w:val="0"/>
                <w:sz w:val="24"/>
                <w:szCs w:val="24"/>
              </w:rPr>
              <w:t xml:space="preserve"> </w:t>
            </w:r>
          </w:p>
        </w:tc>
        <w:tc>
          <w:tcPr>
            <w:tcW w:w="2268" w:type="dxa"/>
            <w:shd w:val="clear" w:color="auto" w:fill="auto"/>
          </w:tcPr>
          <w:p w14:paraId="524B6272"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332</w:t>
            </w:r>
          </w:p>
        </w:tc>
        <w:tc>
          <w:tcPr>
            <w:tcW w:w="2835" w:type="dxa"/>
            <w:shd w:val="clear" w:color="auto" w:fill="auto"/>
          </w:tcPr>
          <w:p w14:paraId="310CA38E"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r w:rsidR="00724233" w14:paraId="0A295E37"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790B7D87" w14:textId="77777777" w:rsidR="00724233" w:rsidRDefault="009F143C">
            <w:pPr>
              <w:jc w:val="both"/>
              <w:rPr>
                <w:rFonts w:ascii="Times New Roman" w:hAnsi="Times New Roman" w:cs="Times New Roman"/>
                <w:sz w:val="24"/>
                <w:szCs w:val="24"/>
              </w:rPr>
            </w:pPr>
            <w:r>
              <w:rPr>
                <w:rStyle w:val="Strong"/>
                <w:rFonts w:ascii="Times New Roman" w:hAnsi="Times New Roman" w:cs="Times New Roman"/>
                <w:sz w:val="24"/>
                <w:szCs w:val="24"/>
              </w:rPr>
              <w:t>Employment Status</w:t>
            </w:r>
          </w:p>
        </w:tc>
        <w:tc>
          <w:tcPr>
            <w:tcW w:w="2268" w:type="dxa"/>
            <w:hideMark/>
          </w:tcPr>
          <w:p w14:paraId="48DBA90A" w14:textId="77777777" w:rsidR="00724233" w:rsidRDefault="0072423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835" w:type="dxa"/>
            <w:hideMark/>
          </w:tcPr>
          <w:p w14:paraId="2DF0CE5C" w14:textId="77777777" w:rsidR="00724233" w:rsidRDefault="0072423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24233" w14:paraId="550A8F30"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70101FB2"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Employed</w:t>
            </w:r>
          </w:p>
        </w:tc>
        <w:tc>
          <w:tcPr>
            <w:tcW w:w="2268" w:type="dxa"/>
            <w:shd w:val="clear" w:color="auto" w:fill="auto"/>
            <w:hideMark/>
          </w:tcPr>
          <w:p w14:paraId="359CE6F3"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128</w:t>
            </w:r>
          </w:p>
        </w:tc>
        <w:tc>
          <w:tcPr>
            <w:tcW w:w="2835" w:type="dxa"/>
            <w:shd w:val="clear" w:color="auto" w:fill="auto"/>
            <w:hideMark/>
          </w:tcPr>
          <w:p w14:paraId="5F54D8B5"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38.6</w:t>
            </w:r>
          </w:p>
        </w:tc>
      </w:tr>
      <w:tr w:rsidR="00724233" w14:paraId="3ABB828C"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112412CF"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Unemployed</w:t>
            </w:r>
          </w:p>
        </w:tc>
        <w:tc>
          <w:tcPr>
            <w:tcW w:w="2268" w:type="dxa"/>
            <w:hideMark/>
          </w:tcPr>
          <w:p w14:paraId="2FF25808"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w:t>
            </w:r>
          </w:p>
        </w:tc>
        <w:tc>
          <w:tcPr>
            <w:tcW w:w="2835" w:type="dxa"/>
            <w:hideMark/>
          </w:tcPr>
          <w:p w14:paraId="7F27F3A8"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21.1</w:t>
            </w:r>
          </w:p>
        </w:tc>
      </w:tr>
      <w:tr w:rsidR="00724233" w14:paraId="3D3BA792"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468BFAEB"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Self-employed</w:t>
            </w:r>
          </w:p>
        </w:tc>
        <w:tc>
          <w:tcPr>
            <w:tcW w:w="2268" w:type="dxa"/>
            <w:shd w:val="clear" w:color="auto" w:fill="auto"/>
            <w:hideMark/>
          </w:tcPr>
          <w:p w14:paraId="0325DCD8"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92</w:t>
            </w:r>
          </w:p>
        </w:tc>
        <w:tc>
          <w:tcPr>
            <w:tcW w:w="2835" w:type="dxa"/>
            <w:shd w:val="clear" w:color="auto" w:fill="auto"/>
            <w:hideMark/>
          </w:tcPr>
          <w:p w14:paraId="5E960B48"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27.7</w:t>
            </w:r>
          </w:p>
        </w:tc>
      </w:tr>
      <w:tr w:rsidR="00724233" w14:paraId="6CD079A3"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3498516C"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Retired</w:t>
            </w:r>
          </w:p>
        </w:tc>
        <w:tc>
          <w:tcPr>
            <w:tcW w:w="2268" w:type="dxa"/>
            <w:hideMark/>
          </w:tcPr>
          <w:p w14:paraId="52787DB7"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w:t>
            </w:r>
          </w:p>
        </w:tc>
        <w:tc>
          <w:tcPr>
            <w:tcW w:w="2835" w:type="dxa"/>
            <w:hideMark/>
          </w:tcPr>
          <w:p w14:paraId="737BBB61"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12.7</w:t>
            </w:r>
          </w:p>
        </w:tc>
      </w:tr>
      <w:tr w:rsidR="00724233" w14:paraId="113C49F4"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14D756BB" w14:textId="77777777" w:rsidR="00724233" w:rsidRDefault="009F143C">
            <w:pPr>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b w:val="0"/>
                <w:sz w:val="24"/>
                <w:szCs w:val="24"/>
              </w:rPr>
              <w:t xml:space="preserve"> </w:t>
            </w:r>
          </w:p>
        </w:tc>
        <w:tc>
          <w:tcPr>
            <w:tcW w:w="2268" w:type="dxa"/>
            <w:shd w:val="clear" w:color="auto" w:fill="auto"/>
          </w:tcPr>
          <w:p w14:paraId="242708CB"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332</w:t>
            </w:r>
          </w:p>
        </w:tc>
        <w:tc>
          <w:tcPr>
            <w:tcW w:w="2835" w:type="dxa"/>
            <w:shd w:val="clear" w:color="auto" w:fill="auto"/>
          </w:tcPr>
          <w:p w14:paraId="08892AD1"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r w:rsidR="00724233" w14:paraId="1D01A556"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50EDC7B1" w14:textId="77777777" w:rsidR="00724233" w:rsidRDefault="009F143C">
            <w:pPr>
              <w:jc w:val="both"/>
              <w:rPr>
                <w:rFonts w:ascii="Times New Roman" w:hAnsi="Times New Roman" w:cs="Times New Roman"/>
                <w:sz w:val="24"/>
                <w:szCs w:val="24"/>
              </w:rPr>
            </w:pPr>
            <w:r>
              <w:rPr>
                <w:rStyle w:val="Strong"/>
                <w:rFonts w:ascii="Times New Roman" w:hAnsi="Times New Roman" w:cs="Times New Roman"/>
                <w:sz w:val="24"/>
                <w:szCs w:val="24"/>
              </w:rPr>
              <w:t>Duration of Diagnosis</w:t>
            </w:r>
          </w:p>
        </w:tc>
        <w:tc>
          <w:tcPr>
            <w:tcW w:w="2268" w:type="dxa"/>
            <w:hideMark/>
          </w:tcPr>
          <w:p w14:paraId="4D12B807" w14:textId="77777777" w:rsidR="00724233" w:rsidRDefault="0072423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835" w:type="dxa"/>
            <w:hideMark/>
          </w:tcPr>
          <w:p w14:paraId="622ABF81" w14:textId="77777777" w:rsidR="00724233" w:rsidRDefault="0072423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24233" w14:paraId="29581954"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6330962D"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Less than 1 year</w:t>
            </w:r>
          </w:p>
        </w:tc>
        <w:tc>
          <w:tcPr>
            <w:tcW w:w="2268" w:type="dxa"/>
            <w:shd w:val="clear" w:color="auto" w:fill="auto"/>
            <w:hideMark/>
          </w:tcPr>
          <w:p w14:paraId="59FE368E"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p>
        </w:tc>
        <w:tc>
          <w:tcPr>
            <w:tcW w:w="2835" w:type="dxa"/>
            <w:shd w:val="clear" w:color="auto" w:fill="auto"/>
            <w:hideMark/>
          </w:tcPr>
          <w:p w14:paraId="087FC93F"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8.4</w:t>
            </w:r>
          </w:p>
        </w:tc>
      </w:tr>
      <w:tr w:rsidR="00724233" w14:paraId="619E75A8"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33D08222"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1–5 years</w:t>
            </w:r>
          </w:p>
        </w:tc>
        <w:tc>
          <w:tcPr>
            <w:tcW w:w="2268" w:type="dxa"/>
            <w:hideMark/>
          </w:tcPr>
          <w:p w14:paraId="611D2B4A"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144</w:t>
            </w:r>
          </w:p>
        </w:tc>
        <w:tc>
          <w:tcPr>
            <w:tcW w:w="2835" w:type="dxa"/>
            <w:hideMark/>
          </w:tcPr>
          <w:p w14:paraId="3712A707"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43.4</w:t>
            </w:r>
          </w:p>
        </w:tc>
      </w:tr>
      <w:tr w:rsidR="00724233" w14:paraId="1810272E"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17149E20"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6–10 years</w:t>
            </w:r>
          </w:p>
        </w:tc>
        <w:tc>
          <w:tcPr>
            <w:tcW w:w="2268" w:type="dxa"/>
            <w:shd w:val="clear" w:color="auto" w:fill="auto"/>
            <w:hideMark/>
          </w:tcPr>
          <w:p w14:paraId="0D030147"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w:t>
            </w:r>
          </w:p>
        </w:tc>
        <w:tc>
          <w:tcPr>
            <w:tcW w:w="2835" w:type="dxa"/>
            <w:shd w:val="clear" w:color="auto" w:fill="auto"/>
            <w:hideMark/>
          </w:tcPr>
          <w:p w14:paraId="4754B77E"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28.9</w:t>
            </w:r>
          </w:p>
        </w:tc>
      </w:tr>
      <w:tr w:rsidR="00724233" w14:paraId="503CC1DC"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3EBBD159"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Above 10 years</w:t>
            </w:r>
          </w:p>
        </w:tc>
        <w:tc>
          <w:tcPr>
            <w:tcW w:w="2268" w:type="dxa"/>
            <w:hideMark/>
          </w:tcPr>
          <w:p w14:paraId="465B21AB"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w:t>
            </w:r>
          </w:p>
        </w:tc>
        <w:tc>
          <w:tcPr>
            <w:tcW w:w="2835" w:type="dxa"/>
            <w:hideMark/>
          </w:tcPr>
          <w:p w14:paraId="31276AE6"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19.3</w:t>
            </w:r>
          </w:p>
        </w:tc>
      </w:tr>
      <w:tr w:rsidR="00724233" w14:paraId="2325AAD0"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45E5F9A0" w14:textId="77777777" w:rsidR="00724233" w:rsidRDefault="009F143C">
            <w:pPr>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b w:val="0"/>
                <w:sz w:val="24"/>
                <w:szCs w:val="24"/>
              </w:rPr>
              <w:t xml:space="preserve"> </w:t>
            </w:r>
          </w:p>
        </w:tc>
        <w:tc>
          <w:tcPr>
            <w:tcW w:w="2268" w:type="dxa"/>
            <w:shd w:val="clear" w:color="auto" w:fill="auto"/>
          </w:tcPr>
          <w:p w14:paraId="22A64DC3"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332</w:t>
            </w:r>
          </w:p>
        </w:tc>
        <w:tc>
          <w:tcPr>
            <w:tcW w:w="2835" w:type="dxa"/>
            <w:shd w:val="clear" w:color="auto" w:fill="auto"/>
          </w:tcPr>
          <w:p w14:paraId="6101F520"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bl>
    <w:p w14:paraId="7716AD66" w14:textId="77777777" w:rsidR="00724233" w:rsidRDefault="009F143C">
      <w:pPr>
        <w:pStyle w:val="NormalWeb"/>
        <w:spacing w:before="0" w:beforeAutospacing="0" w:after="0" w:afterAutospacing="0"/>
      </w:pPr>
      <w:r>
        <w:rPr>
          <w:rStyle w:val="Strong"/>
          <w:b w:val="0"/>
        </w:rPr>
        <w:t>Source</w:t>
      </w:r>
      <w:r>
        <w:t>: Field Survey, 2025</w:t>
      </w:r>
    </w:p>
    <w:p w14:paraId="0F7A76F3" w14:textId="77777777" w:rsidR="00353674" w:rsidRDefault="00353674" w:rsidP="00353674">
      <w:pPr>
        <w:pStyle w:val="NoSpacing"/>
        <w:spacing w:before="240" w:line="480" w:lineRule="auto"/>
        <w:jc w:val="both"/>
        <w:rPr>
          <w:rFonts w:ascii="Times New Roman" w:hAnsi="Times New Roman" w:cs="Times New Roman"/>
          <w:sz w:val="24"/>
          <w:szCs w:val="24"/>
        </w:rPr>
      </w:pPr>
    </w:p>
    <w:p w14:paraId="0A63EE39" w14:textId="4A3591F2" w:rsidR="00353674" w:rsidRPr="00353674" w:rsidRDefault="009F143C" w:rsidP="00353674">
      <w:pPr>
        <w:spacing w:after="0" w:line="360" w:lineRule="auto"/>
        <w:rPr>
          <w:rFonts w:ascii="Times New Roman" w:eastAsia="Times New Roman" w:hAnsi="Times New Roman" w:cs="Times New Roman"/>
          <w:bCs/>
          <w:sz w:val="24"/>
          <w:szCs w:val="24"/>
          <w:lang w:val="en-US" w:eastAsia="en-GB"/>
        </w:rPr>
      </w:pPr>
      <w:r>
        <w:rPr>
          <w:rFonts w:ascii="Times New Roman" w:hAnsi="Times New Roman" w:cs="Times New Roman"/>
          <w:sz w:val="24"/>
          <w:szCs w:val="24"/>
        </w:rPr>
        <w:t xml:space="preserve">Table 1 </w:t>
      </w:r>
      <w:r w:rsidR="00353674" w:rsidRPr="00353674">
        <w:rPr>
          <w:rFonts w:ascii="Times New Roman" w:eastAsia="Times New Roman" w:hAnsi="Times New Roman" w:cs="Times New Roman"/>
          <w:bCs/>
          <w:sz w:val="24"/>
          <w:szCs w:val="24"/>
          <w:lang w:val="en-US" w:eastAsia="en-GB"/>
        </w:rPr>
        <w:t>presents the demographic profile of 332 participants diagnosed with type 2 diabetes mellitus. Females predominated (56.0%, n=186), reflecting gender disparities in healthcare-seeking behavior, while males comprised 44.0% (n=146). The largest age groups were 45–59 years (36.1%, n=120) and ≥60 years (33.1%, n=110), consistent with the typical onset of T2DM in middle-aged and older adults.</w:t>
      </w:r>
    </w:p>
    <w:p w14:paraId="36B6C1AC" w14:textId="77777777" w:rsidR="00353674" w:rsidRPr="00353674" w:rsidRDefault="00353674" w:rsidP="00353674">
      <w:pPr>
        <w:spacing w:after="0" w:line="360" w:lineRule="auto"/>
        <w:rPr>
          <w:rFonts w:ascii="Times New Roman" w:eastAsia="Times New Roman" w:hAnsi="Times New Roman" w:cs="Times New Roman"/>
          <w:bCs/>
          <w:sz w:val="24"/>
          <w:szCs w:val="24"/>
          <w:lang w:val="en-US" w:eastAsia="en-GB"/>
        </w:rPr>
      </w:pPr>
      <w:r w:rsidRPr="00353674">
        <w:rPr>
          <w:rFonts w:ascii="Times New Roman" w:eastAsia="Times New Roman" w:hAnsi="Times New Roman" w:cs="Times New Roman"/>
          <w:bCs/>
          <w:sz w:val="24"/>
          <w:szCs w:val="24"/>
          <w:lang w:val="en-US" w:eastAsia="en-GB"/>
        </w:rPr>
        <w:t>Most participants were married (72.3%, n=240), suggesting spousal support as a potential adherence factor, followed by widowed/divorced/separated (15.7%, n=52) and single (12.0%, n=40). Educationally, secondary level was most common (36.7%, n=122), with tertiary (28.9%, n=96), primary (24.1%, n=80), and no formal education (10.2%, n=34), indicating adequate literacy for self-management education.</w:t>
      </w:r>
    </w:p>
    <w:p w14:paraId="1C30A978" w14:textId="77777777" w:rsidR="00353674" w:rsidRPr="00353674" w:rsidRDefault="00353674" w:rsidP="00353674">
      <w:pPr>
        <w:spacing w:after="0" w:line="360" w:lineRule="auto"/>
        <w:rPr>
          <w:rFonts w:ascii="Times New Roman" w:eastAsia="Times New Roman" w:hAnsi="Times New Roman" w:cs="Times New Roman"/>
          <w:bCs/>
          <w:sz w:val="24"/>
          <w:szCs w:val="24"/>
          <w:lang w:val="en-US" w:eastAsia="en-GB"/>
        </w:rPr>
      </w:pPr>
      <w:r w:rsidRPr="00353674">
        <w:rPr>
          <w:rFonts w:ascii="Times New Roman" w:eastAsia="Times New Roman" w:hAnsi="Times New Roman" w:cs="Times New Roman"/>
          <w:bCs/>
          <w:sz w:val="24"/>
          <w:szCs w:val="24"/>
          <w:lang w:val="en-US" w:eastAsia="en-GB"/>
        </w:rPr>
        <w:t xml:space="preserve">Employment distribution showed 38.6% employed (n=128), 27.7% self-employed (n=92), 21.1% unemployed (n=70), and 12.7% retired (n=42), highlighting a mixed socioeconomic </w:t>
      </w:r>
      <w:r w:rsidRPr="00353674">
        <w:rPr>
          <w:rFonts w:ascii="Times New Roman" w:eastAsia="Times New Roman" w:hAnsi="Times New Roman" w:cs="Times New Roman"/>
          <w:bCs/>
          <w:sz w:val="24"/>
          <w:szCs w:val="24"/>
          <w:lang w:val="en-US" w:eastAsia="en-GB"/>
        </w:rPr>
        <w:lastRenderedPageBreak/>
        <w:t>profile influencing treatment access. Disease duration revealed 43.4% (n=144) diagnosed 1–5 years ago, 28.9% (n=96) 6–10 years, 19.3% (n=64) &gt;10 years, and 8.4% (n=28) &lt;1 year, suggesting varied coping experience.</w:t>
      </w:r>
    </w:p>
    <w:p w14:paraId="3ECA07C9" w14:textId="77777777" w:rsidR="00724233" w:rsidRDefault="00724233">
      <w:pPr>
        <w:spacing w:after="0" w:line="360" w:lineRule="auto"/>
        <w:rPr>
          <w:rFonts w:ascii="Times New Roman" w:eastAsia="Times New Roman" w:hAnsi="Times New Roman" w:cs="Times New Roman"/>
          <w:b/>
          <w:bCs/>
          <w:sz w:val="24"/>
          <w:szCs w:val="24"/>
          <w:lang w:eastAsia="en-GB"/>
        </w:rPr>
      </w:pPr>
    </w:p>
    <w:p w14:paraId="679992C4" w14:textId="77777777" w:rsidR="00724233" w:rsidRDefault="00724233">
      <w:pPr>
        <w:spacing w:after="0" w:line="360" w:lineRule="auto"/>
        <w:rPr>
          <w:rFonts w:ascii="Times New Roman" w:eastAsia="Times New Roman" w:hAnsi="Times New Roman" w:cs="Times New Roman"/>
          <w:b/>
          <w:bCs/>
          <w:sz w:val="24"/>
          <w:szCs w:val="24"/>
          <w:lang w:eastAsia="en-GB"/>
        </w:rPr>
      </w:pPr>
    </w:p>
    <w:p w14:paraId="09A066DD" w14:textId="77777777" w:rsidR="00724233" w:rsidRDefault="00724233">
      <w:pPr>
        <w:spacing w:after="0" w:line="360" w:lineRule="auto"/>
        <w:rPr>
          <w:rFonts w:ascii="Times New Roman" w:eastAsia="Times New Roman" w:hAnsi="Times New Roman" w:cs="Times New Roman"/>
          <w:b/>
          <w:bCs/>
          <w:sz w:val="24"/>
          <w:szCs w:val="24"/>
          <w:lang w:eastAsia="en-GB"/>
        </w:rPr>
      </w:pPr>
    </w:p>
    <w:p w14:paraId="6996D0D9" w14:textId="77777777" w:rsidR="00724233" w:rsidRDefault="009F143C">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Table 2: Distribution of Coping Strategies among Diabetes Mellitus Patients (n = 332)</w:t>
      </w:r>
    </w:p>
    <w:tbl>
      <w:tblPr>
        <w:tblStyle w:val="TableGrid"/>
        <w:tblW w:w="0" w:type="auto"/>
        <w:tblLook w:val="04A0" w:firstRow="1" w:lastRow="0" w:firstColumn="1" w:lastColumn="0" w:noHBand="0" w:noVBand="1"/>
      </w:tblPr>
      <w:tblGrid>
        <w:gridCol w:w="3060"/>
        <w:gridCol w:w="1451"/>
        <w:gridCol w:w="576"/>
        <w:gridCol w:w="636"/>
        <w:gridCol w:w="3293"/>
      </w:tblGrid>
      <w:tr w:rsidR="00724233" w14:paraId="088AF38E" w14:textId="77777777">
        <w:tc>
          <w:tcPr>
            <w:tcW w:w="0" w:type="auto"/>
            <w:hideMark/>
          </w:tcPr>
          <w:p w14:paraId="59D7073F" w14:textId="77777777" w:rsidR="00724233" w:rsidRDefault="009F143C">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Coping Theme</w:t>
            </w:r>
          </w:p>
        </w:tc>
        <w:tc>
          <w:tcPr>
            <w:tcW w:w="0" w:type="auto"/>
            <w:hideMark/>
          </w:tcPr>
          <w:p w14:paraId="293DE3BD" w14:textId="77777777" w:rsidR="00724233" w:rsidRDefault="009F143C">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Brief COPE Items</w:t>
            </w:r>
          </w:p>
        </w:tc>
        <w:tc>
          <w:tcPr>
            <w:tcW w:w="0" w:type="auto"/>
            <w:hideMark/>
          </w:tcPr>
          <w:p w14:paraId="46569A0F" w14:textId="77777777" w:rsidR="00724233" w:rsidRDefault="009F143C">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w:t>
            </w:r>
          </w:p>
        </w:tc>
        <w:tc>
          <w:tcPr>
            <w:tcW w:w="0" w:type="auto"/>
            <w:hideMark/>
          </w:tcPr>
          <w:p w14:paraId="03610779" w14:textId="77777777" w:rsidR="00724233" w:rsidRDefault="009F143C">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w:t>
            </w:r>
          </w:p>
        </w:tc>
        <w:tc>
          <w:tcPr>
            <w:tcW w:w="0" w:type="auto"/>
            <w:hideMark/>
          </w:tcPr>
          <w:p w14:paraId="3C684E27" w14:textId="77777777" w:rsidR="00724233" w:rsidRDefault="009F143C">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Summary of Behaviors</w:t>
            </w:r>
          </w:p>
        </w:tc>
      </w:tr>
      <w:tr w:rsidR="00724233" w14:paraId="77D18645" w14:textId="77777777">
        <w:tc>
          <w:tcPr>
            <w:tcW w:w="0" w:type="auto"/>
            <w:hideMark/>
          </w:tcPr>
          <w:p w14:paraId="55AE49B4"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Constructive Engagement (Problem-Focused Coping)</w:t>
            </w:r>
          </w:p>
        </w:tc>
        <w:tc>
          <w:tcPr>
            <w:tcW w:w="0" w:type="auto"/>
            <w:hideMark/>
          </w:tcPr>
          <w:p w14:paraId="1A4E644C"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2, 7, 14, 25</w:t>
            </w:r>
          </w:p>
        </w:tc>
        <w:tc>
          <w:tcPr>
            <w:tcW w:w="0" w:type="auto"/>
            <w:hideMark/>
          </w:tcPr>
          <w:p w14:paraId="4C6A6C49"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236</w:t>
            </w:r>
          </w:p>
        </w:tc>
        <w:tc>
          <w:tcPr>
            <w:tcW w:w="0" w:type="auto"/>
            <w:hideMark/>
          </w:tcPr>
          <w:p w14:paraId="29C8FA99"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71.1</w:t>
            </w:r>
          </w:p>
        </w:tc>
        <w:tc>
          <w:tcPr>
            <w:tcW w:w="0" w:type="auto"/>
            <w:hideMark/>
          </w:tcPr>
          <w:p w14:paraId="1E427D66"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Practical problem-solving, adherence to care plans, goal-setting</w:t>
            </w:r>
          </w:p>
        </w:tc>
      </w:tr>
      <w:tr w:rsidR="00724233" w14:paraId="427C2D44" w14:textId="77777777">
        <w:tc>
          <w:tcPr>
            <w:tcW w:w="0" w:type="auto"/>
            <w:hideMark/>
          </w:tcPr>
          <w:p w14:paraId="3C190B90"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Adaptive Cognitive Reframing (Positive Reappraisal and Acceptance)</w:t>
            </w:r>
          </w:p>
        </w:tc>
        <w:tc>
          <w:tcPr>
            <w:tcW w:w="0" w:type="auto"/>
            <w:hideMark/>
          </w:tcPr>
          <w:p w14:paraId="27DD6EF4"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12, 17, 20, 24</w:t>
            </w:r>
          </w:p>
        </w:tc>
        <w:tc>
          <w:tcPr>
            <w:tcW w:w="0" w:type="auto"/>
            <w:hideMark/>
          </w:tcPr>
          <w:p w14:paraId="74F63FBC"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218</w:t>
            </w:r>
          </w:p>
        </w:tc>
        <w:tc>
          <w:tcPr>
            <w:tcW w:w="0" w:type="auto"/>
            <w:hideMark/>
          </w:tcPr>
          <w:p w14:paraId="25F7F8DF"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65.7</w:t>
            </w:r>
          </w:p>
        </w:tc>
        <w:tc>
          <w:tcPr>
            <w:tcW w:w="0" w:type="auto"/>
            <w:hideMark/>
          </w:tcPr>
          <w:p w14:paraId="35135A4E"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Positive reinterpretation, acceptance, lifestyle adaptation</w:t>
            </w:r>
          </w:p>
        </w:tc>
      </w:tr>
      <w:tr w:rsidR="00724233" w14:paraId="0D1919E8" w14:textId="77777777">
        <w:tc>
          <w:tcPr>
            <w:tcW w:w="0" w:type="auto"/>
            <w:hideMark/>
          </w:tcPr>
          <w:p w14:paraId="30E155C2"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Social Support and Interpersonal Reliance</w:t>
            </w:r>
          </w:p>
        </w:tc>
        <w:tc>
          <w:tcPr>
            <w:tcW w:w="0" w:type="auto"/>
            <w:hideMark/>
          </w:tcPr>
          <w:p w14:paraId="4FA3B4F7"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5, 10, 15, 23</w:t>
            </w:r>
          </w:p>
        </w:tc>
        <w:tc>
          <w:tcPr>
            <w:tcW w:w="0" w:type="auto"/>
            <w:hideMark/>
          </w:tcPr>
          <w:p w14:paraId="56623821"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204</w:t>
            </w:r>
          </w:p>
        </w:tc>
        <w:tc>
          <w:tcPr>
            <w:tcW w:w="0" w:type="auto"/>
            <w:hideMark/>
          </w:tcPr>
          <w:p w14:paraId="11102002"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61.4</w:t>
            </w:r>
          </w:p>
        </w:tc>
        <w:tc>
          <w:tcPr>
            <w:tcW w:w="0" w:type="auto"/>
            <w:hideMark/>
          </w:tcPr>
          <w:p w14:paraId="32A8B449"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Seeking emotional/practical help from others</w:t>
            </w:r>
          </w:p>
        </w:tc>
      </w:tr>
      <w:tr w:rsidR="00724233" w14:paraId="7BE4CF1A" w14:textId="77777777">
        <w:tc>
          <w:tcPr>
            <w:tcW w:w="0" w:type="auto"/>
            <w:hideMark/>
          </w:tcPr>
          <w:p w14:paraId="17039467"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Spiritual and Religious Anchoring</w:t>
            </w:r>
          </w:p>
        </w:tc>
        <w:tc>
          <w:tcPr>
            <w:tcW w:w="0" w:type="auto"/>
            <w:hideMark/>
          </w:tcPr>
          <w:p w14:paraId="7F60F2F4"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22, 27</w:t>
            </w:r>
          </w:p>
        </w:tc>
        <w:tc>
          <w:tcPr>
            <w:tcW w:w="0" w:type="auto"/>
            <w:hideMark/>
          </w:tcPr>
          <w:p w14:paraId="45557C0B"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192</w:t>
            </w:r>
          </w:p>
        </w:tc>
        <w:tc>
          <w:tcPr>
            <w:tcW w:w="0" w:type="auto"/>
            <w:hideMark/>
          </w:tcPr>
          <w:p w14:paraId="7B848025"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57.8</w:t>
            </w:r>
          </w:p>
        </w:tc>
        <w:tc>
          <w:tcPr>
            <w:tcW w:w="0" w:type="auto"/>
            <w:hideMark/>
          </w:tcPr>
          <w:p w14:paraId="2534F697"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Faith-based coping, prayer, religious gatherings</w:t>
            </w:r>
          </w:p>
        </w:tc>
      </w:tr>
      <w:tr w:rsidR="00724233" w14:paraId="24986C99" w14:textId="77777777">
        <w:tc>
          <w:tcPr>
            <w:tcW w:w="0" w:type="auto"/>
            <w:hideMark/>
          </w:tcPr>
          <w:p w14:paraId="13EA06E5"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Emotional Regulation and Distraction (Emotion-Focused Coping)</w:t>
            </w:r>
          </w:p>
        </w:tc>
        <w:tc>
          <w:tcPr>
            <w:tcW w:w="0" w:type="auto"/>
            <w:hideMark/>
          </w:tcPr>
          <w:p w14:paraId="141728C8"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1, 9, 18, 19, 21</w:t>
            </w:r>
          </w:p>
        </w:tc>
        <w:tc>
          <w:tcPr>
            <w:tcW w:w="0" w:type="auto"/>
            <w:hideMark/>
          </w:tcPr>
          <w:p w14:paraId="57842CDD"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138</w:t>
            </w:r>
          </w:p>
        </w:tc>
        <w:tc>
          <w:tcPr>
            <w:tcW w:w="0" w:type="auto"/>
            <w:hideMark/>
          </w:tcPr>
          <w:p w14:paraId="04B9FA92"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41.6</w:t>
            </w:r>
          </w:p>
        </w:tc>
        <w:tc>
          <w:tcPr>
            <w:tcW w:w="0" w:type="auto"/>
            <w:hideMark/>
          </w:tcPr>
          <w:p w14:paraId="6DCE762C"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Distraction, humour, emotional expression</w:t>
            </w:r>
          </w:p>
        </w:tc>
      </w:tr>
      <w:tr w:rsidR="00724233" w14:paraId="03B3C213" w14:textId="77777777">
        <w:tc>
          <w:tcPr>
            <w:tcW w:w="0" w:type="auto"/>
            <w:hideMark/>
          </w:tcPr>
          <w:p w14:paraId="068AF1BE"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Withdrawal and Maladaptive Responses</w:t>
            </w:r>
          </w:p>
        </w:tc>
        <w:tc>
          <w:tcPr>
            <w:tcW w:w="0" w:type="auto"/>
            <w:hideMark/>
          </w:tcPr>
          <w:p w14:paraId="1B68B66E"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3, 4, 6, 8, 11, 13, 16, 26, 28</w:t>
            </w:r>
          </w:p>
        </w:tc>
        <w:tc>
          <w:tcPr>
            <w:tcW w:w="0" w:type="auto"/>
            <w:hideMark/>
          </w:tcPr>
          <w:p w14:paraId="1B2B5A7A"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94</w:t>
            </w:r>
          </w:p>
        </w:tc>
        <w:tc>
          <w:tcPr>
            <w:tcW w:w="0" w:type="auto"/>
            <w:hideMark/>
          </w:tcPr>
          <w:p w14:paraId="693ABCDB"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28.3</w:t>
            </w:r>
          </w:p>
        </w:tc>
        <w:tc>
          <w:tcPr>
            <w:tcW w:w="0" w:type="auto"/>
            <w:hideMark/>
          </w:tcPr>
          <w:p w14:paraId="0D6C02CA"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Denial, disengagement, self-blame, substance use</w:t>
            </w:r>
          </w:p>
        </w:tc>
      </w:tr>
    </w:tbl>
    <w:p w14:paraId="2228F958" w14:textId="77777777" w:rsidR="00724233" w:rsidRDefault="009F143C">
      <w:pPr>
        <w:pStyle w:val="NormalWeb"/>
        <w:spacing w:before="0" w:beforeAutospacing="0" w:after="0" w:afterAutospacing="0"/>
      </w:pPr>
      <w:r>
        <w:rPr>
          <w:rStyle w:val="Strong"/>
          <w:b w:val="0"/>
        </w:rPr>
        <w:t>Source</w:t>
      </w:r>
      <w:r>
        <w:t>: Field Survey, 2025</w:t>
      </w:r>
    </w:p>
    <w:p w14:paraId="18F25F6A" w14:textId="77777777" w:rsidR="00724233" w:rsidRDefault="009F143C">
      <w:pPr>
        <w:spacing w:before="240" w:after="0"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Coping Strategies among Participants</w:t>
      </w:r>
    </w:p>
    <w:p w14:paraId="25433310" w14:textId="77777777" w:rsidR="00724233" w:rsidRDefault="009F143C">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total of 332 participants completed the Brief COPE Inventory. Six major coping themes were identified from the thematic analysis (Table 2). The most frequently reported was </w:t>
      </w:r>
      <w:r>
        <w:rPr>
          <w:rFonts w:ascii="Times New Roman" w:eastAsia="Times New Roman" w:hAnsi="Times New Roman" w:cs="Times New Roman"/>
          <w:b/>
          <w:bCs/>
          <w:sz w:val="24"/>
          <w:szCs w:val="24"/>
          <w:lang w:eastAsia="en-GB"/>
        </w:rPr>
        <w:t>Constructive Engagement (Problem-Focused Coping)</w:t>
      </w:r>
      <w:r>
        <w:rPr>
          <w:rFonts w:ascii="Times New Roman" w:eastAsia="Times New Roman" w:hAnsi="Times New Roman" w:cs="Times New Roman"/>
          <w:sz w:val="24"/>
          <w:szCs w:val="24"/>
          <w:lang w:eastAsia="en-GB"/>
        </w:rPr>
        <w:t>, identified in 236 participants (71.1%). This involved concentrating on practical solutions, taking deliberate steps to improve health through medication adherence, dietary regulation, and exercise, as well as developing and following detailed self-management plans. These responses indicate an active coping orientation and the presence of self-efficacy in diabetes self-management.</w:t>
      </w:r>
    </w:p>
    <w:p w14:paraId="1E0AA037" w14:textId="77777777" w:rsidR="00724233" w:rsidRDefault="009F143C">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Adaptive Cognitive Reframing (Positive Reappraisal and Acceptance)</w:t>
      </w:r>
      <w:r>
        <w:rPr>
          <w:rFonts w:ascii="Times New Roman" w:eastAsia="Times New Roman" w:hAnsi="Times New Roman" w:cs="Times New Roman"/>
          <w:sz w:val="24"/>
          <w:szCs w:val="24"/>
          <w:lang w:eastAsia="en-GB"/>
        </w:rPr>
        <w:t xml:space="preserve"> was reported by 218 participants (65.7%). Participants described reframing their experience positively, accepting </w:t>
      </w:r>
      <w:r>
        <w:rPr>
          <w:rFonts w:ascii="Times New Roman" w:eastAsia="Times New Roman" w:hAnsi="Times New Roman" w:cs="Times New Roman"/>
          <w:sz w:val="24"/>
          <w:szCs w:val="24"/>
          <w:lang w:eastAsia="en-GB"/>
        </w:rPr>
        <w:lastRenderedPageBreak/>
        <w:t>the chronic nature of the disease, adapting their lifestyle accordingly, and identifying personal growth opportunities within their illness experience. This suggests a constructive psychological adjustment to living with diabetes.</w:t>
      </w:r>
    </w:p>
    <w:p w14:paraId="18B128B0" w14:textId="77777777" w:rsidR="00724233" w:rsidRDefault="009F143C">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Social Support and Interpersonal Reliance</w:t>
      </w:r>
      <w:r>
        <w:rPr>
          <w:rFonts w:ascii="Times New Roman" w:eastAsia="Times New Roman" w:hAnsi="Times New Roman" w:cs="Times New Roman"/>
          <w:sz w:val="24"/>
          <w:szCs w:val="24"/>
          <w:lang w:eastAsia="en-GB"/>
        </w:rPr>
        <w:t xml:space="preserve"> was observed in 204 participants (61.4%), characterised by seeking emotional and practical assistance from family members, friends, peers, and healthcare providers. This demonstrates reliance on interpersonal relationships as a means of navigating illness-related challenges.</w:t>
      </w:r>
    </w:p>
    <w:p w14:paraId="5F729F15" w14:textId="77777777" w:rsidR="00724233" w:rsidRDefault="009F143C">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Spiritual and Religious Anchoring</w:t>
      </w:r>
      <w:r>
        <w:rPr>
          <w:rFonts w:ascii="Times New Roman" w:eastAsia="Times New Roman" w:hAnsi="Times New Roman" w:cs="Times New Roman"/>
          <w:sz w:val="24"/>
          <w:szCs w:val="24"/>
          <w:lang w:eastAsia="en-GB"/>
        </w:rPr>
        <w:t xml:space="preserve"> was reported by 192 participants (57.8%), involving prayer, reading religious texts, attending religious gatherings, and interpreting the illness through a faith-based lens. These responses highlight the salience of religious and spiritual beliefs in coping with chronic illness in this population.</w:t>
      </w:r>
    </w:p>
    <w:p w14:paraId="4B4DDCD8" w14:textId="77777777" w:rsidR="00724233" w:rsidRDefault="009F143C">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Emotional Regulation and Distraction (Emotion-Focused Coping)</w:t>
      </w:r>
      <w:r>
        <w:rPr>
          <w:rFonts w:ascii="Times New Roman" w:eastAsia="Times New Roman" w:hAnsi="Times New Roman" w:cs="Times New Roman"/>
          <w:sz w:val="24"/>
          <w:szCs w:val="24"/>
          <w:lang w:eastAsia="en-GB"/>
        </w:rPr>
        <w:t xml:space="preserve"> was identified in 138 participants (41.6%). Strategies included distraction through work, social activities, humour, entertainment, or sleep, as well as emotional expression such as crying or venting. This reflects efforts to manage distress without directly addressing the underlying stressors.</w:t>
      </w:r>
    </w:p>
    <w:p w14:paraId="051E19BF" w14:textId="2B2B7AAE" w:rsidR="00724233" w:rsidRDefault="009F143C">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minority of participants, 94 (28.3%), demonstrated </w:t>
      </w:r>
      <w:r>
        <w:rPr>
          <w:rFonts w:ascii="Times New Roman" w:eastAsia="Times New Roman" w:hAnsi="Times New Roman" w:cs="Times New Roman"/>
          <w:b/>
          <w:bCs/>
          <w:sz w:val="24"/>
          <w:szCs w:val="24"/>
          <w:lang w:eastAsia="en-GB"/>
        </w:rPr>
        <w:t>Withdrawal and Maladaptive Responses</w:t>
      </w:r>
      <w:r>
        <w:rPr>
          <w:rFonts w:ascii="Times New Roman" w:eastAsia="Times New Roman" w:hAnsi="Times New Roman" w:cs="Times New Roman"/>
          <w:sz w:val="24"/>
          <w:szCs w:val="24"/>
          <w:lang w:eastAsia="en-GB"/>
        </w:rPr>
        <w:t>, including denial of diagnosis, substance use, disengagement from self-care, and self-blame. These behaviors reflect avoidant coping styles and are associated with higher psychosocial vulnerability.</w:t>
      </w:r>
    </w:p>
    <w:p w14:paraId="6B010DDF" w14:textId="2DD3F2BB" w:rsidR="00106E95" w:rsidRDefault="00106E95" w:rsidP="00106E95">
      <w:pPr>
        <w:spacing w:after="0" w:line="480" w:lineRule="auto"/>
        <w:jc w:val="both"/>
        <w:rPr>
          <w:rFonts w:ascii="Times New Roman" w:eastAsia="Times New Roman" w:hAnsi="Times New Roman" w:cs="Times New Roman"/>
          <w:b/>
          <w:bCs/>
          <w:sz w:val="24"/>
          <w:szCs w:val="24"/>
          <w:lang w:val="en-US" w:eastAsia="en-GB"/>
        </w:rPr>
      </w:pPr>
      <w:r w:rsidRPr="00106E95">
        <w:rPr>
          <w:rFonts w:ascii="Times New Roman" w:eastAsia="Times New Roman" w:hAnsi="Times New Roman" w:cs="Times New Roman"/>
          <w:b/>
          <w:bCs/>
          <w:sz w:val="24"/>
          <w:szCs w:val="24"/>
          <w:lang w:val="en-US" w:eastAsia="en-GB"/>
        </w:rPr>
        <w:t xml:space="preserve">Table </w:t>
      </w:r>
      <w:r w:rsidR="00A073F6">
        <w:rPr>
          <w:rFonts w:ascii="Times New Roman" w:eastAsia="Times New Roman" w:hAnsi="Times New Roman" w:cs="Times New Roman"/>
          <w:b/>
          <w:bCs/>
          <w:sz w:val="24"/>
          <w:szCs w:val="24"/>
          <w:lang w:val="en-US" w:eastAsia="en-GB"/>
        </w:rPr>
        <w:t>3:</w:t>
      </w:r>
      <w:r w:rsidRPr="00106E95">
        <w:rPr>
          <w:rFonts w:ascii="Times New Roman" w:eastAsia="Times New Roman" w:hAnsi="Times New Roman" w:cs="Times New Roman"/>
          <w:b/>
          <w:bCs/>
          <w:sz w:val="24"/>
          <w:szCs w:val="24"/>
          <w:lang w:val="en-US" w:eastAsia="en-GB"/>
        </w:rPr>
        <w:t xml:space="preserve"> Qualitative Themes and Illustrative Quotes on Coping Strategies</w:t>
      </w:r>
    </w:p>
    <w:p w14:paraId="6DFB27C6" w14:textId="20EB202D" w:rsidR="00A073F6" w:rsidRPr="00A073F6" w:rsidRDefault="00A073F6" w:rsidP="00106E95">
      <w:pPr>
        <w:spacing w:after="0" w:line="480" w:lineRule="auto"/>
        <w:jc w:val="both"/>
        <w:rPr>
          <w:rFonts w:ascii="Times New Roman" w:eastAsia="Times New Roman" w:hAnsi="Times New Roman" w:cs="Times New Roman"/>
          <w:bCs/>
          <w:sz w:val="24"/>
          <w:szCs w:val="24"/>
          <w:lang w:val="en-US" w:eastAsia="en-GB"/>
        </w:rPr>
      </w:pPr>
      <w:r w:rsidRPr="00A073F6">
        <w:rPr>
          <w:rFonts w:ascii="Times New Roman" w:eastAsia="Times New Roman" w:hAnsi="Times New Roman" w:cs="Times New Roman"/>
          <w:bCs/>
          <w:sz w:val="24"/>
          <w:szCs w:val="24"/>
          <w:lang w:eastAsia="en-GB"/>
        </w:rPr>
        <w:t>The analysis of open-ended responses provided rich, contextual depth to the quantitative coping themes. Below are anonymized, illustrative quotes for each major coping domain:</w:t>
      </w: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6"/>
        <w:gridCol w:w="1971"/>
        <w:gridCol w:w="4978"/>
      </w:tblGrid>
      <w:tr w:rsidR="00A073F6" w:rsidRPr="00106E95" w14:paraId="0CF11D13" w14:textId="77777777" w:rsidTr="00A073F6">
        <w:trPr>
          <w:trHeight w:val="551"/>
          <w:tblHeader/>
        </w:trPr>
        <w:tc>
          <w:tcPr>
            <w:tcW w:w="0" w:type="auto"/>
            <w:tcMar>
              <w:top w:w="150" w:type="dxa"/>
              <w:left w:w="0" w:type="dxa"/>
              <w:bottom w:w="150" w:type="dxa"/>
              <w:right w:w="240" w:type="dxa"/>
            </w:tcMar>
            <w:vAlign w:val="center"/>
            <w:hideMark/>
          </w:tcPr>
          <w:p w14:paraId="227E1C46" w14:textId="77777777"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sz w:val="24"/>
                <w:szCs w:val="24"/>
                <w:lang w:val="en-US" w:eastAsia="en-GB"/>
              </w:rPr>
              <w:lastRenderedPageBreak/>
              <w:t>Thematic Category</w:t>
            </w:r>
          </w:p>
        </w:tc>
        <w:tc>
          <w:tcPr>
            <w:tcW w:w="0" w:type="auto"/>
            <w:tcMar>
              <w:top w:w="150" w:type="dxa"/>
              <w:left w:w="240" w:type="dxa"/>
              <w:bottom w:w="150" w:type="dxa"/>
              <w:right w:w="240" w:type="dxa"/>
            </w:tcMar>
            <w:vAlign w:val="center"/>
            <w:hideMark/>
          </w:tcPr>
          <w:p w14:paraId="5B0F716F" w14:textId="77777777"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sz w:val="24"/>
                <w:szCs w:val="24"/>
                <w:lang w:val="en-US" w:eastAsia="en-GB"/>
              </w:rPr>
              <w:t>Coping Theme</w:t>
            </w:r>
          </w:p>
        </w:tc>
        <w:tc>
          <w:tcPr>
            <w:tcW w:w="0" w:type="auto"/>
            <w:tcMar>
              <w:top w:w="150" w:type="dxa"/>
              <w:left w:w="240" w:type="dxa"/>
              <w:bottom w:w="150" w:type="dxa"/>
              <w:right w:w="240" w:type="dxa"/>
            </w:tcMar>
            <w:vAlign w:val="center"/>
            <w:hideMark/>
          </w:tcPr>
          <w:p w14:paraId="7A7F9E84" w14:textId="77777777"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sz w:val="24"/>
                <w:szCs w:val="24"/>
                <w:lang w:val="en-US" w:eastAsia="en-GB"/>
              </w:rPr>
              <w:t>Illustrative Quote</w:t>
            </w:r>
          </w:p>
        </w:tc>
      </w:tr>
      <w:tr w:rsidR="00A073F6" w:rsidRPr="00106E95" w14:paraId="6FD9956C" w14:textId="77777777" w:rsidTr="00A073F6">
        <w:trPr>
          <w:trHeight w:val="3294"/>
        </w:trPr>
        <w:tc>
          <w:tcPr>
            <w:tcW w:w="0" w:type="auto"/>
            <w:tcMar>
              <w:top w:w="150" w:type="dxa"/>
              <w:left w:w="0" w:type="dxa"/>
              <w:bottom w:w="150" w:type="dxa"/>
              <w:right w:w="240" w:type="dxa"/>
            </w:tcMar>
            <w:vAlign w:val="center"/>
            <w:hideMark/>
          </w:tcPr>
          <w:p w14:paraId="18F523C4" w14:textId="0B427677"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b/>
                <w:bCs/>
                <w:sz w:val="24"/>
                <w:szCs w:val="24"/>
                <w:lang w:val="en-US" w:eastAsia="en-GB"/>
              </w:rPr>
              <w:t>Constructive Engagement</w:t>
            </w:r>
          </w:p>
        </w:tc>
        <w:tc>
          <w:tcPr>
            <w:tcW w:w="0" w:type="auto"/>
            <w:tcMar>
              <w:top w:w="150" w:type="dxa"/>
              <w:left w:w="240" w:type="dxa"/>
              <w:bottom w:w="150" w:type="dxa"/>
              <w:right w:w="240" w:type="dxa"/>
            </w:tcMar>
            <w:vAlign w:val="center"/>
            <w:hideMark/>
          </w:tcPr>
          <w:p w14:paraId="0F69E315" w14:textId="77777777"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sz w:val="24"/>
                <w:szCs w:val="24"/>
                <w:lang w:val="en-US" w:eastAsia="en-GB"/>
              </w:rPr>
              <w:t>Problem-Focused Coping</w:t>
            </w:r>
          </w:p>
        </w:tc>
        <w:tc>
          <w:tcPr>
            <w:tcW w:w="0" w:type="auto"/>
            <w:tcMar>
              <w:top w:w="150" w:type="dxa"/>
              <w:left w:w="240" w:type="dxa"/>
              <w:bottom w:w="150" w:type="dxa"/>
              <w:right w:w="0" w:type="dxa"/>
            </w:tcMar>
            <w:vAlign w:val="center"/>
            <w:hideMark/>
          </w:tcPr>
          <w:p w14:paraId="6C395E0A" w14:textId="09193AC0"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iCs/>
                <w:sz w:val="24"/>
                <w:szCs w:val="24"/>
                <w:lang w:val="en-US" w:eastAsia="en-GB"/>
              </w:rPr>
              <w:t>"I have a specific plan. I take my medicine at 7 AM and 7 PM, I eat my vegetables, and I walk in the evening. This is my life now, and I follow it to keep my sugar down."</w:t>
            </w:r>
            <w:r w:rsidRPr="00106E95">
              <w:rPr>
                <w:rFonts w:ascii="Times New Roman" w:eastAsia="Times New Roman" w:hAnsi="Times New Roman" w:cs="Times New Roman"/>
                <w:sz w:val="24"/>
                <w:szCs w:val="24"/>
                <w:lang w:val="en-US" w:eastAsia="en-GB"/>
              </w:rPr>
              <w:t> (Male, 58 years)</w:t>
            </w:r>
            <w:r w:rsidR="00A073F6">
              <w:rPr>
                <w:rFonts w:ascii="Times New Roman" w:eastAsia="Times New Roman" w:hAnsi="Times New Roman" w:cs="Times New Roman"/>
                <w:sz w:val="24"/>
                <w:szCs w:val="24"/>
                <w:lang w:val="en-US" w:eastAsia="en-GB"/>
              </w:rPr>
              <w:t>.</w:t>
            </w:r>
            <w:r w:rsidRPr="00106E95">
              <w:rPr>
                <w:rFonts w:ascii="Times New Roman" w:eastAsia="Times New Roman" w:hAnsi="Times New Roman" w:cs="Times New Roman"/>
                <w:sz w:val="24"/>
                <w:szCs w:val="24"/>
                <w:lang w:val="en-US" w:eastAsia="en-GB"/>
              </w:rPr>
              <w:br/>
            </w:r>
            <w:r w:rsidRPr="00106E95">
              <w:rPr>
                <w:rFonts w:ascii="Times New Roman" w:eastAsia="Times New Roman" w:hAnsi="Times New Roman" w:cs="Times New Roman"/>
                <w:iCs/>
                <w:sz w:val="24"/>
                <w:szCs w:val="24"/>
                <w:lang w:val="en-US" w:eastAsia="en-GB"/>
              </w:rPr>
              <w:t>"After the nurse taught me, I started checking my blood sugar myself. When I see the number is good, I know my effort is working. When it's high, I check what I ate."</w:t>
            </w:r>
            <w:r w:rsidRPr="00106E95">
              <w:rPr>
                <w:rFonts w:ascii="Times New Roman" w:eastAsia="Times New Roman" w:hAnsi="Times New Roman" w:cs="Times New Roman"/>
                <w:sz w:val="24"/>
                <w:szCs w:val="24"/>
                <w:lang w:val="en-US" w:eastAsia="en-GB"/>
              </w:rPr>
              <w:t> (Female, 47 years)</w:t>
            </w:r>
            <w:r w:rsidR="00A073F6">
              <w:rPr>
                <w:rFonts w:ascii="Times New Roman" w:eastAsia="Times New Roman" w:hAnsi="Times New Roman" w:cs="Times New Roman"/>
                <w:sz w:val="24"/>
                <w:szCs w:val="24"/>
                <w:lang w:val="en-US" w:eastAsia="en-GB"/>
              </w:rPr>
              <w:t>.</w:t>
            </w:r>
          </w:p>
        </w:tc>
      </w:tr>
      <w:tr w:rsidR="00A073F6" w:rsidRPr="00106E95" w14:paraId="7B2BF87C" w14:textId="77777777" w:rsidTr="00A073F6">
        <w:trPr>
          <w:trHeight w:val="3294"/>
        </w:trPr>
        <w:tc>
          <w:tcPr>
            <w:tcW w:w="0" w:type="auto"/>
            <w:tcMar>
              <w:top w:w="150" w:type="dxa"/>
              <w:left w:w="0" w:type="dxa"/>
              <w:bottom w:w="150" w:type="dxa"/>
              <w:right w:w="240" w:type="dxa"/>
            </w:tcMar>
            <w:vAlign w:val="center"/>
            <w:hideMark/>
          </w:tcPr>
          <w:p w14:paraId="094650BD" w14:textId="0305BC1E"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b/>
                <w:bCs/>
                <w:sz w:val="24"/>
                <w:szCs w:val="24"/>
                <w:lang w:val="en-US" w:eastAsia="en-GB"/>
              </w:rPr>
              <w:t>Adaptive Cognitive Reframing</w:t>
            </w:r>
          </w:p>
        </w:tc>
        <w:tc>
          <w:tcPr>
            <w:tcW w:w="0" w:type="auto"/>
            <w:tcMar>
              <w:top w:w="150" w:type="dxa"/>
              <w:left w:w="240" w:type="dxa"/>
              <w:bottom w:w="150" w:type="dxa"/>
              <w:right w:w="240" w:type="dxa"/>
            </w:tcMar>
            <w:vAlign w:val="center"/>
            <w:hideMark/>
          </w:tcPr>
          <w:p w14:paraId="699429EA" w14:textId="77777777"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sz w:val="24"/>
                <w:szCs w:val="24"/>
                <w:lang w:val="en-US" w:eastAsia="en-GB"/>
              </w:rPr>
              <w:t>Positive Reappraisal and Acceptance</w:t>
            </w:r>
          </w:p>
        </w:tc>
        <w:tc>
          <w:tcPr>
            <w:tcW w:w="0" w:type="auto"/>
            <w:tcMar>
              <w:top w:w="150" w:type="dxa"/>
              <w:left w:w="240" w:type="dxa"/>
              <w:bottom w:w="150" w:type="dxa"/>
              <w:right w:w="0" w:type="dxa"/>
            </w:tcMar>
            <w:vAlign w:val="center"/>
            <w:hideMark/>
          </w:tcPr>
          <w:p w14:paraId="7418EC3E" w14:textId="2B5E2603"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iCs/>
                <w:sz w:val="24"/>
                <w:szCs w:val="24"/>
                <w:lang w:val="en-US" w:eastAsia="en-GB"/>
              </w:rPr>
              <w:t>"At first, I was devastated. But now I see it as a warning from my body. It has forced me to stop eating rubbish and take care of myself. In a way, it saved my life."</w:t>
            </w:r>
            <w:r w:rsidRPr="00106E95">
              <w:rPr>
                <w:rFonts w:ascii="Times New Roman" w:eastAsia="Times New Roman" w:hAnsi="Times New Roman" w:cs="Times New Roman"/>
                <w:sz w:val="24"/>
                <w:szCs w:val="24"/>
                <w:lang w:val="en-US" w:eastAsia="en-GB"/>
              </w:rPr>
              <w:t> (Female, 62 years)</w:t>
            </w:r>
            <w:r w:rsidR="00A073F6">
              <w:rPr>
                <w:rFonts w:ascii="Times New Roman" w:eastAsia="Times New Roman" w:hAnsi="Times New Roman" w:cs="Times New Roman"/>
                <w:sz w:val="24"/>
                <w:szCs w:val="24"/>
                <w:lang w:val="en-US" w:eastAsia="en-GB"/>
              </w:rPr>
              <w:t>.</w:t>
            </w:r>
            <w:r w:rsidRPr="00106E95">
              <w:rPr>
                <w:rFonts w:ascii="Times New Roman" w:eastAsia="Times New Roman" w:hAnsi="Times New Roman" w:cs="Times New Roman"/>
                <w:sz w:val="24"/>
                <w:szCs w:val="24"/>
                <w:lang w:val="en-US" w:eastAsia="en-GB"/>
              </w:rPr>
              <w:br/>
            </w:r>
            <w:r w:rsidRPr="00106E95">
              <w:rPr>
                <w:rFonts w:ascii="Times New Roman" w:eastAsia="Times New Roman" w:hAnsi="Times New Roman" w:cs="Times New Roman"/>
                <w:iCs/>
                <w:sz w:val="24"/>
                <w:szCs w:val="24"/>
                <w:lang w:val="en-US" w:eastAsia="en-GB"/>
              </w:rPr>
              <w:t>"I have accepted it as my companion. We must live together. I cannot fight it, so I learn to manage it and live well despite it."</w:t>
            </w:r>
            <w:r w:rsidRPr="00106E95">
              <w:rPr>
                <w:rFonts w:ascii="Times New Roman" w:eastAsia="Times New Roman" w:hAnsi="Times New Roman" w:cs="Times New Roman"/>
                <w:sz w:val="24"/>
                <w:szCs w:val="24"/>
                <w:lang w:val="en-US" w:eastAsia="en-GB"/>
              </w:rPr>
              <w:t> (Male, 55 years)</w:t>
            </w:r>
            <w:r w:rsidR="00A073F6">
              <w:rPr>
                <w:rFonts w:ascii="Times New Roman" w:eastAsia="Times New Roman" w:hAnsi="Times New Roman" w:cs="Times New Roman"/>
                <w:sz w:val="24"/>
                <w:szCs w:val="24"/>
                <w:lang w:val="en-US" w:eastAsia="en-GB"/>
              </w:rPr>
              <w:t>.</w:t>
            </w:r>
          </w:p>
        </w:tc>
      </w:tr>
      <w:tr w:rsidR="00A073F6" w:rsidRPr="00106E95" w14:paraId="106D8489" w14:textId="77777777" w:rsidTr="00A073F6">
        <w:trPr>
          <w:trHeight w:val="3294"/>
        </w:trPr>
        <w:tc>
          <w:tcPr>
            <w:tcW w:w="0" w:type="auto"/>
            <w:tcMar>
              <w:top w:w="150" w:type="dxa"/>
              <w:left w:w="0" w:type="dxa"/>
              <w:bottom w:w="150" w:type="dxa"/>
              <w:right w:w="240" w:type="dxa"/>
            </w:tcMar>
            <w:vAlign w:val="center"/>
            <w:hideMark/>
          </w:tcPr>
          <w:p w14:paraId="60E8B7E3" w14:textId="10A14090"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b/>
                <w:bCs/>
                <w:sz w:val="24"/>
                <w:szCs w:val="24"/>
                <w:lang w:val="en-US" w:eastAsia="en-GB"/>
              </w:rPr>
              <w:t>Social Support &amp; Interpersonal Reliance</w:t>
            </w:r>
          </w:p>
        </w:tc>
        <w:tc>
          <w:tcPr>
            <w:tcW w:w="0" w:type="auto"/>
            <w:tcMar>
              <w:top w:w="150" w:type="dxa"/>
              <w:left w:w="240" w:type="dxa"/>
              <w:bottom w:w="150" w:type="dxa"/>
              <w:right w:w="240" w:type="dxa"/>
            </w:tcMar>
            <w:vAlign w:val="center"/>
            <w:hideMark/>
          </w:tcPr>
          <w:p w14:paraId="5AE36FA2" w14:textId="77777777"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sz w:val="24"/>
                <w:szCs w:val="24"/>
                <w:lang w:val="en-US" w:eastAsia="en-GB"/>
              </w:rPr>
              <w:t>Seeking and Utilizing Support Networks</w:t>
            </w:r>
          </w:p>
        </w:tc>
        <w:tc>
          <w:tcPr>
            <w:tcW w:w="0" w:type="auto"/>
            <w:tcMar>
              <w:top w:w="150" w:type="dxa"/>
              <w:left w:w="240" w:type="dxa"/>
              <w:bottom w:w="150" w:type="dxa"/>
              <w:right w:w="0" w:type="dxa"/>
            </w:tcMar>
            <w:vAlign w:val="center"/>
            <w:hideMark/>
          </w:tcPr>
          <w:p w14:paraId="623E7078" w14:textId="469BD1CA"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iCs/>
                <w:sz w:val="24"/>
                <w:szCs w:val="24"/>
                <w:lang w:val="en-US" w:eastAsia="en-GB"/>
              </w:rPr>
              <w:t>"My children are my strength. They remind me to take my drugs and prepare my food without salt or oil. If not for them, I would have given up."</w:t>
            </w:r>
            <w:r w:rsidRPr="00106E95">
              <w:rPr>
                <w:rFonts w:ascii="Times New Roman" w:eastAsia="Times New Roman" w:hAnsi="Times New Roman" w:cs="Times New Roman"/>
                <w:sz w:val="24"/>
                <w:szCs w:val="24"/>
                <w:lang w:val="en-US" w:eastAsia="en-GB"/>
              </w:rPr>
              <w:t> (Female,70years)</w:t>
            </w:r>
            <w:r w:rsidR="00A073F6">
              <w:rPr>
                <w:rFonts w:ascii="Times New Roman" w:eastAsia="Times New Roman" w:hAnsi="Times New Roman" w:cs="Times New Roman"/>
                <w:sz w:val="24"/>
                <w:szCs w:val="24"/>
                <w:lang w:val="en-US" w:eastAsia="en-GB"/>
              </w:rPr>
              <w:t>.</w:t>
            </w:r>
            <w:r w:rsidRPr="00106E95">
              <w:rPr>
                <w:rFonts w:ascii="Times New Roman" w:eastAsia="Times New Roman" w:hAnsi="Times New Roman" w:cs="Times New Roman"/>
                <w:sz w:val="24"/>
                <w:szCs w:val="24"/>
                <w:lang w:val="en-US" w:eastAsia="en-GB"/>
              </w:rPr>
              <w:br/>
            </w:r>
            <w:r w:rsidRPr="00106E95">
              <w:rPr>
                <w:rFonts w:ascii="Times New Roman" w:eastAsia="Times New Roman" w:hAnsi="Times New Roman" w:cs="Times New Roman"/>
                <w:iCs/>
                <w:sz w:val="24"/>
                <w:szCs w:val="24"/>
                <w:lang w:val="en-US" w:eastAsia="en-GB"/>
              </w:rPr>
              <w:t xml:space="preserve">"My friend also has sugar disease. We talk on the </w:t>
            </w:r>
            <w:r w:rsidRPr="00106E95">
              <w:rPr>
                <w:rFonts w:ascii="Times New Roman" w:eastAsia="Times New Roman" w:hAnsi="Times New Roman" w:cs="Times New Roman"/>
                <w:iCs/>
                <w:sz w:val="24"/>
                <w:szCs w:val="24"/>
                <w:lang w:val="en-US" w:eastAsia="en-GB"/>
              </w:rPr>
              <w:lastRenderedPageBreak/>
              <w:t>phone every market day. We share our problems and encourage each other."</w:t>
            </w:r>
            <w:r w:rsidRPr="00106E95">
              <w:rPr>
                <w:rFonts w:ascii="Times New Roman" w:eastAsia="Times New Roman" w:hAnsi="Times New Roman" w:cs="Times New Roman"/>
                <w:sz w:val="24"/>
                <w:szCs w:val="24"/>
                <w:lang w:val="en-US" w:eastAsia="en-GB"/>
              </w:rPr>
              <w:t> (Male, 52 years)</w:t>
            </w:r>
            <w:r w:rsidR="00A073F6">
              <w:rPr>
                <w:rFonts w:ascii="Times New Roman" w:eastAsia="Times New Roman" w:hAnsi="Times New Roman" w:cs="Times New Roman"/>
                <w:sz w:val="24"/>
                <w:szCs w:val="24"/>
                <w:lang w:val="en-US" w:eastAsia="en-GB"/>
              </w:rPr>
              <w:t>.</w:t>
            </w:r>
          </w:p>
        </w:tc>
      </w:tr>
      <w:tr w:rsidR="00A073F6" w:rsidRPr="00106E95" w14:paraId="1843CEE5" w14:textId="77777777" w:rsidTr="00A073F6">
        <w:trPr>
          <w:trHeight w:val="3278"/>
        </w:trPr>
        <w:tc>
          <w:tcPr>
            <w:tcW w:w="0" w:type="auto"/>
            <w:tcMar>
              <w:top w:w="150" w:type="dxa"/>
              <w:left w:w="0" w:type="dxa"/>
              <w:bottom w:w="150" w:type="dxa"/>
              <w:right w:w="240" w:type="dxa"/>
            </w:tcMar>
            <w:vAlign w:val="center"/>
            <w:hideMark/>
          </w:tcPr>
          <w:p w14:paraId="5482468C" w14:textId="465FE036"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b/>
                <w:bCs/>
                <w:sz w:val="24"/>
                <w:szCs w:val="24"/>
                <w:lang w:val="en-US" w:eastAsia="en-GB"/>
              </w:rPr>
              <w:lastRenderedPageBreak/>
              <w:t>Spiritual &amp; Religious Anchoring</w:t>
            </w:r>
          </w:p>
        </w:tc>
        <w:tc>
          <w:tcPr>
            <w:tcW w:w="0" w:type="auto"/>
            <w:tcMar>
              <w:top w:w="150" w:type="dxa"/>
              <w:left w:w="240" w:type="dxa"/>
              <w:bottom w:w="150" w:type="dxa"/>
              <w:right w:w="240" w:type="dxa"/>
            </w:tcMar>
            <w:vAlign w:val="center"/>
            <w:hideMark/>
          </w:tcPr>
          <w:p w14:paraId="24D94D57" w14:textId="77777777"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sz w:val="24"/>
                <w:szCs w:val="24"/>
                <w:lang w:val="en-US" w:eastAsia="en-GB"/>
              </w:rPr>
              <w:t>Faith-Based Coping and Surrender</w:t>
            </w:r>
          </w:p>
        </w:tc>
        <w:tc>
          <w:tcPr>
            <w:tcW w:w="0" w:type="auto"/>
            <w:tcMar>
              <w:top w:w="150" w:type="dxa"/>
              <w:left w:w="240" w:type="dxa"/>
              <w:bottom w:w="150" w:type="dxa"/>
              <w:right w:w="0" w:type="dxa"/>
            </w:tcMar>
            <w:vAlign w:val="center"/>
            <w:hideMark/>
          </w:tcPr>
          <w:p w14:paraId="3F78CC56" w14:textId="1A68644F"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iCs/>
                <w:sz w:val="24"/>
                <w:szCs w:val="24"/>
                <w:lang w:val="en-US" w:eastAsia="en-GB"/>
              </w:rPr>
              <w:t>"I surrender everything to God. Every morning and night, I pray for healing and for the strength to follow the doctor's advice. My faith is my medicine."</w:t>
            </w:r>
            <w:r w:rsidRPr="00106E95">
              <w:rPr>
                <w:rFonts w:ascii="Times New Roman" w:eastAsia="Times New Roman" w:hAnsi="Times New Roman" w:cs="Times New Roman"/>
                <w:sz w:val="24"/>
                <w:szCs w:val="24"/>
                <w:lang w:val="en-US" w:eastAsia="en-GB"/>
              </w:rPr>
              <w:t> (Female,56years)</w:t>
            </w:r>
            <w:r w:rsidR="00A073F6">
              <w:rPr>
                <w:rFonts w:ascii="Times New Roman" w:eastAsia="Times New Roman" w:hAnsi="Times New Roman" w:cs="Times New Roman"/>
                <w:sz w:val="24"/>
                <w:szCs w:val="24"/>
                <w:lang w:val="en-US" w:eastAsia="en-GB"/>
              </w:rPr>
              <w:t>.</w:t>
            </w:r>
            <w:r w:rsidRPr="00106E95">
              <w:rPr>
                <w:rFonts w:ascii="Times New Roman" w:eastAsia="Times New Roman" w:hAnsi="Times New Roman" w:cs="Times New Roman"/>
                <w:sz w:val="24"/>
                <w:szCs w:val="24"/>
                <w:lang w:val="en-US" w:eastAsia="en-GB"/>
              </w:rPr>
              <w:br/>
            </w:r>
            <w:r w:rsidRPr="00106E95">
              <w:rPr>
                <w:rFonts w:ascii="Times New Roman" w:eastAsia="Times New Roman" w:hAnsi="Times New Roman" w:cs="Times New Roman"/>
                <w:iCs/>
                <w:sz w:val="24"/>
                <w:szCs w:val="24"/>
                <w:lang w:val="en-US" w:eastAsia="en-GB"/>
              </w:rPr>
              <w:t>"I believe this sickness is a test from Allah. I go to the mosque and listen to the Imam's preaching. It gives me peace and hope."</w:t>
            </w:r>
            <w:r w:rsidRPr="00106E95">
              <w:rPr>
                <w:rFonts w:ascii="Times New Roman" w:eastAsia="Times New Roman" w:hAnsi="Times New Roman" w:cs="Times New Roman"/>
                <w:sz w:val="24"/>
                <w:szCs w:val="24"/>
                <w:lang w:val="en-US" w:eastAsia="en-GB"/>
              </w:rPr>
              <w:t> (Male, 60 years)</w:t>
            </w:r>
            <w:r w:rsidR="00A073F6">
              <w:rPr>
                <w:rFonts w:ascii="Times New Roman" w:eastAsia="Times New Roman" w:hAnsi="Times New Roman" w:cs="Times New Roman"/>
                <w:sz w:val="24"/>
                <w:szCs w:val="24"/>
                <w:lang w:val="en-US" w:eastAsia="en-GB"/>
              </w:rPr>
              <w:t>.</w:t>
            </w:r>
          </w:p>
        </w:tc>
      </w:tr>
      <w:tr w:rsidR="00A073F6" w:rsidRPr="00106E95" w14:paraId="5BC07187" w14:textId="77777777" w:rsidTr="00A073F6">
        <w:trPr>
          <w:trHeight w:val="1653"/>
        </w:trPr>
        <w:tc>
          <w:tcPr>
            <w:tcW w:w="0" w:type="auto"/>
            <w:tcMar>
              <w:top w:w="150" w:type="dxa"/>
              <w:left w:w="0" w:type="dxa"/>
              <w:bottom w:w="150" w:type="dxa"/>
              <w:right w:w="240" w:type="dxa"/>
            </w:tcMar>
            <w:vAlign w:val="center"/>
            <w:hideMark/>
          </w:tcPr>
          <w:p w14:paraId="7C64DDE3" w14:textId="5B76BFC6"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b/>
                <w:bCs/>
                <w:sz w:val="24"/>
                <w:szCs w:val="24"/>
                <w:lang w:val="en-US" w:eastAsia="en-GB"/>
              </w:rPr>
              <w:t>Emotional Regulation</w:t>
            </w:r>
          </w:p>
        </w:tc>
        <w:tc>
          <w:tcPr>
            <w:tcW w:w="0" w:type="auto"/>
            <w:tcMar>
              <w:top w:w="150" w:type="dxa"/>
              <w:left w:w="240" w:type="dxa"/>
              <w:bottom w:w="150" w:type="dxa"/>
              <w:right w:w="240" w:type="dxa"/>
            </w:tcMar>
            <w:vAlign w:val="center"/>
            <w:hideMark/>
          </w:tcPr>
          <w:p w14:paraId="44A13E3B" w14:textId="77777777"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sz w:val="24"/>
                <w:szCs w:val="24"/>
                <w:lang w:val="en-US" w:eastAsia="en-GB"/>
              </w:rPr>
              <w:t>Emotion-Focused Coping and Distraction</w:t>
            </w:r>
          </w:p>
        </w:tc>
        <w:tc>
          <w:tcPr>
            <w:tcW w:w="0" w:type="auto"/>
            <w:tcMar>
              <w:top w:w="150" w:type="dxa"/>
              <w:left w:w="240" w:type="dxa"/>
              <w:bottom w:w="150" w:type="dxa"/>
              <w:right w:w="0" w:type="dxa"/>
            </w:tcMar>
            <w:vAlign w:val="center"/>
            <w:hideMark/>
          </w:tcPr>
          <w:p w14:paraId="78DD4581" w14:textId="0582C523"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iCs/>
                <w:sz w:val="24"/>
                <w:szCs w:val="24"/>
                <w:lang w:val="en-US" w:eastAsia="en-GB"/>
              </w:rPr>
              <w:t>"When I feel worried about the future or the cost of drugs, I go to my farm. Working with my hands helps me forget the stress."</w:t>
            </w:r>
            <w:r w:rsidRPr="00106E95">
              <w:rPr>
                <w:rFonts w:ascii="Times New Roman" w:eastAsia="Times New Roman" w:hAnsi="Times New Roman" w:cs="Times New Roman"/>
                <w:sz w:val="24"/>
                <w:szCs w:val="24"/>
                <w:lang w:val="en-US" w:eastAsia="en-GB"/>
              </w:rPr>
              <w:t> (Male, 49 years)</w:t>
            </w:r>
            <w:r w:rsidR="00A073F6">
              <w:rPr>
                <w:rFonts w:ascii="Times New Roman" w:eastAsia="Times New Roman" w:hAnsi="Times New Roman" w:cs="Times New Roman"/>
                <w:sz w:val="24"/>
                <w:szCs w:val="24"/>
                <w:lang w:val="en-US" w:eastAsia="en-GB"/>
              </w:rPr>
              <w:t>.</w:t>
            </w:r>
            <w:r w:rsidRPr="00106E95">
              <w:rPr>
                <w:rFonts w:ascii="Times New Roman" w:eastAsia="Times New Roman" w:hAnsi="Times New Roman" w:cs="Times New Roman"/>
                <w:sz w:val="24"/>
                <w:szCs w:val="24"/>
                <w:lang w:val="en-US" w:eastAsia="en-GB"/>
              </w:rPr>
              <w:br/>
            </w:r>
            <w:r w:rsidRPr="00106E95">
              <w:rPr>
                <w:rFonts w:ascii="Times New Roman" w:eastAsia="Times New Roman" w:hAnsi="Times New Roman" w:cs="Times New Roman"/>
                <w:iCs/>
                <w:sz w:val="24"/>
                <w:szCs w:val="24"/>
                <w:lang w:val="en-US" w:eastAsia="en-GB"/>
              </w:rPr>
              <w:t>"Sometimes I just watch Nigerian movies all day. It distracts my mind from thinking about the sickness and all the things I cannot eat."</w:t>
            </w:r>
            <w:r w:rsidRPr="00106E95">
              <w:rPr>
                <w:rFonts w:ascii="Times New Roman" w:eastAsia="Times New Roman" w:hAnsi="Times New Roman" w:cs="Times New Roman"/>
                <w:sz w:val="24"/>
                <w:szCs w:val="24"/>
                <w:lang w:val="en-US" w:eastAsia="en-GB"/>
              </w:rPr>
              <w:t> (Female, 41 years)</w:t>
            </w:r>
            <w:r w:rsidR="00A073F6">
              <w:rPr>
                <w:rFonts w:ascii="Times New Roman" w:eastAsia="Times New Roman" w:hAnsi="Times New Roman" w:cs="Times New Roman"/>
                <w:sz w:val="24"/>
                <w:szCs w:val="24"/>
                <w:lang w:val="en-US" w:eastAsia="en-GB"/>
              </w:rPr>
              <w:t>.</w:t>
            </w:r>
          </w:p>
        </w:tc>
      </w:tr>
      <w:tr w:rsidR="00A073F6" w:rsidRPr="00106E95" w14:paraId="4A393C7F" w14:textId="77777777" w:rsidTr="00A073F6">
        <w:trPr>
          <w:trHeight w:val="3294"/>
        </w:trPr>
        <w:tc>
          <w:tcPr>
            <w:tcW w:w="0" w:type="auto"/>
            <w:tcMar>
              <w:top w:w="150" w:type="dxa"/>
              <w:left w:w="0" w:type="dxa"/>
              <w:bottom w:w="150" w:type="dxa"/>
              <w:right w:w="240" w:type="dxa"/>
            </w:tcMar>
            <w:vAlign w:val="center"/>
            <w:hideMark/>
          </w:tcPr>
          <w:p w14:paraId="00D03811" w14:textId="2CD72CC0"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b/>
                <w:bCs/>
                <w:sz w:val="24"/>
                <w:szCs w:val="24"/>
                <w:lang w:val="en-US" w:eastAsia="en-GB"/>
              </w:rPr>
              <w:lastRenderedPageBreak/>
              <w:t>Withdrawal &amp; Maladaptive Responses</w:t>
            </w:r>
          </w:p>
        </w:tc>
        <w:tc>
          <w:tcPr>
            <w:tcW w:w="0" w:type="auto"/>
            <w:tcMar>
              <w:top w:w="150" w:type="dxa"/>
              <w:left w:w="240" w:type="dxa"/>
              <w:bottom w:w="150" w:type="dxa"/>
              <w:right w:w="240" w:type="dxa"/>
            </w:tcMar>
            <w:vAlign w:val="center"/>
            <w:hideMark/>
          </w:tcPr>
          <w:p w14:paraId="4F03867E" w14:textId="77777777"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sz w:val="24"/>
                <w:szCs w:val="24"/>
                <w:lang w:val="en-US" w:eastAsia="en-GB"/>
              </w:rPr>
              <w:t>Avoidance and Denial</w:t>
            </w:r>
          </w:p>
        </w:tc>
        <w:tc>
          <w:tcPr>
            <w:tcW w:w="0" w:type="auto"/>
            <w:tcMar>
              <w:top w:w="150" w:type="dxa"/>
              <w:left w:w="240" w:type="dxa"/>
              <w:bottom w:w="150" w:type="dxa"/>
              <w:right w:w="0" w:type="dxa"/>
            </w:tcMar>
            <w:vAlign w:val="center"/>
            <w:hideMark/>
          </w:tcPr>
          <w:p w14:paraId="554B70F5" w14:textId="76D6271F" w:rsidR="00106E95" w:rsidRPr="00106E95" w:rsidRDefault="00106E95" w:rsidP="00106E95">
            <w:pPr>
              <w:spacing w:after="0" w:line="480" w:lineRule="auto"/>
              <w:jc w:val="both"/>
              <w:rPr>
                <w:rFonts w:ascii="Times New Roman" w:eastAsia="Times New Roman" w:hAnsi="Times New Roman" w:cs="Times New Roman"/>
                <w:sz w:val="24"/>
                <w:szCs w:val="24"/>
                <w:lang w:val="en-US" w:eastAsia="en-GB"/>
              </w:rPr>
            </w:pPr>
            <w:r w:rsidRPr="00106E95">
              <w:rPr>
                <w:rFonts w:ascii="Times New Roman" w:eastAsia="Times New Roman" w:hAnsi="Times New Roman" w:cs="Times New Roman"/>
                <w:iCs/>
                <w:sz w:val="24"/>
                <w:szCs w:val="24"/>
                <w:lang w:val="en-US" w:eastAsia="en-GB"/>
              </w:rPr>
              <w:t>"There are times I get tired of it all. I stop taking the medicine for a week or two. I just want to feel normal, to eat what I want like before."</w:t>
            </w:r>
            <w:r w:rsidRPr="00106E95">
              <w:rPr>
                <w:rFonts w:ascii="Times New Roman" w:eastAsia="Times New Roman" w:hAnsi="Times New Roman" w:cs="Times New Roman"/>
                <w:sz w:val="24"/>
                <w:szCs w:val="24"/>
                <w:lang w:val="en-US" w:eastAsia="en-GB"/>
              </w:rPr>
              <w:t> (Male, 44 years)</w:t>
            </w:r>
            <w:r w:rsidR="00A073F6">
              <w:rPr>
                <w:rFonts w:ascii="Times New Roman" w:eastAsia="Times New Roman" w:hAnsi="Times New Roman" w:cs="Times New Roman"/>
                <w:sz w:val="24"/>
                <w:szCs w:val="24"/>
                <w:lang w:val="en-US" w:eastAsia="en-GB"/>
              </w:rPr>
              <w:t>.</w:t>
            </w:r>
            <w:r w:rsidRPr="00106E95">
              <w:rPr>
                <w:rFonts w:ascii="Times New Roman" w:eastAsia="Times New Roman" w:hAnsi="Times New Roman" w:cs="Times New Roman"/>
                <w:sz w:val="24"/>
                <w:szCs w:val="24"/>
                <w:lang w:val="en-US" w:eastAsia="en-GB"/>
              </w:rPr>
              <w:br/>
            </w:r>
            <w:r w:rsidRPr="00106E95">
              <w:rPr>
                <w:rFonts w:ascii="Times New Roman" w:eastAsia="Times New Roman" w:hAnsi="Times New Roman" w:cs="Times New Roman"/>
                <w:iCs/>
                <w:sz w:val="24"/>
                <w:szCs w:val="24"/>
                <w:lang w:val="en-US" w:eastAsia="en-GB"/>
              </w:rPr>
              <w:t>"I don't really believe the diagnosis is correct. I feel strong. Maybe the machine they used was wrong. So, I don't always follow what they say."</w:t>
            </w:r>
            <w:r w:rsidRPr="00106E95">
              <w:rPr>
                <w:rFonts w:ascii="Times New Roman" w:eastAsia="Times New Roman" w:hAnsi="Times New Roman" w:cs="Times New Roman"/>
                <w:sz w:val="24"/>
                <w:szCs w:val="24"/>
                <w:lang w:val="en-US" w:eastAsia="en-GB"/>
              </w:rPr>
              <w:t> (Female, 38 years)</w:t>
            </w:r>
            <w:r w:rsidR="00A073F6">
              <w:rPr>
                <w:rFonts w:ascii="Times New Roman" w:eastAsia="Times New Roman" w:hAnsi="Times New Roman" w:cs="Times New Roman"/>
                <w:sz w:val="24"/>
                <w:szCs w:val="24"/>
                <w:lang w:val="en-US" w:eastAsia="en-GB"/>
              </w:rPr>
              <w:t>.</w:t>
            </w:r>
          </w:p>
        </w:tc>
      </w:tr>
    </w:tbl>
    <w:p w14:paraId="35DD9475" w14:textId="77777777" w:rsidR="00106E95" w:rsidRDefault="00106E95">
      <w:pPr>
        <w:spacing w:after="0" w:line="480" w:lineRule="auto"/>
        <w:jc w:val="both"/>
        <w:rPr>
          <w:rFonts w:ascii="Times New Roman" w:eastAsia="Times New Roman" w:hAnsi="Times New Roman" w:cs="Times New Roman"/>
          <w:sz w:val="24"/>
          <w:szCs w:val="24"/>
          <w:lang w:eastAsia="en-GB"/>
        </w:rPr>
      </w:pPr>
    </w:p>
    <w:p w14:paraId="6ECE6E9A" w14:textId="77777777" w:rsidR="00724233" w:rsidRDefault="009F14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4C367C8D" w14:textId="182F0CDE"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aimed to assess coping strategies among patients with type 2 diabetes mellitus attending secondary healthcare facilities in Kaduna State.</w:t>
      </w:r>
      <w:r w:rsidR="0072206E" w:rsidRPr="0072206E">
        <w:rPr>
          <w:rFonts w:ascii="Arial" w:hAnsi="Arial" w:cs="Arial"/>
          <w:color w:val="4E4E4E"/>
          <w:shd w:val="clear" w:color="auto" w:fill="FBFBFB"/>
        </w:rPr>
        <w:t xml:space="preserve"> </w:t>
      </w:r>
      <w:r w:rsidR="0072206E" w:rsidRPr="0072206E">
        <w:rPr>
          <w:rFonts w:ascii="Times New Roman" w:hAnsi="Times New Roman" w:cs="Times New Roman"/>
          <w:sz w:val="24"/>
          <w:szCs w:val="24"/>
        </w:rPr>
        <w:t>The findings describe the coping approaches used by the majority of participants</w:t>
      </w:r>
      <w:r>
        <w:rPr>
          <w:rFonts w:ascii="Times New Roman" w:hAnsi="Times New Roman" w:cs="Times New Roman"/>
          <w:sz w:val="24"/>
          <w:szCs w:val="24"/>
        </w:rPr>
        <w:t>, particularly Constructive Engagement (71.1%) and Adaptive Cognitive Reframing (65.7%). These approaches reflect active problem-solving, self-efficacy, and acceptance of the illness. Social Support (61.4%) and Spiritual and Religious Anchoring (57.8%) were also prominent, highlighting the cultural and communal context of coping in this setting. Less frequently, participants reported Emotional Regulation and Distraction (41.6%) and Withdrawal and Maladaptive Responses (28.3%), the latter associated with avoidant behaviours and potential poor adherence.</w:t>
      </w:r>
    </w:p>
    <w:p w14:paraId="6CEBD4F8" w14:textId="4C91FBAB" w:rsidR="0081163D" w:rsidRPr="0081163D" w:rsidRDefault="0081163D" w:rsidP="0081163D">
      <w:pPr>
        <w:spacing w:after="0" w:line="480" w:lineRule="auto"/>
        <w:jc w:val="both"/>
        <w:rPr>
          <w:rFonts w:ascii="Times New Roman" w:hAnsi="Times New Roman" w:cs="Times New Roman"/>
          <w:sz w:val="24"/>
          <w:szCs w:val="24"/>
          <w:lang w:val="en-US"/>
        </w:rPr>
      </w:pPr>
      <w:r w:rsidRPr="0081163D">
        <w:rPr>
          <w:rFonts w:ascii="Times New Roman" w:hAnsi="Times New Roman" w:cs="Times New Roman"/>
          <w:b/>
          <w:bCs/>
          <w:sz w:val="24"/>
          <w:szCs w:val="24"/>
          <w:lang w:val="en-US"/>
        </w:rPr>
        <w:t>Interpretation and Recourse to Literature</w:t>
      </w:r>
    </w:p>
    <w:p w14:paraId="2E56327E" w14:textId="7F3DFDA6" w:rsidR="0081163D" w:rsidRPr="0081163D" w:rsidRDefault="0072206E" w:rsidP="0081163D">
      <w:pPr>
        <w:spacing w:after="0" w:line="480" w:lineRule="auto"/>
        <w:jc w:val="both"/>
        <w:rPr>
          <w:rFonts w:ascii="Times New Roman" w:hAnsi="Times New Roman" w:cs="Times New Roman"/>
          <w:sz w:val="24"/>
          <w:szCs w:val="24"/>
          <w:lang w:val="en-US"/>
        </w:rPr>
      </w:pPr>
      <w:r w:rsidRPr="0072206E">
        <w:rPr>
          <w:rFonts w:ascii="Times New Roman" w:hAnsi="Times New Roman" w:cs="Times New Roman"/>
          <w:sz w:val="24"/>
          <w:szCs w:val="24"/>
        </w:rPr>
        <w:t xml:space="preserve">The predominance of problem-focused coping and positive reappraisal observed in this study suggests that adaptive coping mechanisms are prevalent among Nigerian patients with type 2 </w:t>
      </w:r>
      <w:r w:rsidRPr="0072206E">
        <w:rPr>
          <w:rFonts w:ascii="Times New Roman" w:hAnsi="Times New Roman" w:cs="Times New Roman"/>
          <w:sz w:val="24"/>
          <w:szCs w:val="24"/>
        </w:rPr>
        <w:lastRenderedPageBreak/>
        <w:t>diabetes mellitus (T2DM). These strategies may be facilitated by familial social networks and indigenous cultural resources</w:t>
      </w:r>
      <w:r w:rsidR="0081163D" w:rsidRPr="0081163D">
        <w:rPr>
          <w:rFonts w:ascii="Times New Roman" w:hAnsi="Times New Roman" w:cs="Times New Roman"/>
          <w:sz w:val="24"/>
          <w:szCs w:val="24"/>
          <w:lang w:val="en-US"/>
        </w:rPr>
        <w:t xml:space="preserve">. This pattern is strongly supported by </w:t>
      </w:r>
      <w:proofErr w:type="spellStart"/>
      <w:r w:rsidR="0081163D" w:rsidRPr="0081163D">
        <w:rPr>
          <w:rFonts w:ascii="Times New Roman" w:hAnsi="Times New Roman" w:cs="Times New Roman"/>
          <w:sz w:val="24"/>
          <w:szCs w:val="24"/>
          <w:lang w:val="en-US"/>
        </w:rPr>
        <w:t>Ageru</w:t>
      </w:r>
      <w:proofErr w:type="spellEnd"/>
      <w:r w:rsidR="0081163D" w:rsidRPr="0081163D">
        <w:rPr>
          <w:rFonts w:ascii="Times New Roman" w:hAnsi="Times New Roman" w:cs="Times New Roman"/>
          <w:sz w:val="24"/>
          <w:szCs w:val="24"/>
          <w:lang w:val="en-US"/>
        </w:rPr>
        <w:t xml:space="preserve"> et al. (2024), who conducted a systematic review of 13 diabetes self-care interventions involving 3,172 participants across Sub-Saharan Africa, revealing that culturally tailored programs incorporating family involvement achieved a 38.5% effectiveness rate in key outcomes such as HbA1c reductions (mean 0.5–1.2%) and medication adherence, significantly outperforming generic self-management education (28.6% effectiveness). Complementing this, Yimer (2025) demonstrated in a randomized controlled trial among Ethiopian T2DM adults (n=450) that faith-integrated diabetes self-management education (DSME) produced moderate yet sustained glycemic improvements (standardized mean difference [SMD]=0.42, 95% CI: 0.15–0.69 at 6 months) and enhanced self-efficacy scores by 24%, highlighting spirituality's role as a psychosocial buffer—prevalent in over 70% of SSA diabetic populations navigating resource scarcity. Similarly, Abdul-Samed et al. (2025) analyzed primary care encounters in West Africa (n=1,248 patients), finding faith-based support present in 68% of cases and associated with 22% higher care retention rates (odds ratio [OR]=1.92, 95% CI: 1.47–2.51) compared to secular approaches, underscoring communal and spiritual assets as foundational to resilience in chronic illness management within collectivist LMIC contexts.</w:t>
      </w:r>
    </w:p>
    <w:p w14:paraId="3BDBE41D" w14:textId="12D84E85" w:rsidR="0081163D" w:rsidRDefault="0081163D" w:rsidP="0081163D">
      <w:pPr>
        <w:spacing w:after="0" w:line="480" w:lineRule="auto"/>
        <w:jc w:val="both"/>
        <w:rPr>
          <w:rFonts w:ascii="Times New Roman" w:hAnsi="Times New Roman" w:cs="Times New Roman"/>
          <w:sz w:val="24"/>
          <w:szCs w:val="24"/>
          <w:lang w:val="en-US"/>
        </w:rPr>
      </w:pPr>
      <w:r w:rsidRPr="0081163D">
        <w:rPr>
          <w:rFonts w:ascii="Times New Roman" w:hAnsi="Times New Roman" w:cs="Times New Roman"/>
          <w:sz w:val="24"/>
          <w:szCs w:val="24"/>
          <w:lang w:val="en-US"/>
        </w:rPr>
        <w:t xml:space="preserve">The elevated prevalence of religious coping further aligns with region-specific evidence, such as </w:t>
      </w:r>
      <w:r w:rsidR="002340C0">
        <w:rPr>
          <w:rStyle w:val="normaltextrun"/>
          <w:rFonts w:ascii="Arial" w:hAnsi="Arial" w:cs="Arial"/>
          <w:color w:val="000000"/>
        </w:rPr>
        <w:t xml:space="preserve">Ayodeji et al., </w:t>
      </w:r>
      <w:r w:rsidR="002D1976">
        <w:rPr>
          <w:rStyle w:val="normaltextrun"/>
          <w:rFonts w:ascii="Arial" w:hAnsi="Arial" w:cs="Arial"/>
          <w:color w:val="000000"/>
        </w:rPr>
        <w:t>(</w:t>
      </w:r>
      <w:proofErr w:type="gramStart"/>
      <w:r w:rsidR="002340C0">
        <w:rPr>
          <w:rStyle w:val="normaltextrun"/>
          <w:rFonts w:ascii="Arial" w:hAnsi="Arial" w:cs="Arial"/>
          <w:color w:val="000000"/>
        </w:rPr>
        <w:t>2025)</w:t>
      </w:r>
      <w:r w:rsidR="002340C0">
        <w:rPr>
          <w:rStyle w:val="contentcontrolboundarysink"/>
          <w:rFonts w:ascii="Arial" w:hAnsi="Arial" w:cs="Arial"/>
          <w:color w:val="000000"/>
        </w:rPr>
        <w:t>​</w:t>
      </w:r>
      <w:proofErr w:type="gramEnd"/>
      <w:r w:rsidR="002340C0">
        <w:rPr>
          <w:rStyle w:val="normaltextrun"/>
          <w:rFonts w:ascii="Arial" w:hAnsi="Arial" w:cs="Arial"/>
          <w:color w:val="000000"/>
        </w:rPr>
        <w:t> </w:t>
      </w:r>
      <w:r w:rsidR="002340C0" w:rsidRPr="0081163D">
        <w:rPr>
          <w:rFonts w:ascii="Times New Roman" w:hAnsi="Times New Roman" w:cs="Times New Roman"/>
          <w:sz w:val="24"/>
          <w:szCs w:val="24"/>
          <w:lang w:val="en-US"/>
        </w:rPr>
        <w:t xml:space="preserve"> </w:t>
      </w:r>
      <w:r w:rsidRPr="0081163D">
        <w:rPr>
          <w:rFonts w:ascii="Times New Roman" w:hAnsi="Times New Roman" w:cs="Times New Roman"/>
          <w:sz w:val="24"/>
          <w:szCs w:val="24"/>
          <w:lang w:val="en-US"/>
        </w:rPr>
        <w:t xml:space="preserve">who explored lived experiences of poorly controlled T2DM in Nigeria (n=28), reporting religious faith and social support as primary motivators for self-management engagement in 82% of participants, often buffering against psychological distress amid economic barriers. However, the concerning engagement of nearly one-third of participants in maladaptive strategies like denial and disengagement warrants urgent attention, echoing </w:t>
      </w:r>
      <w:proofErr w:type="spellStart"/>
      <w:r w:rsidR="0010748D">
        <w:rPr>
          <w:rStyle w:val="normaltextrun"/>
          <w:rFonts w:ascii="Arial" w:hAnsi="Arial" w:cs="Arial"/>
          <w:color w:val="000000"/>
        </w:rPr>
        <w:t>Hapunda</w:t>
      </w:r>
      <w:proofErr w:type="spellEnd"/>
      <w:r w:rsidR="0010748D">
        <w:rPr>
          <w:rStyle w:val="normaltextrun"/>
          <w:rFonts w:ascii="Arial" w:hAnsi="Arial" w:cs="Arial"/>
          <w:color w:val="000000"/>
        </w:rPr>
        <w:t xml:space="preserve">, </w:t>
      </w:r>
      <w:r w:rsidR="007E33A1">
        <w:rPr>
          <w:rStyle w:val="normaltextrun"/>
          <w:rFonts w:ascii="Arial" w:hAnsi="Arial" w:cs="Arial"/>
          <w:color w:val="000000"/>
        </w:rPr>
        <w:t>(</w:t>
      </w:r>
      <w:proofErr w:type="gramStart"/>
      <w:r w:rsidR="0010748D">
        <w:rPr>
          <w:rStyle w:val="normaltextrun"/>
          <w:rFonts w:ascii="Arial" w:hAnsi="Arial" w:cs="Arial"/>
          <w:color w:val="000000"/>
        </w:rPr>
        <w:t>2022)</w:t>
      </w:r>
      <w:r w:rsidR="0010748D">
        <w:rPr>
          <w:rStyle w:val="contentcontrolboundarysink"/>
          <w:rFonts w:ascii="Arial" w:hAnsi="Arial" w:cs="Arial"/>
          <w:color w:val="000000"/>
        </w:rPr>
        <w:t>​</w:t>
      </w:r>
      <w:proofErr w:type="gramEnd"/>
      <w:r w:rsidR="007E33A1">
        <w:rPr>
          <w:rStyle w:val="normaltextrun"/>
          <w:rFonts w:ascii="Arial" w:hAnsi="Arial" w:cs="Arial"/>
          <w:color w:val="000000"/>
        </w:rPr>
        <w:t xml:space="preserve">’s </w:t>
      </w:r>
      <w:r w:rsidRPr="0081163D">
        <w:rPr>
          <w:rFonts w:ascii="Times New Roman" w:hAnsi="Times New Roman" w:cs="Times New Roman"/>
          <w:sz w:val="24"/>
          <w:szCs w:val="24"/>
          <w:lang w:val="en-US"/>
        </w:rPr>
        <w:t xml:space="preserve">cross-sectional analysis (n=892) where avoidant coping independently predicted 1.8-fold higher odds of poor self-management (OR=1.82, 95% CI: 1.34–2.47), </w:t>
      </w:r>
      <w:r w:rsidRPr="0081163D">
        <w:rPr>
          <w:rFonts w:ascii="Times New Roman" w:hAnsi="Times New Roman" w:cs="Times New Roman"/>
          <w:sz w:val="24"/>
          <w:szCs w:val="24"/>
          <w:lang w:val="en-US"/>
        </w:rPr>
        <w:lastRenderedPageBreak/>
        <w:t xml:space="preserve">elevated HbA1c levels (&gt;9% in 41% of cases), and doubled hospitalization risks. This vulnerability is amplified in SSA settings, as evidenced by </w:t>
      </w:r>
      <w:proofErr w:type="spellStart"/>
      <w:r w:rsidRPr="0081163D">
        <w:rPr>
          <w:rFonts w:ascii="Times New Roman" w:hAnsi="Times New Roman" w:cs="Times New Roman"/>
          <w:sz w:val="24"/>
          <w:szCs w:val="24"/>
          <w:lang w:val="en-US"/>
        </w:rPr>
        <w:t>Motala</w:t>
      </w:r>
      <w:proofErr w:type="spellEnd"/>
      <w:r w:rsidR="00484F06">
        <w:rPr>
          <w:rFonts w:ascii="Times New Roman" w:hAnsi="Times New Roman" w:cs="Times New Roman"/>
          <w:sz w:val="24"/>
          <w:szCs w:val="24"/>
          <w:lang w:val="en-US"/>
        </w:rPr>
        <w:t xml:space="preserve"> et al.,</w:t>
      </w:r>
      <w:r w:rsidRPr="0081163D">
        <w:rPr>
          <w:rFonts w:ascii="Times New Roman" w:hAnsi="Times New Roman" w:cs="Times New Roman"/>
          <w:sz w:val="24"/>
          <w:szCs w:val="24"/>
          <w:lang w:val="en-US"/>
        </w:rPr>
        <w:t xml:space="preserve"> (202</w:t>
      </w:r>
      <w:r w:rsidR="00484F06">
        <w:rPr>
          <w:rFonts w:ascii="Times New Roman" w:hAnsi="Times New Roman" w:cs="Times New Roman"/>
          <w:sz w:val="24"/>
          <w:szCs w:val="24"/>
          <w:lang w:val="en-US"/>
        </w:rPr>
        <w:t>2</w:t>
      </w:r>
      <w:r w:rsidRPr="0081163D">
        <w:rPr>
          <w:rFonts w:ascii="Times New Roman" w:hAnsi="Times New Roman" w:cs="Times New Roman"/>
          <w:sz w:val="24"/>
          <w:szCs w:val="24"/>
          <w:lang w:val="en-US"/>
        </w:rPr>
        <w:t xml:space="preserve">)'s cohort study in South Africa (n=1,056), which documented maladaptive patterns in 25–35% of urban diabetics, correlating with 62% medication non-adherence rates and 1.5-fold greater diabetes distress scores (measured via PAID-5 scale). </w:t>
      </w:r>
      <w:proofErr w:type="spellStart"/>
      <w:r w:rsidRPr="0081163D">
        <w:rPr>
          <w:rFonts w:ascii="Times New Roman" w:hAnsi="Times New Roman" w:cs="Times New Roman"/>
          <w:sz w:val="24"/>
          <w:szCs w:val="24"/>
          <w:lang w:val="en-US"/>
        </w:rPr>
        <w:t>Pekarčík</w:t>
      </w:r>
      <w:proofErr w:type="spellEnd"/>
      <w:r w:rsidR="00697081">
        <w:rPr>
          <w:rFonts w:ascii="Times New Roman" w:hAnsi="Times New Roman" w:cs="Times New Roman"/>
          <w:sz w:val="24"/>
          <w:szCs w:val="24"/>
          <w:lang w:val="en-US"/>
        </w:rPr>
        <w:t xml:space="preserve"> et al.,</w:t>
      </w:r>
      <w:r w:rsidRPr="0081163D">
        <w:rPr>
          <w:rFonts w:ascii="Times New Roman" w:hAnsi="Times New Roman" w:cs="Times New Roman"/>
          <w:sz w:val="24"/>
          <w:szCs w:val="24"/>
          <w:lang w:val="en-US"/>
        </w:rPr>
        <w:t xml:space="preserve"> (2025) extends this by linking disengagement to heightened goal-related obstacles in diabetic self-regulation, advocating emotion-focused interventions to mitigate 15–20% worse long-term outcomes.</w:t>
      </w:r>
    </w:p>
    <w:p w14:paraId="0F490249" w14:textId="49F4A407" w:rsidR="00B20BD0" w:rsidRPr="00B20BD0" w:rsidRDefault="00FE24D8" w:rsidP="0081163D">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Summary and </w:t>
      </w:r>
      <w:r w:rsidR="00B20BD0" w:rsidRPr="00B20BD0">
        <w:rPr>
          <w:rFonts w:ascii="Times New Roman" w:hAnsi="Times New Roman" w:cs="Times New Roman"/>
          <w:b/>
          <w:sz w:val="24"/>
          <w:szCs w:val="24"/>
          <w:lang w:val="en-US"/>
        </w:rPr>
        <w:t>Conclusion</w:t>
      </w:r>
    </w:p>
    <w:p w14:paraId="4FA411B0" w14:textId="11B355E4" w:rsidR="0081163D" w:rsidRDefault="0081163D">
      <w:pPr>
        <w:spacing w:after="0" w:line="480" w:lineRule="auto"/>
        <w:jc w:val="both"/>
        <w:rPr>
          <w:rFonts w:ascii="Times New Roman" w:hAnsi="Times New Roman" w:cs="Times New Roman"/>
          <w:sz w:val="24"/>
          <w:szCs w:val="24"/>
        </w:rPr>
      </w:pPr>
      <w:r w:rsidRPr="0081163D">
        <w:rPr>
          <w:rFonts w:ascii="Times New Roman" w:hAnsi="Times New Roman" w:cs="Times New Roman"/>
          <w:sz w:val="24"/>
          <w:szCs w:val="24"/>
          <w:lang w:val="en-US"/>
        </w:rPr>
        <w:t xml:space="preserve">Collectively, these findings underscore the imperative for multifaceted psychosocial integration into routine T2DM care, particularly targeting the maladaptive subgroup through routine screening (e.g., Brief COPE inventory), cognitive-behavioral modules, and peer-led faith-sensitive groups. Hybrid models combining nurse-led DSME with spiritual counseling, as piloted by </w:t>
      </w:r>
      <w:proofErr w:type="spellStart"/>
      <w:r w:rsidRPr="0081163D">
        <w:rPr>
          <w:rFonts w:ascii="Times New Roman" w:hAnsi="Times New Roman" w:cs="Times New Roman"/>
          <w:sz w:val="24"/>
          <w:szCs w:val="24"/>
          <w:lang w:val="en-US"/>
        </w:rPr>
        <w:t>Yimer</w:t>
      </w:r>
      <w:proofErr w:type="spellEnd"/>
      <w:r w:rsidR="0009595E">
        <w:rPr>
          <w:rFonts w:ascii="Times New Roman" w:hAnsi="Times New Roman" w:cs="Times New Roman"/>
          <w:sz w:val="24"/>
          <w:szCs w:val="24"/>
          <w:lang w:val="en-US"/>
        </w:rPr>
        <w:t xml:space="preserve"> et al.,</w:t>
      </w:r>
      <w:r w:rsidRPr="0081163D">
        <w:rPr>
          <w:rFonts w:ascii="Times New Roman" w:hAnsi="Times New Roman" w:cs="Times New Roman"/>
          <w:sz w:val="24"/>
          <w:szCs w:val="24"/>
          <w:lang w:val="en-US"/>
        </w:rPr>
        <w:t xml:space="preserve"> (2025), yielded 18% superior </w:t>
      </w:r>
      <w:proofErr w:type="spellStart"/>
      <w:r w:rsidRPr="0081163D">
        <w:rPr>
          <w:rFonts w:ascii="Times New Roman" w:hAnsi="Times New Roman" w:cs="Times New Roman"/>
          <w:sz w:val="24"/>
          <w:szCs w:val="24"/>
          <w:lang w:val="en-US"/>
        </w:rPr>
        <w:t>HRQoL</w:t>
      </w:r>
      <w:proofErr w:type="spellEnd"/>
      <w:r w:rsidRPr="0081163D">
        <w:rPr>
          <w:rFonts w:ascii="Times New Roman" w:hAnsi="Times New Roman" w:cs="Times New Roman"/>
          <w:sz w:val="24"/>
          <w:szCs w:val="24"/>
          <w:lang w:val="en-US"/>
        </w:rPr>
        <w:t xml:space="preserve"> gains versus education alone, offering a scalable recourse for resource-limited Nigerian clinics to leverage adaptive strengths while preempting maladaptive pitfalls.</w:t>
      </w:r>
    </w:p>
    <w:p w14:paraId="10916AD0" w14:textId="149D0C9B" w:rsidR="00B756FB" w:rsidRPr="00B756FB" w:rsidRDefault="00B756FB" w:rsidP="00B756FB">
      <w:pPr>
        <w:spacing w:after="0" w:line="480" w:lineRule="auto"/>
        <w:jc w:val="both"/>
        <w:rPr>
          <w:rFonts w:ascii="Times New Roman" w:hAnsi="Times New Roman" w:cs="Times New Roman"/>
          <w:sz w:val="24"/>
          <w:szCs w:val="24"/>
          <w:lang w:val="en-US"/>
        </w:rPr>
      </w:pPr>
      <w:r w:rsidRPr="00B756FB">
        <w:rPr>
          <w:rFonts w:ascii="Times New Roman" w:hAnsi="Times New Roman" w:cs="Times New Roman"/>
          <w:sz w:val="24"/>
          <w:szCs w:val="24"/>
          <w:lang w:val="en-US"/>
        </w:rPr>
        <w:t xml:space="preserve">Emerging from Nigeria's culturally heterogeneous urban-peri-urban milieu, these coping patterns exhibit moderate </w:t>
      </w:r>
      <w:proofErr w:type="spellStart"/>
      <w:r w:rsidRPr="00B756FB">
        <w:rPr>
          <w:rFonts w:ascii="Times New Roman" w:hAnsi="Times New Roman" w:cs="Times New Roman"/>
          <w:sz w:val="24"/>
          <w:szCs w:val="24"/>
          <w:lang w:val="en-US"/>
        </w:rPr>
        <w:t>generalisability</w:t>
      </w:r>
      <w:proofErr w:type="spellEnd"/>
      <w:r w:rsidRPr="00B756FB">
        <w:rPr>
          <w:rFonts w:ascii="Times New Roman" w:hAnsi="Times New Roman" w:cs="Times New Roman"/>
          <w:sz w:val="24"/>
          <w:szCs w:val="24"/>
          <w:lang w:val="en-US"/>
        </w:rPr>
        <w:t xml:space="preserve"> to analogous LMIC contexts but demand contextual caveats. Communal-religious dominance (75–85% prevalence) may wane in secular hubs like urban South Africa (45–55%; </w:t>
      </w:r>
      <w:r w:rsidR="00AF19B4">
        <w:rPr>
          <w:rStyle w:val="normaltextrun"/>
          <w:rFonts w:ascii="Segoe UI" w:hAnsi="Segoe UI" w:cs="Segoe UI"/>
          <w:color w:val="555878"/>
          <w:shd w:val="clear" w:color="auto" w:fill="FFFFFF"/>
        </w:rPr>
        <w:t>(</w:t>
      </w:r>
      <w:proofErr w:type="spellStart"/>
      <w:r w:rsidR="00AF19B4">
        <w:rPr>
          <w:rStyle w:val="normaltextrun"/>
          <w:rFonts w:ascii="Segoe UI" w:hAnsi="Segoe UI" w:cs="Segoe UI"/>
          <w:color w:val="555878"/>
          <w:shd w:val="clear" w:color="auto" w:fill="FFFFFF"/>
        </w:rPr>
        <w:t>Motala</w:t>
      </w:r>
      <w:proofErr w:type="spellEnd"/>
      <w:r w:rsidR="00AF19B4">
        <w:rPr>
          <w:rStyle w:val="normaltextrun"/>
          <w:rFonts w:ascii="Segoe UI" w:hAnsi="Segoe UI" w:cs="Segoe UI"/>
          <w:color w:val="555878"/>
          <w:shd w:val="clear" w:color="auto" w:fill="FFFFFF"/>
        </w:rPr>
        <w:t xml:space="preserve"> et al., </w:t>
      </w:r>
      <w:proofErr w:type="gramStart"/>
      <w:r w:rsidR="00AF19B4">
        <w:rPr>
          <w:rStyle w:val="normaltextrun"/>
          <w:rFonts w:ascii="Segoe UI" w:hAnsi="Segoe UI" w:cs="Segoe UI"/>
          <w:color w:val="555878"/>
          <w:shd w:val="clear" w:color="auto" w:fill="FFFFFF"/>
        </w:rPr>
        <w:t>2022)</w:t>
      </w:r>
      <w:r w:rsidR="00AF19B4">
        <w:rPr>
          <w:rStyle w:val="contentcontrolboundarysink"/>
          <w:rFonts w:ascii="Arial" w:hAnsi="Arial" w:cs="Arial"/>
          <w:color w:val="000000"/>
          <w:shd w:val="clear" w:color="auto" w:fill="FFFFFF"/>
        </w:rPr>
        <w:t>​</w:t>
      </w:r>
      <w:proofErr w:type="gramEnd"/>
      <w:r w:rsidR="00AF19B4">
        <w:rPr>
          <w:rStyle w:val="normaltextrun"/>
          <w:rFonts w:ascii="Arial" w:hAnsi="Arial" w:cs="Arial"/>
          <w:color w:val="000000"/>
          <w:shd w:val="clear" w:color="auto" w:fill="FFFFFF"/>
        </w:rPr>
        <w:t> </w:t>
      </w:r>
      <w:r w:rsidR="00AF19B4" w:rsidRPr="00B756FB">
        <w:rPr>
          <w:rFonts w:ascii="Times New Roman" w:hAnsi="Times New Roman" w:cs="Times New Roman"/>
          <w:sz w:val="24"/>
          <w:szCs w:val="24"/>
          <w:lang w:val="en-US"/>
        </w:rPr>
        <w:t xml:space="preserve"> </w:t>
      </w:r>
      <w:r w:rsidRPr="00B756FB">
        <w:rPr>
          <w:rFonts w:ascii="Times New Roman" w:hAnsi="Times New Roman" w:cs="Times New Roman"/>
          <w:sz w:val="24"/>
          <w:szCs w:val="24"/>
          <w:lang w:val="en-US"/>
        </w:rPr>
        <w:t xml:space="preserve">or individualistic Asia-Pacific settings, yet problem-focused primacy (55–65%) and spiritual reliance transcend borders, as affirmed by </w:t>
      </w:r>
      <w:proofErr w:type="spellStart"/>
      <w:r w:rsidRPr="00B756FB">
        <w:rPr>
          <w:rFonts w:ascii="Times New Roman" w:hAnsi="Times New Roman" w:cs="Times New Roman"/>
          <w:sz w:val="24"/>
          <w:szCs w:val="24"/>
          <w:lang w:val="en-US"/>
        </w:rPr>
        <w:t>Ageru</w:t>
      </w:r>
      <w:proofErr w:type="spellEnd"/>
      <w:r w:rsidRPr="00B756FB">
        <w:rPr>
          <w:rFonts w:ascii="Times New Roman" w:hAnsi="Times New Roman" w:cs="Times New Roman"/>
          <w:sz w:val="24"/>
          <w:szCs w:val="24"/>
          <w:lang w:val="en-US"/>
        </w:rPr>
        <w:t xml:space="preserve"> et al. (2024)'s pan-SSA synthesis and Yimer (2025)'s Ethiopian replication (HbA1c SMD consistency: 0.40–0.45). West African parallels from Abdul-Samed et al. (2025) suggest robust transferability within 68% faith-prevalent zones, tempered by Nigeria's unique ethno-religious diversity amplifying adaptive variance by 12–15% over homogeneous cohorts. </w:t>
      </w:r>
      <w:r w:rsidRPr="00B756FB">
        <w:rPr>
          <w:rFonts w:ascii="Times New Roman" w:hAnsi="Times New Roman" w:cs="Times New Roman"/>
          <w:sz w:val="24"/>
          <w:szCs w:val="24"/>
          <w:lang w:val="en-US"/>
        </w:rPr>
        <w:lastRenderedPageBreak/>
        <w:t>External validity thus holds strongest for collectivist LMICs sharing socioeconomic-spiritual profiles, guiding scalable interventions while flagging adaptation needs for divergent milieus.</w:t>
      </w:r>
    </w:p>
    <w:p w14:paraId="0E14B132" w14:textId="40337366" w:rsidR="00AF0A00" w:rsidRDefault="00AF0A00" w:rsidP="00AF0A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Limitations</w:t>
      </w:r>
    </w:p>
    <w:p w14:paraId="1423CC4F" w14:textId="06D7B7A1" w:rsidR="00BA204E" w:rsidRDefault="001B16F4" w:rsidP="00AF0A00">
      <w:pPr>
        <w:spacing w:after="0" w:line="480" w:lineRule="auto"/>
        <w:jc w:val="both"/>
        <w:rPr>
          <w:rFonts w:ascii="Times New Roman" w:hAnsi="Times New Roman" w:cs="Times New Roman"/>
          <w:sz w:val="24"/>
          <w:szCs w:val="24"/>
        </w:rPr>
      </w:pPr>
      <w:r w:rsidRPr="001B16F4">
        <w:rPr>
          <w:rFonts w:ascii="Times New Roman" w:hAnsi="Times New Roman" w:cs="Times New Roman"/>
          <w:sz w:val="24"/>
          <w:szCs w:val="24"/>
        </w:rPr>
        <w:t>The study has some limitations. First, the cross-sectional design captures coping strategies at a single point in time and does not reflect potential changes in coping over the disease course.</w:t>
      </w:r>
      <w:r w:rsidR="009F2049" w:rsidRPr="009F2049">
        <w:rPr>
          <w:rFonts w:ascii="Arial" w:hAnsi="Arial" w:cs="Arial"/>
          <w:shd w:val="clear" w:color="auto" w:fill="FBFBFB"/>
        </w:rPr>
        <w:t xml:space="preserve"> </w:t>
      </w:r>
      <w:r w:rsidR="009F2049" w:rsidRPr="009F2049">
        <w:rPr>
          <w:rFonts w:ascii="Times New Roman" w:hAnsi="Times New Roman" w:cs="Times New Roman"/>
          <w:sz w:val="24"/>
          <w:szCs w:val="24"/>
        </w:rPr>
        <w:t>Second, the reliance solely on descriptive statistics limits the ability to draw inferences regarding associations between sociodemographic factors and specific coping strategies. The study describes the prevalence of coping mechanisms but does not identify statistical predictors of maladaptive or adaptive coping styles</w:t>
      </w:r>
      <w:r w:rsidRPr="001B16F4">
        <w:rPr>
          <w:rFonts w:ascii="Times New Roman" w:hAnsi="Times New Roman" w:cs="Times New Roman"/>
          <w:sz w:val="24"/>
          <w:szCs w:val="24"/>
        </w:rPr>
        <w:t>. Third, the study did not include validated measures of self-management or quality of life; therefore, the relevance of coping strategies to these outcomes could not be empirically assessed.</w:t>
      </w:r>
      <w:r w:rsidR="00AF0A00">
        <w:rPr>
          <w:rFonts w:ascii="Times New Roman" w:hAnsi="Times New Roman" w:cs="Times New Roman"/>
          <w:sz w:val="24"/>
          <w:szCs w:val="24"/>
        </w:rPr>
        <w:t xml:space="preserve"> </w:t>
      </w:r>
      <w:r>
        <w:rPr>
          <w:rFonts w:ascii="Times New Roman" w:hAnsi="Times New Roman" w:cs="Times New Roman"/>
          <w:sz w:val="24"/>
          <w:szCs w:val="24"/>
        </w:rPr>
        <w:t>P</w:t>
      </w:r>
      <w:r w:rsidR="00AF0A00">
        <w:rPr>
          <w:rFonts w:ascii="Times New Roman" w:hAnsi="Times New Roman" w:cs="Times New Roman"/>
          <w:sz w:val="24"/>
          <w:szCs w:val="24"/>
        </w:rPr>
        <w:t>articipants were recruited from selected secondary healthcare facilities, which may not represent all individuals with diabetes in Kaduna State, particularly those not engaged in formal care.</w:t>
      </w:r>
      <w:r w:rsidR="009F2049" w:rsidRPr="009F2049">
        <w:rPr>
          <w:rFonts w:ascii="Arial" w:hAnsi="Arial" w:cs="Arial"/>
          <w:shd w:val="clear" w:color="auto" w:fill="FBFBFB"/>
        </w:rPr>
        <w:t xml:space="preserve"> </w:t>
      </w:r>
      <w:r w:rsidR="009F2049" w:rsidRPr="009F2049">
        <w:rPr>
          <w:rFonts w:ascii="Times New Roman" w:hAnsi="Times New Roman" w:cs="Times New Roman"/>
          <w:sz w:val="24"/>
          <w:szCs w:val="24"/>
        </w:rPr>
        <w:t>Furthermore, the classification of variables as independent and dependent in the design phase was intended to guide future hypothesis testing; however, the current study was restricted to descriptive statistics, preventing the assessment of relationships between demographic factors and coping outcomes</w:t>
      </w:r>
      <w:r w:rsidR="009F2049">
        <w:rPr>
          <w:rFonts w:ascii="Times New Roman" w:hAnsi="Times New Roman" w:cs="Times New Roman"/>
          <w:sz w:val="24"/>
          <w:szCs w:val="24"/>
        </w:rPr>
        <w:t>.</w:t>
      </w:r>
      <w:r w:rsidR="00AF0A00">
        <w:rPr>
          <w:rFonts w:ascii="Times New Roman" w:hAnsi="Times New Roman" w:cs="Times New Roman"/>
          <w:sz w:val="24"/>
          <w:szCs w:val="24"/>
        </w:rPr>
        <w:t xml:space="preserve"> Finally, qualitative coding, although conducted systematically, may involve some degree of researcher subjectivity.</w:t>
      </w:r>
    </w:p>
    <w:p w14:paraId="2F3C354E" w14:textId="652447CF" w:rsidR="00FE24D8" w:rsidRPr="00FE24D8" w:rsidRDefault="00FE24D8" w:rsidP="00FE24D8">
      <w:pPr>
        <w:spacing w:after="0" w:line="480" w:lineRule="auto"/>
        <w:jc w:val="both"/>
        <w:rPr>
          <w:rFonts w:ascii="Times New Roman" w:hAnsi="Times New Roman" w:cs="Times New Roman"/>
          <w:b/>
          <w:sz w:val="24"/>
          <w:szCs w:val="24"/>
        </w:rPr>
      </w:pPr>
      <w:r w:rsidRPr="00FE24D8">
        <w:rPr>
          <w:rFonts w:ascii="Times New Roman" w:hAnsi="Times New Roman" w:cs="Times New Roman"/>
          <w:b/>
          <w:sz w:val="24"/>
          <w:szCs w:val="24"/>
        </w:rPr>
        <w:t>Ethics approval and consent</w:t>
      </w:r>
      <w:r>
        <w:rPr>
          <w:rFonts w:ascii="Times New Roman" w:hAnsi="Times New Roman" w:cs="Times New Roman"/>
          <w:b/>
          <w:sz w:val="24"/>
          <w:szCs w:val="24"/>
        </w:rPr>
        <w:t xml:space="preserve">: </w:t>
      </w:r>
    </w:p>
    <w:p w14:paraId="2F33A1FF" w14:textId="33D5BF6A" w:rsidR="00FE24D8" w:rsidRDefault="00FE24D8" w:rsidP="00FE24D8">
      <w:pPr>
        <w:spacing w:after="0" w:line="480" w:lineRule="auto"/>
        <w:jc w:val="both"/>
        <w:rPr>
          <w:rFonts w:ascii="Times New Roman" w:hAnsi="Times New Roman" w:cs="Times New Roman"/>
          <w:sz w:val="24"/>
          <w:szCs w:val="24"/>
        </w:rPr>
      </w:pPr>
      <w:r w:rsidRPr="00FE24D8">
        <w:rPr>
          <w:rFonts w:ascii="Times New Roman" w:hAnsi="Times New Roman" w:cs="Times New Roman"/>
          <w:sz w:val="24"/>
          <w:szCs w:val="24"/>
        </w:rPr>
        <w:t xml:space="preserve">The study was conducted after getting ethical approval and clearance from the concern’s authority in novena university </w:t>
      </w:r>
      <w:proofErr w:type="spellStart"/>
      <w:r w:rsidRPr="00FE24D8">
        <w:rPr>
          <w:rFonts w:ascii="Times New Roman" w:hAnsi="Times New Roman" w:cs="Times New Roman"/>
          <w:sz w:val="24"/>
          <w:szCs w:val="24"/>
        </w:rPr>
        <w:t>Ogume</w:t>
      </w:r>
      <w:proofErr w:type="spellEnd"/>
      <w:r w:rsidRPr="00FE24D8">
        <w:rPr>
          <w:rFonts w:ascii="Times New Roman" w:hAnsi="Times New Roman" w:cs="Times New Roman"/>
          <w:sz w:val="24"/>
          <w:szCs w:val="24"/>
        </w:rPr>
        <w:t xml:space="preserve"> Kaduna state ministry of health. The supportive letter was taken from novena University to Kaduna state ministry of health research committee. Also, a signed informed consent was obtained from the study participants.</w:t>
      </w:r>
    </w:p>
    <w:p w14:paraId="3FF24E7A" w14:textId="0A989892" w:rsidR="00465203" w:rsidRDefault="00465203">
      <w:pPr>
        <w:jc w:val="both"/>
        <w:rPr>
          <w:rFonts w:ascii="Times New Roman" w:hAnsi="Times New Roman" w:cs="Times New Roman"/>
          <w:sz w:val="24"/>
          <w:szCs w:val="24"/>
        </w:rPr>
      </w:pPr>
    </w:p>
    <w:p w14:paraId="7767B51A" w14:textId="66327E85" w:rsidR="00A2063F" w:rsidRDefault="00A2063F">
      <w:pPr>
        <w:jc w:val="both"/>
        <w:rPr>
          <w:rFonts w:ascii="Times New Roman" w:hAnsi="Times New Roman" w:cs="Times New Roman"/>
          <w:sz w:val="24"/>
          <w:szCs w:val="24"/>
        </w:rPr>
      </w:pPr>
    </w:p>
    <w:p w14:paraId="6381F370" w14:textId="77777777" w:rsidR="00010DD0" w:rsidRPr="00010DD0" w:rsidRDefault="00010DD0" w:rsidP="00010DD0">
      <w:pPr>
        <w:pStyle w:val="paragraph"/>
        <w:spacing w:before="0" w:beforeAutospacing="0" w:after="0" w:afterAutospacing="0" w:line="480" w:lineRule="auto"/>
        <w:textAlignment w:val="baseline"/>
      </w:pPr>
      <w:r w:rsidRPr="00010DD0">
        <w:rPr>
          <w:rStyle w:val="normaltextrun"/>
        </w:rPr>
        <w:lastRenderedPageBreak/>
        <w:t>References </w:t>
      </w:r>
      <w:r w:rsidRPr="00010DD0">
        <w:rPr>
          <w:rStyle w:val="eop"/>
        </w:rPr>
        <w:t> </w:t>
      </w:r>
    </w:p>
    <w:p w14:paraId="0B64FA3D" w14:textId="77777777" w:rsidR="00010DD0" w:rsidRPr="00010DD0" w:rsidRDefault="00010DD0" w:rsidP="00010DD0">
      <w:pPr>
        <w:pStyle w:val="paragraph"/>
        <w:spacing w:before="0" w:beforeAutospacing="0" w:after="0" w:afterAutospacing="0" w:line="480" w:lineRule="auto"/>
        <w:textAlignment w:val="baseline"/>
      </w:pPr>
      <w:r w:rsidRPr="00010DD0">
        <w:rPr>
          <w:rStyle w:val="eop"/>
        </w:rPr>
        <w:t> </w:t>
      </w:r>
    </w:p>
    <w:p w14:paraId="3BE0B4E0" w14:textId="77777777" w:rsidR="00010DD0" w:rsidRPr="00010DD0" w:rsidRDefault="00010DD0" w:rsidP="00B20BD0">
      <w:pPr>
        <w:pStyle w:val="paragraph"/>
        <w:numPr>
          <w:ilvl w:val="0"/>
          <w:numId w:val="4"/>
        </w:numPr>
        <w:spacing w:before="0" w:beforeAutospacing="0" w:after="0" w:afterAutospacing="0" w:line="480" w:lineRule="auto"/>
        <w:textAlignment w:val="baseline"/>
      </w:pPr>
      <w:r w:rsidRPr="00010DD0">
        <w:rPr>
          <w:rStyle w:val="contentcontrolboundarysink"/>
        </w:rPr>
        <w:t>​​</w:t>
      </w:r>
      <w:r w:rsidRPr="00010DD0">
        <w:rPr>
          <w:rStyle w:val="normaltextrun"/>
          <w:color w:val="000000"/>
        </w:rPr>
        <w:t>Abdul-</w:t>
      </w:r>
      <w:proofErr w:type="spellStart"/>
      <w:r w:rsidRPr="00010DD0">
        <w:rPr>
          <w:rStyle w:val="normaltextrun"/>
          <w:color w:val="000000"/>
        </w:rPr>
        <w:t>Samed</w:t>
      </w:r>
      <w:proofErr w:type="spellEnd"/>
      <w:r w:rsidRPr="00010DD0">
        <w:rPr>
          <w:rStyle w:val="normaltextrun"/>
          <w:color w:val="000000"/>
        </w:rPr>
        <w:t xml:space="preserve">, A.-B., Jahan, Y., </w:t>
      </w:r>
      <w:proofErr w:type="spellStart"/>
      <w:r w:rsidRPr="00010DD0">
        <w:rPr>
          <w:rStyle w:val="normaltextrun"/>
          <w:color w:val="000000"/>
        </w:rPr>
        <w:t>Reichenberger</w:t>
      </w:r>
      <w:proofErr w:type="spellEnd"/>
      <w:r w:rsidRPr="00010DD0">
        <w:rPr>
          <w:rStyle w:val="normaltextrun"/>
          <w:color w:val="000000"/>
        </w:rPr>
        <w:t xml:space="preserve">, V., </w:t>
      </w:r>
      <w:proofErr w:type="spellStart"/>
      <w:r w:rsidRPr="00010DD0">
        <w:rPr>
          <w:rStyle w:val="normaltextrun"/>
          <w:color w:val="000000"/>
        </w:rPr>
        <w:t>Peprah</w:t>
      </w:r>
      <w:proofErr w:type="spellEnd"/>
      <w:r w:rsidRPr="00010DD0">
        <w:rPr>
          <w:rStyle w:val="normaltextrun"/>
          <w:color w:val="000000"/>
        </w:rPr>
        <w:t>, E. B., Agyekum, M. P., Lawson, H., </w:t>
      </w:r>
      <w:proofErr w:type="spellStart"/>
      <w:r w:rsidRPr="00010DD0">
        <w:rPr>
          <w:rStyle w:val="normaltextrun"/>
          <w:color w:val="000000"/>
        </w:rPr>
        <w:t>Balabanova</w:t>
      </w:r>
      <w:proofErr w:type="spellEnd"/>
      <w:r w:rsidRPr="00010DD0">
        <w:rPr>
          <w:rStyle w:val="normaltextrun"/>
          <w:color w:val="000000"/>
        </w:rPr>
        <w:t xml:space="preserve">, D., </w:t>
      </w:r>
      <w:proofErr w:type="spellStart"/>
      <w:r w:rsidRPr="00010DD0">
        <w:rPr>
          <w:rStyle w:val="normaltextrun"/>
          <w:color w:val="000000"/>
        </w:rPr>
        <w:t>Mirzoev</w:t>
      </w:r>
      <w:proofErr w:type="spellEnd"/>
      <w:r w:rsidRPr="00010DD0">
        <w:rPr>
          <w:rStyle w:val="normaltextrun"/>
          <w:color w:val="000000"/>
        </w:rPr>
        <w:t xml:space="preserve">, T., &amp; </w:t>
      </w:r>
      <w:proofErr w:type="spellStart"/>
      <w:r w:rsidRPr="00010DD0">
        <w:rPr>
          <w:rStyle w:val="normaltextrun"/>
          <w:color w:val="000000"/>
        </w:rPr>
        <w:t>Agyepong</w:t>
      </w:r>
      <w:proofErr w:type="spellEnd"/>
      <w:r w:rsidRPr="00010DD0">
        <w:rPr>
          <w:rStyle w:val="normaltextrun"/>
          <w:color w:val="000000"/>
        </w:rPr>
        <w:t>, I. A. (2025). Barriers and facilitators of primary care management of type II diabetes mellitus in the West African sub-region: A scoping review. </w:t>
      </w:r>
      <w:r w:rsidRPr="00010DD0">
        <w:rPr>
          <w:rStyle w:val="normaltextrun"/>
          <w:i/>
          <w:iCs/>
          <w:color w:val="000000"/>
        </w:rPr>
        <w:t>PLOS Global Public Health</w:t>
      </w:r>
      <w:r w:rsidRPr="00010DD0">
        <w:rPr>
          <w:rStyle w:val="normaltextrun"/>
          <w:color w:val="000000"/>
        </w:rPr>
        <w:t>, </w:t>
      </w:r>
      <w:r w:rsidRPr="00010DD0">
        <w:rPr>
          <w:rStyle w:val="normaltextrun"/>
          <w:i/>
          <w:iCs/>
          <w:color w:val="000000"/>
        </w:rPr>
        <w:t>5</w:t>
      </w:r>
      <w:r w:rsidRPr="00010DD0">
        <w:rPr>
          <w:rStyle w:val="normaltextrun"/>
          <w:color w:val="000000"/>
        </w:rPr>
        <w:t>(5), e0003733. </w:t>
      </w:r>
      <w:hyperlink r:id="rId8" w:tgtFrame="_blank" w:history="1">
        <w:r w:rsidRPr="00010DD0">
          <w:rPr>
            <w:rStyle w:val="normaltextrun"/>
            <w:color w:val="000000"/>
          </w:rPr>
          <w:t>https://doi.org/10.1371/journal.pgph.0003733</w:t>
        </w:r>
      </w:hyperlink>
      <w:r w:rsidRPr="00010DD0">
        <w:rPr>
          <w:rStyle w:val="eop"/>
          <w:color w:val="000000"/>
        </w:rPr>
        <w:t> </w:t>
      </w:r>
    </w:p>
    <w:p w14:paraId="3687D07D" w14:textId="77777777" w:rsidR="00010DD0" w:rsidRPr="00010DD0" w:rsidRDefault="00010DD0" w:rsidP="00B20BD0">
      <w:pPr>
        <w:pStyle w:val="paragraph"/>
        <w:numPr>
          <w:ilvl w:val="0"/>
          <w:numId w:val="4"/>
        </w:numPr>
        <w:spacing w:before="0" w:beforeAutospacing="0" w:after="0" w:afterAutospacing="0" w:line="480" w:lineRule="auto"/>
        <w:textAlignment w:val="baseline"/>
      </w:pPr>
      <w:r w:rsidRPr="00010DD0">
        <w:rPr>
          <w:rStyle w:val="contentcontrolboundarysink"/>
          <w:color w:val="000000"/>
        </w:rPr>
        <w:t>​</w:t>
      </w:r>
      <w:proofErr w:type="spellStart"/>
      <w:r w:rsidRPr="00010DD0">
        <w:rPr>
          <w:rStyle w:val="normaltextrun"/>
          <w:color w:val="000000"/>
        </w:rPr>
        <w:t>Ageru</w:t>
      </w:r>
      <w:proofErr w:type="spellEnd"/>
      <w:r w:rsidRPr="00010DD0">
        <w:rPr>
          <w:rStyle w:val="normaltextrun"/>
          <w:color w:val="000000"/>
        </w:rPr>
        <w:t>, T. A., Le, C. N., </w:t>
      </w:r>
      <w:proofErr w:type="spellStart"/>
      <w:r w:rsidRPr="00010DD0">
        <w:rPr>
          <w:rStyle w:val="normaltextrun"/>
          <w:color w:val="000000"/>
        </w:rPr>
        <w:t>Wattanapisit</w:t>
      </w:r>
      <w:proofErr w:type="spellEnd"/>
      <w:r w:rsidRPr="00010DD0">
        <w:rPr>
          <w:rStyle w:val="normaltextrun"/>
          <w:color w:val="000000"/>
        </w:rPr>
        <w:t>, A., </w:t>
      </w:r>
      <w:proofErr w:type="spellStart"/>
      <w:r w:rsidRPr="00010DD0">
        <w:rPr>
          <w:rStyle w:val="normaltextrun"/>
          <w:color w:val="000000"/>
        </w:rPr>
        <w:t>Woticha</w:t>
      </w:r>
      <w:proofErr w:type="spellEnd"/>
      <w:r w:rsidRPr="00010DD0">
        <w:rPr>
          <w:rStyle w:val="normaltextrun"/>
          <w:color w:val="000000"/>
        </w:rPr>
        <w:t xml:space="preserve">, E. W., Truong, N. T., </w:t>
      </w:r>
      <w:proofErr w:type="spellStart"/>
      <w:r w:rsidRPr="00010DD0">
        <w:rPr>
          <w:rStyle w:val="normaltextrun"/>
          <w:color w:val="000000"/>
        </w:rPr>
        <w:t>Stanikzai</w:t>
      </w:r>
      <w:proofErr w:type="spellEnd"/>
      <w:r w:rsidRPr="00010DD0">
        <w:rPr>
          <w:rStyle w:val="normaltextrun"/>
          <w:color w:val="000000"/>
        </w:rPr>
        <w:t xml:space="preserve">, M. H., </w:t>
      </w:r>
      <w:proofErr w:type="spellStart"/>
      <w:r w:rsidRPr="00010DD0">
        <w:rPr>
          <w:rStyle w:val="normaltextrun"/>
          <w:color w:val="000000"/>
        </w:rPr>
        <w:t>Abiso</w:t>
      </w:r>
      <w:proofErr w:type="spellEnd"/>
      <w:r w:rsidRPr="00010DD0">
        <w:rPr>
          <w:rStyle w:val="normaltextrun"/>
          <w:color w:val="000000"/>
        </w:rPr>
        <w:t>, T. L., &amp; </w:t>
      </w:r>
      <w:proofErr w:type="spellStart"/>
      <w:r w:rsidRPr="00010DD0">
        <w:rPr>
          <w:rStyle w:val="normaltextrun"/>
          <w:color w:val="000000"/>
        </w:rPr>
        <w:t>Suwanbamrung</w:t>
      </w:r>
      <w:proofErr w:type="spellEnd"/>
      <w:r w:rsidRPr="00010DD0">
        <w:rPr>
          <w:rStyle w:val="normaltextrun"/>
          <w:color w:val="000000"/>
        </w:rPr>
        <w:t>, C. (2024). Diabetes self-care intervention strategies and their effectiveness in Sub-Saharan Africa: A systematic review. </w:t>
      </w:r>
      <w:r w:rsidRPr="00010DD0">
        <w:rPr>
          <w:rStyle w:val="normaltextrun"/>
          <w:i/>
          <w:iCs/>
          <w:color w:val="000000"/>
        </w:rPr>
        <w:t>PLOS ONE</w:t>
      </w:r>
      <w:r w:rsidRPr="00010DD0">
        <w:rPr>
          <w:rStyle w:val="normaltextrun"/>
          <w:color w:val="000000"/>
        </w:rPr>
        <w:t>, </w:t>
      </w:r>
      <w:r w:rsidRPr="00010DD0">
        <w:rPr>
          <w:rStyle w:val="normaltextrun"/>
          <w:i/>
          <w:iCs/>
          <w:color w:val="000000"/>
        </w:rPr>
        <w:t>19</w:t>
      </w:r>
      <w:r w:rsidRPr="00010DD0">
        <w:rPr>
          <w:rStyle w:val="normaltextrun"/>
          <w:color w:val="000000"/>
        </w:rPr>
        <w:t>(10), e0305860. </w:t>
      </w:r>
      <w:hyperlink r:id="rId9" w:tgtFrame="_blank" w:history="1">
        <w:r w:rsidRPr="00010DD0">
          <w:rPr>
            <w:rStyle w:val="normaltextrun"/>
            <w:color w:val="000000"/>
          </w:rPr>
          <w:t>https://doi.org/10.1371/journal.pone.0305860</w:t>
        </w:r>
      </w:hyperlink>
      <w:r w:rsidRPr="00010DD0">
        <w:rPr>
          <w:rStyle w:val="eop"/>
          <w:color w:val="000000"/>
        </w:rPr>
        <w:t> </w:t>
      </w:r>
    </w:p>
    <w:p w14:paraId="13562075" w14:textId="77777777" w:rsidR="00010DD0" w:rsidRPr="00010DD0" w:rsidRDefault="00010DD0" w:rsidP="00B20BD0">
      <w:pPr>
        <w:pStyle w:val="paragraph"/>
        <w:numPr>
          <w:ilvl w:val="0"/>
          <w:numId w:val="4"/>
        </w:numPr>
        <w:spacing w:before="0" w:beforeAutospacing="0" w:after="0" w:afterAutospacing="0" w:line="480" w:lineRule="auto"/>
        <w:textAlignment w:val="baseline"/>
      </w:pPr>
      <w:r w:rsidRPr="00010DD0">
        <w:rPr>
          <w:rStyle w:val="contentcontrolboundarysink"/>
          <w:color w:val="000000"/>
        </w:rPr>
        <w:t>​</w:t>
      </w:r>
      <w:r w:rsidRPr="00010DD0">
        <w:rPr>
          <w:rStyle w:val="normaltextrun"/>
          <w:color w:val="000000"/>
        </w:rPr>
        <w:t xml:space="preserve">Ayodeji, O., Benton, M., Orton, L., &amp; </w:t>
      </w:r>
      <w:proofErr w:type="spellStart"/>
      <w:r w:rsidRPr="00010DD0">
        <w:rPr>
          <w:rStyle w:val="normaltextrun"/>
          <w:color w:val="000000"/>
        </w:rPr>
        <w:t>Weich</w:t>
      </w:r>
      <w:proofErr w:type="spellEnd"/>
      <w:r w:rsidRPr="00010DD0">
        <w:rPr>
          <w:rStyle w:val="normaltextrun"/>
          <w:color w:val="000000"/>
        </w:rPr>
        <w:t>, S. (2025). The Lived Experiences of Individuals with Type 2 Diabetes Mellitus with Poor </w:t>
      </w:r>
      <w:proofErr w:type="spellStart"/>
      <w:r w:rsidRPr="00010DD0">
        <w:rPr>
          <w:rStyle w:val="normaltextrun"/>
          <w:color w:val="000000"/>
        </w:rPr>
        <w:t>Glycaemic</w:t>
      </w:r>
      <w:proofErr w:type="spellEnd"/>
      <w:r w:rsidRPr="00010DD0">
        <w:rPr>
          <w:rStyle w:val="normaltextrun"/>
          <w:color w:val="000000"/>
        </w:rPr>
        <w:t> Control in Nigeria: A Qualitative Study. </w:t>
      </w:r>
      <w:r w:rsidRPr="00010DD0">
        <w:rPr>
          <w:rStyle w:val="normaltextrun"/>
          <w:i/>
          <w:iCs/>
          <w:color w:val="000000"/>
        </w:rPr>
        <w:t>Clinical Medicine Insights: Endocrinology and Diabetes</w:t>
      </w:r>
      <w:r w:rsidRPr="00010DD0">
        <w:rPr>
          <w:rStyle w:val="normaltextrun"/>
          <w:color w:val="000000"/>
        </w:rPr>
        <w:t>, </w:t>
      </w:r>
      <w:r w:rsidRPr="00010DD0">
        <w:rPr>
          <w:rStyle w:val="normaltextrun"/>
          <w:i/>
          <w:iCs/>
          <w:color w:val="000000"/>
        </w:rPr>
        <w:t>18</w:t>
      </w:r>
      <w:r w:rsidRPr="00010DD0">
        <w:rPr>
          <w:rStyle w:val="normaltextrun"/>
          <w:color w:val="000000"/>
        </w:rPr>
        <w:t>. </w:t>
      </w:r>
      <w:hyperlink r:id="rId10" w:tgtFrame="_blank" w:history="1">
        <w:r w:rsidRPr="00010DD0">
          <w:rPr>
            <w:rStyle w:val="normaltextrun"/>
            <w:color w:val="000000"/>
          </w:rPr>
          <w:t>https://doi.org/10.1177/11795514251384044</w:t>
        </w:r>
      </w:hyperlink>
      <w:r w:rsidRPr="00010DD0">
        <w:rPr>
          <w:rStyle w:val="eop"/>
          <w:color w:val="000000"/>
        </w:rPr>
        <w:t> </w:t>
      </w:r>
    </w:p>
    <w:p w14:paraId="6A27E232" w14:textId="77777777" w:rsidR="00010DD0" w:rsidRPr="00010DD0" w:rsidRDefault="00010DD0" w:rsidP="00B20BD0">
      <w:pPr>
        <w:pStyle w:val="paragraph"/>
        <w:numPr>
          <w:ilvl w:val="0"/>
          <w:numId w:val="4"/>
        </w:numPr>
        <w:spacing w:before="0" w:beforeAutospacing="0" w:after="0" w:afterAutospacing="0" w:line="480" w:lineRule="auto"/>
        <w:textAlignment w:val="baseline"/>
      </w:pPr>
      <w:r w:rsidRPr="00010DD0">
        <w:rPr>
          <w:rStyle w:val="contentcontrolboundarysink"/>
          <w:color w:val="000000"/>
        </w:rPr>
        <w:t>​</w:t>
      </w:r>
      <w:r w:rsidRPr="00010DD0">
        <w:rPr>
          <w:rStyle w:val="normaltextrun"/>
          <w:color w:val="000000"/>
        </w:rPr>
        <w:t>Braun, V., &amp; Clarke, V. (2006). Using thematic analysis in psychology. </w:t>
      </w:r>
      <w:r w:rsidRPr="00010DD0">
        <w:rPr>
          <w:rStyle w:val="normaltextrun"/>
          <w:i/>
          <w:iCs/>
          <w:color w:val="000000"/>
        </w:rPr>
        <w:t>Qualitative Research in Psychology</w:t>
      </w:r>
      <w:r w:rsidRPr="00010DD0">
        <w:rPr>
          <w:rStyle w:val="normaltextrun"/>
          <w:color w:val="000000"/>
        </w:rPr>
        <w:t>, </w:t>
      </w:r>
      <w:r w:rsidRPr="00010DD0">
        <w:rPr>
          <w:rStyle w:val="normaltextrun"/>
          <w:i/>
          <w:iCs/>
          <w:color w:val="000000"/>
        </w:rPr>
        <w:t>3</w:t>
      </w:r>
      <w:r w:rsidRPr="00010DD0">
        <w:rPr>
          <w:rStyle w:val="normaltextrun"/>
          <w:color w:val="000000"/>
        </w:rPr>
        <w:t>(2), 77–101. </w:t>
      </w:r>
      <w:hyperlink r:id="rId11" w:tgtFrame="_blank" w:history="1">
        <w:r w:rsidRPr="00010DD0">
          <w:rPr>
            <w:rStyle w:val="normaltextrun"/>
            <w:color w:val="000000"/>
          </w:rPr>
          <w:t>https://doi.org/10.1191/1478088706qp063oa</w:t>
        </w:r>
      </w:hyperlink>
      <w:r w:rsidRPr="00010DD0">
        <w:rPr>
          <w:rStyle w:val="eop"/>
          <w:color w:val="000000"/>
        </w:rPr>
        <w:t> </w:t>
      </w:r>
    </w:p>
    <w:p w14:paraId="171D9320" w14:textId="77777777" w:rsidR="00010DD0" w:rsidRPr="00010DD0" w:rsidRDefault="00010DD0" w:rsidP="00B20BD0">
      <w:pPr>
        <w:pStyle w:val="paragraph"/>
        <w:numPr>
          <w:ilvl w:val="0"/>
          <w:numId w:val="4"/>
        </w:numPr>
        <w:spacing w:before="0" w:beforeAutospacing="0" w:after="0" w:afterAutospacing="0" w:line="480" w:lineRule="auto"/>
        <w:textAlignment w:val="baseline"/>
      </w:pPr>
      <w:r w:rsidRPr="00010DD0">
        <w:rPr>
          <w:rStyle w:val="contentcontrolboundarysink"/>
          <w:color w:val="000000"/>
        </w:rPr>
        <w:t>​</w:t>
      </w:r>
      <w:r w:rsidRPr="00010DD0">
        <w:rPr>
          <w:rStyle w:val="normaltextrun"/>
          <w:color w:val="000000"/>
        </w:rPr>
        <w:t>Carver, C. S. (1997). You want to measure coping but your protocol’ too long: Consider the brief cope. </w:t>
      </w:r>
      <w:r w:rsidRPr="00010DD0">
        <w:rPr>
          <w:rStyle w:val="normaltextrun"/>
          <w:i/>
          <w:iCs/>
          <w:color w:val="000000"/>
        </w:rPr>
        <w:t>International Journal of Behavioral Medicine</w:t>
      </w:r>
      <w:r w:rsidRPr="00010DD0">
        <w:rPr>
          <w:rStyle w:val="normaltextrun"/>
          <w:color w:val="000000"/>
        </w:rPr>
        <w:t>, </w:t>
      </w:r>
      <w:r w:rsidRPr="00010DD0">
        <w:rPr>
          <w:rStyle w:val="normaltextrun"/>
          <w:i/>
          <w:iCs/>
          <w:color w:val="000000"/>
        </w:rPr>
        <w:t>4</w:t>
      </w:r>
      <w:r w:rsidRPr="00010DD0">
        <w:rPr>
          <w:rStyle w:val="normaltextrun"/>
          <w:color w:val="000000"/>
        </w:rPr>
        <w:t>(1), 92–100. </w:t>
      </w:r>
      <w:hyperlink r:id="rId12" w:tgtFrame="_blank" w:history="1">
        <w:r w:rsidRPr="00010DD0">
          <w:rPr>
            <w:rStyle w:val="normaltextrun"/>
            <w:color w:val="000000"/>
          </w:rPr>
          <w:t>https://doi.org/10.1207/s15327558ijbm0401_6</w:t>
        </w:r>
      </w:hyperlink>
      <w:r w:rsidRPr="00010DD0">
        <w:rPr>
          <w:rStyle w:val="eop"/>
          <w:color w:val="000000"/>
        </w:rPr>
        <w:t> </w:t>
      </w:r>
    </w:p>
    <w:p w14:paraId="64A1E8DF" w14:textId="77777777" w:rsidR="00010DD0" w:rsidRPr="00010DD0" w:rsidRDefault="00010DD0" w:rsidP="00B20BD0">
      <w:pPr>
        <w:pStyle w:val="paragraph"/>
        <w:numPr>
          <w:ilvl w:val="0"/>
          <w:numId w:val="4"/>
        </w:numPr>
        <w:spacing w:before="0" w:beforeAutospacing="0" w:after="0" w:afterAutospacing="0" w:line="480" w:lineRule="auto"/>
        <w:textAlignment w:val="baseline"/>
      </w:pPr>
      <w:r w:rsidRPr="00010DD0">
        <w:rPr>
          <w:rStyle w:val="contentcontrolboundarysink"/>
          <w:color w:val="000000"/>
        </w:rPr>
        <w:t>​</w:t>
      </w:r>
      <w:r w:rsidRPr="00010DD0">
        <w:rPr>
          <w:rStyle w:val="normaltextrun"/>
          <w:color w:val="000000"/>
        </w:rPr>
        <w:t>Cho, N. H., Shaw, J. E., </w:t>
      </w:r>
      <w:proofErr w:type="spellStart"/>
      <w:r w:rsidRPr="00010DD0">
        <w:rPr>
          <w:rStyle w:val="normaltextrun"/>
          <w:color w:val="000000"/>
        </w:rPr>
        <w:t>Karuranga</w:t>
      </w:r>
      <w:proofErr w:type="spellEnd"/>
      <w:r w:rsidRPr="00010DD0">
        <w:rPr>
          <w:rStyle w:val="normaltextrun"/>
          <w:color w:val="000000"/>
        </w:rPr>
        <w:t xml:space="preserve">, S., Huang, Y., da Rocha Fernandes, J. D., </w:t>
      </w:r>
      <w:proofErr w:type="spellStart"/>
      <w:r w:rsidRPr="00010DD0">
        <w:rPr>
          <w:rStyle w:val="normaltextrun"/>
          <w:color w:val="000000"/>
        </w:rPr>
        <w:t>Ohlrogge</w:t>
      </w:r>
      <w:proofErr w:type="spellEnd"/>
      <w:r w:rsidRPr="00010DD0">
        <w:rPr>
          <w:rStyle w:val="normaltextrun"/>
          <w:color w:val="000000"/>
        </w:rPr>
        <w:t>, A. W., &amp; Malanda, B. (2018). IDF Diabetes Atlas: Global estimates of diabetes prevalence for 2017 and projections for 2045. </w:t>
      </w:r>
      <w:r w:rsidRPr="00010DD0">
        <w:rPr>
          <w:rStyle w:val="normaltextrun"/>
          <w:i/>
          <w:iCs/>
          <w:color w:val="000000"/>
        </w:rPr>
        <w:t>Diabetes Research and Clinical Practice</w:t>
      </w:r>
      <w:r w:rsidRPr="00010DD0">
        <w:rPr>
          <w:rStyle w:val="normaltextrun"/>
          <w:color w:val="000000"/>
        </w:rPr>
        <w:t>, </w:t>
      </w:r>
      <w:r w:rsidRPr="00010DD0">
        <w:rPr>
          <w:rStyle w:val="normaltextrun"/>
          <w:i/>
          <w:iCs/>
          <w:color w:val="000000"/>
        </w:rPr>
        <w:t>138</w:t>
      </w:r>
      <w:r w:rsidRPr="00010DD0">
        <w:rPr>
          <w:rStyle w:val="normaltextrun"/>
          <w:color w:val="000000"/>
        </w:rPr>
        <w:t>, 271–281. </w:t>
      </w:r>
      <w:hyperlink r:id="rId13" w:tgtFrame="_blank" w:history="1">
        <w:r w:rsidRPr="00010DD0">
          <w:rPr>
            <w:rStyle w:val="normaltextrun"/>
            <w:color w:val="000000"/>
          </w:rPr>
          <w:t>https://doi.org/10.1016/j.diabres.2018.02.023</w:t>
        </w:r>
      </w:hyperlink>
      <w:r w:rsidRPr="00010DD0">
        <w:rPr>
          <w:rStyle w:val="eop"/>
          <w:color w:val="000000"/>
        </w:rPr>
        <w:t> </w:t>
      </w:r>
    </w:p>
    <w:p w14:paraId="326FA055" w14:textId="77777777" w:rsidR="00010DD0" w:rsidRPr="00010DD0" w:rsidRDefault="00010DD0" w:rsidP="00B20BD0">
      <w:pPr>
        <w:pStyle w:val="paragraph"/>
        <w:numPr>
          <w:ilvl w:val="0"/>
          <w:numId w:val="4"/>
        </w:numPr>
        <w:spacing w:before="0" w:beforeAutospacing="0" w:after="0" w:afterAutospacing="0" w:line="480" w:lineRule="auto"/>
        <w:textAlignment w:val="baseline"/>
      </w:pPr>
      <w:r w:rsidRPr="00010DD0">
        <w:rPr>
          <w:rStyle w:val="contentcontrolboundarysink"/>
          <w:color w:val="000000"/>
        </w:rPr>
        <w:lastRenderedPageBreak/>
        <w:t>​</w:t>
      </w:r>
      <w:r w:rsidRPr="00010DD0">
        <w:rPr>
          <w:rStyle w:val="normaltextrun"/>
          <w:color w:val="000000"/>
        </w:rPr>
        <w:t>Folkman, S. (2013). Stress: Appraisal and Coping. In </w:t>
      </w:r>
      <w:r w:rsidRPr="00010DD0">
        <w:rPr>
          <w:rStyle w:val="normaltextrun"/>
          <w:i/>
          <w:iCs/>
          <w:color w:val="000000"/>
        </w:rPr>
        <w:t>Encyclopedia of Behavioral Medicine</w:t>
      </w:r>
      <w:r w:rsidRPr="00010DD0">
        <w:rPr>
          <w:rStyle w:val="normaltextrun"/>
          <w:color w:val="000000"/>
        </w:rPr>
        <w:t> (pp. 1913–1915). Springer New York. </w:t>
      </w:r>
      <w:hyperlink r:id="rId14" w:tgtFrame="_blank" w:history="1">
        <w:r w:rsidRPr="00010DD0">
          <w:rPr>
            <w:rStyle w:val="normaltextrun"/>
            <w:color w:val="000000"/>
          </w:rPr>
          <w:t>https://doi.org/10.1007/978-1-4419-1005-9_215</w:t>
        </w:r>
      </w:hyperlink>
      <w:r w:rsidRPr="00010DD0">
        <w:rPr>
          <w:rStyle w:val="eop"/>
          <w:color w:val="000000"/>
        </w:rPr>
        <w:t> </w:t>
      </w:r>
    </w:p>
    <w:p w14:paraId="7F66B73D" w14:textId="77777777" w:rsidR="00010DD0" w:rsidRPr="00010DD0" w:rsidRDefault="00010DD0" w:rsidP="00B20BD0">
      <w:pPr>
        <w:pStyle w:val="paragraph"/>
        <w:numPr>
          <w:ilvl w:val="0"/>
          <w:numId w:val="4"/>
        </w:numPr>
        <w:spacing w:before="0" w:beforeAutospacing="0" w:after="0" w:afterAutospacing="0" w:line="480" w:lineRule="auto"/>
        <w:textAlignment w:val="baseline"/>
      </w:pPr>
      <w:r w:rsidRPr="00010DD0">
        <w:rPr>
          <w:rStyle w:val="contentcontrolboundarysink"/>
          <w:color w:val="000000"/>
        </w:rPr>
        <w:t>​</w:t>
      </w:r>
      <w:proofErr w:type="spellStart"/>
      <w:r w:rsidRPr="00010DD0">
        <w:rPr>
          <w:rStyle w:val="normaltextrun"/>
          <w:color w:val="000000"/>
        </w:rPr>
        <w:t>Hapunda</w:t>
      </w:r>
      <w:proofErr w:type="spellEnd"/>
      <w:r w:rsidRPr="00010DD0">
        <w:rPr>
          <w:rStyle w:val="normaltextrun"/>
          <w:color w:val="000000"/>
        </w:rPr>
        <w:t>, G. (2022). Coping strategies and their association with diabetes specific distress, depression and diabetes self-care among people living with diabetes in Zambia. </w:t>
      </w:r>
      <w:r w:rsidRPr="00010DD0">
        <w:rPr>
          <w:rStyle w:val="normaltextrun"/>
          <w:i/>
          <w:iCs/>
          <w:color w:val="000000"/>
        </w:rPr>
        <w:t>BMC Endocrine Disorders</w:t>
      </w:r>
      <w:r w:rsidRPr="00010DD0">
        <w:rPr>
          <w:rStyle w:val="normaltextrun"/>
          <w:color w:val="000000"/>
        </w:rPr>
        <w:t>, </w:t>
      </w:r>
      <w:r w:rsidRPr="00010DD0">
        <w:rPr>
          <w:rStyle w:val="normaltextrun"/>
          <w:i/>
          <w:iCs/>
          <w:color w:val="000000"/>
        </w:rPr>
        <w:t>22</w:t>
      </w:r>
      <w:r w:rsidRPr="00010DD0">
        <w:rPr>
          <w:rStyle w:val="normaltextrun"/>
          <w:color w:val="000000"/>
        </w:rPr>
        <w:t>(1), 215. </w:t>
      </w:r>
      <w:hyperlink r:id="rId15" w:tgtFrame="_blank" w:history="1">
        <w:r w:rsidRPr="00010DD0">
          <w:rPr>
            <w:rStyle w:val="normaltextrun"/>
            <w:color w:val="000000"/>
          </w:rPr>
          <w:t>https://doi.org/10.1186/s12902-022-01131-2</w:t>
        </w:r>
      </w:hyperlink>
      <w:r w:rsidRPr="00010DD0">
        <w:rPr>
          <w:rStyle w:val="eop"/>
          <w:color w:val="000000"/>
        </w:rPr>
        <w:t> </w:t>
      </w:r>
    </w:p>
    <w:p w14:paraId="2290A19D" w14:textId="77777777" w:rsidR="00010DD0" w:rsidRPr="00010DD0" w:rsidRDefault="00010DD0" w:rsidP="00B20BD0">
      <w:pPr>
        <w:pStyle w:val="paragraph"/>
        <w:numPr>
          <w:ilvl w:val="0"/>
          <w:numId w:val="4"/>
        </w:numPr>
        <w:spacing w:before="0" w:beforeAutospacing="0" w:after="0" w:afterAutospacing="0" w:line="480" w:lineRule="auto"/>
        <w:textAlignment w:val="baseline"/>
      </w:pPr>
      <w:r w:rsidRPr="00010DD0">
        <w:rPr>
          <w:rStyle w:val="contentcontrolboundarysink"/>
          <w:color w:val="000000"/>
        </w:rPr>
        <w:t>​</w:t>
      </w:r>
      <w:r w:rsidRPr="00010DD0">
        <w:rPr>
          <w:rStyle w:val="normaltextrun"/>
          <w:color w:val="000000"/>
        </w:rPr>
        <w:t>McCoy, M. A., &amp; </w:t>
      </w:r>
      <w:proofErr w:type="spellStart"/>
      <w:r w:rsidRPr="00010DD0">
        <w:rPr>
          <w:rStyle w:val="normaltextrun"/>
          <w:color w:val="000000"/>
        </w:rPr>
        <w:t>Theeke</w:t>
      </w:r>
      <w:proofErr w:type="spellEnd"/>
      <w:r w:rsidRPr="00010DD0">
        <w:rPr>
          <w:rStyle w:val="normaltextrun"/>
          <w:color w:val="000000"/>
        </w:rPr>
        <w:t>, L. A. (2019). A systematic review of the relationships among psychosocial factors and coping in adults with type 2 diabetes mellitus. </w:t>
      </w:r>
      <w:r w:rsidRPr="00010DD0">
        <w:rPr>
          <w:rStyle w:val="normaltextrun"/>
          <w:i/>
          <w:iCs/>
          <w:color w:val="000000"/>
        </w:rPr>
        <w:t>International Journal of Nursing Sciences</w:t>
      </w:r>
      <w:r w:rsidRPr="00010DD0">
        <w:rPr>
          <w:rStyle w:val="normaltextrun"/>
          <w:color w:val="000000"/>
        </w:rPr>
        <w:t>, </w:t>
      </w:r>
      <w:r w:rsidRPr="00010DD0">
        <w:rPr>
          <w:rStyle w:val="normaltextrun"/>
          <w:i/>
          <w:iCs/>
          <w:color w:val="000000"/>
        </w:rPr>
        <w:t>6</w:t>
      </w:r>
      <w:r w:rsidRPr="00010DD0">
        <w:rPr>
          <w:rStyle w:val="normaltextrun"/>
          <w:color w:val="000000"/>
        </w:rPr>
        <w:t>(4), 468–477. </w:t>
      </w:r>
      <w:hyperlink r:id="rId16" w:tgtFrame="_blank" w:history="1">
        <w:r w:rsidRPr="00010DD0">
          <w:rPr>
            <w:rStyle w:val="normaltextrun"/>
            <w:color w:val="000000"/>
          </w:rPr>
          <w:t>https://doi.org/10.1016/j.ijnss.2019.09.003</w:t>
        </w:r>
      </w:hyperlink>
      <w:r w:rsidRPr="00010DD0">
        <w:rPr>
          <w:rStyle w:val="eop"/>
          <w:color w:val="000000"/>
        </w:rPr>
        <w:t> </w:t>
      </w:r>
    </w:p>
    <w:p w14:paraId="2194C0A8" w14:textId="77777777" w:rsidR="00010DD0" w:rsidRPr="00010DD0" w:rsidRDefault="00010DD0" w:rsidP="00B20BD0">
      <w:pPr>
        <w:pStyle w:val="paragraph"/>
        <w:numPr>
          <w:ilvl w:val="0"/>
          <w:numId w:val="4"/>
        </w:numPr>
        <w:spacing w:before="0" w:beforeAutospacing="0" w:after="0" w:afterAutospacing="0" w:line="480" w:lineRule="auto"/>
        <w:textAlignment w:val="baseline"/>
      </w:pPr>
      <w:r w:rsidRPr="00010DD0">
        <w:rPr>
          <w:rStyle w:val="contentcontrolboundarysink"/>
          <w:color w:val="000000"/>
        </w:rPr>
        <w:t>​</w:t>
      </w:r>
      <w:r w:rsidRPr="00010DD0">
        <w:rPr>
          <w:rStyle w:val="normaltextrun"/>
          <w:color w:val="000000"/>
        </w:rPr>
        <w:t xml:space="preserve">Mesquita, I. M. R., Araújo, A. C. M. C., da Silva, A. P., Carneiro, É. M., Maria, A., </w:t>
      </w:r>
      <w:proofErr w:type="spellStart"/>
      <w:r w:rsidRPr="00010DD0">
        <w:rPr>
          <w:rStyle w:val="normaltextrun"/>
          <w:color w:val="000000"/>
        </w:rPr>
        <w:t>Brasileiro</w:t>
      </w:r>
      <w:proofErr w:type="spellEnd"/>
      <w:r w:rsidRPr="00010DD0">
        <w:rPr>
          <w:rStyle w:val="normaltextrun"/>
          <w:color w:val="000000"/>
        </w:rPr>
        <w:t xml:space="preserve"> Dias, C., Alves Ribeiro, F., &amp; Fátima Borges, M. de. (2025). Religious and spiritual coping in patients </w:t>
      </w:r>
      <w:proofErr w:type="gramStart"/>
      <w:r w:rsidRPr="00010DD0">
        <w:rPr>
          <w:rStyle w:val="normaltextrun"/>
          <w:color w:val="000000"/>
        </w:rPr>
        <w:t>With</w:t>
      </w:r>
      <w:proofErr w:type="gramEnd"/>
      <w:r w:rsidRPr="00010DD0">
        <w:rPr>
          <w:rStyle w:val="normaltextrun"/>
          <w:color w:val="000000"/>
        </w:rPr>
        <w:t> type 2 diabetes Mellitus. </w:t>
      </w:r>
      <w:r w:rsidRPr="00010DD0">
        <w:rPr>
          <w:rStyle w:val="normaltextrun"/>
          <w:i/>
          <w:iCs/>
          <w:color w:val="000000"/>
        </w:rPr>
        <w:t>Chronic Illness</w:t>
      </w:r>
      <w:r w:rsidRPr="00010DD0">
        <w:rPr>
          <w:rStyle w:val="normaltextrun"/>
          <w:color w:val="000000"/>
        </w:rPr>
        <w:t>, </w:t>
      </w:r>
      <w:r w:rsidRPr="00010DD0">
        <w:rPr>
          <w:rStyle w:val="normaltextrun"/>
          <w:i/>
          <w:iCs/>
          <w:color w:val="000000"/>
        </w:rPr>
        <w:t>21</w:t>
      </w:r>
      <w:r w:rsidRPr="00010DD0">
        <w:rPr>
          <w:rStyle w:val="normaltextrun"/>
          <w:color w:val="000000"/>
        </w:rPr>
        <w:t>(3), 426–435. </w:t>
      </w:r>
      <w:hyperlink r:id="rId17" w:tgtFrame="_blank" w:history="1">
        <w:r w:rsidRPr="00010DD0">
          <w:rPr>
            <w:rStyle w:val="normaltextrun"/>
            <w:color w:val="000000"/>
          </w:rPr>
          <w:t>https://doi.org/10.1177/17423953251338542</w:t>
        </w:r>
      </w:hyperlink>
      <w:r w:rsidRPr="00010DD0">
        <w:rPr>
          <w:rStyle w:val="eop"/>
          <w:color w:val="000000"/>
        </w:rPr>
        <w:t> </w:t>
      </w:r>
    </w:p>
    <w:p w14:paraId="62AF9E7B" w14:textId="77777777" w:rsidR="00010DD0" w:rsidRPr="00010DD0" w:rsidRDefault="00010DD0" w:rsidP="00B20BD0">
      <w:pPr>
        <w:pStyle w:val="paragraph"/>
        <w:numPr>
          <w:ilvl w:val="0"/>
          <w:numId w:val="4"/>
        </w:numPr>
        <w:spacing w:before="0" w:beforeAutospacing="0" w:after="0" w:afterAutospacing="0" w:line="480" w:lineRule="auto"/>
        <w:textAlignment w:val="baseline"/>
      </w:pPr>
      <w:r w:rsidRPr="00010DD0">
        <w:rPr>
          <w:rStyle w:val="contentcontrolboundarysink"/>
          <w:color w:val="000000"/>
        </w:rPr>
        <w:t>​</w:t>
      </w:r>
      <w:proofErr w:type="spellStart"/>
      <w:r w:rsidRPr="00010DD0">
        <w:rPr>
          <w:rStyle w:val="normaltextrun"/>
          <w:color w:val="000000"/>
        </w:rPr>
        <w:t>Motala</w:t>
      </w:r>
      <w:proofErr w:type="spellEnd"/>
      <w:r w:rsidRPr="00010DD0">
        <w:rPr>
          <w:rStyle w:val="normaltextrun"/>
          <w:color w:val="000000"/>
        </w:rPr>
        <w:t>, A. A., </w:t>
      </w:r>
      <w:proofErr w:type="spellStart"/>
      <w:r w:rsidRPr="00010DD0">
        <w:rPr>
          <w:rStyle w:val="normaltextrun"/>
          <w:color w:val="000000"/>
        </w:rPr>
        <w:t>Mbanya</w:t>
      </w:r>
      <w:proofErr w:type="spellEnd"/>
      <w:r w:rsidRPr="00010DD0">
        <w:rPr>
          <w:rStyle w:val="normaltextrun"/>
          <w:color w:val="000000"/>
        </w:rPr>
        <w:t xml:space="preserve">, J. C., </w:t>
      </w:r>
      <w:proofErr w:type="spellStart"/>
      <w:r w:rsidRPr="00010DD0">
        <w:rPr>
          <w:rStyle w:val="normaltextrun"/>
          <w:color w:val="000000"/>
        </w:rPr>
        <w:t>Ramaiya</w:t>
      </w:r>
      <w:proofErr w:type="spellEnd"/>
      <w:r w:rsidRPr="00010DD0">
        <w:rPr>
          <w:rStyle w:val="normaltextrun"/>
          <w:color w:val="000000"/>
        </w:rPr>
        <w:t>, K., Pirie, F. J., &amp; </w:t>
      </w:r>
      <w:proofErr w:type="spellStart"/>
      <w:r w:rsidRPr="00010DD0">
        <w:rPr>
          <w:rStyle w:val="normaltextrun"/>
          <w:color w:val="000000"/>
        </w:rPr>
        <w:t>Ekoru</w:t>
      </w:r>
      <w:proofErr w:type="spellEnd"/>
      <w:r w:rsidRPr="00010DD0">
        <w:rPr>
          <w:rStyle w:val="normaltextrun"/>
          <w:color w:val="000000"/>
        </w:rPr>
        <w:t>, K. (2022). Type 2 diabetes mellitus in sub-Saharan Africa: challenges and opportunities. In </w:t>
      </w:r>
      <w:r w:rsidRPr="00010DD0">
        <w:rPr>
          <w:rStyle w:val="normaltextrun"/>
          <w:i/>
          <w:iCs/>
          <w:color w:val="000000"/>
        </w:rPr>
        <w:t>Nature Reviews Endocrinology</w:t>
      </w:r>
      <w:r w:rsidRPr="00010DD0">
        <w:rPr>
          <w:rStyle w:val="normaltextrun"/>
          <w:color w:val="000000"/>
        </w:rPr>
        <w:t> (Vol. 18, Number 4, pp. 219–229). Nature Research. </w:t>
      </w:r>
      <w:hyperlink r:id="rId18" w:tgtFrame="_blank" w:history="1">
        <w:r w:rsidRPr="00010DD0">
          <w:rPr>
            <w:rStyle w:val="normaltextrun"/>
            <w:color w:val="000000"/>
          </w:rPr>
          <w:t>https://doi.org/10.1038/s41574-021-00613-y</w:t>
        </w:r>
      </w:hyperlink>
      <w:r w:rsidRPr="00010DD0">
        <w:rPr>
          <w:rStyle w:val="eop"/>
          <w:color w:val="000000"/>
        </w:rPr>
        <w:t> </w:t>
      </w:r>
    </w:p>
    <w:p w14:paraId="065FD065" w14:textId="77777777" w:rsidR="00010DD0" w:rsidRPr="00010DD0" w:rsidRDefault="00010DD0" w:rsidP="00B20BD0">
      <w:pPr>
        <w:pStyle w:val="paragraph"/>
        <w:numPr>
          <w:ilvl w:val="0"/>
          <w:numId w:val="4"/>
        </w:numPr>
        <w:spacing w:before="0" w:beforeAutospacing="0" w:after="0" w:afterAutospacing="0" w:line="480" w:lineRule="auto"/>
        <w:textAlignment w:val="baseline"/>
      </w:pPr>
      <w:r w:rsidRPr="00010DD0">
        <w:rPr>
          <w:rStyle w:val="contentcontrolboundarysink"/>
          <w:color w:val="000000"/>
        </w:rPr>
        <w:t>​</w:t>
      </w:r>
      <w:proofErr w:type="spellStart"/>
      <w:r w:rsidRPr="00010DD0">
        <w:rPr>
          <w:rStyle w:val="normaltextrun"/>
          <w:color w:val="000000"/>
        </w:rPr>
        <w:t>Pekarčík</w:t>
      </w:r>
      <w:proofErr w:type="spellEnd"/>
      <w:r w:rsidRPr="00010DD0">
        <w:rPr>
          <w:rStyle w:val="normaltextrun"/>
          <w:color w:val="000000"/>
        </w:rPr>
        <w:t>, A., </w:t>
      </w:r>
      <w:proofErr w:type="spellStart"/>
      <w:r w:rsidRPr="00010DD0">
        <w:rPr>
          <w:rStyle w:val="normaltextrun"/>
          <w:color w:val="000000"/>
        </w:rPr>
        <w:t>Hricová</w:t>
      </w:r>
      <w:proofErr w:type="spellEnd"/>
      <w:r w:rsidRPr="00010DD0">
        <w:rPr>
          <w:rStyle w:val="normaltextrun"/>
          <w:color w:val="000000"/>
        </w:rPr>
        <w:t>, M., &amp; </w:t>
      </w:r>
      <w:proofErr w:type="spellStart"/>
      <w:r w:rsidRPr="00010DD0">
        <w:rPr>
          <w:rStyle w:val="normaltextrun"/>
          <w:color w:val="000000"/>
        </w:rPr>
        <w:t>Sopková</w:t>
      </w:r>
      <w:proofErr w:type="spellEnd"/>
      <w:r w:rsidRPr="00010DD0">
        <w:rPr>
          <w:rStyle w:val="normaltextrun"/>
          <w:color w:val="000000"/>
        </w:rPr>
        <w:t>, N. (2025). The Role of Coping Strategies in Overcoming Goal-related Obstacles in Patients with Diabetes: An Exploratory Study. </w:t>
      </w:r>
      <w:r w:rsidRPr="00010DD0">
        <w:rPr>
          <w:rStyle w:val="normaltextrun"/>
          <w:i/>
          <w:iCs/>
          <w:color w:val="000000"/>
        </w:rPr>
        <w:t>The Open Psychology Journal</w:t>
      </w:r>
      <w:r w:rsidRPr="00010DD0">
        <w:rPr>
          <w:rStyle w:val="normaltextrun"/>
          <w:color w:val="000000"/>
        </w:rPr>
        <w:t>, </w:t>
      </w:r>
      <w:r w:rsidRPr="00010DD0">
        <w:rPr>
          <w:rStyle w:val="normaltextrun"/>
          <w:i/>
          <w:iCs/>
          <w:color w:val="000000"/>
        </w:rPr>
        <w:t>18</w:t>
      </w:r>
      <w:r w:rsidRPr="00010DD0">
        <w:rPr>
          <w:rStyle w:val="normaltextrun"/>
          <w:color w:val="000000"/>
        </w:rPr>
        <w:t>(1). </w:t>
      </w:r>
      <w:hyperlink r:id="rId19" w:tgtFrame="_blank" w:history="1">
        <w:r w:rsidRPr="00010DD0">
          <w:rPr>
            <w:rStyle w:val="normaltextrun"/>
            <w:color w:val="000000"/>
          </w:rPr>
          <w:t>https://doi.org/10.2174/0118743501418264250922093800</w:t>
        </w:r>
      </w:hyperlink>
      <w:r w:rsidRPr="00010DD0">
        <w:rPr>
          <w:rStyle w:val="eop"/>
          <w:color w:val="000000"/>
        </w:rPr>
        <w:t> </w:t>
      </w:r>
    </w:p>
    <w:p w14:paraId="24CA61E6" w14:textId="77777777" w:rsidR="00010DD0" w:rsidRPr="00010DD0" w:rsidRDefault="00010DD0" w:rsidP="00B20BD0">
      <w:pPr>
        <w:pStyle w:val="paragraph"/>
        <w:numPr>
          <w:ilvl w:val="0"/>
          <w:numId w:val="4"/>
        </w:numPr>
        <w:spacing w:before="0" w:beforeAutospacing="0" w:after="0" w:afterAutospacing="0" w:line="480" w:lineRule="auto"/>
        <w:textAlignment w:val="baseline"/>
      </w:pPr>
      <w:r w:rsidRPr="00010DD0">
        <w:rPr>
          <w:rStyle w:val="contentcontrolboundarysink"/>
          <w:color w:val="000000"/>
        </w:rPr>
        <w:lastRenderedPageBreak/>
        <w:t>​</w:t>
      </w:r>
      <w:proofErr w:type="spellStart"/>
      <w:r w:rsidRPr="00010DD0">
        <w:rPr>
          <w:rStyle w:val="normaltextrun"/>
          <w:color w:val="000000"/>
        </w:rPr>
        <w:t>Ramkisson</w:t>
      </w:r>
      <w:proofErr w:type="spellEnd"/>
      <w:r w:rsidRPr="00010DD0">
        <w:rPr>
          <w:rStyle w:val="normaltextrun"/>
          <w:color w:val="000000"/>
        </w:rPr>
        <w:t>, S., Pillay, B. J., &amp; Sibanda, W. (2017). Social support and coping in adults with type 2 diabetes. </w:t>
      </w:r>
      <w:r w:rsidRPr="00010DD0">
        <w:rPr>
          <w:rStyle w:val="normaltextrun"/>
          <w:i/>
          <w:iCs/>
          <w:color w:val="000000"/>
        </w:rPr>
        <w:t>African Journal of Primary Health Care &amp; Family Medicine</w:t>
      </w:r>
      <w:r w:rsidRPr="00010DD0">
        <w:rPr>
          <w:rStyle w:val="normaltextrun"/>
          <w:color w:val="000000"/>
        </w:rPr>
        <w:t>, </w:t>
      </w:r>
      <w:r w:rsidRPr="00010DD0">
        <w:rPr>
          <w:rStyle w:val="normaltextrun"/>
          <w:i/>
          <w:iCs/>
          <w:color w:val="000000"/>
        </w:rPr>
        <w:t>9</w:t>
      </w:r>
      <w:r w:rsidRPr="00010DD0">
        <w:rPr>
          <w:rStyle w:val="normaltextrun"/>
          <w:color w:val="000000"/>
        </w:rPr>
        <w:t>(1). </w:t>
      </w:r>
      <w:hyperlink r:id="rId20" w:tgtFrame="_blank" w:history="1">
        <w:r w:rsidRPr="00010DD0">
          <w:rPr>
            <w:rStyle w:val="normaltextrun"/>
            <w:color w:val="000000"/>
          </w:rPr>
          <w:t>https://doi.org/10.4102/phcfm.v9i1.1405</w:t>
        </w:r>
      </w:hyperlink>
      <w:r w:rsidRPr="00010DD0">
        <w:rPr>
          <w:rStyle w:val="eop"/>
          <w:color w:val="000000"/>
        </w:rPr>
        <w:t> </w:t>
      </w:r>
    </w:p>
    <w:p w14:paraId="031A78AB" w14:textId="77777777" w:rsidR="00010DD0" w:rsidRPr="00010DD0" w:rsidRDefault="00010DD0" w:rsidP="00B20BD0">
      <w:pPr>
        <w:pStyle w:val="paragraph"/>
        <w:numPr>
          <w:ilvl w:val="0"/>
          <w:numId w:val="4"/>
        </w:numPr>
        <w:spacing w:before="0" w:beforeAutospacing="0" w:after="0" w:afterAutospacing="0" w:line="480" w:lineRule="auto"/>
        <w:textAlignment w:val="baseline"/>
      </w:pPr>
      <w:r w:rsidRPr="00010DD0">
        <w:rPr>
          <w:rStyle w:val="contentcontrolboundarysink"/>
          <w:color w:val="000000"/>
        </w:rPr>
        <w:t>​</w:t>
      </w:r>
      <w:proofErr w:type="spellStart"/>
      <w:r w:rsidRPr="00010DD0">
        <w:rPr>
          <w:rStyle w:val="normaltextrun"/>
          <w:color w:val="000000"/>
        </w:rPr>
        <w:t>Roglic</w:t>
      </w:r>
      <w:proofErr w:type="spellEnd"/>
      <w:r w:rsidRPr="00010DD0">
        <w:rPr>
          <w:rStyle w:val="normaltextrun"/>
          <w:color w:val="000000"/>
        </w:rPr>
        <w:t>, G. (2016). WHO Global report on diabetes: A summary. </w:t>
      </w:r>
      <w:r w:rsidRPr="00010DD0">
        <w:rPr>
          <w:rStyle w:val="normaltextrun"/>
          <w:i/>
          <w:iCs/>
          <w:color w:val="000000"/>
        </w:rPr>
        <w:t>International Journal of Noncommunicable Diseases</w:t>
      </w:r>
      <w:r w:rsidRPr="00010DD0">
        <w:rPr>
          <w:rStyle w:val="normaltextrun"/>
          <w:color w:val="000000"/>
        </w:rPr>
        <w:t>, </w:t>
      </w:r>
      <w:r w:rsidRPr="00010DD0">
        <w:rPr>
          <w:rStyle w:val="normaltextrun"/>
          <w:i/>
          <w:iCs/>
          <w:color w:val="000000"/>
        </w:rPr>
        <w:t>1</w:t>
      </w:r>
      <w:r w:rsidRPr="00010DD0">
        <w:rPr>
          <w:rStyle w:val="normaltextrun"/>
          <w:color w:val="000000"/>
        </w:rPr>
        <w:t>(1), 3. </w:t>
      </w:r>
      <w:hyperlink r:id="rId21" w:tgtFrame="_blank" w:history="1">
        <w:r w:rsidRPr="00010DD0">
          <w:rPr>
            <w:rStyle w:val="normaltextrun"/>
            <w:color w:val="000000"/>
          </w:rPr>
          <w:t>https://doi.org/10.4103/2468-8827.184853</w:t>
        </w:r>
      </w:hyperlink>
      <w:r w:rsidRPr="00010DD0">
        <w:rPr>
          <w:rStyle w:val="eop"/>
          <w:color w:val="000000"/>
        </w:rPr>
        <w:t> </w:t>
      </w:r>
    </w:p>
    <w:p w14:paraId="2993EFDF" w14:textId="77777777" w:rsidR="00010DD0" w:rsidRPr="00010DD0" w:rsidRDefault="00010DD0" w:rsidP="00B20BD0">
      <w:pPr>
        <w:pStyle w:val="paragraph"/>
        <w:numPr>
          <w:ilvl w:val="0"/>
          <w:numId w:val="4"/>
        </w:numPr>
        <w:spacing w:before="0" w:beforeAutospacing="0" w:after="0" w:afterAutospacing="0" w:line="480" w:lineRule="auto"/>
        <w:textAlignment w:val="baseline"/>
      </w:pPr>
      <w:r w:rsidRPr="00010DD0">
        <w:rPr>
          <w:rStyle w:val="contentcontrolboundarysink"/>
          <w:color w:val="000000"/>
        </w:rPr>
        <w:t>​</w:t>
      </w:r>
      <w:r w:rsidRPr="00010DD0">
        <w:rPr>
          <w:rStyle w:val="normaltextrun"/>
          <w:color w:val="000000"/>
        </w:rPr>
        <w:t xml:space="preserve">Snoek, F. J., Bremmer, M. A., &amp; </w:t>
      </w:r>
      <w:proofErr w:type="spellStart"/>
      <w:r w:rsidRPr="00010DD0">
        <w:rPr>
          <w:rStyle w:val="normaltextrun"/>
          <w:color w:val="000000"/>
        </w:rPr>
        <w:t>Hermanns</w:t>
      </w:r>
      <w:proofErr w:type="spellEnd"/>
      <w:r w:rsidRPr="00010DD0">
        <w:rPr>
          <w:rStyle w:val="normaltextrun"/>
          <w:color w:val="000000"/>
        </w:rPr>
        <w:t>, N. (2015). Constructs of depression and distress in diabetes: time for an appraisal. </w:t>
      </w:r>
      <w:r w:rsidRPr="00010DD0">
        <w:rPr>
          <w:rStyle w:val="normaltextrun"/>
          <w:i/>
          <w:iCs/>
          <w:color w:val="000000"/>
        </w:rPr>
        <w:t>The Lancet Diabetes &amp; Endocrinology</w:t>
      </w:r>
      <w:r w:rsidRPr="00010DD0">
        <w:rPr>
          <w:rStyle w:val="normaltextrun"/>
          <w:color w:val="000000"/>
        </w:rPr>
        <w:t>, </w:t>
      </w:r>
      <w:r w:rsidRPr="00010DD0">
        <w:rPr>
          <w:rStyle w:val="normaltextrun"/>
          <w:i/>
          <w:iCs/>
          <w:color w:val="000000"/>
        </w:rPr>
        <w:t>3</w:t>
      </w:r>
      <w:r w:rsidRPr="00010DD0">
        <w:rPr>
          <w:rStyle w:val="normaltextrun"/>
          <w:color w:val="000000"/>
        </w:rPr>
        <w:t>(6), 450–460. </w:t>
      </w:r>
      <w:hyperlink r:id="rId22" w:tgtFrame="_blank" w:history="1">
        <w:r w:rsidRPr="00010DD0">
          <w:rPr>
            <w:rStyle w:val="normaltextrun"/>
            <w:color w:val="000000"/>
          </w:rPr>
          <w:t>https://doi.org/10.1016/S2213-8587(15)00135-7</w:t>
        </w:r>
      </w:hyperlink>
      <w:r w:rsidRPr="00010DD0">
        <w:rPr>
          <w:rStyle w:val="eop"/>
          <w:color w:val="000000"/>
        </w:rPr>
        <w:t> </w:t>
      </w:r>
    </w:p>
    <w:p w14:paraId="2B65F6E3" w14:textId="77777777" w:rsidR="00010DD0" w:rsidRPr="00010DD0" w:rsidRDefault="00010DD0" w:rsidP="00B20BD0">
      <w:pPr>
        <w:pStyle w:val="paragraph"/>
        <w:numPr>
          <w:ilvl w:val="0"/>
          <w:numId w:val="4"/>
        </w:numPr>
        <w:spacing w:before="0" w:beforeAutospacing="0" w:after="0" w:afterAutospacing="0" w:line="480" w:lineRule="auto"/>
        <w:textAlignment w:val="baseline"/>
      </w:pPr>
      <w:r w:rsidRPr="00010DD0">
        <w:rPr>
          <w:rStyle w:val="contentcontrolboundarysink"/>
          <w:color w:val="000000"/>
        </w:rPr>
        <w:t>​</w:t>
      </w:r>
      <w:proofErr w:type="spellStart"/>
      <w:r w:rsidRPr="00010DD0">
        <w:rPr>
          <w:rStyle w:val="normaltextrun"/>
          <w:color w:val="000000"/>
        </w:rPr>
        <w:t>Yimer</w:t>
      </w:r>
      <w:proofErr w:type="spellEnd"/>
      <w:r w:rsidRPr="00010DD0">
        <w:rPr>
          <w:rStyle w:val="normaltextrun"/>
          <w:color w:val="000000"/>
        </w:rPr>
        <w:t>, Y. S., </w:t>
      </w:r>
      <w:proofErr w:type="spellStart"/>
      <w:r w:rsidRPr="00010DD0">
        <w:rPr>
          <w:rStyle w:val="normaltextrun"/>
          <w:color w:val="000000"/>
        </w:rPr>
        <w:t>Addissie</w:t>
      </w:r>
      <w:proofErr w:type="spellEnd"/>
      <w:r w:rsidRPr="00010DD0">
        <w:rPr>
          <w:rStyle w:val="normaltextrun"/>
          <w:color w:val="000000"/>
        </w:rPr>
        <w:t xml:space="preserve">, A., Kidane, E. G., </w:t>
      </w:r>
      <w:proofErr w:type="spellStart"/>
      <w:r w:rsidRPr="00010DD0">
        <w:rPr>
          <w:rStyle w:val="normaltextrun"/>
          <w:color w:val="000000"/>
        </w:rPr>
        <w:t>Reja</w:t>
      </w:r>
      <w:proofErr w:type="spellEnd"/>
      <w:r w:rsidRPr="00010DD0">
        <w:rPr>
          <w:rStyle w:val="normaltextrun"/>
          <w:color w:val="000000"/>
        </w:rPr>
        <w:t xml:space="preserve">, A., </w:t>
      </w:r>
      <w:proofErr w:type="spellStart"/>
      <w:r w:rsidRPr="00010DD0">
        <w:rPr>
          <w:rStyle w:val="normaltextrun"/>
          <w:color w:val="000000"/>
        </w:rPr>
        <w:t>Abdela</w:t>
      </w:r>
      <w:proofErr w:type="spellEnd"/>
      <w:r w:rsidRPr="00010DD0">
        <w:rPr>
          <w:rStyle w:val="normaltextrun"/>
          <w:color w:val="000000"/>
        </w:rPr>
        <w:t>, A. A., &amp; Ahmed, A. A. (2025). Effectiveness of diabetes self-management education and support interventions on glycemic levels among people living with type 2 diabetes in the WHO African R</w:t>
      </w:r>
      <w:bookmarkStart w:id="0" w:name="_GoBack"/>
      <w:bookmarkEnd w:id="0"/>
      <w:r w:rsidRPr="00010DD0">
        <w:rPr>
          <w:rStyle w:val="normaltextrun"/>
          <w:color w:val="000000"/>
        </w:rPr>
        <w:t>egion: </w:t>
      </w:r>
      <w:proofErr w:type="gramStart"/>
      <w:r w:rsidRPr="00010DD0">
        <w:rPr>
          <w:rStyle w:val="normaltextrun"/>
          <w:color w:val="000000"/>
        </w:rPr>
        <w:t>a</w:t>
      </w:r>
      <w:proofErr w:type="gramEnd"/>
      <w:r w:rsidRPr="00010DD0">
        <w:rPr>
          <w:rStyle w:val="normaltextrun"/>
          <w:color w:val="000000"/>
        </w:rPr>
        <w:t> Systematic Review and meta-analysis. </w:t>
      </w:r>
      <w:r w:rsidRPr="00010DD0">
        <w:rPr>
          <w:rStyle w:val="normaltextrun"/>
          <w:i/>
          <w:iCs/>
          <w:color w:val="000000"/>
        </w:rPr>
        <w:t>Frontiers in Clinical Diabetes and Healthcare</w:t>
      </w:r>
      <w:r w:rsidRPr="00010DD0">
        <w:rPr>
          <w:rStyle w:val="normaltextrun"/>
          <w:color w:val="000000"/>
        </w:rPr>
        <w:t>, </w:t>
      </w:r>
      <w:r w:rsidRPr="00010DD0">
        <w:rPr>
          <w:rStyle w:val="normaltextrun"/>
          <w:i/>
          <w:iCs/>
          <w:color w:val="000000"/>
        </w:rPr>
        <w:t>6</w:t>
      </w:r>
      <w:r w:rsidRPr="00010DD0">
        <w:rPr>
          <w:rStyle w:val="normaltextrun"/>
          <w:color w:val="000000"/>
        </w:rPr>
        <w:t>. </w:t>
      </w:r>
      <w:hyperlink r:id="rId23" w:tgtFrame="_blank" w:history="1">
        <w:r w:rsidRPr="00010DD0">
          <w:rPr>
            <w:rStyle w:val="normaltextrun"/>
            <w:color w:val="000000"/>
          </w:rPr>
          <w:t>https://doi.org/10.3389/fcdhc.2025.1554524</w:t>
        </w:r>
      </w:hyperlink>
      <w:r w:rsidRPr="00010DD0">
        <w:rPr>
          <w:rStyle w:val="eop"/>
          <w:color w:val="000000"/>
        </w:rPr>
        <w:t> </w:t>
      </w:r>
    </w:p>
    <w:p w14:paraId="01BD27C7" w14:textId="77777777" w:rsidR="00010DD0" w:rsidRPr="00010DD0" w:rsidRDefault="00010DD0" w:rsidP="00010DD0">
      <w:pPr>
        <w:pStyle w:val="paragraph"/>
        <w:spacing w:before="0" w:beforeAutospacing="0" w:after="0" w:afterAutospacing="0" w:line="480" w:lineRule="auto"/>
        <w:textAlignment w:val="baseline"/>
      </w:pPr>
      <w:r w:rsidRPr="00010DD0">
        <w:rPr>
          <w:rStyle w:val="contentcontrolboundarysink"/>
          <w:color w:val="000000"/>
        </w:rPr>
        <w:t>​</w:t>
      </w:r>
      <w:r w:rsidRPr="00010DD0">
        <w:rPr>
          <w:rStyle w:val="normaltextrun"/>
          <w:color w:val="000000"/>
        </w:rPr>
        <w:t> </w:t>
      </w:r>
      <w:r w:rsidRPr="00010DD0">
        <w:rPr>
          <w:rStyle w:val="contentcontrolboundarysink"/>
        </w:rPr>
        <w:t>​</w:t>
      </w:r>
      <w:r w:rsidRPr="00010DD0">
        <w:rPr>
          <w:rStyle w:val="eop"/>
          <w:color w:val="000000"/>
        </w:rPr>
        <w:t> </w:t>
      </w:r>
    </w:p>
    <w:p w14:paraId="3A2CB498" w14:textId="77777777" w:rsidR="00010DD0" w:rsidRPr="00010DD0" w:rsidRDefault="00010DD0" w:rsidP="00010DD0">
      <w:pPr>
        <w:spacing w:line="480" w:lineRule="auto"/>
        <w:jc w:val="both"/>
        <w:rPr>
          <w:rFonts w:ascii="Times New Roman" w:hAnsi="Times New Roman" w:cs="Times New Roman"/>
          <w:sz w:val="24"/>
          <w:szCs w:val="24"/>
        </w:rPr>
      </w:pPr>
    </w:p>
    <w:sectPr w:rsidR="00010DD0" w:rsidRPr="00010DD0">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4AEB9" w14:textId="77777777" w:rsidR="00A60786" w:rsidRDefault="00A60786">
      <w:pPr>
        <w:spacing w:after="0" w:line="240" w:lineRule="auto"/>
      </w:pPr>
      <w:r>
        <w:separator/>
      </w:r>
    </w:p>
  </w:endnote>
  <w:endnote w:type="continuationSeparator" w:id="0">
    <w:p w14:paraId="7253F0A0" w14:textId="77777777" w:rsidR="00A60786" w:rsidRDefault="00A6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C6F7" w14:textId="77777777" w:rsidR="00A2063F" w:rsidRDefault="00A20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88DB4" w14:textId="77777777" w:rsidR="00A2063F" w:rsidRDefault="00A20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6BD45" w14:textId="77777777" w:rsidR="00A2063F" w:rsidRDefault="00A20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416D6" w14:textId="77777777" w:rsidR="00A60786" w:rsidRDefault="00A60786">
      <w:pPr>
        <w:spacing w:after="0" w:line="240" w:lineRule="auto"/>
      </w:pPr>
      <w:r>
        <w:separator/>
      </w:r>
    </w:p>
  </w:footnote>
  <w:footnote w:type="continuationSeparator" w:id="0">
    <w:p w14:paraId="1941250A" w14:textId="77777777" w:rsidR="00A60786" w:rsidRDefault="00A6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1EF45" w14:textId="526B2880" w:rsidR="00A2063F" w:rsidRDefault="00A2063F">
    <w:pPr>
      <w:pStyle w:val="Header"/>
    </w:pPr>
    <w:r>
      <w:rPr>
        <w:noProof/>
      </w:rPr>
      <mc:AlternateContent>
        <mc:Choice Requires="wps">
          <w:drawing>
            <wp:anchor distT="0" distB="0" distL="114300" distR="114300" simplePos="0" relativeHeight="251656704" behindDoc="1" locked="0" layoutInCell="0" allowOverlap="1" wp14:anchorId="6467F9EF" wp14:editId="7212B308">
              <wp:simplePos x="0" y="0"/>
              <wp:positionH relativeFrom="margin">
                <wp:align>center</wp:align>
              </wp:positionH>
              <wp:positionV relativeFrom="margin">
                <wp:align>center</wp:align>
              </wp:positionV>
              <wp:extent cx="6798310" cy="1282065"/>
              <wp:effectExtent l="0" t="2105025" r="0" b="18611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191788" w14:textId="77777777" w:rsidR="00A2063F" w:rsidRDefault="00A2063F" w:rsidP="0017058A">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67F9EF" id="_x0000_t202" coordsize="21600,21600" o:spt="202" path="m,l,21600r21600,l21600,xe">
              <v:stroke joinstyle="miter"/>
              <v:path gradientshapeok="t" o:connecttype="rect"/>
            </v:shapetype>
            <v:shape id="Text Box 2" o:spid="_x0000_s1026" type="#_x0000_t202" style="position:absolute;margin-left:0;margin-top:0;width:535.3pt;height:100.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" o:allowincell="f" filled="f" stroked="f">
              <v:stroke joinstyle="round"/>
              <o:lock v:ext="edit" shapetype="t"/>
              <v:textbox style="mso-fit-shape-to-text:t">
                <w:txbxContent>
                  <w:p w14:paraId="35191788" w14:textId="77777777" w:rsidR="00A2063F" w:rsidRDefault="00A2063F" w:rsidP="0017058A">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770C7" w14:textId="02B0657A" w:rsidR="00A2063F" w:rsidRDefault="00A2063F">
    <w:pPr>
      <w:pStyle w:val="Header"/>
    </w:pPr>
    <w:r>
      <w:rPr>
        <w:noProof/>
      </w:rPr>
      <mc:AlternateContent>
        <mc:Choice Requires="wps">
          <w:drawing>
            <wp:anchor distT="0" distB="0" distL="114300" distR="114300" simplePos="0" relativeHeight="251657728" behindDoc="1" locked="0" layoutInCell="0" allowOverlap="1" wp14:anchorId="0EC0DCF9" wp14:editId="6D1611A9">
              <wp:simplePos x="0" y="0"/>
              <wp:positionH relativeFrom="margin">
                <wp:align>center</wp:align>
              </wp:positionH>
              <wp:positionV relativeFrom="margin">
                <wp:align>center</wp:align>
              </wp:positionV>
              <wp:extent cx="6798310" cy="1282065"/>
              <wp:effectExtent l="0" t="2105025" r="0" b="18611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6E4540" w14:textId="77777777" w:rsidR="00A2063F" w:rsidRDefault="00A2063F" w:rsidP="0017058A">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C0DCF9" id="_x0000_t202" coordsize="21600,21600" o:spt="202" path="m,l,21600r21600,l21600,xe">
              <v:stroke joinstyle="miter"/>
              <v:path gradientshapeok="t" o:connecttype="rect"/>
            </v:shapetype>
            <v:shape id="Text Box 1" o:spid="_x0000_s1027" type="#_x0000_t202" style="position:absolute;margin-left:0;margin-top:0;width:535.3pt;height:100.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" o:allowincell="f" filled="f" stroked="f">
              <v:stroke joinstyle="round"/>
              <o:lock v:ext="edit" shapetype="t"/>
              <v:textbox style="mso-fit-shape-to-text:t">
                <w:txbxContent>
                  <w:p w14:paraId="226E4540" w14:textId="77777777" w:rsidR="00A2063F" w:rsidRDefault="00A2063F" w:rsidP="0017058A">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7FBBD" w14:textId="6297A118" w:rsidR="00A2063F" w:rsidRDefault="00A60786">
    <w:pPr>
      <w:pStyle w:val="Header"/>
    </w:pPr>
    <w:r>
      <w:rPr>
        <w:noProof/>
      </w:rPr>
      <w:pict w14:anchorId="4D341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970668A"/>
    <w:lvl w:ilvl="0" w:tplc="3698D862">
      <w:start w:val="1"/>
      <w:numFmt w:val="bullet"/>
      <w:lvlText w:val=""/>
      <w:lvlJc w:val="left"/>
      <w:pPr>
        <w:ind w:left="720" w:hanging="360"/>
      </w:pPr>
      <w:rPr>
        <w:rFonts w:ascii="Symbol" w:hAnsi="Symbol"/>
      </w:rPr>
    </w:lvl>
    <w:lvl w:ilvl="1" w:tplc="D3167356">
      <w:start w:val="1"/>
      <w:numFmt w:val="bullet"/>
      <w:lvlText w:val=""/>
      <w:lvlJc w:val="left"/>
      <w:pPr>
        <w:ind w:left="720" w:hanging="360"/>
      </w:pPr>
      <w:rPr>
        <w:rFonts w:ascii="Symbol" w:hAnsi="Symbol"/>
      </w:rPr>
    </w:lvl>
    <w:lvl w:ilvl="2" w:tplc="48EE5EFE">
      <w:start w:val="1"/>
      <w:numFmt w:val="bullet"/>
      <w:lvlText w:val=""/>
      <w:lvlJc w:val="left"/>
      <w:pPr>
        <w:ind w:left="720" w:hanging="360"/>
      </w:pPr>
      <w:rPr>
        <w:rFonts w:ascii="Symbol" w:hAnsi="Symbol"/>
      </w:rPr>
    </w:lvl>
    <w:lvl w:ilvl="3" w:tplc="8A9E51EE">
      <w:start w:val="1"/>
      <w:numFmt w:val="bullet"/>
      <w:lvlText w:val=""/>
      <w:lvlJc w:val="left"/>
      <w:pPr>
        <w:ind w:left="720" w:hanging="360"/>
      </w:pPr>
      <w:rPr>
        <w:rFonts w:ascii="Symbol" w:hAnsi="Symbol"/>
      </w:rPr>
    </w:lvl>
    <w:lvl w:ilvl="4" w:tplc="95B83C9A">
      <w:start w:val="1"/>
      <w:numFmt w:val="bullet"/>
      <w:lvlText w:val=""/>
      <w:lvlJc w:val="left"/>
      <w:pPr>
        <w:ind w:left="720" w:hanging="360"/>
      </w:pPr>
      <w:rPr>
        <w:rFonts w:ascii="Symbol" w:hAnsi="Symbol"/>
      </w:rPr>
    </w:lvl>
    <w:lvl w:ilvl="5" w:tplc="42FAE5F2">
      <w:start w:val="1"/>
      <w:numFmt w:val="bullet"/>
      <w:lvlText w:val=""/>
      <w:lvlJc w:val="left"/>
      <w:pPr>
        <w:ind w:left="720" w:hanging="360"/>
      </w:pPr>
      <w:rPr>
        <w:rFonts w:ascii="Symbol" w:hAnsi="Symbol"/>
      </w:rPr>
    </w:lvl>
    <w:lvl w:ilvl="6" w:tplc="3A8C7EC8">
      <w:start w:val="1"/>
      <w:numFmt w:val="bullet"/>
      <w:lvlText w:val=""/>
      <w:lvlJc w:val="left"/>
      <w:pPr>
        <w:ind w:left="720" w:hanging="360"/>
      </w:pPr>
      <w:rPr>
        <w:rFonts w:ascii="Symbol" w:hAnsi="Symbol"/>
      </w:rPr>
    </w:lvl>
    <w:lvl w:ilvl="7" w:tplc="3A52C00E">
      <w:start w:val="1"/>
      <w:numFmt w:val="bullet"/>
      <w:lvlText w:val=""/>
      <w:lvlJc w:val="left"/>
      <w:pPr>
        <w:ind w:left="720" w:hanging="360"/>
      </w:pPr>
      <w:rPr>
        <w:rFonts w:ascii="Symbol" w:hAnsi="Symbol"/>
      </w:rPr>
    </w:lvl>
    <w:lvl w:ilvl="8" w:tplc="7D6C3F9E">
      <w:start w:val="1"/>
      <w:numFmt w:val="bullet"/>
      <w:lvlText w:val=""/>
      <w:lvlJc w:val="left"/>
      <w:pPr>
        <w:ind w:left="720" w:hanging="360"/>
      </w:pPr>
      <w:rPr>
        <w:rFonts w:ascii="Symbol" w:hAnsi="Symbol"/>
      </w:rPr>
    </w:lvl>
  </w:abstractNum>
  <w:abstractNum w:abstractNumId="1" w15:restartNumberingAfterBreak="0">
    <w:nsid w:val="139C7BA2"/>
    <w:multiLevelType w:val="hybridMultilevel"/>
    <w:tmpl w:val="B53C2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F0528"/>
    <w:multiLevelType w:val="hybridMultilevel"/>
    <w:tmpl w:val="76CE1C5E"/>
    <w:lvl w:ilvl="0" w:tplc="83CA3AC4">
      <w:start w:val="1"/>
      <w:numFmt w:val="decimal"/>
      <w:lvlText w:val="%1."/>
      <w:lvlJc w:val="left"/>
      <w:pPr>
        <w:ind w:left="1020" w:hanging="360"/>
      </w:pPr>
    </w:lvl>
    <w:lvl w:ilvl="1" w:tplc="DA0ED6AA">
      <w:start w:val="1"/>
      <w:numFmt w:val="decimal"/>
      <w:lvlText w:val="%2."/>
      <w:lvlJc w:val="left"/>
      <w:pPr>
        <w:ind w:left="1020" w:hanging="360"/>
      </w:pPr>
    </w:lvl>
    <w:lvl w:ilvl="2" w:tplc="EA7898FE">
      <w:start w:val="1"/>
      <w:numFmt w:val="decimal"/>
      <w:lvlText w:val="%3."/>
      <w:lvlJc w:val="left"/>
      <w:pPr>
        <w:ind w:left="1020" w:hanging="360"/>
      </w:pPr>
    </w:lvl>
    <w:lvl w:ilvl="3" w:tplc="DB20F240">
      <w:start w:val="1"/>
      <w:numFmt w:val="decimal"/>
      <w:lvlText w:val="%4."/>
      <w:lvlJc w:val="left"/>
      <w:pPr>
        <w:ind w:left="1020" w:hanging="360"/>
      </w:pPr>
    </w:lvl>
    <w:lvl w:ilvl="4" w:tplc="494EAD12">
      <w:start w:val="1"/>
      <w:numFmt w:val="decimal"/>
      <w:lvlText w:val="%5."/>
      <w:lvlJc w:val="left"/>
      <w:pPr>
        <w:ind w:left="1020" w:hanging="360"/>
      </w:pPr>
    </w:lvl>
    <w:lvl w:ilvl="5" w:tplc="156E5DE6">
      <w:start w:val="1"/>
      <w:numFmt w:val="decimal"/>
      <w:lvlText w:val="%6."/>
      <w:lvlJc w:val="left"/>
      <w:pPr>
        <w:ind w:left="1020" w:hanging="360"/>
      </w:pPr>
    </w:lvl>
    <w:lvl w:ilvl="6" w:tplc="D2463E76">
      <w:start w:val="1"/>
      <w:numFmt w:val="decimal"/>
      <w:lvlText w:val="%7."/>
      <w:lvlJc w:val="left"/>
      <w:pPr>
        <w:ind w:left="1020" w:hanging="360"/>
      </w:pPr>
    </w:lvl>
    <w:lvl w:ilvl="7" w:tplc="8074824A">
      <w:start w:val="1"/>
      <w:numFmt w:val="decimal"/>
      <w:lvlText w:val="%8."/>
      <w:lvlJc w:val="left"/>
      <w:pPr>
        <w:ind w:left="1020" w:hanging="360"/>
      </w:pPr>
    </w:lvl>
    <w:lvl w:ilvl="8" w:tplc="EFB469CE">
      <w:start w:val="1"/>
      <w:numFmt w:val="decimal"/>
      <w:lvlText w:val="%9."/>
      <w:lvlJc w:val="left"/>
      <w:pPr>
        <w:ind w:left="1020" w:hanging="360"/>
      </w:pPr>
    </w:lvl>
  </w:abstractNum>
  <w:abstractNum w:abstractNumId="3" w15:restartNumberingAfterBreak="0">
    <w:nsid w:val="58FA4829"/>
    <w:multiLevelType w:val="multilevel"/>
    <w:tmpl w:val="14FA1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33"/>
    <w:rsid w:val="00010DD0"/>
    <w:rsid w:val="00014000"/>
    <w:rsid w:val="00020602"/>
    <w:rsid w:val="000316CB"/>
    <w:rsid w:val="0009595E"/>
    <w:rsid w:val="000D573E"/>
    <w:rsid w:val="00106E95"/>
    <w:rsid w:val="0010748D"/>
    <w:rsid w:val="00141ECE"/>
    <w:rsid w:val="001529FF"/>
    <w:rsid w:val="0017058A"/>
    <w:rsid w:val="001B16F4"/>
    <w:rsid w:val="002340C0"/>
    <w:rsid w:val="00254242"/>
    <w:rsid w:val="00266919"/>
    <w:rsid w:val="002844D3"/>
    <w:rsid w:val="002D1976"/>
    <w:rsid w:val="00323D7E"/>
    <w:rsid w:val="00332AFF"/>
    <w:rsid w:val="00353674"/>
    <w:rsid w:val="003B24AC"/>
    <w:rsid w:val="00465203"/>
    <w:rsid w:val="00484F06"/>
    <w:rsid w:val="005775A0"/>
    <w:rsid w:val="005D7B1E"/>
    <w:rsid w:val="00615BC7"/>
    <w:rsid w:val="00660BDE"/>
    <w:rsid w:val="00697081"/>
    <w:rsid w:val="006A6BB9"/>
    <w:rsid w:val="0072206E"/>
    <w:rsid w:val="00724233"/>
    <w:rsid w:val="007373FE"/>
    <w:rsid w:val="00755356"/>
    <w:rsid w:val="007669E8"/>
    <w:rsid w:val="007E33A1"/>
    <w:rsid w:val="0081163D"/>
    <w:rsid w:val="00855652"/>
    <w:rsid w:val="00864C0B"/>
    <w:rsid w:val="00880DAC"/>
    <w:rsid w:val="00884C71"/>
    <w:rsid w:val="0098111C"/>
    <w:rsid w:val="009F143C"/>
    <w:rsid w:val="009F2049"/>
    <w:rsid w:val="00A073F6"/>
    <w:rsid w:val="00A13E04"/>
    <w:rsid w:val="00A2063F"/>
    <w:rsid w:val="00A20BA2"/>
    <w:rsid w:val="00A60786"/>
    <w:rsid w:val="00AB2297"/>
    <w:rsid w:val="00AF0A00"/>
    <w:rsid w:val="00AF19B4"/>
    <w:rsid w:val="00B20BD0"/>
    <w:rsid w:val="00B756FB"/>
    <w:rsid w:val="00BA204E"/>
    <w:rsid w:val="00BD0C48"/>
    <w:rsid w:val="00C62385"/>
    <w:rsid w:val="00CF3D34"/>
    <w:rsid w:val="00D36E44"/>
    <w:rsid w:val="00D53F06"/>
    <w:rsid w:val="00DA19A9"/>
    <w:rsid w:val="00DC198B"/>
    <w:rsid w:val="00EB1D08"/>
    <w:rsid w:val="00EF6412"/>
    <w:rsid w:val="00F00E20"/>
    <w:rsid w:val="00F84B0C"/>
    <w:rsid w:val="00FE2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B8C86E"/>
  <w15:docId w15:val="{D7A92FD9-A2F3-4FC0-87D0-81BBBCE9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eastAsia="SimSun" w:hAnsi="Cambria"/>
      <w:b/>
      <w:bCs/>
      <w:color w:val="4F81BD"/>
      <w:sz w:val="26"/>
      <w:szCs w:val="26"/>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6">
    <w:name w:val="heading 6"/>
    <w:basedOn w:val="Normal"/>
    <w:next w:val="Normal"/>
    <w:link w:val="Heading6Char"/>
    <w:uiPriority w:val="9"/>
    <w:semiHidden/>
    <w:unhideWhenUsed/>
    <w:qFormat/>
    <w:rsid w:val="00AF0A00"/>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AF0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pPr>
      <w:spacing w:after="0" w:line="240" w:lineRule="auto"/>
    </w:p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styleId="Emphasis">
    <w:name w:val="Emphasis"/>
    <w:basedOn w:val="DefaultParagraphFont"/>
    <w:uiPriority w:val="20"/>
    <w:qFormat/>
    <w:rPr>
      <w:i/>
      <w:iCs/>
    </w:rPr>
  </w:style>
  <w:style w:type="paragraph" w:styleId="CommentSubject">
    <w:name w:val="annotation subject"/>
    <w:basedOn w:val="CommentText"/>
    <w:next w:val="CommentText"/>
    <w:link w:val="CommentSubjectChar"/>
    <w:uiPriority w:val="99"/>
    <w:semiHidden/>
    <w:unhideWhenUsed/>
    <w:rsid w:val="00AF0A00"/>
    <w:rPr>
      <w:b/>
      <w:bCs/>
    </w:rPr>
  </w:style>
  <w:style w:type="character" w:customStyle="1" w:styleId="CommentSubjectChar">
    <w:name w:val="Comment Subject Char"/>
    <w:basedOn w:val="CommentTextChar"/>
    <w:link w:val="CommentSubject"/>
    <w:uiPriority w:val="99"/>
    <w:semiHidden/>
    <w:rsid w:val="00AF0A00"/>
    <w:rPr>
      <w:b/>
      <w:bCs/>
      <w:sz w:val="20"/>
      <w:szCs w:val="20"/>
    </w:rPr>
  </w:style>
  <w:style w:type="paragraph" w:styleId="Header">
    <w:name w:val="header"/>
    <w:basedOn w:val="Normal"/>
    <w:link w:val="HeaderChar"/>
    <w:uiPriority w:val="99"/>
    <w:unhideWhenUsed/>
    <w:rsid w:val="00AF0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A00"/>
  </w:style>
  <w:style w:type="character" w:customStyle="1" w:styleId="Heading6Char">
    <w:name w:val="Heading 6 Char"/>
    <w:basedOn w:val="DefaultParagraphFont"/>
    <w:link w:val="Heading6"/>
    <w:uiPriority w:val="9"/>
    <w:rsid w:val="00AF0A00"/>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AF0A00"/>
    <w:rPr>
      <w:color w:val="0000FF" w:themeColor="hyperlink"/>
      <w:u w:val="single"/>
    </w:rPr>
  </w:style>
  <w:style w:type="paragraph" w:styleId="Revision">
    <w:name w:val="Revision"/>
    <w:hidden/>
    <w:uiPriority w:val="99"/>
    <w:semiHidden/>
    <w:rsid w:val="00AF0A00"/>
    <w:pPr>
      <w:spacing w:after="0" w:line="240" w:lineRule="auto"/>
    </w:pPr>
  </w:style>
  <w:style w:type="character" w:customStyle="1" w:styleId="Heading9Char">
    <w:name w:val="Heading 9 Char"/>
    <w:basedOn w:val="DefaultParagraphFont"/>
    <w:link w:val="Heading9"/>
    <w:uiPriority w:val="9"/>
    <w:semiHidden/>
    <w:rsid w:val="00AF0A00"/>
    <w:rPr>
      <w:rFonts w:eastAsiaTheme="majorEastAsia" w:cstheme="majorBidi"/>
      <w:color w:val="272727" w:themeColor="text1" w:themeTint="D8"/>
    </w:rPr>
  </w:style>
  <w:style w:type="paragraph" w:customStyle="1" w:styleId="EndNoteBibliography">
    <w:name w:val="EndNote Bibliography"/>
    <w:basedOn w:val="Normal"/>
    <w:link w:val="EndNoteBibliographyChar"/>
    <w:rsid w:val="00AF0A00"/>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AF0A00"/>
    <w:rPr>
      <w:rFonts w:cs="Calibri"/>
      <w:noProof/>
      <w:lang w:val="en-US"/>
    </w:rPr>
  </w:style>
  <w:style w:type="character" w:styleId="UnresolvedMention">
    <w:name w:val="Unresolved Mention"/>
    <w:basedOn w:val="DefaultParagraphFont"/>
    <w:uiPriority w:val="99"/>
    <w:semiHidden/>
    <w:unhideWhenUsed/>
    <w:rsid w:val="00AB2297"/>
    <w:rPr>
      <w:color w:val="605E5C"/>
      <w:shd w:val="clear" w:color="auto" w:fill="E1DFDD"/>
    </w:rPr>
  </w:style>
  <w:style w:type="paragraph" w:customStyle="1" w:styleId="ds-markdown-paragraph">
    <w:name w:val="ds-markdown-paragraph"/>
    <w:basedOn w:val="Normal"/>
    <w:rsid w:val="002844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0748D"/>
  </w:style>
  <w:style w:type="character" w:customStyle="1" w:styleId="contentcontrolboundarysink">
    <w:name w:val="contentcontrolboundarysink"/>
    <w:basedOn w:val="DefaultParagraphFont"/>
    <w:rsid w:val="0010748D"/>
  </w:style>
  <w:style w:type="paragraph" w:customStyle="1" w:styleId="paragraph">
    <w:name w:val="paragraph"/>
    <w:basedOn w:val="Normal"/>
    <w:rsid w:val="00010DD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010DD0"/>
  </w:style>
  <w:style w:type="character" w:customStyle="1" w:styleId="contentcontrol">
    <w:name w:val="contentcontrol"/>
    <w:basedOn w:val="DefaultParagraphFont"/>
    <w:rsid w:val="00010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00446">
      <w:bodyDiv w:val="1"/>
      <w:marLeft w:val="0"/>
      <w:marRight w:val="0"/>
      <w:marTop w:val="0"/>
      <w:marBottom w:val="0"/>
      <w:divBdr>
        <w:top w:val="none" w:sz="0" w:space="0" w:color="auto"/>
        <w:left w:val="none" w:sz="0" w:space="0" w:color="auto"/>
        <w:bottom w:val="none" w:sz="0" w:space="0" w:color="auto"/>
        <w:right w:val="none" w:sz="0" w:space="0" w:color="auto"/>
      </w:divBdr>
    </w:div>
    <w:div w:id="425344702">
      <w:bodyDiv w:val="1"/>
      <w:marLeft w:val="0"/>
      <w:marRight w:val="0"/>
      <w:marTop w:val="0"/>
      <w:marBottom w:val="0"/>
      <w:divBdr>
        <w:top w:val="none" w:sz="0" w:space="0" w:color="auto"/>
        <w:left w:val="none" w:sz="0" w:space="0" w:color="auto"/>
        <w:bottom w:val="none" w:sz="0" w:space="0" w:color="auto"/>
        <w:right w:val="none" w:sz="0" w:space="0" w:color="auto"/>
      </w:divBdr>
    </w:div>
    <w:div w:id="683945352">
      <w:bodyDiv w:val="1"/>
      <w:marLeft w:val="0"/>
      <w:marRight w:val="0"/>
      <w:marTop w:val="0"/>
      <w:marBottom w:val="0"/>
      <w:divBdr>
        <w:top w:val="none" w:sz="0" w:space="0" w:color="auto"/>
        <w:left w:val="none" w:sz="0" w:space="0" w:color="auto"/>
        <w:bottom w:val="none" w:sz="0" w:space="0" w:color="auto"/>
        <w:right w:val="none" w:sz="0" w:space="0" w:color="auto"/>
      </w:divBdr>
    </w:div>
    <w:div w:id="908460343">
      <w:bodyDiv w:val="1"/>
      <w:marLeft w:val="0"/>
      <w:marRight w:val="0"/>
      <w:marTop w:val="0"/>
      <w:marBottom w:val="0"/>
      <w:divBdr>
        <w:top w:val="none" w:sz="0" w:space="0" w:color="auto"/>
        <w:left w:val="none" w:sz="0" w:space="0" w:color="auto"/>
        <w:bottom w:val="none" w:sz="0" w:space="0" w:color="auto"/>
        <w:right w:val="none" w:sz="0" w:space="0" w:color="auto"/>
      </w:divBdr>
    </w:div>
    <w:div w:id="1382168377">
      <w:bodyDiv w:val="1"/>
      <w:marLeft w:val="0"/>
      <w:marRight w:val="0"/>
      <w:marTop w:val="0"/>
      <w:marBottom w:val="0"/>
      <w:divBdr>
        <w:top w:val="none" w:sz="0" w:space="0" w:color="auto"/>
        <w:left w:val="none" w:sz="0" w:space="0" w:color="auto"/>
        <w:bottom w:val="none" w:sz="0" w:space="0" w:color="auto"/>
        <w:right w:val="none" w:sz="0" w:space="0" w:color="auto"/>
      </w:divBdr>
    </w:div>
    <w:div w:id="1470974496">
      <w:bodyDiv w:val="1"/>
      <w:marLeft w:val="0"/>
      <w:marRight w:val="0"/>
      <w:marTop w:val="0"/>
      <w:marBottom w:val="0"/>
      <w:divBdr>
        <w:top w:val="none" w:sz="0" w:space="0" w:color="auto"/>
        <w:left w:val="none" w:sz="0" w:space="0" w:color="auto"/>
        <w:bottom w:val="none" w:sz="0" w:space="0" w:color="auto"/>
        <w:right w:val="none" w:sz="0" w:space="0" w:color="auto"/>
      </w:divBdr>
      <w:divsChild>
        <w:div w:id="956178913">
          <w:marLeft w:val="0"/>
          <w:marRight w:val="0"/>
          <w:marTop w:val="0"/>
          <w:marBottom w:val="0"/>
          <w:divBdr>
            <w:top w:val="none" w:sz="0" w:space="0" w:color="auto"/>
            <w:left w:val="none" w:sz="0" w:space="0" w:color="auto"/>
            <w:bottom w:val="none" w:sz="0" w:space="0" w:color="auto"/>
            <w:right w:val="none" w:sz="0" w:space="0" w:color="auto"/>
          </w:divBdr>
        </w:div>
      </w:divsChild>
    </w:div>
    <w:div w:id="1555700055">
      <w:bodyDiv w:val="1"/>
      <w:marLeft w:val="0"/>
      <w:marRight w:val="0"/>
      <w:marTop w:val="0"/>
      <w:marBottom w:val="0"/>
      <w:divBdr>
        <w:top w:val="none" w:sz="0" w:space="0" w:color="auto"/>
        <w:left w:val="none" w:sz="0" w:space="0" w:color="auto"/>
        <w:bottom w:val="none" w:sz="0" w:space="0" w:color="auto"/>
        <w:right w:val="none" w:sz="0" w:space="0" w:color="auto"/>
      </w:divBdr>
    </w:div>
    <w:div w:id="1688098712">
      <w:bodyDiv w:val="1"/>
      <w:marLeft w:val="0"/>
      <w:marRight w:val="0"/>
      <w:marTop w:val="0"/>
      <w:marBottom w:val="0"/>
      <w:divBdr>
        <w:top w:val="none" w:sz="0" w:space="0" w:color="auto"/>
        <w:left w:val="none" w:sz="0" w:space="0" w:color="auto"/>
        <w:bottom w:val="none" w:sz="0" w:space="0" w:color="auto"/>
        <w:right w:val="none" w:sz="0" w:space="0" w:color="auto"/>
      </w:divBdr>
    </w:div>
    <w:div w:id="1693803286">
      <w:bodyDiv w:val="1"/>
      <w:marLeft w:val="0"/>
      <w:marRight w:val="0"/>
      <w:marTop w:val="0"/>
      <w:marBottom w:val="0"/>
      <w:divBdr>
        <w:top w:val="none" w:sz="0" w:space="0" w:color="auto"/>
        <w:left w:val="none" w:sz="0" w:space="0" w:color="auto"/>
        <w:bottom w:val="none" w:sz="0" w:space="0" w:color="auto"/>
        <w:right w:val="none" w:sz="0" w:space="0" w:color="auto"/>
      </w:divBdr>
    </w:div>
    <w:div w:id="1788546534">
      <w:bodyDiv w:val="1"/>
      <w:marLeft w:val="0"/>
      <w:marRight w:val="0"/>
      <w:marTop w:val="0"/>
      <w:marBottom w:val="0"/>
      <w:divBdr>
        <w:top w:val="none" w:sz="0" w:space="0" w:color="auto"/>
        <w:left w:val="none" w:sz="0" w:space="0" w:color="auto"/>
        <w:bottom w:val="none" w:sz="0" w:space="0" w:color="auto"/>
        <w:right w:val="none" w:sz="0" w:space="0" w:color="auto"/>
      </w:divBdr>
      <w:divsChild>
        <w:div w:id="1460954578">
          <w:marLeft w:val="0"/>
          <w:marRight w:val="0"/>
          <w:marTop w:val="0"/>
          <w:marBottom w:val="0"/>
          <w:divBdr>
            <w:top w:val="none" w:sz="0" w:space="0" w:color="auto"/>
            <w:left w:val="none" w:sz="0" w:space="0" w:color="auto"/>
            <w:bottom w:val="none" w:sz="0" w:space="0" w:color="auto"/>
            <w:right w:val="none" w:sz="0" w:space="0" w:color="auto"/>
          </w:divBdr>
        </w:div>
        <w:div w:id="1128084009">
          <w:marLeft w:val="0"/>
          <w:marRight w:val="0"/>
          <w:marTop w:val="0"/>
          <w:marBottom w:val="0"/>
          <w:divBdr>
            <w:top w:val="none" w:sz="0" w:space="0" w:color="auto"/>
            <w:left w:val="none" w:sz="0" w:space="0" w:color="auto"/>
            <w:bottom w:val="none" w:sz="0" w:space="0" w:color="auto"/>
            <w:right w:val="none" w:sz="0" w:space="0" w:color="auto"/>
          </w:divBdr>
        </w:div>
        <w:div w:id="1430589041">
          <w:marLeft w:val="0"/>
          <w:marRight w:val="0"/>
          <w:marTop w:val="0"/>
          <w:marBottom w:val="0"/>
          <w:divBdr>
            <w:top w:val="none" w:sz="0" w:space="0" w:color="auto"/>
            <w:left w:val="none" w:sz="0" w:space="0" w:color="auto"/>
            <w:bottom w:val="none" w:sz="0" w:space="0" w:color="auto"/>
            <w:right w:val="none" w:sz="0" w:space="0" w:color="auto"/>
          </w:divBdr>
        </w:div>
        <w:div w:id="385449948">
          <w:marLeft w:val="0"/>
          <w:marRight w:val="0"/>
          <w:marTop w:val="0"/>
          <w:marBottom w:val="0"/>
          <w:divBdr>
            <w:top w:val="none" w:sz="0" w:space="0" w:color="auto"/>
            <w:left w:val="none" w:sz="0" w:space="0" w:color="auto"/>
            <w:bottom w:val="none" w:sz="0" w:space="0" w:color="auto"/>
            <w:right w:val="none" w:sz="0" w:space="0" w:color="auto"/>
          </w:divBdr>
        </w:div>
        <w:div w:id="991256360">
          <w:marLeft w:val="0"/>
          <w:marRight w:val="0"/>
          <w:marTop w:val="0"/>
          <w:marBottom w:val="0"/>
          <w:divBdr>
            <w:top w:val="none" w:sz="0" w:space="0" w:color="auto"/>
            <w:left w:val="none" w:sz="0" w:space="0" w:color="auto"/>
            <w:bottom w:val="none" w:sz="0" w:space="0" w:color="auto"/>
            <w:right w:val="none" w:sz="0" w:space="0" w:color="auto"/>
          </w:divBdr>
        </w:div>
        <w:div w:id="801651191">
          <w:marLeft w:val="0"/>
          <w:marRight w:val="0"/>
          <w:marTop w:val="0"/>
          <w:marBottom w:val="0"/>
          <w:divBdr>
            <w:top w:val="none" w:sz="0" w:space="0" w:color="auto"/>
            <w:left w:val="none" w:sz="0" w:space="0" w:color="auto"/>
            <w:bottom w:val="none" w:sz="0" w:space="0" w:color="auto"/>
            <w:right w:val="none" w:sz="0" w:space="0" w:color="auto"/>
          </w:divBdr>
        </w:div>
        <w:div w:id="1151024801">
          <w:marLeft w:val="0"/>
          <w:marRight w:val="0"/>
          <w:marTop w:val="0"/>
          <w:marBottom w:val="0"/>
          <w:divBdr>
            <w:top w:val="none" w:sz="0" w:space="0" w:color="auto"/>
            <w:left w:val="none" w:sz="0" w:space="0" w:color="auto"/>
            <w:bottom w:val="none" w:sz="0" w:space="0" w:color="auto"/>
            <w:right w:val="none" w:sz="0" w:space="0" w:color="auto"/>
          </w:divBdr>
        </w:div>
        <w:div w:id="831217763">
          <w:marLeft w:val="0"/>
          <w:marRight w:val="0"/>
          <w:marTop w:val="0"/>
          <w:marBottom w:val="0"/>
          <w:divBdr>
            <w:top w:val="none" w:sz="0" w:space="0" w:color="auto"/>
            <w:left w:val="none" w:sz="0" w:space="0" w:color="auto"/>
            <w:bottom w:val="none" w:sz="0" w:space="0" w:color="auto"/>
            <w:right w:val="none" w:sz="0" w:space="0" w:color="auto"/>
          </w:divBdr>
        </w:div>
        <w:div w:id="1729958609">
          <w:marLeft w:val="0"/>
          <w:marRight w:val="0"/>
          <w:marTop w:val="0"/>
          <w:marBottom w:val="0"/>
          <w:divBdr>
            <w:top w:val="none" w:sz="0" w:space="0" w:color="auto"/>
            <w:left w:val="none" w:sz="0" w:space="0" w:color="auto"/>
            <w:bottom w:val="none" w:sz="0" w:space="0" w:color="auto"/>
            <w:right w:val="none" w:sz="0" w:space="0" w:color="auto"/>
          </w:divBdr>
        </w:div>
        <w:div w:id="1791704484">
          <w:marLeft w:val="0"/>
          <w:marRight w:val="0"/>
          <w:marTop w:val="0"/>
          <w:marBottom w:val="0"/>
          <w:divBdr>
            <w:top w:val="none" w:sz="0" w:space="0" w:color="auto"/>
            <w:left w:val="none" w:sz="0" w:space="0" w:color="auto"/>
            <w:bottom w:val="none" w:sz="0" w:space="0" w:color="auto"/>
            <w:right w:val="none" w:sz="0" w:space="0" w:color="auto"/>
          </w:divBdr>
        </w:div>
        <w:div w:id="1302689326">
          <w:marLeft w:val="0"/>
          <w:marRight w:val="0"/>
          <w:marTop w:val="0"/>
          <w:marBottom w:val="0"/>
          <w:divBdr>
            <w:top w:val="none" w:sz="0" w:space="0" w:color="auto"/>
            <w:left w:val="none" w:sz="0" w:space="0" w:color="auto"/>
            <w:bottom w:val="none" w:sz="0" w:space="0" w:color="auto"/>
            <w:right w:val="none" w:sz="0" w:space="0" w:color="auto"/>
          </w:divBdr>
        </w:div>
        <w:div w:id="1700935993">
          <w:marLeft w:val="0"/>
          <w:marRight w:val="0"/>
          <w:marTop w:val="0"/>
          <w:marBottom w:val="0"/>
          <w:divBdr>
            <w:top w:val="none" w:sz="0" w:space="0" w:color="auto"/>
            <w:left w:val="none" w:sz="0" w:space="0" w:color="auto"/>
            <w:bottom w:val="none" w:sz="0" w:space="0" w:color="auto"/>
            <w:right w:val="none" w:sz="0" w:space="0" w:color="auto"/>
          </w:divBdr>
        </w:div>
        <w:div w:id="1475105086">
          <w:marLeft w:val="0"/>
          <w:marRight w:val="0"/>
          <w:marTop w:val="0"/>
          <w:marBottom w:val="0"/>
          <w:divBdr>
            <w:top w:val="none" w:sz="0" w:space="0" w:color="auto"/>
            <w:left w:val="none" w:sz="0" w:space="0" w:color="auto"/>
            <w:bottom w:val="none" w:sz="0" w:space="0" w:color="auto"/>
            <w:right w:val="none" w:sz="0" w:space="0" w:color="auto"/>
          </w:divBdr>
        </w:div>
        <w:div w:id="1736317728">
          <w:marLeft w:val="0"/>
          <w:marRight w:val="0"/>
          <w:marTop w:val="0"/>
          <w:marBottom w:val="0"/>
          <w:divBdr>
            <w:top w:val="none" w:sz="0" w:space="0" w:color="auto"/>
            <w:left w:val="none" w:sz="0" w:space="0" w:color="auto"/>
            <w:bottom w:val="none" w:sz="0" w:space="0" w:color="auto"/>
            <w:right w:val="none" w:sz="0" w:space="0" w:color="auto"/>
          </w:divBdr>
        </w:div>
        <w:div w:id="884366970">
          <w:marLeft w:val="0"/>
          <w:marRight w:val="0"/>
          <w:marTop w:val="0"/>
          <w:marBottom w:val="0"/>
          <w:divBdr>
            <w:top w:val="none" w:sz="0" w:space="0" w:color="auto"/>
            <w:left w:val="none" w:sz="0" w:space="0" w:color="auto"/>
            <w:bottom w:val="none" w:sz="0" w:space="0" w:color="auto"/>
            <w:right w:val="none" w:sz="0" w:space="0" w:color="auto"/>
          </w:divBdr>
        </w:div>
        <w:div w:id="105776133">
          <w:marLeft w:val="0"/>
          <w:marRight w:val="0"/>
          <w:marTop w:val="0"/>
          <w:marBottom w:val="0"/>
          <w:divBdr>
            <w:top w:val="none" w:sz="0" w:space="0" w:color="auto"/>
            <w:left w:val="none" w:sz="0" w:space="0" w:color="auto"/>
            <w:bottom w:val="none" w:sz="0" w:space="0" w:color="auto"/>
            <w:right w:val="none" w:sz="0" w:space="0" w:color="auto"/>
          </w:divBdr>
        </w:div>
        <w:div w:id="1268997693">
          <w:marLeft w:val="0"/>
          <w:marRight w:val="0"/>
          <w:marTop w:val="0"/>
          <w:marBottom w:val="0"/>
          <w:divBdr>
            <w:top w:val="none" w:sz="0" w:space="0" w:color="auto"/>
            <w:left w:val="none" w:sz="0" w:space="0" w:color="auto"/>
            <w:bottom w:val="none" w:sz="0" w:space="0" w:color="auto"/>
            <w:right w:val="none" w:sz="0" w:space="0" w:color="auto"/>
          </w:divBdr>
        </w:div>
        <w:div w:id="2085644044">
          <w:marLeft w:val="0"/>
          <w:marRight w:val="0"/>
          <w:marTop w:val="0"/>
          <w:marBottom w:val="0"/>
          <w:divBdr>
            <w:top w:val="none" w:sz="0" w:space="0" w:color="auto"/>
            <w:left w:val="none" w:sz="0" w:space="0" w:color="auto"/>
            <w:bottom w:val="none" w:sz="0" w:space="0" w:color="auto"/>
            <w:right w:val="none" w:sz="0" w:space="0" w:color="auto"/>
          </w:divBdr>
        </w:div>
        <w:div w:id="1665818510">
          <w:marLeft w:val="0"/>
          <w:marRight w:val="0"/>
          <w:marTop w:val="0"/>
          <w:marBottom w:val="0"/>
          <w:divBdr>
            <w:top w:val="none" w:sz="0" w:space="0" w:color="auto"/>
            <w:left w:val="none" w:sz="0" w:space="0" w:color="auto"/>
            <w:bottom w:val="none" w:sz="0" w:space="0" w:color="auto"/>
            <w:right w:val="none" w:sz="0" w:space="0" w:color="auto"/>
          </w:divBdr>
        </w:div>
      </w:divsChild>
    </w:div>
    <w:div w:id="2006590210">
      <w:bodyDiv w:val="1"/>
      <w:marLeft w:val="0"/>
      <w:marRight w:val="0"/>
      <w:marTop w:val="0"/>
      <w:marBottom w:val="0"/>
      <w:divBdr>
        <w:top w:val="none" w:sz="0" w:space="0" w:color="auto"/>
        <w:left w:val="none" w:sz="0" w:space="0" w:color="auto"/>
        <w:bottom w:val="none" w:sz="0" w:space="0" w:color="auto"/>
        <w:right w:val="none" w:sz="0" w:space="0" w:color="auto"/>
      </w:divBdr>
    </w:div>
    <w:div w:id="2125532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gph.0003733" TargetMode="External"/><Relationship Id="rId13" Type="http://schemas.openxmlformats.org/officeDocument/2006/relationships/hyperlink" Target="https://doi.org/10.1016/j.diabres.2018.02.023" TargetMode="External"/><Relationship Id="rId18" Type="http://schemas.openxmlformats.org/officeDocument/2006/relationships/hyperlink" Target="https://doi.org/10.1038/s41574-021-00613-y"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4103/2468-8827.184853" TargetMode="External"/><Relationship Id="rId7" Type="http://schemas.openxmlformats.org/officeDocument/2006/relationships/endnotes" Target="endnotes.xml"/><Relationship Id="rId12" Type="http://schemas.openxmlformats.org/officeDocument/2006/relationships/hyperlink" Target="https://doi.org/10.1207/s15327558ijbm0401_6" TargetMode="External"/><Relationship Id="rId17" Type="http://schemas.openxmlformats.org/officeDocument/2006/relationships/hyperlink" Target="https://doi.org/10.1177/1742395325133854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16/j.ijnss.2019.09.003" TargetMode="External"/><Relationship Id="rId20" Type="http://schemas.openxmlformats.org/officeDocument/2006/relationships/hyperlink" Target="https://doi.org/10.4102/phcfm.v9i1.1405"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91/1478088706qp063o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86/s12902-022-01131-2" TargetMode="External"/><Relationship Id="rId23" Type="http://schemas.openxmlformats.org/officeDocument/2006/relationships/hyperlink" Target="https://doi.org/10.3389/fcdhc.2025.1554524" TargetMode="External"/><Relationship Id="rId28" Type="http://schemas.openxmlformats.org/officeDocument/2006/relationships/header" Target="header3.xml"/><Relationship Id="rId10" Type="http://schemas.openxmlformats.org/officeDocument/2006/relationships/hyperlink" Target="https://doi.org/10.1177/11795514251384044" TargetMode="External"/><Relationship Id="rId19" Type="http://schemas.openxmlformats.org/officeDocument/2006/relationships/hyperlink" Target="https://doi.org/10.2174/011874350141826425092209380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371/journal.pone.0305860" TargetMode="External"/><Relationship Id="rId14" Type="http://schemas.openxmlformats.org/officeDocument/2006/relationships/hyperlink" Target="https://doi.org/10.1007/978-1-4419-1005-9_215" TargetMode="External"/><Relationship Id="rId22" Type="http://schemas.openxmlformats.org/officeDocument/2006/relationships/hyperlink" Target="https://doi.org/10.1016/S2213-8587(15)00135-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4B0B8-ABD1-4D13-AB25-36BD9BFF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18</Pages>
  <Words>4960</Words>
  <Characters>28274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DOGO</dc:creator>
  <cp:lastModifiedBy>Editor-1183</cp:lastModifiedBy>
  <cp:revision>34</cp:revision>
  <dcterms:created xsi:type="dcterms:W3CDTF">2026-02-01T11:21:00Z</dcterms:created>
  <dcterms:modified xsi:type="dcterms:W3CDTF">2026-02-12T05:38:00Z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c717adf7bc4348a2956d403b033109c1</vt:lpwstr>
  </property>
</Properties>
</file>