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CC18C" w14:textId="24371417" w:rsidR="00D30A88" w:rsidRDefault="00D30A88" w:rsidP="00441B6F">
      <w:pPr>
        <w:pStyle w:val="Author"/>
        <w:spacing w:line="240" w:lineRule="auto"/>
        <w:rPr>
          <w:rFonts w:ascii="Arial" w:hAnsi="Arial" w:cs="Arial"/>
          <w:bCs/>
          <w:iCs/>
          <w:kern w:val="28"/>
          <w:sz w:val="36"/>
        </w:rPr>
      </w:pPr>
      <w:bookmarkStart w:id="0" w:name="_Hlk213558850"/>
      <w:r w:rsidRPr="00D30A88">
        <w:rPr>
          <w:rFonts w:ascii="Arial" w:hAnsi="Arial" w:cs="Arial"/>
          <w:bCs/>
          <w:iCs/>
          <w:kern w:val="28"/>
          <w:sz w:val="36"/>
        </w:rPr>
        <w:t>Original Research Article</w:t>
      </w:r>
    </w:p>
    <w:p w14:paraId="700A8062" w14:textId="77777777" w:rsidR="0007293C" w:rsidRDefault="0007293C" w:rsidP="00441B6F">
      <w:pPr>
        <w:pStyle w:val="Author"/>
        <w:spacing w:line="240" w:lineRule="auto"/>
        <w:rPr>
          <w:rFonts w:ascii="Arial" w:hAnsi="Arial" w:cs="Arial"/>
          <w:bCs/>
          <w:iCs/>
          <w:kern w:val="28"/>
          <w:sz w:val="36"/>
        </w:rPr>
      </w:pPr>
    </w:p>
    <w:p w14:paraId="2AB8B36E" w14:textId="016EAB42" w:rsidR="00163BC4" w:rsidRPr="00A9353A" w:rsidRDefault="00734823" w:rsidP="00441B6F">
      <w:pPr>
        <w:pStyle w:val="Author"/>
        <w:spacing w:line="240" w:lineRule="auto"/>
        <w:rPr>
          <w:rFonts w:ascii="Arial" w:hAnsi="Arial" w:cs="Arial"/>
          <w:bCs/>
          <w:iCs/>
          <w:kern w:val="28"/>
          <w:sz w:val="36"/>
        </w:rPr>
      </w:pPr>
      <w:r w:rsidRPr="00A9353A">
        <w:rPr>
          <w:rFonts w:ascii="Arial" w:hAnsi="Arial" w:cs="Arial"/>
          <w:bCs/>
          <w:iCs/>
          <w:kern w:val="28"/>
          <w:sz w:val="36"/>
        </w:rPr>
        <w:t>Development and Characteri</w:t>
      </w:r>
      <w:r w:rsidR="00EA13F2" w:rsidRPr="00A9353A">
        <w:rPr>
          <w:rFonts w:ascii="Arial" w:hAnsi="Arial" w:cs="Arial"/>
          <w:bCs/>
          <w:iCs/>
          <w:kern w:val="28"/>
          <w:sz w:val="36"/>
        </w:rPr>
        <w:t>s</w:t>
      </w:r>
      <w:r w:rsidRPr="00A9353A">
        <w:rPr>
          <w:rFonts w:ascii="Arial" w:hAnsi="Arial" w:cs="Arial"/>
          <w:bCs/>
          <w:iCs/>
          <w:kern w:val="28"/>
          <w:sz w:val="36"/>
        </w:rPr>
        <w:t>ation of Cassava Starch–PVA Bioplastic Films as Sustainable Alternatives to Petroleum-Based Plastics</w:t>
      </w:r>
      <w:bookmarkEnd w:id="0"/>
    </w:p>
    <w:p w14:paraId="0AC83A43" w14:textId="77777777" w:rsidR="00A258C3" w:rsidRPr="00A9353A" w:rsidRDefault="00A258C3" w:rsidP="00441B6F">
      <w:pPr>
        <w:pStyle w:val="Author"/>
        <w:spacing w:line="240" w:lineRule="auto"/>
        <w:jc w:val="both"/>
        <w:rPr>
          <w:rFonts w:ascii="Arial" w:hAnsi="Arial" w:cs="Arial"/>
          <w:sz w:val="36"/>
        </w:rPr>
      </w:pPr>
    </w:p>
    <w:p w14:paraId="246F89D2" w14:textId="77777777" w:rsidR="0053582F" w:rsidRPr="00A9353A" w:rsidRDefault="0053582F" w:rsidP="00441B6F">
      <w:pPr>
        <w:pStyle w:val="Affiliation"/>
        <w:spacing w:after="0" w:line="240" w:lineRule="auto"/>
        <w:rPr>
          <w:rFonts w:ascii="Arial" w:hAnsi="Arial" w:cs="Arial"/>
          <w:i/>
        </w:rPr>
      </w:pPr>
    </w:p>
    <w:p w14:paraId="2148A7AC" w14:textId="77777777" w:rsidR="002C57D2" w:rsidRPr="00A9353A" w:rsidRDefault="002C57D2" w:rsidP="00441B6F">
      <w:pPr>
        <w:pStyle w:val="Affiliation"/>
        <w:spacing w:after="0" w:line="240" w:lineRule="auto"/>
        <w:jc w:val="both"/>
        <w:rPr>
          <w:rFonts w:ascii="Arial" w:hAnsi="Arial" w:cs="Arial"/>
        </w:rPr>
      </w:pPr>
    </w:p>
    <w:p w14:paraId="7B55489F" w14:textId="47D831AE" w:rsidR="00B01FCD" w:rsidRPr="00A9353A" w:rsidRDefault="00DD0EF2" w:rsidP="00441B6F">
      <w:pPr>
        <w:pStyle w:val="Copyright"/>
        <w:spacing w:after="0" w:line="240" w:lineRule="auto"/>
        <w:jc w:val="both"/>
        <w:rPr>
          <w:rFonts w:ascii="Arial" w:hAnsi="Arial" w:cs="Arial"/>
        </w:rPr>
        <w:sectPr w:rsidR="00B01FCD" w:rsidRPr="00A9353A" w:rsidSect="005140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A9353A">
        <w:rPr>
          <w:rFonts w:ascii="Arial" w:hAnsi="Arial" w:cs="Arial"/>
          <w:noProof/>
        </w:rPr>
        <mc:AlternateContent>
          <mc:Choice Requires="wps">
            <w:drawing>
              <wp:inline distT="0" distB="0" distL="0" distR="0" wp14:anchorId="1A82B626" wp14:editId="63081345">
                <wp:extent cx="5303520" cy="635"/>
                <wp:effectExtent l="13335" t="14605" r="17145" b="13970"/>
                <wp:docPr id="83879698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7087F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A9353A">
        <w:rPr>
          <w:rFonts w:ascii="Arial" w:hAnsi="Arial" w:cs="Arial"/>
        </w:rPr>
        <w:t>.</w:t>
      </w:r>
    </w:p>
    <w:p w14:paraId="11D0057C" w14:textId="58D2DE0A" w:rsidR="00B01FCD" w:rsidRPr="00A9353A" w:rsidRDefault="00B01FCD" w:rsidP="008B360D">
      <w:pPr>
        <w:pStyle w:val="AbstHead"/>
        <w:jc w:val="both"/>
        <w:rPr>
          <w:rFonts w:ascii="Arial" w:hAnsi="Arial" w:cs="Arial"/>
        </w:rPr>
      </w:pPr>
      <w:r w:rsidRPr="00A9353A">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84"/>
      </w:tblGrid>
      <w:tr w:rsidR="00296529" w:rsidRPr="00A9353A" w14:paraId="169B9800" w14:textId="77777777" w:rsidTr="008B360D">
        <w:trPr>
          <w:trHeight w:val="3743"/>
        </w:trPr>
        <w:tc>
          <w:tcPr>
            <w:tcW w:w="8684" w:type="dxa"/>
            <w:shd w:val="clear" w:color="auto" w:fill="F2F2F2"/>
          </w:tcPr>
          <w:p w14:paraId="19B38254" w14:textId="63D94E23" w:rsidR="00505F06" w:rsidRPr="00A9353A" w:rsidRDefault="008B360D" w:rsidP="00441B6F">
            <w:pPr>
              <w:pStyle w:val="Body"/>
              <w:spacing w:after="0"/>
              <w:rPr>
                <w:rFonts w:ascii="Arial" w:eastAsia="Calibri" w:hAnsi="Arial" w:cs="Arial"/>
                <w:szCs w:val="22"/>
              </w:rPr>
            </w:pPr>
            <w:r w:rsidRPr="00A9353A">
              <w:rPr>
                <w:rFonts w:ascii="Arial" w:eastAsia="Calibri" w:hAnsi="Arial" w:cs="Arial"/>
                <w:szCs w:val="22"/>
              </w:rPr>
              <w:t>This study focuses on the development and characteri</w:t>
            </w:r>
            <w:r w:rsidR="00350123" w:rsidRPr="00A9353A">
              <w:rPr>
                <w:rFonts w:ascii="Arial" w:eastAsia="Calibri" w:hAnsi="Arial" w:cs="Arial"/>
                <w:szCs w:val="22"/>
              </w:rPr>
              <w:t>s</w:t>
            </w:r>
            <w:r w:rsidRPr="00A9353A">
              <w:rPr>
                <w:rFonts w:ascii="Arial" w:eastAsia="Calibri" w:hAnsi="Arial" w:cs="Arial"/>
                <w:szCs w:val="22"/>
              </w:rPr>
              <w:t xml:space="preserve">ation of biodegradable films produced from cassava starch blended with polyvinyl alcohol (PVA) and glycerol. Cassava starch, extracted at a yield of 80.06%, served as a sustainable polymer base owing to its abundance and renewability. </w:t>
            </w:r>
            <w:r w:rsidR="00865AC4" w:rsidRPr="00A9353A">
              <w:rPr>
                <w:rFonts w:ascii="Arial" w:eastAsia="Calibri" w:hAnsi="Arial" w:cs="Arial"/>
                <w:szCs w:val="22"/>
              </w:rPr>
              <w:t xml:space="preserve">Produced films were prepared and characterised in triplicate for each formulation to ensure reproducibility. The films </w:t>
            </w:r>
            <w:r w:rsidRPr="00A9353A">
              <w:rPr>
                <w:rFonts w:ascii="Arial" w:eastAsia="Calibri" w:hAnsi="Arial" w:cs="Arial"/>
                <w:szCs w:val="22"/>
              </w:rPr>
              <w:t xml:space="preserve">exhibited low water absorption (4%), indicating improved hydrophobicity and structural integrity suitable for packaging applications. Biodegradation tests revealed complete decomposition within 20 - 28 days, with faster rates observed at shallower burial depths due to increased microbial and oxygen activity. </w:t>
            </w:r>
            <w:r w:rsidR="00865AC4" w:rsidRPr="00A9353A">
              <w:rPr>
                <w:rFonts w:ascii="Arial" w:eastAsia="Calibri" w:hAnsi="Arial" w:cs="Arial"/>
                <w:szCs w:val="22"/>
              </w:rPr>
              <w:t>Fourier Transform Infrared Spectroscopy (FTIR) confirmed intermolecular bonding and crosslinking through functional groups such as O–H, C=O, and C–O–C</w:t>
            </w:r>
            <w:r w:rsidRPr="00A9353A">
              <w:rPr>
                <w:rFonts w:ascii="Arial" w:eastAsia="Calibri" w:hAnsi="Arial" w:cs="Arial"/>
                <w:szCs w:val="22"/>
              </w:rPr>
              <w:t xml:space="preserve">. </w:t>
            </w:r>
            <w:r w:rsidR="00FC476C" w:rsidRPr="00A9353A">
              <w:rPr>
                <w:rFonts w:ascii="Arial" w:eastAsia="Calibri" w:hAnsi="Arial" w:cs="Arial"/>
                <w:szCs w:val="22"/>
              </w:rPr>
              <w:t>Surface morphology was assessed using Scanning Electron Microscopy (SEM), while thermal stability was evaluated through Thermogravimetric Analysis (TGA/DTG), thereby reducing redundancy in listing characteri</w:t>
            </w:r>
            <w:r w:rsidR="00E8796D" w:rsidRPr="00A9353A">
              <w:rPr>
                <w:rFonts w:ascii="Arial" w:eastAsia="Calibri" w:hAnsi="Arial" w:cs="Arial"/>
                <w:szCs w:val="22"/>
              </w:rPr>
              <w:t>s</w:t>
            </w:r>
            <w:r w:rsidR="00FC476C" w:rsidRPr="00A9353A">
              <w:rPr>
                <w:rFonts w:ascii="Arial" w:eastAsia="Calibri" w:hAnsi="Arial" w:cs="Arial"/>
                <w:szCs w:val="22"/>
              </w:rPr>
              <w:t>ation techniques. Thermal analysis showed stability up to approximately 150°C</w:t>
            </w:r>
            <w:r w:rsidRPr="00A9353A">
              <w:rPr>
                <w:rFonts w:ascii="Arial" w:eastAsia="Calibri" w:hAnsi="Arial" w:cs="Arial"/>
                <w:szCs w:val="22"/>
              </w:rPr>
              <w:t xml:space="preserve">, beyond which major decomposition occurred. Film thickness ranged between 0.18 and 0.27 mm, correlating with starch and glycerol concentrations. The results collectively validate cassava starch-PVA films as eco-friendly alternatives to petroleum-based plastics, offering biodegradability, </w:t>
            </w:r>
            <w:r w:rsidR="00FC476C" w:rsidRPr="00A9353A">
              <w:rPr>
                <w:rFonts w:ascii="Arial" w:eastAsia="Calibri" w:hAnsi="Arial" w:cs="Arial"/>
                <w:szCs w:val="22"/>
              </w:rPr>
              <w:t xml:space="preserve">thermal stability, </w:t>
            </w:r>
            <w:r w:rsidR="0039299A" w:rsidRPr="00A9353A">
              <w:rPr>
                <w:rFonts w:ascii="Arial" w:eastAsia="Calibri" w:hAnsi="Arial" w:cs="Arial"/>
                <w:szCs w:val="22"/>
              </w:rPr>
              <w:t>structural integrity</w:t>
            </w:r>
            <w:r w:rsidRPr="00A9353A">
              <w:rPr>
                <w:rFonts w:ascii="Arial" w:eastAsia="Calibri" w:hAnsi="Arial" w:cs="Arial"/>
                <w:szCs w:val="22"/>
              </w:rPr>
              <w:t xml:space="preserve">, and suitability for low-temperature </w:t>
            </w:r>
            <w:r w:rsidR="0039299A" w:rsidRPr="00A9353A">
              <w:rPr>
                <w:rFonts w:ascii="Arial" w:eastAsia="Calibri" w:hAnsi="Arial" w:cs="Arial"/>
                <w:szCs w:val="22"/>
              </w:rPr>
              <w:t>short-term</w:t>
            </w:r>
            <w:r w:rsidRPr="00A9353A">
              <w:rPr>
                <w:rFonts w:ascii="Arial" w:eastAsia="Calibri" w:hAnsi="Arial" w:cs="Arial"/>
                <w:szCs w:val="22"/>
              </w:rPr>
              <w:t xml:space="preserve"> applications</w:t>
            </w:r>
            <w:r w:rsidR="001B7228" w:rsidRPr="00A9353A">
              <w:rPr>
                <w:rFonts w:ascii="Arial" w:eastAsia="Calibri" w:hAnsi="Arial" w:cs="Arial"/>
                <w:szCs w:val="22"/>
              </w:rPr>
              <w:t>.</w:t>
            </w:r>
          </w:p>
        </w:tc>
      </w:tr>
    </w:tbl>
    <w:p w14:paraId="6A22F66A" w14:textId="77777777" w:rsidR="00636EB2" w:rsidRPr="00A9353A" w:rsidRDefault="00636EB2" w:rsidP="00441B6F">
      <w:pPr>
        <w:pStyle w:val="Body"/>
        <w:spacing w:after="0"/>
        <w:rPr>
          <w:rFonts w:ascii="Arial" w:hAnsi="Arial" w:cs="Arial"/>
          <w:i/>
        </w:rPr>
      </w:pPr>
    </w:p>
    <w:p w14:paraId="5A54261C" w14:textId="2536575E" w:rsidR="00A24E7E" w:rsidRPr="00A9353A" w:rsidRDefault="00A24E7E" w:rsidP="00441B6F">
      <w:pPr>
        <w:pStyle w:val="Body"/>
        <w:spacing w:after="0"/>
        <w:rPr>
          <w:rFonts w:ascii="Arial" w:hAnsi="Arial" w:cs="Arial"/>
          <w:i/>
        </w:rPr>
      </w:pPr>
      <w:bookmarkStart w:id="1" w:name="_GoBack"/>
      <w:r w:rsidRPr="00615D8E">
        <w:rPr>
          <w:rFonts w:ascii="Arial" w:hAnsi="Arial" w:cs="Arial"/>
          <w:b/>
          <w:i/>
        </w:rPr>
        <w:t>Keywords:</w:t>
      </w:r>
      <w:r w:rsidRPr="00A9353A">
        <w:rPr>
          <w:rFonts w:ascii="Arial" w:hAnsi="Arial" w:cs="Arial"/>
          <w:i/>
        </w:rPr>
        <w:t xml:space="preserve"> </w:t>
      </w:r>
      <w:bookmarkEnd w:id="1"/>
      <w:r w:rsidR="008B360D" w:rsidRPr="00A9353A">
        <w:rPr>
          <w:rFonts w:ascii="Arial" w:hAnsi="Arial" w:cs="Arial"/>
          <w:i/>
        </w:rPr>
        <w:t xml:space="preserve">Cassava starch; </w:t>
      </w:r>
      <w:r w:rsidR="00196609" w:rsidRPr="00A9353A">
        <w:rPr>
          <w:rFonts w:ascii="Arial" w:hAnsi="Arial" w:cs="Arial"/>
          <w:i/>
        </w:rPr>
        <w:t>bioplastic</w:t>
      </w:r>
      <w:r w:rsidR="00765596" w:rsidRPr="00A9353A">
        <w:rPr>
          <w:rFonts w:ascii="Arial" w:hAnsi="Arial" w:cs="Arial"/>
          <w:i/>
        </w:rPr>
        <w:t>s</w:t>
      </w:r>
      <w:r w:rsidR="00196609" w:rsidRPr="00A9353A">
        <w:rPr>
          <w:rFonts w:ascii="Arial" w:hAnsi="Arial" w:cs="Arial"/>
          <w:i/>
        </w:rPr>
        <w:t>; bio-based plastic</w:t>
      </w:r>
      <w:r w:rsidR="00765596" w:rsidRPr="00A9353A">
        <w:rPr>
          <w:rFonts w:ascii="Arial" w:hAnsi="Arial" w:cs="Arial"/>
          <w:i/>
        </w:rPr>
        <w:t>s</w:t>
      </w:r>
      <w:r w:rsidR="00196609" w:rsidRPr="00A9353A">
        <w:rPr>
          <w:rFonts w:ascii="Arial" w:hAnsi="Arial" w:cs="Arial"/>
          <w:i/>
        </w:rPr>
        <w:t>;</w:t>
      </w:r>
      <w:r w:rsidR="00765596" w:rsidRPr="00A9353A">
        <w:rPr>
          <w:rFonts w:ascii="Arial" w:hAnsi="Arial" w:cs="Arial"/>
          <w:i/>
        </w:rPr>
        <w:t xml:space="preserve"> bio-based polymers;</w:t>
      </w:r>
      <w:r w:rsidR="00196609" w:rsidRPr="00A9353A">
        <w:rPr>
          <w:rFonts w:ascii="Arial" w:hAnsi="Arial" w:cs="Arial"/>
          <w:i/>
        </w:rPr>
        <w:t xml:space="preserve"> </w:t>
      </w:r>
      <w:r w:rsidR="008B360D" w:rsidRPr="00A9353A">
        <w:rPr>
          <w:rFonts w:ascii="Arial" w:hAnsi="Arial" w:cs="Arial"/>
          <w:i/>
        </w:rPr>
        <w:t>biodegradable films; biodegradability; plasticiser; sustainable packaging</w:t>
      </w:r>
      <w:r w:rsidR="00196609" w:rsidRPr="00A9353A">
        <w:rPr>
          <w:rFonts w:ascii="Arial" w:hAnsi="Arial" w:cs="Arial"/>
          <w:i/>
        </w:rPr>
        <w:t>; sustainability</w:t>
      </w:r>
    </w:p>
    <w:p w14:paraId="5D118280" w14:textId="77777777" w:rsidR="001B7228" w:rsidRPr="00A9353A" w:rsidRDefault="001B7228" w:rsidP="00441B6F">
      <w:pPr>
        <w:pStyle w:val="AbstHead"/>
        <w:spacing w:after="0"/>
        <w:jc w:val="both"/>
        <w:rPr>
          <w:rFonts w:ascii="Arial" w:hAnsi="Arial" w:cs="Arial"/>
        </w:rPr>
      </w:pPr>
    </w:p>
    <w:p w14:paraId="2D14DAA3" w14:textId="06148A7D" w:rsidR="007F7B32" w:rsidRPr="00A9353A" w:rsidRDefault="00902823" w:rsidP="008B360D">
      <w:pPr>
        <w:pStyle w:val="AbstHead"/>
        <w:jc w:val="both"/>
        <w:rPr>
          <w:rFonts w:ascii="Arial" w:hAnsi="Arial" w:cs="Arial"/>
        </w:rPr>
      </w:pPr>
      <w:r w:rsidRPr="00A9353A">
        <w:rPr>
          <w:rFonts w:ascii="Arial" w:hAnsi="Arial" w:cs="Arial"/>
        </w:rPr>
        <w:t xml:space="preserve">1. </w:t>
      </w:r>
      <w:r w:rsidR="00B01FCD" w:rsidRPr="00A9353A">
        <w:rPr>
          <w:rFonts w:ascii="Arial" w:hAnsi="Arial" w:cs="Arial"/>
        </w:rPr>
        <w:t>INTRODUCTION</w:t>
      </w:r>
    </w:p>
    <w:p w14:paraId="159712A3" w14:textId="7991A23B" w:rsidR="00282A09" w:rsidRPr="00A9353A" w:rsidRDefault="00282A09" w:rsidP="00282A09">
      <w:pPr>
        <w:pStyle w:val="Body"/>
        <w:rPr>
          <w:rFonts w:ascii="Arial" w:hAnsi="Arial" w:cs="Arial"/>
        </w:rPr>
      </w:pPr>
      <w:r w:rsidRPr="00A9353A">
        <w:rPr>
          <w:rFonts w:ascii="Arial" w:hAnsi="Arial" w:cs="Arial"/>
        </w:rPr>
        <w:t>Plastic materials have emerged as indispensable components of modern society due to their advantageous properties, including lightweight nature, low maintenance requirements, excellent weathering resistance, minimal toxicity, optical transparency, and cost-effectiveness. These characteristics have facilitated widespread adoption across industrial, commercial, and agricultural sectors (Geyer et al., 2017; Plastics Europe, 2019). Global plastic production has experienced exponential growth, with an estimated 8.3 billion metric tons manufactured worldwide between 1950 and 2018, representing an average annual growth rate of 5</w:t>
      </w:r>
      <w:r w:rsidR="00BC45E7" w:rsidRPr="00A9353A">
        <w:rPr>
          <w:rFonts w:ascii="Arial" w:hAnsi="Arial" w:cs="Arial"/>
        </w:rPr>
        <w:t xml:space="preserve"> </w:t>
      </w:r>
      <w:r w:rsidR="00D304DB" w:rsidRPr="00A9353A">
        <w:rPr>
          <w:rFonts w:ascii="Arial" w:hAnsi="Arial" w:cs="Arial"/>
        </w:rPr>
        <w:t>to</w:t>
      </w:r>
      <w:r w:rsidR="00BC45E7" w:rsidRPr="00A9353A">
        <w:rPr>
          <w:rFonts w:ascii="Arial" w:hAnsi="Arial" w:cs="Arial"/>
        </w:rPr>
        <w:t xml:space="preserve"> 8</w:t>
      </w:r>
      <w:r w:rsidRPr="00A9353A">
        <w:rPr>
          <w:rFonts w:ascii="Arial" w:hAnsi="Arial" w:cs="Arial"/>
        </w:rPr>
        <w:t>% (Geyer et al., 2017</w:t>
      </w:r>
      <w:r w:rsidR="00BC45E7" w:rsidRPr="00A9353A">
        <w:rPr>
          <w:rFonts w:ascii="Arial" w:hAnsi="Arial" w:cs="Arial"/>
        </w:rPr>
        <w:t>; Our World in Data, 2019</w:t>
      </w:r>
      <w:r w:rsidRPr="00A9353A">
        <w:rPr>
          <w:rFonts w:ascii="Arial" w:hAnsi="Arial" w:cs="Arial"/>
        </w:rPr>
        <w:t>).</w:t>
      </w:r>
      <w:r w:rsidR="00BC45E7" w:rsidRPr="00A9353A">
        <w:rPr>
          <w:rFonts w:ascii="Arial" w:hAnsi="Arial" w:cs="Arial"/>
        </w:rPr>
        <w:t xml:space="preserve"> </w:t>
      </w:r>
      <w:r w:rsidRPr="00A9353A">
        <w:rPr>
          <w:rFonts w:ascii="Arial" w:hAnsi="Arial" w:cs="Arial"/>
        </w:rPr>
        <w:t>However, this unprecedented production surge has generated a critical waste management crisis. Current statistics indicate that approximately 76% of global plastic production ultimately becomes waste, distributed as follows: 72% is landfilled or released directly into the environment, 14% undergoes recycling processes, and 14% is subjected to thermal treatment through incineration</w:t>
      </w:r>
      <w:r w:rsidR="00FC045D" w:rsidRPr="00A9353A">
        <w:rPr>
          <w:rFonts w:ascii="Arial" w:hAnsi="Arial" w:cs="Arial"/>
        </w:rPr>
        <w:t xml:space="preserve"> </w:t>
      </w:r>
      <w:r w:rsidRPr="00A9353A">
        <w:rPr>
          <w:rFonts w:ascii="Arial" w:hAnsi="Arial" w:cs="Arial"/>
        </w:rPr>
        <w:t xml:space="preserve">(Geyer et al., 2017; Jambeck et al., 2015). </w:t>
      </w:r>
      <w:r w:rsidR="00FC045D" w:rsidRPr="00A9353A">
        <w:rPr>
          <w:rFonts w:ascii="Arial" w:hAnsi="Arial" w:cs="Arial"/>
        </w:rPr>
        <w:t xml:space="preserve">This imbalance is further illustrated in </w:t>
      </w:r>
      <w:r w:rsidR="00FC045D" w:rsidRPr="00A9353A">
        <w:rPr>
          <w:rFonts w:ascii="Arial" w:hAnsi="Arial" w:cs="Arial"/>
          <w:b/>
          <w:bCs/>
        </w:rPr>
        <w:t>Figure 1</w:t>
      </w:r>
      <w:r w:rsidR="00FC045D" w:rsidRPr="00A9353A">
        <w:rPr>
          <w:rFonts w:ascii="Arial" w:hAnsi="Arial" w:cs="Arial"/>
        </w:rPr>
        <w:t xml:space="preserve">, depicting cumulative plastic waste generated alongside amounts discarded, </w:t>
      </w:r>
      <w:r w:rsidR="00FC045D" w:rsidRPr="00A9353A">
        <w:rPr>
          <w:rFonts w:ascii="Arial" w:hAnsi="Arial" w:cs="Arial"/>
        </w:rPr>
        <w:lastRenderedPageBreak/>
        <w:t>incinerated, and recycled. It clearly demonstrates that waste generation substantially exceeds all management options, with recycling contributing the least.</w:t>
      </w:r>
    </w:p>
    <w:p w14:paraId="05275D4B" w14:textId="77777777" w:rsidR="00F61532" w:rsidRPr="00A9353A" w:rsidRDefault="00F61532" w:rsidP="00F61532">
      <w:pPr>
        <w:pStyle w:val="Caption"/>
        <w:jc w:val="center"/>
        <w:rPr>
          <w:rFonts w:ascii="Arial" w:hAnsi="Arial" w:cs="Arial"/>
          <w:color w:val="auto"/>
        </w:rPr>
      </w:pPr>
      <w:r w:rsidRPr="00A9353A">
        <w:rPr>
          <w:rFonts w:ascii="Arial" w:hAnsi="Arial" w:cs="Arial"/>
          <w:noProof/>
          <w:color w:val="auto"/>
        </w:rPr>
        <w:drawing>
          <wp:inline distT="0" distB="0" distL="0" distR="0" wp14:anchorId="1A644917" wp14:editId="622CE8B3">
            <wp:extent cx="3987206" cy="2567003"/>
            <wp:effectExtent l="0" t="0" r="0" b="5080"/>
            <wp:docPr id="416680576" name="Picture 2" descr="A graph of a number of plastic waste gene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80576" name="Picture 2" descr="A graph of a number of plastic waste generati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7206" cy="2567003"/>
                    </a:xfrm>
                    <a:prstGeom prst="rect">
                      <a:avLst/>
                    </a:prstGeom>
                    <a:noFill/>
                  </pic:spPr>
                </pic:pic>
              </a:graphicData>
            </a:graphic>
          </wp:inline>
        </w:drawing>
      </w:r>
      <w:r w:rsidRPr="00A9353A">
        <w:rPr>
          <w:rFonts w:ascii="Arial" w:hAnsi="Arial" w:cs="Arial"/>
          <w:color w:val="auto"/>
        </w:rPr>
        <w:t xml:space="preserve"> </w:t>
      </w:r>
    </w:p>
    <w:p w14:paraId="50DB973D" w14:textId="6EBA0E6D" w:rsidR="00F61532" w:rsidRPr="00A9353A" w:rsidRDefault="00F61532" w:rsidP="008B360D">
      <w:pPr>
        <w:pStyle w:val="Caption"/>
        <w:rPr>
          <w:rFonts w:ascii="Arial" w:hAnsi="Arial" w:cs="Arial"/>
          <w:b/>
          <w:bCs/>
          <w:i w:val="0"/>
          <w:iCs w:val="0"/>
          <w:color w:val="auto"/>
          <w:sz w:val="20"/>
          <w:szCs w:val="22"/>
        </w:rPr>
      </w:pPr>
      <w:r w:rsidRPr="00A9353A">
        <w:rPr>
          <w:rFonts w:ascii="Arial" w:hAnsi="Arial" w:cs="Arial"/>
          <w:b/>
          <w:bCs/>
          <w:i w:val="0"/>
          <w:iCs w:val="0"/>
          <w:color w:val="auto"/>
          <w:sz w:val="20"/>
          <w:szCs w:val="22"/>
        </w:rPr>
        <w:t xml:space="preserve">Figure </w:t>
      </w:r>
      <w:r w:rsidRPr="00A9353A">
        <w:rPr>
          <w:rFonts w:ascii="Arial" w:hAnsi="Arial" w:cs="Arial"/>
          <w:b/>
          <w:bCs/>
          <w:i w:val="0"/>
          <w:iCs w:val="0"/>
          <w:color w:val="auto"/>
          <w:sz w:val="20"/>
          <w:szCs w:val="22"/>
        </w:rPr>
        <w:fldChar w:fldCharType="begin"/>
      </w:r>
      <w:r w:rsidRPr="00A9353A">
        <w:rPr>
          <w:rFonts w:ascii="Arial" w:hAnsi="Arial" w:cs="Arial"/>
          <w:b/>
          <w:bCs/>
          <w:i w:val="0"/>
          <w:iCs w:val="0"/>
          <w:color w:val="auto"/>
          <w:sz w:val="20"/>
          <w:szCs w:val="22"/>
        </w:rPr>
        <w:instrText xml:space="preserve"> SEQ Figure \* ARABIC </w:instrText>
      </w:r>
      <w:r w:rsidRPr="00A9353A">
        <w:rPr>
          <w:rFonts w:ascii="Arial" w:hAnsi="Arial" w:cs="Arial"/>
          <w:b/>
          <w:bCs/>
          <w:i w:val="0"/>
          <w:iCs w:val="0"/>
          <w:color w:val="auto"/>
          <w:sz w:val="20"/>
          <w:szCs w:val="22"/>
        </w:rPr>
        <w:fldChar w:fldCharType="separate"/>
      </w:r>
      <w:r w:rsidR="00027623" w:rsidRPr="00A9353A">
        <w:rPr>
          <w:rFonts w:ascii="Arial" w:hAnsi="Arial" w:cs="Arial"/>
          <w:b/>
          <w:bCs/>
          <w:i w:val="0"/>
          <w:iCs w:val="0"/>
          <w:noProof/>
          <w:color w:val="auto"/>
          <w:sz w:val="20"/>
          <w:szCs w:val="22"/>
        </w:rPr>
        <w:t>1</w:t>
      </w:r>
      <w:r w:rsidRPr="00A9353A">
        <w:rPr>
          <w:rFonts w:ascii="Arial" w:hAnsi="Arial" w:cs="Arial"/>
          <w:b/>
          <w:bCs/>
          <w:i w:val="0"/>
          <w:iCs w:val="0"/>
          <w:color w:val="auto"/>
          <w:sz w:val="20"/>
          <w:szCs w:val="22"/>
        </w:rPr>
        <w:fldChar w:fldCharType="end"/>
      </w:r>
      <w:r w:rsidRPr="00A9353A">
        <w:rPr>
          <w:rFonts w:ascii="Arial" w:hAnsi="Arial" w:cs="Arial"/>
          <w:b/>
          <w:bCs/>
          <w:i w:val="0"/>
          <w:iCs w:val="0"/>
          <w:color w:val="auto"/>
          <w:sz w:val="20"/>
          <w:szCs w:val="22"/>
        </w:rPr>
        <w:t>:</w:t>
      </w:r>
      <w:r w:rsidR="00B66554" w:rsidRPr="00A9353A">
        <w:rPr>
          <w:rFonts w:ascii="Arial" w:hAnsi="Arial" w:cs="Arial"/>
          <w:b/>
          <w:bCs/>
          <w:i w:val="0"/>
          <w:iCs w:val="0"/>
          <w:color w:val="auto"/>
          <w:sz w:val="20"/>
          <w:szCs w:val="22"/>
        </w:rPr>
        <w:t xml:space="preserve"> </w:t>
      </w:r>
      <w:r w:rsidRPr="00A9353A">
        <w:rPr>
          <w:rFonts w:ascii="Arial" w:hAnsi="Arial" w:cs="Arial"/>
          <w:b/>
          <w:bCs/>
          <w:i w:val="0"/>
          <w:iCs w:val="0"/>
          <w:color w:val="auto"/>
          <w:sz w:val="20"/>
          <w:szCs w:val="22"/>
        </w:rPr>
        <w:t>Cumulative plastic waste generation and disposal (Geyer et al., 2017)</w:t>
      </w:r>
    </w:p>
    <w:p w14:paraId="79440A4B" w14:textId="77777777" w:rsidR="00FD6EE6" w:rsidRPr="00A9353A" w:rsidRDefault="00FD6EE6" w:rsidP="00FD6EE6">
      <w:pPr>
        <w:pStyle w:val="Body"/>
        <w:rPr>
          <w:rFonts w:ascii="Arial" w:hAnsi="Arial" w:cs="Arial"/>
        </w:rPr>
      </w:pPr>
      <w:r w:rsidRPr="00A9353A">
        <w:rPr>
          <w:rFonts w:ascii="Arial" w:hAnsi="Arial" w:cs="Arial"/>
        </w:rPr>
        <w:t xml:space="preserve">Plastic waste accumulation poses severe environmental threats. Annual plastic waste generation is projected to exceed 400 million tonnes by 2025, reaching 1.6 billion tonnes by 2050 (UNEP, 2021). Conventional plastics require over 500 years for decomposition, causing soil degradation and releasing harmful pollutants including carbon monoxide, dioxins, and nitrogen oxides (Chamas et al., 2020; Ncube et al., 2021; </w:t>
      </w:r>
      <w:proofErr w:type="spellStart"/>
      <w:r w:rsidRPr="00A9353A">
        <w:rPr>
          <w:rFonts w:ascii="Arial" w:hAnsi="Arial" w:cs="Arial"/>
        </w:rPr>
        <w:t>Dokl</w:t>
      </w:r>
      <w:proofErr w:type="spellEnd"/>
      <w:r w:rsidRPr="00A9353A">
        <w:rPr>
          <w:rFonts w:ascii="Arial" w:hAnsi="Arial" w:cs="Arial"/>
        </w:rPr>
        <w:t xml:space="preserve"> et al., 2024). Marine pollution is exemplified by the North Pacific Garbage Patch, where plastic debris degrades into microplastics that infiltrate food webs and reach human consumption (Lebreton et al., 2018; Thompson et al., 2015).</w:t>
      </w:r>
    </w:p>
    <w:p w14:paraId="2631561A" w14:textId="1446E17A" w:rsidR="00282A09" w:rsidRPr="00A9353A" w:rsidRDefault="00FD6EE6" w:rsidP="00FD6EE6">
      <w:pPr>
        <w:pStyle w:val="Body"/>
        <w:rPr>
          <w:rFonts w:ascii="Arial" w:hAnsi="Arial" w:cs="Arial"/>
        </w:rPr>
      </w:pPr>
      <w:r w:rsidRPr="00A9353A">
        <w:rPr>
          <w:rFonts w:ascii="Arial" w:hAnsi="Arial" w:cs="Arial"/>
          <w:b/>
          <w:bCs/>
        </w:rPr>
        <w:t>Figure 2</w:t>
      </w:r>
      <w:r w:rsidRPr="00A9353A">
        <w:rPr>
          <w:rFonts w:ascii="Arial" w:hAnsi="Arial" w:cs="Arial"/>
        </w:rPr>
        <w:t xml:space="preserve"> shows waste management evolution from 2000</w:t>
      </w:r>
      <w:r w:rsidR="00301920" w:rsidRPr="00A9353A">
        <w:rPr>
          <w:rFonts w:ascii="Arial" w:hAnsi="Arial" w:cs="Arial"/>
        </w:rPr>
        <w:t xml:space="preserve"> – </w:t>
      </w:r>
      <w:r w:rsidRPr="00A9353A">
        <w:rPr>
          <w:rFonts w:ascii="Arial" w:hAnsi="Arial" w:cs="Arial"/>
        </w:rPr>
        <w:t>2019</w:t>
      </w:r>
      <w:r w:rsidR="00301920" w:rsidRPr="00A9353A">
        <w:rPr>
          <w:rFonts w:ascii="Arial" w:hAnsi="Arial" w:cs="Arial"/>
        </w:rPr>
        <w:t>, revealing that</w:t>
      </w:r>
      <w:r w:rsidRPr="00A9353A">
        <w:rPr>
          <w:rFonts w:ascii="Arial" w:hAnsi="Arial" w:cs="Arial"/>
        </w:rPr>
        <w:t xml:space="preserve"> landfilled waste declined from 60% to 50%, mismanaged waste from 30% to 20%, while incineration increased from 10% to 20%, and recycling grew from &lt;5% to 10% (OECD, 2023). Despite progress, recycling remains minimal relative to disposal methods</w:t>
      </w:r>
      <w:r w:rsidR="005564F9" w:rsidRPr="00A9353A">
        <w:rPr>
          <w:rFonts w:ascii="Arial" w:hAnsi="Arial" w:cs="Arial"/>
        </w:rPr>
        <w:t>.</w:t>
      </w:r>
    </w:p>
    <w:p w14:paraId="65BCB293" w14:textId="77777777" w:rsidR="00E31020" w:rsidRPr="00A9353A" w:rsidRDefault="00E31020" w:rsidP="008B360D">
      <w:pPr>
        <w:pStyle w:val="Body"/>
        <w:keepNext/>
        <w:jc w:val="center"/>
        <w:rPr>
          <w:rFonts w:ascii="Arial" w:hAnsi="Arial" w:cs="Arial"/>
        </w:rPr>
      </w:pPr>
      <w:r w:rsidRPr="00A9353A">
        <w:rPr>
          <w:rFonts w:ascii="Arial" w:hAnsi="Arial" w:cs="Arial"/>
          <w:noProof/>
        </w:rPr>
        <w:lastRenderedPageBreak/>
        <w:drawing>
          <wp:inline distT="0" distB="0" distL="0" distR="0" wp14:anchorId="4F6CB100" wp14:editId="103B7E81">
            <wp:extent cx="4504507" cy="2596896"/>
            <wp:effectExtent l="0" t="0" r="0" b="0"/>
            <wp:docPr id="24475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51172" name=""/>
                    <pic:cNvPicPr/>
                  </pic:nvPicPr>
                  <pic:blipFill>
                    <a:blip r:embed="rId15"/>
                    <a:stretch>
                      <a:fillRect/>
                    </a:stretch>
                  </pic:blipFill>
                  <pic:spPr>
                    <a:xfrm>
                      <a:off x="0" y="0"/>
                      <a:ext cx="4504507" cy="2596896"/>
                    </a:xfrm>
                    <a:prstGeom prst="rect">
                      <a:avLst/>
                    </a:prstGeom>
                  </pic:spPr>
                </pic:pic>
              </a:graphicData>
            </a:graphic>
          </wp:inline>
        </w:drawing>
      </w:r>
    </w:p>
    <w:p w14:paraId="24FD3407" w14:textId="6FD79FC6" w:rsidR="00EB257B" w:rsidRPr="00A9353A" w:rsidRDefault="00E31020" w:rsidP="008B360D">
      <w:pPr>
        <w:pStyle w:val="Caption"/>
        <w:rPr>
          <w:rFonts w:ascii="Arial" w:hAnsi="Arial" w:cs="Arial"/>
          <w:b/>
          <w:bCs/>
          <w:i w:val="0"/>
          <w:iCs w:val="0"/>
          <w:color w:val="auto"/>
          <w:sz w:val="20"/>
          <w:szCs w:val="22"/>
        </w:rPr>
      </w:pPr>
      <w:r w:rsidRPr="00A9353A">
        <w:rPr>
          <w:rFonts w:ascii="Arial" w:hAnsi="Arial" w:cs="Arial"/>
          <w:b/>
          <w:bCs/>
          <w:i w:val="0"/>
          <w:iCs w:val="0"/>
          <w:color w:val="auto"/>
          <w:sz w:val="20"/>
          <w:szCs w:val="22"/>
        </w:rPr>
        <w:t xml:space="preserve">Figure </w:t>
      </w:r>
      <w:r w:rsidRPr="00A9353A">
        <w:rPr>
          <w:rFonts w:ascii="Arial" w:hAnsi="Arial" w:cs="Arial"/>
          <w:b/>
          <w:bCs/>
          <w:i w:val="0"/>
          <w:iCs w:val="0"/>
          <w:color w:val="auto"/>
          <w:sz w:val="20"/>
          <w:szCs w:val="22"/>
        </w:rPr>
        <w:fldChar w:fldCharType="begin"/>
      </w:r>
      <w:r w:rsidRPr="00A9353A">
        <w:rPr>
          <w:rFonts w:ascii="Arial" w:hAnsi="Arial" w:cs="Arial"/>
          <w:b/>
          <w:bCs/>
          <w:i w:val="0"/>
          <w:iCs w:val="0"/>
          <w:color w:val="auto"/>
          <w:sz w:val="20"/>
          <w:szCs w:val="22"/>
        </w:rPr>
        <w:instrText xml:space="preserve"> SEQ Figure \* ARABIC </w:instrText>
      </w:r>
      <w:r w:rsidRPr="00A9353A">
        <w:rPr>
          <w:rFonts w:ascii="Arial" w:hAnsi="Arial" w:cs="Arial"/>
          <w:b/>
          <w:bCs/>
          <w:i w:val="0"/>
          <w:iCs w:val="0"/>
          <w:color w:val="auto"/>
          <w:sz w:val="20"/>
          <w:szCs w:val="22"/>
        </w:rPr>
        <w:fldChar w:fldCharType="separate"/>
      </w:r>
      <w:r w:rsidR="00027623" w:rsidRPr="00A9353A">
        <w:rPr>
          <w:rFonts w:ascii="Arial" w:hAnsi="Arial" w:cs="Arial"/>
          <w:b/>
          <w:bCs/>
          <w:i w:val="0"/>
          <w:iCs w:val="0"/>
          <w:noProof/>
          <w:color w:val="auto"/>
          <w:sz w:val="20"/>
          <w:szCs w:val="22"/>
        </w:rPr>
        <w:t>2</w:t>
      </w:r>
      <w:r w:rsidRPr="00A9353A">
        <w:rPr>
          <w:rFonts w:ascii="Arial" w:hAnsi="Arial" w:cs="Arial"/>
          <w:b/>
          <w:bCs/>
          <w:i w:val="0"/>
          <w:iCs w:val="0"/>
          <w:color w:val="auto"/>
          <w:sz w:val="20"/>
          <w:szCs w:val="22"/>
        </w:rPr>
        <w:fldChar w:fldCharType="end"/>
      </w:r>
      <w:r w:rsidRPr="00A9353A">
        <w:rPr>
          <w:rFonts w:ascii="Arial" w:hAnsi="Arial" w:cs="Arial"/>
          <w:b/>
          <w:bCs/>
          <w:i w:val="0"/>
          <w:iCs w:val="0"/>
          <w:color w:val="auto"/>
          <w:sz w:val="20"/>
          <w:szCs w:val="22"/>
        </w:rPr>
        <w:t>:</w:t>
      </w:r>
      <w:r w:rsidR="00B66554" w:rsidRPr="00A9353A">
        <w:rPr>
          <w:rFonts w:ascii="Arial" w:hAnsi="Arial" w:cs="Arial"/>
          <w:b/>
          <w:bCs/>
          <w:i w:val="0"/>
          <w:iCs w:val="0"/>
          <w:color w:val="auto"/>
          <w:sz w:val="20"/>
          <w:szCs w:val="22"/>
        </w:rPr>
        <w:t xml:space="preserve"> </w:t>
      </w:r>
      <w:r w:rsidRPr="00A9353A">
        <w:rPr>
          <w:rFonts w:ascii="Arial" w:hAnsi="Arial" w:cs="Arial"/>
          <w:b/>
          <w:bCs/>
          <w:i w:val="0"/>
          <w:iCs w:val="0"/>
          <w:color w:val="auto"/>
          <w:sz w:val="20"/>
          <w:szCs w:val="22"/>
        </w:rPr>
        <w:t xml:space="preserve">Global annual plastic waste by disposal method </w:t>
      </w:r>
      <w:r w:rsidR="00B62C26" w:rsidRPr="00A9353A">
        <w:rPr>
          <w:rFonts w:ascii="Arial" w:hAnsi="Arial" w:cs="Arial"/>
          <w:b/>
          <w:bCs/>
          <w:i w:val="0"/>
          <w:iCs w:val="0"/>
          <w:color w:val="auto"/>
          <w:sz w:val="20"/>
          <w:szCs w:val="22"/>
        </w:rPr>
        <w:t>(OECD, 2023)</w:t>
      </w:r>
    </w:p>
    <w:p w14:paraId="0467E7DF" w14:textId="799E7CC9" w:rsidR="007E73B6" w:rsidRPr="00A9353A" w:rsidRDefault="007E73B6" w:rsidP="00282A09">
      <w:pPr>
        <w:pStyle w:val="Body"/>
        <w:rPr>
          <w:rFonts w:ascii="Arial" w:hAnsi="Arial" w:cs="Arial"/>
          <w:b/>
          <w:sz w:val="22"/>
        </w:rPr>
      </w:pPr>
      <w:r w:rsidRPr="00A9353A">
        <w:rPr>
          <w:rFonts w:ascii="Arial" w:hAnsi="Arial" w:cs="Arial"/>
          <w:b/>
          <w:sz w:val="22"/>
        </w:rPr>
        <w:t xml:space="preserve">1.1 Recent </w:t>
      </w:r>
      <w:r w:rsidR="00301920" w:rsidRPr="00A9353A">
        <w:rPr>
          <w:rFonts w:ascii="Arial" w:hAnsi="Arial" w:cs="Arial"/>
          <w:b/>
          <w:sz w:val="22"/>
        </w:rPr>
        <w:t xml:space="preserve">Global </w:t>
      </w:r>
      <w:r w:rsidRPr="00A9353A">
        <w:rPr>
          <w:rFonts w:ascii="Arial" w:hAnsi="Arial" w:cs="Arial"/>
          <w:b/>
          <w:sz w:val="22"/>
        </w:rPr>
        <w:t>Polic</w:t>
      </w:r>
      <w:r w:rsidR="00301920" w:rsidRPr="00A9353A">
        <w:rPr>
          <w:rFonts w:ascii="Arial" w:hAnsi="Arial" w:cs="Arial"/>
          <w:b/>
          <w:sz w:val="22"/>
        </w:rPr>
        <w:t>y</w:t>
      </w:r>
      <w:r w:rsidRPr="00A9353A">
        <w:rPr>
          <w:rFonts w:ascii="Arial" w:hAnsi="Arial" w:cs="Arial"/>
          <w:b/>
          <w:sz w:val="22"/>
        </w:rPr>
        <w:t xml:space="preserve"> </w:t>
      </w:r>
      <w:r w:rsidR="00301920" w:rsidRPr="00A9353A">
        <w:rPr>
          <w:rFonts w:ascii="Arial" w:hAnsi="Arial" w:cs="Arial"/>
          <w:b/>
          <w:sz w:val="22"/>
        </w:rPr>
        <w:t>Responses</w:t>
      </w:r>
      <w:r w:rsidRPr="00A9353A">
        <w:rPr>
          <w:rFonts w:ascii="Arial" w:hAnsi="Arial" w:cs="Arial"/>
          <w:b/>
          <w:sz w:val="22"/>
        </w:rPr>
        <w:t xml:space="preserve"> to Plastic Use and Recycling</w:t>
      </w:r>
    </w:p>
    <w:p w14:paraId="28BF3759" w14:textId="477E2C91" w:rsidR="00686C6E" w:rsidRPr="00A9353A" w:rsidRDefault="007E73B6" w:rsidP="00686C6E">
      <w:pPr>
        <w:pStyle w:val="Body"/>
        <w:rPr>
          <w:rFonts w:ascii="Arial" w:hAnsi="Arial" w:cs="Arial"/>
        </w:rPr>
      </w:pPr>
      <w:r w:rsidRPr="00A9353A">
        <w:rPr>
          <w:rFonts w:ascii="Arial" w:hAnsi="Arial" w:cs="Arial"/>
        </w:rPr>
        <w:t xml:space="preserve">The escalating global plastic pollution crisis has catalysed unprecedented international policy developments and collaborative frameworks aimed at addressing plastic waste management. </w:t>
      </w:r>
      <w:r w:rsidR="008B360D" w:rsidRPr="00A9353A">
        <w:rPr>
          <w:rFonts w:ascii="Arial" w:hAnsi="Arial" w:cs="Arial"/>
        </w:rPr>
        <w:t xml:space="preserve">A landmark development was the adoption of </w:t>
      </w:r>
      <w:r w:rsidRPr="00A9353A">
        <w:rPr>
          <w:rFonts w:ascii="Arial" w:hAnsi="Arial" w:cs="Arial"/>
        </w:rPr>
        <w:t xml:space="preserve">the Fifth United Nations Environment Assembly (UNEA-5.2) resolution </w:t>
      </w:r>
      <w:r w:rsidR="008B360D" w:rsidRPr="00A9353A">
        <w:rPr>
          <w:rFonts w:ascii="Arial" w:hAnsi="Arial" w:cs="Arial"/>
        </w:rPr>
        <w:t>“</w:t>
      </w:r>
      <w:r w:rsidRPr="00A9353A">
        <w:rPr>
          <w:rFonts w:ascii="Arial" w:hAnsi="Arial" w:cs="Arial"/>
        </w:rPr>
        <w:t>End Plastic Pollution: Towards an International Legally Binding Instrument</w:t>
      </w:r>
      <w:r w:rsidR="008B360D" w:rsidRPr="00A9353A">
        <w:rPr>
          <w:rFonts w:ascii="Arial" w:hAnsi="Arial" w:cs="Arial"/>
        </w:rPr>
        <w:t>”</w:t>
      </w:r>
      <w:r w:rsidRPr="00A9353A">
        <w:rPr>
          <w:rFonts w:ascii="Arial" w:hAnsi="Arial" w:cs="Arial"/>
        </w:rPr>
        <w:t xml:space="preserve"> in March 2022, mandat</w:t>
      </w:r>
      <w:r w:rsidR="008B360D" w:rsidRPr="00A9353A">
        <w:rPr>
          <w:rFonts w:ascii="Arial" w:hAnsi="Arial" w:cs="Arial"/>
        </w:rPr>
        <w:t>ing</w:t>
      </w:r>
      <w:r w:rsidRPr="00A9353A">
        <w:rPr>
          <w:rFonts w:ascii="Arial" w:hAnsi="Arial" w:cs="Arial"/>
        </w:rPr>
        <w:t xml:space="preserve"> the development of a legally binding global plastics treaty by 2024 (Raubenheimer </w:t>
      </w:r>
      <w:r w:rsidR="008B360D" w:rsidRPr="00A9353A">
        <w:rPr>
          <w:rFonts w:ascii="Arial" w:hAnsi="Arial" w:cs="Arial"/>
        </w:rPr>
        <w:t>and</w:t>
      </w:r>
      <w:r w:rsidRPr="00A9353A">
        <w:rPr>
          <w:rFonts w:ascii="Arial" w:hAnsi="Arial" w:cs="Arial"/>
        </w:rPr>
        <w:t xml:space="preserve"> Urho, 2020; </w:t>
      </w:r>
      <w:r w:rsidR="006B7371" w:rsidRPr="00A9353A">
        <w:rPr>
          <w:rFonts w:ascii="Arial" w:hAnsi="Arial" w:cs="Arial"/>
        </w:rPr>
        <w:t xml:space="preserve">NCM, 2020; </w:t>
      </w:r>
      <w:r w:rsidRPr="00A9353A">
        <w:rPr>
          <w:rFonts w:ascii="Arial" w:hAnsi="Arial" w:cs="Arial"/>
        </w:rPr>
        <w:t>UNEP, 2022</w:t>
      </w:r>
      <w:r w:rsidR="00590DF0" w:rsidRPr="00A9353A">
        <w:rPr>
          <w:rFonts w:ascii="Arial" w:hAnsi="Arial" w:cs="Arial"/>
        </w:rPr>
        <w:t>; Simon et al., 2021</w:t>
      </w:r>
      <w:r w:rsidR="008A3FC2" w:rsidRPr="00A9353A">
        <w:rPr>
          <w:rFonts w:ascii="Arial" w:hAnsi="Arial" w:cs="Arial"/>
        </w:rPr>
        <w:t xml:space="preserve">; Wang </w:t>
      </w:r>
      <w:r w:rsidR="008B360D" w:rsidRPr="00A9353A">
        <w:rPr>
          <w:rFonts w:ascii="Arial" w:hAnsi="Arial" w:cs="Arial"/>
        </w:rPr>
        <w:t>and</w:t>
      </w:r>
      <w:r w:rsidR="008A3FC2" w:rsidRPr="00A9353A">
        <w:rPr>
          <w:rFonts w:ascii="Arial" w:hAnsi="Arial" w:cs="Arial"/>
        </w:rPr>
        <w:t xml:space="preserve"> Praetorius, 2022</w:t>
      </w:r>
      <w:r w:rsidR="006B7371" w:rsidRPr="00A9353A">
        <w:rPr>
          <w:rFonts w:ascii="Arial" w:hAnsi="Arial" w:cs="Arial"/>
        </w:rPr>
        <w:t>; Baršauskaitė et al., 2025)</w:t>
      </w:r>
      <w:r w:rsidRPr="00A9353A">
        <w:rPr>
          <w:rFonts w:ascii="Arial" w:hAnsi="Arial" w:cs="Arial"/>
        </w:rPr>
        <w:t xml:space="preserve">. </w:t>
      </w:r>
      <w:r w:rsidR="008B360D" w:rsidRPr="00A9353A">
        <w:rPr>
          <w:rFonts w:ascii="Arial" w:hAnsi="Arial" w:cs="Arial"/>
        </w:rPr>
        <w:t>According to OECD (2024), coordinated global policies targeting the entire plastics lifecycle could cut plastic leakage substantially by 2040 through improved waste management, optimised recycling, and reduced virgin plastic production</w:t>
      </w:r>
      <w:r w:rsidRPr="00A9353A">
        <w:rPr>
          <w:rFonts w:ascii="Arial" w:hAnsi="Arial" w:cs="Arial"/>
        </w:rPr>
        <w:t xml:space="preserve">. </w:t>
      </w:r>
      <w:r w:rsidR="00686C6E" w:rsidRPr="00A9353A">
        <w:rPr>
          <w:rFonts w:ascii="Arial" w:hAnsi="Arial" w:cs="Arial"/>
        </w:rPr>
        <w:t xml:space="preserve">Key strategies capable of eliminating over 90% of mismanaged plastic waste by 2050 include recycled content mandates, production caps, infrastructure investment, and packaging fees (Lau et al., 2020; Ncube et al., 2021; </w:t>
      </w:r>
      <w:proofErr w:type="spellStart"/>
      <w:r w:rsidR="00686C6E" w:rsidRPr="00A9353A">
        <w:rPr>
          <w:rFonts w:ascii="Arial" w:hAnsi="Arial" w:cs="Arial"/>
        </w:rPr>
        <w:t>Dokl</w:t>
      </w:r>
      <w:proofErr w:type="spellEnd"/>
      <w:r w:rsidR="00686C6E" w:rsidRPr="00A9353A">
        <w:rPr>
          <w:rFonts w:ascii="Arial" w:hAnsi="Arial" w:cs="Arial"/>
        </w:rPr>
        <w:t xml:space="preserve"> et al., 2024).</w:t>
      </w:r>
    </w:p>
    <w:p w14:paraId="79E32FDE" w14:textId="3A26F874" w:rsidR="009B756B" w:rsidRPr="00A9353A" w:rsidRDefault="00686C6E" w:rsidP="00282A09">
      <w:pPr>
        <w:pStyle w:val="Body"/>
        <w:rPr>
          <w:rFonts w:ascii="Arial" w:hAnsi="Arial" w:cs="Arial"/>
        </w:rPr>
        <w:sectPr w:rsidR="009B756B" w:rsidRPr="00A9353A" w:rsidSect="005140F8">
          <w:headerReference w:type="even" r:id="rId16"/>
          <w:headerReference w:type="default" r:id="rId17"/>
          <w:footerReference w:type="default" r:id="rId18"/>
          <w:headerReference w:type="first" r:id="rId19"/>
          <w:type w:val="continuous"/>
          <w:pgSz w:w="12240" w:h="15840"/>
          <w:pgMar w:top="1440" w:right="1530" w:bottom="2016" w:left="2016" w:header="720" w:footer="1123" w:gutter="0"/>
          <w:cols w:space="720"/>
          <w:docGrid w:linePitch="272"/>
        </w:sectPr>
      </w:pPr>
      <w:r w:rsidRPr="00A9353A">
        <w:rPr>
          <w:rFonts w:ascii="Arial" w:hAnsi="Arial" w:cs="Arial"/>
        </w:rPr>
        <w:t>Table 1 outlines 19 key policies from various regions, including Kenya's plastic bag ban with $40,000 fines (UNEP, 2017), the EU's target for all plastic packaging to be recyclable by 2030 (European Commission, 2018), China's National Sword Policy restricting waste imports (State Council of China, 2018), and the global UN Plastics Treaty negotiations (UNEP, 2022).</w:t>
      </w:r>
    </w:p>
    <w:p w14:paraId="3E7D0E06" w14:textId="3023AB1C" w:rsidR="00B66554" w:rsidRPr="00A9353A" w:rsidRDefault="00B66554" w:rsidP="00B66554">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lastRenderedPageBreak/>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1</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xml:space="preserve">: </w:t>
      </w:r>
      <w:r w:rsidR="005A62FB" w:rsidRPr="00A9353A">
        <w:rPr>
          <w:rFonts w:ascii="Arial" w:hAnsi="Arial" w:cs="Arial"/>
          <w:b/>
          <w:i w:val="0"/>
          <w:iCs w:val="0"/>
          <w:color w:val="auto"/>
          <w:sz w:val="20"/>
          <w:szCs w:val="20"/>
        </w:rPr>
        <w:t xml:space="preserve">Key global policies and programmes on </w:t>
      </w:r>
      <w:r w:rsidR="006961F8" w:rsidRPr="00A9353A">
        <w:rPr>
          <w:rFonts w:ascii="Arial" w:hAnsi="Arial" w:cs="Arial"/>
          <w:b/>
          <w:i w:val="0"/>
          <w:iCs w:val="0"/>
          <w:color w:val="auto"/>
          <w:sz w:val="20"/>
          <w:szCs w:val="20"/>
        </w:rPr>
        <w:t>plastics</w:t>
      </w:r>
    </w:p>
    <w:tbl>
      <w:tblPr>
        <w:tblStyle w:val="PlainTable2"/>
        <w:tblW w:w="0" w:type="auto"/>
        <w:tblLayout w:type="fixed"/>
        <w:tblLook w:val="04A0" w:firstRow="1" w:lastRow="0" w:firstColumn="1" w:lastColumn="0" w:noHBand="0" w:noVBand="1"/>
      </w:tblPr>
      <w:tblGrid>
        <w:gridCol w:w="564"/>
        <w:gridCol w:w="1074"/>
        <w:gridCol w:w="2970"/>
        <w:gridCol w:w="2070"/>
        <w:gridCol w:w="3245"/>
        <w:gridCol w:w="2410"/>
      </w:tblGrid>
      <w:tr w:rsidR="009B756B" w:rsidRPr="00A9353A" w14:paraId="527C551E" w14:textId="77777777" w:rsidTr="00262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14:paraId="7BB2ED00" w14:textId="3E36683D" w:rsidR="0076417C" w:rsidRPr="00A9353A" w:rsidRDefault="0076417C" w:rsidP="00B333AB">
            <w:pPr>
              <w:pStyle w:val="Body"/>
              <w:spacing w:after="120"/>
              <w:rPr>
                <w:rFonts w:ascii="Arial" w:hAnsi="Arial" w:cs="Arial"/>
                <w:sz w:val="18"/>
                <w:szCs w:val="18"/>
              </w:rPr>
            </w:pPr>
            <w:r w:rsidRPr="00A9353A">
              <w:rPr>
                <w:rFonts w:ascii="Arial" w:hAnsi="Arial" w:cs="Arial"/>
                <w:sz w:val="18"/>
                <w:szCs w:val="18"/>
              </w:rPr>
              <w:t>S/N</w:t>
            </w:r>
          </w:p>
        </w:tc>
        <w:tc>
          <w:tcPr>
            <w:tcW w:w="1074" w:type="dxa"/>
          </w:tcPr>
          <w:p w14:paraId="1A3B02CD" w14:textId="258210B4" w:rsidR="0076417C" w:rsidRPr="00A9353A"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Region </w:t>
            </w:r>
          </w:p>
        </w:tc>
        <w:tc>
          <w:tcPr>
            <w:tcW w:w="2970" w:type="dxa"/>
          </w:tcPr>
          <w:p w14:paraId="64E7383B" w14:textId="6C621EF8" w:rsidR="0076417C" w:rsidRPr="00A9353A"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Policy</w:t>
            </w:r>
          </w:p>
        </w:tc>
        <w:tc>
          <w:tcPr>
            <w:tcW w:w="2070" w:type="dxa"/>
          </w:tcPr>
          <w:p w14:paraId="15650D66" w14:textId="01C6D9CC" w:rsidR="0076417C" w:rsidRPr="00A9353A"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Focus</w:t>
            </w:r>
          </w:p>
        </w:tc>
        <w:tc>
          <w:tcPr>
            <w:tcW w:w="3245" w:type="dxa"/>
          </w:tcPr>
          <w:p w14:paraId="60BFACFD" w14:textId="1AFAB181" w:rsidR="0076417C" w:rsidRPr="00A9353A"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Objective</w:t>
            </w:r>
          </w:p>
        </w:tc>
        <w:tc>
          <w:tcPr>
            <w:tcW w:w="2410" w:type="dxa"/>
          </w:tcPr>
          <w:p w14:paraId="345C42D3" w14:textId="09C79E96" w:rsidR="0076417C" w:rsidRPr="00A9353A" w:rsidRDefault="0076417C" w:rsidP="00B333AB">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Reference</w:t>
            </w:r>
          </w:p>
        </w:tc>
      </w:tr>
      <w:tr w:rsidR="009B756B" w:rsidRPr="00A9353A" w14:paraId="374914E5" w14:textId="77777777" w:rsidTr="00262E0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4" w:type="dxa"/>
            <w:tcBorders>
              <w:bottom w:val="nil"/>
            </w:tcBorders>
          </w:tcPr>
          <w:p w14:paraId="06DA5025" w14:textId="64438517" w:rsidR="0076417C" w:rsidRPr="00A9353A" w:rsidRDefault="00FF4D19" w:rsidP="002D6983">
            <w:pPr>
              <w:pStyle w:val="Body"/>
              <w:spacing w:after="120" w:line="228" w:lineRule="auto"/>
              <w:jc w:val="left"/>
              <w:rPr>
                <w:rFonts w:ascii="Arial" w:hAnsi="Arial" w:cs="Arial"/>
                <w:sz w:val="18"/>
                <w:szCs w:val="18"/>
              </w:rPr>
            </w:pPr>
            <w:r w:rsidRPr="00A9353A">
              <w:rPr>
                <w:rFonts w:ascii="Arial" w:hAnsi="Arial" w:cs="Arial"/>
                <w:sz w:val="18"/>
                <w:szCs w:val="18"/>
              </w:rPr>
              <w:t>1</w:t>
            </w:r>
          </w:p>
        </w:tc>
        <w:tc>
          <w:tcPr>
            <w:tcW w:w="1074" w:type="dxa"/>
            <w:tcBorders>
              <w:bottom w:val="nil"/>
            </w:tcBorders>
          </w:tcPr>
          <w:p w14:paraId="004152AB" w14:textId="176998FC"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Kenya</w:t>
            </w:r>
          </w:p>
        </w:tc>
        <w:tc>
          <w:tcPr>
            <w:tcW w:w="2970" w:type="dxa"/>
            <w:tcBorders>
              <w:bottom w:val="nil"/>
            </w:tcBorders>
          </w:tcPr>
          <w:p w14:paraId="650D1893" w14:textId="4F96EB11"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Ban on Plastic Carrier Bags</w:t>
            </w:r>
          </w:p>
        </w:tc>
        <w:tc>
          <w:tcPr>
            <w:tcW w:w="2070" w:type="dxa"/>
            <w:tcBorders>
              <w:bottom w:val="nil"/>
            </w:tcBorders>
          </w:tcPr>
          <w:p w14:paraId="4274B0EC" w14:textId="74EF4DCC"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Single-use plastic ban</w:t>
            </w:r>
          </w:p>
        </w:tc>
        <w:tc>
          <w:tcPr>
            <w:tcW w:w="3245" w:type="dxa"/>
            <w:tcBorders>
              <w:bottom w:val="nil"/>
            </w:tcBorders>
          </w:tcPr>
          <w:p w14:paraId="11B416B8" w14:textId="7440A333"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Complete prohibition of plastic bags &lt;50 microns; fines up to $40,000.00</w:t>
            </w:r>
          </w:p>
        </w:tc>
        <w:tc>
          <w:tcPr>
            <w:tcW w:w="2410" w:type="dxa"/>
            <w:tcBorders>
              <w:bottom w:val="nil"/>
            </w:tcBorders>
          </w:tcPr>
          <w:p w14:paraId="44D8412C" w14:textId="788DA9CA" w:rsidR="0076417C" w:rsidRPr="00A9353A" w:rsidRDefault="00F770D1"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UNEP (2017); Goitom (2017)</w:t>
            </w:r>
          </w:p>
        </w:tc>
      </w:tr>
      <w:tr w:rsidR="009B756B" w:rsidRPr="00A9353A" w14:paraId="62F7387C" w14:textId="77777777" w:rsidTr="00262E0F">
        <w:trPr>
          <w:trHeight w:val="9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09B35BDA" w14:textId="0D55C01E" w:rsidR="0076417C" w:rsidRPr="00A9353A" w:rsidRDefault="00FF4D19" w:rsidP="002D6983">
            <w:pPr>
              <w:pStyle w:val="Body"/>
              <w:spacing w:after="120" w:line="228" w:lineRule="auto"/>
              <w:jc w:val="left"/>
              <w:rPr>
                <w:rFonts w:ascii="Arial" w:hAnsi="Arial" w:cs="Arial"/>
                <w:sz w:val="18"/>
                <w:szCs w:val="18"/>
              </w:rPr>
            </w:pPr>
            <w:r w:rsidRPr="00A9353A">
              <w:rPr>
                <w:rFonts w:ascii="Arial" w:hAnsi="Arial" w:cs="Arial"/>
                <w:sz w:val="18"/>
                <w:szCs w:val="18"/>
              </w:rPr>
              <w:t>2</w:t>
            </w:r>
          </w:p>
        </w:tc>
        <w:tc>
          <w:tcPr>
            <w:tcW w:w="1074" w:type="dxa"/>
            <w:tcBorders>
              <w:top w:val="nil"/>
              <w:bottom w:val="nil"/>
            </w:tcBorders>
          </w:tcPr>
          <w:p w14:paraId="40D778B0" w14:textId="19C49424" w:rsidR="0076417C"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Rwanda</w:t>
            </w:r>
          </w:p>
        </w:tc>
        <w:tc>
          <w:tcPr>
            <w:tcW w:w="2970" w:type="dxa"/>
            <w:tcBorders>
              <w:top w:val="nil"/>
              <w:bottom w:val="nil"/>
            </w:tcBorders>
          </w:tcPr>
          <w:p w14:paraId="253DBE26" w14:textId="253F84AA" w:rsidR="0076417C" w:rsidRPr="00A9353A" w:rsidRDefault="0086705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ban on manufacturing, importation, use and sale of plastic carry bags and single-use plastic items</w:t>
            </w:r>
          </w:p>
        </w:tc>
        <w:tc>
          <w:tcPr>
            <w:tcW w:w="2070" w:type="dxa"/>
            <w:tcBorders>
              <w:top w:val="nil"/>
              <w:bottom w:val="nil"/>
            </w:tcBorders>
          </w:tcPr>
          <w:p w14:paraId="4CB472D9" w14:textId="4B84CC5D" w:rsidR="0076417C"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Plastic bag prohibition</w:t>
            </w:r>
            <w:r w:rsidR="00867055" w:rsidRPr="00A9353A">
              <w:rPr>
                <w:rFonts w:ascii="Arial" w:hAnsi="Arial" w:cs="Arial"/>
                <w:sz w:val="18"/>
                <w:szCs w:val="18"/>
              </w:rPr>
              <w:t>, plastic carry bags and single</w:t>
            </w:r>
            <w:r w:rsidR="00867055" w:rsidRPr="00A9353A">
              <w:rPr>
                <w:rFonts w:ascii="Arial" w:hAnsi="Arial" w:cs="Arial"/>
                <w:sz w:val="18"/>
                <w:szCs w:val="18"/>
              </w:rPr>
              <w:noBreakHyphen/>
              <w:t>use plastic items</w:t>
            </w:r>
          </w:p>
        </w:tc>
        <w:tc>
          <w:tcPr>
            <w:tcW w:w="3245" w:type="dxa"/>
            <w:tcBorders>
              <w:top w:val="nil"/>
              <w:bottom w:val="nil"/>
            </w:tcBorders>
          </w:tcPr>
          <w:p w14:paraId="41A6CDC4" w14:textId="6994A516" w:rsidR="0076417C"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Total ban on plastic bags; import and use restrictions</w:t>
            </w:r>
          </w:p>
        </w:tc>
        <w:tc>
          <w:tcPr>
            <w:tcW w:w="2410" w:type="dxa"/>
            <w:tcBorders>
              <w:top w:val="nil"/>
              <w:bottom w:val="nil"/>
            </w:tcBorders>
          </w:tcPr>
          <w:p w14:paraId="3730B75D" w14:textId="4DA5F5F8" w:rsidR="00867055"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Republic of Rwanda Law No. </w:t>
            </w:r>
            <w:r w:rsidR="00867055" w:rsidRPr="00A9353A">
              <w:rPr>
                <w:rFonts w:ascii="Arial" w:hAnsi="Arial" w:cs="Arial"/>
                <w:sz w:val="18"/>
                <w:szCs w:val="18"/>
              </w:rPr>
              <w:t>17</w:t>
            </w:r>
            <w:r w:rsidRPr="00A9353A">
              <w:rPr>
                <w:rFonts w:ascii="Arial" w:hAnsi="Arial" w:cs="Arial"/>
                <w:sz w:val="18"/>
                <w:szCs w:val="18"/>
              </w:rPr>
              <w:t>/201</w:t>
            </w:r>
            <w:r w:rsidR="00867055" w:rsidRPr="00A9353A">
              <w:rPr>
                <w:rFonts w:ascii="Arial" w:hAnsi="Arial" w:cs="Arial"/>
                <w:sz w:val="18"/>
                <w:szCs w:val="18"/>
              </w:rPr>
              <w:t>9 (UNEP, 2019)</w:t>
            </w:r>
          </w:p>
        </w:tc>
      </w:tr>
      <w:tr w:rsidR="009B756B" w:rsidRPr="00A9353A" w14:paraId="24C12AE1" w14:textId="77777777" w:rsidTr="00262E0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13ED4BF" w14:textId="2DB7E809" w:rsidR="0076417C" w:rsidRPr="00A9353A" w:rsidRDefault="00FF4D19" w:rsidP="002D6983">
            <w:pPr>
              <w:pStyle w:val="Body"/>
              <w:spacing w:after="120" w:line="228" w:lineRule="auto"/>
              <w:jc w:val="left"/>
              <w:rPr>
                <w:rFonts w:ascii="Arial" w:hAnsi="Arial" w:cs="Arial"/>
                <w:sz w:val="18"/>
                <w:szCs w:val="18"/>
              </w:rPr>
            </w:pPr>
            <w:r w:rsidRPr="00A9353A">
              <w:rPr>
                <w:rFonts w:ascii="Arial" w:hAnsi="Arial" w:cs="Arial"/>
                <w:sz w:val="18"/>
                <w:szCs w:val="18"/>
              </w:rPr>
              <w:t>3</w:t>
            </w:r>
          </w:p>
        </w:tc>
        <w:tc>
          <w:tcPr>
            <w:tcW w:w="1074" w:type="dxa"/>
            <w:tcBorders>
              <w:top w:val="nil"/>
              <w:bottom w:val="nil"/>
            </w:tcBorders>
          </w:tcPr>
          <w:p w14:paraId="22748C37" w14:textId="14CB96F7"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South Africa</w:t>
            </w:r>
          </w:p>
        </w:tc>
        <w:tc>
          <w:tcPr>
            <w:tcW w:w="2970" w:type="dxa"/>
            <w:tcBorders>
              <w:top w:val="nil"/>
              <w:bottom w:val="nil"/>
            </w:tcBorders>
          </w:tcPr>
          <w:p w14:paraId="6C33D1E0" w14:textId="226D6BFD"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Extended Producer Responsibility</w:t>
            </w:r>
            <w:r w:rsidR="00B84BD1" w:rsidRPr="00A9353A">
              <w:rPr>
                <w:rFonts w:ascii="Arial" w:hAnsi="Arial" w:cs="Arial"/>
                <w:sz w:val="18"/>
                <w:szCs w:val="18"/>
              </w:rPr>
              <w:t xml:space="preserve"> (EPR)</w:t>
            </w:r>
            <w:r w:rsidRPr="00A9353A">
              <w:rPr>
                <w:rFonts w:ascii="Arial" w:hAnsi="Arial" w:cs="Arial"/>
                <w:sz w:val="18"/>
                <w:szCs w:val="18"/>
              </w:rPr>
              <w:t xml:space="preserve"> Regulations</w:t>
            </w:r>
          </w:p>
        </w:tc>
        <w:tc>
          <w:tcPr>
            <w:tcW w:w="2070" w:type="dxa"/>
            <w:tcBorders>
              <w:top w:val="nil"/>
              <w:bottom w:val="nil"/>
            </w:tcBorders>
          </w:tcPr>
          <w:p w14:paraId="1B076B8C" w14:textId="698C7C73" w:rsidR="0076417C" w:rsidRPr="00A9353A" w:rsidRDefault="00B84BD1"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Producers and importers of packaging materials</w:t>
            </w:r>
          </w:p>
        </w:tc>
        <w:tc>
          <w:tcPr>
            <w:tcW w:w="3245" w:type="dxa"/>
            <w:tcBorders>
              <w:top w:val="nil"/>
              <w:bottom w:val="nil"/>
            </w:tcBorders>
          </w:tcPr>
          <w:p w14:paraId="06B5A65D" w14:textId="3254C8E7"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Mandatory EPR for packaging including plastics; recycling targets by material type</w:t>
            </w:r>
          </w:p>
        </w:tc>
        <w:tc>
          <w:tcPr>
            <w:tcW w:w="2410" w:type="dxa"/>
            <w:tcBorders>
              <w:top w:val="nil"/>
              <w:bottom w:val="nil"/>
            </w:tcBorders>
          </w:tcPr>
          <w:p w14:paraId="01BC02B9" w14:textId="2D3F1D62" w:rsidR="00FF4D19" w:rsidRPr="00A9353A" w:rsidRDefault="00622703" w:rsidP="002D6983">
            <w:pPr>
              <w:spacing w:after="120" w:line="228"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Republic of South Africa DFFE (2021)</w:t>
            </w:r>
          </w:p>
        </w:tc>
      </w:tr>
      <w:tr w:rsidR="009B756B" w:rsidRPr="00A9353A" w14:paraId="15486ABC" w14:textId="77777777" w:rsidTr="00262E0F">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2196D202" w14:textId="034D7066" w:rsidR="0076417C" w:rsidRPr="00A9353A" w:rsidRDefault="00FF4D19" w:rsidP="002D6983">
            <w:pPr>
              <w:pStyle w:val="Body"/>
              <w:spacing w:after="120" w:line="228" w:lineRule="auto"/>
              <w:jc w:val="left"/>
              <w:rPr>
                <w:rFonts w:ascii="Arial" w:hAnsi="Arial" w:cs="Arial"/>
                <w:sz w:val="18"/>
                <w:szCs w:val="18"/>
              </w:rPr>
            </w:pPr>
            <w:r w:rsidRPr="00A9353A">
              <w:rPr>
                <w:rFonts w:ascii="Arial" w:hAnsi="Arial" w:cs="Arial"/>
                <w:sz w:val="18"/>
                <w:szCs w:val="18"/>
              </w:rPr>
              <w:t>4</w:t>
            </w:r>
          </w:p>
        </w:tc>
        <w:tc>
          <w:tcPr>
            <w:tcW w:w="1074" w:type="dxa"/>
            <w:tcBorders>
              <w:top w:val="nil"/>
              <w:bottom w:val="nil"/>
            </w:tcBorders>
          </w:tcPr>
          <w:p w14:paraId="32036028" w14:textId="20E63EAF" w:rsidR="0076417C"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Nigeria</w:t>
            </w:r>
          </w:p>
        </w:tc>
        <w:tc>
          <w:tcPr>
            <w:tcW w:w="2970" w:type="dxa"/>
            <w:tcBorders>
              <w:top w:val="nil"/>
              <w:bottom w:val="nil"/>
            </w:tcBorders>
          </w:tcPr>
          <w:p w14:paraId="468CB8AB" w14:textId="69CF5BB0" w:rsidR="0076417C" w:rsidRPr="00A9353A" w:rsidRDefault="00C86E2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Nigerian Maritime Administration and Safety Agency (NIMASA) </w:t>
            </w:r>
            <w:r w:rsidR="00FF4D19" w:rsidRPr="00A9353A">
              <w:rPr>
                <w:rFonts w:ascii="Arial" w:hAnsi="Arial" w:cs="Arial"/>
                <w:sz w:val="18"/>
                <w:szCs w:val="18"/>
              </w:rPr>
              <w:t>Action Plan on Marine Litter</w:t>
            </w:r>
            <w:r w:rsidR="00622703" w:rsidRPr="00A9353A">
              <w:rPr>
                <w:rFonts w:ascii="Arial" w:hAnsi="Arial" w:cs="Arial"/>
                <w:sz w:val="18"/>
                <w:szCs w:val="18"/>
              </w:rPr>
              <w:t xml:space="preserve"> and Micro Plastics management; Lagos State </w:t>
            </w:r>
            <w:r w:rsidRPr="00A9353A">
              <w:rPr>
                <w:rFonts w:ascii="Arial" w:hAnsi="Arial" w:cs="Arial"/>
                <w:sz w:val="18"/>
                <w:szCs w:val="18"/>
              </w:rPr>
              <w:t>prohibition of</w:t>
            </w:r>
            <w:r w:rsidR="00622703" w:rsidRPr="00A9353A">
              <w:rPr>
                <w:rFonts w:ascii="Arial" w:hAnsi="Arial" w:cs="Arial"/>
                <w:sz w:val="18"/>
                <w:szCs w:val="18"/>
              </w:rPr>
              <w:t xml:space="preserve"> use and distribution of Styrofoam and other single-use plastics (SUPs)</w:t>
            </w:r>
          </w:p>
        </w:tc>
        <w:tc>
          <w:tcPr>
            <w:tcW w:w="2070" w:type="dxa"/>
            <w:tcBorders>
              <w:top w:val="nil"/>
              <w:bottom w:val="nil"/>
            </w:tcBorders>
          </w:tcPr>
          <w:p w14:paraId="1F9565AB" w14:textId="177BD9EE" w:rsidR="0076417C" w:rsidRPr="00A9353A" w:rsidRDefault="00622703"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m</w:t>
            </w:r>
            <w:r w:rsidR="00FF4D19" w:rsidRPr="00A9353A">
              <w:rPr>
                <w:rFonts w:ascii="Arial" w:hAnsi="Arial" w:cs="Arial"/>
                <w:sz w:val="18"/>
                <w:szCs w:val="18"/>
              </w:rPr>
              <w:t>arine pollution reduction</w:t>
            </w:r>
            <w:r w:rsidRPr="00A9353A">
              <w:rPr>
                <w:rFonts w:ascii="Arial" w:hAnsi="Arial" w:cs="Arial"/>
                <w:sz w:val="18"/>
                <w:szCs w:val="18"/>
              </w:rPr>
              <w:t>; Lagos State ban on single-use plastics</w:t>
            </w:r>
          </w:p>
        </w:tc>
        <w:tc>
          <w:tcPr>
            <w:tcW w:w="3245" w:type="dxa"/>
            <w:tcBorders>
              <w:top w:val="nil"/>
              <w:bottom w:val="nil"/>
            </w:tcBorders>
          </w:tcPr>
          <w:p w14:paraId="416A1A07" w14:textId="68A519D2" w:rsidR="0076417C" w:rsidRPr="00A9353A" w:rsidRDefault="00FF4D19"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Reduce plastic marine litter; improve waste management systems</w:t>
            </w:r>
          </w:p>
        </w:tc>
        <w:tc>
          <w:tcPr>
            <w:tcW w:w="2410" w:type="dxa"/>
            <w:tcBorders>
              <w:top w:val="nil"/>
              <w:bottom w:val="nil"/>
            </w:tcBorders>
          </w:tcPr>
          <w:p w14:paraId="1E754E45" w14:textId="78FEF22D" w:rsidR="00C86E26" w:rsidRPr="00A9353A" w:rsidRDefault="00C86E2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NIMASA’s Marine Litters and Micro Plastic Action Plan </w:t>
            </w:r>
            <w:r w:rsidR="00B03AEF" w:rsidRPr="00A9353A">
              <w:rPr>
                <w:rFonts w:ascii="Arial" w:hAnsi="Arial" w:cs="Arial"/>
                <w:sz w:val="18"/>
                <w:szCs w:val="18"/>
              </w:rPr>
              <w:t>(</w:t>
            </w:r>
            <w:proofErr w:type="spellStart"/>
            <w:r w:rsidR="00B03AEF" w:rsidRPr="00A9353A">
              <w:rPr>
                <w:rFonts w:ascii="Arial" w:hAnsi="Arial" w:cs="Arial"/>
                <w:sz w:val="18"/>
                <w:szCs w:val="18"/>
              </w:rPr>
              <w:t>Anagor-Ewuzie</w:t>
            </w:r>
            <w:proofErr w:type="spellEnd"/>
            <w:r w:rsidR="00B03AEF" w:rsidRPr="00A9353A">
              <w:rPr>
                <w:rFonts w:ascii="Arial" w:hAnsi="Arial" w:cs="Arial"/>
                <w:sz w:val="18"/>
                <w:szCs w:val="18"/>
              </w:rPr>
              <w:t xml:space="preserve">, 2020; </w:t>
            </w:r>
            <w:proofErr w:type="spellStart"/>
            <w:r w:rsidRPr="00A9353A">
              <w:rPr>
                <w:rFonts w:ascii="Arial" w:hAnsi="Arial" w:cs="Arial"/>
                <w:sz w:val="18"/>
                <w:szCs w:val="18"/>
              </w:rPr>
              <w:t>Jamoh</w:t>
            </w:r>
            <w:proofErr w:type="spellEnd"/>
            <w:r w:rsidRPr="00A9353A">
              <w:rPr>
                <w:rFonts w:ascii="Arial" w:hAnsi="Arial" w:cs="Arial"/>
                <w:sz w:val="18"/>
                <w:szCs w:val="18"/>
              </w:rPr>
              <w:t xml:space="preserve">, 2021); </w:t>
            </w:r>
            <w:r w:rsidR="00FE31D9" w:rsidRPr="00A9353A">
              <w:rPr>
                <w:rFonts w:ascii="Arial" w:hAnsi="Arial" w:cs="Arial"/>
                <w:sz w:val="18"/>
                <w:szCs w:val="18"/>
              </w:rPr>
              <w:t xml:space="preserve">Lagos State ban on plastics </w:t>
            </w:r>
            <w:r w:rsidRPr="00A9353A">
              <w:rPr>
                <w:rFonts w:ascii="Arial" w:hAnsi="Arial" w:cs="Arial"/>
                <w:sz w:val="18"/>
                <w:szCs w:val="18"/>
              </w:rPr>
              <w:t>(</w:t>
            </w:r>
            <w:proofErr w:type="spellStart"/>
            <w:r w:rsidRPr="00A9353A">
              <w:rPr>
                <w:rFonts w:ascii="Arial" w:hAnsi="Arial" w:cs="Arial"/>
                <w:sz w:val="18"/>
                <w:szCs w:val="18"/>
              </w:rPr>
              <w:t>Ozibo</w:t>
            </w:r>
            <w:proofErr w:type="spellEnd"/>
            <w:r w:rsidRPr="00A9353A">
              <w:rPr>
                <w:rFonts w:ascii="Arial" w:hAnsi="Arial" w:cs="Arial"/>
                <w:sz w:val="18"/>
                <w:szCs w:val="18"/>
              </w:rPr>
              <w:t>, 2025)</w:t>
            </w:r>
          </w:p>
        </w:tc>
      </w:tr>
      <w:tr w:rsidR="009B756B" w:rsidRPr="00A9353A" w14:paraId="577EDB59" w14:textId="77777777" w:rsidTr="00262E0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16337495" w14:textId="4CDDA556" w:rsidR="0076417C" w:rsidRPr="00A9353A" w:rsidRDefault="00FF4D19" w:rsidP="002D6983">
            <w:pPr>
              <w:pStyle w:val="Body"/>
              <w:spacing w:after="120" w:line="228" w:lineRule="auto"/>
              <w:jc w:val="left"/>
              <w:rPr>
                <w:rFonts w:ascii="Arial" w:hAnsi="Arial" w:cs="Arial"/>
                <w:sz w:val="18"/>
                <w:szCs w:val="18"/>
              </w:rPr>
            </w:pPr>
            <w:r w:rsidRPr="00A9353A">
              <w:rPr>
                <w:rFonts w:ascii="Arial" w:hAnsi="Arial" w:cs="Arial"/>
                <w:sz w:val="18"/>
                <w:szCs w:val="18"/>
              </w:rPr>
              <w:t>5</w:t>
            </w:r>
          </w:p>
        </w:tc>
        <w:tc>
          <w:tcPr>
            <w:tcW w:w="1074" w:type="dxa"/>
            <w:tcBorders>
              <w:top w:val="nil"/>
              <w:bottom w:val="nil"/>
            </w:tcBorders>
          </w:tcPr>
          <w:p w14:paraId="4F0C3A24" w14:textId="078C1894"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Ghana</w:t>
            </w:r>
          </w:p>
        </w:tc>
        <w:tc>
          <w:tcPr>
            <w:tcW w:w="2970" w:type="dxa"/>
            <w:tcBorders>
              <w:top w:val="nil"/>
              <w:bottom w:val="nil"/>
            </w:tcBorders>
          </w:tcPr>
          <w:p w14:paraId="231F51E5" w14:textId="26D9AFA5" w:rsidR="0076417C" w:rsidRPr="00A9353A" w:rsidRDefault="00D4362B"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National </w:t>
            </w:r>
            <w:r w:rsidR="00FF4D19" w:rsidRPr="00A9353A">
              <w:rPr>
                <w:rFonts w:ascii="Arial" w:hAnsi="Arial" w:cs="Arial"/>
                <w:sz w:val="18"/>
                <w:szCs w:val="18"/>
              </w:rPr>
              <w:t>Plastic Management Policy</w:t>
            </w:r>
          </w:p>
        </w:tc>
        <w:tc>
          <w:tcPr>
            <w:tcW w:w="2070" w:type="dxa"/>
            <w:tcBorders>
              <w:top w:val="nil"/>
              <w:bottom w:val="nil"/>
            </w:tcBorders>
          </w:tcPr>
          <w:p w14:paraId="0395775E" w14:textId="68F4AC35"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Integrated waste management</w:t>
            </w:r>
          </w:p>
        </w:tc>
        <w:tc>
          <w:tcPr>
            <w:tcW w:w="3245" w:type="dxa"/>
            <w:tcBorders>
              <w:top w:val="nil"/>
              <w:bottom w:val="nil"/>
            </w:tcBorders>
          </w:tcPr>
          <w:p w14:paraId="1810F4F8" w14:textId="40B6BCC4" w:rsidR="0076417C" w:rsidRPr="00A9353A" w:rsidRDefault="00FF4D19"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Reduce plastic waste </w:t>
            </w:r>
            <w:r w:rsidR="00F67D15" w:rsidRPr="00A9353A">
              <w:rPr>
                <w:rFonts w:ascii="Arial" w:hAnsi="Arial" w:cs="Arial"/>
                <w:sz w:val="18"/>
                <w:szCs w:val="18"/>
              </w:rPr>
              <w:t>and</w:t>
            </w:r>
            <w:r w:rsidRPr="00A9353A">
              <w:rPr>
                <w:rFonts w:ascii="Arial" w:hAnsi="Arial" w:cs="Arial"/>
                <w:sz w:val="18"/>
                <w:szCs w:val="18"/>
              </w:rPr>
              <w:t xml:space="preserve"> promote circular economy</w:t>
            </w:r>
          </w:p>
        </w:tc>
        <w:tc>
          <w:tcPr>
            <w:tcW w:w="2410" w:type="dxa"/>
            <w:tcBorders>
              <w:top w:val="nil"/>
              <w:bottom w:val="nil"/>
            </w:tcBorders>
          </w:tcPr>
          <w:p w14:paraId="5D927AD3" w14:textId="5A610D50" w:rsidR="0076417C" w:rsidRPr="00A9353A" w:rsidRDefault="00B36ABD"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Ministry of Environmen</w:t>
            </w:r>
            <w:r w:rsidR="00BC2E07" w:rsidRPr="00A9353A">
              <w:rPr>
                <w:rFonts w:ascii="Arial" w:hAnsi="Arial" w:cs="Arial"/>
                <w:sz w:val="18"/>
                <w:szCs w:val="18"/>
              </w:rPr>
              <w:t>t</w:t>
            </w:r>
            <w:r w:rsidRPr="00A9353A">
              <w:rPr>
                <w:rFonts w:ascii="Arial" w:hAnsi="Arial" w:cs="Arial"/>
                <w:sz w:val="18"/>
                <w:szCs w:val="18"/>
              </w:rPr>
              <w:t>, Science, Technology and Innovation (MESTI)</w:t>
            </w:r>
            <w:r w:rsidR="00FD4FFB" w:rsidRPr="00A9353A">
              <w:rPr>
                <w:rFonts w:ascii="Arial" w:hAnsi="Arial" w:cs="Arial"/>
                <w:sz w:val="18"/>
                <w:szCs w:val="18"/>
              </w:rPr>
              <w:t xml:space="preserve"> (</w:t>
            </w:r>
            <w:r w:rsidRPr="00A9353A">
              <w:rPr>
                <w:rFonts w:ascii="Arial" w:hAnsi="Arial" w:cs="Arial"/>
                <w:sz w:val="18"/>
                <w:szCs w:val="18"/>
              </w:rPr>
              <w:t xml:space="preserve">2020); </w:t>
            </w:r>
            <w:r w:rsidR="00E829FE" w:rsidRPr="00A9353A">
              <w:rPr>
                <w:rFonts w:ascii="Arial" w:hAnsi="Arial" w:cs="Arial"/>
                <w:sz w:val="18"/>
                <w:szCs w:val="18"/>
              </w:rPr>
              <w:t xml:space="preserve">UNEP </w:t>
            </w:r>
            <w:r w:rsidR="00FD4FFB" w:rsidRPr="00A9353A">
              <w:rPr>
                <w:rFonts w:ascii="Arial" w:hAnsi="Arial" w:cs="Arial"/>
                <w:sz w:val="18"/>
                <w:szCs w:val="18"/>
              </w:rPr>
              <w:t>(</w:t>
            </w:r>
            <w:r w:rsidR="00E829FE" w:rsidRPr="00A9353A">
              <w:rPr>
                <w:rFonts w:ascii="Arial" w:hAnsi="Arial" w:cs="Arial"/>
                <w:sz w:val="18"/>
                <w:szCs w:val="18"/>
              </w:rPr>
              <w:t>2020)</w:t>
            </w:r>
          </w:p>
        </w:tc>
      </w:tr>
      <w:tr w:rsidR="009B756B" w:rsidRPr="00A9353A" w14:paraId="47AFFDEE" w14:textId="77777777" w:rsidTr="00262E0F">
        <w:trPr>
          <w:trHeight w:val="18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CEEFF78" w14:textId="07B4D35F" w:rsidR="006F5915" w:rsidRPr="00A9353A" w:rsidRDefault="007C322C" w:rsidP="002D6983">
            <w:pPr>
              <w:pStyle w:val="Body"/>
              <w:spacing w:after="120" w:line="228" w:lineRule="auto"/>
              <w:jc w:val="left"/>
              <w:rPr>
                <w:rFonts w:ascii="Arial" w:hAnsi="Arial" w:cs="Arial"/>
                <w:sz w:val="18"/>
                <w:szCs w:val="18"/>
              </w:rPr>
            </w:pPr>
            <w:r w:rsidRPr="00A9353A">
              <w:rPr>
                <w:rFonts w:ascii="Arial" w:hAnsi="Arial" w:cs="Arial"/>
                <w:sz w:val="18"/>
                <w:szCs w:val="18"/>
              </w:rPr>
              <w:t>6</w:t>
            </w:r>
          </w:p>
        </w:tc>
        <w:tc>
          <w:tcPr>
            <w:tcW w:w="1074" w:type="dxa"/>
            <w:tcBorders>
              <w:top w:val="nil"/>
              <w:bottom w:val="nil"/>
            </w:tcBorders>
          </w:tcPr>
          <w:p w14:paraId="07CB6EB2" w14:textId="0D02FEF1" w:rsidR="006F5915" w:rsidRPr="00A9353A"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United States</w:t>
            </w:r>
          </w:p>
        </w:tc>
        <w:tc>
          <w:tcPr>
            <w:tcW w:w="2970" w:type="dxa"/>
            <w:tcBorders>
              <w:top w:val="nil"/>
              <w:bottom w:val="nil"/>
            </w:tcBorders>
          </w:tcPr>
          <w:p w14:paraId="22625CD0" w14:textId="57E52C31" w:rsidR="006F5915" w:rsidRPr="00A9353A"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Strategy to Prevent Plastic Pollution</w:t>
            </w:r>
            <w:r w:rsidR="0082285F" w:rsidRPr="00A9353A">
              <w:rPr>
                <w:rFonts w:ascii="Arial" w:hAnsi="Arial" w:cs="Arial"/>
                <w:sz w:val="18"/>
                <w:szCs w:val="18"/>
              </w:rPr>
              <w:t>; California State’s SB 54 Plastic Pollution Prevention and Packaging Producer Responsibility Act</w:t>
            </w:r>
          </w:p>
        </w:tc>
        <w:tc>
          <w:tcPr>
            <w:tcW w:w="2070" w:type="dxa"/>
            <w:tcBorders>
              <w:top w:val="nil"/>
              <w:bottom w:val="nil"/>
            </w:tcBorders>
          </w:tcPr>
          <w:p w14:paraId="328F493E" w14:textId="55E208D4" w:rsidR="006F5915" w:rsidRPr="00A9353A" w:rsidRDefault="006F5915"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Comprehensive pollution prevention</w:t>
            </w:r>
            <w:r w:rsidR="0082285F" w:rsidRPr="00A9353A">
              <w:rPr>
                <w:rFonts w:ascii="Arial" w:hAnsi="Arial" w:cs="Arial"/>
                <w:sz w:val="18"/>
                <w:szCs w:val="18"/>
              </w:rPr>
              <w:t xml:space="preserve"> and producer responsibility</w:t>
            </w:r>
          </w:p>
        </w:tc>
        <w:tc>
          <w:tcPr>
            <w:tcW w:w="3245" w:type="dxa"/>
            <w:tcBorders>
              <w:top w:val="nil"/>
              <w:bottom w:val="nil"/>
            </w:tcBorders>
          </w:tcPr>
          <w:p w14:paraId="3DF99369" w14:textId="67F35AE5"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Reduce </w:t>
            </w:r>
            <w:r w:rsidR="0092685F" w:rsidRPr="00A9353A">
              <w:rPr>
                <w:rFonts w:ascii="Arial" w:hAnsi="Arial" w:cs="Arial"/>
                <w:sz w:val="18"/>
                <w:szCs w:val="18"/>
              </w:rPr>
              <w:t xml:space="preserve">pollution from </w:t>
            </w:r>
            <w:r w:rsidRPr="00A9353A">
              <w:rPr>
                <w:rFonts w:ascii="Arial" w:hAnsi="Arial" w:cs="Arial"/>
                <w:sz w:val="18"/>
                <w:szCs w:val="18"/>
              </w:rPr>
              <w:t xml:space="preserve">plastic </w:t>
            </w:r>
            <w:r w:rsidR="0092685F" w:rsidRPr="00A9353A">
              <w:rPr>
                <w:rFonts w:ascii="Arial" w:hAnsi="Arial" w:cs="Arial"/>
                <w:sz w:val="18"/>
                <w:szCs w:val="18"/>
              </w:rPr>
              <w:t>produc</w:t>
            </w:r>
            <w:r w:rsidRPr="00A9353A">
              <w:rPr>
                <w:rFonts w:ascii="Arial" w:hAnsi="Arial" w:cs="Arial"/>
                <w:sz w:val="18"/>
                <w:szCs w:val="18"/>
              </w:rPr>
              <w:t xml:space="preserve">tion; </w:t>
            </w:r>
            <w:r w:rsidR="0092685F" w:rsidRPr="00A9353A">
              <w:rPr>
                <w:rFonts w:ascii="Arial" w:hAnsi="Arial" w:cs="Arial"/>
                <w:sz w:val="18"/>
                <w:szCs w:val="18"/>
              </w:rPr>
              <w:t xml:space="preserve">Eliminate plastic waste release into the environment by 2040; Improve </w:t>
            </w:r>
            <w:r w:rsidRPr="00A9353A">
              <w:rPr>
                <w:rFonts w:ascii="Arial" w:hAnsi="Arial" w:cs="Arial"/>
                <w:sz w:val="18"/>
                <w:szCs w:val="18"/>
              </w:rPr>
              <w:t>recycling infrastructure</w:t>
            </w:r>
            <w:r w:rsidR="0082285F" w:rsidRPr="00A9353A">
              <w:rPr>
                <w:rFonts w:ascii="Arial" w:hAnsi="Arial" w:cs="Arial"/>
                <w:sz w:val="18"/>
                <w:szCs w:val="18"/>
              </w:rPr>
              <w:t>; 65% reduction in single-use packaging by 2032; recycled content requirements</w:t>
            </w:r>
          </w:p>
        </w:tc>
        <w:tc>
          <w:tcPr>
            <w:tcW w:w="2410" w:type="dxa"/>
            <w:tcBorders>
              <w:top w:val="nil"/>
              <w:bottom w:val="nil"/>
            </w:tcBorders>
          </w:tcPr>
          <w:p w14:paraId="2A98EC5A" w14:textId="266F854E" w:rsidR="006F5915" w:rsidRPr="00A9353A" w:rsidRDefault="00FD4FFB"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US EPA (2024); </w:t>
            </w:r>
            <w:r w:rsidR="0082285F" w:rsidRPr="00A9353A">
              <w:rPr>
                <w:rFonts w:ascii="Arial" w:hAnsi="Arial" w:cs="Arial"/>
                <w:sz w:val="18"/>
                <w:szCs w:val="18"/>
              </w:rPr>
              <w:t>Segalla (2022)</w:t>
            </w:r>
          </w:p>
        </w:tc>
      </w:tr>
      <w:tr w:rsidR="009B756B" w:rsidRPr="00A9353A" w14:paraId="25E8501D" w14:textId="77777777" w:rsidTr="00262E0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0F6AC9CE" w14:textId="3F1DA393" w:rsidR="006F5915" w:rsidRPr="00A9353A" w:rsidRDefault="007C322C" w:rsidP="002D6983">
            <w:pPr>
              <w:pStyle w:val="Body"/>
              <w:spacing w:after="120" w:line="228" w:lineRule="auto"/>
              <w:jc w:val="left"/>
              <w:rPr>
                <w:rFonts w:ascii="Arial" w:hAnsi="Arial" w:cs="Arial"/>
                <w:sz w:val="18"/>
                <w:szCs w:val="18"/>
              </w:rPr>
            </w:pPr>
            <w:r w:rsidRPr="00A9353A">
              <w:rPr>
                <w:rFonts w:ascii="Arial" w:hAnsi="Arial" w:cs="Arial"/>
                <w:sz w:val="18"/>
                <w:szCs w:val="18"/>
              </w:rPr>
              <w:t>7</w:t>
            </w:r>
          </w:p>
        </w:tc>
        <w:tc>
          <w:tcPr>
            <w:tcW w:w="1074" w:type="dxa"/>
            <w:tcBorders>
              <w:top w:val="nil"/>
              <w:bottom w:val="nil"/>
            </w:tcBorders>
          </w:tcPr>
          <w:p w14:paraId="0ECC90DF" w14:textId="441CFF6E" w:rsidR="006F5915" w:rsidRPr="00A9353A"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Canada</w:t>
            </w:r>
          </w:p>
        </w:tc>
        <w:tc>
          <w:tcPr>
            <w:tcW w:w="2970" w:type="dxa"/>
            <w:tcBorders>
              <w:top w:val="nil"/>
              <w:bottom w:val="nil"/>
            </w:tcBorders>
          </w:tcPr>
          <w:p w14:paraId="58DE74DB" w14:textId="4E7F9CCD" w:rsidR="006F5915" w:rsidRPr="00A9353A"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Canada-wide Action Plan on Zero Plastic Waste</w:t>
            </w:r>
          </w:p>
        </w:tc>
        <w:tc>
          <w:tcPr>
            <w:tcW w:w="2070" w:type="dxa"/>
            <w:tcBorders>
              <w:top w:val="nil"/>
              <w:bottom w:val="nil"/>
            </w:tcBorders>
          </w:tcPr>
          <w:p w14:paraId="6935D816" w14:textId="644973F2" w:rsidR="006F5915" w:rsidRPr="00A9353A" w:rsidRDefault="006F5915"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Zero plastic waste</w:t>
            </w:r>
          </w:p>
        </w:tc>
        <w:tc>
          <w:tcPr>
            <w:tcW w:w="3245" w:type="dxa"/>
            <w:tcBorders>
              <w:top w:val="nil"/>
              <w:bottom w:val="nil"/>
            </w:tcBorders>
          </w:tcPr>
          <w:p w14:paraId="51AFBEB9" w14:textId="27D04599"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Ban harmful single-use plastics; achieve zero plastic waste by 2030</w:t>
            </w:r>
          </w:p>
        </w:tc>
        <w:tc>
          <w:tcPr>
            <w:tcW w:w="2410" w:type="dxa"/>
            <w:tcBorders>
              <w:top w:val="nil"/>
              <w:bottom w:val="nil"/>
            </w:tcBorders>
          </w:tcPr>
          <w:p w14:paraId="5E34AD46" w14:textId="6C274D06" w:rsidR="006F5915" w:rsidRPr="00A9353A" w:rsidRDefault="007A134D"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Government of Canada (2019); Government of Canada (2021)</w:t>
            </w:r>
          </w:p>
        </w:tc>
      </w:tr>
      <w:tr w:rsidR="009B756B" w:rsidRPr="00A9353A" w14:paraId="57B0D168" w14:textId="77777777" w:rsidTr="00262E0F">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7A2DEC8" w14:textId="64864A78" w:rsidR="006F5915" w:rsidRPr="00A9353A" w:rsidRDefault="0082285F" w:rsidP="002D6983">
            <w:pPr>
              <w:pStyle w:val="Body"/>
              <w:spacing w:after="120" w:line="228" w:lineRule="auto"/>
              <w:jc w:val="left"/>
              <w:rPr>
                <w:rFonts w:ascii="Arial" w:hAnsi="Arial" w:cs="Arial"/>
                <w:sz w:val="18"/>
                <w:szCs w:val="18"/>
              </w:rPr>
            </w:pPr>
            <w:r w:rsidRPr="00A9353A">
              <w:rPr>
                <w:rFonts w:ascii="Arial" w:hAnsi="Arial" w:cs="Arial"/>
                <w:sz w:val="18"/>
                <w:szCs w:val="18"/>
              </w:rPr>
              <w:t>8</w:t>
            </w:r>
          </w:p>
        </w:tc>
        <w:tc>
          <w:tcPr>
            <w:tcW w:w="1074" w:type="dxa"/>
            <w:tcBorders>
              <w:top w:val="nil"/>
              <w:bottom w:val="nil"/>
            </w:tcBorders>
          </w:tcPr>
          <w:p w14:paraId="4E497EDD" w14:textId="6D7EA783"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Union</w:t>
            </w:r>
          </w:p>
        </w:tc>
        <w:tc>
          <w:tcPr>
            <w:tcW w:w="2970" w:type="dxa"/>
            <w:tcBorders>
              <w:top w:val="nil"/>
              <w:bottom w:val="nil"/>
            </w:tcBorders>
          </w:tcPr>
          <w:p w14:paraId="7494C6D0" w14:textId="46CBAA69"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Strategy for Plastics in a Circular Economy</w:t>
            </w:r>
          </w:p>
        </w:tc>
        <w:tc>
          <w:tcPr>
            <w:tcW w:w="2070" w:type="dxa"/>
            <w:tcBorders>
              <w:top w:val="nil"/>
              <w:bottom w:val="nil"/>
            </w:tcBorders>
          </w:tcPr>
          <w:p w14:paraId="0A9C144C" w14:textId="4E9EEF84"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Circular economy transition</w:t>
            </w:r>
          </w:p>
        </w:tc>
        <w:tc>
          <w:tcPr>
            <w:tcW w:w="3245" w:type="dxa"/>
            <w:tcBorders>
              <w:top w:val="nil"/>
              <w:bottom w:val="nil"/>
            </w:tcBorders>
          </w:tcPr>
          <w:p w14:paraId="20C36F78" w14:textId="6D44CB9F"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All plastic packaging recyclable by 2030 in the EU</w:t>
            </w:r>
          </w:p>
        </w:tc>
        <w:tc>
          <w:tcPr>
            <w:tcW w:w="2410" w:type="dxa"/>
            <w:tcBorders>
              <w:top w:val="nil"/>
              <w:bottom w:val="nil"/>
            </w:tcBorders>
          </w:tcPr>
          <w:p w14:paraId="0498097E" w14:textId="25FB9939" w:rsidR="006F5915" w:rsidRPr="00A9353A" w:rsidRDefault="007C322C"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Commission (2018)</w:t>
            </w:r>
          </w:p>
        </w:tc>
      </w:tr>
      <w:tr w:rsidR="009B756B" w:rsidRPr="00A9353A" w14:paraId="02F1405B" w14:textId="77777777" w:rsidTr="0026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CB7EA57" w14:textId="26FD6602" w:rsidR="006F5915" w:rsidRPr="00A9353A" w:rsidRDefault="0082285F" w:rsidP="002D6983">
            <w:pPr>
              <w:pStyle w:val="Body"/>
              <w:spacing w:after="120" w:line="228" w:lineRule="auto"/>
              <w:jc w:val="left"/>
              <w:rPr>
                <w:rFonts w:ascii="Arial" w:hAnsi="Arial" w:cs="Arial"/>
                <w:sz w:val="18"/>
                <w:szCs w:val="18"/>
              </w:rPr>
            </w:pPr>
            <w:r w:rsidRPr="00A9353A">
              <w:rPr>
                <w:rFonts w:ascii="Arial" w:hAnsi="Arial" w:cs="Arial"/>
                <w:sz w:val="18"/>
                <w:szCs w:val="18"/>
              </w:rPr>
              <w:t>9</w:t>
            </w:r>
          </w:p>
        </w:tc>
        <w:tc>
          <w:tcPr>
            <w:tcW w:w="1074" w:type="dxa"/>
            <w:tcBorders>
              <w:top w:val="nil"/>
              <w:bottom w:val="nil"/>
            </w:tcBorders>
          </w:tcPr>
          <w:p w14:paraId="46A5E332" w14:textId="39DBC6C5"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Union</w:t>
            </w:r>
          </w:p>
        </w:tc>
        <w:tc>
          <w:tcPr>
            <w:tcW w:w="2970" w:type="dxa"/>
            <w:tcBorders>
              <w:top w:val="nil"/>
              <w:bottom w:val="nil"/>
            </w:tcBorders>
          </w:tcPr>
          <w:p w14:paraId="6509DBF7" w14:textId="51142B1C"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EU Packaging and Packaging Waste </w:t>
            </w:r>
            <w:r w:rsidR="00A22E14" w:rsidRPr="00A9353A">
              <w:rPr>
                <w:rFonts w:ascii="Arial" w:hAnsi="Arial" w:cs="Arial"/>
                <w:sz w:val="18"/>
                <w:szCs w:val="18"/>
              </w:rPr>
              <w:t>Regulation</w:t>
            </w:r>
            <w:r w:rsidRPr="00A9353A">
              <w:rPr>
                <w:rFonts w:ascii="Arial" w:hAnsi="Arial" w:cs="Arial"/>
                <w:sz w:val="18"/>
                <w:szCs w:val="18"/>
              </w:rPr>
              <w:t xml:space="preserve"> (</w:t>
            </w:r>
            <w:r w:rsidR="00A22E14" w:rsidRPr="00A9353A">
              <w:rPr>
                <w:rFonts w:ascii="Arial" w:hAnsi="Arial" w:cs="Arial"/>
                <w:sz w:val="18"/>
                <w:szCs w:val="18"/>
              </w:rPr>
              <w:t>PPWR</w:t>
            </w:r>
            <w:r w:rsidRPr="00A9353A">
              <w:rPr>
                <w:rFonts w:ascii="Arial" w:hAnsi="Arial" w:cs="Arial"/>
                <w:sz w:val="18"/>
                <w:szCs w:val="18"/>
              </w:rPr>
              <w:t>)</w:t>
            </w:r>
          </w:p>
        </w:tc>
        <w:tc>
          <w:tcPr>
            <w:tcW w:w="2070" w:type="dxa"/>
            <w:tcBorders>
              <w:top w:val="nil"/>
              <w:bottom w:val="nil"/>
            </w:tcBorders>
          </w:tcPr>
          <w:p w14:paraId="464874A9" w14:textId="06DF7162"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Recycling targets</w:t>
            </w:r>
          </w:p>
        </w:tc>
        <w:tc>
          <w:tcPr>
            <w:tcW w:w="3245" w:type="dxa"/>
            <w:tcBorders>
              <w:top w:val="nil"/>
              <w:bottom w:val="nil"/>
            </w:tcBorders>
          </w:tcPr>
          <w:p w14:paraId="64B060BE" w14:textId="468BED29"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55% of plastic packaging recycled by 2030; 65% of all packaging waste recycled</w:t>
            </w:r>
          </w:p>
        </w:tc>
        <w:tc>
          <w:tcPr>
            <w:tcW w:w="2410" w:type="dxa"/>
            <w:tcBorders>
              <w:top w:val="nil"/>
              <w:bottom w:val="nil"/>
            </w:tcBorders>
          </w:tcPr>
          <w:p w14:paraId="5D7C41B2" w14:textId="1DAD954B" w:rsidR="006F5915" w:rsidRPr="00A9353A" w:rsidRDefault="007C322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European </w:t>
            </w:r>
            <w:r w:rsidR="00A22E14" w:rsidRPr="00A9353A">
              <w:rPr>
                <w:rFonts w:ascii="Arial" w:hAnsi="Arial" w:cs="Arial"/>
                <w:sz w:val="18"/>
                <w:szCs w:val="18"/>
              </w:rPr>
              <w:t>Union</w:t>
            </w:r>
            <w:r w:rsidRPr="00A9353A">
              <w:rPr>
                <w:rFonts w:ascii="Arial" w:hAnsi="Arial" w:cs="Arial"/>
                <w:sz w:val="18"/>
                <w:szCs w:val="18"/>
              </w:rPr>
              <w:t xml:space="preserve"> (2022)</w:t>
            </w:r>
            <w:r w:rsidR="00A22E14" w:rsidRPr="00A9353A">
              <w:rPr>
                <w:rFonts w:ascii="Arial" w:hAnsi="Arial" w:cs="Arial"/>
                <w:sz w:val="18"/>
                <w:szCs w:val="18"/>
              </w:rPr>
              <w:t>; BEWI (2024)</w:t>
            </w:r>
          </w:p>
        </w:tc>
      </w:tr>
      <w:tr w:rsidR="009B756B" w:rsidRPr="00A9353A" w14:paraId="56C0EBE9" w14:textId="77777777" w:rsidTr="00262E0F">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25EB7D6" w14:textId="4C9B9E07" w:rsidR="0082285F" w:rsidRPr="00A9353A" w:rsidRDefault="0082285F" w:rsidP="002D6983">
            <w:pPr>
              <w:pStyle w:val="Body"/>
              <w:spacing w:after="120" w:line="228" w:lineRule="auto"/>
              <w:jc w:val="left"/>
              <w:rPr>
                <w:rFonts w:ascii="Arial" w:hAnsi="Arial" w:cs="Arial"/>
                <w:sz w:val="18"/>
                <w:szCs w:val="18"/>
              </w:rPr>
            </w:pPr>
            <w:r w:rsidRPr="00A9353A">
              <w:rPr>
                <w:rFonts w:ascii="Arial" w:hAnsi="Arial" w:cs="Arial"/>
                <w:sz w:val="18"/>
                <w:szCs w:val="18"/>
              </w:rPr>
              <w:t>10</w:t>
            </w:r>
          </w:p>
        </w:tc>
        <w:tc>
          <w:tcPr>
            <w:tcW w:w="1074" w:type="dxa"/>
            <w:tcBorders>
              <w:top w:val="nil"/>
              <w:bottom w:val="nil"/>
            </w:tcBorders>
          </w:tcPr>
          <w:p w14:paraId="36BF805C" w14:textId="4448E2FA" w:rsidR="0082285F" w:rsidRPr="00A9353A"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Union</w:t>
            </w:r>
          </w:p>
        </w:tc>
        <w:tc>
          <w:tcPr>
            <w:tcW w:w="2970" w:type="dxa"/>
            <w:tcBorders>
              <w:top w:val="nil"/>
              <w:bottom w:val="nil"/>
            </w:tcBorders>
          </w:tcPr>
          <w:p w14:paraId="6BAC0763" w14:textId="60F3F7C1" w:rsidR="0082285F" w:rsidRPr="00A9353A"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Single-Use Plastics Directive</w:t>
            </w:r>
          </w:p>
        </w:tc>
        <w:tc>
          <w:tcPr>
            <w:tcW w:w="2070" w:type="dxa"/>
            <w:tcBorders>
              <w:top w:val="nil"/>
              <w:bottom w:val="nil"/>
            </w:tcBorders>
          </w:tcPr>
          <w:p w14:paraId="41A4431F" w14:textId="2D407AF7" w:rsidR="0082285F" w:rsidRPr="00A9353A"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Consumption reduction</w:t>
            </w:r>
          </w:p>
        </w:tc>
        <w:tc>
          <w:tcPr>
            <w:tcW w:w="3245" w:type="dxa"/>
            <w:tcBorders>
              <w:top w:val="nil"/>
              <w:bottom w:val="nil"/>
            </w:tcBorders>
          </w:tcPr>
          <w:p w14:paraId="55AFD44D" w14:textId="6AC6CDB1" w:rsidR="0082285F" w:rsidRPr="00A9353A" w:rsidRDefault="0082285F"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Ban on single-use plastic items; 90% collection target for plastic bottles by 2029</w:t>
            </w:r>
          </w:p>
        </w:tc>
        <w:tc>
          <w:tcPr>
            <w:tcW w:w="2410" w:type="dxa"/>
            <w:tcBorders>
              <w:top w:val="nil"/>
              <w:bottom w:val="nil"/>
            </w:tcBorders>
          </w:tcPr>
          <w:p w14:paraId="55707838" w14:textId="0F42324E" w:rsidR="0082285F" w:rsidRPr="00A9353A" w:rsidRDefault="00E72920"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A9353A">
              <w:rPr>
                <w:rFonts w:ascii="Arial" w:hAnsi="Arial" w:cs="Arial"/>
                <w:sz w:val="18"/>
                <w:szCs w:val="18"/>
              </w:rPr>
              <w:t>Gesley</w:t>
            </w:r>
            <w:proofErr w:type="spellEnd"/>
            <w:r w:rsidRPr="00A9353A">
              <w:rPr>
                <w:rFonts w:ascii="Arial" w:hAnsi="Arial" w:cs="Arial"/>
                <w:sz w:val="18"/>
                <w:szCs w:val="18"/>
              </w:rPr>
              <w:t xml:space="preserve"> (2021)</w:t>
            </w:r>
            <w:r w:rsidR="00DC3A04" w:rsidRPr="00A9353A">
              <w:rPr>
                <w:rFonts w:ascii="Arial" w:hAnsi="Arial" w:cs="Arial"/>
                <w:sz w:val="18"/>
                <w:szCs w:val="18"/>
              </w:rPr>
              <w:t>; European Union External Action (2025)</w:t>
            </w:r>
          </w:p>
        </w:tc>
      </w:tr>
      <w:tr w:rsidR="009B756B" w:rsidRPr="00A9353A" w14:paraId="1817E6E7" w14:textId="77777777" w:rsidTr="0026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13F6EA25" w14:textId="6C716E24" w:rsidR="0082285F" w:rsidRPr="00A9353A" w:rsidRDefault="0082285F" w:rsidP="002D6983">
            <w:pPr>
              <w:pStyle w:val="Body"/>
              <w:spacing w:after="120" w:line="228" w:lineRule="auto"/>
              <w:jc w:val="left"/>
              <w:rPr>
                <w:rFonts w:ascii="Arial" w:hAnsi="Arial" w:cs="Arial"/>
                <w:sz w:val="18"/>
                <w:szCs w:val="18"/>
              </w:rPr>
            </w:pPr>
            <w:r w:rsidRPr="00A9353A">
              <w:rPr>
                <w:rFonts w:ascii="Arial" w:hAnsi="Arial" w:cs="Arial"/>
                <w:sz w:val="18"/>
                <w:szCs w:val="18"/>
              </w:rPr>
              <w:lastRenderedPageBreak/>
              <w:t>11</w:t>
            </w:r>
          </w:p>
        </w:tc>
        <w:tc>
          <w:tcPr>
            <w:tcW w:w="1074" w:type="dxa"/>
            <w:tcBorders>
              <w:top w:val="nil"/>
              <w:bottom w:val="nil"/>
            </w:tcBorders>
          </w:tcPr>
          <w:p w14:paraId="02815839" w14:textId="6152845B" w:rsidR="0082285F" w:rsidRPr="00A9353A"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European Industry</w:t>
            </w:r>
          </w:p>
        </w:tc>
        <w:tc>
          <w:tcPr>
            <w:tcW w:w="2970" w:type="dxa"/>
            <w:tcBorders>
              <w:top w:val="nil"/>
              <w:bottom w:val="nil"/>
            </w:tcBorders>
          </w:tcPr>
          <w:p w14:paraId="372240D3" w14:textId="23F04DE0" w:rsidR="0082285F" w:rsidRPr="00A9353A"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A9353A">
              <w:rPr>
                <w:rFonts w:ascii="Arial" w:hAnsi="Arial" w:cs="Arial"/>
                <w:sz w:val="18"/>
                <w:szCs w:val="18"/>
              </w:rPr>
              <w:t>ReShaping</w:t>
            </w:r>
            <w:proofErr w:type="spellEnd"/>
            <w:r w:rsidRPr="00A9353A">
              <w:rPr>
                <w:rFonts w:ascii="Arial" w:hAnsi="Arial" w:cs="Arial"/>
                <w:sz w:val="18"/>
                <w:szCs w:val="18"/>
              </w:rPr>
              <w:t xml:space="preserve"> Plastics Initiative</w:t>
            </w:r>
          </w:p>
        </w:tc>
        <w:tc>
          <w:tcPr>
            <w:tcW w:w="2070" w:type="dxa"/>
            <w:tcBorders>
              <w:top w:val="nil"/>
              <w:bottom w:val="nil"/>
            </w:tcBorders>
          </w:tcPr>
          <w:p w14:paraId="381DA863" w14:textId="41316863" w:rsidR="0082285F" w:rsidRPr="00A9353A"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Waste reduction</w:t>
            </w:r>
          </w:p>
        </w:tc>
        <w:tc>
          <w:tcPr>
            <w:tcW w:w="3245" w:type="dxa"/>
            <w:tcBorders>
              <w:top w:val="nil"/>
              <w:bottom w:val="nil"/>
            </w:tcBorders>
          </w:tcPr>
          <w:p w14:paraId="64D19E40" w14:textId="72569F10" w:rsidR="0082285F" w:rsidRPr="00A9353A"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60% less waste incinerated (2020-2050); &gt;70% reduction in virgin fossil-based plastic</w:t>
            </w:r>
          </w:p>
        </w:tc>
        <w:tc>
          <w:tcPr>
            <w:tcW w:w="2410" w:type="dxa"/>
            <w:tcBorders>
              <w:top w:val="nil"/>
              <w:bottom w:val="nil"/>
            </w:tcBorders>
          </w:tcPr>
          <w:p w14:paraId="58B0F79B" w14:textId="14EC3A68" w:rsidR="0082285F" w:rsidRPr="00A9353A" w:rsidRDefault="0082285F"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Plastics Europe (2022)</w:t>
            </w:r>
          </w:p>
        </w:tc>
      </w:tr>
      <w:tr w:rsidR="009B756B" w:rsidRPr="00A9353A" w14:paraId="1940185D" w14:textId="77777777" w:rsidTr="00262E0F">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778096B" w14:textId="753D3D15" w:rsidR="007C322C"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12</w:t>
            </w:r>
          </w:p>
        </w:tc>
        <w:tc>
          <w:tcPr>
            <w:tcW w:w="1074" w:type="dxa"/>
            <w:tcBorders>
              <w:top w:val="nil"/>
              <w:bottom w:val="nil"/>
            </w:tcBorders>
          </w:tcPr>
          <w:p w14:paraId="630E1700" w14:textId="41E90258" w:rsidR="007C322C" w:rsidRPr="00A9353A"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China</w:t>
            </w:r>
          </w:p>
        </w:tc>
        <w:tc>
          <w:tcPr>
            <w:tcW w:w="2970" w:type="dxa"/>
            <w:tcBorders>
              <w:top w:val="nil"/>
              <w:bottom w:val="nil"/>
            </w:tcBorders>
          </w:tcPr>
          <w:p w14:paraId="2E953FA1" w14:textId="380C81AC" w:rsidR="007C322C" w:rsidRPr="00A9353A"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Sword Policy (Operation Green Fence)</w:t>
            </w:r>
          </w:p>
        </w:tc>
        <w:tc>
          <w:tcPr>
            <w:tcW w:w="2070" w:type="dxa"/>
            <w:tcBorders>
              <w:top w:val="nil"/>
              <w:bottom w:val="nil"/>
            </w:tcBorders>
          </w:tcPr>
          <w:p w14:paraId="2EB6DB28" w14:textId="2024C322" w:rsidR="007C322C" w:rsidRPr="00A9353A"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Waste import restrictions</w:t>
            </w:r>
          </w:p>
        </w:tc>
        <w:tc>
          <w:tcPr>
            <w:tcW w:w="3245" w:type="dxa"/>
            <w:tcBorders>
              <w:top w:val="nil"/>
              <w:bottom w:val="nil"/>
            </w:tcBorders>
          </w:tcPr>
          <w:p w14:paraId="380254F0" w14:textId="29DA44B8" w:rsidR="007C322C" w:rsidRPr="00A9353A"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Prohibit import of 24 categories of solid waste including mixed plastics</w:t>
            </w:r>
          </w:p>
        </w:tc>
        <w:tc>
          <w:tcPr>
            <w:tcW w:w="2410" w:type="dxa"/>
            <w:tcBorders>
              <w:top w:val="nil"/>
              <w:bottom w:val="nil"/>
            </w:tcBorders>
          </w:tcPr>
          <w:p w14:paraId="4C8158FF" w14:textId="2983B5E4" w:rsidR="007C322C" w:rsidRPr="00A9353A" w:rsidRDefault="00FC0BA6"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State Council of China (2018)</w:t>
            </w:r>
            <w:r w:rsidR="00825A08" w:rsidRPr="00A9353A">
              <w:rPr>
                <w:rFonts w:ascii="Arial" w:hAnsi="Arial" w:cs="Arial"/>
                <w:sz w:val="18"/>
                <w:szCs w:val="18"/>
              </w:rPr>
              <w:t xml:space="preserve">; </w:t>
            </w:r>
            <w:r w:rsidR="00164D9A" w:rsidRPr="00A9353A">
              <w:rPr>
                <w:rFonts w:ascii="Arial" w:hAnsi="Arial" w:cs="Arial"/>
                <w:sz w:val="18"/>
                <w:szCs w:val="18"/>
              </w:rPr>
              <w:t xml:space="preserve">Brooks et al. (2018); </w:t>
            </w:r>
            <w:r w:rsidR="00825A08" w:rsidRPr="00A9353A">
              <w:rPr>
                <w:rFonts w:ascii="Arial" w:hAnsi="Arial" w:cs="Arial"/>
                <w:sz w:val="18"/>
                <w:szCs w:val="18"/>
              </w:rPr>
              <w:t xml:space="preserve">Al-Ademi (2020); </w:t>
            </w:r>
            <w:r w:rsidR="00843E5D" w:rsidRPr="00A9353A">
              <w:rPr>
                <w:rFonts w:ascii="Arial" w:hAnsi="Arial" w:cs="Arial"/>
                <w:sz w:val="18"/>
                <w:szCs w:val="18"/>
              </w:rPr>
              <w:t xml:space="preserve">Yoshida (2021); </w:t>
            </w:r>
            <w:r w:rsidR="007735ED" w:rsidRPr="00A9353A">
              <w:rPr>
                <w:rFonts w:ascii="Arial" w:hAnsi="Arial" w:cs="Arial"/>
                <w:sz w:val="18"/>
                <w:szCs w:val="18"/>
              </w:rPr>
              <w:t xml:space="preserve">Tran et al. (2021); </w:t>
            </w:r>
            <w:r w:rsidR="00843E5D" w:rsidRPr="00A9353A">
              <w:rPr>
                <w:rFonts w:ascii="Arial" w:hAnsi="Arial" w:cs="Arial"/>
                <w:sz w:val="18"/>
                <w:szCs w:val="18"/>
              </w:rPr>
              <w:t xml:space="preserve">Lin et al. (2023); </w:t>
            </w:r>
            <w:r w:rsidR="00825A08" w:rsidRPr="00A9353A">
              <w:rPr>
                <w:rFonts w:ascii="Arial" w:hAnsi="Arial" w:cs="Arial"/>
                <w:sz w:val="18"/>
                <w:szCs w:val="18"/>
              </w:rPr>
              <w:t>Li and Mu (2024)</w:t>
            </w:r>
          </w:p>
        </w:tc>
      </w:tr>
      <w:tr w:rsidR="009B756B" w:rsidRPr="00A9353A" w14:paraId="1EC9B930" w14:textId="77777777" w:rsidTr="00262E0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AF36693" w14:textId="1A623E47" w:rsidR="00F847F8"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13</w:t>
            </w:r>
          </w:p>
        </w:tc>
        <w:tc>
          <w:tcPr>
            <w:tcW w:w="1074" w:type="dxa"/>
            <w:tcBorders>
              <w:top w:val="nil"/>
              <w:bottom w:val="nil"/>
            </w:tcBorders>
          </w:tcPr>
          <w:p w14:paraId="76B2F77B" w14:textId="5BDD2F62"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Japan</w:t>
            </w:r>
          </w:p>
        </w:tc>
        <w:tc>
          <w:tcPr>
            <w:tcW w:w="2970" w:type="dxa"/>
            <w:tcBorders>
              <w:top w:val="nil"/>
              <w:bottom w:val="nil"/>
            </w:tcBorders>
          </w:tcPr>
          <w:p w14:paraId="4ACD20F8" w14:textId="58412F7F"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Plastic Resource Circulation Strategy</w:t>
            </w:r>
          </w:p>
        </w:tc>
        <w:tc>
          <w:tcPr>
            <w:tcW w:w="2070" w:type="dxa"/>
            <w:tcBorders>
              <w:top w:val="nil"/>
              <w:bottom w:val="nil"/>
            </w:tcBorders>
          </w:tcPr>
          <w:p w14:paraId="3A76AA87" w14:textId="0BC131EA"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Circular economy</w:t>
            </w:r>
          </w:p>
        </w:tc>
        <w:tc>
          <w:tcPr>
            <w:tcW w:w="3245" w:type="dxa"/>
            <w:tcBorders>
              <w:top w:val="nil"/>
              <w:bottom w:val="nil"/>
            </w:tcBorders>
          </w:tcPr>
          <w:p w14:paraId="7578CE1D" w14:textId="448D8B28"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Reduce single-use plastics by 25% by 2030; 60% recycling rate for plastic containers</w:t>
            </w:r>
          </w:p>
        </w:tc>
        <w:tc>
          <w:tcPr>
            <w:tcW w:w="2410" w:type="dxa"/>
            <w:tcBorders>
              <w:top w:val="nil"/>
              <w:bottom w:val="nil"/>
            </w:tcBorders>
          </w:tcPr>
          <w:p w14:paraId="36881CE8" w14:textId="5B32F74B"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 xml:space="preserve">Osamu (2022); </w:t>
            </w:r>
          </w:p>
        </w:tc>
      </w:tr>
      <w:tr w:rsidR="009B756B" w:rsidRPr="00A9353A" w14:paraId="68881E73" w14:textId="77777777" w:rsidTr="00262E0F">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A9433E4" w14:textId="45FBEB6E" w:rsidR="00F847F8"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14</w:t>
            </w:r>
          </w:p>
        </w:tc>
        <w:tc>
          <w:tcPr>
            <w:tcW w:w="1074" w:type="dxa"/>
            <w:tcBorders>
              <w:top w:val="nil"/>
              <w:bottom w:val="nil"/>
            </w:tcBorders>
          </w:tcPr>
          <w:p w14:paraId="32979C61" w14:textId="3B693268"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India</w:t>
            </w:r>
          </w:p>
        </w:tc>
        <w:tc>
          <w:tcPr>
            <w:tcW w:w="2970" w:type="dxa"/>
            <w:tcBorders>
              <w:top w:val="nil"/>
              <w:bottom w:val="nil"/>
            </w:tcBorders>
          </w:tcPr>
          <w:p w14:paraId="7D56F3F3" w14:textId="7AF902ED"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Plastic Waste Management Rules (Amendment)</w:t>
            </w:r>
          </w:p>
        </w:tc>
        <w:tc>
          <w:tcPr>
            <w:tcW w:w="2070" w:type="dxa"/>
            <w:tcBorders>
              <w:top w:val="nil"/>
              <w:bottom w:val="nil"/>
            </w:tcBorders>
          </w:tcPr>
          <w:p w14:paraId="0BD9B2C2" w14:textId="71468171"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Comprehensive plastic management</w:t>
            </w:r>
          </w:p>
        </w:tc>
        <w:tc>
          <w:tcPr>
            <w:tcW w:w="3245" w:type="dxa"/>
            <w:tcBorders>
              <w:top w:val="nil"/>
              <w:bottom w:val="nil"/>
            </w:tcBorders>
          </w:tcPr>
          <w:p w14:paraId="39AB6B28" w14:textId="62C64F08"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Phase-out single-use plastics by 2022; minimum recycled content requirements</w:t>
            </w:r>
          </w:p>
        </w:tc>
        <w:tc>
          <w:tcPr>
            <w:tcW w:w="2410" w:type="dxa"/>
            <w:tcBorders>
              <w:top w:val="nil"/>
              <w:bottom w:val="nil"/>
            </w:tcBorders>
          </w:tcPr>
          <w:p w14:paraId="003ABD98" w14:textId="1951338A"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Invest India (2022); India Briefing (2022)</w:t>
            </w:r>
          </w:p>
        </w:tc>
      </w:tr>
      <w:tr w:rsidR="009B756B" w:rsidRPr="00A9353A" w14:paraId="1187EE6E" w14:textId="77777777" w:rsidTr="0026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4904FE64" w14:textId="6C83B94B" w:rsidR="00F847F8"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15</w:t>
            </w:r>
          </w:p>
        </w:tc>
        <w:tc>
          <w:tcPr>
            <w:tcW w:w="1074" w:type="dxa"/>
            <w:tcBorders>
              <w:top w:val="nil"/>
              <w:bottom w:val="nil"/>
            </w:tcBorders>
          </w:tcPr>
          <w:p w14:paraId="5FA017AB" w14:textId="069A74A5"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Indonesia</w:t>
            </w:r>
          </w:p>
        </w:tc>
        <w:tc>
          <w:tcPr>
            <w:tcW w:w="2970" w:type="dxa"/>
            <w:tcBorders>
              <w:top w:val="nil"/>
              <w:bottom w:val="nil"/>
            </w:tcBorders>
          </w:tcPr>
          <w:p w14:paraId="1BB8F70E" w14:textId="1703B483"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National Action Plan on Marine Plastic Debris</w:t>
            </w:r>
          </w:p>
        </w:tc>
        <w:tc>
          <w:tcPr>
            <w:tcW w:w="2070" w:type="dxa"/>
            <w:tcBorders>
              <w:top w:val="nil"/>
              <w:bottom w:val="nil"/>
            </w:tcBorders>
          </w:tcPr>
          <w:p w14:paraId="21EA9833" w14:textId="46F5BD2F"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Marine debris reduction</w:t>
            </w:r>
          </w:p>
        </w:tc>
        <w:tc>
          <w:tcPr>
            <w:tcW w:w="3245" w:type="dxa"/>
            <w:tcBorders>
              <w:top w:val="nil"/>
              <w:bottom w:val="nil"/>
            </w:tcBorders>
          </w:tcPr>
          <w:p w14:paraId="3FDD9446" w14:textId="2F7AD478"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Reduce marine plastic debris by 70% by 2025</w:t>
            </w:r>
          </w:p>
        </w:tc>
        <w:tc>
          <w:tcPr>
            <w:tcW w:w="2410" w:type="dxa"/>
            <w:tcBorders>
              <w:top w:val="nil"/>
              <w:bottom w:val="nil"/>
            </w:tcBorders>
          </w:tcPr>
          <w:p w14:paraId="328E20AA" w14:textId="599DC38B"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World Bank (2020); World Economic Forum (2020)</w:t>
            </w:r>
          </w:p>
        </w:tc>
      </w:tr>
      <w:tr w:rsidR="009B756B" w:rsidRPr="00A9353A" w14:paraId="421F5E3A" w14:textId="77777777" w:rsidTr="00262E0F">
        <w:trPr>
          <w:trHeight w:val="45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26D2AF2E" w14:textId="14686663" w:rsidR="00F847F8"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16</w:t>
            </w:r>
          </w:p>
        </w:tc>
        <w:tc>
          <w:tcPr>
            <w:tcW w:w="1074" w:type="dxa"/>
            <w:tcBorders>
              <w:top w:val="nil"/>
              <w:bottom w:val="nil"/>
            </w:tcBorders>
          </w:tcPr>
          <w:p w14:paraId="7B973A8B" w14:textId="0A48EDB9"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Thailand</w:t>
            </w:r>
          </w:p>
        </w:tc>
        <w:tc>
          <w:tcPr>
            <w:tcW w:w="2970" w:type="dxa"/>
            <w:tcBorders>
              <w:top w:val="nil"/>
              <w:bottom w:val="nil"/>
            </w:tcBorders>
          </w:tcPr>
          <w:p w14:paraId="73ADE798" w14:textId="49D0D082"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Plastic Waste Management Roadmap</w:t>
            </w:r>
          </w:p>
        </w:tc>
        <w:tc>
          <w:tcPr>
            <w:tcW w:w="2070" w:type="dxa"/>
            <w:tcBorders>
              <w:top w:val="nil"/>
              <w:bottom w:val="nil"/>
            </w:tcBorders>
          </w:tcPr>
          <w:p w14:paraId="719AB138" w14:textId="38CDEEA1"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Systematic waste reduction</w:t>
            </w:r>
          </w:p>
        </w:tc>
        <w:tc>
          <w:tcPr>
            <w:tcW w:w="3245" w:type="dxa"/>
            <w:tcBorders>
              <w:top w:val="nil"/>
              <w:bottom w:val="nil"/>
            </w:tcBorders>
          </w:tcPr>
          <w:p w14:paraId="568DAD0D" w14:textId="7BD3B354"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Ban single-use plastics by 2027; 100% plastic waste utilisation by 2030</w:t>
            </w:r>
          </w:p>
        </w:tc>
        <w:tc>
          <w:tcPr>
            <w:tcW w:w="2410" w:type="dxa"/>
            <w:tcBorders>
              <w:top w:val="nil"/>
              <w:bottom w:val="nil"/>
            </w:tcBorders>
          </w:tcPr>
          <w:p w14:paraId="1434A15E" w14:textId="4911FFD1"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Thailand Department of Pollution Control (2023); International Energy Agency (2018)</w:t>
            </w:r>
          </w:p>
        </w:tc>
      </w:tr>
      <w:tr w:rsidR="009B756B" w:rsidRPr="00A9353A" w14:paraId="79414A0C" w14:textId="77777777" w:rsidTr="0026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4BA5B81" w14:textId="7C2FB23F" w:rsidR="00F847F8" w:rsidRPr="00A9353A" w:rsidRDefault="00F847F8" w:rsidP="002D6983">
            <w:pPr>
              <w:pStyle w:val="Body"/>
              <w:spacing w:after="120" w:line="228" w:lineRule="auto"/>
              <w:jc w:val="left"/>
              <w:rPr>
                <w:rFonts w:ascii="Arial" w:hAnsi="Arial" w:cs="Arial"/>
                <w:sz w:val="18"/>
                <w:szCs w:val="18"/>
              </w:rPr>
            </w:pPr>
            <w:r w:rsidRPr="00A9353A">
              <w:rPr>
                <w:rFonts w:ascii="Arial" w:hAnsi="Arial" w:cs="Arial"/>
                <w:sz w:val="18"/>
                <w:szCs w:val="18"/>
              </w:rPr>
              <w:t>17</w:t>
            </w:r>
          </w:p>
        </w:tc>
        <w:tc>
          <w:tcPr>
            <w:tcW w:w="1074" w:type="dxa"/>
            <w:tcBorders>
              <w:top w:val="nil"/>
              <w:bottom w:val="nil"/>
            </w:tcBorders>
          </w:tcPr>
          <w:p w14:paraId="2C554C17" w14:textId="747EF4C1"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OECD</w:t>
            </w:r>
          </w:p>
        </w:tc>
        <w:tc>
          <w:tcPr>
            <w:tcW w:w="2970" w:type="dxa"/>
            <w:tcBorders>
              <w:top w:val="nil"/>
              <w:bottom w:val="nil"/>
            </w:tcBorders>
          </w:tcPr>
          <w:p w14:paraId="5F54DB4E" w14:textId="0B02F1BD"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Global Ambition Policy Scenario</w:t>
            </w:r>
            <w:r w:rsidR="005806E3" w:rsidRPr="00A9353A">
              <w:rPr>
                <w:rFonts w:ascii="Arial" w:hAnsi="Arial" w:cs="Arial"/>
                <w:sz w:val="18"/>
                <w:szCs w:val="18"/>
              </w:rPr>
              <w:t>; Regional Action Policy Scenario</w:t>
            </w:r>
          </w:p>
        </w:tc>
        <w:tc>
          <w:tcPr>
            <w:tcW w:w="2070" w:type="dxa"/>
            <w:tcBorders>
              <w:top w:val="nil"/>
              <w:bottom w:val="nil"/>
            </w:tcBorders>
          </w:tcPr>
          <w:p w14:paraId="556E2E14" w14:textId="4A4D7574"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Demand management</w:t>
            </w:r>
            <w:r w:rsidR="005806E3" w:rsidRPr="00A9353A">
              <w:rPr>
                <w:rFonts w:ascii="Arial" w:hAnsi="Arial" w:cs="Arial"/>
                <w:sz w:val="18"/>
                <w:szCs w:val="18"/>
              </w:rPr>
              <w:t>; Production reduction</w:t>
            </w:r>
          </w:p>
        </w:tc>
        <w:tc>
          <w:tcPr>
            <w:tcW w:w="3245" w:type="dxa"/>
            <w:tcBorders>
              <w:top w:val="nil"/>
              <w:bottom w:val="nil"/>
            </w:tcBorders>
          </w:tcPr>
          <w:p w14:paraId="7EEAA0EF" w14:textId="67C4099F"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Meet increased plastic demand through recycled secondary plastic by 2060</w:t>
            </w:r>
            <w:r w:rsidR="005806E3" w:rsidRPr="00A9353A">
              <w:rPr>
                <w:rFonts w:ascii="Arial" w:hAnsi="Arial" w:cs="Arial"/>
                <w:sz w:val="18"/>
                <w:szCs w:val="18"/>
              </w:rPr>
              <w:t xml:space="preserve">; Decrease global plastic use by </w:t>
            </w:r>
            <w:r w:rsidR="008B1BBB" w:rsidRPr="00A9353A">
              <w:rPr>
                <w:rFonts w:ascii="Arial" w:hAnsi="Arial" w:cs="Arial"/>
                <w:sz w:val="18"/>
                <w:szCs w:val="18"/>
              </w:rPr>
              <w:t xml:space="preserve">about </w:t>
            </w:r>
            <w:r w:rsidR="005806E3" w:rsidRPr="00A9353A">
              <w:rPr>
                <w:rFonts w:ascii="Arial" w:hAnsi="Arial" w:cs="Arial"/>
                <w:sz w:val="18"/>
                <w:szCs w:val="18"/>
              </w:rPr>
              <w:t>20% (to 1018 Mt) by 2060</w:t>
            </w:r>
          </w:p>
        </w:tc>
        <w:tc>
          <w:tcPr>
            <w:tcW w:w="2410" w:type="dxa"/>
            <w:tcBorders>
              <w:top w:val="nil"/>
              <w:bottom w:val="nil"/>
            </w:tcBorders>
          </w:tcPr>
          <w:p w14:paraId="0A2CF1B4" w14:textId="557B461C"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OECD (2022)</w:t>
            </w:r>
            <w:r w:rsidR="001A0E3B" w:rsidRPr="00A9353A">
              <w:rPr>
                <w:rFonts w:ascii="Arial" w:hAnsi="Arial" w:cs="Arial"/>
                <w:sz w:val="18"/>
                <w:szCs w:val="18"/>
              </w:rPr>
              <w:t xml:space="preserve">; International Institute for Sustainable Development (IISD) (2022); </w:t>
            </w:r>
            <w:proofErr w:type="spellStart"/>
            <w:r w:rsidR="001A0E3B" w:rsidRPr="00A9353A">
              <w:rPr>
                <w:rFonts w:ascii="Arial" w:hAnsi="Arial" w:cs="Arial"/>
                <w:sz w:val="18"/>
                <w:szCs w:val="18"/>
              </w:rPr>
              <w:t>Gureser</w:t>
            </w:r>
            <w:proofErr w:type="spellEnd"/>
            <w:r w:rsidR="001A0E3B" w:rsidRPr="00A9353A">
              <w:rPr>
                <w:rFonts w:ascii="Arial" w:hAnsi="Arial" w:cs="Arial"/>
                <w:sz w:val="18"/>
                <w:szCs w:val="18"/>
              </w:rPr>
              <w:t xml:space="preserve"> (2025)</w:t>
            </w:r>
          </w:p>
        </w:tc>
      </w:tr>
      <w:tr w:rsidR="009B756B" w:rsidRPr="00A9353A" w14:paraId="26185469" w14:textId="77777777" w:rsidTr="00262E0F">
        <w:trPr>
          <w:trHeight w:val="189"/>
        </w:trPr>
        <w:tc>
          <w:tcPr>
            <w:cnfStyle w:val="001000000000" w:firstRow="0" w:lastRow="0" w:firstColumn="1" w:lastColumn="0" w:oddVBand="0" w:evenVBand="0" w:oddHBand="0" w:evenHBand="0" w:firstRowFirstColumn="0" w:firstRowLastColumn="0" w:lastRowFirstColumn="0" w:lastRowLastColumn="0"/>
            <w:tcW w:w="564" w:type="dxa"/>
            <w:tcBorders>
              <w:top w:val="nil"/>
              <w:bottom w:val="nil"/>
            </w:tcBorders>
          </w:tcPr>
          <w:p w14:paraId="76BA910B" w14:textId="42B5220F" w:rsidR="00F847F8" w:rsidRPr="00A9353A" w:rsidRDefault="005806E3" w:rsidP="002D6983">
            <w:pPr>
              <w:pStyle w:val="Body"/>
              <w:spacing w:after="120" w:line="228" w:lineRule="auto"/>
              <w:jc w:val="left"/>
              <w:rPr>
                <w:rFonts w:ascii="Arial" w:hAnsi="Arial" w:cs="Arial"/>
                <w:sz w:val="18"/>
                <w:szCs w:val="18"/>
              </w:rPr>
            </w:pPr>
            <w:r w:rsidRPr="00A9353A">
              <w:rPr>
                <w:rFonts w:ascii="Arial" w:hAnsi="Arial" w:cs="Arial"/>
                <w:sz w:val="18"/>
                <w:szCs w:val="18"/>
              </w:rPr>
              <w:t>18</w:t>
            </w:r>
          </w:p>
        </w:tc>
        <w:tc>
          <w:tcPr>
            <w:tcW w:w="1074" w:type="dxa"/>
            <w:tcBorders>
              <w:top w:val="nil"/>
              <w:bottom w:val="nil"/>
            </w:tcBorders>
          </w:tcPr>
          <w:p w14:paraId="6E5B4196" w14:textId="394973E7"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Global</w:t>
            </w:r>
          </w:p>
        </w:tc>
        <w:tc>
          <w:tcPr>
            <w:tcW w:w="2970" w:type="dxa"/>
            <w:tcBorders>
              <w:top w:val="nil"/>
              <w:bottom w:val="nil"/>
            </w:tcBorders>
          </w:tcPr>
          <w:p w14:paraId="3DF01B97" w14:textId="12533ED9" w:rsidR="00F847F8" w:rsidRPr="00A9353A" w:rsidRDefault="005806E3"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New Plastics Economy Global Commitment, launched in 2018 by the Ellen MacArthur Foundation in collaboration with the UN Environment Programme</w:t>
            </w:r>
          </w:p>
        </w:tc>
        <w:tc>
          <w:tcPr>
            <w:tcW w:w="2070" w:type="dxa"/>
            <w:tcBorders>
              <w:top w:val="nil"/>
              <w:bottom w:val="nil"/>
            </w:tcBorders>
          </w:tcPr>
          <w:p w14:paraId="3F5F52B0" w14:textId="22D71782"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Industry transformation</w:t>
            </w:r>
          </w:p>
        </w:tc>
        <w:tc>
          <w:tcPr>
            <w:tcW w:w="3245" w:type="dxa"/>
            <w:tcBorders>
              <w:top w:val="nil"/>
              <w:bottom w:val="nil"/>
            </w:tcBorders>
          </w:tcPr>
          <w:p w14:paraId="46F3F3D1" w14:textId="1C9D9537"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100% of plastic packaging reusable, recyclable, or compostable by 2025</w:t>
            </w:r>
          </w:p>
        </w:tc>
        <w:tc>
          <w:tcPr>
            <w:tcW w:w="2410" w:type="dxa"/>
            <w:tcBorders>
              <w:top w:val="nil"/>
              <w:bottom w:val="nil"/>
            </w:tcBorders>
          </w:tcPr>
          <w:p w14:paraId="17DD7684" w14:textId="4A187C0A" w:rsidR="00F847F8" w:rsidRPr="00A9353A" w:rsidRDefault="00F847F8" w:rsidP="002D6983">
            <w:pPr>
              <w:pStyle w:val="Body"/>
              <w:spacing w:after="120" w:line="228"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353A">
              <w:rPr>
                <w:rFonts w:ascii="Arial" w:hAnsi="Arial" w:cs="Arial"/>
                <w:sz w:val="18"/>
                <w:szCs w:val="18"/>
              </w:rPr>
              <w:t>Ellen MacArthur Foundation (2022)</w:t>
            </w:r>
            <w:r w:rsidR="00B7285E" w:rsidRPr="00A9353A">
              <w:rPr>
                <w:rFonts w:ascii="Arial" w:hAnsi="Arial" w:cs="Arial"/>
                <w:sz w:val="18"/>
                <w:szCs w:val="18"/>
              </w:rPr>
              <w:t>; Ellen MacArthur Foundation (2023)</w:t>
            </w:r>
          </w:p>
        </w:tc>
      </w:tr>
      <w:tr w:rsidR="009B756B" w:rsidRPr="00A9353A" w14:paraId="489EAF24" w14:textId="77777777" w:rsidTr="0026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Borders>
              <w:top w:val="nil"/>
            </w:tcBorders>
          </w:tcPr>
          <w:p w14:paraId="3B177AA3" w14:textId="7857307D" w:rsidR="00F847F8" w:rsidRPr="00A9353A" w:rsidRDefault="005806E3" w:rsidP="002D6983">
            <w:pPr>
              <w:pStyle w:val="Body"/>
              <w:spacing w:after="120" w:line="228" w:lineRule="auto"/>
              <w:jc w:val="left"/>
              <w:rPr>
                <w:rFonts w:ascii="Arial" w:hAnsi="Arial" w:cs="Arial"/>
                <w:sz w:val="18"/>
                <w:szCs w:val="18"/>
              </w:rPr>
            </w:pPr>
            <w:r w:rsidRPr="00A9353A">
              <w:rPr>
                <w:rFonts w:ascii="Arial" w:hAnsi="Arial" w:cs="Arial"/>
                <w:sz w:val="18"/>
                <w:szCs w:val="18"/>
              </w:rPr>
              <w:t>19</w:t>
            </w:r>
          </w:p>
        </w:tc>
        <w:tc>
          <w:tcPr>
            <w:tcW w:w="1074" w:type="dxa"/>
            <w:tcBorders>
              <w:top w:val="nil"/>
            </w:tcBorders>
          </w:tcPr>
          <w:p w14:paraId="0EC8941D" w14:textId="53C0C11E"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Global</w:t>
            </w:r>
          </w:p>
        </w:tc>
        <w:tc>
          <w:tcPr>
            <w:tcW w:w="2970" w:type="dxa"/>
            <w:tcBorders>
              <w:top w:val="nil"/>
            </w:tcBorders>
          </w:tcPr>
          <w:p w14:paraId="3FE6C84B" w14:textId="38F1FE3A" w:rsidR="00F847F8" w:rsidRPr="00A9353A" w:rsidRDefault="004922FC"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United Nations – Global Plastics Treaty (Intergovernmental Negotiating Committee)</w:t>
            </w:r>
          </w:p>
        </w:tc>
        <w:tc>
          <w:tcPr>
            <w:tcW w:w="2070" w:type="dxa"/>
            <w:tcBorders>
              <w:top w:val="nil"/>
            </w:tcBorders>
          </w:tcPr>
          <w:p w14:paraId="139EC216" w14:textId="7A160E13"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International legal framework</w:t>
            </w:r>
          </w:p>
        </w:tc>
        <w:tc>
          <w:tcPr>
            <w:tcW w:w="3245" w:type="dxa"/>
            <w:tcBorders>
              <w:top w:val="nil"/>
            </w:tcBorders>
          </w:tcPr>
          <w:p w14:paraId="4C887B7E" w14:textId="2E68DCCC"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Legally binding agreement on plastic pollution covering full lifecycle</w:t>
            </w:r>
          </w:p>
        </w:tc>
        <w:tc>
          <w:tcPr>
            <w:tcW w:w="2410" w:type="dxa"/>
            <w:tcBorders>
              <w:top w:val="nil"/>
            </w:tcBorders>
          </w:tcPr>
          <w:p w14:paraId="2AF65EC7" w14:textId="698DB286" w:rsidR="00F847F8" w:rsidRPr="00A9353A" w:rsidRDefault="00F847F8" w:rsidP="002D6983">
            <w:pPr>
              <w:pStyle w:val="Body"/>
              <w:spacing w:after="120" w:line="228"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353A">
              <w:rPr>
                <w:rFonts w:ascii="Arial" w:hAnsi="Arial" w:cs="Arial"/>
                <w:sz w:val="18"/>
                <w:szCs w:val="18"/>
              </w:rPr>
              <w:t>UNEP (2022)</w:t>
            </w:r>
            <w:r w:rsidR="005B22ED" w:rsidRPr="00A9353A">
              <w:rPr>
                <w:rFonts w:ascii="Arial" w:hAnsi="Arial" w:cs="Arial"/>
                <w:sz w:val="18"/>
                <w:szCs w:val="18"/>
              </w:rPr>
              <w:t>; UNEP (2023)</w:t>
            </w:r>
          </w:p>
        </w:tc>
      </w:tr>
    </w:tbl>
    <w:p w14:paraId="3129D6BA" w14:textId="77777777" w:rsidR="00C24DC2" w:rsidRPr="00A9353A" w:rsidRDefault="00C24DC2" w:rsidP="00262E0F">
      <w:pPr>
        <w:pStyle w:val="Body"/>
        <w:tabs>
          <w:tab w:val="left" w:pos="2115"/>
        </w:tabs>
        <w:spacing w:after="0"/>
        <w:rPr>
          <w:rFonts w:ascii="Arial" w:hAnsi="Arial" w:cs="Arial"/>
        </w:rPr>
      </w:pPr>
    </w:p>
    <w:p w14:paraId="50E6E999" w14:textId="7CBD60AA" w:rsidR="00C24DC2" w:rsidRPr="00A9353A" w:rsidRDefault="00C24DC2" w:rsidP="00C24DC2">
      <w:pPr>
        <w:pStyle w:val="Body"/>
        <w:rPr>
          <w:rFonts w:ascii="Arial" w:hAnsi="Arial" w:cs="Arial"/>
        </w:rPr>
      </w:pPr>
      <w:r w:rsidRPr="00A9353A">
        <w:rPr>
          <w:rFonts w:ascii="Arial" w:hAnsi="Arial" w:cs="Arial"/>
        </w:rPr>
        <w:t>Analysis reveals a significant policy gap: only 3 of 19 policies (16%) promote bioplastics as sustainable alternatives, while 84% focus on end-of-pipe solutions. Policy distribution shows 37% emphasise bans on single-use plastics, 32% prioritise recycling targets, and 16% focus on waste management improvements. Regional analysis shows Europe leads with 50% of policies referencing bio-based alternatives, while Africa, Americas, and Asia show 0% adoption. This highlights a fundamental misalignment between environmental objectives and implementation strategies, with policies remaining oriented toward reactive waste management rather than proactive material substitution through bioplastics.</w:t>
      </w:r>
    </w:p>
    <w:p w14:paraId="27D82053" w14:textId="2825B262" w:rsidR="00C24DC2" w:rsidRPr="00A9353A" w:rsidRDefault="00C24DC2" w:rsidP="00C24DC2">
      <w:pPr>
        <w:pStyle w:val="Body"/>
        <w:tabs>
          <w:tab w:val="left" w:pos="2115"/>
        </w:tabs>
        <w:rPr>
          <w:rFonts w:ascii="Arial" w:hAnsi="Arial" w:cs="Arial"/>
        </w:rPr>
        <w:sectPr w:rsidR="00C24DC2" w:rsidRPr="00A9353A" w:rsidSect="005140F8">
          <w:pgSz w:w="15840" w:h="12240" w:orient="landscape"/>
          <w:pgMar w:top="1440" w:right="1440" w:bottom="1350" w:left="2016" w:header="720" w:footer="1123" w:gutter="0"/>
          <w:cols w:space="720"/>
          <w:docGrid w:linePitch="272"/>
        </w:sectPr>
      </w:pPr>
    </w:p>
    <w:p w14:paraId="2A314850" w14:textId="0CBE9501" w:rsidR="005564F9" w:rsidRPr="00A9353A" w:rsidRDefault="005564F9" w:rsidP="00282A09">
      <w:pPr>
        <w:pStyle w:val="Body"/>
        <w:rPr>
          <w:rFonts w:ascii="Arial" w:hAnsi="Arial" w:cs="Arial"/>
          <w:b/>
          <w:sz w:val="22"/>
        </w:rPr>
      </w:pPr>
      <w:r w:rsidRPr="00A9353A">
        <w:rPr>
          <w:rFonts w:ascii="Arial" w:hAnsi="Arial" w:cs="Arial"/>
          <w:b/>
          <w:sz w:val="22"/>
        </w:rPr>
        <w:lastRenderedPageBreak/>
        <w:t>1.</w:t>
      </w:r>
      <w:r w:rsidR="006E084E" w:rsidRPr="00A9353A">
        <w:rPr>
          <w:rFonts w:ascii="Arial" w:hAnsi="Arial" w:cs="Arial"/>
          <w:b/>
          <w:sz w:val="22"/>
        </w:rPr>
        <w:t>2</w:t>
      </w:r>
      <w:r w:rsidR="007E73B6" w:rsidRPr="00A9353A">
        <w:rPr>
          <w:rFonts w:ascii="Arial" w:hAnsi="Arial" w:cs="Arial"/>
          <w:b/>
          <w:sz w:val="22"/>
        </w:rPr>
        <w:t xml:space="preserve"> </w:t>
      </w:r>
      <w:r w:rsidRPr="00A9353A">
        <w:rPr>
          <w:rFonts w:ascii="Arial" w:hAnsi="Arial" w:cs="Arial"/>
          <w:b/>
          <w:sz w:val="22"/>
        </w:rPr>
        <w:t>Bioplastics as Sustainable Alternatives</w:t>
      </w:r>
      <w:r w:rsidR="006E1A9E" w:rsidRPr="00A9353A">
        <w:rPr>
          <w:rFonts w:ascii="Arial" w:hAnsi="Arial" w:cs="Arial"/>
          <w:b/>
          <w:sz w:val="22"/>
        </w:rPr>
        <w:t xml:space="preserve"> Using Starch</w:t>
      </w:r>
    </w:p>
    <w:p w14:paraId="4F6FB764" w14:textId="395490BA" w:rsidR="006E1A9E" w:rsidRPr="00A9353A" w:rsidRDefault="00900B4E" w:rsidP="006E1A9E">
      <w:pPr>
        <w:pStyle w:val="Body"/>
        <w:rPr>
          <w:rFonts w:ascii="Arial" w:hAnsi="Arial" w:cs="Arial"/>
        </w:rPr>
      </w:pPr>
      <w:r w:rsidRPr="00A9353A">
        <w:rPr>
          <w:rFonts w:ascii="Arial" w:hAnsi="Arial" w:cs="Arial"/>
        </w:rPr>
        <w:t xml:space="preserve">Bioplastics offer reduced carbon footprints (30–70% lower emissions) and better end-of-life options </w:t>
      </w:r>
      <w:r w:rsidR="006E1A9E" w:rsidRPr="00A9353A">
        <w:rPr>
          <w:rFonts w:ascii="Arial" w:hAnsi="Arial" w:cs="Arial"/>
        </w:rPr>
        <w:t xml:space="preserve">compared to fossil-based plastics (Siracusa and Blanco, 2020). Global production capacity reached 2.47 million tonnes in 2024 and is projected to grow to 5.73 million tonnes by 2029 (European Bioplastics, 2024). Bioplastics are defined as </w:t>
      </w:r>
      <w:r w:rsidRPr="00A9353A">
        <w:rPr>
          <w:rFonts w:ascii="Arial" w:hAnsi="Arial" w:cs="Arial"/>
        </w:rPr>
        <w:t>“</w:t>
      </w:r>
      <w:r w:rsidR="006E1A9E" w:rsidRPr="00A9353A">
        <w:rPr>
          <w:rFonts w:ascii="Arial" w:hAnsi="Arial" w:cs="Arial"/>
        </w:rPr>
        <w:t>polymers that are bio-based, biodegradable, or both," classified along two dimensions: raw material origin and end-of-life behaviour (European Bioplastics, 2024; Di Bartolo et al., 2021; Dilshad et al., 2021). This creates four categories: (1) bio-based and biodegradable (e.g., PLA, PHA), (2) bio-based but non-biodegradable (e.g., bio-PE), (3) fossil-based but biodegradable (e.g., PBAT), and (4) conventional plastics.</w:t>
      </w:r>
    </w:p>
    <w:p w14:paraId="060AAE3D" w14:textId="11ADB119" w:rsidR="00C00675" w:rsidRPr="00A9353A" w:rsidRDefault="006E1A9E" w:rsidP="006E1A9E">
      <w:pPr>
        <w:pStyle w:val="Body"/>
        <w:rPr>
          <w:rFonts w:ascii="Arial" w:hAnsi="Arial" w:cs="Arial"/>
        </w:rPr>
      </w:pPr>
      <w:r w:rsidRPr="00A9353A">
        <w:rPr>
          <w:rFonts w:ascii="Arial" w:hAnsi="Arial" w:cs="Arial"/>
        </w:rPr>
        <w:t xml:space="preserve">Bio-based polymer production encompasses three routes: polymerisation of bio-derived monomers (e.g., PLA from lactic acid fermentation), modification of natural polymers (e.g., thermoplastic starch from cellulose, chitin), and direct extraction from microorganisms (e.g., PHA from bacterial fermentation). </w:t>
      </w:r>
      <w:r w:rsidRPr="00A9353A">
        <w:rPr>
          <w:rFonts w:ascii="Arial" w:hAnsi="Arial" w:cs="Arial"/>
          <w:b/>
          <w:bCs/>
        </w:rPr>
        <w:t>Table 2</w:t>
      </w:r>
      <w:r w:rsidRPr="00A9353A">
        <w:rPr>
          <w:rFonts w:ascii="Arial" w:hAnsi="Arial" w:cs="Arial"/>
        </w:rPr>
        <w:t xml:space="preserve"> summarises key bio-based polymers, production routes, and applications</w:t>
      </w:r>
      <w:r w:rsidR="00C00675" w:rsidRPr="00A9353A">
        <w:rPr>
          <w:rFonts w:ascii="Arial" w:hAnsi="Arial" w:cs="Arial"/>
        </w:rPr>
        <w:t xml:space="preserve">. </w:t>
      </w:r>
    </w:p>
    <w:p w14:paraId="3FA265FB" w14:textId="7CC4A11E" w:rsidR="000520C7" w:rsidRPr="00A9353A" w:rsidRDefault="000520C7" w:rsidP="000520C7">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2</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xml:space="preserve">: </w:t>
      </w:r>
      <w:r w:rsidR="005A62FB" w:rsidRPr="00A9353A">
        <w:rPr>
          <w:rFonts w:ascii="Arial" w:hAnsi="Arial" w:cs="Arial"/>
          <w:b/>
          <w:i w:val="0"/>
          <w:iCs w:val="0"/>
          <w:color w:val="auto"/>
          <w:sz w:val="20"/>
          <w:szCs w:val="20"/>
        </w:rPr>
        <w:t xml:space="preserve">Selected bio-based polymers and their applications </w:t>
      </w:r>
      <w:r w:rsidRPr="00A9353A">
        <w:rPr>
          <w:rFonts w:ascii="Arial" w:hAnsi="Arial" w:cs="Arial"/>
          <w:b/>
          <w:i w:val="0"/>
          <w:iCs w:val="0"/>
          <w:color w:val="auto"/>
          <w:sz w:val="20"/>
          <w:szCs w:val="20"/>
        </w:rPr>
        <w:t>(Di Bartolo et al., 2021)</w:t>
      </w:r>
    </w:p>
    <w:tbl>
      <w:tblPr>
        <w:tblStyle w:val="PlainTable2"/>
        <w:tblW w:w="8364" w:type="dxa"/>
        <w:tblLook w:val="04A0" w:firstRow="1" w:lastRow="0" w:firstColumn="1" w:lastColumn="0" w:noHBand="0" w:noVBand="1"/>
      </w:tblPr>
      <w:tblGrid>
        <w:gridCol w:w="2170"/>
        <w:gridCol w:w="1628"/>
        <w:gridCol w:w="2433"/>
        <w:gridCol w:w="2133"/>
      </w:tblGrid>
      <w:tr w:rsidR="000520C7" w:rsidRPr="00A9353A" w14:paraId="2851FEE1" w14:textId="77777777" w:rsidTr="00C24DC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7F7F7F" w:themeColor="text1" w:themeTint="80"/>
              <w:bottom w:val="single" w:sz="4" w:space="0" w:color="auto"/>
            </w:tcBorders>
            <w:hideMark/>
          </w:tcPr>
          <w:p w14:paraId="542F2028" w14:textId="77777777" w:rsidR="000520C7" w:rsidRPr="00A9353A" w:rsidRDefault="000520C7" w:rsidP="005A34E1">
            <w:pPr>
              <w:pStyle w:val="Body"/>
              <w:rPr>
                <w:rFonts w:ascii="Arial" w:hAnsi="Arial" w:cs="Arial"/>
                <w:sz w:val="19"/>
                <w:szCs w:val="19"/>
              </w:rPr>
            </w:pPr>
            <w:r w:rsidRPr="00A9353A">
              <w:rPr>
                <w:rFonts w:ascii="Arial" w:hAnsi="Arial" w:cs="Arial"/>
                <w:sz w:val="19"/>
                <w:szCs w:val="19"/>
              </w:rPr>
              <w:t>Polymer Type</w:t>
            </w:r>
          </w:p>
        </w:tc>
        <w:tc>
          <w:tcPr>
            <w:tcW w:w="1628" w:type="dxa"/>
            <w:tcBorders>
              <w:top w:val="single" w:sz="4" w:space="0" w:color="7F7F7F" w:themeColor="text1" w:themeTint="80"/>
              <w:bottom w:val="single" w:sz="4" w:space="0" w:color="auto"/>
            </w:tcBorders>
            <w:hideMark/>
          </w:tcPr>
          <w:p w14:paraId="2EF178E5" w14:textId="77777777" w:rsidR="000520C7" w:rsidRPr="00A9353A" w:rsidRDefault="000520C7" w:rsidP="00C24D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Production Route</w:t>
            </w:r>
          </w:p>
        </w:tc>
        <w:tc>
          <w:tcPr>
            <w:tcW w:w="0" w:type="auto"/>
            <w:tcBorders>
              <w:top w:val="single" w:sz="4" w:space="0" w:color="7F7F7F" w:themeColor="text1" w:themeTint="80"/>
              <w:bottom w:val="single" w:sz="4" w:space="0" w:color="auto"/>
            </w:tcBorders>
            <w:hideMark/>
          </w:tcPr>
          <w:p w14:paraId="00B7C548" w14:textId="77777777" w:rsidR="000520C7" w:rsidRPr="00A9353A" w:rsidRDefault="000520C7" w:rsidP="005A34E1">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Synthesis Description</w:t>
            </w:r>
          </w:p>
        </w:tc>
        <w:tc>
          <w:tcPr>
            <w:tcW w:w="2133" w:type="dxa"/>
            <w:tcBorders>
              <w:top w:val="single" w:sz="4" w:space="0" w:color="7F7F7F" w:themeColor="text1" w:themeTint="80"/>
              <w:bottom w:val="single" w:sz="4" w:space="0" w:color="auto"/>
            </w:tcBorders>
            <w:hideMark/>
          </w:tcPr>
          <w:p w14:paraId="251817B3" w14:textId="77777777" w:rsidR="000520C7" w:rsidRPr="00A9353A" w:rsidRDefault="000520C7" w:rsidP="005A34E1">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Key Applications</w:t>
            </w:r>
          </w:p>
        </w:tc>
      </w:tr>
      <w:tr w:rsidR="00365FFF" w:rsidRPr="00A9353A" w14:paraId="54E3AABB" w14:textId="77777777" w:rsidTr="00C24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dxa"/>
            <w:tcBorders>
              <w:top w:val="single" w:sz="4" w:space="0" w:color="auto"/>
              <w:bottom w:val="nil"/>
            </w:tcBorders>
            <w:hideMark/>
          </w:tcPr>
          <w:p w14:paraId="6CABBC57" w14:textId="77777777" w:rsidR="00365FFF" w:rsidRPr="00A9353A" w:rsidRDefault="00365FFF" w:rsidP="006E1A9E">
            <w:pPr>
              <w:pStyle w:val="Body"/>
              <w:spacing w:after="120"/>
              <w:jc w:val="left"/>
              <w:rPr>
                <w:rFonts w:ascii="Arial" w:hAnsi="Arial" w:cs="Arial"/>
                <w:b w:val="0"/>
                <w:bCs w:val="0"/>
                <w:sz w:val="19"/>
                <w:szCs w:val="19"/>
              </w:rPr>
            </w:pPr>
            <w:r w:rsidRPr="00A9353A">
              <w:rPr>
                <w:rFonts w:ascii="Arial" w:hAnsi="Arial" w:cs="Arial"/>
                <w:b w:val="0"/>
                <w:bCs w:val="0"/>
                <w:sz w:val="19"/>
                <w:szCs w:val="19"/>
              </w:rPr>
              <w:t>Polylactic Acid (PLA)</w:t>
            </w:r>
          </w:p>
        </w:tc>
        <w:tc>
          <w:tcPr>
            <w:tcW w:w="1628" w:type="dxa"/>
            <w:tcBorders>
              <w:top w:val="single" w:sz="4" w:space="0" w:color="auto"/>
              <w:bottom w:val="nil"/>
            </w:tcBorders>
            <w:vAlign w:val="center"/>
            <w:hideMark/>
          </w:tcPr>
          <w:p w14:paraId="13653973" w14:textId="77777777" w:rsidR="00365FFF" w:rsidRPr="00A9353A" w:rsidRDefault="00365FFF"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Polymerisation of bio-based monomers</w:t>
            </w:r>
          </w:p>
        </w:tc>
        <w:tc>
          <w:tcPr>
            <w:tcW w:w="0" w:type="auto"/>
            <w:tcBorders>
              <w:top w:val="single" w:sz="4" w:space="0" w:color="auto"/>
              <w:bottom w:val="nil"/>
            </w:tcBorders>
            <w:hideMark/>
          </w:tcPr>
          <w:p w14:paraId="2D59B8EF" w14:textId="28E71477" w:rsidR="00365FFF" w:rsidRPr="00A9353A" w:rsidRDefault="00365FFF"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Fermentation of carbohydrates to lactic acid, followed by polymerisation</w:t>
            </w:r>
          </w:p>
        </w:tc>
        <w:tc>
          <w:tcPr>
            <w:tcW w:w="2133" w:type="dxa"/>
            <w:tcBorders>
              <w:top w:val="single" w:sz="4" w:space="0" w:color="auto"/>
              <w:bottom w:val="nil"/>
            </w:tcBorders>
            <w:hideMark/>
          </w:tcPr>
          <w:p w14:paraId="66187F97" w14:textId="243CC3EA" w:rsidR="00365FFF" w:rsidRPr="00A9353A" w:rsidRDefault="00365FFF"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Packaging, biomedical devices, fibers</w:t>
            </w:r>
          </w:p>
        </w:tc>
      </w:tr>
      <w:tr w:rsidR="00365FFF" w:rsidRPr="00A9353A" w14:paraId="6EDB4012" w14:textId="77777777" w:rsidTr="00365FFF">
        <w:tc>
          <w:tcPr>
            <w:cnfStyle w:val="001000000000" w:firstRow="0" w:lastRow="0" w:firstColumn="1" w:lastColumn="0" w:oddVBand="0" w:evenVBand="0" w:oddHBand="0" w:evenHBand="0" w:firstRowFirstColumn="0" w:firstRowLastColumn="0" w:lastRowFirstColumn="0" w:lastRowLastColumn="0"/>
            <w:tcW w:w="2170" w:type="dxa"/>
            <w:tcBorders>
              <w:top w:val="nil"/>
              <w:bottom w:val="nil"/>
            </w:tcBorders>
            <w:hideMark/>
          </w:tcPr>
          <w:p w14:paraId="34089DE8" w14:textId="77777777" w:rsidR="00365FFF" w:rsidRPr="00A9353A" w:rsidRDefault="00365FFF" w:rsidP="006E1A9E">
            <w:pPr>
              <w:pStyle w:val="Body"/>
              <w:spacing w:after="120"/>
              <w:jc w:val="left"/>
              <w:rPr>
                <w:rFonts w:ascii="Arial" w:hAnsi="Arial" w:cs="Arial"/>
                <w:b w:val="0"/>
                <w:bCs w:val="0"/>
                <w:sz w:val="19"/>
                <w:szCs w:val="19"/>
              </w:rPr>
            </w:pPr>
            <w:r w:rsidRPr="00A9353A">
              <w:rPr>
                <w:rFonts w:ascii="Arial" w:hAnsi="Arial" w:cs="Arial"/>
                <w:b w:val="0"/>
                <w:bCs w:val="0"/>
                <w:sz w:val="19"/>
                <w:szCs w:val="19"/>
              </w:rPr>
              <w:t>Polyethylene (Bio-PE)</w:t>
            </w:r>
          </w:p>
        </w:tc>
        <w:tc>
          <w:tcPr>
            <w:tcW w:w="1628" w:type="dxa"/>
            <w:tcBorders>
              <w:top w:val="nil"/>
              <w:bottom w:val="nil"/>
            </w:tcBorders>
          </w:tcPr>
          <w:p w14:paraId="499E98A9" w14:textId="7AA423AD" w:rsidR="00365FFF" w:rsidRPr="00A9353A" w:rsidRDefault="00365FFF"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Polymerisation of bio-based monomers</w:t>
            </w:r>
          </w:p>
        </w:tc>
        <w:tc>
          <w:tcPr>
            <w:tcW w:w="0" w:type="auto"/>
            <w:tcBorders>
              <w:top w:val="nil"/>
              <w:bottom w:val="nil"/>
            </w:tcBorders>
            <w:hideMark/>
          </w:tcPr>
          <w:p w14:paraId="64535AE4" w14:textId="62263439" w:rsidR="00365FFF" w:rsidRPr="00A9353A" w:rsidRDefault="00365FFF"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Fermentation of saccharides to bioethanol, dehydrated to ethylene</w:t>
            </w:r>
          </w:p>
        </w:tc>
        <w:tc>
          <w:tcPr>
            <w:tcW w:w="2133" w:type="dxa"/>
            <w:tcBorders>
              <w:top w:val="nil"/>
              <w:bottom w:val="nil"/>
            </w:tcBorders>
            <w:hideMark/>
          </w:tcPr>
          <w:p w14:paraId="6CD2D250" w14:textId="3016498A" w:rsidR="00365FFF" w:rsidRPr="00A9353A" w:rsidRDefault="00365FFF"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Packaging, films, bottles</w:t>
            </w:r>
          </w:p>
        </w:tc>
      </w:tr>
      <w:tr w:rsidR="006E1A9E" w:rsidRPr="00A9353A" w14:paraId="0A095948" w14:textId="77777777" w:rsidTr="0036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dxa"/>
            <w:tcBorders>
              <w:top w:val="nil"/>
              <w:bottom w:val="nil"/>
            </w:tcBorders>
            <w:hideMark/>
          </w:tcPr>
          <w:p w14:paraId="68F3DFB4" w14:textId="555695A0" w:rsidR="006E1A9E" w:rsidRPr="00A9353A" w:rsidRDefault="006E1A9E" w:rsidP="006E1A9E">
            <w:pPr>
              <w:pStyle w:val="Body"/>
              <w:spacing w:after="120"/>
              <w:jc w:val="left"/>
              <w:rPr>
                <w:rFonts w:ascii="Arial" w:hAnsi="Arial" w:cs="Arial"/>
                <w:sz w:val="19"/>
                <w:szCs w:val="19"/>
              </w:rPr>
            </w:pPr>
            <w:r w:rsidRPr="00A9353A">
              <w:rPr>
                <w:rFonts w:ascii="Arial" w:hAnsi="Arial" w:cs="Arial"/>
                <w:b w:val="0"/>
                <w:bCs w:val="0"/>
                <w:sz w:val="19"/>
                <w:szCs w:val="19"/>
              </w:rPr>
              <w:t>Thermoplastic Starch (TPS)</w:t>
            </w:r>
          </w:p>
        </w:tc>
        <w:tc>
          <w:tcPr>
            <w:tcW w:w="1628" w:type="dxa"/>
            <w:tcBorders>
              <w:top w:val="nil"/>
              <w:bottom w:val="nil"/>
            </w:tcBorders>
            <w:vAlign w:val="center"/>
            <w:hideMark/>
          </w:tcPr>
          <w:p w14:paraId="6ED9F64C" w14:textId="77777777" w:rsidR="006E1A9E" w:rsidRPr="00A9353A" w:rsidRDefault="006E1A9E"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Modification of natural polymers</w:t>
            </w:r>
          </w:p>
        </w:tc>
        <w:tc>
          <w:tcPr>
            <w:tcW w:w="0" w:type="auto"/>
            <w:tcBorders>
              <w:top w:val="nil"/>
              <w:bottom w:val="nil"/>
            </w:tcBorders>
            <w:hideMark/>
          </w:tcPr>
          <w:p w14:paraId="3ACAAFC1" w14:textId="1BFF8771" w:rsidR="006E1A9E" w:rsidRPr="00A9353A" w:rsidRDefault="006E1A9E"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Gelatinisation of starch with plasticisers via casting or extrusion</w:t>
            </w:r>
          </w:p>
        </w:tc>
        <w:tc>
          <w:tcPr>
            <w:tcW w:w="2133" w:type="dxa"/>
            <w:tcBorders>
              <w:top w:val="nil"/>
              <w:bottom w:val="nil"/>
            </w:tcBorders>
            <w:hideMark/>
          </w:tcPr>
          <w:p w14:paraId="0CC5598E" w14:textId="3A6475DD" w:rsidR="006E1A9E" w:rsidRPr="00A9353A" w:rsidRDefault="006E1A9E" w:rsidP="006E1A9E">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A9353A">
              <w:rPr>
                <w:rFonts w:ascii="Arial" w:hAnsi="Arial" w:cs="Arial"/>
                <w:sz w:val="19"/>
                <w:szCs w:val="19"/>
              </w:rPr>
              <w:t>Packaging, edible films, agricultural mulch</w:t>
            </w:r>
          </w:p>
        </w:tc>
      </w:tr>
      <w:tr w:rsidR="006E1A9E" w:rsidRPr="00A9353A" w14:paraId="607E132C" w14:textId="77777777" w:rsidTr="00C24DC2">
        <w:trPr>
          <w:trHeight w:val="100"/>
        </w:trPr>
        <w:tc>
          <w:tcPr>
            <w:cnfStyle w:val="001000000000" w:firstRow="0" w:lastRow="0" w:firstColumn="1" w:lastColumn="0" w:oddVBand="0" w:evenVBand="0" w:oddHBand="0" w:evenHBand="0" w:firstRowFirstColumn="0" w:firstRowLastColumn="0" w:lastRowFirstColumn="0" w:lastRowLastColumn="0"/>
            <w:tcW w:w="2170" w:type="dxa"/>
            <w:tcBorders>
              <w:top w:val="nil"/>
            </w:tcBorders>
            <w:hideMark/>
          </w:tcPr>
          <w:p w14:paraId="385867B0" w14:textId="77777777" w:rsidR="006E1A9E" w:rsidRPr="00A9353A" w:rsidRDefault="006E1A9E" w:rsidP="006E1A9E">
            <w:pPr>
              <w:pStyle w:val="Body"/>
              <w:spacing w:after="120"/>
              <w:jc w:val="left"/>
              <w:rPr>
                <w:rFonts w:ascii="Arial" w:hAnsi="Arial" w:cs="Arial"/>
                <w:b w:val="0"/>
                <w:bCs w:val="0"/>
                <w:sz w:val="19"/>
                <w:szCs w:val="19"/>
              </w:rPr>
            </w:pPr>
            <w:r w:rsidRPr="00A9353A">
              <w:rPr>
                <w:rFonts w:ascii="Arial" w:hAnsi="Arial" w:cs="Arial"/>
                <w:b w:val="0"/>
                <w:bCs w:val="0"/>
                <w:sz w:val="19"/>
                <w:szCs w:val="19"/>
              </w:rPr>
              <w:t>Polyhydroxyalkanoates (PHA)</w:t>
            </w:r>
          </w:p>
        </w:tc>
        <w:tc>
          <w:tcPr>
            <w:tcW w:w="1628" w:type="dxa"/>
            <w:tcBorders>
              <w:top w:val="nil"/>
            </w:tcBorders>
            <w:hideMark/>
          </w:tcPr>
          <w:p w14:paraId="328EA1B5" w14:textId="77777777" w:rsidR="006E1A9E" w:rsidRPr="00A9353A" w:rsidRDefault="006E1A9E"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Extraction from microorganisms</w:t>
            </w:r>
          </w:p>
        </w:tc>
        <w:tc>
          <w:tcPr>
            <w:tcW w:w="0" w:type="auto"/>
            <w:tcBorders>
              <w:top w:val="nil"/>
            </w:tcBorders>
            <w:hideMark/>
          </w:tcPr>
          <w:p w14:paraId="24DE5D45" w14:textId="1D3A0243" w:rsidR="006E1A9E" w:rsidRPr="00A9353A" w:rsidRDefault="006E1A9E"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Intracellular accumulation by bacteria using carbon-rich substrates</w:t>
            </w:r>
          </w:p>
        </w:tc>
        <w:tc>
          <w:tcPr>
            <w:tcW w:w="2133" w:type="dxa"/>
            <w:tcBorders>
              <w:top w:val="nil"/>
            </w:tcBorders>
            <w:hideMark/>
          </w:tcPr>
          <w:p w14:paraId="01ACE29B" w14:textId="1A59725F" w:rsidR="006E1A9E" w:rsidRPr="00A9353A" w:rsidRDefault="006E1A9E" w:rsidP="006E1A9E">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A9353A">
              <w:rPr>
                <w:rFonts w:ascii="Arial" w:hAnsi="Arial" w:cs="Arial"/>
                <w:sz w:val="19"/>
                <w:szCs w:val="19"/>
              </w:rPr>
              <w:t>Biomedical implants, packaging, agricultural films</w:t>
            </w:r>
          </w:p>
        </w:tc>
      </w:tr>
    </w:tbl>
    <w:p w14:paraId="7649F07D" w14:textId="77777777" w:rsidR="005A62FB" w:rsidRPr="00A9353A" w:rsidRDefault="005A62FB" w:rsidP="004E744F">
      <w:pPr>
        <w:pStyle w:val="Body"/>
        <w:rPr>
          <w:rFonts w:ascii="Arial" w:hAnsi="Arial" w:cs="Arial"/>
          <w:bCs/>
        </w:rPr>
      </w:pPr>
    </w:p>
    <w:p w14:paraId="6E4FDF12" w14:textId="77777777" w:rsidR="00C24DC2" w:rsidRPr="00A9353A" w:rsidRDefault="004E744F" w:rsidP="00A710E8">
      <w:pPr>
        <w:pStyle w:val="Body"/>
        <w:rPr>
          <w:rFonts w:ascii="Arial" w:hAnsi="Arial" w:cs="Arial"/>
        </w:rPr>
      </w:pPr>
      <w:r w:rsidRPr="00A9353A">
        <w:rPr>
          <w:rFonts w:ascii="Arial" w:hAnsi="Arial" w:cs="Arial"/>
        </w:rPr>
        <w:t xml:space="preserve">Starch represents a versatile biopolymer with widespread industrial applications across food processing, textiles, paper manufacturing, and pharmaceuticals (Siracusa </w:t>
      </w:r>
      <w:r w:rsidR="008B360D" w:rsidRPr="00A9353A">
        <w:rPr>
          <w:rFonts w:ascii="Arial" w:hAnsi="Arial" w:cs="Arial"/>
        </w:rPr>
        <w:t>and</w:t>
      </w:r>
      <w:r w:rsidRPr="00A9353A">
        <w:rPr>
          <w:rFonts w:ascii="Arial" w:hAnsi="Arial" w:cs="Arial"/>
        </w:rPr>
        <w:t xml:space="preserve"> Blanco, 2020</w:t>
      </w:r>
      <w:r w:rsidR="00923D07" w:rsidRPr="00A9353A">
        <w:rPr>
          <w:rFonts w:ascii="Arial" w:hAnsi="Arial" w:cs="Arial"/>
        </w:rPr>
        <w:t>; Diyana et al., 2021)</w:t>
      </w:r>
      <w:r w:rsidRPr="00A9353A">
        <w:rPr>
          <w:rFonts w:ascii="Arial" w:hAnsi="Arial" w:cs="Arial"/>
        </w:rPr>
        <w:t xml:space="preserve">. Structurally, starch comprises amylopectin (branched chains) and amylose (linear chains), both consisting of D-glucose units with molecular weights ranging from 10⁴ to 10⁸ g/mol. This natural polysaccharide offers several advantages for sustainable packaging: complete biodegradability, biocompatibility, edible properties, global availability, straightforward processing, and economic competitiveness compared to petroleum-based materials (Thakur et al., 2019). </w:t>
      </w:r>
    </w:p>
    <w:p w14:paraId="2CEDFDEA" w14:textId="2AC5FDBA" w:rsidR="00A710E8" w:rsidRPr="00A9353A" w:rsidRDefault="00A710E8" w:rsidP="00A710E8">
      <w:pPr>
        <w:pStyle w:val="Body"/>
        <w:rPr>
          <w:rFonts w:ascii="Arial" w:hAnsi="Arial" w:cs="Arial"/>
        </w:rPr>
      </w:pPr>
      <w:r w:rsidRPr="00A9353A">
        <w:rPr>
          <w:rFonts w:ascii="Arial" w:hAnsi="Arial" w:cs="Arial"/>
        </w:rPr>
        <w:t>Cassava starch (Manihot esculenta) excels due to low gelatini</w:t>
      </w:r>
      <w:r w:rsidR="00E8796D" w:rsidRPr="00A9353A">
        <w:rPr>
          <w:rFonts w:ascii="Arial" w:hAnsi="Arial" w:cs="Arial"/>
        </w:rPr>
        <w:t>s</w:t>
      </w:r>
      <w:r w:rsidRPr="00A9353A">
        <w:rPr>
          <w:rFonts w:ascii="Arial" w:hAnsi="Arial" w:cs="Arial"/>
        </w:rPr>
        <w:t xml:space="preserve">ation temperature (52 – 64°C), high carbohydrate content (83.5 ± 2.5% pure starch), and suitable amylose/amylopectin ratios for film formation (Bertuzzi et al., 2007; </w:t>
      </w:r>
      <w:proofErr w:type="spellStart"/>
      <w:r w:rsidRPr="00A9353A">
        <w:rPr>
          <w:rFonts w:ascii="Arial" w:hAnsi="Arial" w:cs="Arial"/>
        </w:rPr>
        <w:t>Wongphan</w:t>
      </w:r>
      <w:proofErr w:type="spellEnd"/>
      <w:r w:rsidRPr="00A9353A">
        <w:rPr>
          <w:rFonts w:ascii="Arial" w:hAnsi="Arial" w:cs="Arial"/>
        </w:rPr>
        <w:t xml:space="preserve"> et al., 2022; Chamorro et al., 2025). However, pure starch exhibits high water solubility, brittleness, and poor thermal stability. Modification techniques including plasticisation with glycerol or sorbitol address these limitations by disrupting hydrogen bonding and increasing chain mobility (Diyana et al., 2021).</w:t>
      </w:r>
    </w:p>
    <w:p w14:paraId="4132B23E" w14:textId="07B75209" w:rsidR="00A710E8" w:rsidRPr="00A9353A" w:rsidRDefault="00A710E8" w:rsidP="00A710E8">
      <w:pPr>
        <w:pStyle w:val="Body"/>
        <w:rPr>
          <w:rFonts w:ascii="Arial" w:hAnsi="Arial" w:cs="Arial"/>
        </w:rPr>
      </w:pPr>
      <w:r w:rsidRPr="00A9353A">
        <w:rPr>
          <w:rFonts w:ascii="Arial" w:hAnsi="Arial" w:cs="Arial"/>
        </w:rPr>
        <w:lastRenderedPageBreak/>
        <w:t xml:space="preserve">Despite </w:t>
      </w:r>
      <w:r w:rsidR="00C24DC2" w:rsidRPr="00A9353A">
        <w:rPr>
          <w:rFonts w:ascii="Arial" w:hAnsi="Arial" w:cs="Arial"/>
        </w:rPr>
        <w:t xml:space="preserve">these </w:t>
      </w:r>
      <w:r w:rsidRPr="00A9353A">
        <w:rPr>
          <w:rFonts w:ascii="Arial" w:hAnsi="Arial" w:cs="Arial"/>
        </w:rPr>
        <w:t xml:space="preserve">advances, challenges </w:t>
      </w:r>
      <w:r w:rsidR="00C24DC2" w:rsidRPr="00A9353A">
        <w:rPr>
          <w:rFonts w:ascii="Arial" w:hAnsi="Arial" w:cs="Arial"/>
        </w:rPr>
        <w:t xml:space="preserve">continue to </w:t>
      </w:r>
      <w:r w:rsidRPr="00A9353A">
        <w:rPr>
          <w:rFonts w:ascii="Arial" w:hAnsi="Arial" w:cs="Arial"/>
        </w:rPr>
        <w:t>persist in starch</w:t>
      </w:r>
      <w:r w:rsidR="00C24DC2" w:rsidRPr="00A9353A">
        <w:rPr>
          <w:rFonts w:ascii="Arial" w:hAnsi="Arial" w:cs="Arial"/>
        </w:rPr>
        <w:t>-based</w:t>
      </w:r>
      <w:r w:rsidRPr="00A9353A">
        <w:rPr>
          <w:rFonts w:ascii="Arial" w:hAnsi="Arial" w:cs="Arial"/>
        </w:rPr>
        <w:t xml:space="preserve"> blends: residual hydrophilicity, mechanical-thermal trade-offs (e.g., glycerol enhances flexibility but increases moisture sensitivity), and limited optimi</w:t>
      </w:r>
      <w:r w:rsidR="00E8796D" w:rsidRPr="00A9353A">
        <w:rPr>
          <w:rFonts w:ascii="Arial" w:hAnsi="Arial" w:cs="Arial"/>
        </w:rPr>
        <w:t>s</w:t>
      </w:r>
      <w:r w:rsidRPr="00A9353A">
        <w:rPr>
          <w:rFonts w:ascii="Arial" w:hAnsi="Arial" w:cs="Arial"/>
        </w:rPr>
        <w:t>ation for packaging durability, cost, and performance in real-world conditions, particularly using abundant local cassava in developing regions.</w:t>
      </w:r>
    </w:p>
    <w:p w14:paraId="68DC68FA" w14:textId="326D7429" w:rsidR="00923D07" w:rsidRPr="00A9353A" w:rsidRDefault="00A710E8" w:rsidP="00A710E8">
      <w:pPr>
        <w:pStyle w:val="Body"/>
        <w:rPr>
          <w:rFonts w:ascii="Arial" w:hAnsi="Arial" w:cs="Arial"/>
        </w:rPr>
      </w:pPr>
      <w:r w:rsidRPr="00A9353A">
        <w:rPr>
          <w:rFonts w:ascii="Arial" w:hAnsi="Arial" w:cs="Arial"/>
        </w:rPr>
        <w:t xml:space="preserve">This study addresses these gaps by developing and characterizing biodegradable films from cassava starch blended with polyvinyl alcohol (PVA) and glycerol. Objectives include: (1) extracting high-yield cassava starch (target </w:t>
      </w:r>
      <w:r w:rsidR="008B1BBB" w:rsidRPr="00A9353A">
        <w:rPr>
          <w:rFonts w:ascii="Arial" w:hAnsi="Arial" w:cs="Arial"/>
        </w:rPr>
        <w:t xml:space="preserve">circa </w:t>
      </w:r>
      <w:r w:rsidRPr="00A9353A">
        <w:rPr>
          <w:rFonts w:ascii="Arial" w:hAnsi="Arial" w:cs="Arial"/>
        </w:rPr>
        <w:t>80%) and preparing films; (2) evaluating key properties (water absorption, biodegradation kinetics, FTIR for bonding, SEM for morphology, TGA for thermal stability); and (3) assessing suitability as eco-friendly packaging alternatives, while noting limitations such as unevaluated mechanical properties (e.g., tensile strength, elongation). This work aims to validate cassava-based composites for sustainable, low-cost applications in food/agricultural packaging</w:t>
      </w:r>
      <w:r w:rsidR="00044EB3" w:rsidRPr="00A9353A">
        <w:rPr>
          <w:rFonts w:ascii="Arial" w:hAnsi="Arial" w:cs="Arial"/>
        </w:rPr>
        <w:t>.</w:t>
      </w:r>
    </w:p>
    <w:p w14:paraId="79C9A24F" w14:textId="77777777" w:rsidR="00C24DC2" w:rsidRPr="00A9353A" w:rsidRDefault="00C24DC2" w:rsidP="00C24DC2">
      <w:pPr>
        <w:pStyle w:val="Body"/>
        <w:spacing w:after="0"/>
        <w:rPr>
          <w:rFonts w:ascii="Arial" w:hAnsi="Arial" w:cs="Arial"/>
        </w:rPr>
      </w:pPr>
    </w:p>
    <w:p w14:paraId="5A04CE17" w14:textId="7726BBB0" w:rsidR="007F7B32" w:rsidRPr="00A9353A" w:rsidRDefault="00902823" w:rsidP="008B360D">
      <w:pPr>
        <w:pStyle w:val="AbstHead"/>
        <w:jc w:val="both"/>
        <w:rPr>
          <w:rFonts w:ascii="Arial" w:hAnsi="Arial" w:cs="Arial"/>
        </w:rPr>
      </w:pPr>
      <w:r w:rsidRPr="00A9353A">
        <w:rPr>
          <w:rFonts w:ascii="Arial" w:hAnsi="Arial" w:cs="Arial"/>
        </w:rPr>
        <w:t>2. material</w:t>
      </w:r>
      <w:r w:rsidR="0045171F" w:rsidRPr="00A9353A">
        <w:rPr>
          <w:rFonts w:ascii="Arial" w:hAnsi="Arial" w:cs="Arial"/>
        </w:rPr>
        <w:t>S</w:t>
      </w:r>
      <w:r w:rsidRPr="00A9353A">
        <w:rPr>
          <w:rFonts w:ascii="Arial" w:hAnsi="Arial" w:cs="Arial"/>
        </w:rPr>
        <w:t xml:space="preserve"> and method</w:t>
      </w:r>
      <w:r w:rsidR="00000F8F" w:rsidRPr="00A9353A">
        <w:rPr>
          <w:rFonts w:ascii="Arial" w:hAnsi="Arial" w:cs="Arial"/>
        </w:rPr>
        <w:t>s</w:t>
      </w:r>
    </w:p>
    <w:p w14:paraId="2F30330A" w14:textId="428E95AF" w:rsidR="00801F45" w:rsidRPr="00A9353A" w:rsidRDefault="00801F45" w:rsidP="00801F45">
      <w:pPr>
        <w:pStyle w:val="Body"/>
        <w:spacing w:after="0"/>
        <w:rPr>
          <w:rFonts w:ascii="Arial" w:hAnsi="Arial" w:cs="Arial"/>
          <w:b/>
          <w:sz w:val="22"/>
        </w:rPr>
      </w:pPr>
      <w:r w:rsidRPr="00A9353A">
        <w:rPr>
          <w:rFonts w:ascii="Arial" w:hAnsi="Arial" w:cs="Arial"/>
          <w:b/>
          <w:sz w:val="22"/>
        </w:rPr>
        <w:t>2.1 Materials</w:t>
      </w:r>
      <w:r w:rsidR="00483A85" w:rsidRPr="00A9353A">
        <w:rPr>
          <w:rFonts w:ascii="Arial" w:hAnsi="Arial" w:cs="Arial"/>
          <w:b/>
          <w:sz w:val="22"/>
        </w:rPr>
        <w:t xml:space="preserve"> and Chemicals</w:t>
      </w:r>
    </w:p>
    <w:p w14:paraId="6722DE4C" w14:textId="769F4188" w:rsidR="00801F45" w:rsidRPr="00A9353A" w:rsidRDefault="004C17B6" w:rsidP="00801F45">
      <w:pPr>
        <w:pStyle w:val="Body"/>
        <w:spacing w:after="0"/>
        <w:rPr>
          <w:rFonts w:ascii="Arial" w:hAnsi="Arial" w:cs="Arial"/>
        </w:rPr>
      </w:pPr>
      <w:r w:rsidRPr="00A9353A">
        <w:rPr>
          <w:rFonts w:ascii="Arial" w:hAnsi="Arial" w:cs="Arial"/>
          <w:color w:val="000000" w:themeColor="text1"/>
        </w:rPr>
        <w:t xml:space="preserve">Fresh cassava </w:t>
      </w:r>
      <w:r w:rsidR="00D47804" w:rsidRPr="00A9353A">
        <w:rPr>
          <w:rFonts w:ascii="Arial" w:hAnsi="Arial" w:cs="Arial"/>
          <w:color w:val="000000" w:themeColor="text1"/>
        </w:rPr>
        <w:t>roots</w:t>
      </w:r>
      <w:r w:rsidRPr="00A9353A">
        <w:rPr>
          <w:rFonts w:ascii="Arial" w:hAnsi="Arial" w:cs="Arial"/>
          <w:color w:val="000000" w:themeColor="text1"/>
        </w:rPr>
        <w:t xml:space="preserve"> were procured from local </w:t>
      </w:r>
      <w:r w:rsidR="00D47804" w:rsidRPr="00A9353A">
        <w:rPr>
          <w:rFonts w:ascii="Arial" w:hAnsi="Arial" w:cs="Arial"/>
          <w:color w:val="000000" w:themeColor="text1"/>
        </w:rPr>
        <w:t>farmers</w:t>
      </w:r>
      <w:r w:rsidRPr="00A9353A">
        <w:rPr>
          <w:rFonts w:ascii="Arial" w:hAnsi="Arial" w:cs="Arial"/>
          <w:color w:val="000000" w:themeColor="text1"/>
        </w:rPr>
        <w:t xml:space="preserve"> in </w:t>
      </w:r>
      <w:r w:rsidR="00D47804" w:rsidRPr="00A9353A">
        <w:rPr>
          <w:rFonts w:ascii="Arial" w:hAnsi="Arial" w:cs="Arial"/>
          <w:color w:val="000000" w:themeColor="text1"/>
        </w:rPr>
        <w:t xml:space="preserve">Aluu Community, Rivers State, </w:t>
      </w:r>
      <w:r w:rsidRPr="00A9353A">
        <w:rPr>
          <w:rFonts w:ascii="Arial" w:hAnsi="Arial" w:cs="Arial"/>
          <w:color w:val="000000" w:themeColor="text1"/>
        </w:rPr>
        <w:t>Nigeria. C</w:t>
      </w:r>
      <w:r w:rsidR="00801F45" w:rsidRPr="00A9353A">
        <w:rPr>
          <w:rFonts w:ascii="Arial" w:hAnsi="Arial" w:cs="Arial"/>
          <w:color w:val="000000" w:themeColor="text1"/>
        </w:rPr>
        <w:t xml:space="preserve">hemicals and equipment used in </w:t>
      </w:r>
      <w:r w:rsidR="00801F45" w:rsidRPr="00A9353A">
        <w:rPr>
          <w:rFonts w:ascii="Arial" w:hAnsi="Arial" w:cs="Arial"/>
        </w:rPr>
        <w:t xml:space="preserve">this study are summarised in </w:t>
      </w:r>
      <w:r w:rsidR="00801F45" w:rsidRPr="00A9353A">
        <w:rPr>
          <w:rFonts w:ascii="Arial" w:hAnsi="Arial" w:cs="Arial"/>
          <w:b/>
          <w:bCs/>
        </w:rPr>
        <w:t>Tables 3 and 4</w:t>
      </w:r>
      <w:r w:rsidR="00801F45" w:rsidRPr="00A9353A">
        <w:rPr>
          <w:rFonts w:ascii="Arial" w:hAnsi="Arial" w:cs="Arial"/>
        </w:rPr>
        <w:t>. Cassava tubers served as the primary starch source, while chemical reagents were employed to modify the starch properties and improve bioplastic performance.</w:t>
      </w:r>
      <w:r w:rsidR="00885137" w:rsidRPr="00A9353A">
        <w:rPr>
          <w:rFonts w:ascii="Arial" w:hAnsi="Arial" w:cs="Arial"/>
        </w:rPr>
        <w:t xml:space="preserve"> Equipment comprised measuring cylinders, stirrer, weighing balance, hot plate, knives, electric blender, bowl, muslin cloth (sieve), metal tray, and stopwatch for precise measurements and processing.</w:t>
      </w:r>
    </w:p>
    <w:p w14:paraId="18503459" w14:textId="77777777" w:rsidR="00801F45" w:rsidRPr="00A9353A" w:rsidRDefault="00801F45" w:rsidP="00801F45">
      <w:pPr>
        <w:pStyle w:val="Body"/>
        <w:spacing w:after="0"/>
        <w:rPr>
          <w:rFonts w:ascii="Arial" w:hAnsi="Arial" w:cs="Arial"/>
        </w:rPr>
      </w:pPr>
    </w:p>
    <w:p w14:paraId="7D50A24B" w14:textId="37BFE85A" w:rsidR="00801F45" w:rsidRPr="00A9353A" w:rsidRDefault="00801F45" w:rsidP="00801F45">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3</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Chemicals and their uses</w:t>
      </w:r>
    </w:p>
    <w:tbl>
      <w:tblPr>
        <w:tblStyle w:val="PlainTable2"/>
        <w:tblW w:w="7530" w:type="dxa"/>
        <w:tblLook w:val="04A0" w:firstRow="1" w:lastRow="0" w:firstColumn="1" w:lastColumn="0" w:noHBand="0" w:noVBand="1"/>
      </w:tblPr>
      <w:tblGrid>
        <w:gridCol w:w="560"/>
        <w:gridCol w:w="2325"/>
        <w:gridCol w:w="4645"/>
      </w:tblGrid>
      <w:tr w:rsidR="00801F45" w:rsidRPr="00A9353A" w14:paraId="790F5546" w14:textId="77777777" w:rsidTr="004C17B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67C3634C" w14:textId="77777777" w:rsidR="00801F45" w:rsidRPr="00A9353A" w:rsidRDefault="00801F45" w:rsidP="00801F45">
            <w:pPr>
              <w:pStyle w:val="Body"/>
              <w:rPr>
                <w:rFonts w:ascii="Arial" w:hAnsi="Arial" w:cs="Arial"/>
              </w:rPr>
            </w:pPr>
            <w:r w:rsidRPr="00A9353A">
              <w:rPr>
                <w:rFonts w:ascii="Arial" w:hAnsi="Arial" w:cs="Arial"/>
              </w:rPr>
              <w:t>S/N</w:t>
            </w:r>
          </w:p>
        </w:tc>
        <w:tc>
          <w:tcPr>
            <w:tcW w:w="2325" w:type="dxa"/>
            <w:hideMark/>
          </w:tcPr>
          <w:p w14:paraId="4DC55079" w14:textId="77777777" w:rsidR="00801F45" w:rsidRPr="00A9353A"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Chemical/Reagent</w:t>
            </w:r>
          </w:p>
        </w:tc>
        <w:tc>
          <w:tcPr>
            <w:tcW w:w="4645" w:type="dxa"/>
            <w:hideMark/>
          </w:tcPr>
          <w:p w14:paraId="25AD0115" w14:textId="77777777" w:rsidR="00801F45" w:rsidRPr="00A9353A"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Use</w:t>
            </w:r>
          </w:p>
        </w:tc>
      </w:tr>
      <w:tr w:rsidR="00801F45" w:rsidRPr="00A9353A" w14:paraId="0F4F2507" w14:textId="77777777" w:rsidTr="004C17B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14:paraId="5C4745AE"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1</w:t>
            </w:r>
          </w:p>
        </w:tc>
        <w:tc>
          <w:tcPr>
            <w:tcW w:w="2325" w:type="dxa"/>
            <w:tcBorders>
              <w:bottom w:val="nil"/>
            </w:tcBorders>
            <w:hideMark/>
          </w:tcPr>
          <w:p w14:paraId="354909BD"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Acetic acid</w:t>
            </w:r>
          </w:p>
        </w:tc>
        <w:tc>
          <w:tcPr>
            <w:tcW w:w="4645" w:type="dxa"/>
            <w:tcBorders>
              <w:bottom w:val="nil"/>
            </w:tcBorders>
            <w:hideMark/>
          </w:tcPr>
          <w:p w14:paraId="4E077638"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Breaks the starch chain into smaller units</w:t>
            </w:r>
          </w:p>
        </w:tc>
      </w:tr>
      <w:tr w:rsidR="00801F45" w:rsidRPr="00A9353A" w14:paraId="07C47F9D" w14:textId="77777777" w:rsidTr="004C17B6">
        <w:trPr>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A4C397C"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2</w:t>
            </w:r>
          </w:p>
        </w:tc>
        <w:tc>
          <w:tcPr>
            <w:tcW w:w="2325" w:type="dxa"/>
            <w:tcBorders>
              <w:top w:val="nil"/>
              <w:bottom w:val="nil"/>
            </w:tcBorders>
            <w:hideMark/>
          </w:tcPr>
          <w:p w14:paraId="09462FE1"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Glycerol</w:t>
            </w:r>
          </w:p>
        </w:tc>
        <w:tc>
          <w:tcPr>
            <w:tcW w:w="4645" w:type="dxa"/>
            <w:tcBorders>
              <w:top w:val="nil"/>
              <w:bottom w:val="nil"/>
            </w:tcBorders>
            <w:hideMark/>
          </w:tcPr>
          <w:p w14:paraId="64A77871" w14:textId="33A4FE0D"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Acts as a plasticiser to improve flexibility</w:t>
            </w:r>
          </w:p>
        </w:tc>
      </w:tr>
      <w:tr w:rsidR="00801F45" w:rsidRPr="00A9353A" w14:paraId="06BC1221" w14:textId="77777777" w:rsidTr="004C17B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860677B"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3</w:t>
            </w:r>
          </w:p>
        </w:tc>
        <w:tc>
          <w:tcPr>
            <w:tcW w:w="2325" w:type="dxa"/>
            <w:tcBorders>
              <w:top w:val="nil"/>
              <w:bottom w:val="nil"/>
            </w:tcBorders>
            <w:hideMark/>
          </w:tcPr>
          <w:p w14:paraId="456E8B10"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Polyvinyl alcohol (PVA)</w:t>
            </w:r>
          </w:p>
        </w:tc>
        <w:tc>
          <w:tcPr>
            <w:tcW w:w="4645" w:type="dxa"/>
            <w:tcBorders>
              <w:top w:val="nil"/>
              <w:bottom w:val="nil"/>
            </w:tcBorders>
            <w:hideMark/>
          </w:tcPr>
          <w:p w14:paraId="3CD9B330"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Serves as a thickening and reinforcing agent</w:t>
            </w:r>
          </w:p>
        </w:tc>
      </w:tr>
      <w:tr w:rsidR="00801F45" w:rsidRPr="00A9353A" w14:paraId="525AFCCB" w14:textId="77777777" w:rsidTr="004C17B6">
        <w:trPr>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8103FB8"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4</w:t>
            </w:r>
          </w:p>
        </w:tc>
        <w:tc>
          <w:tcPr>
            <w:tcW w:w="2325" w:type="dxa"/>
            <w:tcBorders>
              <w:top w:val="nil"/>
              <w:bottom w:val="nil"/>
            </w:tcBorders>
            <w:hideMark/>
          </w:tcPr>
          <w:p w14:paraId="22697DD7"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Distilled water</w:t>
            </w:r>
          </w:p>
        </w:tc>
        <w:tc>
          <w:tcPr>
            <w:tcW w:w="4645" w:type="dxa"/>
            <w:tcBorders>
              <w:top w:val="nil"/>
              <w:bottom w:val="nil"/>
            </w:tcBorders>
            <w:hideMark/>
          </w:tcPr>
          <w:p w14:paraId="440D6EA8"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Solvent for chemical and starch modification</w:t>
            </w:r>
          </w:p>
        </w:tc>
      </w:tr>
      <w:tr w:rsidR="00801F45" w:rsidRPr="00A9353A" w14:paraId="6519A263" w14:textId="77777777" w:rsidTr="004C17B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07A0E8D1"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5</w:t>
            </w:r>
          </w:p>
        </w:tc>
        <w:tc>
          <w:tcPr>
            <w:tcW w:w="2325" w:type="dxa"/>
            <w:tcBorders>
              <w:top w:val="nil"/>
              <w:bottom w:val="nil"/>
            </w:tcBorders>
            <w:hideMark/>
          </w:tcPr>
          <w:p w14:paraId="43105113"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Citric acid</w:t>
            </w:r>
          </w:p>
        </w:tc>
        <w:tc>
          <w:tcPr>
            <w:tcW w:w="4645" w:type="dxa"/>
            <w:tcBorders>
              <w:top w:val="nil"/>
              <w:bottom w:val="nil"/>
            </w:tcBorders>
            <w:hideMark/>
          </w:tcPr>
          <w:p w14:paraId="640313C0" w14:textId="6567AB5D"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Modifies starch structure</w:t>
            </w:r>
          </w:p>
        </w:tc>
      </w:tr>
      <w:tr w:rsidR="00801F45" w:rsidRPr="00A9353A" w14:paraId="50CA0EDF" w14:textId="77777777" w:rsidTr="004C17B6">
        <w:trPr>
          <w:trHeight w:val="276"/>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2377908D"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6</w:t>
            </w:r>
          </w:p>
        </w:tc>
        <w:tc>
          <w:tcPr>
            <w:tcW w:w="2325" w:type="dxa"/>
            <w:tcBorders>
              <w:top w:val="nil"/>
            </w:tcBorders>
            <w:hideMark/>
          </w:tcPr>
          <w:p w14:paraId="3CF129DE"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Sodium acetate</w:t>
            </w:r>
          </w:p>
        </w:tc>
        <w:tc>
          <w:tcPr>
            <w:tcW w:w="4645" w:type="dxa"/>
            <w:tcBorders>
              <w:top w:val="nil"/>
            </w:tcBorders>
            <w:hideMark/>
          </w:tcPr>
          <w:p w14:paraId="0AE00FC7" w14:textId="6DC4EC8C"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Modifies starch structure as part of acetate buffer</w:t>
            </w:r>
          </w:p>
        </w:tc>
      </w:tr>
    </w:tbl>
    <w:p w14:paraId="39874D91" w14:textId="77777777" w:rsidR="00801F45" w:rsidRPr="00A9353A" w:rsidRDefault="00801F45" w:rsidP="00801F45">
      <w:pPr>
        <w:pStyle w:val="Body"/>
        <w:spacing w:after="0"/>
        <w:rPr>
          <w:rFonts w:ascii="Arial" w:hAnsi="Arial" w:cs="Arial"/>
        </w:rPr>
      </w:pPr>
    </w:p>
    <w:p w14:paraId="2087312D" w14:textId="77777777" w:rsidR="00790ADA" w:rsidRPr="00A9353A" w:rsidRDefault="00790ADA" w:rsidP="00441B6F">
      <w:pPr>
        <w:pStyle w:val="Body"/>
        <w:spacing w:after="0"/>
        <w:rPr>
          <w:rFonts w:ascii="Arial" w:hAnsi="Arial" w:cs="Arial"/>
        </w:rPr>
      </w:pPr>
    </w:p>
    <w:p w14:paraId="3791BF92" w14:textId="5E75C3F1" w:rsidR="00885137" w:rsidRPr="00A9353A" w:rsidRDefault="00885137" w:rsidP="00885137">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4</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Equipment and their uses</w:t>
      </w:r>
    </w:p>
    <w:tbl>
      <w:tblPr>
        <w:tblStyle w:val="PlainTable2"/>
        <w:tblW w:w="7549" w:type="dxa"/>
        <w:tblLook w:val="04A0" w:firstRow="1" w:lastRow="0" w:firstColumn="1" w:lastColumn="0" w:noHBand="0" w:noVBand="1"/>
      </w:tblPr>
      <w:tblGrid>
        <w:gridCol w:w="550"/>
        <w:gridCol w:w="2780"/>
        <w:gridCol w:w="4219"/>
      </w:tblGrid>
      <w:tr w:rsidR="004C17B6" w:rsidRPr="00A9353A" w14:paraId="6AD7622D" w14:textId="77777777" w:rsidTr="00262E0F">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50" w:type="dxa"/>
          </w:tcPr>
          <w:p w14:paraId="54CDAAE1" w14:textId="671ED36E" w:rsidR="00801F45" w:rsidRPr="00A9353A" w:rsidRDefault="00801F45" w:rsidP="00801F45">
            <w:pPr>
              <w:pStyle w:val="Body"/>
              <w:rPr>
                <w:rFonts w:ascii="Arial" w:hAnsi="Arial" w:cs="Arial"/>
              </w:rPr>
            </w:pPr>
            <w:r w:rsidRPr="00A9353A">
              <w:rPr>
                <w:rFonts w:ascii="Arial" w:hAnsi="Arial" w:cs="Arial"/>
              </w:rPr>
              <w:t>S/N</w:t>
            </w:r>
          </w:p>
        </w:tc>
        <w:tc>
          <w:tcPr>
            <w:tcW w:w="2780" w:type="dxa"/>
          </w:tcPr>
          <w:p w14:paraId="71216DA6" w14:textId="3178A43B" w:rsidR="00801F45" w:rsidRPr="00A9353A"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Equipment/Apparatus</w:t>
            </w:r>
          </w:p>
        </w:tc>
        <w:tc>
          <w:tcPr>
            <w:tcW w:w="4219" w:type="dxa"/>
          </w:tcPr>
          <w:p w14:paraId="2A78796F" w14:textId="77777777" w:rsidR="00801F45" w:rsidRPr="00A9353A" w:rsidRDefault="00801F45" w:rsidP="00801F45">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Use</w:t>
            </w:r>
          </w:p>
        </w:tc>
      </w:tr>
      <w:tr w:rsidR="004C17B6" w:rsidRPr="00A9353A" w14:paraId="61E429F8"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bottom w:val="nil"/>
            </w:tcBorders>
          </w:tcPr>
          <w:p w14:paraId="63DE43CB" w14:textId="6753A6D0"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1</w:t>
            </w:r>
          </w:p>
        </w:tc>
        <w:tc>
          <w:tcPr>
            <w:tcW w:w="2780" w:type="dxa"/>
            <w:tcBorders>
              <w:bottom w:val="nil"/>
            </w:tcBorders>
          </w:tcPr>
          <w:p w14:paraId="60DBAEDE"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Measuring Cylinders</w:t>
            </w:r>
          </w:p>
        </w:tc>
        <w:tc>
          <w:tcPr>
            <w:tcW w:w="4219" w:type="dxa"/>
            <w:tcBorders>
              <w:bottom w:val="nil"/>
            </w:tcBorders>
          </w:tcPr>
          <w:p w14:paraId="66D0589B"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Measurement</w:t>
            </w:r>
          </w:p>
        </w:tc>
      </w:tr>
      <w:tr w:rsidR="004C17B6" w:rsidRPr="00A9353A" w14:paraId="42345895"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092AEC02" w14:textId="0F33732D"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2</w:t>
            </w:r>
          </w:p>
        </w:tc>
        <w:tc>
          <w:tcPr>
            <w:tcW w:w="2780" w:type="dxa"/>
            <w:tcBorders>
              <w:top w:val="nil"/>
              <w:bottom w:val="nil"/>
            </w:tcBorders>
          </w:tcPr>
          <w:p w14:paraId="4EACC531"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Stirrer</w:t>
            </w:r>
          </w:p>
        </w:tc>
        <w:tc>
          <w:tcPr>
            <w:tcW w:w="4219" w:type="dxa"/>
            <w:tcBorders>
              <w:top w:val="nil"/>
              <w:bottom w:val="nil"/>
            </w:tcBorders>
          </w:tcPr>
          <w:p w14:paraId="5515D90B"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Mixing of material and reagents</w:t>
            </w:r>
          </w:p>
        </w:tc>
      </w:tr>
      <w:tr w:rsidR="004C17B6" w:rsidRPr="00A9353A" w14:paraId="1C5C9BCF"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D3720F2" w14:textId="43D63141"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3</w:t>
            </w:r>
          </w:p>
        </w:tc>
        <w:tc>
          <w:tcPr>
            <w:tcW w:w="2780" w:type="dxa"/>
            <w:tcBorders>
              <w:top w:val="nil"/>
              <w:bottom w:val="nil"/>
            </w:tcBorders>
          </w:tcPr>
          <w:p w14:paraId="76F7D56D" w14:textId="7AFCD484" w:rsidR="00801F45" w:rsidRPr="00A9353A" w:rsidRDefault="00B9660B"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 xml:space="preserve">Analytical </w:t>
            </w:r>
            <w:r w:rsidR="00801F45" w:rsidRPr="00A9353A">
              <w:rPr>
                <w:rFonts w:ascii="Arial" w:hAnsi="Arial" w:cs="Arial"/>
              </w:rPr>
              <w:t>balance</w:t>
            </w:r>
          </w:p>
        </w:tc>
        <w:tc>
          <w:tcPr>
            <w:tcW w:w="4219" w:type="dxa"/>
            <w:tcBorders>
              <w:top w:val="nil"/>
              <w:bottom w:val="nil"/>
            </w:tcBorders>
          </w:tcPr>
          <w:p w14:paraId="1CC3BDFF" w14:textId="4F8E40B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 xml:space="preserve">Measuring the </w:t>
            </w:r>
            <w:r w:rsidR="00E82E4B" w:rsidRPr="00A9353A">
              <w:rPr>
                <w:rFonts w:ascii="Arial" w:hAnsi="Arial" w:cs="Arial"/>
              </w:rPr>
              <w:t>mass</w:t>
            </w:r>
            <w:r w:rsidRPr="00A9353A">
              <w:rPr>
                <w:rFonts w:ascii="Arial" w:hAnsi="Arial" w:cs="Arial"/>
              </w:rPr>
              <w:t xml:space="preserve"> of sample</w:t>
            </w:r>
          </w:p>
        </w:tc>
      </w:tr>
      <w:tr w:rsidR="004C17B6" w:rsidRPr="00A9353A" w14:paraId="321AAB2E"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27D20235" w14:textId="0B2C7564"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4</w:t>
            </w:r>
          </w:p>
        </w:tc>
        <w:tc>
          <w:tcPr>
            <w:tcW w:w="2780" w:type="dxa"/>
            <w:tcBorders>
              <w:top w:val="nil"/>
              <w:bottom w:val="nil"/>
            </w:tcBorders>
          </w:tcPr>
          <w:p w14:paraId="3EAB72F6"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Hot plate</w:t>
            </w:r>
          </w:p>
        </w:tc>
        <w:tc>
          <w:tcPr>
            <w:tcW w:w="4219" w:type="dxa"/>
            <w:tcBorders>
              <w:top w:val="nil"/>
              <w:bottom w:val="nil"/>
            </w:tcBorders>
          </w:tcPr>
          <w:p w14:paraId="52661AB0"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Heat up reaction</w:t>
            </w:r>
          </w:p>
        </w:tc>
      </w:tr>
      <w:tr w:rsidR="004C17B6" w:rsidRPr="00A9353A" w14:paraId="1290E237" w14:textId="77777777" w:rsidTr="00B9660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4425C400" w14:textId="43A02A96"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5</w:t>
            </w:r>
          </w:p>
        </w:tc>
        <w:tc>
          <w:tcPr>
            <w:tcW w:w="2780" w:type="dxa"/>
            <w:tcBorders>
              <w:top w:val="nil"/>
              <w:bottom w:val="nil"/>
            </w:tcBorders>
          </w:tcPr>
          <w:p w14:paraId="77DD07FE"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Knives</w:t>
            </w:r>
          </w:p>
        </w:tc>
        <w:tc>
          <w:tcPr>
            <w:tcW w:w="4219" w:type="dxa"/>
            <w:tcBorders>
              <w:top w:val="nil"/>
              <w:bottom w:val="nil"/>
            </w:tcBorders>
          </w:tcPr>
          <w:p w14:paraId="75888CDD"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Slice cassavas</w:t>
            </w:r>
          </w:p>
        </w:tc>
      </w:tr>
      <w:tr w:rsidR="004C17B6" w:rsidRPr="00A9353A" w14:paraId="0354D667"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5B43090F" w14:textId="728E8B3D"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6</w:t>
            </w:r>
          </w:p>
        </w:tc>
        <w:tc>
          <w:tcPr>
            <w:tcW w:w="2780" w:type="dxa"/>
            <w:tcBorders>
              <w:top w:val="nil"/>
              <w:bottom w:val="nil"/>
            </w:tcBorders>
          </w:tcPr>
          <w:p w14:paraId="35BF5D51"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Electric blender</w:t>
            </w:r>
          </w:p>
        </w:tc>
        <w:tc>
          <w:tcPr>
            <w:tcW w:w="4219" w:type="dxa"/>
            <w:tcBorders>
              <w:top w:val="nil"/>
              <w:bottom w:val="nil"/>
            </w:tcBorders>
          </w:tcPr>
          <w:p w14:paraId="096BB03D"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Resize cassava to smaller unit</w:t>
            </w:r>
            <w:r w:rsidRPr="00A9353A">
              <w:rPr>
                <w:rFonts w:ascii="Arial" w:hAnsi="Arial" w:cs="Arial"/>
              </w:rPr>
              <w:tab/>
            </w:r>
          </w:p>
        </w:tc>
      </w:tr>
      <w:tr w:rsidR="004C17B6" w:rsidRPr="00A9353A" w14:paraId="1FF613C3"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8B1D068"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lastRenderedPageBreak/>
              <w:t>7</w:t>
            </w:r>
          </w:p>
        </w:tc>
        <w:tc>
          <w:tcPr>
            <w:tcW w:w="2780" w:type="dxa"/>
            <w:tcBorders>
              <w:top w:val="nil"/>
              <w:bottom w:val="nil"/>
            </w:tcBorders>
          </w:tcPr>
          <w:p w14:paraId="08951F52"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Bowl</w:t>
            </w:r>
          </w:p>
        </w:tc>
        <w:tc>
          <w:tcPr>
            <w:tcW w:w="4219" w:type="dxa"/>
            <w:tcBorders>
              <w:top w:val="nil"/>
              <w:bottom w:val="nil"/>
            </w:tcBorders>
          </w:tcPr>
          <w:p w14:paraId="5BDF48BB"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Collection of blended Cassava</w:t>
            </w:r>
          </w:p>
        </w:tc>
      </w:tr>
      <w:tr w:rsidR="004C17B6" w:rsidRPr="00A9353A" w14:paraId="4597EC63" w14:textId="77777777" w:rsidTr="00B9660B">
        <w:trPr>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3E60F3E9"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8</w:t>
            </w:r>
          </w:p>
        </w:tc>
        <w:tc>
          <w:tcPr>
            <w:tcW w:w="2780" w:type="dxa"/>
            <w:tcBorders>
              <w:top w:val="nil"/>
              <w:bottom w:val="nil"/>
            </w:tcBorders>
          </w:tcPr>
          <w:p w14:paraId="287A03D8" w14:textId="6AC9CB44" w:rsidR="00801F45" w:rsidRPr="00A9353A" w:rsidRDefault="00885137"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 xml:space="preserve">Muslin cloth </w:t>
            </w:r>
            <w:r w:rsidR="00801F45" w:rsidRPr="00A9353A">
              <w:rPr>
                <w:rFonts w:ascii="Arial" w:hAnsi="Arial" w:cs="Arial"/>
              </w:rPr>
              <w:t xml:space="preserve">(sieve) </w:t>
            </w:r>
          </w:p>
        </w:tc>
        <w:tc>
          <w:tcPr>
            <w:tcW w:w="4219" w:type="dxa"/>
            <w:tcBorders>
              <w:top w:val="nil"/>
              <w:bottom w:val="nil"/>
            </w:tcBorders>
          </w:tcPr>
          <w:p w14:paraId="6BF232E8"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Separation</w:t>
            </w:r>
          </w:p>
        </w:tc>
      </w:tr>
      <w:tr w:rsidR="004C17B6" w:rsidRPr="00A9353A" w14:paraId="098C679F" w14:textId="77777777" w:rsidTr="00B9660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7054606A"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9</w:t>
            </w:r>
          </w:p>
        </w:tc>
        <w:tc>
          <w:tcPr>
            <w:tcW w:w="2780" w:type="dxa"/>
            <w:tcBorders>
              <w:top w:val="nil"/>
              <w:bottom w:val="nil"/>
            </w:tcBorders>
          </w:tcPr>
          <w:p w14:paraId="7003A32A" w14:textId="7B111FD6" w:rsidR="00801F45" w:rsidRPr="00A9353A" w:rsidRDefault="00885137"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 xml:space="preserve">Metal </w:t>
            </w:r>
            <w:r w:rsidR="00801F45" w:rsidRPr="00A9353A">
              <w:rPr>
                <w:rFonts w:ascii="Arial" w:hAnsi="Arial" w:cs="Arial"/>
              </w:rPr>
              <w:t>tray</w:t>
            </w:r>
          </w:p>
        </w:tc>
        <w:tc>
          <w:tcPr>
            <w:tcW w:w="4219" w:type="dxa"/>
            <w:tcBorders>
              <w:top w:val="nil"/>
              <w:bottom w:val="nil"/>
            </w:tcBorders>
          </w:tcPr>
          <w:p w14:paraId="56976862" w14:textId="77777777" w:rsidR="00801F45" w:rsidRPr="00A9353A" w:rsidRDefault="00801F45"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Collection of already heated reaction</w:t>
            </w:r>
          </w:p>
        </w:tc>
      </w:tr>
      <w:tr w:rsidR="004C17B6" w:rsidRPr="00A9353A" w14:paraId="0940482E" w14:textId="77777777" w:rsidTr="00E82E4B">
        <w:trPr>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tcPr>
          <w:p w14:paraId="6A700771" w14:textId="77777777" w:rsidR="00801F45" w:rsidRPr="00A9353A" w:rsidRDefault="00801F45" w:rsidP="008B360D">
            <w:pPr>
              <w:pStyle w:val="Body"/>
              <w:spacing w:after="120"/>
              <w:rPr>
                <w:rFonts w:ascii="Arial" w:hAnsi="Arial" w:cs="Arial"/>
                <w:b w:val="0"/>
                <w:bCs w:val="0"/>
              </w:rPr>
            </w:pPr>
            <w:r w:rsidRPr="00A9353A">
              <w:rPr>
                <w:rFonts w:ascii="Arial" w:hAnsi="Arial" w:cs="Arial"/>
                <w:b w:val="0"/>
                <w:bCs w:val="0"/>
              </w:rPr>
              <w:t>10</w:t>
            </w:r>
          </w:p>
        </w:tc>
        <w:tc>
          <w:tcPr>
            <w:tcW w:w="2780" w:type="dxa"/>
            <w:tcBorders>
              <w:top w:val="nil"/>
              <w:bottom w:val="nil"/>
            </w:tcBorders>
          </w:tcPr>
          <w:p w14:paraId="66DA5B3B" w14:textId="77777777" w:rsidR="00801F45" w:rsidRPr="00A9353A" w:rsidRDefault="00801F45"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Stopwatch</w:t>
            </w:r>
          </w:p>
        </w:tc>
        <w:tc>
          <w:tcPr>
            <w:tcW w:w="4219" w:type="dxa"/>
            <w:tcBorders>
              <w:top w:val="nil"/>
              <w:bottom w:val="nil"/>
            </w:tcBorders>
          </w:tcPr>
          <w:p w14:paraId="61EAD6D3" w14:textId="3AB6F97B" w:rsidR="00801F45" w:rsidRPr="00A9353A" w:rsidRDefault="00885137" w:rsidP="008B360D">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Precise t</w:t>
            </w:r>
            <w:r w:rsidR="00801F45" w:rsidRPr="00A9353A">
              <w:rPr>
                <w:rFonts w:ascii="Arial" w:hAnsi="Arial" w:cs="Arial"/>
              </w:rPr>
              <w:t>iming</w:t>
            </w:r>
          </w:p>
        </w:tc>
      </w:tr>
      <w:tr w:rsidR="00E82E4B" w:rsidRPr="00A9353A" w14:paraId="27699BB3" w14:textId="77777777" w:rsidTr="00B9660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0" w:type="dxa"/>
            <w:tcBorders>
              <w:top w:val="nil"/>
            </w:tcBorders>
          </w:tcPr>
          <w:p w14:paraId="71199D69" w14:textId="3C0C3577" w:rsidR="00E82E4B" w:rsidRPr="00A9353A" w:rsidRDefault="00E82E4B" w:rsidP="008B360D">
            <w:pPr>
              <w:pStyle w:val="Body"/>
              <w:spacing w:after="120"/>
              <w:rPr>
                <w:rFonts w:ascii="Arial" w:hAnsi="Arial" w:cs="Arial"/>
                <w:b w:val="0"/>
                <w:bCs w:val="0"/>
              </w:rPr>
            </w:pPr>
            <w:r w:rsidRPr="00A9353A">
              <w:rPr>
                <w:rFonts w:ascii="Arial" w:hAnsi="Arial" w:cs="Arial"/>
                <w:b w:val="0"/>
                <w:bCs w:val="0"/>
              </w:rPr>
              <w:t>11</w:t>
            </w:r>
          </w:p>
        </w:tc>
        <w:tc>
          <w:tcPr>
            <w:tcW w:w="2780" w:type="dxa"/>
            <w:tcBorders>
              <w:top w:val="nil"/>
            </w:tcBorders>
          </w:tcPr>
          <w:p w14:paraId="7EB8C08C" w14:textId="1E50DF01" w:rsidR="00E82E4B" w:rsidRPr="00A9353A" w:rsidRDefault="00A807DD"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Precision</w:t>
            </w:r>
            <w:r w:rsidR="00E82E4B" w:rsidRPr="00A9353A">
              <w:rPr>
                <w:rFonts w:ascii="Arial" w:hAnsi="Arial" w:cs="Arial"/>
              </w:rPr>
              <w:t xml:space="preserve"> micrometer</w:t>
            </w:r>
          </w:p>
        </w:tc>
        <w:tc>
          <w:tcPr>
            <w:tcW w:w="4219" w:type="dxa"/>
            <w:tcBorders>
              <w:top w:val="nil"/>
            </w:tcBorders>
          </w:tcPr>
          <w:p w14:paraId="10BFC15C" w14:textId="76C1BE7E" w:rsidR="00E82E4B" w:rsidRPr="00A9353A" w:rsidRDefault="00E82E4B" w:rsidP="008B360D">
            <w:pPr>
              <w:pStyle w:val="Body"/>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 xml:space="preserve">Measuring the thickness of sample </w:t>
            </w:r>
          </w:p>
        </w:tc>
      </w:tr>
    </w:tbl>
    <w:p w14:paraId="59C05088" w14:textId="77777777" w:rsidR="00801F45" w:rsidRPr="00A9353A" w:rsidRDefault="00801F45" w:rsidP="00441B6F">
      <w:pPr>
        <w:pStyle w:val="Body"/>
        <w:spacing w:after="0"/>
        <w:rPr>
          <w:rFonts w:ascii="Arial" w:hAnsi="Arial" w:cs="Arial"/>
        </w:rPr>
      </w:pPr>
    </w:p>
    <w:p w14:paraId="38207E98" w14:textId="2DA379F8" w:rsidR="004C17B6" w:rsidRPr="00A9353A" w:rsidRDefault="004C17B6" w:rsidP="00441B6F">
      <w:pPr>
        <w:pStyle w:val="Body"/>
        <w:spacing w:after="0"/>
        <w:rPr>
          <w:rFonts w:ascii="Arial" w:hAnsi="Arial" w:cs="Arial"/>
        </w:rPr>
      </w:pPr>
      <w:r w:rsidRPr="00A9353A">
        <w:rPr>
          <w:rFonts w:ascii="Arial" w:hAnsi="Arial" w:cs="Arial"/>
        </w:rPr>
        <w:t>Additionally, characterisation instruments comprised Fourier Transform Infrared Spectroscopy (Perkin Elmer 3000 MX spectrometer), Scanning Electron Microscopy (SEM, JEOL JSM-6360LV), and Thermogravimetric Analyser (TGA, PerkinElmer Pyris 1 TGA).</w:t>
      </w:r>
    </w:p>
    <w:p w14:paraId="1FDDD0E0" w14:textId="77777777" w:rsidR="0091614A" w:rsidRPr="00A9353A" w:rsidRDefault="0091614A" w:rsidP="00441B6F">
      <w:pPr>
        <w:pStyle w:val="Body"/>
        <w:spacing w:after="0"/>
        <w:rPr>
          <w:rFonts w:ascii="Arial" w:hAnsi="Arial" w:cs="Arial"/>
        </w:rPr>
      </w:pPr>
    </w:p>
    <w:p w14:paraId="560244DC" w14:textId="77777777" w:rsidR="0091614A" w:rsidRPr="00A9353A" w:rsidRDefault="0091614A" w:rsidP="00441B6F">
      <w:pPr>
        <w:pStyle w:val="Body"/>
        <w:spacing w:after="0"/>
        <w:rPr>
          <w:rFonts w:ascii="Arial" w:hAnsi="Arial" w:cs="Arial"/>
        </w:rPr>
      </w:pPr>
    </w:p>
    <w:p w14:paraId="13EF85A3" w14:textId="0466E716" w:rsidR="00885137" w:rsidRPr="00A9353A" w:rsidRDefault="00874277" w:rsidP="00885137">
      <w:pPr>
        <w:pStyle w:val="Body"/>
        <w:spacing w:after="0"/>
        <w:rPr>
          <w:rFonts w:ascii="Arial" w:hAnsi="Arial" w:cs="Arial"/>
          <w:b/>
          <w:sz w:val="22"/>
        </w:rPr>
      </w:pPr>
      <w:r w:rsidRPr="00A9353A">
        <w:rPr>
          <w:rFonts w:ascii="Arial" w:hAnsi="Arial" w:cs="Arial"/>
          <w:b/>
          <w:sz w:val="22"/>
        </w:rPr>
        <w:t xml:space="preserve">2.2 Experimental </w:t>
      </w:r>
      <w:r w:rsidR="00885137" w:rsidRPr="00A9353A">
        <w:rPr>
          <w:rFonts w:ascii="Arial" w:hAnsi="Arial" w:cs="Arial"/>
          <w:b/>
          <w:sz w:val="22"/>
        </w:rPr>
        <w:t>Methods</w:t>
      </w:r>
    </w:p>
    <w:p w14:paraId="13AD8813" w14:textId="77777777" w:rsidR="0091614A" w:rsidRPr="00A9353A" w:rsidRDefault="0091614A" w:rsidP="00885137">
      <w:pPr>
        <w:pStyle w:val="Body"/>
        <w:spacing w:after="0"/>
        <w:rPr>
          <w:rFonts w:ascii="Arial" w:hAnsi="Arial" w:cs="Arial"/>
          <w:b/>
          <w:u w:val="single"/>
        </w:rPr>
      </w:pPr>
    </w:p>
    <w:p w14:paraId="66E68B9D" w14:textId="06F8D91B" w:rsidR="00885137" w:rsidRPr="00A9353A" w:rsidRDefault="00885137" w:rsidP="00885137">
      <w:pPr>
        <w:pStyle w:val="Body"/>
        <w:spacing w:after="0"/>
        <w:rPr>
          <w:rFonts w:ascii="Arial" w:hAnsi="Arial" w:cs="Arial"/>
          <w:b/>
        </w:rPr>
      </w:pPr>
      <w:r w:rsidRPr="00A9353A">
        <w:rPr>
          <w:rFonts w:ascii="Arial" w:hAnsi="Arial" w:cs="Arial"/>
          <w:b/>
        </w:rPr>
        <w:t>Starch Extraction</w:t>
      </w:r>
    </w:p>
    <w:p w14:paraId="1D4E1C1F" w14:textId="3544D85D" w:rsidR="004C43BF" w:rsidRPr="00A9353A" w:rsidRDefault="00874277" w:rsidP="004C43BF">
      <w:pPr>
        <w:pStyle w:val="Body"/>
        <w:spacing w:after="0"/>
        <w:rPr>
          <w:rFonts w:ascii="Arial" w:hAnsi="Arial" w:cs="Arial"/>
        </w:rPr>
      </w:pPr>
      <w:r w:rsidRPr="00A9353A">
        <w:rPr>
          <w:rFonts w:ascii="Arial" w:hAnsi="Arial" w:cs="Arial"/>
        </w:rPr>
        <w:t>Fresh cassava roots (2 kg) were thoroughly washed, peeled, and cut into small pieces using stainless steel knives</w:t>
      </w:r>
      <w:r w:rsidR="004C43BF" w:rsidRPr="00A9353A">
        <w:rPr>
          <w:rFonts w:ascii="Arial" w:hAnsi="Arial" w:cs="Arial"/>
        </w:rPr>
        <w:t xml:space="preserve"> and soaked in water</w:t>
      </w:r>
      <w:r w:rsidRPr="00A9353A">
        <w:rPr>
          <w:rFonts w:ascii="Arial" w:hAnsi="Arial" w:cs="Arial"/>
        </w:rPr>
        <w:t xml:space="preserve">. The cassava pieces were blended with distilled water (1:2 w/v ratio) using an electric blender for 5 minutes to achieve complete maceration. The resulting slurry was filtered through muslin cloth to separate fiber residues. The filtrate was allowed to settle overnight for 12 hours at ambient temperature (25±2°C) to enable gravitational separation of starch. The supernatant was carefully decanted, and the settled starch was washed with distilled water to remove residual impurities. The purified starch was dried in an oven at </w:t>
      </w:r>
      <w:r w:rsidR="00F85D90" w:rsidRPr="00A9353A">
        <w:rPr>
          <w:rFonts w:ascii="Arial" w:hAnsi="Arial" w:cs="Arial"/>
        </w:rPr>
        <w:t>5</w:t>
      </w:r>
      <w:r w:rsidRPr="00A9353A">
        <w:rPr>
          <w:rFonts w:ascii="Arial" w:hAnsi="Arial" w:cs="Arial"/>
        </w:rPr>
        <w:t>0°C for 8 hours, ground using a mortar and pestle, and sieved through 80-mesh to obtain uniform particle size distribution.</w:t>
      </w:r>
      <w:r w:rsidR="00D47804" w:rsidRPr="00A9353A">
        <w:rPr>
          <w:rFonts w:ascii="Arial" w:hAnsi="Arial" w:cs="Arial"/>
        </w:rPr>
        <w:t xml:space="preserve"> The process followed standard AOAC (2006) procedures for yield determination.</w:t>
      </w:r>
      <w:r w:rsidR="004C43BF" w:rsidRPr="00A9353A">
        <w:rPr>
          <w:rFonts w:ascii="Arial" w:hAnsi="Arial" w:cs="Arial"/>
        </w:rPr>
        <w:t xml:space="preserve"> The process for starch extraction </w:t>
      </w:r>
      <w:r w:rsidR="008B360D" w:rsidRPr="00A9353A">
        <w:rPr>
          <w:rFonts w:ascii="Arial" w:hAnsi="Arial" w:cs="Arial"/>
        </w:rPr>
        <w:t xml:space="preserve">and the extracted starch are shown in </w:t>
      </w:r>
      <w:r w:rsidR="008B360D" w:rsidRPr="00A9353A">
        <w:rPr>
          <w:rFonts w:ascii="Arial" w:hAnsi="Arial" w:cs="Arial"/>
          <w:b/>
          <w:bCs/>
        </w:rPr>
        <w:t>Figures 3 and 4</w:t>
      </w:r>
      <w:r w:rsidR="008B360D" w:rsidRPr="00A9353A">
        <w:rPr>
          <w:rFonts w:ascii="Arial" w:hAnsi="Arial" w:cs="Arial"/>
        </w:rPr>
        <w:t>.</w:t>
      </w:r>
    </w:p>
    <w:p w14:paraId="628D53F0" w14:textId="77777777" w:rsidR="008B360D" w:rsidRPr="00A9353A" w:rsidRDefault="008B360D" w:rsidP="004C43BF">
      <w:pPr>
        <w:pStyle w:val="Body"/>
        <w:spacing w:after="0"/>
        <w:rPr>
          <w:rFonts w:ascii="Arial" w:hAnsi="Arial" w:cs="Arial"/>
        </w:rPr>
      </w:pPr>
    </w:p>
    <w:p w14:paraId="6C0A3C6B" w14:textId="09A934F5" w:rsidR="00910D01" w:rsidRPr="00A9353A" w:rsidRDefault="00484C38" w:rsidP="00F85D90">
      <w:pPr>
        <w:pStyle w:val="Body"/>
        <w:keepNext/>
        <w:spacing w:after="0"/>
        <w:rPr>
          <w:rFonts w:ascii="Arial" w:hAnsi="Arial" w:cs="Arial"/>
        </w:rPr>
      </w:pPr>
      <w:r w:rsidRPr="00A9353A">
        <w:rPr>
          <w:rFonts w:ascii="Arial" w:hAnsi="Arial" w:cs="Arial"/>
          <w:noProof/>
        </w:rPr>
        <w:drawing>
          <wp:inline distT="0" distB="0" distL="0" distR="0" wp14:anchorId="3B614EA1" wp14:editId="6F70325E">
            <wp:extent cx="4761186" cy="1038684"/>
            <wp:effectExtent l="0" t="0" r="1905" b="9525"/>
            <wp:docPr id="48786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64003" name=""/>
                    <pic:cNvPicPr/>
                  </pic:nvPicPr>
                  <pic:blipFill>
                    <a:blip r:embed="rId20"/>
                    <a:stretch>
                      <a:fillRect/>
                    </a:stretch>
                  </pic:blipFill>
                  <pic:spPr>
                    <a:xfrm>
                      <a:off x="0" y="0"/>
                      <a:ext cx="4872894" cy="1063054"/>
                    </a:xfrm>
                    <a:prstGeom prst="rect">
                      <a:avLst/>
                    </a:prstGeom>
                  </pic:spPr>
                </pic:pic>
              </a:graphicData>
            </a:graphic>
          </wp:inline>
        </w:drawing>
      </w:r>
    </w:p>
    <w:p w14:paraId="3D8BDD25" w14:textId="5D6566DF" w:rsidR="004C43BF" w:rsidRPr="00A9353A" w:rsidRDefault="00910D01" w:rsidP="00910D01">
      <w:pPr>
        <w:pStyle w:val="Caption"/>
        <w:jc w:val="both"/>
        <w:rPr>
          <w:rFonts w:ascii="Arial" w:hAnsi="Arial" w:cs="Arial"/>
          <w:b/>
          <w:bCs/>
          <w:i w:val="0"/>
          <w:iCs w:val="0"/>
          <w:color w:val="auto"/>
          <w:sz w:val="20"/>
          <w:szCs w:val="22"/>
        </w:rPr>
      </w:pPr>
      <w:r w:rsidRPr="00A9353A">
        <w:rPr>
          <w:rFonts w:ascii="Arial" w:hAnsi="Arial" w:cs="Arial"/>
          <w:b/>
          <w:bCs/>
          <w:i w:val="0"/>
          <w:iCs w:val="0"/>
          <w:color w:val="auto"/>
          <w:sz w:val="20"/>
          <w:szCs w:val="22"/>
        </w:rPr>
        <w:t xml:space="preserve">Figure </w:t>
      </w:r>
      <w:r w:rsidRPr="00A9353A">
        <w:rPr>
          <w:rFonts w:ascii="Arial" w:hAnsi="Arial" w:cs="Arial"/>
          <w:b/>
          <w:bCs/>
          <w:i w:val="0"/>
          <w:iCs w:val="0"/>
          <w:color w:val="auto"/>
          <w:sz w:val="20"/>
          <w:szCs w:val="22"/>
        </w:rPr>
        <w:fldChar w:fldCharType="begin"/>
      </w:r>
      <w:r w:rsidRPr="00A9353A">
        <w:rPr>
          <w:rFonts w:ascii="Arial" w:hAnsi="Arial" w:cs="Arial"/>
          <w:b/>
          <w:bCs/>
          <w:i w:val="0"/>
          <w:iCs w:val="0"/>
          <w:color w:val="auto"/>
          <w:sz w:val="20"/>
          <w:szCs w:val="22"/>
        </w:rPr>
        <w:instrText xml:space="preserve"> SEQ Figure \* ARABIC </w:instrText>
      </w:r>
      <w:r w:rsidRPr="00A9353A">
        <w:rPr>
          <w:rFonts w:ascii="Arial" w:hAnsi="Arial" w:cs="Arial"/>
          <w:b/>
          <w:bCs/>
          <w:i w:val="0"/>
          <w:iCs w:val="0"/>
          <w:color w:val="auto"/>
          <w:sz w:val="20"/>
          <w:szCs w:val="22"/>
        </w:rPr>
        <w:fldChar w:fldCharType="separate"/>
      </w:r>
      <w:r w:rsidR="00027623" w:rsidRPr="00A9353A">
        <w:rPr>
          <w:rFonts w:ascii="Arial" w:hAnsi="Arial" w:cs="Arial"/>
          <w:b/>
          <w:bCs/>
          <w:i w:val="0"/>
          <w:iCs w:val="0"/>
          <w:noProof/>
          <w:color w:val="auto"/>
          <w:sz w:val="20"/>
          <w:szCs w:val="22"/>
        </w:rPr>
        <w:t>3</w:t>
      </w:r>
      <w:r w:rsidRPr="00A9353A">
        <w:rPr>
          <w:rFonts w:ascii="Arial" w:hAnsi="Arial" w:cs="Arial"/>
          <w:b/>
          <w:bCs/>
          <w:i w:val="0"/>
          <w:iCs w:val="0"/>
          <w:color w:val="auto"/>
          <w:sz w:val="20"/>
          <w:szCs w:val="22"/>
        </w:rPr>
        <w:fldChar w:fldCharType="end"/>
      </w:r>
      <w:r w:rsidRPr="00A9353A">
        <w:rPr>
          <w:rFonts w:ascii="Arial" w:hAnsi="Arial" w:cs="Arial"/>
          <w:b/>
          <w:bCs/>
          <w:i w:val="0"/>
          <w:iCs w:val="0"/>
          <w:color w:val="auto"/>
          <w:sz w:val="20"/>
          <w:szCs w:val="22"/>
        </w:rPr>
        <w:t>: Cassava starch extraction process</w:t>
      </w:r>
    </w:p>
    <w:p w14:paraId="622ECE72" w14:textId="77777777" w:rsidR="008B360D" w:rsidRPr="00A9353A" w:rsidRDefault="008B360D" w:rsidP="008B360D">
      <w:pPr>
        <w:keepNext/>
        <w:jc w:val="both"/>
        <w:rPr>
          <w:rFonts w:ascii="Arial" w:hAnsi="Arial" w:cs="Arial"/>
        </w:rPr>
      </w:pPr>
    </w:p>
    <w:p w14:paraId="03E2C46F" w14:textId="20DC2014" w:rsidR="008B360D" w:rsidRPr="00A9353A" w:rsidRDefault="008B360D" w:rsidP="008B360D">
      <w:pPr>
        <w:keepNext/>
        <w:jc w:val="both"/>
        <w:rPr>
          <w:rFonts w:ascii="Arial" w:hAnsi="Arial" w:cs="Arial"/>
        </w:rPr>
      </w:pPr>
      <w:r w:rsidRPr="00A9353A">
        <w:rPr>
          <w:rFonts w:ascii="Arial" w:hAnsi="Arial" w:cs="Arial"/>
          <w:noProof/>
        </w:rPr>
        <w:drawing>
          <wp:inline distT="0" distB="0" distL="0" distR="0" wp14:anchorId="50CC7162" wp14:editId="49DAE7B2">
            <wp:extent cx="4713890" cy="1126053"/>
            <wp:effectExtent l="0" t="0" r="0" b="0"/>
            <wp:docPr id="87619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91533" name=""/>
                    <pic:cNvPicPr/>
                  </pic:nvPicPr>
                  <pic:blipFill>
                    <a:blip r:embed="rId21"/>
                    <a:stretch>
                      <a:fillRect/>
                    </a:stretch>
                  </pic:blipFill>
                  <pic:spPr>
                    <a:xfrm>
                      <a:off x="0" y="0"/>
                      <a:ext cx="4743199" cy="1133054"/>
                    </a:xfrm>
                    <a:prstGeom prst="rect">
                      <a:avLst/>
                    </a:prstGeom>
                  </pic:spPr>
                </pic:pic>
              </a:graphicData>
            </a:graphic>
          </wp:inline>
        </w:drawing>
      </w:r>
    </w:p>
    <w:p w14:paraId="2D968F45" w14:textId="4F383A14" w:rsidR="008B360D" w:rsidRPr="00A9353A" w:rsidRDefault="008B360D" w:rsidP="008B360D">
      <w:pPr>
        <w:pStyle w:val="Caption"/>
        <w:jc w:val="both"/>
        <w:rPr>
          <w:rFonts w:ascii="Arial" w:hAnsi="Arial" w:cs="Arial"/>
          <w:b/>
          <w:bCs/>
          <w:i w:val="0"/>
          <w:iCs w:val="0"/>
          <w:color w:val="auto"/>
          <w:sz w:val="20"/>
          <w:szCs w:val="22"/>
        </w:rPr>
      </w:pPr>
      <w:r w:rsidRPr="00A9353A">
        <w:rPr>
          <w:rFonts w:ascii="Arial" w:hAnsi="Arial" w:cs="Arial"/>
          <w:b/>
          <w:bCs/>
          <w:i w:val="0"/>
          <w:iCs w:val="0"/>
          <w:color w:val="auto"/>
          <w:sz w:val="20"/>
          <w:szCs w:val="22"/>
        </w:rPr>
        <w:t xml:space="preserve">Figure </w:t>
      </w:r>
      <w:r w:rsidRPr="00A9353A">
        <w:rPr>
          <w:rFonts w:ascii="Arial" w:hAnsi="Arial" w:cs="Arial"/>
          <w:b/>
          <w:bCs/>
          <w:i w:val="0"/>
          <w:iCs w:val="0"/>
          <w:color w:val="auto"/>
          <w:sz w:val="20"/>
          <w:szCs w:val="22"/>
        </w:rPr>
        <w:fldChar w:fldCharType="begin"/>
      </w:r>
      <w:r w:rsidRPr="00A9353A">
        <w:rPr>
          <w:rFonts w:ascii="Arial" w:hAnsi="Arial" w:cs="Arial"/>
          <w:b/>
          <w:bCs/>
          <w:i w:val="0"/>
          <w:iCs w:val="0"/>
          <w:color w:val="auto"/>
          <w:sz w:val="20"/>
          <w:szCs w:val="22"/>
        </w:rPr>
        <w:instrText xml:space="preserve"> SEQ Figure \* ARABIC </w:instrText>
      </w:r>
      <w:r w:rsidRPr="00A9353A">
        <w:rPr>
          <w:rFonts w:ascii="Arial" w:hAnsi="Arial" w:cs="Arial"/>
          <w:b/>
          <w:bCs/>
          <w:i w:val="0"/>
          <w:iCs w:val="0"/>
          <w:color w:val="auto"/>
          <w:sz w:val="20"/>
          <w:szCs w:val="22"/>
        </w:rPr>
        <w:fldChar w:fldCharType="separate"/>
      </w:r>
      <w:r w:rsidR="00027623" w:rsidRPr="00A9353A">
        <w:rPr>
          <w:rFonts w:ascii="Arial" w:hAnsi="Arial" w:cs="Arial"/>
          <w:b/>
          <w:bCs/>
          <w:i w:val="0"/>
          <w:iCs w:val="0"/>
          <w:noProof/>
          <w:color w:val="auto"/>
          <w:sz w:val="20"/>
          <w:szCs w:val="22"/>
        </w:rPr>
        <w:t>4</w:t>
      </w:r>
      <w:r w:rsidRPr="00A9353A">
        <w:rPr>
          <w:rFonts w:ascii="Arial" w:hAnsi="Arial" w:cs="Arial"/>
          <w:b/>
          <w:bCs/>
          <w:i w:val="0"/>
          <w:iCs w:val="0"/>
          <w:color w:val="auto"/>
          <w:sz w:val="20"/>
          <w:szCs w:val="22"/>
        </w:rPr>
        <w:fldChar w:fldCharType="end"/>
      </w:r>
      <w:r w:rsidRPr="00A9353A">
        <w:rPr>
          <w:rFonts w:ascii="Arial" w:hAnsi="Arial" w:cs="Arial"/>
          <w:b/>
          <w:bCs/>
          <w:i w:val="0"/>
          <w:iCs w:val="0"/>
          <w:color w:val="auto"/>
          <w:sz w:val="20"/>
          <w:szCs w:val="22"/>
        </w:rPr>
        <w:t>: Starch sample extracted</w:t>
      </w:r>
    </w:p>
    <w:p w14:paraId="29925E85" w14:textId="6D4D4BE9" w:rsidR="00C747E2" w:rsidRPr="00A9353A" w:rsidRDefault="00C747E2" w:rsidP="00C747E2">
      <w:pPr>
        <w:jc w:val="both"/>
        <w:rPr>
          <w:rFonts w:ascii="Arial" w:hAnsi="Arial" w:cs="Arial"/>
        </w:rPr>
      </w:pPr>
      <w:r w:rsidRPr="00A9353A">
        <w:rPr>
          <w:rFonts w:ascii="Arial" w:hAnsi="Arial" w:cs="Arial"/>
        </w:rPr>
        <w:t xml:space="preserve">          </w:t>
      </w:r>
    </w:p>
    <w:p w14:paraId="0E24011A" w14:textId="366976A2" w:rsidR="00F85D90" w:rsidRPr="00A9353A" w:rsidRDefault="00A0104D" w:rsidP="00F85D90">
      <w:pPr>
        <w:pStyle w:val="Body"/>
        <w:spacing w:after="0"/>
        <w:rPr>
          <w:rFonts w:ascii="Arial" w:hAnsi="Arial" w:cs="Arial"/>
          <w:b/>
        </w:rPr>
      </w:pPr>
      <w:r w:rsidRPr="00A9353A">
        <w:rPr>
          <w:rFonts w:ascii="Arial" w:hAnsi="Arial" w:cs="Arial"/>
          <w:b/>
        </w:rPr>
        <w:t xml:space="preserve">Cassava Starch-Based </w:t>
      </w:r>
      <w:r w:rsidR="00F85D90" w:rsidRPr="00A9353A">
        <w:rPr>
          <w:rFonts w:ascii="Arial" w:hAnsi="Arial" w:cs="Arial"/>
          <w:b/>
        </w:rPr>
        <w:t xml:space="preserve">Bioplastic </w:t>
      </w:r>
      <w:r w:rsidRPr="00A9353A">
        <w:rPr>
          <w:rFonts w:ascii="Arial" w:hAnsi="Arial" w:cs="Arial"/>
          <w:b/>
        </w:rPr>
        <w:t xml:space="preserve">Film </w:t>
      </w:r>
      <w:r w:rsidR="00F85D90" w:rsidRPr="00A9353A">
        <w:rPr>
          <w:rFonts w:ascii="Arial" w:hAnsi="Arial" w:cs="Arial"/>
          <w:b/>
        </w:rPr>
        <w:t>Production</w:t>
      </w:r>
    </w:p>
    <w:p w14:paraId="164B0A3B" w14:textId="2AF486A1" w:rsidR="00F85D90" w:rsidRPr="00A9353A" w:rsidRDefault="00F85D90" w:rsidP="00F85D90">
      <w:pPr>
        <w:pStyle w:val="Body"/>
        <w:spacing w:after="0"/>
        <w:rPr>
          <w:rFonts w:ascii="Arial" w:hAnsi="Arial" w:cs="Arial"/>
        </w:rPr>
      </w:pPr>
      <w:r w:rsidRPr="00A9353A">
        <w:rPr>
          <w:rFonts w:ascii="Arial" w:hAnsi="Arial" w:cs="Arial"/>
        </w:rPr>
        <w:t xml:space="preserve">Pure cassava starch was modified to reduce hydrophilicity using an acetate buffer (44.52 g sodium acetate in 50 mL distilled water, adjusted to pH 7 with acetic acid, diluted to 1 L). A 100 g starch sample was stirred in 200 mL </w:t>
      </w:r>
      <w:r w:rsidR="008B7728" w:rsidRPr="00A9353A">
        <w:rPr>
          <w:rFonts w:ascii="Arial" w:hAnsi="Arial" w:cs="Arial"/>
        </w:rPr>
        <w:t>of this solution</w:t>
      </w:r>
      <w:r w:rsidRPr="00A9353A">
        <w:rPr>
          <w:rFonts w:ascii="Arial" w:hAnsi="Arial" w:cs="Arial"/>
        </w:rPr>
        <w:t xml:space="preserve"> at 40°C </w:t>
      </w:r>
      <w:r w:rsidR="001E30C2" w:rsidRPr="00A9353A">
        <w:rPr>
          <w:rFonts w:ascii="Arial" w:hAnsi="Arial" w:cs="Arial"/>
        </w:rPr>
        <w:t xml:space="preserve">temperature </w:t>
      </w:r>
      <w:r w:rsidRPr="00A9353A">
        <w:rPr>
          <w:rFonts w:ascii="Arial" w:hAnsi="Arial" w:cs="Arial"/>
        </w:rPr>
        <w:t xml:space="preserve">until thickened, </w:t>
      </w:r>
      <w:r w:rsidR="008B7728" w:rsidRPr="00A9353A">
        <w:rPr>
          <w:rFonts w:ascii="Arial" w:hAnsi="Arial" w:cs="Arial"/>
        </w:rPr>
        <w:t xml:space="preserve">then </w:t>
      </w:r>
      <w:r w:rsidR="001E30C2" w:rsidRPr="00A9353A">
        <w:rPr>
          <w:rFonts w:ascii="Arial" w:hAnsi="Arial" w:cs="Arial"/>
        </w:rPr>
        <w:t>allowed to cool</w:t>
      </w:r>
      <w:r w:rsidR="008B7728" w:rsidRPr="00A9353A">
        <w:rPr>
          <w:rFonts w:ascii="Arial" w:hAnsi="Arial" w:cs="Arial"/>
        </w:rPr>
        <w:t xml:space="preserve"> at room temperature. The resulting modified starch was pulverised, sieved through 80-mesh, and weighed, resulting in a yield of 62 g.</w:t>
      </w:r>
    </w:p>
    <w:p w14:paraId="1EEDBD1F" w14:textId="77777777" w:rsidR="00483A85" w:rsidRPr="00A9353A" w:rsidRDefault="00A0104D" w:rsidP="00F85D90">
      <w:pPr>
        <w:pStyle w:val="Body"/>
        <w:spacing w:after="0"/>
        <w:rPr>
          <w:rFonts w:ascii="Arial" w:hAnsi="Arial" w:cs="Arial"/>
        </w:rPr>
      </w:pPr>
      <w:r w:rsidRPr="00A9353A">
        <w:rPr>
          <w:rFonts w:ascii="Arial" w:hAnsi="Arial" w:cs="Arial"/>
        </w:rPr>
        <w:lastRenderedPageBreak/>
        <w:t>To produce cassava starch-based</w:t>
      </w:r>
      <w:r w:rsidR="00F85D90" w:rsidRPr="00A9353A">
        <w:rPr>
          <w:rFonts w:ascii="Arial" w:hAnsi="Arial" w:cs="Arial"/>
        </w:rPr>
        <w:t xml:space="preserve"> bioplastic </w:t>
      </w:r>
      <w:r w:rsidRPr="00A9353A">
        <w:rPr>
          <w:rFonts w:ascii="Arial" w:hAnsi="Arial" w:cs="Arial"/>
        </w:rPr>
        <w:t>film</w:t>
      </w:r>
      <w:r w:rsidR="00F85D90" w:rsidRPr="00A9353A">
        <w:rPr>
          <w:rFonts w:ascii="Arial" w:hAnsi="Arial" w:cs="Arial"/>
        </w:rPr>
        <w:t xml:space="preserve">, </w:t>
      </w:r>
      <w:r w:rsidR="00483A85" w:rsidRPr="00A9353A">
        <w:rPr>
          <w:rFonts w:ascii="Arial" w:hAnsi="Arial" w:cs="Arial"/>
        </w:rPr>
        <w:t>a casting method is employed as detailed:</w:t>
      </w:r>
    </w:p>
    <w:p w14:paraId="38524870" w14:textId="4DD83C7E" w:rsidR="00483A85" w:rsidRPr="00A9353A" w:rsidRDefault="00483A85" w:rsidP="00483A85">
      <w:pPr>
        <w:pStyle w:val="Body"/>
        <w:numPr>
          <w:ilvl w:val="0"/>
          <w:numId w:val="35"/>
        </w:numPr>
        <w:spacing w:after="0"/>
        <w:rPr>
          <w:rFonts w:ascii="Arial" w:hAnsi="Arial" w:cs="Arial"/>
        </w:rPr>
      </w:pPr>
      <w:r w:rsidRPr="00A9353A">
        <w:rPr>
          <w:rFonts w:ascii="Arial" w:hAnsi="Arial" w:cs="Arial"/>
        </w:rPr>
        <w:t xml:space="preserve">Gelatinisation: </w:t>
      </w:r>
      <w:r w:rsidR="000C6475" w:rsidRPr="00A9353A">
        <w:rPr>
          <w:rFonts w:ascii="Arial" w:hAnsi="Arial" w:cs="Arial"/>
        </w:rPr>
        <w:t>2.5 g modified starch was dissolved in 50 mL distilled water (1:20 ratio), heated at 75°C for 1 h with stirring until gelatinised</w:t>
      </w:r>
      <w:r w:rsidRPr="00A9353A">
        <w:rPr>
          <w:rFonts w:ascii="Arial" w:hAnsi="Arial" w:cs="Arial"/>
        </w:rPr>
        <w:t>.</w:t>
      </w:r>
    </w:p>
    <w:p w14:paraId="47B1C8F4" w14:textId="77777777" w:rsidR="00483A85" w:rsidRPr="00A9353A" w:rsidRDefault="00483A85" w:rsidP="00483A85">
      <w:pPr>
        <w:pStyle w:val="Body"/>
        <w:numPr>
          <w:ilvl w:val="0"/>
          <w:numId w:val="35"/>
        </w:numPr>
        <w:spacing w:after="0"/>
        <w:rPr>
          <w:rFonts w:ascii="Arial" w:hAnsi="Arial" w:cs="Arial"/>
        </w:rPr>
      </w:pPr>
      <w:r w:rsidRPr="00A9353A">
        <w:rPr>
          <w:rFonts w:ascii="Arial" w:hAnsi="Arial" w:cs="Arial"/>
        </w:rPr>
        <w:t>Plasticisation: 0.3% glycerol (w/w starch) was added as plasticiser.</w:t>
      </w:r>
    </w:p>
    <w:p w14:paraId="0A77116F" w14:textId="62B566FE" w:rsidR="00483A85" w:rsidRPr="00A9353A" w:rsidRDefault="000C6475" w:rsidP="00483A85">
      <w:pPr>
        <w:pStyle w:val="Body"/>
        <w:numPr>
          <w:ilvl w:val="0"/>
          <w:numId w:val="35"/>
        </w:numPr>
        <w:spacing w:after="0"/>
        <w:rPr>
          <w:rFonts w:ascii="Arial" w:hAnsi="Arial" w:cs="Arial"/>
        </w:rPr>
      </w:pPr>
      <w:r w:rsidRPr="00A9353A">
        <w:rPr>
          <w:rFonts w:ascii="Arial" w:hAnsi="Arial" w:cs="Arial"/>
        </w:rPr>
        <w:t>PVA</w:t>
      </w:r>
      <w:r w:rsidR="00483A85" w:rsidRPr="00A9353A">
        <w:rPr>
          <w:rFonts w:ascii="Arial" w:hAnsi="Arial" w:cs="Arial"/>
        </w:rPr>
        <w:t xml:space="preserve"> incorporation: Dissolved separately (50% of starch </w:t>
      </w:r>
      <w:r w:rsidRPr="00A9353A">
        <w:rPr>
          <w:rFonts w:ascii="Arial" w:hAnsi="Arial" w:cs="Arial"/>
        </w:rPr>
        <w:t xml:space="preserve">dry </w:t>
      </w:r>
      <w:r w:rsidR="00483A85" w:rsidRPr="00A9353A">
        <w:rPr>
          <w:rFonts w:ascii="Arial" w:hAnsi="Arial" w:cs="Arial"/>
        </w:rPr>
        <w:t>weight in 50 ml distilled water).</w:t>
      </w:r>
    </w:p>
    <w:p w14:paraId="14E48C2B" w14:textId="77777777" w:rsidR="00483A85" w:rsidRPr="00A9353A" w:rsidRDefault="00483A85" w:rsidP="00483A85">
      <w:pPr>
        <w:pStyle w:val="Body"/>
        <w:numPr>
          <w:ilvl w:val="0"/>
          <w:numId w:val="35"/>
        </w:numPr>
        <w:spacing w:after="0"/>
        <w:rPr>
          <w:rFonts w:ascii="Arial" w:hAnsi="Arial" w:cs="Arial"/>
        </w:rPr>
      </w:pPr>
      <w:r w:rsidRPr="00A9353A">
        <w:rPr>
          <w:rFonts w:ascii="Arial" w:hAnsi="Arial" w:cs="Arial"/>
        </w:rPr>
        <w:t>Crosslinking: 5% citric acid solution (w/w starch) introduced to enhance bonding.</w:t>
      </w:r>
    </w:p>
    <w:p w14:paraId="1EE213FB" w14:textId="77777777" w:rsidR="00483A85" w:rsidRPr="00A9353A" w:rsidRDefault="00483A85" w:rsidP="00483A85">
      <w:pPr>
        <w:pStyle w:val="Body"/>
        <w:numPr>
          <w:ilvl w:val="0"/>
          <w:numId w:val="35"/>
        </w:numPr>
        <w:spacing w:after="0"/>
        <w:rPr>
          <w:rFonts w:ascii="Arial" w:hAnsi="Arial" w:cs="Arial"/>
        </w:rPr>
      </w:pPr>
      <w:r w:rsidRPr="00A9353A">
        <w:rPr>
          <w:rFonts w:ascii="Arial" w:hAnsi="Arial" w:cs="Arial"/>
        </w:rPr>
        <w:t>Stirring and Colouring: 10 min of stirring and two drops of food colouring added</w:t>
      </w:r>
    </w:p>
    <w:p w14:paraId="62254D29" w14:textId="20EC0D40" w:rsidR="00483A85" w:rsidRPr="00A9353A" w:rsidRDefault="00483A85" w:rsidP="00483A85">
      <w:pPr>
        <w:pStyle w:val="Body"/>
        <w:numPr>
          <w:ilvl w:val="0"/>
          <w:numId w:val="35"/>
        </w:numPr>
        <w:spacing w:after="0"/>
        <w:rPr>
          <w:rFonts w:ascii="Arial" w:hAnsi="Arial" w:cs="Arial"/>
        </w:rPr>
      </w:pPr>
      <w:r w:rsidRPr="00A9353A">
        <w:rPr>
          <w:rFonts w:ascii="Arial" w:hAnsi="Arial" w:cs="Arial"/>
        </w:rPr>
        <w:t xml:space="preserve">Film casting: The </w:t>
      </w:r>
      <w:r w:rsidR="000C6475" w:rsidRPr="00A9353A">
        <w:rPr>
          <w:rFonts w:ascii="Arial" w:hAnsi="Arial" w:cs="Arial"/>
        </w:rPr>
        <w:t>coloured</w:t>
      </w:r>
      <w:r w:rsidRPr="00A9353A">
        <w:rPr>
          <w:rFonts w:ascii="Arial" w:hAnsi="Arial" w:cs="Arial"/>
        </w:rPr>
        <w:t xml:space="preserve"> mixture was poured into thin trays, spread evenly, and air-dried for 72 hours at ambient conditions to form bioplastic films.</w:t>
      </w:r>
    </w:p>
    <w:p w14:paraId="57D42D5C" w14:textId="323AB11E" w:rsidR="00F85D90" w:rsidRPr="00A9353A" w:rsidRDefault="008B360D" w:rsidP="00F85D90">
      <w:pPr>
        <w:pStyle w:val="Body"/>
        <w:spacing w:after="0"/>
        <w:rPr>
          <w:rFonts w:ascii="Arial" w:hAnsi="Arial" w:cs="Arial"/>
        </w:rPr>
      </w:pPr>
      <w:r w:rsidRPr="00A9353A">
        <w:rPr>
          <w:rFonts w:ascii="Arial" w:hAnsi="Arial" w:cs="Arial"/>
        </w:rPr>
        <w:t xml:space="preserve">The bioplastic films produced and tested as pea packaging, as presented in </w:t>
      </w:r>
      <w:r w:rsidRPr="00A9353A">
        <w:rPr>
          <w:rFonts w:ascii="Arial" w:hAnsi="Arial" w:cs="Arial"/>
          <w:b/>
          <w:bCs/>
        </w:rPr>
        <w:t>Figure 5</w:t>
      </w:r>
      <w:r w:rsidRPr="00A9353A">
        <w:rPr>
          <w:rFonts w:ascii="Arial" w:hAnsi="Arial" w:cs="Arial"/>
        </w:rPr>
        <w:t>, were subsequently analysed to evaluate their physicochemical and structural characteristics</w:t>
      </w:r>
      <w:r w:rsidR="00483A85" w:rsidRPr="00A9353A">
        <w:rPr>
          <w:rFonts w:ascii="Arial" w:hAnsi="Arial" w:cs="Arial"/>
        </w:rPr>
        <w:t>.</w:t>
      </w:r>
    </w:p>
    <w:p w14:paraId="4AEDAC73" w14:textId="77777777" w:rsidR="008B360D" w:rsidRPr="00A9353A" w:rsidRDefault="008B360D" w:rsidP="00F85D90">
      <w:pPr>
        <w:pStyle w:val="Body"/>
        <w:spacing w:after="0"/>
        <w:rPr>
          <w:rFonts w:ascii="Arial" w:hAnsi="Arial" w:cs="Arial"/>
        </w:rPr>
      </w:pPr>
    </w:p>
    <w:p w14:paraId="55CE41F4" w14:textId="77777777" w:rsidR="008B360D" w:rsidRPr="00A9353A" w:rsidRDefault="008B360D" w:rsidP="008B360D">
      <w:pPr>
        <w:pStyle w:val="Body"/>
        <w:keepNext/>
        <w:spacing w:after="0"/>
        <w:rPr>
          <w:rFonts w:ascii="Arial" w:hAnsi="Arial" w:cs="Arial"/>
        </w:rPr>
      </w:pPr>
      <w:r w:rsidRPr="00A9353A">
        <w:rPr>
          <w:rFonts w:ascii="Arial" w:hAnsi="Arial" w:cs="Arial"/>
          <w:noProof/>
        </w:rPr>
        <w:drawing>
          <wp:inline distT="0" distB="0" distL="0" distR="0" wp14:anchorId="7F1F1CDD" wp14:editId="02529094">
            <wp:extent cx="4335517" cy="1457849"/>
            <wp:effectExtent l="0" t="0" r="8255" b="9525"/>
            <wp:docPr id="161064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49823" name=""/>
                    <pic:cNvPicPr/>
                  </pic:nvPicPr>
                  <pic:blipFill>
                    <a:blip r:embed="rId22"/>
                    <a:stretch>
                      <a:fillRect/>
                    </a:stretch>
                  </pic:blipFill>
                  <pic:spPr>
                    <a:xfrm>
                      <a:off x="0" y="0"/>
                      <a:ext cx="4397093" cy="1478554"/>
                    </a:xfrm>
                    <a:prstGeom prst="rect">
                      <a:avLst/>
                    </a:prstGeom>
                  </pic:spPr>
                </pic:pic>
              </a:graphicData>
            </a:graphic>
          </wp:inline>
        </w:drawing>
      </w:r>
    </w:p>
    <w:p w14:paraId="677156CF" w14:textId="68B64922" w:rsidR="008B360D" w:rsidRPr="00A9353A" w:rsidRDefault="008B360D" w:rsidP="008B360D">
      <w:pPr>
        <w:pStyle w:val="Caption"/>
        <w:jc w:val="both"/>
        <w:rPr>
          <w:rFonts w:ascii="Arial" w:hAnsi="Arial" w:cs="Arial"/>
          <w:b/>
          <w:bCs/>
          <w:i w:val="0"/>
          <w:iCs w:val="0"/>
          <w:color w:val="auto"/>
          <w:sz w:val="20"/>
          <w:szCs w:val="22"/>
        </w:rPr>
      </w:pPr>
      <w:r w:rsidRPr="00A9353A">
        <w:rPr>
          <w:rFonts w:ascii="Arial" w:hAnsi="Arial" w:cs="Arial"/>
          <w:b/>
          <w:bCs/>
          <w:i w:val="0"/>
          <w:iCs w:val="0"/>
          <w:color w:val="auto"/>
          <w:sz w:val="20"/>
          <w:szCs w:val="22"/>
        </w:rPr>
        <w:t xml:space="preserve">Figure </w:t>
      </w:r>
      <w:r w:rsidRPr="00A9353A">
        <w:rPr>
          <w:rFonts w:ascii="Arial" w:hAnsi="Arial" w:cs="Arial"/>
          <w:b/>
          <w:bCs/>
          <w:i w:val="0"/>
          <w:iCs w:val="0"/>
          <w:color w:val="auto"/>
          <w:sz w:val="20"/>
          <w:szCs w:val="22"/>
        </w:rPr>
        <w:fldChar w:fldCharType="begin"/>
      </w:r>
      <w:r w:rsidRPr="00A9353A">
        <w:rPr>
          <w:rFonts w:ascii="Arial" w:hAnsi="Arial" w:cs="Arial"/>
          <w:b/>
          <w:bCs/>
          <w:i w:val="0"/>
          <w:iCs w:val="0"/>
          <w:color w:val="auto"/>
          <w:sz w:val="20"/>
          <w:szCs w:val="22"/>
        </w:rPr>
        <w:instrText xml:space="preserve"> SEQ Figure \* ARABIC </w:instrText>
      </w:r>
      <w:r w:rsidRPr="00A9353A">
        <w:rPr>
          <w:rFonts w:ascii="Arial" w:hAnsi="Arial" w:cs="Arial"/>
          <w:b/>
          <w:bCs/>
          <w:i w:val="0"/>
          <w:iCs w:val="0"/>
          <w:color w:val="auto"/>
          <w:sz w:val="20"/>
          <w:szCs w:val="22"/>
        </w:rPr>
        <w:fldChar w:fldCharType="separate"/>
      </w:r>
      <w:r w:rsidR="00027623" w:rsidRPr="00A9353A">
        <w:rPr>
          <w:rFonts w:ascii="Arial" w:hAnsi="Arial" w:cs="Arial"/>
          <w:b/>
          <w:bCs/>
          <w:i w:val="0"/>
          <w:iCs w:val="0"/>
          <w:noProof/>
          <w:color w:val="auto"/>
          <w:sz w:val="20"/>
          <w:szCs w:val="22"/>
        </w:rPr>
        <w:t>5</w:t>
      </w:r>
      <w:r w:rsidRPr="00A9353A">
        <w:rPr>
          <w:rFonts w:ascii="Arial" w:hAnsi="Arial" w:cs="Arial"/>
          <w:b/>
          <w:bCs/>
          <w:i w:val="0"/>
          <w:iCs w:val="0"/>
          <w:color w:val="auto"/>
          <w:sz w:val="20"/>
          <w:szCs w:val="22"/>
        </w:rPr>
        <w:fldChar w:fldCharType="end"/>
      </w:r>
      <w:r w:rsidRPr="00A9353A">
        <w:rPr>
          <w:rFonts w:ascii="Arial" w:hAnsi="Arial" w:cs="Arial"/>
          <w:b/>
          <w:bCs/>
          <w:i w:val="0"/>
          <w:iCs w:val="0"/>
          <w:color w:val="auto"/>
          <w:sz w:val="20"/>
          <w:szCs w:val="22"/>
        </w:rPr>
        <w:t>: Biodegradable plastic film/ biodegradable packaging material</w:t>
      </w:r>
    </w:p>
    <w:p w14:paraId="79E3CEEA" w14:textId="09EC2C76" w:rsidR="004C43BF" w:rsidRPr="00A9353A" w:rsidRDefault="004C43BF" w:rsidP="004C43BF">
      <w:pPr>
        <w:pStyle w:val="Body"/>
        <w:spacing w:after="0"/>
        <w:rPr>
          <w:rFonts w:ascii="Arial" w:hAnsi="Arial" w:cs="Arial"/>
        </w:rPr>
      </w:pPr>
    </w:p>
    <w:p w14:paraId="5608646F" w14:textId="7F82157D" w:rsidR="000520C7" w:rsidRPr="00A9353A" w:rsidRDefault="001E30C2" w:rsidP="000520C7">
      <w:pPr>
        <w:pStyle w:val="Body"/>
        <w:spacing w:after="0"/>
        <w:rPr>
          <w:rFonts w:ascii="Arial" w:hAnsi="Arial" w:cs="Arial"/>
          <w:b/>
        </w:rPr>
      </w:pPr>
      <w:proofErr w:type="spellStart"/>
      <w:r w:rsidRPr="00A9353A">
        <w:rPr>
          <w:rFonts w:ascii="Arial" w:hAnsi="Arial" w:cs="Arial"/>
          <w:b/>
        </w:rPr>
        <w:t>Physico</w:t>
      </w:r>
      <w:proofErr w:type="spellEnd"/>
      <w:r w:rsidRPr="00A9353A">
        <w:rPr>
          <w:rFonts w:ascii="Arial" w:hAnsi="Arial" w:cs="Arial"/>
          <w:b/>
        </w:rPr>
        <w:t xml:space="preserve">-chemical </w:t>
      </w:r>
      <w:r w:rsidR="000520C7" w:rsidRPr="00A9353A">
        <w:rPr>
          <w:rFonts w:ascii="Arial" w:hAnsi="Arial" w:cs="Arial"/>
          <w:b/>
        </w:rPr>
        <w:t>Characteri</w:t>
      </w:r>
      <w:r w:rsidR="00910D01" w:rsidRPr="00A9353A">
        <w:rPr>
          <w:rFonts w:ascii="Arial" w:hAnsi="Arial" w:cs="Arial"/>
          <w:b/>
        </w:rPr>
        <w:t>s</w:t>
      </w:r>
      <w:r w:rsidR="000520C7" w:rsidRPr="00A9353A">
        <w:rPr>
          <w:rFonts w:ascii="Arial" w:hAnsi="Arial" w:cs="Arial"/>
          <w:b/>
        </w:rPr>
        <w:t>ation</w:t>
      </w:r>
      <w:r w:rsidRPr="00A9353A">
        <w:rPr>
          <w:rFonts w:ascii="Arial" w:hAnsi="Arial" w:cs="Arial"/>
          <w:b/>
        </w:rPr>
        <w:t xml:space="preserve"> of </w:t>
      </w:r>
      <w:r w:rsidR="00080F73" w:rsidRPr="00A9353A">
        <w:rPr>
          <w:rFonts w:ascii="Arial" w:hAnsi="Arial" w:cs="Arial"/>
          <w:b/>
        </w:rPr>
        <w:t>the</w:t>
      </w:r>
      <w:r w:rsidRPr="00A9353A">
        <w:rPr>
          <w:rFonts w:ascii="Arial" w:hAnsi="Arial" w:cs="Arial"/>
          <w:b/>
        </w:rPr>
        <w:t xml:space="preserve"> Film</w:t>
      </w:r>
      <w:r w:rsidR="00080F73" w:rsidRPr="00A9353A">
        <w:rPr>
          <w:rFonts w:ascii="Arial" w:hAnsi="Arial" w:cs="Arial"/>
          <w:b/>
        </w:rPr>
        <w:t>s</w:t>
      </w:r>
    </w:p>
    <w:p w14:paraId="1B01E2AC" w14:textId="3D4E43D0" w:rsidR="000520C7" w:rsidRPr="00A9353A" w:rsidRDefault="000520C7" w:rsidP="000520C7">
      <w:pPr>
        <w:pStyle w:val="Body"/>
        <w:spacing w:after="0"/>
        <w:rPr>
          <w:rFonts w:ascii="Arial" w:hAnsi="Arial" w:cs="Arial"/>
        </w:rPr>
      </w:pPr>
      <w:r w:rsidRPr="00A9353A">
        <w:rPr>
          <w:rFonts w:ascii="Arial" w:hAnsi="Arial" w:cs="Arial"/>
        </w:rPr>
        <w:t xml:space="preserve">The </w:t>
      </w:r>
      <w:r w:rsidR="000C6475" w:rsidRPr="00A9353A">
        <w:rPr>
          <w:rFonts w:ascii="Arial" w:hAnsi="Arial" w:cs="Arial"/>
        </w:rPr>
        <w:t>films produced</w:t>
      </w:r>
      <w:r w:rsidRPr="00A9353A">
        <w:rPr>
          <w:rFonts w:ascii="Arial" w:hAnsi="Arial" w:cs="Arial"/>
        </w:rPr>
        <w:t xml:space="preserve"> were subjected to the following analyses:</w:t>
      </w:r>
    </w:p>
    <w:p w14:paraId="6944B14C" w14:textId="77777777" w:rsidR="00EB2D8C" w:rsidRPr="00A9353A" w:rsidRDefault="00EB2D8C" w:rsidP="000520C7">
      <w:pPr>
        <w:pStyle w:val="Body"/>
        <w:spacing w:after="0"/>
        <w:rPr>
          <w:rFonts w:ascii="Arial" w:hAnsi="Arial" w:cs="Arial"/>
        </w:rPr>
      </w:pPr>
    </w:p>
    <w:p w14:paraId="31CD1C05" w14:textId="7377330B" w:rsidR="00943333" w:rsidRPr="00A9353A" w:rsidRDefault="00EB2D8C" w:rsidP="00120299">
      <w:pPr>
        <w:pStyle w:val="Body"/>
        <w:spacing w:after="0"/>
        <w:rPr>
          <w:rFonts w:ascii="Arial" w:hAnsi="Arial" w:cs="Arial"/>
          <w:i/>
        </w:rPr>
      </w:pPr>
      <w:r w:rsidRPr="00A9353A">
        <w:rPr>
          <w:rFonts w:ascii="Arial" w:hAnsi="Arial" w:cs="Arial"/>
          <w:i/>
        </w:rPr>
        <w:t xml:space="preserve">2.2.3.1 </w:t>
      </w:r>
      <w:r w:rsidR="00943333" w:rsidRPr="00A9353A">
        <w:rPr>
          <w:rFonts w:ascii="Arial" w:hAnsi="Arial" w:cs="Arial"/>
          <w:i/>
        </w:rPr>
        <w:t>Starch Yield</w:t>
      </w:r>
    </w:p>
    <w:p w14:paraId="3D3D4202" w14:textId="58204994" w:rsidR="00943333" w:rsidRPr="00A9353A" w:rsidRDefault="00EB2D8C" w:rsidP="00943333">
      <w:pPr>
        <w:pStyle w:val="Body"/>
        <w:rPr>
          <w:rFonts w:ascii="Arial" w:hAnsi="Arial" w:cs="Arial"/>
        </w:rPr>
      </w:pPr>
      <w:r w:rsidRPr="00A9353A">
        <w:rPr>
          <w:rFonts w:ascii="Arial" w:hAnsi="Arial" w:cs="Arial"/>
        </w:rPr>
        <w:t>The starch yield represents the amount of starch extracted from a given weight of cassava on a dry weight basis</w:t>
      </w:r>
      <w:r w:rsidR="00943333" w:rsidRPr="00A9353A">
        <w:rPr>
          <w:rFonts w:ascii="Arial" w:hAnsi="Arial" w:cs="Arial"/>
        </w:rPr>
        <w:t xml:space="preserve">. </w:t>
      </w:r>
      <w:r w:rsidRPr="00A9353A">
        <w:rPr>
          <w:rFonts w:ascii="Arial" w:hAnsi="Arial" w:cs="Arial"/>
        </w:rPr>
        <w:t xml:space="preserve">The yield is calculated as a percentage of the original sample weight as expressed in </w:t>
      </w:r>
      <w:r w:rsidR="00943333" w:rsidRPr="00A9353A">
        <w:rPr>
          <w:rFonts w:ascii="Arial" w:hAnsi="Arial" w:cs="Arial"/>
        </w:rPr>
        <w:t>Eq. (1).</w:t>
      </w:r>
    </w:p>
    <w:p w14:paraId="5A6A0753" w14:textId="77777777" w:rsidR="00943333" w:rsidRPr="00A9353A" w:rsidRDefault="00943333" w:rsidP="00093658">
      <w:pPr>
        <w:pStyle w:val="Body"/>
        <w:spacing w:after="0"/>
        <w:rPr>
          <w:rFonts w:ascii="Arial" w:hAnsi="Arial" w:cs="Arial"/>
        </w:rPr>
      </w:pPr>
      <m:oMath>
        <m:r>
          <w:rPr>
            <w:rFonts w:ascii="Cambria Math" w:hAnsi="Cambria Math" w:cs="Arial"/>
          </w:rPr>
          <m:t xml:space="preserve">Yield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e,s</m:t>
                    </m:r>
                  </m:sub>
                </m:sSub>
              </m:num>
              <m:den>
                <m:sSub>
                  <m:sSubPr>
                    <m:ctrlPr>
                      <w:rPr>
                        <w:rFonts w:ascii="Cambria Math" w:hAnsi="Cambria Math" w:cs="Arial"/>
                        <w:i/>
                      </w:rPr>
                    </m:ctrlPr>
                  </m:sSubPr>
                  <m:e>
                    <m:r>
                      <w:rPr>
                        <w:rFonts w:ascii="Cambria Math" w:hAnsi="Cambria Math" w:cs="Arial"/>
                      </w:rPr>
                      <m:t>W</m:t>
                    </m:r>
                  </m:e>
                  <m:sub>
                    <m:r>
                      <w:rPr>
                        <w:rFonts w:ascii="Cambria Math" w:hAnsi="Cambria Math" w:cs="Arial"/>
                      </w:rPr>
                      <m:t>i,c</m:t>
                    </m:r>
                  </m:sub>
                </m:sSub>
              </m:den>
            </m:f>
          </m:e>
        </m:d>
        <m:r>
          <w:rPr>
            <w:rFonts w:ascii="Cambria Math" w:hAnsi="Cambria Math" w:cs="Arial"/>
          </w:rPr>
          <m:t>x 100</m:t>
        </m:r>
      </m:oMath>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t>(1)</w:t>
      </w:r>
    </w:p>
    <w:p w14:paraId="788E50BF" w14:textId="77777777" w:rsidR="00943333" w:rsidRPr="00A9353A" w:rsidRDefault="00943333" w:rsidP="00943333">
      <w:pPr>
        <w:pStyle w:val="Body"/>
        <w:spacing w:after="0"/>
        <w:rPr>
          <w:rFonts w:ascii="Arial" w:hAnsi="Arial" w:cs="Arial"/>
        </w:rPr>
      </w:pPr>
      <w:r w:rsidRPr="00A9353A">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e,s</m:t>
            </m:r>
          </m:sub>
        </m:sSub>
      </m:oMath>
      <w:r w:rsidRPr="00A9353A">
        <w:rPr>
          <w:rFonts w:ascii="Arial" w:hAnsi="Arial" w:cs="Arial"/>
        </w:rPr>
        <w:t xml:space="preserve"> is the weight of extracted starch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i,c</m:t>
            </m:r>
          </m:sub>
        </m:sSub>
        <m:r>
          <w:rPr>
            <w:rFonts w:ascii="Cambria Math" w:hAnsi="Cambria Math" w:cs="Arial"/>
          </w:rPr>
          <m:t xml:space="preserve"> </m:t>
        </m:r>
      </m:oMath>
      <w:r w:rsidRPr="00A9353A">
        <w:rPr>
          <w:rFonts w:ascii="Arial" w:hAnsi="Arial" w:cs="Arial"/>
        </w:rPr>
        <w:t>is the initial weight of cassava.</w:t>
      </w:r>
    </w:p>
    <w:p w14:paraId="567579A6" w14:textId="77777777" w:rsidR="00943333" w:rsidRPr="00A9353A" w:rsidRDefault="00943333" w:rsidP="00120299">
      <w:pPr>
        <w:pStyle w:val="Body"/>
        <w:spacing w:after="0"/>
        <w:rPr>
          <w:rFonts w:ascii="Arial" w:hAnsi="Arial" w:cs="Arial"/>
        </w:rPr>
      </w:pPr>
    </w:p>
    <w:p w14:paraId="396993E9" w14:textId="3C7F5DD0" w:rsidR="005A34E1" w:rsidRPr="00A9353A" w:rsidRDefault="00120299" w:rsidP="00120299">
      <w:pPr>
        <w:pStyle w:val="Body"/>
        <w:spacing w:after="0"/>
        <w:rPr>
          <w:rFonts w:ascii="Arial" w:hAnsi="Arial" w:cs="Arial"/>
          <w:i/>
          <w:u w:val="single"/>
        </w:rPr>
      </w:pPr>
      <w:r w:rsidRPr="00A9353A">
        <w:rPr>
          <w:rFonts w:ascii="Arial" w:hAnsi="Arial" w:cs="Arial"/>
          <w:i/>
          <w:u w:val="single"/>
        </w:rPr>
        <w:t>Water Absorption</w:t>
      </w:r>
      <w:r w:rsidR="005A34E1" w:rsidRPr="00A9353A">
        <w:rPr>
          <w:rFonts w:ascii="Arial" w:hAnsi="Arial" w:cs="Arial"/>
          <w:i/>
          <w:u w:val="single"/>
        </w:rPr>
        <w:t xml:space="preserve"> Test</w:t>
      </w:r>
    </w:p>
    <w:p w14:paraId="5D5E4734" w14:textId="0A9069EF" w:rsidR="00120299" w:rsidRPr="00A9353A" w:rsidRDefault="000862D3" w:rsidP="009566BB">
      <w:pPr>
        <w:jc w:val="both"/>
        <w:rPr>
          <w:rFonts w:ascii="Arial" w:hAnsi="Arial" w:cs="Arial"/>
        </w:rPr>
      </w:pPr>
      <w:r w:rsidRPr="00A9353A">
        <w:rPr>
          <w:rFonts w:ascii="Arial" w:hAnsi="Arial" w:cs="Arial"/>
        </w:rPr>
        <w:t>The water absorption capacity of the biodegradable films was evaluated following standard procedures. Film samples (5 cm × 5 cm) were initially dried in a desiccator for 24 hours at low heat and weighed to determine the initial dry weight (</w:t>
      </w:r>
      <m:oMath>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oMath>
      <w:r w:rsidRPr="00A9353A">
        <w:rPr>
          <w:rFonts w:ascii="Arial" w:hAnsi="Arial" w:cs="Arial"/>
        </w:rPr>
        <w:t>). Samples were subsequently immersed in distilled water at ambient temperature for 72 hours to achieve equilibrium moisture absorption. After the immersion period, specimens were carefully removed, surface moisture was gently blotted with absorbent cotton pieces, and samples were immediately weighed to obtain the wet weight (</w:t>
      </w:r>
      <m:oMath>
        <m:sSub>
          <m:sSubPr>
            <m:ctrlPr>
              <w:rPr>
                <w:rFonts w:ascii="Cambria Math" w:hAnsi="Cambria Math" w:cs="Arial"/>
                <w:i/>
              </w:rPr>
            </m:ctrlPr>
          </m:sSubPr>
          <m:e>
            <m:r>
              <w:rPr>
                <w:rFonts w:ascii="Cambria Math" w:hAnsi="Cambria Math" w:cs="Arial"/>
              </w:rPr>
              <m:t>W</m:t>
            </m:r>
          </m:e>
          <m:sub>
            <m:r>
              <w:rPr>
                <w:rFonts w:ascii="Cambria Math" w:hAnsi="Cambria Math" w:cs="Arial"/>
              </w:rPr>
              <m:t>w</m:t>
            </m:r>
          </m:sub>
        </m:sSub>
      </m:oMath>
      <w:r w:rsidRPr="00A9353A">
        <w:rPr>
          <w:rFonts w:ascii="Arial" w:hAnsi="Arial" w:cs="Arial"/>
        </w:rPr>
        <w:t xml:space="preserve">). </w:t>
      </w:r>
      <w:r w:rsidR="00943333" w:rsidRPr="00A9353A">
        <w:rPr>
          <w:rFonts w:ascii="Arial" w:hAnsi="Arial" w:cs="Arial"/>
        </w:rPr>
        <w:t>The</w:t>
      </w:r>
      <w:r w:rsidR="009566BB" w:rsidRPr="00A9353A">
        <w:rPr>
          <w:rFonts w:ascii="Arial" w:hAnsi="Arial" w:cs="Arial"/>
        </w:rPr>
        <w:t xml:space="preserve"> w</w:t>
      </w:r>
      <w:r w:rsidR="00120299" w:rsidRPr="00A9353A">
        <w:rPr>
          <w:rFonts w:ascii="Arial" w:hAnsi="Arial" w:cs="Arial"/>
        </w:rPr>
        <w:t xml:space="preserve">ater absorption </w:t>
      </w:r>
      <w:r w:rsidR="00EB2D8C" w:rsidRPr="00A9353A">
        <w:rPr>
          <w:rFonts w:ascii="Arial" w:hAnsi="Arial" w:cs="Arial"/>
        </w:rPr>
        <w:t>is</w:t>
      </w:r>
      <w:r w:rsidR="00120299" w:rsidRPr="00A9353A">
        <w:rPr>
          <w:rFonts w:ascii="Arial" w:hAnsi="Arial" w:cs="Arial"/>
        </w:rPr>
        <w:t xml:space="preserve"> calculated as a percentage of initial </w:t>
      </w:r>
      <w:r w:rsidR="009566BB" w:rsidRPr="00A9353A">
        <w:rPr>
          <w:rFonts w:ascii="Arial" w:hAnsi="Arial" w:cs="Arial"/>
        </w:rPr>
        <w:t xml:space="preserve">dry </w:t>
      </w:r>
      <w:r w:rsidR="00120299" w:rsidRPr="00A9353A">
        <w:rPr>
          <w:rFonts w:ascii="Arial" w:hAnsi="Arial" w:cs="Arial"/>
        </w:rPr>
        <w:t>weight</w:t>
      </w:r>
      <w:r w:rsidR="00613700" w:rsidRPr="00A9353A">
        <w:rPr>
          <w:rFonts w:ascii="Arial" w:hAnsi="Arial" w:cs="Arial"/>
        </w:rPr>
        <w:t xml:space="preserve"> as shown in Eq</w:t>
      </w:r>
      <w:r w:rsidR="001E30C2" w:rsidRPr="00A9353A">
        <w:rPr>
          <w:rFonts w:ascii="Arial" w:hAnsi="Arial" w:cs="Arial"/>
        </w:rPr>
        <w:t>. (1).</w:t>
      </w:r>
    </w:p>
    <w:p w14:paraId="33321C1A" w14:textId="0D9B3F70" w:rsidR="00080F73" w:rsidRPr="00A9353A" w:rsidRDefault="006C65D0" w:rsidP="00093658">
      <w:pPr>
        <w:pStyle w:val="Body"/>
        <w:spacing w:after="0"/>
        <w:rPr>
          <w:rFonts w:ascii="Arial" w:hAnsi="Arial" w:cs="Arial"/>
        </w:rPr>
      </w:pPr>
      <m:oMath>
        <m:r>
          <w:rPr>
            <w:rFonts w:ascii="Cambria Math" w:hAnsi="Cambria Math" w:cs="Arial"/>
          </w:rPr>
          <m:t xml:space="preserve">Water absorption </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den>
            </m:f>
          </m:e>
        </m:d>
        <m:r>
          <m:rPr>
            <m:sty m:val="p"/>
          </m:rPr>
          <w:rPr>
            <w:rFonts w:ascii="Cambria Math" w:hAnsi="Cambria Math" w:cs="Arial"/>
          </w:rPr>
          <m:t>x</m:t>
        </m:r>
        <m:r>
          <w:rPr>
            <w:rFonts w:ascii="Cambria Math" w:hAnsi="Cambria Math" w:cs="Arial"/>
          </w:rPr>
          <m:t xml:space="preserve"> 100</m:t>
        </m:r>
      </m:oMath>
      <w:r w:rsidR="00080F73" w:rsidRPr="00A9353A">
        <w:rPr>
          <w:rFonts w:ascii="Arial" w:hAnsi="Arial" w:cs="Arial"/>
        </w:rPr>
        <w:tab/>
      </w:r>
      <w:r w:rsidR="00080F73" w:rsidRPr="00A9353A">
        <w:rPr>
          <w:rFonts w:ascii="Arial" w:hAnsi="Arial" w:cs="Arial"/>
        </w:rPr>
        <w:tab/>
      </w:r>
      <w:r w:rsidR="00DE2F4D" w:rsidRPr="00A9353A">
        <w:rPr>
          <w:rFonts w:ascii="Arial" w:hAnsi="Arial" w:cs="Arial"/>
        </w:rPr>
        <w:tab/>
      </w:r>
      <w:r w:rsidR="00DE2F4D" w:rsidRPr="00A9353A">
        <w:rPr>
          <w:rFonts w:ascii="Arial" w:hAnsi="Arial" w:cs="Arial"/>
        </w:rPr>
        <w:tab/>
      </w:r>
      <w:r w:rsidR="00DE2F4D" w:rsidRPr="00A9353A">
        <w:rPr>
          <w:rFonts w:ascii="Arial" w:hAnsi="Arial" w:cs="Arial"/>
        </w:rPr>
        <w:tab/>
      </w:r>
      <w:r w:rsidR="00080F73" w:rsidRPr="00A9353A">
        <w:rPr>
          <w:rFonts w:ascii="Arial" w:hAnsi="Arial" w:cs="Arial"/>
        </w:rPr>
        <w:tab/>
      </w:r>
      <w:r w:rsidR="00EB2D8C" w:rsidRPr="00A9353A">
        <w:rPr>
          <w:rFonts w:ascii="Arial" w:hAnsi="Arial" w:cs="Arial"/>
        </w:rPr>
        <w:tab/>
      </w:r>
      <w:r w:rsidR="00080F73" w:rsidRPr="00A9353A">
        <w:rPr>
          <w:rFonts w:ascii="Arial" w:hAnsi="Arial" w:cs="Arial"/>
        </w:rPr>
        <w:t>(</w:t>
      </w:r>
      <w:r w:rsidR="00EB2D8C" w:rsidRPr="00A9353A">
        <w:rPr>
          <w:rFonts w:ascii="Arial" w:hAnsi="Arial" w:cs="Arial"/>
        </w:rPr>
        <w:t>2</w:t>
      </w:r>
      <w:r w:rsidR="00080F73" w:rsidRPr="00A9353A">
        <w:rPr>
          <w:rFonts w:ascii="Arial" w:hAnsi="Arial" w:cs="Arial"/>
        </w:rPr>
        <w:t>)</w:t>
      </w:r>
    </w:p>
    <w:p w14:paraId="11079281" w14:textId="7E1F5BE9" w:rsidR="00080F73" w:rsidRPr="00A9353A" w:rsidRDefault="00080F73" w:rsidP="00514B3F">
      <w:pPr>
        <w:pStyle w:val="Body"/>
        <w:spacing w:before="120" w:after="0"/>
        <w:rPr>
          <w:rFonts w:ascii="Arial" w:hAnsi="Arial" w:cs="Arial"/>
        </w:rPr>
      </w:pPr>
      <w:r w:rsidRPr="00A9353A">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d</m:t>
            </m:r>
          </m:sub>
        </m:sSub>
        <m:r>
          <m:rPr>
            <m:sty m:val="p"/>
          </m:rPr>
          <w:rPr>
            <w:rFonts w:ascii="Cambria Math" w:hAnsi="Cambria Math" w:cs="Arial"/>
          </w:rPr>
          <m:t xml:space="preserve"> is the initial dry weight</m:t>
        </m:r>
        <m:r>
          <w:rPr>
            <w:rFonts w:ascii="Cambria Math" w:hAnsi="Cambria Math" w:cs="Arial"/>
          </w:rPr>
          <m:t xml:space="preserve"> </m:t>
        </m:r>
        <m:sSub>
          <m:sSubPr>
            <m:ctrlPr>
              <w:rPr>
                <w:rFonts w:ascii="Cambria Math" w:hAnsi="Cambria Math" w:cs="Arial"/>
                <w:i/>
              </w:rPr>
            </m:ctrlPr>
          </m:sSubPr>
          <m:e>
            <m:r>
              <w:rPr>
                <w:rFonts w:ascii="Cambria Math" w:hAnsi="Cambria Math" w:cs="Arial"/>
              </w:rPr>
              <m:t>and W</m:t>
            </m:r>
          </m:e>
          <m:sub>
            <m:r>
              <w:rPr>
                <w:rFonts w:ascii="Cambria Math" w:hAnsi="Cambria Math" w:cs="Arial"/>
              </w:rPr>
              <m:t>w</m:t>
            </m:r>
          </m:sub>
        </m:sSub>
      </m:oMath>
      <w:r w:rsidRPr="00A9353A">
        <w:rPr>
          <w:rFonts w:ascii="Arial" w:hAnsi="Arial" w:cs="Arial"/>
        </w:rPr>
        <w:t xml:space="preserve"> is the </w:t>
      </w:r>
      <w:r w:rsidR="00630155" w:rsidRPr="00A9353A">
        <w:rPr>
          <w:rFonts w:ascii="Arial" w:hAnsi="Arial" w:cs="Arial"/>
        </w:rPr>
        <w:t xml:space="preserve">final </w:t>
      </w:r>
      <w:r w:rsidR="00943333" w:rsidRPr="00A9353A">
        <w:rPr>
          <w:rFonts w:ascii="Arial" w:hAnsi="Arial" w:cs="Arial"/>
        </w:rPr>
        <w:t xml:space="preserve">wet </w:t>
      </w:r>
      <w:r w:rsidRPr="00A9353A">
        <w:rPr>
          <w:rFonts w:ascii="Arial" w:hAnsi="Arial" w:cs="Arial"/>
        </w:rPr>
        <w:t xml:space="preserve">weight of </w:t>
      </w:r>
      <w:r w:rsidR="00630155" w:rsidRPr="00A9353A">
        <w:rPr>
          <w:rFonts w:ascii="Arial" w:hAnsi="Arial" w:cs="Arial"/>
        </w:rPr>
        <w:t>the sample</w:t>
      </w:r>
      <w:r w:rsidRPr="00A9353A">
        <w:rPr>
          <w:rFonts w:ascii="Arial" w:hAnsi="Arial" w:cs="Arial"/>
        </w:rPr>
        <w:t>.</w:t>
      </w:r>
    </w:p>
    <w:p w14:paraId="5722401C" w14:textId="77777777" w:rsidR="00DE2F4D" w:rsidRPr="00A9353A" w:rsidRDefault="00DE2F4D" w:rsidP="00120299">
      <w:pPr>
        <w:pStyle w:val="Body"/>
        <w:spacing w:after="0"/>
        <w:rPr>
          <w:rFonts w:ascii="Arial" w:hAnsi="Arial" w:cs="Arial"/>
        </w:rPr>
      </w:pPr>
    </w:p>
    <w:p w14:paraId="264748D7" w14:textId="7D3EC2B6" w:rsidR="009566BB" w:rsidRPr="00A9353A" w:rsidRDefault="00120299" w:rsidP="00120299">
      <w:pPr>
        <w:pStyle w:val="Body"/>
        <w:spacing w:after="0"/>
        <w:rPr>
          <w:rFonts w:ascii="Arial" w:hAnsi="Arial" w:cs="Arial"/>
          <w:i/>
          <w:u w:val="single"/>
        </w:rPr>
      </w:pPr>
      <w:r w:rsidRPr="00A9353A">
        <w:rPr>
          <w:rFonts w:ascii="Arial" w:hAnsi="Arial" w:cs="Arial"/>
          <w:i/>
          <w:u w:val="single"/>
        </w:rPr>
        <w:t>Fourier Transform Infrared Spectroscopy (FTIR)</w:t>
      </w:r>
    </w:p>
    <w:p w14:paraId="04DE7893" w14:textId="6BA0F63D" w:rsidR="00120299" w:rsidRPr="00A9353A" w:rsidRDefault="009566BB" w:rsidP="00120299">
      <w:pPr>
        <w:pStyle w:val="Body"/>
        <w:spacing w:after="0"/>
        <w:rPr>
          <w:rFonts w:ascii="Arial" w:hAnsi="Arial" w:cs="Arial"/>
        </w:rPr>
      </w:pPr>
      <w:r w:rsidRPr="00A9353A">
        <w:rPr>
          <w:rFonts w:ascii="Arial" w:hAnsi="Arial" w:cs="Arial"/>
        </w:rPr>
        <w:t>FTIR can be used to analyse solids, liquids, and gases, and is often used in materials science,</w:t>
      </w:r>
      <w:r w:rsidRPr="00A9353A">
        <w:rPr>
          <w:rFonts w:ascii="Arial" w:hAnsi="Arial" w:cs="Arial"/>
          <w:spacing w:val="1"/>
        </w:rPr>
        <w:t xml:space="preserve"> </w:t>
      </w:r>
      <w:r w:rsidRPr="00A9353A">
        <w:rPr>
          <w:rFonts w:ascii="Arial" w:hAnsi="Arial" w:cs="Arial"/>
        </w:rPr>
        <w:t>pharmaceuticals, polymers, food science, and environmental analysis. Some specific applications</w:t>
      </w:r>
      <w:r w:rsidRPr="00A9353A">
        <w:rPr>
          <w:rFonts w:ascii="Arial" w:hAnsi="Arial" w:cs="Arial"/>
          <w:spacing w:val="-57"/>
        </w:rPr>
        <w:t xml:space="preserve"> </w:t>
      </w:r>
      <w:r w:rsidRPr="00A9353A">
        <w:rPr>
          <w:rFonts w:ascii="Arial" w:hAnsi="Arial" w:cs="Arial"/>
        </w:rPr>
        <w:t xml:space="preserve">of FTIR include identifying contaminants in a sample, analysing the chemical </w:t>
      </w:r>
      <w:r w:rsidRPr="00A9353A">
        <w:rPr>
          <w:rFonts w:ascii="Arial" w:hAnsi="Arial" w:cs="Arial"/>
        </w:rPr>
        <w:lastRenderedPageBreak/>
        <w:t>composition of</w:t>
      </w:r>
      <w:r w:rsidRPr="00A9353A">
        <w:rPr>
          <w:rFonts w:ascii="Arial" w:hAnsi="Arial" w:cs="Arial"/>
          <w:spacing w:val="1"/>
        </w:rPr>
        <w:t xml:space="preserve"> </w:t>
      </w:r>
      <w:r w:rsidRPr="00A9353A">
        <w:rPr>
          <w:rFonts w:ascii="Arial" w:hAnsi="Arial" w:cs="Arial"/>
        </w:rPr>
        <w:t>polymers and plastics, and identifying the presence of drugs or other compounds in biological</w:t>
      </w:r>
      <w:r w:rsidRPr="00A9353A">
        <w:rPr>
          <w:rFonts w:ascii="Arial" w:hAnsi="Arial" w:cs="Arial"/>
          <w:spacing w:val="1"/>
        </w:rPr>
        <w:t xml:space="preserve"> </w:t>
      </w:r>
      <w:r w:rsidRPr="00A9353A">
        <w:rPr>
          <w:rFonts w:ascii="Arial" w:hAnsi="Arial" w:cs="Arial"/>
        </w:rPr>
        <w:t>samples. The</w:t>
      </w:r>
      <w:r w:rsidRPr="00A9353A">
        <w:rPr>
          <w:rFonts w:ascii="Arial" w:hAnsi="Arial" w:cs="Arial"/>
          <w:spacing w:val="1"/>
        </w:rPr>
        <w:t xml:space="preserve"> </w:t>
      </w:r>
      <w:r w:rsidRPr="00A9353A">
        <w:rPr>
          <w:rFonts w:ascii="Arial" w:hAnsi="Arial" w:cs="Arial"/>
        </w:rPr>
        <w:t>prepared</w:t>
      </w:r>
      <w:r w:rsidRPr="00A9353A">
        <w:rPr>
          <w:rFonts w:ascii="Arial" w:hAnsi="Arial" w:cs="Arial"/>
          <w:spacing w:val="1"/>
        </w:rPr>
        <w:t xml:space="preserve"> </w:t>
      </w:r>
      <w:r w:rsidRPr="00A9353A">
        <w:rPr>
          <w:rFonts w:ascii="Arial" w:hAnsi="Arial" w:cs="Arial"/>
        </w:rPr>
        <w:t>films</w:t>
      </w:r>
      <w:r w:rsidRPr="00A9353A">
        <w:rPr>
          <w:rFonts w:ascii="Arial" w:hAnsi="Arial" w:cs="Arial"/>
          <w:spacing w:val="1"/>
        </w:rPr>
        <w:t xml:space="preserve"> </w:t>
      </w:r>
      <w:r w:rsidRPr="00A9353A">
        <w:rPr>
          <w:rFonts w:ascii="Arial" w:hAnsi="Arial" w:cs="Arial"/>
        </w:rPr>
        <w:t>were</w:t>
      </w:r>
      <w:r w:rsidRPr="00A9353A">
        <w:rPr>
          <w:rFonts w:ascii="Arial" w:hAnsi="Arial" w:cs="Arial"/>
          <w:spacing w:val="1"/>
        </w:rPr>
        <w:t xml:space="preserve"> </w:t>
      </w:r>
      <w:r w:rsidRPr="00A9353A">
        <w:rPr>
          <w:rFonts w:ascii="Arial" w:hAnsi="Arial" w:cs="Arial"/>
        </w:rPr>
        <w:t>analysed</w:t>
      </w:r>
      <w:r w:rsidRPr="00A9353A">
        <w:rPr>
          <w:rFonts w:ascii="Arial" w:hAnsi="Arial" w:cs="Arial"/>
          <w:spacing w:val="1"/>
        </w:rPr>
        <w:t xml:space="preserve"> </w:t>
      </w:r>
      <w:r w:rsidRPr="00A9353A">
        <w:rPr>
          <w:rFonts w:ascii="Arial" w:hAnsi="Arial" w:cs="Arial"/>
        </w:rPr>
        <w:t>using</w:t>
      </w:r>
      <w:r w:rsidRPr="00A9353A">
        <w:rPr>
          <w:rFonts w:ascii="Arial" w:hAnsi="Arial" w:cs="Arial"/>
          <w:spacing w:val="1"/>
        </w:rPr>
        <w:t xml:space="preserve"> </w:t>
      </w:r>
      <w:r w:rsidRPr="00A9353A">
        <w:rPr>
          <w:rFonts w:ascii="Arial" w:hAnsi="Arial" w:cs="Arial"/>
        </w:rPr>
        <w:t>Fourier</w:t>
      </w:r>
      <w:r w:rsidRPr="00A9353A">
        <w:rPr>
          <w:rFonts w:ascii="Arial" w:hAnsi="Arial" w:cs="Arial"/>
          <w:spacing w:val="1"/>
        </w:rPr>
        <w:t xml:space="preserve"> </w:t>
      </w:r>
      <w:r w:rsidRPr="00A9353A">
        <w:rPr>
          <w:rFonts w:ascii="Arial" w:hAnsi="Arial" w:cs="Arial"/>
        </w:rPr>
        <w:t>Transform</w:t>
      </w:r>
      <w:r w:rsidRPr="00A9353A">
        <w:rPr>
          <w:rFonts w:ascii="Arial" w:hAnsi="Arial" w:cs="Arial"/>
          <w:spacing w:val="1"/>
        </w:rPr>
        <w:t xml:space="preserve"> </w:t>
      </w:r>
      <w:r w:rsidRPr="00A9353A">
        <w:rPr>
          <w:rFonts w:ascii="Arial" w:hAnsi="Arial" w:cs="Arial"/>
        </w:rPr>
        <w:t>Infrared</w:t>
      </w:r>
      <w:r w:rsidRPr="00A9353A">
        <w:rPr>
          <w:rFonts w:ascii="Arial" w:hAnsi="Arial" w:cs="Arial"/>
          <w:spacing w:val="1"/>
        </w:rPr>
        <w:t xml:space="preserve"> </w:t>
      </w:r>
      <w:r w:rsidRPr="00A9353A">
        <w:rPr>
          <w:rFonts w:ascii="Arial" w:hAnsi="Arial" w:cs="Arial"/>
        </w:rPr>
        <w:t>Spectroscopy</w:t>
      </w:r>
      <w:r w:rsidRPr="00A9353A">
        <w:rPr>
          <w:rFonts w:ascii="Arial" w:hAnsi="Arial" w:cs="Arial"/>
          <w:spacing w:val="1"/>
        </w:rPr>
        <w:t xml:space="preserve"> </w:t>
      </w:r>
      <w:r w:rsidRPr="00A9353A">
        <w:rPr>
          <w:rFonts w:ascii="Arial" w:hAnsi="Arial" w:cs="Arial"/>
        </w:rPr>
        <w:t>(FTIR). Samples were isolated for a prompt result regarding the bio mineral, where a few crystals were</w:t>
      </w:r>
      <w:r w:rsidRPr="00A9353A">
        <w:rPr>
          <w:rFonts w:ascii="Arial" w:hAnsi="Arial" w:cs="Arial"/>
          <w:spacing w:val="1"/>
        </w:rPr>
        <w:t xml:space="preserve"> </w:t>
      </w:r>
      <w:r w:rsidRPr="00A9353A">
        <w:rPr>
          <w:rFonts w:ascii="Arial" w:hAnsi="Arial" w:cs="Arial"/>
        </w:rPr>
        <w:t>mixed</w:t>
      </w:r>
      <w:r w:rsidRPr="00A9353A">
        <w:rPr>
          <w:rFonts w:ascii="Arial" w:hAnsi="Arial" w:cs="Arial"/>
          <w:spacing w:val="1"/>
        </w:rPr>
        <w:t xml:space="preserve"> </w:t>
      </w:r>
      <w:r w:rsidRPr="00A9353A">
        <w:rPr>
          <w:rFonts w:ascii="Arial" w:hAnsi="Arial" w:cs="Arial"/>
        </w:rPr>
        <w:t>with</w:t>
      </w:r>
      <w:r w:rsidRPr="00A9353A">
        <w:rPr>
          <w:rFonts w:ascii="Arial" w:hAnsi="Arial" w:cs="Arial"/>
          <w:spacing w:val="1"/>
        </w:rPr>
        <w:t xml:space="preserve"> </w:t>
      </w:r>
      <w:r w:rsidRPr="00A9353A">
        <w:rPr>
          <w:rFonts w:ascii="Arial" w:hAnsi="Arial" w:cs="Arial"/>
        </w:rPr>
        <w:t>KBr</w:t>
      </w:r>
      <w:r w:rsidRPr="00A9353A">
        <w:rPr>
          <w:rFonts w:ascii="Arial" w:hAnsi="Arial" w:cs="Arial"/>
          <w:spacing w:val="1"/>
        </w:rPr>
        <w:t xml:space="preserve"> </w:t>
      </w:r>
      <w:r w:rsidRPr="00A9353A">
        <w:rPr>
          <w:rFonts w:ascii="Arial" w:hAnsi="Arial" w:cs="Arial"/>
        </w:rPr>
        <w:t>(Merck</w:t>
      </w:r>
      <w:r w:rsidRPr="00A9353A">
        <w:rPr>
          <w:rFonts w:ascii="Arial" w:hAnsi="Arial" w:cs="Arial"/>
          <w:spacing w:val="1"/>
        </w:rPr>
        <w:t xml:space="preserve"> </w:t>
      </w:r>
      <w:r w:rsidRPr="00A9353A">
        <w:rPr>
          <w:rFonts w:ascii="Arial" w:hAnsi="Arial" w:cs="Arial"/>
        </w:rPr>
        <w:t>for</w:t>
      </w:r>
      <w:r w:rsidRPr="00A9353A">
        <w:rPr>
          <w:rFonts w:ascii="Arial" w:hAnsi="Arial" w:cs="Arial"/>
          <w:spacing w:val="1"/>
        </w:rPr>
        <w:t xml:space="preserve"> </w:t>
      </w:r>
      <w:r w:rsidRPr="00A9353A">
        <w:rPr>
          <w:rFonts w:ascii="Arial" w:hAnsi="Arial" w:cs="Arial"/>
        </w:rPr>
        <w:t>spectroscopy)</w:t>
      </w:r>
      <w:r w:rsidRPr="00A9353A">
        <w:rPr>
          <w:rFonts w:ascii="Arial" w:hAnsi="Arial" w:cs="Arial"/>
          <w:spacing w:val="1"/>
        </w:rPr>
        <w:t xml:space="preserve"> </w:t>
      </w:r>
      <w:r w:rsidRPr="00A9353A">
        <w:rPr>
          <w:rFonts w:ascii="Arial" w:hAnsi="Arial" w:cs="Arial"/>
        </w:rPr>
        <w:t>and</w:t>
      </w:r>
      <w:r w:rsidRPr="00A9353A">
        <w:rPr>
          <w:rFonts w:ascii="Arial" w:hAnsi="Arial" w:cs="Arial"/>
          <w:spacing w:val="1"/>
        </w:rPr>
        <w:t xml:space="preserve"> </w:t>
      </w:r>
      <w:r w:rsidRPr="00A9353A">
        <w:rPr>
          <w:rFonts w:ascii="Arial" w:hAnsi="Arial" w:cs="Arial"/>
        </w:rPr>
        <w:t>pulverised</w:t>
      </w:r>
      <w:r w:rsidRPr="00A9353A">
        <w:rPr>
          <w:rFonts w:ascii="Arial" w:hAnsi="Arial" w:cs="Arial"/>
          <w:spacing w:val="1"/>
        </w:rPr>
        <w:t xml:space="preserve"> </w:t>
      </w:r>
      <w:r w:rsidRPr="00A9353A">
        <w:rPr>
          <w:rFonts w:ascii="Arial" w:hAnsi="Arial" w:cs="Arial"/>
        </w:rPr>
        <w:t>in</w:t>
      </w:r>
      <w:r w:rsidRPr="00A9353A">
        <w:rPr>
          <w:rFonts w:ascii="Arial" w:hAnsi="Arial" w:cs="Arial"/>
          <w:spacing w:val="1"/>
        </w:rPr>
        <w:t xml:space="preserve"> </w:t>
      </w:r>
      <w:r w:rsidRPr="00A9353A">
        <w:rPr>
          <w:rFonts w:ascii="Arial" w:hAnsi="Arial" w:cs="Arial"/>
        </w:rPr>
        <w:t>an</w:t>
      </w:r>
      <w:r w:rsidRPr="00A9353A">
        <w:rPr>
          <w:rFonts w:ascii="Arial" w:hAnsi="Arial" w:cs="Arial"/>
          <w:spacing w:val="1"/>
        </w:rPr>
        <w:t xml:space="preserve"> </w:t>
      </w:r>
      <w:r w:rsidRPr="00A9353A">
        <w:rPr>
          <w:rFonts w:ascii="Arial" w:hAnsi="Arial" w:cs="Arial"/>
        </w:rPr>
        <w:t>agate</w:t>
      </w:r>
      <w:r w:rsidRPr="00A9353A">
        <w:rPr>
          <w:rFonts w:ascii="Arial" w:hAnsi="Arial" w:cs="Arial"/>
          <w:spacing w:val="1"/>
        </w:rPr>
        <w:t xml:space="preserve"> </w:t>
      </w:r>
      <w:r w:rsidRPr="00A9353A">
        <w:rPr>
          <w:rFonts w:ascii="Arial" w:hAnsi="Arial" w:cs="Arial"/>
        </w:rPr>
        <w:t>mortar</w:t>
      </w:r>
      <w:r w:rsidRPr="00A9353A">
        <w:rPr>
          <w:rFonts w:ascii="Arial" w:hAnsi="Arial" w:cs="Arial"/>
          <w:spacing w:val="1"/>
        </w:rPr>
        <w:t xml:space="preserve"> </w:t>
      </w:r>
      <w:r w:rsidRPr="00A9353A">
        <w:rPr>
          <w:rFonts w:ascii="Arial" w:hAnsi="Arial" w:cs="Arial"/>
        </w:rPr>
        <w:t>to</w:t>
      </w:r>
      <w:r w:rsidRPr="00A9353A">
        <w:rPr>
          <w:rFonts w:ascii="Arial" w:hAnsi="Arial" w:cs="Arial"/>
          <w:spacing w:val="1"/>
        </w:rPr>
        <w:t xml:space="preserve"> </w:t>
      </w:r>
      <w:r w:rsidRPr="00A9353A">
        <w:rPr>
          <w:rFonts w:ascii="Arial" w:hAnsi="Arial" w:cs="Arial"/>
        </w:rPr>
        <w:t>form</w:t>
      </w:r>
      <w:r w:rsidRPr="00A9353A">
        <w:rPr>
          <w:rFonts w:ascii="Arial" w:hAnsi="Arial" w:cs="Arial"/>
          <w:spacing w:val="1"/>
        </w:rPr>
        <w:t xml:space="preserve"> </w:t>
      </w:r>
      <w:r w:rsidRPr="00A9353A">
        <w:rPr>
          <w:rFonts w:ascii="Arial" w:hAnsi="Arial" w:cs="Arial"/>
        </w:rPr>
        <w:t>a</w:t>
      </w:r>
      <w:r w:rsidRPr="00A9353A">
        <w:rPr>
          <w:rFonts w:ascii="Arial" w:hAnsi="Arial" w:cs="Arial"/>
          <w:spacing w:val="1"/>
        </w:rPr>
        <w:t xml:space="preserve"> </w:t>
      </w:r>
      <w:r w:rsidRPr="00A9353A">
        <w:rPr>
          <w:rFonts w:ascii="Arial" w:hAnsi="Arial" w:cs="Arial"/>
        </w:rPr>
        <w:t>homogenous powder.</w:t>
      </w:r>
      <w:r w:rsidRPr="00A9353A">
        <w:rPr>
          <w:rFonts w:ascii="Arial" w:hAnsi="Arial" w:cs="Arial"/>
          <w:spacing w:val="-1"/>
        </w:rPr>
        <w:t xml:space="preserve"> </w:t>
      </w:r>
      <w:r w:rsidRPr="00A9353A">
        <w:rPr>
          <w:rFonts w:ascii="Arial" w:hAnsi="Arial" w:cs="Arial"/>
        </w:rPr>
        <w:t>An</w:t>
      </w:r>
      <w:r w:rsidRPr="00A9353A">
        <w:rPr>
          <w:rFonts w:ascii="Arial" w:hAnsi="Arial" w:cs="Arial"/>
          <w:spacing w:val="-1"/>
        </w:rPr>
        <w:t xml:space="preserve"> </w:t>
      </w:r>
      <w:r w:rsidRPr="00A9353A">
        <w:rPr>
          <w:rFonts w:ascii="Arial" w:hAnsi="Arial" w:cs="Arial"/>
        </w:rPr>
        <w:t>appropriate pellet</w:t>
      </w:r>
      <w:r w:rsidRPr="00A9353A">
        <w:rPr>
          <w:rFonts w:ascii="Arial" w:hAnsi="Arial" w:cs="Arial"/>
          <w:spacing w:val="1"/>
        </w:rPr>
        <w:t xml:space="preserve"> </w:t>
      </w:r>
      <w:r w:rsidRPr="00A9353A">
        <w:rPr>
          <w:rFonts w:ascii="Arial" w:hAnsi="Arial" w:cs="Arial"/>
        </w:rPr>
        <w:t>was then prepared</w:t>
      </w:r>
      <w:r w:rsidRPr="00A9353A">
        <w:rPr>
          <w:rFonts w:ascii="Arial" w:hAnsi="Arial" w:cs="Arial"/>
          <w:spacing w:val="-1"/>
        </w:rPr>
        <w:t xml:space="preserve"> </w:t>
      </w:r>
      <w:r w:rsidRPr="00A9353A">
        <w:rPr>
          <w:rFonts w:ascii="Arial" w:hAnsi="Arial" w:cs="Arial"/>
        </w:rPr>
        <w:t>under</w:t>
      </w:r>
      <w:r w:rsidRPr="00A9353A">
        <w:rPr>
          <w:rFonts w:ascii="Arial" w:hAnsi="Arial" w:cs="Arial"/>
          <w:spacing w:val="1"/>
        </w:rPr>
        <w:t xml:space="preserve"> </w:t>
      </w:r>
      <w:r w:rsidRPr="00A9353A">
        <w:rPr>
          <w:rFonts w:ascii="Arial" w:hAnsi="Arial" w:cs="Arial"/>
        </w:rPr>
        <w:t>a pressure of</w:t>
      </w:r>
      <w:r w:rsidRPr="00A9353A">
        <w:rPr>
          <w:rFonts w:ascii="Arial" w:hAnsi="Arial" w:cs="Arial"/>
          <w:spacing w:val="-1"/>
        </w:rPr>
        <w:t xml:space="preserve"> </w:t>
      </w:r>
      <w:r w:rsidRPr="00A9353A">
        <w:rPr>
          <w:rFonts w:ascii="Arial" w:hAnsi="Arial" w:cs="Arial"/>
        </w:rPr>
        <w:t>7</w:t>
      </w:r>
      <w:r w:rsidRPr="00A9353A">
        <w:rPr>
          <w:rFonts w:ascii="Arial" w:hAnsi="Arial" w:cs="Arial"/>
          <w:spacing w:val="1"/>
        </w:rPr>
        <w:t xml:space="preserve"> </w:t>
      </w:r>
      <w:r w:rsidRPr="00A9353A">
        <w:rPr>
          <w:rFonts w:ascii="Arial" w:hAnsi="Arial" w:cs="Arial"/>
        </w:rPr>
        <w:t>tons. Spectra were recorded</w:t>
      </w:r>
      <w:r w:rsidR="007E3604" w:rsidRPr="00A9353A">
        <w:rPr>
          <w:rFonts w:ascii="Arial" w:hAnsi="Arial" w:cs="Arial"/>
        </w:rPr>
        <w:t xml:space="preserve"> </w:t>
      </w:r>
      <w:r w:rsidRPr="00A9353A">
        <w:rPr>
          <w:rFonts w:ascii="Arial" w:hAnsi="Arial" w:cs="Arial"/>
        </w:rPr>
        <w:t xml:space="preserve">using the Pelkin Elmer 3000 MX spectrometer, with </w:t>
      </w:r>
      <w:r w:rsidR="007E3604" w:rsidRPr="00A9353A">
        <w:rPr>
          <w:rFonts w:ascii="Arial" w:hAnsi="Arial" w:cs="Arial"/>
        </w:rPr>
        <w:t>4000</w:t>
      </w:r>
      <w:r w:rsidR="007106A0" w:rsidRPr="00A9353A">
        <w:rPr>
          <w:rFonts w:ascii="Arial" w:hAnsi="Arial" w:cs="Arial"/>
        </w:rPr>
        <w:t xml:space="preserve"> </w:t>
      </w:r>
      <w:r w:rsidR="007E3604" w:rsidRPr="00A9353A">
        <w:rPr>
          <w:rFonts w:ascii="Arial" w:hAnsi="Arial" w:cs="Arial"/>
        </w:rPr>
        <w:t>–</w:t>
      </w:r>
      <w:r w:rsidR="007106A0" w:rsidRPr="00A9353A">
        <w:rPr>
          <w:rFonts w:ascii="Arial" w:hAnsi="Arial" w:cs="Arial"/>
        </w:rPr>
        <w:t xml:space="preserve"> </w:t>
      </w:r>
      <w:r w:rsidR="007E3604" w:rsidRPr="00A9353A">
        <w:rPr>
          <w:rFonts w:ascii="Arial" w:hAnsi="Arial" w:cs="Arial"/>
        </w:rPr>
        <w:t>400 cm</w:t>
      </w:r>
      <w:r w:rsidR="007E3604" w:rsidRPr="00A9353A">
        <w:rPr>
          <w:rFonts w:ascii="Arial" w:hAnsi="Arial" w:cs="Arial"/>
          <w:vertAlign w:val="superscript"/>
        </w:rPr>
        <w:t>-1</w:t>
      </w:r>
      <w:r w:rsidR="007E3604" w:rsidRPr="00A9353A">
        <w:rPr>
          <w:rFonts w:ascii="Arial" w:hAnsi="Arial" w:cs="Arial"/>
        </w:rPr>
        <w:t>, 32 scans, 4 cm</w:t>
      </w:r>
      <w:r w:rsidR="007E3604" w:rsidRPr="00A9353A">
        <w:rPr>
          <w:rFonts w:ascii="Arial" w:hAnsi="Arial" w:cs="Arial"/>
          <w:vertAlign w:val="superscript"/>
        </w:rPr>
        <w:t>-1</w:t>
      </w:r>
      <w:r w:rsidR="007E3604" w:rsidRPr="00A9353A">
        <w:rPr>
          <w:rFonts w:ascii="Arial" w:hAnsi="Arial" w:cs="Arial"/>
        </w:rPr>
        <w:t xml:space="preserve"> resolution</w:t>
      </w:r>
      <w:r w:rsidRPr="00A9353A">
        <w:rPr>
          <w:rFonts w:ascii="Arial" w:hAnsi="Arial" w:cs="Arial"/>
        </w:rPr>
        <w:t>.</w:t>
      </w:r>
      <w:r w:rsidRPr="00A9353A">
        <w:rPr>
          <w:rFonts w:ascii="Arial" w:hAnsi="Arial" w:cs="Arial"/>
          <w:spacing w:val="1"/>
        </w:rPr>
        <w:t xml:space="preserve"> </w:t>
      </w:r>
      <w:r w:rsidRPr="00A9353A">
        <w:rPr>
          <w:rFonts w:ascii="Arial" w:hAnsi="Arial" w:cs="Arial"/>
        </w:rPr>
        <w:t>The</w:t>
      </w:r>
      <w:r w:rsidRPr="00A9353A">
        <w:rPr>
          <w:rFonts w:ascii="Arial" w:hAnsi="Arial" w:cs="Arial"/>
          <w:spacing w:val="1"/>
        </w:rPr>
        <w:t xml:space="preserve"> </w:t>
      </w:r>
      <w:r w:rsidRPr="00A9353A">
        <w:rPr>
          <w:rFonts w:ascii="Arial" w:hAnsi="Arial" w:cs="Arial"/>
        </w:rPr>
        <w:t>IR</w:t>
      </w:r>
      <w:r w:rsidRPr="00A9353A">
        <w:rPr>
          <w:rFonts w:ascii="Arial" w:hAnsi="Arial" w:cs="Arial"/>
          <w:spacing w:val="1"/>
        </w:rPr>
        <w:t xml:space="preserve"> </w:t>
      </w:r>
      <w:r w:rsidRPr="00A9353A">
        <w:rPr>
          <w:rFonts w:ascii="Arial" w:hAnsi="Arial" w:cs="Arial"/>
        </w:rPr>
        <w:t>spectra</w:t>
      </w:r>
      <w:r w:rsidRPr="00A9353A">
        <w:rPr>
          <w:rFonts w:ascii="Arial" w:hAnsi="Arial" w:cs="Arial"/>
          <w:spacing w:val="1"/>
        </w:rPr>
        <w:t xml:space="preserve"> </w:t>
      </w:r>
      <w:r w:rsidRPr="00A9353A">
        <w:rPr>
          <w:rFonts w:ascii="Arial" w:hAnsi="Arial" w:cs="Arial"/>
        </w:rPr>
        <w:t>were</w:t>
      </w:r>
      <w:r w:rsidRPr="00A9353A">
        <w:rPr>
          <w:rFonts w:ascii="Arial" w:hAnsi="Arial" w:cs="Arial"/>
          <w:spacing w:val="1"/>
        </w:rPr>
        <w:t xml:space="preserve"> </w:t>
      </w:r>
      <w:r w:rsidRPr="00A9353A">
        <w:rPr>
          <w:rFonts w:ascii="Arial" w:hAnsi="Arial" w:cs="Arial"/>
        </w:rPr>
        <w:t>analysed</w:t>
      </w:r>
      <w:r w:rsidRPr="00A9353A">
        <w:rPr>
          <w:rFonts w:ascii="Arial" w:hAnsi="Arial" w:cs="Arial"/>
          <w:spacing w:val="1"/>
        </w:rPr>
        <w:t xml:space="preserve"> </w:t>
      </w:r>
      <w:r w:rsidRPr="00A9353A">
        <w:rPr>
          <w:rFonts w:ascii="Arial" w:hAnsi="Arial" w:cs="Arial"/>
        </w:rPr>
        <w:t>using</w:t>
      </w:r>
      <w:r w:rsidRPr="00A9353A">
        <w:rPr>
          <w:rFonts w:ascii="Arial" w:hAnsi="Arial" w:cs="Arial"/>
          <w:spacing w:val="1"/>
        </w:rPr>
        <w:t xml:space="preserve"> </w:t>
      </w:r>
      <w:r w:rsidRPr="00A9353A">
        <w:rPr>
          <w:rFonts w:ascii="Arial" w:hAnsi="Arial" w:cs="Arial"/>
        </w:rPr>
        <w:t>the spectroscopic software Win-IR Pro Version 3.0, with a peak sensitivity of 2cm</w:t>
      </w:r>
      <w:r w:rsidR="007E3604" w:rsidRPr="00A9353A">
        <w:rPr>
          <w:rFonts w:ascii="Arial" w:hAnsi="Arial" w:cs="Arial"/>
          <w:vertAlign w:val="superscript"/>
        </w:rPr>
        <w:t>-</w:t>
      </w:r>
      <w:r w:rsidRPr="00A9353A">
        <w:rPr>
          <w:rFonts w:ascii="Arial" w:hAnsi="Arial" w:cs="Arial"/>
          <w:vertAlign w:val="superscript"/>
        </w:rPr>
        <w:t>1</w:t>
      </w:r>
      <w:r w:rsidRPr="00A9353A">
        <w:rPr>
          <w:rFonts w:ascii="Arial" w:hAnsi="Arial" w:cs="Arial"/>
        </w:rPr>
        <w:t>.</w:t>
      </w:r>
    </w:p>
    <w:p w14:paraId="3188B918" w14:textId="77777777" w:rsidR="007E3604" w:rsidRPr="00A9353A" w:rsidRDefault="007E3604" w:rsidP="00120299">
      <w:pPr>
        <w:pStyle w:val="Body"/>
        <w:spacing w:after="0"/>
        <w:rPr>
          <w:rFonts w:ascii="Arial" w:hAnsi="Arial" w:cs="Arial"/>
        </w:rPr>
      </w:pPr>
    </w:p>
    <w:p w14:paraId="72577E15" w14:textId="3602DEB4" w:rsidR="007E3604" w:rsidRPr="00A9353A" w:rsidRDefault="00120299" w:rsidP="00120299">
      <w:pPr>
        <w:pStyle w:val="Body"/>
        <w:spacing w:after="0"/>
        <w:rPr>
          <w:rFonts w:ascii="Arial" w:hAnsi="Arial" w:cs="Arial"/>
          <w:i/>
          <w:u w:val="single"/>
        </w:rPr>
      </w:pPr>
      <w:r w:rsidRPr="00A9353A">
        <w:rPr>
          <w:rFonts w:ascii="Arial" w:hAnsi="Arial" w:cs="Arial"/>
          <w:i/>
          <w:u w:val="single"/>
        </w:rPr>
        <w:t xml:space="preserve">Scanning Electron Microscopy (SEM) </w:t>
      </w:r>
      <w:r w:rsidR="007E30CB" w:rsidRPr="00A9353A">
        <w:rPr>
          <w:rFonts w:ascii="Arial" w:hAnsi="Arial" w:cs="Arial"/>
          <w:i/>
          <w:u w:val="single"/>
        </w:rPr>
        <w:t>Analysis</w:t>
      </w:r>
    </w:p>
    <w:p w14:paraId="14D51243" w14:textId="0A821C17" w:rsidR="00121855" w:rsidRPr="00A9353A" w:rsidRDefault="007E3604" w:rsidP="00121855">
      <w:pPr>
        <w:jc w:val="both"/>
        <w:rPr>
          <w:rFonts w:ascii="Arial" w:hAnsi="Arial" w:cs="Arial"/>
        </w:rPr>
      </w:pPr>
      <w:r w:rsidRPr="00A9353A">
        <w:rPr>
          <w:rFonts w:ascii="Arial" w:hAnsi="Arial" w:cs="Arial"/>
        </w:rPr>
        <w:t>Scanning Electron Micro</w:t>
      </w:r>
      <w:r w:rsidR="005862BF" w:rsidRPr="00A9353A">
        <w:rPr>
          <w:rFonts w:ascii="Arial" w:hAnsi="Arial" w:cs="Arial"/>
        </w:rPr>
        <w:t>scopy</w:t>
      </w:r>
      <w:r w:rsidRPr="00A9353A">
        <w:rPr>
          <w:rFonts w:ascii="Arial" w:hAnsi="Arial" w:cs="Arial"/>
        </w:rPr>
        <w:t xml:space="preserve"> (SEM) is an advanced imaging technique used to observe the</w:t>
      </w:r>
      <w:r w:rsidRPr="00A9353A">
        <w:rPr>
          <w:rFonts w:ascii="Arial" w:hAnsi="Arial" w:cs="Arial"/>
          <w:spacing w:val="1"/>
        </w:rPr>
        <w:t xml:space="preserve"> </w:t>
      </w:r>
      <w:r w:rsidRPr="00A9353A">
        <w:rPr>
          <w:rFonts w:ascii="Arial" w:hAnsi="Arial" w:cs="Arial"/>
        </w:rPr>
        <w:t>surface</w:t>
      </w:r>
      <w:r w:rsidRPr="00A9353A">
        <w:rPr>
          <w:rFonts w:ascii="Arial" w:hAnsi="Arial" w:cs="Arial"/>
          <w:spacing w:val="58"/>
        </w:rPr>
        <w:t xml:space="preserve"> </w:t>
      </w:r>
      <w:r w:rsidRPr="00A9353A">
        <w:rPr>
          <w:rFonts w:ascii="Arial" w:hAnsi="Arial" w:cs="Arial"/>
        </w:rPr>
        <w:t>and</w:t>
      </w:r>
      <w:r w:rsidRPr="00A9353A">
        <w:rPr>
          <w:rFonts w:ascii="Arial" w:hAnsi="Arial" w:cs="Arial"/>
          <w:spacing w:val="58"/>
        </w:rPr>
        <w:t xml:space="preserve"> </w:t>
      </w:r>
      <w:r w:rsidR="00914B4E" w:rsidRPr="00A9353A">
        <w:rPr>
          <w:rFonts w:ascii="Arial" w:hAnsi="Arial" w:cs="Arial"/>
        </w:rPr>
        <w:t xml:space="preserve">microstructural characteristics </w:t>
      </w:r>
      <w:r w:rsidRPr="00A9353A">
        <w:rPr>
          <w:rFonts w:ascii="Arial" w:hAnsi="Arial" w:cs="Arial"/>
        </w:rPr>
        <w:t>of</w:t>
      </w:r>
      <w:r w:rsidRPr="00A9353A">
        <w:rPr>
          <w:rFonts w:ascii="Arial" w:hAnsi="Arial" w:cs="Arial"/>
          <w:spacing w:val="58"/>
        </w:rPr>
        <w:t xml:space="preserve"> </w:t>
      </w:r>
      <w:r w:rsidRPr="00A9353A">
        <w:rPr>
          <w:rFonts w:ascii="Arial" w:hAnsi="Arial" w:cs="Arial"/>
        </w:rPr>
        <w:t>a</w:t>
      </w:r>
      <w:r w:rsidRPr="00A9353A">
        <w:rPr>
          <w:rFonts w:ascii="Arial" w:hAnsi="Arial" w:cs="Arial"/>
          <w:spacing w:val="58"/>
        </w:rPr>
        <w:t xml:space="preserve"> </w:t>
      </w:r>
      <w:r w:rsidRPr="00A9353A">
        <w:rPr>
          <w:rFonts w:ascii="Arial" w:hAnsi="Arial" w:cs="Arial"/>
        </w:rPr>
        <w:t>sample</w:t>
      </w:r>
      <w:r w:rsidRPr="00A9353A">
        <w:rPr>
          <w:rFonts w:ascii="Arial" w:hAnsi="Arial" w:cs="Arial"/>
          <w:spacing w:val="58"/>
        </w:rPr>
        <w:t xml:space="preserve"> </w:t>
      </w:r>
      <w:r w:rsidRPr="00A9353A">
        <w:rPr>
          <w:rFonts w:ascii="Arial" w:hAnsi="Arial" w:cs="Arial"/>
        </w:rPr>
        <w:t>at</w:t>
      </w:r>
      <w:r w:rsidRPr="00A9353A">
        <w:rPr>
          <w:rFonts w:ascii="Arial" w:hAnsi="Arial" w:cs="Arial"/>
          <w:spacing w:val="58"/>
        </w:rPr>
        <w:t xml:space="preserve"> </w:t>
      </w:r>
      <w:r w:rsidRPr="00A9353A">
        <w:rPr>
          <w:rFonts w:ascii="Arial" w:hAnsi="Arial" w:cs="Arial"/>
        </w:rPr>
        <w:t>a</w:t>
      </w:r>
      <w:r w:rsidRPr="00A9353A">
        <w:rPr>
          <w:rFonts w:ascii="Arial" w:hAnsi="Arial" w:cs="Arial"/>
          <w:spacing w:val="58"/>
        </w:rPr>
        <w:t xml:space="preserve"> </w:t>
      </w:r>
      <w:r w:rsidRPr="00A9353A">
        <w:rPr>
          <w:rFonts w:ascii="Arial" w:hAnsi="Arial" w:cs="Arial"/>
        </w:rPr>
        <w:t>very</w:t>
      </w:r>
      <w:r w:rsidRPr="00A9353A">
        <w:rPr>
          <w:rFonts w:ascii="Arial" w:hAnsi="Arial" w:cs="Arial"/>
          <w:spacing w:val="58"/>
        </w:rPr>
        <w:t xml:space="preserve"> </w:t>
      </w:r>
      <w:r w:rsidRPr="00A9353A">
        <w:rPr>
          <w:rFonts w:ascii="Arial" w:hAnsi="Arial" w:cs="Arial"/>
        </w:rPr>
        <w:t>high</w:t>
      </w:r>
      <w:r w:rsidRPr="00A9353A">
        <w:rPr>
          <w:rFonts w:ascii="Arial" w:hAnsi="Arial" w:cs="Arial"/>
          <w:spacing w:val="58"/>
        </w:rPr>
        <w:t xml:space="preserve"> </w:t>
      </w:r>
      <w:r w:rsidRPr="00A9353A">
        <w:rPr>
          <w:rFonts w:ascii="Arial" w:hAnsi="Arial" w:cs="Arial"/>
        </w:rPr>
        <w:t>magnification.</w:t>
      </w:r>
      <w:r w:rsidRPr="00A9353A">
        <w:rPr>
          <w:rFonts w:ascii="Arial" w:hAnsi="Arial" w:cs="Arial"/>
          <w:spacing w:val="58"/>
        </w:rPr>
        <w:t xml:space="preserve"> </w:t>
      </w:r>
      <w:r w:rsidRPr="00A9353A">
        <w:rPr>
          <w:rFonts w:ascii="Arial" w:hAnsi="Arial" w:cs="Arial"/>
        </w:rPr>
        <w:t>It</w:t>
      </w:r>
      <w:r w:rsidRPr="00A9353A">
        <w:rPr>
          <w:rFonts w:ascii="Arial" w:hAnsi="Arial" w:cs="Arial"/>
          <w:spacing w:val="58"/>
        </w:rPr>
        <w:t xml:space="preserve"> </w:t>
      </w:r>
      <w:r w:rsidRPr="00A9353A">
        <w:rPr>
          <w:rFonts w:ascii="Arial" w:hAnsi="Arial" w:cs="Arial"/>
        </w:rPr>
        <w:t>is</w:t>
      </w:r>
      <w:r w:rsidRPr="00A9353A">
        <w:rPr>
          <w:rFonts w:ascii="Arial" w:hAnsi="Arial" w:cs="Arial"/>
          <w:spacing w:val="58"/>
        </w:rPr>
        <w:t xml:space="preserve"> </w:t>
      </w:r>
      <w:r w:rsidRPr="00A9353A">
        <w:rPr>
          <w:rFonts w:ascii="Arial" w:hAnsi="Arial" w:cs="Arial"/>
        </w:rPr>
        <w:t>a</w:t>
      </w:r>
      <w:r w:rsidRPr="00A9353A">
        <w:rPr>
          <w:rFonts w:ascii="Arial" w:hAnsi="Arial" w:cs="Arial"/>
          <w:spacing w:val="58"/>
        </w:rPr>
        <w:t xml:space="preserve"> </w:t>
      </w:r>
      <w:r w:rsidRPr="00A9353A">
        <w:rPr>
          <w:rFonts w:ascii="Arial" w:hAnsi="Arial" w:cs="Arial"/>
        </w:rPr>
        <w:t>type</w:t>
      </w:r>
      <w:r w:rsidRPr="00A9353A">
        <w:rPr>
          <w:rFonts w:ascii="Arial" w:hAnsi="Arial" w:cs="Arial"/>
          <w:spacing w:val="58"/>
        </w:rPr>
        <w:t xml:space="preserve"> </w:t>
      </w:r>
      <w:r w:rsidRPr="00A9353A">
        <w:rPr>
          <w:rFonts w:ascii="Arial" w:hAnsi="Arial" w:cs="Arial"/>
        </w:rPr>
        <w:t>of</w:t>
      </w:r>
      <w:r w:rsidRPr="00A9353A">
        <w:rPr>
          <w:rFonts w:ascii="Arial" w:hAnsi="Arial" w:cs="Arial"/>
          <w:spacing w:val="58"/>
        </w:rPr>
        <w:t xml:space="preserve"> </w:t>
      </w:r>
      <w:r w:rsidRPr="00A9353A">
        <w:rPr>
          <w:rFonts w:ascii="Arial" w:hAnsi="Arial" w:cs="Arial"/>
        </w:rPr>
        <w:t>electron</w:t>
      </w:r>
      <w:r w:rsidRPr="00A9353A">
        <w:rPr>
          <w:rFonts w:ascii="Arial" w:hAnsi="Arial" w:cs="Arial"/>
          <w:spacing w:val="-58"/>
        </w:rPr>
        <w:t xml:space="preserve"> </w:t>
      </w:r>
      <w:r w:rsidRPr="00A9353A">
        <w:rPr>
          <w:rFonts w:ascii="Arial" w:hAnsi="Arial" w:cs="Arial"/>
        </w:rPr>
        <w:t>microscopy that utilises a focused beam of high-energy electrons to interact with the sample</w:t>
      </w:r>
      <w:r w:rsidRPr="00A9353A">
        <w:rPr>
          <w:rFonts w:ascii="Arial" w:hAnsi="Arial" w:cs="Arial"/>
          <w:spacing w:val="1"/>
        </w:rPr>
        <w:t xml:space="preserve"> </w:t>
      </w:r>
      <w:r w:rsidRPr="00A9353A">
        <w:rPr>
          <w:rFonts w:ascii="Arial" w:hAnsi="Arial" w:cs="Arial"/>
        </w:rPr>
        <w:t>surface,</w:t>
      </w:r>
      <w:r w:rsidRPr="00A9353A">
        <w:rPr>
          <w:rFonts w:ascii="Arial" w:hAnsi="Arial" w:cs="Arial"/>
          <w:spacing w:val="-2"/>
        </w:rPr>
        <w:t xml:space="preserve"> </w:t>
      </w:r>
      <w:r w:rsidRPr="00A9353A">
        <w:rPr>
          <w:rFonts w:ascii="Arial" w:hAnsi="Arial" w:cs="Arial"/>
        </w:rPr>
        <w:t>creating a high-resolution image</w:t>
      </w:r>
      <w:r w:rsidRPr="00A9353A">
        <w:rPr>
          <w:rFonts w:ascii="Arial" w:hAnsi="Arial" w:cs="Arial"/>
          <w:spacing w:val="-1"/>
        </w:rPr>
        <w:t xml:space="preserve"> </w:t>
      </w:r>
      <w:r w:rsidRPr="00A9353A">
        <w:rPr>
          <w:rFonts w:ascii="Arial" w:hAnsi="Arial" w:cs="Arial"/>
        </w:rPr>
        <w:t>of</w:t>
      </w:r>
      <w:r w:rsidRPr="00A9353A">
        <w:rPr>
          <w:rFonts w:ascii="Arial" w:hAnsi="Arial" w:cs="Arial"/>
          <w:spacing w:val="-1"/>
        </w:rPr>
        <w:t xml:space="preserve"> </w:t>
      </w:r>
      <w:r w:rsidRPr="00A9353A">
        <w:rPr>
          <w:rFonts w:ascii="Arial" w:hAnsi="Arial" w:cs="Arial"/>
        </w:rPr>
        <w:t>the sample</w:t>
      </w:r>
      <w:r w:rsidRPr="00A9353A">
        <w:rPr>
          <w:rFonts w:ascii="Arial" w:hAnsi="Arial" w:cs="Arial"/>
          <w:color w:val="374151"/>
        </w:rPr>
        <w:t xml:space="preserve">. </w:t>
      </w:r>
      <w:r w:rsidR="00121855" w:rsidRPr="00A9353A">
        <w:rPr>
          <w:rFonts w:ascii="Arial" w:hAnsi="Arial" w:cs="Arial"/>
        </w:rPr>
        <w:t xml:space="preserve">Surface morphology and microstructural characteristics of the biodegradable films were examined using </w:t>
      </w:r>
      <w:r w:rsidR="001E6075" w:rsidRPr="00A9353A">
        <w:rPr>
          <w:rFonts w:ascii="Arial" w:hAnsi="Arial" w:cs="Arial"/>
        </w:rPr>
        <w:t>SEM technique</w:t>
      </w:r>
      <w:r w:rsidR="00121855" w:rsidRPr="00A9353A">
        <w:rPr>
          <w:rFonts w:ascii="Arial" w:hAnsi="Arial" w:cs="Arial"/>
        </w:rPr>
        <w:t xml:space="preserve"> to evaluate film homogeneity, surface texture, and structural integrity. Film specimens were prepared by mounting on </w:t>
      </w:r>
      <w:r w:rsidR="001E6075" w:rsidRPr="00A9353A">
        <w:rPr>
          <w:rFonts w:ascii="Arial" w:hAnsi="Arial" w:cs="Arial"/>
        </w:rPr>
        <w:t>aluminium</w:t>
      </w:r>
      <w:r w:rsidR="00121855" w:rsidRPr="00A9353A">
        <w:rPr>
          <w:rFonts w:ascii="Arial" w:hAnsi="Arial" w:cs="Arial"/>
        </w:rPr>
        <w:t xml:space="preserve"> specimen stubs using conductive carbon tape. To prevent charging artifacts and enhance image resolution, samples were sputter-coated with a thin layer (approximately 10-15 nm) of platinum using a Quorum Q150R sputter coater under argon atmosphere (10</w:t>
      </w:r>
      <w:r w:rsidR="00121855" w:rsidRPr="00A9353A">
        <w:rPr>
          <w:rFonts w:ascii="Cambria Math" w:hAnsi="Cambria Math" w:cs="Cambria Math"/>
        </w:rPr>
        <w:t>⁻</w:t>
      </w:r>
      <w:r w:rsidR="00121855" w:rsidRPr="00A9353A">
        <w:rPr>
          <w:rFonts w:ascii="Arial" w:hAnsi="Arial" w:cs="Arial"/>
        </w:rPr>
        <w:t>¹ mbar pressure, 20 mA current) for 60 seconds.</w:t>
      </w:r>
    </w:p>
    <w:p w14:paraId="4D2A4292" w14:textId="70D1606B" w:rsidR="00121855" w:rsidRPr="00A9353A" w:rsidRDefault="00121855" w:rsidP="00121855">
      <w:pPr>
        <w:jc w:val="both"/>
        <w:rPr>
          <w:rFonts w:ascii="Arial" w:hAnsi="Arial" w:cs="Arial"/>
        </w:rPr>
      </w:pPr>
      <w:r w:rsidRPr="00A9353A">
        <w:rPr>
          <w:rFonts w:ascii="Arial" w:hAnsi="Arial" w:cs="Arial"/>
        </w:rPr>
        <w:t>SEM imaging was conducted using a JEOL JSM-6390L</w:t>
      </w:r>
      <w:r w:rsidR="001E6075" w:rsidRPr="00A9353A">
        <w:rPr>
          <w:rFonts w:ascii="Arial" w:hAnsi="Arial" w:cs="Arial"/>
        </w:rPr>
        <w:t>V</w:t>
      </w:r>
      <w:r w:rsidRPr="00A9353A">
        <w:rPr>
          <w:rFonts w:ascii="Arial" w:hAnsi="Arial" w:cs="Arial"/>
        </w:rPr>
        <w:t xml:space="preserve"> scanning electron microscope operated at an accelerating voltage of 15 kV with working distance of 10-12 mm. Multiple representative areas of each sample were examined at various magnifications (×100 to ×5000) to obtain comprehensive morphological information.</w:t>
      </w:r>
    </w:p>
    <w:p w14:paraId="03D039CC" w14:textId="6948B7A6" w:rsidR="007E3604" w:rsidRPr="00A9353A" w:rsidRDefault="007E3604" w:rsidP="00121855">
      <w:pPr>
        <w:jc w:val="both"/>
        <w:rPr>
          <w:rFonts w:ascii="Arial" w:hAnsi="Arial" w:cs="Arial"/>
        </w:rPr>
      </w:pPr>
    </w:p>
    <w:p w14:paraId="39F5BC26" w14:textId="4273F43E" w:rsidR="007E3604" w:rsidRPr="00A9353A" w:rsidRDefault="00120299" w:rsidP="00120299">
      <w:pPr>
        <w:pStyle w:val="Body"/>
        <w:spacing w:after="0"/>
        <w:rPr>
          <w:rFonts w:ascii="Arial" w:hAnsi="Arial" w:cs="Arial"/>
          <w:i/>
          <w:u w:val="single"/>
        </w:rPr>
      </w:pPr>
      <w:r w:rsidRPr="00A9353A">
        <w:rPr>
          <w:rFonts w:ascii="Arial" w:hAnsi="Arial" w:cs="Arial"/>
          <w:i/>
          <w:u w:val="single"/>
        </w:rPr>
        <w:t>Biodegradability</w:t>
      </w:r>
      <w:r w:rsidR="007E30CB" w:rsidRPr="00A9353A">
        <w:rPr>
          <w:rFonts w:ascii="Arial" w:hAnsi="Arial" w:cs="Arial"/>
          <w:i/>
          <w:u w:val="single"/>
        </w:rPr>
        <w:t xml:space="preserve"> Assessment</w:t>
      </w:r>
    </w:p>
    <w:p w14:paraId="15C6774A" w14:textId="468D3DBB" w:rsidR="007E3604" w:rsidRPr="00A9353A" w:rsidRDefault="007E3604" w:rsidP="00120299">
      <w:pPr>
        <w:pStyle w:val="Body"/>
        <w:spacing w:after="0"/>
        <w:rPr>
          <w:rFonts w:ascii="Arial" w:hAnsi="Arial" w:cs="Arial"/>
        </w:rPr>
      </w:pPr>
      <w:r w:rsidRPr="00A9353A">
        <w:rPr>
          <w:rFonts w:ascii="Arial" w:hAnsi="Arial" w:cs="Arial"/>
        </w:rPr>
        <w:t xml:space="preserve">To assess the biodegradability of polymeric materials, three primary methodologies are employed: laboratory tests, simulation tests, and field </w:t>
      </w:r>
      <w:r w:rsidR="007E30CB" w:rsidRPr="00A9353A">
        <w:rPr>
          <w:rFonts w:ascii="Arial" w:hAnsi="Arial" w:cs="Arial"/>
        </w:rPr>
        <w:t xml:space="preserve">(or burial) </w:t>
      </w:r>
      <w:r w:rsidRPr="00A9353A">
        <w:rPr>
          <w:rFonts w:ascii="Arial" w:hAnsi="Arial" w:cs="Arial"/>
        </w:rPr>
        <w:t xml:space="preserve">tests. Among these approaches, field testing represents the most practically feasible and cost-effective method for determining biodegradation timeframes of polymeric films under real environmental conditions. The biodegradation assessment of bio-films is commonly conducted using the soil burial test method, where the degree of </w:t>
      </w:r>
      <w:r w:rsidR="007E30CB" w:rsidRPr="00A9353A">
        <w:rPr>
          <w:rFonts w:ascii="Arial" w:hAnsi="Arial" w:cs="Arial"/>
        </w:rPr>
        <w:t>aerobic-driven bio</w:t>
      </w:r>
      <w:r w:rsidRPr="00A9353A">
        <w:rPr>
          <w:rFonts w:ascii="Arial" w:hAnsi="Arial" w:cs="Arial"/>
        </w:rPr>
        <w:t xml:space="preserve">degradation </w:t>
      </w:r>
      <w:r w:rsidR="007E30CB" w:rsidRPr="00A9353A">
        <w:rPr>
          <w:rFonts w:ascii="Arial" w:hAnsi="Arial" w:cs="Arial"/>
        </w:rPr>
        <w:t xml:space="preserve">of plastic materials </w:t>
      </w:r>
      <w:r w:rsidRPr="00A9353A">
        <w:rPr>
          <w:rFonts w:ascii="Arial" w:hAnsi="Arial" w:cs="Arial"/>
        </w:rPr>
        <w:t xml:space="preserve">is quantified using established mathematical equations. This approach provides direct measurement of material breakdown under natural soil conditions, offering realistic degradation profiles that closely mirror actual environmental scenarios. </w:t>
      </w:r>
    </w:p>
    <w:p w14:paraId="38F124CC" w14:textId="2F3AFFF1" w:rsidR="00120299" w:rsidRPr="00A9353A" w:rsidRDefault="00B9660B" w:rsidP="0050280B">
      <w:pPr>
        <w:pStyle w:val="Body"/>
        <w:rPr>
          <w:rFonts w:ascii="Arial" w:hAnsi="Arial" w:cs="Arial"/>
        </w:rPr>
      </w:pPr>
      <w:r w:rsidRPr="00A9353A">
        <w:rPr>
          <w:rFonts w:ascii="Arial" w:hAnsi="Arial" w:cs="Arial"/>
        </w:rPr>
        <w:t xml:space="preserve">To carry out the biodegradability test, test specimens were prepared by cutting films into 3 samples of standardised dimensions (7.5 cm × 7.5 cm) and recording initial weights of each sample as 5.50 g using an analytical balance. The soil used for testing was characterised garden soil of sandy-loam composition (pH 6.8 ± 0.2, organic content 3.2%, moisture holding capacity 45%) obtained from local farm. Samples 1, 2, and 3 were buried in soil-filled containers at a depth of 7.5cm, </w:t>
      </w:r>
      <w:r w:rsidR="001835CC" w:rsidRPr="00A9353A">
        <w:rPr>
          <w:rFonts w:ascii="Arial" w:hAnsi="Arial" w:cs="Arial"/>
        </w:rPr>
        <w:t>10</w:t>
      </w:r>
      <w:r w:rsidRPr="00A9353A">
        <w:rPr>
          <w:rFonts w:ascii="Arial" w:hAnsi="Arial" w:cs="Arial"/>
        </w:rPr>
        <w:t>cm, and 1</w:t>
      </w:r>
      <w:r w:rsidR="001835CC" w:rsidRPr="00A9353A">
        <w:rPr>
          <w:rFonts w:ascii="Arial" w:hAnsi="Arial" w:cs="Arial"/>
        </w:rPr>
        <w:t>2</w:t>
      </w:r>
      <w:r w:rsidRPr="00A9353A">
        <w:rPr>
          <w:rFonts w:ascii="Arial" w:hAnsi="Arial" w:cs="Arial"/>
        </w:rPr>
        <w:t xml:space="preserve">.5cm deep respectively, </w:t>
      </w:r>
      <w:r w:rsidR="00827050" w:rsidRPr="00A9353A">
        <w:rPr>
          <w:rFonts w:ascii="Arial" w:hAnsi="Arial" w:cs="Arial"/>
        </w:rPr>
        <w:t>under controlled environmental conditions (temperature 25 ± 2°C, relative humidity 60 ± 5%) with periodic moisture adjustment to maintain 60% water holding capacity, as recommended by Pires et al. (2022) for biodegradation testing of bio-based materials in soil</w:t>
      </w:r>
      <w:r w:rsidRPr="00A9353A">
        <w:rPr>
          <w:rFonts w:ascii="Arial" w:hAnsi="Arial" w:cs="Arial"/>
        </w:rPr>
        <w:t xml:space="preserve">. The </w:t>
      </w:r>
      <w:r w:rsidR="00827050" w:rsidRPr="00A9353A">
        <w:rPr>
          <w:rFonts w:ascii="Arial" w:hAnsi="Arial" w:cs="Arial"/>
        </w:rPr>
        <w:t>burial container</w:t>
      </w:r>
      <w:r w:rsidRPr="00A9353A">
        <w:rPr>
          <w:rFonts w:ascii="Arial" w:hAnsi="Arial" w:cs="Arial"/>
        </w:rPr>
        <w:t xml:space="preserve"> was maintained under aerobic conditions with periodic aeration to sustain microbial activity. Film specimens were carefully excavated at predetermined intervals (</w:t>
      </w:r>
      <w:r w:rsidR="00827050" w:rsidRPr="00A9353A">
        <w:rPr>
          <w:rFonts w:ascii="Arial" w:hAnsi="Arial" w:cs="Arial"/>
        </w:rPr>
        <w:t>4</w:t>
      </w:r>
      <w:r w:rsidRPr="00A9353A">
        <w:rPr>
          <w:rFonts w:ascii="Arial" w:hAnsi="Arial" w:cs="Arial"/>
        </w:rPr>
        <w:t xml:space="preserve">, </w:t>
      </w:r>
      <w:r w:rsidR="00827050" w:rsidRPr="00A9353A">
        <w:rPr>
          <w:rFonts w:ascii="Arial" w:hAnsi="Arial" w:cs="Arial"/>
        </w:rPr>
        <w:t>8</w:t>
      </w:r>
      <w:r w:rsidRPr="00A9353A">
        <w:rPr>
          <w:rFonts w:ascii="Arial" w:hAnsi="Arial" w:cs="Arial"/>
        </w:rPr>
        <w:t xml:space="preserve">, </w:t>
      </w:r>
      <w:r w:rsidR="00827050" w:rsidRPr="00A9353A">
        <w:rPr>
          <w:rFonts w:ascii="Arial" w:hAnsi="Arial" w:cs="Arial"/>
        </w:rPr>
        <w:t>12</w:t>
      </w:r>
      <w:r w:rsidRPr="00A9353A">
        <w:rPr>
          <w:rFonts w:ascii="Arial" w:hAnsi="Arial" w:cs="Arial"/>
        </w:rPr>
        <w:t>, 1</w:t>
      </w:r>
      <w:r w:rsidR="00827050" w:rsidRPr="00A9353A">
        <w:rPr>
          <w:rFonts w:ascii="Arial" w:hAnsi="Arial" w:cs="Arial"/>
        </w:rPr>
        <w:t>6</w:t>
      </w:r>
      <w:r w:rsidRPr="00A9353A">
        <w:rPr>
          <w:rFonts w:ascii="Arial" w:hAnsi="Arial" w:cs="Arial"/>
        </w:rPr>
        <w:t xml:space="preserve">, </w:t>
      </w:r>
      <w:r w:rsidR="00827050" w:rsidRPr="00A9353A">
        <w:rPr>
          <w:rFonts w:ascii="Arial" w:hAnsi="Arial" w:cs="Arial"/>
        </w:rPr>
        <w:t>20</w:t>
      </w:r>
      <w:r w:rsidRPr="00A9353A">
        <w:rPr>
          <w:rFonts w:ascii="Arial" w:hAnsi="Arial" w:cs="Arial"/>
        </w:rPr>
        <w:t xml:space="preserve">, </w:t>
      </w:r>
      <w:r w:rsidR="00827050" w:rsidRPr="00A9353A">
        <w:rPr>
          <w:rFonts w:ascii="Arial" w:hAnsi="Arial" w:cs="Arial"/>
        </w:rPr>
        <w:t xml:space="preserve">24 </w:t>
      </w:r>
      <w:r w:rsidRPr="00A9353A">
        <w:rPr>
          <w:rFonts w:ascii="Arial" w:hAnsi="Arial" w:cs="Arial"/>
        </w:rPr>
        <w:t>and 2</w:t>
      </w:r>
      <w:r w:rsidR="00827050" w:rsidRPr="00A9353A">
        <w:rPr>
          <w:rFonts w:ascii="Arial" w:hAnsi="Arial" w:cs="Arial"/>
        </w:rPr>
        <w:t>8</w:t>
      </w:r>
      <w:r w:rsidRPr="00A9353A">
        <w:rPr>
          <w:rFonts w:ascii="Arial" w:hAnsi="Arial" w:cs="Arial"/>
        </w:rPr>
        <w:t xml:space="preserve"> days), gently cleaned of adhering soil particles using a soft brush and distilled water rinse, dried at </w:t>
      </w:r>
      <w:r w:rsidR="00827050" w:rsidRPr="00A9353A">
        <w:rPr>
          <w:rFonts w:ascii="Arial" w:hAnsi="Arial" w:cs="Arial"/>
        </w:rPr>
        <w:t>4</w:t>
      </w:r>
      <w:r w:rsidRPr="00A9353A">
        <w:rPr>
          <w:rFonts w:ascii="Arial" w:hAnsi="Arial" w:cs="Arial"/>
        </w:rPr>
        <w:t xml:space="preserve">0°C for 24 h, and immediately weighed to determine residual </w:t>
      </w:r>
      <w:r w:rsidR="00827050" w:rsidRPr="00A9353A">
        <w:rPr>
          <w:rFonts w:ascii="Arial" w:hAnsi="Arial" w:cs="Arial"/>
        </w:rPr>
        <w:t>weight</w:t>
      </w:r>
      <w:r w:rsidRPr="00A9353A">
        <w:rPr>
          <w:rFonts w:ascii="Arial" w:hAnsi="Arial" w:cs="Arial"/>
        </w:rPr>
        <w:t xml:space="preserve">. The percentage weight loss, indicating biodegradation progress, was calculated </w:t>
      </w:r>
      <w:r w:rsidR="0050280B" w:rsidRPr="00A9353A">
        <w:rPr>
          <w:rFonts w:ascii="Arial" w:hAnsi="Arial" w:cs="Arial"/>
        </w:rPr>
        <w:t>using Eq. (</w:t>
      </w:r>
      <w:r w:rsidR="00EB2D8C" w:rsidRPr="00A9353A">
        <w:rPr>
          <w:rFonts w:ascii="Arial" w:hAnsi="Arial" w:cs="Arial"/>
        </w:rPr>
        <w:t>3</w:t>
      </w:r>
      <w:r w:rsidR="0050280B" w:rsidRPr="00A9353A">
        <w:rPr>
          <w:rFonts w:ascii="Arial" w:hAnsi="Arial" w:cs="Arial"/>
        </w:rPr>
        <w:t>)</w:t>
      </w:r>
      <w:r w:rsidR="00120299" w:rsidRPr="00A9353A">
        <w:rPr>
          <w:rFonts w:ascii="Arial" w:hAnsi="Arial" w:cs="Arial"/>
        </w:rPr>
        <w:t>.</w:t>
      </w:r>
      <w:r w:rsidRPr="00A9353A">
        <w:rPr>
          <w:rFonts w:ascii="Arial" w:hAnsi="Arial" w:cs="Arial"/>
        </w:rPr>
        <w:t xml:space="preserve"> </w:t>
      </w:r>
    </w:p>
    <w:p w14:paraId="2A99673A" w14:textId="559104A8" w:rsidR="00080F73" w:rsidRPr="00A9353A" w:rsidRDefault="00080F73" w:rsidP="00484C38">
      <w:pPr>
        <w:pStyle w:val="Body"/>
        <w:spacing w:after="0"/>
        <w:rPr>
          <w:rFonts w:ascii="Arial" w:hAnsi="Arial" w:cs="Arial"/>
        </w:rPr>
      </w:pPr>
      <m:oMath>
        <m:r>
          <w:rPr>
            <w:rFonts w:ascii="Cambria Math" w:hAnsi="Cambria Math" w:cs="Arial"/>
          </w:rPr>
          <m:t xml:space="preserve">Soil Biodegradation (%)=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den>
            </m:f>
          </m:e>
        </m:d>
        <m:r>
          <m:rPr>
            <m:sty m:val="p"/>
          </m:rPr>
          <w:rPr>
            <w:rFonts w:ascii="Cambria Math" w:hAnsi="Cambria Math" w:cs="Arial"/>
          </w:rPr>
          <m:t>x</m:t>
        </m:r>
        <m:r>
          <w:rPr>
            <w:rFonts w:ascii="Cambria Math" w:hAnsi="Cambria Math" w:cs="Arial"/>
          </w:rPr>
          <m:t xml:space="preserve"> 100</m:t>
        </m:r>
      </m:oMath>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Pr="00A9353A">
        <w:rPr>
          <w:rFonts w:ascii="Arial" w:hAnsi="Arial" w:cs="Arial"/>
        </w:rPr>
        <w:tab/>
      </w:r>
      <w:r w:rsidR="0050280B" w:rsidRPr="00A9353A">
        <w:rPr>
          <w:rFonts w:ascii="Arial" w:hAnsi="Arial" w:cs="Arial"/>
        </w:rPr>
        <w:tab/>
      </w:r>
      <w:r w:rsidRPr="00A9353A">
        <w:rPr>
          <w:rFonts w:ascii="Arial" w:hAnsi="Arial" w:cs="Arial"/>
        </w:rPr>
        <w:t>(</w:t>
      </w:r>
      <w:r w:rsidR="00EB2D8C" w:rsidRPr="00A9353A">
        <w:rPr>
          <w:rFonts w:ascii="Arial" w:hAnsi="Arial" w:cs="Arial"/>
        </w:rPr>
        <w:t>3</w:t>
      </w:r>
      <w:r w:rsidRPr="00A9353A">
        <w:rPr>
          <w:rFonts w:ascii="Arial" w:hAnsi="Arial" w:cs="Arial"/>
        </w:rPr>
        <w:t>)</w:t>
      </w:r>
    </w:p>
    <w:p w14:paraId="128FAF13" w14:textId="4385230C" w:rsidR="00080F73" w:rsidRPr="00A9353A" w:rsidRDefault="0050280B" w:rsidP="00475D40">
      <w:pPr>
        <w:pStyle w:val="Body"/>
        <w:spacing w:before="120" w:after="0"/>
        <w:rPr>
          <w:rFonts w:ascii="Arial" w:hAnsi="Arial" w:cs="Arial"/>
        </w:rPr>
      </w:pPr>
      <w:r w:rsidRPr="00A9353A">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o</m:t>
            </m:r>
          </m:sub>
        </m:sSub>
      </m:oMath>
      <w:r w:rsidR="00EB2D8C" w:rsidRPr="00A9353A">
        <w:rPr>
          <w:rFonts w:ascii="Arial" w:hAnsi="Arial" w:cs="Arial"/>
        </w:rPr>
        <w:t xml:space="preserve"> is the </w:t>
      </w:r>
      <w:r w:rsidRPr="00A9353A">
        <w:rPr>
          <w:rFonts w:ascii="Arial" w:hAnsi="Arial" w:cs="Arial"/>
        </w:rPr>
        <w:t xml:space="preserve">initial weight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t</m:t>
            </m:r>
          </m:sub>
        </m:sSub>
      </m:oMath>
      <w:r w:rsidR="00EB2D8C" w:rsidRPr="00A9353A">
        <w:rPr>
          <w:rFonts w:ascii="Arial" w:hAnsi="Arial" w:cs="Arial"/>
        </w:rPr>
        <w:t xml:space="preserve"> is the </w:t>
      </w:r>
      <w:r w:rsidRPr="00A9353A">
        <w:rPr>
          <w:rFonts w:ascii="Arial" w:hAnsi="Arial" w:cs="Arial"/>
        </w:rPr>
        <w:t xml:space="preserve">weight of </w:t>
      </w:r>
      <w:r w:rsidR="00EB2D8C" w:rsidRPr="00A9353A">
        <w:rPr>
          <w:rFonts w:ascii="Arial" w:hAnsi="Arial" w:cs="Arial"/>
        </w:rPr>
        <w:t xml:space="preserve">film </w:t>
      </w:r>
      <w:r w:rsidRPr="00A9353A">
        <w:rPr>
          <w:rFonts w:ascii="Arial" w:hAnsi="Arial" w:cs="Arial"/>
        </w:rPr>
        <w:t>sample</w:t>
      </w:r>
      <w:r w:rsidR="00827050" w:rsidRPr="00A9353A">
        <w:rPr>
          <w:rFonts w:ascii="Arial" w:hAnsi="Arial" w:cs="Arial"/>
        </w:rPr>
        <w:t xml:space="preserve"> at time t. </w:t>
      </w:r>
      <w:r w:rsidR="00815155" w:rsidRPr="00A9353A">
        <w:rPr>
          <w:rFonts w:ascii="Arial" w:hAnsi="Arial" w:cs="Arial"/>
        </w:rPr>
        <w:t>Biodegradation kinetics were analysed by plotting percentage weight loss against burial time, and rates of biodegradation were determined using first-order kinetic modelling (Lucas et al., 2008)</w:t>
      </w:r>
    </w:p>
    <w:p w14:paraId="4E15C446" w14:textId="5FEE184E" w:rsidR="00EB2D8C" w:rsidRPr="00A9353A" w:rsidRDefault="00120299" w:rsidP="00120299">
      <w:pPr>
        <w:pStyle w:val="Body"/>
        <w:spacing w:after="0"/>
        <w:rPr>
          <w:rFonts w:ascii="Arial" w:hAnsi="Arial" w:cs="Arial"/>
          <w:u w:val="single"/>
        </w:rPr>
      </w:pPr>
      <w:r w:rsidRPr="00A9353A">
        <w:rPr>
          <w:rFonts w:ascii="Arial" w:hAnsi="Arial" w:cs="Arial"/>
          <w:i/>
          <w:u w:val="single"/>
        </w:rPr>
        <w:lastRenderedPageBreak/>
        <w:t>Thermal Gravimetric Analysis (TGA)</w:t>
      </w:r>
    </w:p>
    <w:p w14:paraId="79AB5CF4" w14:textId="0625E50D" w:rsidR="00E82E4B" w:rsidRPr="00A9353A" w:rsidRDefault="0091614A" w:rsidP="00E82E4B">
      <w:pPr>
        <w:jc w:val="both"/>
        <w:rPr>
          <w:rFonts w:ascii="Arial" w:hAnsi="Arial" w:cs="Arial"/>
        </w:rPr>
      </w:pPr>
      <w:r w:rsidRPr="00A9353A">
        <w:rPr>
          <w:rFonts w:ascii="Arial" w:hAnsi="Arial" w:cs="Arial"/>
        </w:rPr>
        <w:t>TGA i</w:t>
      </w:r>
      <w:r w:rsidR="00630155" w:rsidRPr="00A9353A">
        <w:rPr>
          <w:rFonts w:ascii="Arial" w:hAnsi="Arial" w:cs="Arial"/>
        </w:rPr>
        <w:t>s a technique used to measure the weight changes of a sample as it is heated or cooled in a</w:t>
      </w:r>
      <w:r w:rsidR="00630155" w:rsidRPr="00A9353A">
        <w:rPr>
          <w:rFonts w:ascii="Arial" w:hAnsi="Arial" w:cs="Arial"/>
          <w:spacing w:val="1"/>
        </w:rPr>
        <w:t xml:space="preserve"> </w:t>
      </w:r>
      <w:r w:rsidR="00630155" w:rsidRPr="00A9353A">
        <w:rPr>
          <w:rFonts w:ascii="Arial" w:hAnsi="Arial" w:cs="Arial"/>
        </w:rPr>
        <w:t>controlled environment, the technique is widely used in materials science, chemistry, and other</w:t>
      </w:r>
      <w:r w:rsidR="00630155" w:rsidRPr="00A9353A">
        <w:rPr>
          <w:rFonts w:ascii="Arial" w:hAnsi="Arial" w:cs="Arial"/>
          <w:spacing w:val="1"/>
        </w:rPr>
        <w:t xml:space="preserve"> </w:t>
      </w:r>
      <w:r w:rsidR="00630155" w:rsidRPr="00A9353A">
        <w:rPr>
          <w:rFonts w:ascii="Arial" w:hAnsi="Arial" w:cs="Arial"/>
        </w:rPr>
        <w:t>fields</w:t>
      </w:r>
      <w:r w:rsidR="00630155" w:rsidRPr="00A9353A">
        <w:rPr>
          <w:rFonts w:ascii="Arial" w:hAnsi="Arial" w:cs="Arial"/>
          <w:spacing w:val="-1"/>
        </w:rPr>
        <w:t xml:space="preserve"> </w:t>
      </w:r>
      <w:r w:rsidR="00630155" w:rsidRPr="00A9353A">
        <w:rPr>
          <w:rFonts w:ascii="Arial" w:hAnsi="Arial" w:cs="Arial"/>
        </w:rPr>
        <w:t>to study the thermal</w:t>
      </w:r>
      <w:r w:rsidR="00630155" w:rsidRPr="00A9353A">
        <w:rPr>
          <w:rFonts w:ascii="Arial" w:hAnsi="Arial" w:cs="Arial"/>
          <w:spacing w:val="-1"/>
        </w:rPr>
        <w:t xml:space="preserve"> </w:t>
      </w:r>
      <w:r w:rsidR="00630155" w:rsidRPr="00A9353A">
        <w:rPr>
          <w:rFonts w:ascii="Arial" w:hAnsi="Arial" w:cs="Arial"/>
        </w:rPr>
        <w:t>behaviour</w:t>
      </w:r>
      <w:r w:rsidR="00630155" w:rsidRPr="00A9353A">
        <w:rPr>
          <w:rFonts w:ascii="Arial" w:hAnsi="Arial" w:cs="Arial"/>
          <w:spacing w:val="-1"/>
        </w:rPr>
        <w:t xml:space="preserve"> </w:t>
      </w:r>
      <w:r w:rsidR="00630155" w:rsidRPr="00A9353A">
        <w:rPr>
          <w:rFonts w:ascii="Arial" w:hAnsi="Arial" w:cs="Arial"/>
        </w:rPr>
        <w:t>and stability of various materials. Thermo gravimetric analysis (TGA) and derivative thermo analysis (DTA) were carried out to</w:t>
      </w:r>
      <w:r w:rsidR="00630155" w:rsidRPr="00A9353A">
        <w:rPr>
          <w:rFonts w:ascii="Arial" w:hAnsi="Arial" w:cs="Arial"/>
          <w:spacing w:val="1"/>
        </w:rPr>
        <w:t xml:space="preserve"> </w:t>
      </w:r>
      <w:r w:rsidR="00630155" w:rsidRPr="00A9353A">
        <w:rPr>
          <w:rFonts w:ascii="Arial" w:hAnsi="Arial" w:cs="Arial"/>
        </w:rPr>
        <w:t>predict the thermal stability of the Bioplastics film. Both thermal analyses were performed</w:t>
      </w:r>
      <w:r w:rsidR="00630155" w:rsidRPr="00A9353A">
        <w:rPr>
          <w:rFonts w:ascii="Arial" w:hAnsi="Arial" w:cs="Arial"/>
          <w:spacing w:val="1"/>
        </w:rPr>
        <w:t xml:space="preserve"> </w:t>
      </w:r>
      <w:r w:rsidR="00630155" w:rsidRPr="00A9353A">
        <w:rPr>
          <w:rFonts w:ascii="Arial" w:hAnsi="Arial" w:cs="Arial"/>
        </w:rPr>
        <w:t>simultaneously</w:t>
      </w:r>
      <w:r w:rsidR="00630155" w:rsidRPr="00A9353A">
        <w:rPr>
          <w:rFonts w:ascii="Arial" w:hAnsi="Arial" w:cs="Arial"/>
          <w:spacing w:val="-1"/>
        </w:rPr>
        <w:t xml:space="preserve"> </w:t>
      </w:r>
      <w:r w:rsidR="00E82E4B" w:rsidRPr="00A9353A">
        <w:rPr>
          <w:rFonts w:ascii="Arial" w:hAnsi="Arial" w:cs="Arial"/>
        </w:rPr>
        <w:t>by placing film samples in platinum holders and subjected to controlled heating from 30°C to 950°C at a constant heating rate of 10°C/min under nitrogen atmosphere (flow rate: 50 mL/min) to prevent oxidative degradation, using a PerkinElmer Pyris 1 TGA system.</w:t>
      </w:r>
    </w:p>
    <w:p w14:paraId="161D7A2F" w14:textId="45DD76C8" w:rsidR="00120299" w:rsidRPr="00A9353A" w:rsidRDefault="00E82E4B" w:rsidP="00630155">
      <w:pPr>
        <w:jc w:val="both"/>
        <w:rPr>
          <w:rFonts w:ascii="Arial" w:hAnsi="Arial" w:cs="Arial"/>
        </w:rPr>
      </w:pPr>
      <w:r w:rsidRPr="00A9353A">
        <w:rPr>
          <w:rFonts w:ascii="Arial" w:hAnsi="Arial" w:cs="Arial"/>
        </w:rPr>
        <w:t>Weight loss as a function of temperature was continuously monitored and recorded with data acquisition every 0.5°C. The derivative thermogravimetric (DTG) curves were automatically generated to identify specific degradation temperatures and thermal transition events.</w:t>
      </w:r>
    </w:p>
    <w:p w14:paraId="27210FB7" w14:textId="77777777" w:rsidR="00EB2D8C" w:rsidRPr="00A9353A" w:rsidRDefault="00EB2D8C" w:rsidP="00120299">
      <w:pPr>
        <w:pStyle w:val="Body"/>
        <w:spacing w:after="0"/>
        <w:rPr>
          <w:rFonts w:ascii="Arial" w:hAnsi="Arial" w:cs="Arial"/>
        </w:rPr>
      </w:pPr>
    </w:p>
    <w:p w14:paraId="7A85640B" w14:textId="54051A3E" w:rsidR="00EB2D8C" w:rsidRPr="00A9353A" w:rsidRDefault="00120299" w:rsidP="00120299">
      <w:pPr>
        <w:pStyle w:val="Body"/>
        <w:spacing w:after="0"/>
        <w:rPr>
          <w:rFonts w:ascii="Arial" w:hAnsi="Arial" w:cs="Arial"/>
          <w:u w:val="single"/>
        </w:rPr>
      </w:pPr>
      <w:r w:rsidRPr="00A9353A">
        <w:rPr>
          <w:rFonts w:ascii="Arial" w:hAnsi="Arial" w:cs="Arial"/>
          <w:i/>
          <w:u w:val="single"/>
        </w:rPr>
        <w:t>Thickness</w:t>
      </w:r>
    </w:p>
    <w:p w14:paraId="35E2C239" w14:textId="62BD1353" w:rsidR="00E82E4B" w:rsidRPr="00A9353A" w:rsidRDefault="00E82E4B" w:rsidP="00E82E4B">
      <w:pPr>
        <w:pStyle w:val="Body"/>
        <w:spacing w:after="0"/>
        <w:rPr>
          <w:rFonts w:ascii="Arial" w:hAnsi="Arial" w:cs="Arial"/>
        </w:rPr>
      </w:pPr>
      <w:r w:rsidRPr="00A9353A">
        <w:rPr>
          <w:rFonts w:ascii="Arial" w:hAnsi="Arial" w:cs="Arial"/>
        </w:rPr>
        <w:t xml:space="preserve">Film thickness uniformity was evaluated using a </w:t>
      </w:r>
      <w:r w:rsidR="00A807DD" w:rsidRPr="00A9353A">
        <w:rPr>
          <w:rFonts w:ascii="Arial" w:hAnsi="Arial" w:cs="Arial"/>
        </w:rPr>
        <w:t>precision</w:t>
      </w:r>
      <w:r w:rsidRPr="00A9353A">
        <w:rPr>
          <w:rFonts w:ascii="Arial" w:hAnsi="Arial" w:cs="Arial"/>
        </w:rPr>
        <w:t xml:space="preserve"> micrometer. For each film sample, thickness measurements were taken at </w:t>
      </w:r>
      <w:r w:rsidR="00A807DD" w:rsidRPr="00A9353A">
        <w:rPr>
          <w:rFonts w:ascii="Arial" w:hAnsi="Arial" w:cs="Arial"/>
        </w:rPr>
        <w:t>three</w:t>
      </w:r>
      <w:r w:rsidRPr="00A9353A">
        <w:rPr>
          <w:rFonts w:ascii="Arial" w:hAnsi="Arial" w:cs="Arial"/>
        </w:rPr>
        <w:t xml:space="preserve"> predetermined </w:t>
      </w:r>
      <w:r w:rsidR="00A807DD" w:rsidRPr="00A9353A">
        <w:rPr>
          <w:rFonts w:ascii="Arial" w:hAnsi="Arial" w:cs="Arial"/>
        </w:rPr>
        <w:t>points</w:t>
      </w:r>
      <w:r w:rsidRPr="00A9353A">
        <w:rPr>
          <w:rFonts w:ascii="Arial" w:hAnsi="Arial" w:cs="Arial"/>
        </w:rPr>
        <w:t xml:space="preserve"> following a systematic pattern to ensure representative sampling across the entire film area. Measurements included </w:t>
      </w:r>
      <w:r w:rsidR="00A807DD" w:rsidRPr="00A9353A">
        <w:rPr>
          <w:rFonts w:ascii="Arial" w:hAnsi="Arial" w:cs="Arial"/>
        </w:rPr>
        <w:t>two</w:t>
      </w:r>
      <w:r w:rsidRPr="00A9353A">
        <w:rPr>
          <w:rFonts w:ascii="Arial" w:hAnsi="Arial" w:cs="Arial"/>
        </w:rPr>
        <w:t xml:space="preserve"> corner positions</w:t>
      </w:r>
      <w:r w:rsidR="00A807DD" w:rsidRPr="00A9353A">
        <w:rPr>
          <w:rFonts w:ascii="Arial" w:hAnsi="Arial" w:cs="Arial"/>
        </w:rPr>
        <w:t xml:space="preserve"> </w:t>
      </w:r>
      <w:r w:rsidRPr="00A9353A">
        <w:rPr>
          <w:rFonts w:ascii="Arial" w:hAnsi="Arial" w:cs="Arial"/>
        </w:rPr>
        <w:t>and one center point.</w:t>
      </w:r>
    </w:p>
    <w:p w14:paraId="090BD658" w14:textId="77777777" w:rsidR="00A807DD" w:rsidRPr="00A9353A" w:rsidRDefault="00E82E4B" w:rsidP="00A807DD">
      <w:pPr>
        <w:pStyle w:val="Body"/>
        <w:spacing w:after="0"/>
        <w:rPr>
          <w:rFonts w:ascii="Arial" w:hAnsi="Arial" w:cs="Arial"/>
        </w:rPr>
      </w:pPr>
      <w:r w:rsidRPr="00A9353A">
        <w:rPr>
          <w:rFonts w:ascii="Arial" w:hAnsi="Arial" w:cs="Arial"/>
        </w:rPr>
        <w:t>Prior to measurement, film samples were conditioned for 24 hours to equilibrate moisture content</w:t>
      </w:r>
      <w:r w:rsidR="00A807DD" w:rsidRPr="00A9353A">
        <w:rPr>
          <w:rFonts w:ascii="Arial" w:hAnsi="Arial" w:cs="Arial"/>
        </w:rPr>
        <w:t xml:space="preserve">. </w:t>
      </w:r>
      <w:r w:rsidRPr="00A9353A">
        <w:rPr>
          <w:rFonts w:ascii="Arial" w:hAnsi="Arial" w:cs="Arial"/>
        </w:rPr>
        <w:t>Care was taken to avoid areas with visible defects, air bubbles, or surface irregularities that could affect measurement accuracy.</w:t>
      </w:r>
      <w:r w:rsidR="00A807DD" w:rsidRPr="00A9353A">
        <w:rPr>
          <w:rFonts w:ascii="Arial" w:hAnsi="Arial" w:cs="Arial"/>
        </w:rPr>
        <w:t xml:space="preserve"> </w:t>
      </w:r>
      <w:r w:rsidRPr="00A9353A">
        <w:rPr>
          <w:rFonts w:ascii="Arial" w:hAnsi="Arial" w:cs="Arial"/>
        </w:rPr>
        <w:t xml:space="preserve">The arithmetic mean of all </w:t>
      </w:r>
      <w:r w:rsidR="00A807DD" w:rsidRPr="00A9353A">
        <w:rPr>
          <w:rFonts w:ascii="Arial" w:hAnsi="Arial" w:cs="Arial"/>
        </w:rPr>
        <w:t>three</w:t>
      </w:r>
      <w:r w:rsidRPr="00A9353A">
        <w:rPr>
          <w:rFonts w:ascii="Arial" w:hAnsi="Arial" w:cs="Arial"/>
        </w:rPr>
        <w:t xml:space="preserve"> measurements was calculated and reported as the average film thickness</w:t>
      </w:r>
      <w:r w:rsidR="00A807DD" w:rsidRPr="00A9353A">
        <w:rPr>
          <w:rFonts w:ascii="Arial" w:hAnsi="Arial" w:cs="Arial"/>
        </w:rPr>
        <w:t>.</w:t>
      </w:r>
    </w:p>
    <w:p w14:paraId="73B6D8F8" w14:textId="33C43401" w:rsidR="00AA74E0" w:rsidRPr="00A9353A" w:rsidRDefault="00AA74E0" w:rsidP="00A807DD">
      <w:pPr>
        <w:pStyle w:val="Body"/>
        <w:spacing w:after="0"/>
        <w:rPr>
          <w:rFonts w:ascii="Arial" w:hAnsi="Arial" w:cs="Arial"/>
        </w:rPr>
      </w:pPr>
      <w:r w:rsidRPr="00A9353A">
        <w:rPr>
          <w:rFonts w:ascii="Arial" w:hAnsi="Arial" w:cs="Arial"/>
        </w:rPr>
        <w:t xml:space="preserve"> </w:t>
      </w:r>
    </w:p>
    <w:p w14:paraId="48AEA49E" w14:textId="77777777" w:rsidR="00790ADA" w:rsidRPr="00A9353A" w:rsidRDefault="00790ADA" w:rsidP="00441B6F">
      <w:pPr>
        <w:pStyle w:val="Body"/>
        <w:spacing w:after="0"/>
        <w:rPr>
          <w:rFonts w:ascii="Arial" w:hAnsi="Arial" w:cs="Arial"/>
        </w:rPr>
      </w:pPr>
    </w:p>
    <w:p w14:paraId="6EEE2B6B" w14:textId="77777777" w:rsidR="00902823" w:rsidRPr="00A9353A" w:rsidRDefault="00000F8F" w:rsidP="008B360D">
      <w:pPr>
        <w:pStyle w:val="Head1"/>
        <w:jc w:val="both"/>
        <w:rPr>
          <w:rFonts w:ascii="Arial" w:hAnsi="Arial" w:cs="Arial"/>
        </w:rPr>
      </w:pPr>
      <w:r w:rsidRPr="00A9353A">
        <w:rPr>
          <w:rFonts w:ascii="Arial" w:hAnsi="Arial" w:cs="Arial"/>
        </w:rPr>
        <w:t>3</w:t>
      </w:r>
      <w:r w:rsidR="00902823" w:rsidRPr="00A9353A">
        <w:rPr>
          <w:rFonts w:ascii="Arial" w:hAnsi="Arial" w:cs="Arial"/>
        </w:rPr>
        <w:t xml:space="preserve">. </w:t>
      </w:r>
      <w:r w:rsidRPr="00A9353A">
        <w:rPr>
          <w:rFonts w:ascii="Arial" w:hAnsi="Arial" w:cs="Arial"/>
        </w:rPr>
        <w:t>results and discussion</w:t>
      </w:r>
    </w:p>
    <w:p w14:paraId="253A60C9" w14:textId="77777777" w:rsidR="00A807DD" w:rsidRPr="00A9353A" w:rsidRDefault="00A807DD" w:rsidP="00A807DD">
      <w:pPr>
        <w:pStyle w:val="Body"/>
        <w:spacing w:after="0"/>
        <w:rPr>
          <w:rFonts w:ascii="Arial" w:hAnsi="Arial" w:cs="Arial"/>
          <w:b/>
          <w:bCs/>
        </w:rPr>
      </w:pPr>
      <w:r w:rsidRPr="00A9353A">
        <w:rPr>
          <w:rFonts w:ascii="Arial" w:hAnsi="Arial" w:cs="Arial"/>
          <w:b/>
          <w:bCs/>
        </w:rPr>
        <w:t>3.1 Cassava Starch Yield</w:t>
      </w:r>
    </w:p>
    <w:p w14:paraId="4B9FD27D" w14:textId="0185BD91" w:rsidR="00A807DD" w:rsidRPr="00A9353A" w:rsidRDefault="008B360D" w:rsidP="00A807DD">
      <w:pPr>
        <w:pStyle w:val="Body"/>
        <w:spacing w:after="0"/>
        <w:rPr>
          <w:rFonts w:ascii="Arial" w:hAnsi="Arial" w:cs="Arial"/>
        </w:rPr>
      </w:pPr>
      <w:r w:rsidRPr="00A9353A">
        <w:rPr>
          <w:rFonts w:ascii="Arial" w:hAnsi="Arial" w:cs="Arial"/>
        </w:rPr>
        <w:t>The extracted cassava starch yield was 80.06%, aligning well with literature values ranging from 63.84–84.17% (AOAC, 2006; Journal of Food Science and Technology, 2021). This confirms cassava as a high-starch crop with strong potential for bioplastic production due to its abundance and ease of extraction</w:t>
      </w:r>
      <w:r w:rsidR="00A807DD" w:rsidRPr="00A9353A">
        <w:rPr>
          <w:rFonts w:ascii="Arial" w:hAnsi="Arial" w:cs="Arial"/>
        </w:rPr>
        <w:t>.</w:t>
      </w:r>
    </w:p>
    <w:p w14:paraId="110B11B2" w14:textId="77777777" w:rsidR="008B360D" w:rsidRPr="00A9353A" w:rsidRDefault="008B360D" w:rsidP="00A807DD">
      <w:pPr>
        <w:pStyle w:val="Body"/>
        <w:spacing w:after="0"/>
        <w:rPr>
          <w:rFonts w:ascii="Arial" w:hAnsi="Arial" w:cs="Arial"/>
        </w:rPr>
      </w:pPr>
    </w:p>
    <w:p w14:paraId="4D5AEC96" w14:textId="77777777" w:rsidR="00A807DD" w:rsidRPr="00A9353A" w:rsidRDefault="00A807DD" w:rsidP="00A807DD">
      <w:pPr>
        <w:pStyle w:val="Body"/>
        <w:spacing w:after="0"/>
        <w:rPr>
          <w:rFonts w:ascii="Arial" w:hAnsi="Arial" w:cs="Arial"/>
          <w:b/>
          <w:bCs/>
        </w:rPr>
      </w:pPr>
      <w:r w:rsidRPr="00A9353A">
        <w:rPr>
          <w:rFonts w:ascii="Arial" w:hAnsi="Arial" w:cs="Arial"/>
          <w:b/>
          <w:bCs/>
        </w:rPr>
        <w:t>3.2 Water Absorption</w:t>
      </w:r>
    </w:p>
    <w:p w14:paraId="343314E7" w14:textId="617EE697" w:rsidR="00A807DD" w:rsidRPr="00A9353A" w:rsidRDefault="008B360D" w:rsidP="00A807DD">
      <w:pPr>
        <w:pStyle w:val="Body"/>
        <w:spacing w:after="0"/>
        <w:rPr>
          <w:rFonts w:ascii="Arial" w:hAnsi="Arial" w:cs="Arial"/>
        </w:rPr>
      </w:pPr>
      <w:r w:rsidRPr="00A9353A">
        <w:rPr>
          <w:rFonts w:ascii="Arial" w:hAnsi="Arial" w:cs="Arial"/>
        </w:rPr>
        <w:t>The bioplastic film exhibited 4% water absorption, reflecting low hydrophilicity attributed to the incorporation of polyvinyl alcohol (PVA). Similar findings by Galotto et al. (2021) indicate that PVA significantly enhances moisture resistance by reducing water uptake. This property is particularly beneficial for food packaging applications, where maintaining product integrity and preventing moisture transmission are crucial</w:t>
      </w:r>
      <w:r w:rsidR="00A807DD" w:rsidRPr="00A9353A">
        <w:rPr>
          <w:rFonts w:ascii="Arial" w:hAnsi="Arial" w:cs="Arial"/>
        </w:rPr>
        <w:t>.</w:t>
      </w:r>
    </w:p>
    <w:p w14:paraId="7AEABC74" w14:textId="77777777" w:rsidR="008B360D" w:rsidRPr="00A9353A" w:rsidRDefault="008B360D" w:rsidP="00A807DD">
      <w:pPr>
        <w:pStyle w:val="Body"/>
        <w:spacing w:after="0"/>
        <w:rPr>
          <w:rFonts w:ascii="Arial" w:hAnsi="Arial" w:cs="Arial"/>
        </w:rPr>
      </w:pPr>
    </w:p>
    <w:p w14:paraId="26B5B6AA" w14:textId="5C363986" w:rsidR="00A807DD" w:rsidRPr="00A9353A" w:rsidRDefault="00A807DD" w:rsidP="00A807DD">
      <w:pPr>
        <w:pStyle w:val="Body"/>
        <w:spacing w:after="0"/>
        <w:rPr>
          <w:rFonts w:ascii="Arial" w:hAnsi="Arial" w:cs="Arial"/>
          <w:b/>
          <w:bCs/>
        </w:rPr>
      </w:pPr>
      <w:r w:rsidRPr="00A9353A">
        <w:rPr>
          <w:rFonts w:ascii="Arial" w:hAnsi="Arial" w:cs="Arial"/>
          <w:b/>
          <w:bCs/>
        </w:rPr>
        <w:t>3.3 Biodegradability</w:t>
      </w:r>
      <w:r w:rsidR="008B360D" w:rsidRPr="00A9353A">
        <w:rPr>
          <w:rFonts w:ascii="Arial" w:hAnsi="Arial" w:cs="Arial"/>
          <w:b/>
          <w:bCs/>
        </w:rPr>
        <w:t xml:space="preserve"> of Films</w:t>
      </w:r>
    </w:p>
    <w:p w14:paraId="7622AB1B" w14:textId="44410F01" w:rsidR="00776BED" w:rsidRPr="00A9353A" w:rsidRDefault="001835CC" w:rsidP="00776BED">
      <w:pPr>
        <w:pStyle w:val="Body"/>
        <w:rPr>
          <w:rFonts w:ascii="Arial" w:hAnsi="Arial" w:cs="Arial"/>
        </w:rPr>
      </w:pPr>
      <w:r w:rsidRPr="00A9353A">
        <w:rPr>
          <w:rFonts w:ascii="Arial" w:hAnsi="Arial" w:cs="Arial"/>
        </w:rPr>
        <w:t>The biodegradability assessment of three samples over a 28-day period revealed distinct degradation kinetics. Sample 1 exhibited the most rapid biodegradation, achieving over 50% weight loss by day 16, and reaching complete decomposition by day 20. This suggests a highly biodegradable material with an early onset of microbial activity and efficient breakdown. In contrast, Sample 2 demonstrated a more gradual degradation curve, with its acceleration phase occurring between days 1</w:t>
      </w:r>
      <w:r w:rsidR="00776BED" w:rsidRPr="00A9353A">
        <w:rPr>
          <w:rFonts w:ascii="Arial" w:hAnsi="Arial" w:cs="Arial"/>
        </w:rPr>
        <w:t>6</w:t>
      </w:r>
      <w:r w:rsidRPr="00A9353A">
        <w:rPr>
          <w:rFonts w:ascii="Arial" w:hAnsi="Arial" w:cs="Arial"/>
        </w:rPr>
        <w:t xml:space="preserve"> and 20. Although it reached full degradation by day 28, the slower rate implies moderate resistance to microbial decomposition compared to Sample 1.</w:t>
      </w:r>
      <w:r w:rsidR="00776BED" w:rsidRPr="00A9353A">
        <w:rPr>
          <w:rFonts w:ascii="Arial" w:hAnsi="Arial" w:cs="Arial"/>
        </w:rPr>
        <w:t xml:space="preserve"> </w:t>
      </w:r>
      <w:r w:rsidRPr="00A9353A">
        <w:rPr>
          <w:rFonts w:ascii="Arial" w:hAnsi="Arial" w:cs="Arial"/>
        </w:rPr>
        <w:t xml:space="preserve">Sample 3 showed the slowest degradation rate, maintaining higher values for a longer duration and only reaching complete decomposition at day 28. Its delayed acceleration phase and extended persistence suggest lower biodegradability, potentially due to </w:t>
      </w:r>
      <w:r w:rsidR="00776BED" w:rsidRPr="00A9353A">
        <w:rPr>
          <w:rFonts w:ascii="Arial" w:hAnsi="Arial" w:cs="Arial"/>
        </w:rPr>
        <w:t>burial depth</w:t>
      </w:r>
      <w:r w:rsidRPr="00A9353A">
        <w:rPr>
          <w:rFonts w:ascii="Arial" w:hAnsi="Arial" w:cs="Arial"/>
        </w:rPr>
        <w:t xml:space="preserve">. </w:t>
      </w:r>
      <w:r w:rsidR="00776BED" w:rsidRPr="00A9353A">
        <w:rPr>
          <w:rFonts w:ascii="Arial" w:hAnsi="Arial" w:cs="Arial"/>
          <w:b/>
          <w:bCs/>
        </w:rPr>
        <w:t xml:space="preserve">Figure </w:t>
      </w:r>
      <w:r w:rsidR="008B360D" w:rsidRPr="00A9353A">
        <w:rPr>
          <w:rFonts w:ascii="Arial" w:hAnsi="Arial" w:cs="Arial"/>
          <w:b/>
          <w:bCs/>
        </w:rPr>
        <w:t>6</w:t>
      </w:r>
      <w:r w:rsidR="00C74C0C" w:rsidRPr="00A9353A">
        <w:rPr>
          <w:rFonts w:ascii="Arial" w:hAnsi="Arial" w:cs="Arial"/>
        </w:rPr>
        <w:t xml:space="preserve"> shows the biodegradation </w:t>
      </w:r>
      <w:r w:rsidR="002A09EB" w:rsidRPr="00A9353A">
        <w:rPr>
          <w:rFonts w:ascii="Arial" w:hAnsi="Arial" w:cs="Arial"/>
        </w:rPr>
        <w:t>test results</w:t>
      </w:r>
      <w:r w:rsidR="00C74C0C" w:rsidRPr="00A9353A">
        <w:rPr>
          <w:rFonts w:ascii="Arial" w:hAnsi="Arial" w:cs="Arial"/>
        </w:rPr>
        <w:t xml:space="preserve"> </w:t>
      </w:r>
      <w:r w:rsidR="002A09EB" w:rsidRPr="00A9353A">
        <w:rPr>
          <w:rFonts w:ascii="Arial" w:hAnsi="Arial" w:cs="Arial"/>
        </w:rPr>
        <w:t>for Sample 1, Sample 2, and Sample 3</w:t>
      </w:r>
      <w:r w:rsidR="00C74C0C" w:rsidRPr="00A9353A">
        <w:rPr>
          <w:rFonts w:ascii="Arial" w:hAnsi="Arial" w:cs="Arial"/>
        </w:rPr>
        <w:t>.</w:t>
      </w:r>
    </w:p>
    <w:p w14:paraId="32DA8031" w14:textId="08AFBD24" w:rsidR="00A807DD" w:rsidRPr="00A9353A" w:rsidRDefault="001835CC" w:rsidP="001835CC">
      <w:pPr>
        <w:pStyle w:val="Body"/>
        <w:spacing w:after="0"/>
        <w:rPr>
          <w:rFonts w:ascii="Arial" w:hAnsi="Arial" w:cs="Arial"/>
        </w:rPr>
      </w:pPr>
      <w:r w:rsidRPr="00A9353A">
        <w:rPr>
          <w:rFonts w:ascii="Arial" w:hAnsi="Arial" w:cs="Arial"/>
        </w:rPr>
        <w:t xml:space="preserve">These findings </w:t>
      </w:r>
      <w:r w:rsidR="00776BED" w:rsidRPr="00A9353A">
        <w:rPr>
          <w:rFonts w:ascii="Arial" w:hAnsi="Arial" w:cs="Arial"/>
        </w:rPr>
        <w:t xml:space="preserve">clearly show that burial depth influences the rate of biodegradation. Sample 1, buried at the shallowest depth (7.5 cm), decomposed the fastest, suggesting greater microbial activity or oxygen availability. Sample 2 and Sample 3, buried deeper, showed slower </w:t>
      </w:r>
      <w:r w:rsidR="00776BED" w:rsidRPr="00A9353A">
        <w:rPr>
          <w:rFonts w:ascii="Arial" w:hAnsi="Arial" w:cs="Arial"/>
        </w:rPr>
        <w:lastRenderedPageBreak/>
        <w:t>degradation rates, with Sample 3 being the slowest</w:t>
      </w:r>
      <w:r w:rsidR="002A09EB" w:rsidRPr="00A9353A">
        <w:rPr>
          <w:rFonts w:ascii="Arial" w:hAnsi="Arial" w:cs="Arial"/>
        </w:rPr>
        <w:t>,</w:t>
      </w:r>
      <w:r w:rsidR="00C74C0C" w:rsidRPr="00A9353A">
        <w:rPr>
          <w:rFonts w:ascii="Arial" w:hAnsi="Arial" w:cs="Arial"/>
        </w:rPr>
        <w:t xml:space="preserve"> as reported in </w:t>
      </w:r>
      <w:r w:rsidR="00C74C0C" w:rsidRPr="00A9353A">
        <w:rPr>
          <w:rFonts w:ascii="Arial" w:hAnsi="Arial" w:cs="Arial"/>
          <w:b/>
          <w:bCs/>
        </w:rPr>
        <w:t xml:space="preserve">Table </w:t>
      </w:r>
      <w:r w:rsidR="008B360D" w:rsidRPr="00A9353A">
        <w:rPr>
          <w:rFonts w:ascii="Arial" w:hAnsi="Arial" w:cs="Arial"/>
          <w:b/>
          <w:bCs/>
        </w:rPr>
        <w:t>5</w:t>
      </w:r>
      <w:r w:rsidR="00776BED" w:rsidRPr="00A9353A">
        <w:rPr>
          <w:rFonts w:ascii="Arial" w:hAnsi="Arial" w:cs="Arial"/>
        </w:rPr>
        <w:t>. This indicates that oxygen diffusion, temperature, microbial density, and possibly moisture content at different depths play a significant role in accelerating or retarding biodegradation.</w:t>
      </w:r>
    </w:p>
    <w:p w14:paraId="1AEBBE14" w14:textId="77777777" w:rsidR="00A807DD" w:rsidRPr="00A9353A" w:rsidRDefault="00A807DD" w:rsidP="00A807DD">
      <w:pPr>
        <w:pStyle w:val="Body"/>
        <w:spacing w:after="0"/>
        <w:rPr>
          <w:rFonts w:ascii="Arial" w:hAnsi="Arial" w:cs="Arial"/>
        </w:rPr>
      </w:pPr>
    </w:p>
    <w:p w14:paraId="5949B076" w14:textId="77777777" w:rsidR="008B360D" w:rsidRPr="00A9353A" w:rsidRDefault="008B360D" w:rsidP="008B360D">
      <w:pPr>
        <w:pStyle w:val="Caption"/>
        <w:keepNext/>
        <w:rPr>
          <w:rFonts w:ascii="Arial" w:hAnsi="Arial" w:cs="Arial"/>
        </w:rPr>
      </w:pPr>
      <w:r w:rsidRPr="00A9353A">
        <w:rPr>
          <w:rFonts w:ascii="Arial" w:hAnsi="Arial" w:cs="Arial"/>
          <w:noProof/>
        </w:rPr>
        <w:drawing>
          <wp:inline distT="0" distB="0" distL="0" distR="0" wp14:anchorId="14055EC6" wp14:editId="11B38D3E">
            <wp:extent cx="4417066" cy="2465070"/>
            <wp:effectExtent l="19050" t="19050" r="21590" b="11430"/>
            <wp:docPr id="1952769837" name="Picture 2"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69837" name="Picture 2" descr="A graph with different colored lines&#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806" t="1451" r="1104"/>
                    <a:stretch>
                      <a:fillRect/>
                    </a:stretch>
                  </pic:blipFill>
                  <pic:spPr bwMode="auto">
                    <a:xfrm>
                      <a:off x="0" y="0"/>
                      <a:ext cx="4448751" cy="24827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9CBC65" w14:textId="2918C43E" w:rsidR="008B360D" w:rsidRPr="00A9353A" w:rsidRDefault="008B360D" w:rsidP="008B360D">
      <w:pPr>
        <w:pStyle w:val="Caption"/>
        <w:rPr>
          <w:rFonts w:ascii="Arial" w:hAnsi="Arial" w:cs="Arial"/>
          <w:b/>
          <w:i w:val="0"/>
          <w:iCs w:val="0"/>
          <w:color w:val="auto"/>
          <w:sz w:val="20"/>
          <w:szCs w:val="20"/>
        </w:rPr>
      </w:pPr>
      <w:r w:rsidRPr="00A9353A">
        <w:rPr>
          <w:rFonts w:ascii="Arial" w:hAnsi="Arial" w:cs="Arial"/>
          <w:b/>
          <w:i w:val="0"/>
          <w:iCs w:val="0"/>
          <w:color w:val="auto"/>
          <w:sz w:val="20"/>
          <w:szCs w:val="20"/>
        </w:rPr>
        <w:t xml:space="preserve">Figure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Figure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6</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Biodegradation test results for Sample 1, Sample 2, and Sample 3</w:t>
      </w:r>
    </w:p>
    <w:p w14:paraId="1ED3260B" w14:textId="77777777" w:rsidR="008B360D" w:rsidRPr="00A9353A" w:rsidRDefault="008B360D" w:rsidP="00FF6B26">
      <w:pPr>
        <w:pStyle w:val="Caption"/>
        <w:keepNext/>
        <w:spacing w:after="0"/>
        <w:rPr>
          <w:rFonts w:ascii="Arial" w:hAnsi="Arial" w:cs="Arial"/>
          <w:i w:val="0"/>
          <w:iCs w:val="0"/>
        </w:rPr>
      </w:pPr>
    </w:p>
    <w:p w14:paraId="43CC315F" w14:textId="5EEB307D" w:rsidR="00C74C0C" w:rsidRPr="00A9353A" w:rsidRDefault="00C74C0C" w:rsidP="00C74C0C">
      <w:pPr>
        <w:pStyle w:val="Caption"/>
        <w:keepNext/>
        <w:rPr>
          <w:rFonts w:ascii="Arial" w:hAnsi="Arial" w:cs="Arial"/>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5</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w:t>
      </w:r>
      <w:r w:rsidR="002A09EB" w:rsidRPr="00A9353A">
        <w:rPr>
          <w:rFonts w:ascii="Arial" w:hAnsi="Arial" w:cs="Arial"/>
          <w:b/>
          <w:i w:val="0"/>
          <w:iCs w:val="0"/>
          <w:color w:val="auto"/>
          <w:sz w:val="20"/>
          <w:szCs w:val="20"/>
        </w:rPr>
        <w:t>Comparative insights revealing distinct decomposition acceleration phases</w:t>
      </w:r>
    </w:p>
    <w:tbl>
      <w:tblPr>
        <w:tblStyle w:val="PlainTable2"/>
        <w:tblW w:w="7280" w:type="dxa"/>
        <w:tblLook w:val="04A0" w:firstRow="1" w:lastRow="0" w:firstColumn="1" w:lastColumn="0" w:noHBand="0" w:noVBand="1"/>
      </w:tblPr>
      <w:tblGrid>
        <w:gridCol w:w="1100"/>
        <w:gridCol w:w="2200"/>
        <w:gridCol w:w="2100"/>
        <w:gridCol w:w="1880"/>
      </w:tblGrid>
      <w:tr w:rsidR="00C74C0C" w:rsidRPr="00A9353A" w14:paraId="11007C31" w14:textId="77777777" w:rsidTr="00C74C0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noWrap/>
            <w:hideMark/>
          </w:tcPr>
          <w:p w14:paraId="19CE5EEA" w14:textId="77777777" w:rsidR="00C74C0C" w:rsidRPr="00A9353A" w:rsidRDefault="00C74C0C" w:rsidP="00C74C0C">
            <w:pPr>
              <w:pStyle w:val="Body"/>
              <w:rPr>
                <w:rFonts w:ascii="Arial" w:hAnsi="Arial" w:cs="Arial"/>
              </w:rPr>
            </w:pPr>
            <w:r w:rsidRPr="00A9353A">
              <w:rPr>
                <w:rFonts w:ascii="Arial" w:hAnsi="Arial" w:cs="Arial"/>
              </w:rPr>
              <w:t>Sample</w:t>
            </w:r>
          </w:p>
        </w:tc>
        <w:tc>
          <w:tcPr>
            <w:tcW w:w="2200" w:type="dxa"/>
            <w:noWrap/>
            <w:hideMark/>
          </w:tcPr>
          <w:p w14:paraId="1D1BEEFB" w14:textId="77777777" w:rsidR="00C74C0C" w:rsidRPr="00A9353A"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Acceleration Phase</w:t>
            </w:r>
          </w:p>
        </w:tc>
        <w:tc>
          <w:tcPr>
            <w:tcW w:w="2100" w:type="dxa"/>
            <w:noWrap/>
            <w:hideMark/>
          </w:tcPr>
          <w:p w14:paraId="53ABE0F5" w14:textId="77777777" w:rsidR="00C74C0C" w:rsidRPr="00A9353A"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Degradation Speed</w:t>
            </w:r>
          </w:p>
        </w:tc>
        <w:tc>
          <w:tcPr>
            <w:tcW w:w="1880" w:type="dxa"/>
            <w:noWrap/>
            <w:hideMark/>
          </w:tcPr>
          <w:p w14:paraId="03E205AD" w14:textId="77777777" w:rsidR="00C74C0C" w:rsidRPr="00A9353A" w:rsidRDefault="00C74C0C" w:rsidP="00C74C0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Completion Time</w:t>
            </w:r>
          </w:p>
        </w:tc>
      </w:tr>
      <w:tr w:rsidR="00C74C0C" w:rsidRPr="00A9353A" w14:paraId="0953B848" w14:textId="77777777" w:rsidTr="00C74C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tcBorders>
              <w:bottom w:val="nil"/>
            </w:tcBorders>
            <w:noWrap/>
            <w:hideMark/>
          </w:tcPr>
          <w:p w14:paraId="5AA91C12" w14:textId="77777777" w:rsidR="00C74C0C" w:rsidRPr="00A9353A" w:rsidRDefault="00C74C0C" w:rsidP="00FF6B26">
            <w:pPr>
              <w:pStyle w:val="Body"/>
              <w:spacing w:after="0"/>
              <w:rPr>
                <w:rFonts w:ascii="Arial" w:hAnsi="Arial" w:cs="Arial"/>
                <w:b w:val="0"/>
                <w:bCs w:val="0"/>
              </w:rPr>
            </w:pPr>
            <w:r w:rsidRPr="00A9353A">
              <w:rPr>
                <w:rFonts w:ascii="Arial" w:hAnsi="Arial" w:cs="Arial"/>
                <w:b w:val="0"/>
                <w:bCs w:val="0"/>
              </w:rPr>
              <w:t>Sample 1</w:t>
            </w:r>
          </w:p>
        </w:tc>
        <w:tc>
          <w:tcPr>
            <w:tcW w:w="2200" w:type="dxa"/>
            <w:tcBorders>
              <w:bottom w:val="nil"/>
            </w:tcBorders>
            <w:noWrap/>
            <w:hideMark/>
          </w:tcPr>
          <w:p w14:paraId="24A6C831" w14:textId="04A50837"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Day 8–</w:t>
            </w:r>
            <w:r w:rsidR="002A09EB" w:rsidRPr="00A9353A">
              <w:rPr>
                <w:rFonts w:ascii="Arial" w:hAnsi="Arial" w:cs="Arial"/>
              </w:rPr>
              <w:t>20</w:t>
            </w:r>
          </w:p>
        </w:tc>
        <w:tc>
          <w:tcPr>
            <w:tcW w:w="2100" w:type="dxa"/>
            <w:tcBorders>
              <w:bottom w:val="nil"/>
            </w:tcBorders>
            <w:noWrap/>
            <w:hideMark/>
          </w:tcPr>
          <w:p w14:paraId="2D5AB7A0" w14:textId="77777777"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Fastest</w:t>
            </w:r>
          </w:p>
        </w:tc>
        <w:tc>
          <w:tcPr>
            <w:tcW w:w="1880" w:type="dxa"/>
            <w:tcBorders>
              <w:bottom w:val="nil"/>
            </w:tcBorders>
            <w:noWrap/>
            <w:hideMark/>
          </w:tcPr>
          <w:p w14:paraId="0C4334F8" w14:textId="1EBC7DCB"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Day 24</w:t>
            </w:r>
          </w:p>
        </w:tc>
      </w:tr>
      <w:tr w:rsidR="00C74C0C" w:rsidRPr="00A9353A" w14:paraId="020762AA" w14:textId="77777777" w:rsidTr="00C74C0C">
        <w:trPr>
          <w:trHeight w:val="290"/>
        </w:trPr>
        <w:tc>
          <w:tcPr>
            <w:cnfStyle w:val="001000000000" w:firstRow="0" w:lastRow="0" w:firstColumn="1" w:lastColumn="0" w:oddVBand="0" w:evenVBand="0" w:oddHBand="0" w:evenHBand="0" w:firstRowFirstColumn="0" w:firstRowLastColumn="0" w:lastRowFirstColumn="0" w:lastRowLastColumn="0"/>
            <w:tcW w:w="1100" w:type="dxa"/>
            <w:tcBorders>
              <w:top w:val="nil"/>
              <w:bottom w:val="nil"/>
            </w:tcBorders>
            <w:noWrap/>
            <w:hideMark/>
          </w:tcPr>
          <w:p w14:paraId="6BD15FBF" w14:textId="77777777" w:rsidR="00C74C0C" w:rsidRPr="00A9353A" w:rsidRDefault="00C74C0C" w:rsidP="00FF6B26">
            <w:pPr>
              <w:pStyle w:val="Body"/>
              <w:spacing w:after="0"/>
              <w:rPr>
                <w:rFonts w:ascii="Arial" w:hAnsi="Arial" w:cs="Arial"/>
                <w:b w:val="0"/>
                <w:bCs w:val="0"/>
              </w:rPr>
            </w:pPr>
            <w:r w:rsidRPr="00A9353A">
              <w:rPr>
                <w:rFonts w:ascii="Arial" w:hAnsi="Arial" w:cs="Arial"/>
                <w:b w:val="0"/>
                <w:bCs w:val="0"/>
              </w:rPr>
              <w:t>Sample 2</w:t>
            </w:r>
          </w:p>
        </w:tc>
        <w:tc>
          <w:tcPr>
            <w:tcW w:w="2200" w:type="dxa"/>
            <w:tcBorders>
              <w:top w:val="nil"/>
              <w:bottom w:val="nil"/>
            </w:tcBorders>
            <w:noWrap/>
            <w:hideMark/>
          </w:tcPr>
          <w:p w14:paraId="5A530810" w14:textId="77777777" w:rsidR="00C74C0C" w:rsidRPr="00A9353A" w:rsidRDefault="00C74C0C" w:rsidP="00FF6B26">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Day 12–20</w:t>
            </w:r>
          </w:p>
        </w:tc>
        <w:tc>
          <w:tcPr>
            <w:tcW w:w="2100" w:type="dxa"/>
            <w:tcBorders>
              <w:top w:val="nil"/>
              <w:bottom w:val="nil"/>
            </w:tcBorders>
            <w:noWrap/>
            <w:hideMark/>
          </w:tcPr>
          <w:p w14:paraId="3E693A62" w14:textId="77777777" w:rsidR="00C74C0C" w:rsidRPr="00A9353A" w:rsidRDefault="00C74C0C" w:rsidP="00FF6B26">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Moderate</w:t>
            </w:r>
          </w:p>
        </w:tc>
        <w:tc>
          <w:tcPr>
            <w:tcW w:w="1880" w:type="dxa"/>
            <w:tcBorders>
              <w:top w:val="nil"/>
              <w:bottom w:val="nil"/>
            </w:tcBorders>
            <w:noWrap/>
            <w:hideMark/>
          </w:tcPr>
          <w:p w14:paraId="65F1A302" w14:textId="4032A645" w:rsidR="00C74C0C" w:rsidRPr="00A9353A" w:rsidRDefault="00C74C0C" w:rsidP="00FF6B26">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Day 28</w:t>
            </w:r>
          </w:p>
        </w:tc>
      </w:tr>
      <w:tr w:rsidR="00C74C0C" w:rsidRPr="00A9353A" w14:paraId="0A0CD278" w14:textId="77777777" w:rsidTr="00C74C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0" w:type="dxa"/>
            <w:tcBorders>
              <w:top w:val="nil"/>
            </w:tcBorders>
            <w:noWrap/>
            <w:hideMark/>
          </w:tcPr>
          <w:p w14:paraId="7060CC8D" w14:textId="77777777" w:rsidR="00C74C0C" w:rsidRPr="00A9353A" w:rsidRDefault="00C74C0C" w:rsidP="00FF6B26">
            <w:pPr>
              <w:pStyle w:val="Body"/>
              <w:spacing w:after="0"/>
              <w:rPr>
                <w:rFonts w:ascii="Arial" w:hAnsi="Arial" w:cs="Arial"/>
                <w:b w:val="0"/>
                <w:bCs w:val="0"/>
              </w:rPr>
            </w:pPr>
            <w:r w:rsidRPr="00A9353A">
              <w:rPr>
                <w:rFonts w:ascii="Arial" w:hAnsi="Arial" w:cs="Arial"/>
                <w:b w:val="0"/>
                <w:bCs w:val="0"/>
              </w:rPr>
              <w:t>Sample 3</w:t>
            </w:r>
          </w:p>
        </w:tc>
        <w:tc>
          <w:tcPr>
            <w:tcW w:w="2200" w:type="dxa"/>
            <w:tcBorders>
              <w:top w:val="nil"/>
            </w:tcBorders>
            <w:noWrap/>
            <w:hideMark/>
          </w:tcPr>
          <w:p w14:paraId="4C94314A" w14:textId="77777777"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Day 12–20</w:t>
            </w:r>
          </w:p>
        </w:tc>
        <w:tc>
          <w:tcPr>
            <w:tcW w:w="2100" w:type="dxa"/>
            <w:tcBorders>
              <w:top w:val="nil"/>
            </w:tcBorders>
            <w:noWrap/>
            <w:hideMark/>
          </w:tcPr>
          <w:p w14:paraId="6C33BC39" w14:textId="77777777"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Slowest</w:t>
            </w:r>
          </w:p>
        </w:tc>
        <w:tc>
          <w:tcPr>
            <w:tcW w:w="1880" w:type="dxa"/>
            <w:tcBorders>
              <w:top w:val="nil"/>
            </w:tcBorders>
            <w:noWrap/>
            <w:hideMark/>
          </w:tcPr>
          <w:p w14:paraId="17C8B678" w14:textId="72217084" w:rsidR="00C74C0C" w:rsidRPr="00A9353A" w:rsidRDefault="00C74C0C" w:rsidP="00FF6B26">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Day 28</w:t>
            </w:r>
          </w:p>
        </w:tc>
      </w:tr>
    </w:tbl>
    <w:p w14:paraId="2285C941" w14:textId="77777777" w:rsidR="00C74C0C" w:rsidRPr="00A9353A" w:rsidRDefault="00C74C0C" w:rsidP="00A807DD">
      <w:pPr>
        <w:pStyle w:val="Body"/>
        <w:spacing w:after="0"/>
        <w:rPr>
          <w:rFonts w:ascii="Arial" w:hAnsi="Arial" w:cs="Arial"/>
        </w:rPr>
      </w:pPr>
    </w:p>
    <w:p w14:paraId="242D5BF2" w14:textId="4A203A81" w:rsidR="00A807DD" w:rsidRPr="00A9353A" w:rsidRDefault="00A807DD" w:rsidP="00A807DD">
      <w:pPr>
        <w:pStyle w:val="Body"/>
        <w:spacing w:after="0"/>
        <w:rPr>
          <w:rFonts w:ascii="Arial" w:hAnsi="Arial" w:cs="Arial"/>
        </w:rPr>
      </w:pPr>
      <w:r w:rsidRPr="00A9353A">
        <w:rPr>
          <w:rFonts w:ascii="Arial" w:hAnsi="Arial" w:cs="Arial"/>
        </w:rPr>
        <w:t>This high biodegradability contrasts sharply with petroleum-based plastics that persist for decades.</w:t>
      </w:r>
    </w:p>
    <w:p w14:paraId="10BD6C74" w14:textId="77777777" w:rsidR="008B360D" w:rsidRPr="00A9353A" w:rsidRDefault="008B360D" w:rsidP="00A807DD">
      <w:pPr>
        <w:pStyle w:val="Body"/>
        <w:spacing w:after="0"/>
        <w:rPr>
          <w:rFonts w:ascii="Arial" w:hAnsi="Arial" w:cs="Arial"/>
        </w:rPr>
      </w:pPr>
    </w:p>
    <w:p w14:paraId="7B2D11A0" w14:textId="77777777" w:rsidR="00A807DD" w:rsidRPr="00A9353A" w:rsidRDefault="00A807DD" w:rsidP="00A807DD">
      <w:pPr>
        <w:pStyle w:val="Body"/>
        <w:spacing w:after="0"/>
        <w:rPr>
          <w:rFonts w:ascii="Arial" w:hAnsi="Arial" w:cs="Arial"/>
          <w:b/>
          <w:bCs/>
        </w:rPr>
      </w:pPr>
      <w:r w:rsidRPr="00A9353A">
        <w:rPr>
          <w:rFonts w:ascii="Arial" w:hAnsi="Arial" w:cs="Arial"/>
          <w:b/>
          <w:bCs/>
        </w:rPr>
        <w:t>3.4 FTIR Analysis</w:t>
      </w:r>
    </w:p>
    <w:p w14:paraId="78311E25" w14:textId="60F55D21" w:rsidR="008B360D" w:rsidRPr="00A9353A" w:rsidRDefault="008B360D" w:rsidP="008B360D">
      <w:pPr>
        <w:pStyle w:val="Body"/>
        <w:rPr>
          <w:rFonts w:ascii="Arial" w:hAnsi="Arial" w:cs="Arial"/>
        </w:rPr>
      </w:pPr>
      <w:r w:rsidRPr="00A9353A">
        <w:rPr>
          <w:rFonts w:ascii="Arial" w:hAnsi="Arial" w:cs="Arial"/>
        </w:rPr>
        <w:t xml:space="preserve">The FTIR spectrum result for the cassava starch–PVA bioplastic film shown in </w:t>
      </w:r>
      <w:r w:rsidRPr="00A9353A">
        <w:rPr>
          <w:rFonts w:ascii="Arial" w:hAnsi="Arial" w:cs="Arial"/>
          <w:b/>
          <w:bCs/>
        </w:rPr>
        <w:t>Figure 7</w:t>
      </w:r>
      <w:r w:rsidRPr="00A9353A">
        <w:rPr>
          <w:rFonts w:ascii="Arial" w:hAnsi="Arial" w:cs="Arial"/>
        </w:rPr>
        <w:t xml:space="preserve"> revealed characteristic absorption peaks corresponding to key functional groups, as summarised in </w:t>
      </w:r>
      <w:r w:rsidRPr="00A9353A">
        <w:rPr>
          <w:rFonts w:ascii="Arial" w:hAnsi="Arial" w:cs="Arial"/>
          <w:b/>
          <w:bCs/>
        </w:rPr>
        <w:t>Table 6</w:t>
      </w:r>
      <w:r w:rsidRPr="00A9353A">
        <w:rPr>
          <w:rFonts w:ascii="Arial" w:hAnsi="Arial" w:cs="Arial"/>
        </w:rPr>
        <w:t>. A strong, broad band at 3391 cm</w:t>
      </w:r>
      <w:r w:rsidRPr="00A9353A">
        <w:rPr>
          <w:rFonts w:ascii="Cambria Math" w:hAnsi="Cambria Math" w:cs="Cambria Math"/>
        </w:rPr>
        <w:t>⁻</w:t>
      </w:r>
      <w:r w:rsidRPr="00A9353A">
        <w:rPr>
          <w:rFonts w:ascii="Arial" w:hAnsi="Arial" w:cs="Arial"/>
        </w:rPr>
        <w:t>¹ indicates O–H stretching vibrations of hydroxyl groups from both starch and glycerol, confirming the presence of intermolecular hydrogen bonding. The peaks at 2925.87 cm</w:t>
      </w:r>
      <w:r w:rsidRPr="00A9353A">
        <w:rPr>
          <w:rFonts w:ascii="Cambria Math" w:hAnsi="Cambria Math" w:cs="Cambria Math"/>
        </w:rPr>
        <w:t>⁻</w:t>
      </w:r>
      <w:r w:rsidRPr="00A9353A">
        <w:rPr>
          <w:rFonts w:ascii="Arial" w:hAnsi="Arial" w:cs="Arial"/>
        </w:rPr>
        <w:t>¹ and 1451.40 cm</w:t>
      </w:r>
      <w:r w:rsidRPr="00A9353A">
        <w:rPr>
          <w:rFonts w:ascii="Cambria Math" w:hAnsi="Cambria Math" w:cs="Cambria Math"/>
        </w:rPr>
        <w:t>⁻</w:t>
      </w:r>
      <w:r w:rsidRPr="00A9353A">
        <w:rPr>
          <w:rFonts w:ascii="Arial" w:hAnsi="Arial" w:cs="Arial"/>
        </w:rPr>
        <w:t>¹ are attributed to C–H stretching and bending vibrations of methylene and methyl groups, suggesting partial interaction between PVA and starch molecules. The medium peaks at 1743.50 cm</w:t>
      </w:r>
      <w:r w:rsidRPr="00A9353A">
        <w:rPr>
          <w:rFonts w:ascii="Cambria Math" w:hAnsi="Cambria Math" w:cs="Cambria Math"/>
        </w:rPr>
        <w:t>⁻</w:t>
      </w:r>
      <w:r w:rsidRPr="00A9353A">
        <w:rPr>
          <w:rFonts w:ascii="Arial" w:hAnsi="Arial" w:cs="Arial"/>
        </w:rPr>
        <w:t>¹ and 1652.21 cm</w:t>
      </w:r>
      <w:r w:rsidRPr="00A9353A">
        <w:rPr>
          <w:rFonts w:ascii="Cambria Math" w:hAnsi="Cambria Math" w:cs="Cambria Math"/>
        </w:rPr>
        <w:t>⁻</w:t>
      </w:r>
      <w:r w:rsidRPr="00A9353A">
        <w:rPr>
          <w:rFonts w:ascii="Arial" w:hAnsi="Arial" w:cs="Arial"/>
        </w:rPr>
        <w:t>¹ correspond to C=O stretching of carbonyl groups from ester linkages, indicating chemical modification during film formation. Peaks at 1165 cm</w:t>
      </w:r>
      <w:r w:rsidRPr="00A9353A">
        <w:rPr>
          <w:rFonts w:ascii="Cambria Math" w:hAnsi="Cambria Math" w:cs="Cambria Math"/>
        </w:rPr>
        <w:t>⁻</w:t>
      </w:r>
      <w:r w:rsidRPr="00A9353A">
        <w:rPr>
          <w:rFonts w:ascii="Arial" w:hAnsi="Arial" w:cs="Arial"/>
        </w:rPr>
        <w:t>¹ and 1025 cm</w:t>
      </w:r>
      <w:r w:rsidRPr="00A9353A">
        <w:rPr>
          <w:rFonts w:ascii="Cambria Math" w:hAnsi="Cambria Math" w:cs="Cambria Math"/>
        </w:rPr>
        <w:t>⁻</w:t>
      </w:r>
      <w:r w:rsidRPr="00A9353A">
        <w:rPr>
          <w:rFonts w:ascii="Arial" w:hAnsi="Arial" w:cs="Arial"/>
        </w:rPr>
        <w:t>¹ represent C–O stretching of ether and ester bonds, confirming crosslinking between starch and plasticisers. Weak absorptions between 871–580 cm</w:t>
      </w:r>
      <w:r w:rsidRPr="00A9353A">
        <w:rPr>
          <w:rFonts w:ascii="Cambria Math" w:hAnsi="Cambria Math" w:cs="Cambria Math"/>
        </w:rPr>
        <w:t>⁻</w:t>
      </w:r>
      <w:r w:rsidRPr="00A9353A">
        <w:rPr>
          <w:rFonts w:ascii="Arial" w:hAnsi="Arial" w:cs="Arial"/>
        </w:rPr>
        <w:t>¹ are associated with C–C bending in the pyranose ring, confirming the retention of starch’s cyclic structure.</w:t>
      </w:r>
    </w:p>
    <w:p w14:paraId="3EA7F088" w14:textId="4034D3A3" w:rsidR="008B360D" w:rsidRPr="00A9353A" w:rsidRDefault="008B360D" w:rsidP="008B360D">
      <w:pPr>
        <w:pStyle w:val="Body"/>
        <w:keepNext/>
        <w:spacing w:after="0"/>
        <w:rPr>
          <w:rFonts w:ascii="Arial" w:hAnsi="Arial" w:cs="Arial"/>
        </w:rPr>
      </w:pPr>
      <w:r w:rsidRPr="00A9353A">
        <w:rPr>
          <w:rFonts w:ascii="Arial" w:hAnsi="Arial" w:cs="Arial"/>
          <w:noProof/>
        </w:rPr>
        <w:lastRenderedPageBreak/>
        <w:drawing>
          <wp:inline distT="0" distB="0" distL="0" distR="0" wp14:anchorId="45A7E00B" wp14:editId="3D66D4C3">
            <wp:extent cx="5067300" cy="3105661"/>
            <wp:effectExtent l="0" t="0" r="0" b="0"/>
            <wp:docPr id="139176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69013" name=""/>
                    <pic:cNvPicPr/>
                  </pic:nvPicPr>
                  <pic:blipFill>
                    <a:blip r:embed="rId24"/>
                    <a:stretch>
                      <a:fillRect/>
                    </a:stretch>
                  </pic:blipFill>
                  <pic:spPr>
                    <a:xfrm>
                      <a:off x="0" y="0"/>
                      <a:ext cx="5091865" cy="3120716"/>
                    </a:xfrm>
                    <a:prstGeom prst="rect">
                      <a:avLst/>
                    </a:prstGeom>
                  </pic:spPr>
                </pic:pic>
              </a:graphicData>
            </a:graphic>
          </wp:inline>
        </w:drawing>
      </w:r>
    </w:p>
    <w:p w14:paraId="1DD1BF74" w14:textId="60EBA782" w:rsidR="008B360D" w:rsidRPr="00A9353A" w:rsidRDefault="008B360D" w:rsidP="008B360D">
      <w:pPr>
        <w:pStyle w:val="Caption"/>
        <w:jc w:val="both"/>
        <w:rPr>
          <w:rFonts w:ascii="Arial" w:hAnsi="Arial" w:cs="Arial"/>
          <w:b/>
          <w:i w:val="0"/>
          <w:iCs w:val="0"/>
          <w:color w:val="auto"/>
          <w:sz w:val="20"/>
          <w:szCs w:val="20"/>
        </w:rPr>
      </w:pPr>
      <w:r w:rsidRPr="00A9353A">
        <w:rPr>
          <w:rFonts w:ascii="Arial" w:hAnsi="Arial" w:cs="Arial"/>
          <w:b/>
          <w:i w:val="0"/>
          <w:iCs w:val="0"/>
          <w:color w:val="auto"/>
          <w:sz w:val="20"/>
          <w:szCs w:val="20"/>
        </w:rPr>
        <w:t xml:space="preserve">Figure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Figure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7</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FTIR spectrum of cassava starch-based biodegradable film</w:t>
      </w:r>
    </w:p>
    <w:p w14:paraId="0C946BF1" w14:textId="072FB2D3" w:rsidR="008B360D" w:rsidRPr="00A9353A" w:rsidRDefault="008B360D" w:rsidP="008B360D">
      <w:pPr>
        <w:pStyle w:val="Body"/>
        <w:rPr>
          <w:rFonts w:ascii="Arial" w:hAnsi="Arial" w:cs="Arial"/>
        </w:rPr>
      </w:pPr>
      <w:r w:rsidRPr="00A9353A">
        <w:rPr>
          <w:rFonts w:ascii="Arial" w:hAnsi="Arial" w:cs="Arial"/>
        </w:rPr>
        <w:t>The broad O-H peak (3391 cm</w:t>
      </w:r>
      <w:r w:rsidRPr="00A9353A">
        <w:rPr>
          <w:rFonts w:ascii="Cambria Math" w:hAnsi="Cambria Math" w:cs="Cambria Math"/>
        </w:rPr>
        <w:t>⁻</w:t>
      </w:r>
      <w:r w:rsidRPr="00A9353A">
        <w:rPr>
          <w:rFonts w:ascii="Arial" w:hAnsi="Arial" w:cs="Arial"/>
        </w:rPr>
        <w:t>¹) indicates extensive hydrogen bonding between starch, PVA, and glycerol. The presence of both carbonyl peaks (1744 and 1652 cm</w:t>
      </w:r>
      <w:r w:rsidRPr="00A9353A">
        <w:rPr>
          <w:rFonts w:ascii="Cambria Math" w:hAnsi="Cambria Math" w:cs="Cambria Math"/>
        </w:rPr>
        <w:t>⁻</w:t>
      </w:r>
      <w:r w:rsidRPr="00A9353A">
        <w:rPr>
          <w:rFonts w:ascii="Arial" w:hAnsi="Arial" w:cs="Arial"/>
        </w:rPr>
        <w:t>¹) suggests esterification reactions and intact starch structure. The fingerprint region (1500-600 cm</w:t>
      </w:r>
      <w:r w:rsidRPr="00A9353A">
        <w:rPr>
          <w:rFonts w:ascii="Cambria Math" w:hAnsi="Cambria Math" w:cs="Cambria Math"/>
        </w:rPr>
        <w:t>⁻</w:t>
      </w:r>
      <w:r w:rsidRPr="00A9353A">
        <w:rPr>
          <w:rFonts w:ascii="Arial" w:hAnsi="Arial" w:cs="Arial"/>
        </w:rPr>
        <w:t>¹) displays characteristic C-O-C and C-O stretching vibrations, confirming the polysaccharide network. The preservation of the pyranose ring peak (580 cm</w:t>
      </w:r>
      <w:r w:rsidRPr="00A9353A">
        <w:rPr>
          <w:rFonts w:ascii="Cambria Math" w:hAnsi="Cambria Math" w:cs="Cambria Math"/>
        </w:rPr>
        <w:t>⁻</w:t>
      </w:r>
      <w:r w:rsidRPr="00A9353A">
        <w:rPr>
          <w:rFonts w:ascii="Arial" w:hAnsi="Arial" w:cs="Arial"/>
        </w:rPr>
        <w:t>¹) indicates that starch maintains its native cyclic structure throughout film processing.</w:t>
      </w:r>
    </w:p>
    <w:p w14:paraId="4EA23D54" w14:textId="0A88C67B" w:rsidR="008B360D" w:rsidRPr="00A9353A" w:rsidRDefault="008B360D" w:rsidP="008B360D">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6</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FTIR spectral analysis of cassava starch-based biodegradable film</w:t>
      </w:r>
    </w:p>
    <w:tbl>
      <w:tblPr>
        <w:tblStyle w:val="PlainTable2"/>
        <w:tblW w:w="0" w:type="auto"/>
        <w:tblLook w:val="04A0" w:firstRow="1" w:lastRow="0" w:firstColumn="1" w:lastColumn="0" w:noHBand="0" w:noVBand="1"/>
      </w:tblPr>
      <w:tblGrid>
        <w:gridCol w:w="550"/>
        <w:gridCol w:w="1700"/>
        <w:gridCol w:w="1980"/>
        <w:gridCol w:w="3960"/>
      </w:tblGrid>
      <w:tr w:rsidR="008B360D" w:rsidRPr="00A9353A" w14:paraId="673FF138" w14:textId="77777777" w:rsidTr="008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hideMark/>
          </w:tcPr>
          <w:p w14:paraId="32B92992" w14:textId="77777777" w:rsidR="008B360D" w:rsidRPr="00A9353A" w:rsidRDefault="008B360D" w:rsidP="008B360D">
            <w:pPr>
              <w:pStyle w:val="Body"/>
              <w:spacing w:after="120"/>
              <w:jc w:val="left"/>
              <w:rPr>
                <w:rFonts w:ascii="Arial" w:hAnsi="Arial" w:cs="Arial"/>
              </w:rPr>
            </w:pPr>
            <w:r w:rsidRPr="00A9353A">
              <w:rPr>
                <w:rFonts w:ascii="Arial" w:hAnsi="Arial" w:cs="Arial"/>
              </w:rPr>
              <w:t>S/N</w:t>
            </w:r>
          </w:p>
        </w:tc>
        <w:tc>
          <w:tcPr>
            <w:tcW w:w="1700" w:type="dxa"/>
            <w:hideMark/>
          </w:tcPr>
          <w:p w14:paraId="047C82CF" w14:textId="5342A040" w:rsidR="008B360D" w:rsidRPr="00A9353A"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Major Spectral Peak (cm</w:t>
            </w:r>
            <w:r w:rsidRPr="00A9353A">
              <w:rPr>
                <w:rFonts w:ascii="Cambria Math" w:hAnsi="Cambria Math" w:cs="Cambria Math"/>
              </w:rPr>
              <w:t>⁻</w:t>
            </w:r>
            <w:r w:rsidRPr="00A9353A">
              <w:rPr>
                <w:rFonts w:ascii="Arial" w:hAnsi="Arial" w:cs="Arial"/>
              </w:rPr>
              <w:t>¹)</w:t>
            </w:r>
          </w:p>
        </w:tc>
        <w:tc>
          <w:tcPr>
            <w:tcW w:w="1980" w:type="dxa"/>
            <w:hideMark/>
          </w:tcPr>
          <w:p w14:paraId="37B2FE97" w14:textId="77777777" w:rsidR="008B360D" w:rsidRPr="00A9353A"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Appearance</w:t>
            </w:r>
          </w:p>
        </w:tc>
        <w:tc>
          <w:tcPr>
            <w:tcW w:w="3960" w:type="dxa"/>
            <w:hideMark/>
          </w:tcPr>
          <w:p w14:paraId="1C4D9453" w14:textId="77777777" w:rsidR="008B360D" w:rsidRPr="00A9353A" w:rsidRDefault="008B360D" w:rsidP="008B360D">
            <w:pPr>
              <w:pStyle w:val="Body"/>
              <w:spacing w:after="12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Assignment</w:t>
            </w:r>
          </w:p>
        </w:tc>
      </w:tr>
      <w:tr w:rsidR="008B360D" w:rsidRPr="00A9353A" w14:paraId="5A488ABD"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bottom w:val="nil"/>
            </w:tcBorders>
            <w:hideMark/>
          </w:tcPr>
          <w:p w14:paraId="1B15CC9C" w14:textId="77777777" w:rsidR="008B360D" w:rsidRPr="00A9353A" w:rsidRDefault="008B360D" w:rsidP="008B360D">
            <w:pPr>
              <w:pStyle w:val="Body"/>
              <w:spacing w:after="120"/>
              <w:jc w:val="left"/>
              <w:rPr>
                <w:rFonts w:ascii="Arial" w:hAnsi="Arial" w:cs="Arial"/>
              </w:rPr>
            </w:pPr>
            <w:r w:rsidRPr="00A9353A">
              <w:rPr>
                <w:rFonts w:ascii="Arial" w:hAnsi="Arial" w:cs="Arial"/>
              </w:rPr>
              <w:t>1</w:t>
            </w:r>
          </w:p>
        </w:tc>
        <w:tc>
          <w:tcPr>
            <w:tcW w:w="1700" w:type="dxa"/>
            <w:tcBorders>
              <w:bottom w:val="nil"/>
            </w:tcBorders>
            <w:hideMark/>
          </w:tcPr>
          <w:p w14:paraId="2E57394A"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3391.00</w:t>
            </w:r>
          </w:p>
        </w:tc>
        <w:tc>
          <w:tcPr>
            <w:tcW w:w="1980" w:type="dxa"/>
            <w:tcBorders>
              <w:bottom w:val="nil"/>
            </w:tcBorders>
            <w:hideMark/>
          </w:tcPr>
          <w:p w14:paraId="633DA3B2" w14:textId="0D75B982"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Strong, very broad</w:t>
            </w:r>
          </w:p>
        </w:tc>
        <w:tc>
          <w:tcPr>
            <w:tcW w:w="3960" w:type="dxa"/>
            <w:tcBorders>
              <w:bottom w:val="nil"/>
            </w:tcBorders>
            <w:hideMark/>
          </w:tcPr>
          <w:p w14:paraId="652F1514" w14:textId="3C87DAE5"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O-H stretching vibration (hydroxyl groups from starch and PVA; hydrogen bonding)</w:t>
            </w:r>
          </w:p>
        </w:tc>
      </w:tr>
      <w:tr w:rsidR="008B360D" w:rsidRPr="00A9353A" w14:paraId="6CB23AD2"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2BFF52C6" w14:textId="77777777" w:rsidR="008B360D" w:rsidRPr="00A9353A" w:rsidRDefault="008B360D" w:rsidP="008B360D">
            <w:pPr>
              <w:pStyle w:val="Body"/>
              <w:spacing w:after="120"/>
              <w:jc w:val="left"/>
              <w:rPr>
                <w:rFonts w:ascii="Arial" w:hAnsi="Arial" w:cs="Arial"/>
              </w:rPr>
            </w:pPr>
            <w:r w:rsidRPr="00A9353A">
              <w:rPr>
                <w:rFonts w:ascii="Arial" w:hAnsi="Arial" w:cs="Arial"/>
              </w:rPr>
              <w:t>2</w:t>
            </w:r>
          </w:p>
        </w:tc>
        <w:tc>
          <w:tcPr>
            <w:tcW w:w="1700" w:type="dxa"/>
            <w:tcBorders>
              <w:top w:val="nil"/>
              <w:bottom w:val="nil"/>
            </w:tcBorders>
            <w:hideMark/>
          </w:tcPr>
          <w:p w14:paraId="7D172ECC" w14:textId="7777777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2925.87</w:t>
            </w:r>
          </w:p>
        </w:tc>
        <w:tc>
          <w:tcPr>
            <w:tcW w:w="1980" w:type="dxa"/>
            <w:tcBorders>
              <w:top w:val="nil"/>
              <w:bottom w:val="nil"/>
            </w:tcBorders>
            <w:hideMark/>
          </w:tcPr>
          <w:p w14:paraId="7D6B4323" w14:textId="71FB66EC"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Strong, sharp</w:t>
            </w:r>
          </w:p>
        </w:tc>
        <w:tc>
          <w:tcPr>
            <w:tcW w:w="3960" w:type="dxa"/>
            <w:tcBorders>
              <w:top w:val="nil"/>
              <w:bottom w:val="nil"/>
            </w:tcBorders>
            <w:hideMark/>
          </w:tcPr>
          <w:p w14:paraId="4E2E990C" w14:textId="5C80E516"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C-H stretching vibration (methylene -CH</w:t>
            </w:r>
            <w:r w:rsidRPr="00A9353A">
              <w:rPr>
                <w:rFonts w:ascii="Cambria Math" w:hAnsi="Cambria Math" w:cs="Cambria Math"/>
              </w:rPr>
              <w:t>₂</w:t>
            </w:r>
            <w:r w:rsidRPr="00A9353A">
              <w:rPr>
                <w:rFonts w:ascii="Arial" w:hAnsi="Arial" w:cs="Arial"/>
              </w:rPr>
              <w:t>- and methyl -CH</w:t>
            </w:r>
            <w:r w:rsidRPr="00A9353A">
              <w:rPr>
                <w:rFonts w:ascii="Cambria Math" w:hAnsi="Cambria Math" w:cs="Cambria Math"/>
              </w:rPr>
              <w:t>₃</w:t>
            </w:r>
            <w:r w:rsidRPr="00A9353A">
              <w:rPr>
                <w:rFonts w:ascii="Arial" w:hAnsi="Arial" w:cs="Arial"/>
              </w:rPr>
              <w:t xml:space="preserve"> groups)</w:t>
            </w:r>
          </w:p>
        </w:tc>
      </w:tr>
      <w:tr w:rsidR="008B360D" w:rsidRPr="00A9353A" w14:paraId="1E0C56D3"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0C8785D9" w14:textId="77777777" w:rsidR="008B360D" w:rsidRPr="00A9353A" w:rsidRDefault="008B360D" w:rsidP="008B360D">
            <w:pPr>
              <w:pStyle w:val="Body"/>
              <w:spacing w:after="120"/>
              <w:jc w:val="left"/>
              <w:rPr>
                <w:rFonts w:ascii="Arial" w:hAnsi="Arial" w:cs="Arial"/>
              </w:rPr>
            </w:pPr>
            <w:r w:rsidRPr="00A9353A">
              <w:rPr>
                <w:rFonts w:ascii="Arial" w:hAnsi="Arial" w:cs="Arial"/>
              </w:rPr>
              <w:t>3</w:t>
            </w:r>
          </w:p>
        </w:tc>
        <w:tc>
          <w:tcPr>
            <w:tcW w:w="1700" w:type="dxa"/>
            <w:tcBorders>
              <w:top w:val="nil"/>
              <w:bottom w:val="nil"/>
            </w:tcBorders>
            <w:hideMark/>
          </w:tcPr>
          <w:p w14:paraId="46269D8A"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1743.50</w:t>
            </w:r>
          </w:p>
        </w:tc>
        <w:tc>
          <w:tcPr>
            <w:tcW w:w="1980" w:type="dxa"/>
            <w:tcBorders>
              <w:top w:val="nil"/>
              <w:bottom w:val="nil"/>
            </w:tcBorders>
            <w:hideMark/>
          </w:tcPr>
          <w:p w14:paraId="52768A74" w14:textId="7F7025A3"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Medium, sharp</w:t>
            </w:r>
          </w:p>
        </w:tc>
        <w:tc>
          <w:tcPr>
            <w:tcW w:w="3960" w:type="dxa"/>
            <w:tcBorders>
              <w:top w:val="nil"/>
              <w:bottom w:val="nil"/>
            </w:tcBorders>
            <w:hideMark/>
          </w:tcPr>
          <w:p w14:paraId="2ACD38E4" w14:textId="13296E89"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C=O stretching vibration (carbonyl group of carboxylic acid from plasticiser)</w:t>
            </w:r>
          </w:p>
        </w:tc>
      </w:tr>
      <w:tr w:rsidR="008B360D" w:rsidRPr="00A9353A" w14:paraId="6B672C8C"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5A6BA7E1" w14:textId="77777777" w:rsidR="008B360D" w:rsidRPr="00A9353A" w:rsidRDefault="008B360D" w:rsidP="008B360D">
            <w:pPr>
              <w:pStyle w:val="Body"/>
              <w:spacing w:after="120"/>
              <w:jc w:val="left"/>
              <w:rPr>
                <w:rFonts w:ascii="Arial" w:hAnsi="Arial" w:cs="Arial"/>
              </w:rPr>
            </w:pPr>
            <w:r w:rsidRPr="00A9353A">
              <w:rPr>
                <w:rFonts w:ascii="Arial" w:hAnsi="Arial" w:cs="Arial"/>
              </w:rPr>
              <w:t>4</w:t>
            </w:r>
          </w:p>
        </w:tc>
        <w:tc>
          <w:tcPr>
            <w:tcW w:w="1700" w:type="dxa"/>
            <w:tcBorders>
              <w:top w:val="nil"/>
              <w:bottom w:val="nil"/>
            </w:tcBorders>
            <w:hideMark/>
          </w:tcPr>
          <w:p w14:paraId="6F144AA9" w14:textId="7777777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1652.21</w:t>
            </w:r>
          </w:p>
        </w:tc>
        <w:tc>
          <w:tcPr>
            <w:tcW w:w="1980" w:type="dxa"/>
            <w:tcBorders>
              <w:top w:val="nil"/>
              <w:bottom w:val="nil"/>
            </w:tcBorders>
            <w:hideMark/>
          </w:tcPr>
          <w:p w14:paraId="7881331F" w14:textId="780A887C"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Medium, sharp</w:t>
            </w:r>
          </w:p>
        </w:tc>
        <w:tc>
          <w:tcPr>
            <w:tcW w:w="3960" w:type="dxa"/>
            <w:tcBorders>
              <w:top w:val="nil"/>
              <w:bottom w:val="nil"/>
            </w:tcBorders>
            <w:hideMark/>
          </w:tcPr>
          <w:p w14:paraId="1AF2B06E" w14:textId="22D36396"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C=O stretching vibration (carbonyl group in starch; amorphous region)</w:t>
            </w:r>
          </w:p>
        </w:tc>
      </w:tr>
      <w:tr w:rsidR="008B360D" w:rsidRPr="00A9353A" w14:paraId="34BC9CC9"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7024E6BA" w14:textId="77777777" w:rsidR="008B360D" w:rsidRPr="00A9353A" w:rsidRDefault="008B360D" w:rsidP="008B360D">
            <w:pPr>
              <w:pStyle w:val="Body"/>
              <w:spacing w:after="120"/>
              <w:jc w:val="left"/>
              <w:rPr>
                <w:rFonts w:ascii="Arial" w:hAnsi="Arial" w:cs="Arial"/>
              </w:rPr>
            </w:pPr>
            <w:r w:rsidRPr="00A9353A">
              <w:rPr>
                <w:rFonts w:ascii="Arial" w:hAnsi="Arial" w:cs="Arial"/>
              </w:rPr>
              <w:t>5</w:t>
            </w:r>
          </w:p>
        </w:tc>
        <w:tc>
          <w:tcPr>
            <w:tcW w:w="1700" w:type="dxa"/>
            <w:tcBorders>
              <w:top w:val="nil"/>
              <w:bottom w:val="nil"/>
            </w:tcBorders>
            <w:hideMark/>
          </w:tcPr>
          <w:p w14:paraId="52B44EC0"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1451.40</w:t>
            </w:r>
          </w:p>
        </w:tc>
        <w:tc>
          <w:tcPr>
            <w:tcW w:w="1980" w:type="dxa"/>
            <w:tcBorders>
              <w:top w:val="nil"/>
              <w:bottom w:val="nil"/>
            </w:tcBorders>
            <w:hideMark/>
          </w:tcPr>
          <w:p w14:paraId="6A3E0C37" w14:textId="7931FC29"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Medium, sharp</w:t>
            </w:r>
          </w:p>
        </w:tc>
        <w:tc>
          <w:tcPr>
            <w:tcW w:w="3960" w:type="dxa"/>
            <w:tcBorders>
              <w:top w:val="nil"/>
              <w:bottom w:val="nil"/>
            </w:tcBorders>
            <w:hideMark/>
          </w:tcPr>
          <w:p w14:paraId="4484C66A" w14:textId="5C88B559"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C-H bending vibration (methylene -CH</w:t>
            </w:r>
            <w:r w:rsidRPr="00A9353A">
              <w:rPr>
                <w:rFonts w:ascii="Cambria Math" w:hAnsi="Cambria Math" w:cs="Cambria Math"/>
              </w:rPr>
              <w:t>₂</w:t>
            </w:r>
            <w:r w:rsidRPr="00A9353A">
              <w:rPr>
                <w:rFonts w:ascii="Arial" w:hAnsi="Arial" w:cs="Arial"/>
              </w:rPr>
              <w:t>- and methyl -CH</w:t>
            </w:r>
            <w:r w:rsidRPr="00A9353A">
              <w:rPr>
                <w:rFonts w:ascii="Cambria Math" w:hAnsi="Cambria Math" w:cs="Cambria Math"/>
              </w:rPr>
              <w:t>₃</w:t>
            </w:r>
            <w:r w:rsidRPr="00A9353A">
              <w:rPr>
                <w:rFonts w:ascii="Arial" w:hAnsi="Arial" w:cs="Arial"/>
              </w:rPr>
              <w:t xml:space="preserve"> groups)</w:t>
            </w:r>
          </w:p>
        </w:tc>
      </w:tr>
      <w:tr w:rsidR="008B360D" w:rsidRPr="00A9353A" w14:paraId="03392A73"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2D7A169" w14:textId="77777777" w:rsidR="008B360D" w:rsidRPr="00A9353A" w:rsidRDefault="008B360D" w:rsidP="008B360D">
            <w:pPr>
              <w:pStyle w:val="Body"/>
              <w:spacing w:after="120"/>
              <w:jc w:val="left"/>
              <w:rPr>
                <w:rFonts w:ascii="Arial" w:hAnsi="Arial" w:cs="Arial"/>
              </w:rPr>
            </w:pPr>
            <w:r w:rsidRPr="00A9353A">
              <w:rPr>
                <w:rFonts w:ascii="Arial" w:hAnsi="Arial" w:cs="Arial"/>
              </w:rPr>
              <w:t>6</w:t>
            </w:r>
          </w:p>
        </w:tc>
        <w:tc>
          <w:tcPr>
            <w:tcW w:w="1700" w:type="dxa"/>
            <w:tcBorders>
              <w:top w:val="nil"/>
              <w:bottom w:val="nil"/>
            </w:tcBorders>
            <w:hideMark/>
          </w:tcPr>
          <w:p w14:paraId="6558238A" w14:textId="7777777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1165.00</w:t>
            </w:r>
          </w:p>
        </w:tc>
        <w:tc>
          <w:tcPr>
            <w:tcW w:w="1980" w:type="dxa"/>
            <w:tcBorders>
              <w:top w:val="nil"/>
              <w:bottom w:val="nil"/>
            </w:tcBorders>
            <w:hideMark/>
          </w:tcPr>
          <w:p w14:paraId="015862A4" w14:textId="76B69644"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Strong, sharp</w:t>
            </w:r>
          </w:p>
        </w:tc>
        <w:tc>
          <w:tcPr>
            <w:tcW w:w="3960" w:type="dxa"/>
            <w:tcBorders>
              <w:top w:val="nil"/>
              <w:bottom w:val="nil"/>
            </w:tcBorders>
            <w:hideMark/>
          </w:tcPr>
          <w:p w14:paraId="6E4FB755" w14:textId="4DEA4211"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C-O-C stretching vibration (ether linkage in starch glycosidic bonds)</w:t>
            </w:r>
          </w:p>
        </w:tc>
      </w:tr>
      <w:tr w:rsidR="008B360D" w:rsidRPr="00A9353A" w14:paraId="719A3B1F"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31E26EA" w14:textId="77777777" w:rsidR="008B360D" w:rsidRPr="00A9353A" w:rsidRDefault="008B360D" w:rsidP="008B360D">
            <w:pPr>
              <w:pStyle w:val="Body"/>
              <w:spacing w:after="120"/>
              <w:jc w:val="left"/>
              <w:rPr>
                <w:rFonts w:ascii="Arial" w:hAnsi="Arial" w:cs="Arial"/>
              </w:rPr>
            </w:pPr>
            <w:r w:rsidRPr="00A9353A">
              <w:rPr>
                <w:rFonts w:ascii="Arial" w:hAnsi="Arial" w:cs="Arial"/>
              </w:rPr>
              <w:t>7</w:t>
            </w:r>
          </w:p>
        </w:tc>
        <w:tc>
          <w:tcPr>
            <w:tcW w:w="1700" w:type="dxa"/>
            <w:tcBorders>
              <w:top w:val="nil"/>
              <w:bottom w:val="nil"/>
            </w:tcBorders>
            <w:hideMark/>
          </w:tcPr>
          <w:p w14:paraId="76C7AE22"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1025.00</w:t>
            </w:r>
          </w:p>
        </w:tc>
        <w:tc>
          <w:tcPr>
            <w:tcW w:w="1980" w:type="dxa"/>
            <w:tcBorders>
              <w:top w:val="nil"/>
              <w:bottom w:val="nil"/>
            </w:tcBorders>
            <w:hideMark/>
          </w:tcPr>
          <w:p w14:paraId="65703800" w14:textId="187F5376"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Strong, broad</w:t>
            </w:r>
          </w:p>
        </w:tc>
        <w:tc>
          <w:tcPr>
            <w:tcW w:w="3960" w:type="dxa"/>
            <w:tcBorders>
              <w:top w:val="nil"/>
              <w:bottom w:val="nil"/>
            </w:tcBorders>
            <w:hideMark/>
          </w:tcPr>
          <w:p w14:paraId="1E2E4F05" w14:textId="22D490C9"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C-O stretching vibration (ester linkage; C-O-H groups in starch)</w:t>
            </w:r>
          </w:p>
        </w:tc>
      </w:tr>
      <w:tr w:rsidR="008B360D" w:rsidRPr="00A9353A" w14:paraId="547D6082"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44DAF8F7" w14:textId="77777777" w:rsidR="008B360D" w:rsidRPr="00A9353A" w:rsidRDefault="008B360D" w:rsidP="008B360D">
            <w:pPr>
              <w:pStyle w:val="Body"/>
              <w:spacing w:after="120"/>
              <w:jc w:val="left"/>
              <w:rPr>
                <w:rFonts w:ascii="Arial" w:hAnsi="Arial" w:cs="Arial"/>
              </w:rPr>
            </w:pPr>
            <w:r w:rsidRPr="00A9353A">
              <w:rPr>
                <w:rFonts w:ascii="Arial" w:hAnsi="Arial" w:cs="Arial"/>
              </w:rPr>
              <w:t>8</w:t>
            </w:r>
          </w:p>
        </w:tc>
        <w:tc>
          <w:tcPr>
            <w:tcW w:w="1700" w:type="dxa"/>
            <w:tcBorders>
              <w:top w:val="nil"/>
              <w:bottom w:val="nil"/>
            </w:tcBorders>
            <w:hideMark/>
          </w:tcPr>
          <w:p w14:paraId="1F8DFA5E" w14:textId="7777777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871.00</w:t>
            </w:r>
          </w:p>
        </w:tc>
        <w:tc>
          <w:tcPr>
            <w:tcW w:w="1980" w:type="dxa"/>
            <w:tcBorders>
              <w:top w:val="nil"/>
              <w:bottom w:val="nil"/>
            </w:tcBorders>
            <w:hideMark/>
          </w:tcPr>
          <w:p w14:paraId="24CAAB70" w14:textId="10DA9C9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Weak, sharp</w:t>
            </w:r>
          </w:p>
        </w:tc>
        <w:tc>
          <w:tcPr>
            <w:tcW w:w="3960" w:type="dxa"/>
            <w:tcBorders>
              <w:top w:val="nil"/>
              <w:bottom w:val="nil"/>
            </w:tcBorders>
            <w:hideMark/>
          </w:tcPr>
          <w:p w14:paraId="6E37246D" w14:textId="3AE6E6AA"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C-H bending vibration (methyl -CH</w:t>
            </w:r>
            <w:r w:rsidRPr="00A9353A">
              <w:rPr>
                <w:rFonts w:ascii="Cambria Math" w:hAnsi="Cambria Math" w:cs="Cambria Math"/>
              </w:rPr>
              <w:t>₃</w:t>
            </w:r>
            <w:r w:rsidRPr="00A9353A">
              <w:rPr>
                <w:rFonts w:ascii="Arial" w:hAnsi="Arial" w:cs="Arial"/>
              </w:rPr>
              <w:t xml:space="preserve"> group; out-of-plane deformation)</w:t>
            </w:r>
          </w:p>
        </w:tc>
      </w:tr>
      <w:tr w:rsidR="008B360D" w:rsidRPr="00A9353A" w14:paraId="4FE31D05"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68EC3F41" w14:textId="77777777" w:rsidR="008B360D" w:rsidRPr="00A9353A" w:rsidRDefault="008B360D" w:rsidP="008B360D">
            <w:pPr>
              <w:pStyle w:val="Body"/>
              <w:spacing w:after="120"/>
              <w:jc w:val="left"/>
              <w:rPr>
                <w:rFonts w:ascii="Arial" w:hAnsi="Arial" w:cs="Arial"/>
              </w:rPr>
            </w:pPr>
            <w:r w:rsidRPr="00A9353A">
              <w:rPr>
                <w:rFonts w:ascii="Arial" w:hAnsi="Arial" w:cs="Arial"/>
              </w:rPr>
              <w:lastRenderedPageBreak/>
              <w:t>9</w:t>
            </w:r>
          </w:p>
        </w:tc>
        <w:tc>
          <w:tcPr>
            <w:tcW w:w="1700" w:type="dxa"/>
            <w:tcBorders>
              <w:top w:val="nil"/>
              <w:bottom w:val="nil"/>
            </w:tcBorders>
            <w:hideMark/>
          </w:tcPr>
          <w:p w14:paraId="4A438D42"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764.42</w:t>
            </w:r>
          </w:p>
        </w:tc>
        <w:tc>
          <w:tcPr>
            <w:tcW w:w="1980" w:type="dxa"/>
            <w:tcBorders>
              <w:top w:val="nil"/>
              <w:bottom w:val="nil"/>
            </w:tcBorders>
            <w:hideMark/>
          </w:tcPr>
          <w:p w14:paraId="1C8F055B" w14:textId="763BC1A0"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Weak, sharp</w:t>
            </w:r>
          </w:p>
        </w:tc>
        <w:tc>
          <w:tcPr>
            <w:tcW w:w="3960" w:type="dxa"/>
            <w:tcBorders>
              <w:top w:val="nil"/>
              <w:bottom w:val="nil"/>
            </w:tcBorders>
            <w:hideMark/>
          </w:tcPr>
          <w:p w14:paraId="1A97E2C3" w14:textId="663CA0FD"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C-H bending vibration (rocking vibration of methylene -CH</w:t>
            </w:r>
            <w:r w:rsidRPr="00A9353A">
              <w:rPr>
                <w:rFonts w:ascii="Cambria Math" w:hAnsi="Cambria Math" w:cs="Cambria Math"/>
              </w:rPr>
              <w:t>₂</w:t>
            </w:r>
            <w:r w:rsidRPr="00A9353A">
              <w:rPr>
                <w:rFonts w:ascii="Arial" w:hAnsi="Arial" w:cs="Arial"/>
              </w:rPr>
              <w:t>- groups)</w:t>
            </w:r>
          </w:p>
        </w:tc>
      </w:tr>
      <w:tr w:rsidR="008B360D" w:rsidRPr="00A9353A" w14:paraId="5E0B4ED8" w14:textId="77777777" w:rsidTr="008B360D">
        <w:tc>
          <w:tcPr>
            <w:cnfStyle w:val="001000000000" w:firstRow="0" w:lastRow="0" w:firstColumn="1" w:lastColumn="0" w:oddVBand="0" w:evenVBand="0" w:oddHBand="0" w:evenHBand="0" w:firstRowFirstColumn="0" w:firstRowLastColumn="0" w:lastRowFirstColumn="0" w:lastRowLastColumn="0"/>
            <w:tcW w:w="550" w:type="dxa"/>
            <w:tcBorders>
              <w:top w:val="nil"/>
              <w:bottom w:val="nil"/>
            </w:tcBorders>
            <w:hideMark/>
          </w:tcPr>
          <w:p w14:paraId="56DD1BE9" w14:textId="77777777" w:rsidR="008B360D" w:rsidRPr="00A9353A" w:rsidRDefault="008B360D" w:rsidP="008B360D">
            <w:pPr>
              <w:pStyle w:val="Body"/>
              <w:spacing w:after="120"/>
              <w:jc w:val="left"/>
              <w:rPr>
                <w:rFonts w:ascii="Arial" w:hAnsi="Arial" w:cs="Arial"/>
              </w:rPr>
            </w:pPr>
            <w:r w:rsidRPr="00A9353A">
              <w:rPr>
                <w:rFonts w:ascii="Arial" w:hAnsi="Arial" w:cs="Arial"/>
              </w:rPr>
              <w:t>10</w:t>
            </w:r>
          </w:p>
        </w:tc>
        <w:tc>
          <w:tcPr>
            <w:tcW w:w="1700" w:type="dxa"/>
            <w:tcBorders>
              <w:top w:val="nil"/>
              <w:bottom w:val="nil"/>
            </w:tcBorders>
            <w:hideMark/>
          </w:tcPr>
          <w:p w14:paraId="7B84A457" w14:textId="77777777"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710.57</w:t>
            </w:r>
          </w:p>
        </w:tc>
        <w:tc>
          <w:tcPr>
            <w:tcW w:w="1980" w:type="dxa"/>
            <w:tcBorders>
              <w:top w:val="nil"/>
              <w:bottom w:val="nil"/>
            </w:tcBorders>
            <w:hideMark/>
          </w:tcPr>
          <w:p w14:paraId="2AA1909F" w14:textId="6E37838E"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Weak, sharp</w:t>
            </w:r>
          </w:p>
        </w:tc>
        <w:tc>
          <w:tcPr>
            <w:tcW w:w="3960" w:type="dxa"/>
            <w:tcBorders>
              <w:top w:val="nil"/>
              <w:bottom w:val="nil"/>
            </w:tcBorders>
            <w:hideMark/>
          </w:tcPr>
          <w:p w14:paraId="18465A85" w14:textId="4F41FF75" w:rsidR="008B360D" w:rsidRPr="00A9353A" w:rsidRDefault="008B360D" w:rsidP="008B360D">
            <w:pPr>
              <w:pStyle w:val="Body"/>
              <w:spacing w:after="12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C-H bending vibration (methyl -CH</w:t>
            </w:r>
            <w:r w:rsidRPr="00A9353A">
              <w:rPr>
                <w:rFonts w:ascii="Cambria Math" w:hAnsi="Cambria Math" w:cs="Cambria Math"/>
              </w:rPr>
              <w:t>₃</w:t>
            </w:r>
            <w:r w:rsidRPr="00A9353A">
              <w:rPr>
                <w:rFonts w:ascii="Arial" w:hAnsi="Arial" w:cs="Arial"/>
              </w:rPr>
              <w:t xml:space="preserve"> group deformation)</w:t>
            </w:r>
          </w:p>
        </w:tc>
      </w:tr>
      <w:tr w:rsidR="008B360D" w:rsidRPr="00A9353A" w14:paraId="236CED15"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tcBorders>
            <w:hideMark/>
          </w:tcPr>
          <w:p w14:paraId="72DCACF3" w14:textId="77777777" w:rsidR="008B360D" w:rsidRPr="00A9353A" w:rsidRDefault="008B360D" w:rsidP="008B360D">
            <w:pPr>
              <w:pStyle w:val="Body"/>
              <w:spacing w:after="120"/>
              <w:jc w:val="left"/>
              <w:rPr>
                <w:rFonts w:ascii="Arial" w:hAnsi="Arial" w:cs="Arial"/>
              </w:rPr>
            </w:pPr>
            <w:r w:rsidRPr="00A9353A">
              <w:rPr>
                <w:rFonts w:ascii="Arial" w:hAnsi="Arial" w:cs="Arial"/>
              </w:rPr>
              <w:t>11</w:t>
            </w:r>
          </w:p>
        </w:tc>
        <w:tc>
          <w:tcPr>
            <w:tcW w:w="1700" w:type="dxa"/>
            <w:tcBorders>
              <w:top w:val="nil"/>
            </w:tcBorders>
            <w:hideMark/>
          </w:tcPr>
          <w:p w14:paraId="16E3E97B" w14:textId="77777777"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580.05</w:t>
            </w:r>
          </w:p>
        </w:tc>
        <w:tc>
          <w:tcPr>
            <w:tcW w:w="1980" w:type="dxa"/>
            <w:tcBorders>
              <w:top w:val="nil"/>
            </w:tcBorders>
            <w:hideMark/>
          </w:tcPr>
          <w:p w14:paraId="4080C942" w14:textId="2D5C2BCA"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Weak, sharp</w:t>
            </w:r>
          </w:p>
        </w:tc>
        <w:tc>
          <w:tcPr>
            <w:tcW w:w="3960" w:type="dxa"/>
            <w:tcBorders>
              <w:top w:val="nil"/>
            </w:tcBorders>
            <w:hideMark/>
          </w:tcPr>
          <w:p w14:paraId="0244C602" w14:textId="1A68B111" w:rsidR="008B360D" w:rsidRPr="00A9353A" w:rsidRDefault="008B360D" w:rsidP="008B360D">
            <w:pPr>
              <w:pStyle w:val="Body"/>
              <w:spacing w:after="12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C-C bending vibration (pyranose ring structure of starch backbone)</w:t>
            </w:r>
          </w:p>
        </w:tc>
      </w:tr>
    </w:tbl>
    <w:p w14:paraId="52E5FB3A" w14:textId="77777777" w:rsidR="008B360D" w:rsidRPr="00A9353A" w:rsidRDefault="008B360D" w:rsidP="008B360D">
      <w:pPr>
        <w:pStyle w:val="Body"/>
        <w:spacing w:after="0"/>
        <w:rPr>
          <w:rFonts w:ascii="Arial" w:hAnsi="Arial" w:cs="Arial"/>
        </w:rPr>
      </w:pPr>
    </w:p>
    <w:p w14:paraId="1FC470FE" w14:textId="45CD692D" w:rsidR="00A807DD" w:rsidRPr="00A9353A" w:rsidRDefault="00A807DD" w:rsidP="00A807DD">
      <w:pPr>
        <w:pStyle w:val="Body"/>
        <w:spacing w:after="0"/>
        <w:rPr>
          <w:rFonts w:ascii="Arial" w:hAnsi="Arial" w:cs="Arial"/>
          <w:b/>
          <w:bCs/>
        </w:rPr>
      </w:pPr>
      <w:r w:rsidRPr="00A9353A">
        <w:rPr>
          <w:rFonts w:ascii="Arial" w:hAnsi="Arial" w:cs="Arial"/>
          <w:b/>
          <w:bCs/>
        </w:rPr>
        <w:t>3.5 SEM Analysis</w:t>
      </w:r>
    </w:p>
    <w:p w14:paraId="67B56535" w14:textId="34A0C05E" w:rsidR="008B360D" w:rsidRPr="00A9353A" w:rsidRDefault="008B360D" w:rsidP="00A807DD">
      <w:pPr>
        <w:pStyle w:val="Body"/>
        <w:spacing w:after="0"/>
        <w:rPr>
          <w:rFonts w:ascii="Arial" w:hAnsi="Arial" w:cs="Arial"/>
        </w:rPr>
      </w:pPr>
      <w:r w:rsidRPr="00A9353A">
        <w:rPr>
          <w:rFonts w:ascii="Arial" w:hAnsi="Arial" w:cs="Arial"/>
        </w:rPr>
        <w:t xml:space="preserve">The surface morphology of the produced bioplastic film was examined using Scanning Electron Microscopy as shown in </w:t>
      </w:r>
      <w:r w:rsidRPr="00A9353A">
        <w:rPr>
          <w:rFonts w:ascii="Arial" w:hAnsi="Arial" w:cs="Arial"/>
          <w:b/>
          <w:bCs/>
        </w:rPr>
        <w:t>Figure 8</w:t>
      </w:r>
      <w:r w:rsidRPr="00A9353A">
        <w:rPr>
          <w:rFonts w:ascii="Arial" w:hAnsi="Arial" w:cs="Arial"/>
        </w:rPr>
        <w:t>. Image (A) showed a smooth but slightly Cracked surface, likely resulting from the incorporation of glycerol, which reduce brittleness and enhance flexibility. Image (B) revealed a rougher and more fractured structure, suggesting higher amylopectin content and greater surface area, features beneficial for applications such as tissue scaffolding or drug delivery. Image (C) displayed a uniformly smooth surface, indicative of a well-blended starch–glycerol matrix suitable for food packaging, as a smooth morphology limits bacterial adhesion and improves printability. Similar findings were reported by Thuppahige et al. (2023) and Omoike et al. (2024), who observed minimal surface defects in optimised bioplastic films containing starch–glycerol composites.</w:t>
      </w:r>
    </w:p>
    <w:p w14:paraId="4BE6DCEF" w14:textId="7904552F" w:rsidR="008B360D" w:rsidRPr="00A9353A" w:rsidRDefault="008B360D" w:rsidP="008B360D">
      <w:pPr>
        <w:pStyle w:val="Body"/>
        <w:keepNext/>
        <w:spacing w:after="0"/>
        <w:rPr>
          <w:rFonts w:ascii="Arial" w:hAnsi="Arial" w:cs="Arial"/>
        </w:rPr>
      </w:pPr>
      <w:r w:rsidRPr="00A9353A">
        <w:rPr>
          <w:rFonts w:ascii="Arial" w:hAnsi="Arial" w:cs="Arial"/>
          <w:noProof/>
        </w:rPr>
        <w:drawing>
          <wp:inline distT="0" distB="0" distL="0" distR="0" wp14:anchorId="3644EBAE" wp14:editId="14B102DA">
            <wp:extent cx="4840014" cy="2918484"/>
            <wp:effectExtent l="0" t="0" r="0" b="0"/>
            <wp:docPr id="733103077"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3077" name="Picture 1" descr="A close-up of a microscope&#10;&#10;AI-generated content may be incorrect."/>
                    <pic:cNvPicPr/>
                  </pic:nvPicPr>
                  <pic:blipFill>
                    <a:blip r:embed="rId25"/>
                    <a:stretch>
                      <a:fillRect/>
                    </a:stretch>
                  </pic:blipFill>
                  <pic:spPr>
                    <a:xfrm>
                      <a:off x="0" y="0"/>
                      <a:ext cx="4883252" cy="2944556"/>
                    </a:xfrm>
                    <a:prstGeom prst="rect">
                      <a:avLst/>
                    </a:prstGeom>
                  </pic:spPr>
                </pic:pic>
              </a:graphicData>
            </a:graphic>
          </wp:inline>
        </w:drawing>
      </w:r>
    </w:p>
    <w:p w14:paraId="59F95339" w14:textId="067D1A1A" w:rsidR="008B360D" w:rsidRPr="00A9353A" w:rsidRDefault="008B360D" w:rsidP="008B360D">
      <w:pPr>
        <w:pStyle w:val="Caption"/>
        <w:jc w:val="both"/>
        <w:rPr>
          <w:rFonts w:ascii="Arial" w:hAnsi="Arial" w:cs="Arial"/>
          <w:b/>
          <w:i w:val="0"/>
          <w:iCs w:val="0"/>
          <w:color w:val="auto"/>
          <w:sz w:val="20"/>
          <w:szCs w:val="20"/>
        </w:rPr>
      </w:pPr>
      <w:r w:rsidRPr="00A9353A">
        <w:rPr>
          <w:rFonts w:ascii="Arial" w:hAnsi="Arial" w:cs="Arial"/>
          <w:b/>
          <w:i w:val="0"/>
          <w:iCs w:val="0"/>
          <w:color w:val="auto"/>
          <w:sz w:val="20"/>
          <w:szCs w:val="20"/>
        </w:rPr>
        <w:t xml:space="preserve">Figure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Figure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8</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Surface morphology of starch-based bioplastic films</w:t>
      </w:r>
    </w:p>
    <w:p w14:paraId="68867F2D" w14:textId="05FA3DEB" w:rsidR="00A807DD" w:rsidRPr="00A9353A" w:rsidRDefault="00A807DD" w:rsidP="00A807DD">
      <w:pPr>
        <w:pStyle w:val="Body"/>
        <w:spacing w:after="0"/>
        <w:rPr>
          <w:rFonts w:ascii="Arial" w:hAnsi="Arial" w:cs="Arial"/>
          <w:b/>
          <w:bCs/>
        </w:rPr>
      </w:pPr>
      <w:r w:rsidRPr="00A9353A">
        <w:rPr>
          <w:rFonts w:ascii="Arial" w:hAnsi="Arial" w:cs="Arial"/>
          <w:b/>
          <w:bCs/>
        </w:rPr>
        <w:t>3.6 Thermal Stability (TGA/DT</w:t>
      </w:r>
      <w:r w:rsidR="008B360D" w:rsidRPr="00A9353A">
        <w:rPr>
          <w:rFonts w:ascii="Arial" w:hAnsi="Arial" w:cs="Arial"/>
          <w:b/>
          <w:bCs/>
        </w:rPr>
        <w:t>G</w:t>
      </w:r>
      <w:r w:rsidRPr="00A9353A">
        <w:rPr>
          <w:rFonts w:ascii="Arial" w:hAnsi="Arial" w:cs="Arial"/>
          <w:b/>
          <w:bCs/>
        </w:rPr>
        <w:t>)</w:t>
      </w:r>
    </w:p>
    <w:p w14:paraId="5E08B245" w14:textId="04EADFBB" w:rsidR="008B360D" w:rsidRPr="00A9353A" w:rsidRDefault="008B360D" w:rsidP="008B360D">
      <w:pPr>
        <w:pStyle w:val="Body"/>
        <w:rPr>
          <w:rFonts w:ascii="Arial" w:hAnsi="Arial" w:cs="Arial"/>
        </w:rPr>
      </w:pPr>
      <w:r w:rsidRPr="00A9353A">
        <w:rPr>
          <w:rFonts w:ascii="Arial" w:hAnsi="Arial" w:cs="Arial"/>
        </w:rPr>
        <w:t xml:space="preserve">The results in </w:t>
      </w:r>
      <w:r w:rsidRPr="00A9353A">
        <w:rPr>
          <w:rFonts w:ascii="Arial" w:hAnsi="Arial" w:cs="Arial"/>
          <w:b/>
          <w:bCs/>
        </w:rPr>
        <w:t>Figure 9</w:t>
      </w:r>
      <w:r w:rsidRPr="00A9353A">
        <w:rPr>
          <w:rFonts w:ascii="Arial" w:hAnsi="Arial" w:cs="Arial"/>
        </w:rPr>
        <w:t xml:space="preserve"> indicates an initial stability with negligible mass loss (approximately 5%) up to approximately 150°C, followed by a pronounced decomposition phase between 200°C and 400</w:t>
      </w:r>
      <w:bookmarkStart w:id="2" w:name="_Hlk213424232"/>
      <w:r w:rsidRPr="00A9353A">
        <w:rPr>
          <w:rFonts w:ascii="Arial" w:hAnsi="Arial" w:cs="Arial"/>
        </w:rPr>
        <w:t>°C</w:t>
      </w:r>
      <w:bookmarkEnd w:id="2"/>
      <w:r w:rsidRPr="00A9353A">
        <w:rPr>
          <w:rFonts w:ascii="Arial" w:hAnsi="Arial" w:cs="Arial"/>
        </w:rPr>
        <w:t>, where approximately 70% of the total mass was lost, resulting in a residual weight of approximately 20%. Beyond 400°C, a gradual decline ensues, stabilising at approximately 10% residue by 1000°C, indicative of inorganic ash or char formation. The DTG curve corroborates these stages, showing a minor peak below 150°C, a dominant peak at about 400°C, and a secondary shoulder at about 520°C. Breaking this into stages, the first stage (&lt;150°C) is attributed to the volatilisation of adsorbed moisture, residual solvents, and low-boiling plasticisers such as glycerol. The dominant second stage (200 - 400°C) involves the thermal decomposition of the starch matrix, encompassing dehydration of hydroxyl groups, cleavage of glycosidic linkages, and depolymerisation into volatile organics (e.g., CO</w:t>
      </w:r>
      <w:r w:rsidRPr="00A9353A">
        <w:rPr>
          <w:rFonts w:ascii="Cambria Math" w:hAnsi="Cambria Math" w:cs="Cambria Math"/>
        </w:rPr>
        <w:t>₂</w:t>
      </w:r>
      <w:r w:rsidRPr="00A9353A">
        <w:rPr>
          <w:rFonts w:ascii="Arial" w:hAnsi="Arial" w:cs="Arial"/>
        </w:rPr>
        <w:t>, H</w:t>
      </w:r>
      <w:r w:rsidRPr="00A9353A">
        <w:rPr>
          <w:rFonts w:ascii="Cambria Math" w:hAnsi="Cambria Math" w:cs="Cambria Math"/>
        </w:rPr>
        <w:t>₂</w:t>
      </w:r>
      <w:r w:rsidRPr="00A9353A">
        <w:rPr>
          <w:rFonts w:ascii="Arial" w:hAnsi="Arial" w:cs="Arial"/>
        </w:rPr>
        <w:t xml:space="preserve">O, and aldehydes), augmented by PVA chain scission and glycerol pyrolysis. The third stage (&gt;400°C) reflects </w:t>
      </w:r>
      <w:r w:rsidRPr="00A9353A">
        <w:rPr>
          <w:rFonts w:ascii="Arial" w:hAnsi="Arial" w:cs="Arial"/>
        </w:rPr>
        <w:lastRenderedPageBreak/>
        <w:t>oxidative degradation of carbonaceous residues and carbonisation, consistent with char oxidation in oxygenated atmospheres as reported by Thuppahige et al. (2023).</w:t>
      </w:r>
    </w:p>
    <w:p w14:paraId="0AC54762" w14:textId="0E8B83F9" w:rsidR="008B360D" w:rsidRPr="00A9353A" w:rsidRDefault="008B360D" w:rsidP="008B360D">
      <w:pPr>
        <w:pStyle w:val="Body"/>
        <w:spacing w:after="0"/>
        <w:rPr>
          <w:rFonts w:ascii="Arial" w:hAnsi="Arial" w:cs="Arial"/>
        </w:rPr>
      </w:pPr>
      <w:r w:rsidRPr="00A9353A">
        <w:rPr>
          <w:rFonts w:ascii="Arial" w:hAnsi="Arial" w:cs="Arial"/>
        </w:rPr>
        <w:t>These observations align with ASTM E1131-20 standards released in 2020 for compositional analysis by thermogravimetry and are comparable to reported profiles for cassava starch-PVA blends, where modifications enhance onset temperatures by 20 - 50°C relative to native starch. The film's thermal stability below 150°C supports its viability for ambient-temperature packaging applications, such as food wrappers, but precludes use in high-heat scenarios (e.g., microwaveable or hot-fill processes) due to accelerated degradation risks.</w:t>
      </w:r>
    </w:p>
    <w:p w14:paraId="7F7966E9" w14:textId="77777777" w:rsidR="008B360D" w:rsidRPr="00A9353A" w:rsidRDefault="008B360D" w:rsidP="008B360D">
      <w:pPr>
        <w:pStyle w:val="Body"/>
        <w:keepNext/>
        <w:spacing w:after="0" w:line="360" w:lineRule="auto"/>
        <w:rPr>
          <w:rFonts w:ascii="Arial" w:hAnsi="Arial" w:cs="Arial"/>
        </w:rPr>
      </w:pPr>
      <w:r w:rsidRPr="00A9353A">
        <w:rPr>
          <w:rFonts w:ascii="Arial" w:hAnsi="Arial" w:cs="Arial"/>
          <w:noProof/>
        </w:rPr>
        <w:drawing>
          <wp:inline distT="0" distB="0" distL="0" distR="0" wp14:anchorId="31C7B7DA" wp14:editId="68A32899">
            <wp:extent cx="4326340" cy="3120306"/>
            <wp:effectExtent l="0" t="0" r="0" b="4445"/>
            <wp:docPr id="576842424" name="Picture 1"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2424" name="Picture 1" descr="A graph of a temperature&#10;&#10;AI-generated content may be incorrect."/>
                    <pic:cNvPicPr/>
                  </pic:nvPicPr>
                  <pic:blipFill rotWithShape="1">
                    <a:blip r:embed="rId26"/>
                    <a:srcRect t="11792"/>
                    <a:stretch>
                      <a:fillRect/>
                    </a:stretch>
                  </pic:blipFill>
                  <pic:spPr bwMode="auto">
                    <a:xfrm>
                      <a:off x="0" y="0"/>
                      <a:ext cx="4341641" cy="3131342"/>
                    </a:xfrm>
                    <a:prstGeom prst="rect">
                      <a:avLst/>
                    </a:prstGeom>
                    <a:ln>
                      <a:noFill/>
                    </a:ln>
                    <a:extLst>
                      <a:ext uri="{53640926-AAD7-44D8-BBD7-CCE9431645EC}">
                        <a14:shadowObscured xmlns:a14="http://schemas.microsoft.com/office/drawing/2010/main"/>
                      </a:ext>
                    </a:extLst>
                  </pic:spPr>
                </pic:pic>
              </a:graphicData>
            </a:graphic>
          </wp:inline>
        </w:drawing>
      </w:r>
    </w:p>
    <w:p w14:paraId="725CB086" w14:textId="112A6E8B" w:rsidR="008B360D" w:rsidRPr="00A9353A" w:rsidRDefault="008B360D" w:rsidP="008B360D">
      <w:pPr>
        <w:pStyle w:val="Caption"/>
        <w:jc w:val="both"/>
        <w:rPr>
          <w:rFonts w:ascii="Arial" w:hAnsi="Arial" w:cs="Arial"/>
          <w:b/>
          <w:i w:val="0"/>
          <w:iCs w:val="0"/>
          <w:color w:val="auto"/>
          <w:sz w:val="20"/>
          <w:szCs w:val="20"/>
        </w:rPr>
      </w:pPr>
      <w:r w:rsidRPr="00A9353A">
        <w:rPr>
          <w:rFonts w:ascii="Arial" w:hAnsi="Arial" w:cs="Arial"/>
          <w:b/>
          <w:i w:val="0"/>
          <w:iCs w:val="0"/>
          <w:color w:val="auto"/>
          <w:sz w:val="20"/>
          <w:szCs w:val="20"/>
        </w:rPr>
        <w:t xml:space="preserve">Figure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Figure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9</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TGA/DTG results of starch-PVA film</w:t>
      </w:r>
    </w:p>
    <w:p w14:paraId="5BA7B6EA" w14:textId="77777777" w:rsidR="008B360D" w:rsidRPr="00A9353A" w:rsidRDefault="008B360D" w:rsidP="00A807DD">
      <w:pPr>
        <w:pStyle w:val="Body"/>
        <w:spacing w:after="0"/>
        <w:rPr>
          <w:rFonts w:ascii="Arial" w:hAnsi="Arial" w:cs="Arial"/>
        </w:rPr>
      </w:pPr>
    </w:p>
    <w:p w14:paraId="5EA1FCC6" w14:textId="77777777" w:rsidR="00A807DD" w:rsidRPr="00A9353A" w:rsidRDefault="00A807DD" w:rsidP="00A807DD">
      <w:pPr>
        <w:pStyle w:val="Body"/>
        <w:spacing w:after="0"/>
        <w:rPr>
          <w:rFonts w:ascii="Arial" w:hAnsi="Arial" w:cs="Arial"/>
          <w:b/>
          <w:bCs/>
        </w:rPr>
      </w:pPr>
      <w:r w:rsidRPr="00A9353A">
        <w:rPr>
          <w:rFonts w:ascii="Arial" w:hAnsi="Arial" w:cs="Arial"/>
          <w:b/>
          <w:bCs/>
        </w:rPr>
        <w:t>3.7 Thickness</w:t>
      </w:r>
    </w:p>
    <w:p w14:paraId="782FE2FF" w14:textId="3A2B5249" w:rsidR="008B360D" w:rsidRPr="00A9353A" w:rsidRDefault="008B360D" w:rsidP="008B360D">
      <w:pPr>
        <w:pStyle w:val="Body"/>
        <w:rPr>
          <w:rFonts w:ascii="Arial" w:hAnsi="Arial" w:cs="Arial"/>
        </w:rPr>
      </w:pPr>
      <w:r w:rsidRPr="00A9353A">
        <w:rPr>
          <w:rFonts w:ascii="Arial" w:hAnsi="Arial" w:cs="Arial"/>
        </w:rPr>
        <w:t xml:space="preserve">The cassava starch–PVA bioplastic films exhibited thickness values ranging from 0.18 to 0.28 mm as presented in </w:t>
      </w:r>
      <w:r w:rsidRPr="00A9353A">
        <w:rPr>
          <w:rFonts w:ascii="Arial" w:hAnsi="Arial" w:cs="Arial"/>
          <w:b/>
          <w:bCs/>
        </w:rPr>
        <w:t>Table 7</w:t>
      </w:r>
      <w:r w:rsidRPr="00A9353A">
        <w:rPr>
          <w:rFonts w:ascii="Arial" w:hAnsi="Arial" w:cs="Arial"/>
        </w:rPr>
        <w:t xml:space="preserve">. The relatively reduced thickness suggests a more flexible and lightweight material, ideal for short-term or low-load packaging applications. An increase in starch concentration led to thicker films due to higher solid content and greater paste viscosity, which produced denser and less porous structures after drying. Similarly, glycerol concentration had a pronounced effect on film thickness. At low glycerol levels (10%), films were thin and brittle; at moderate levels (20%), thickness increased but reduced mechanical integrity due to higher plasticisation and more moisture absorption. </w:t>
      </w:r>
    </w:p>
    <w:p w14:paraId="6424A21F" w14:textId="2F2A613A" w:rsidR="008B360D" w:rsidRPr="00A9353A" w:rsidRDefault="008B360D" w:rsidP="008B360D">
      <w:pPr>
        <w:pStyle w:val="Caption"/>
        <w:keepNext/>
        <w:rPr>
          <w:rFonts w:ascii="Arial" w:hAnsi="Arial" w:cs="Arial"/>
          <w:b/>
          <w:i w:val="0"/>
          <w:iCs w:val="0"/>
          <w:color w:val="auto"/>
          <w:sz w:val="20"/>
          <w:szCs w:val="20"/>
        </w:rPr>
      </w:pPr>
      <w:r w:rsidRPr="00A9353A">
        <w:rPr>
          <w:rFonts w:ascii="Arial" w:hAnsi="Arial" w:cs="Arial"/>
          <w:b/>
          <w:i w:val="0"/>
          <w:iCs w:val="0"/>
          <w:color w:val="auto"/>
          <w:sz w:val="20"/>
          <w:szCs w:val="20"/>
        </w:rPr>
        <w:t xml:space="preserve">Table </w:t>
      </w:r>
      <w:r w:rsidRPr="00A9353A">
        <w:rPr>
          <w:rFonts w:ascii="Arial" w:hAnsi="Arial" w:cs="Arial"/>
          <w:b/>
          <w:i w:val="0"/>
          <w:iCs w:val="0"/>
          <w:color w:val="auto"/>
          <w:sz w:val="20"/>
          <w:szCs w:val="20"/>
        </w:rPr>
        <w:fldChar w:fldCharType="begin"/>
      </w:r>
      <w:r w:rsidRPr="00A9353A">
        <w:rPr>
          <w:rFonts w:ascii="Arial" w:hAnsi="Arial" w:cs="Arial"/>
          <w:b/>
          <w:i w:val="0"/>
          <w:iCs w:val="0"/>
          <w:color w:val="auto"/>
          <w:sz w:val="20"/>
          <w:szCs w:val="20"/>
        </w:rPr>
        <w:instrText xml:space="preserve"> SEQ Table \* ARABIC </w:instrText>
      </w:r>
      <w:r w:rsidRPr="00A9353A">
        <w:rPr>
          <w:rFonts w:ascii="Arial" w:hAnsi="Arial" w:cs="Arial"/>
          <w:b/>
          <w:i w:val="0"/>
          <w:iCs w:val="0"/>
          <w:color w:val="auto"/>
          <w:sz w:val="20"/>
          <w:szCs w:val="20"/>
        </w:rPr>
        <w:fldChar w:fldCharType="separate"/>
      </w:r>
      <w:r w:rsidR="00027623" w:rsidRPr="00A9353A">
        <w:rPr>
          <w:rFonts w:ascii="Arial" w:hAnsi="Arial" w:cs="Arial"/>
          <w:b/>
          <w:i w:val="0"/>
          <w:iCs w:val="0"/>
          <w:noProof/>
          <w:color w:val="auto"/>
          <w:sz w:val="20"/>
          <w:szCs w:val="20"/>
        </w:rPr>
        <w:t>7</w:t>
      </w:r>
      <w:r w:rsidRPr="00A9353A">
        <w:rPr>
          <w:rFonts w:ascii="Arial" w:hAnsi="Arial" w:cs="Arial"/>
          <w:b/>
          <w:i w:val="0"/>
          <w:iCs w:val="0"/>
          <w:color w:val="auto"/>
          <w:sz w:val="20"/>
          <w:szCs w:val="20"/>
        </w:rPr>
        <w:fldChar w:fldCharType="end"/>
      </w:r>
      <w:r w:rsidRPr="00A9353A">
        <w:rPr>
          <w:rFonts w:ascii="Arial" w:hAnsi="Arial" w:cs="Arial"/>
          <w:b/>
          <w:i w:val="0"/>
          <w:iCs w:val="0"/>
          <w:color w:val="auto"/>
          <w:sz w:val="20"/>
          <w:szCs w:val="20"/>
        </w:rPr>
        <w:t>: Thickness of Cassava Starch–PVA Bioplastic Films</w:t>
      </w:r>
    </w:p>
    <w:tbl>
      <w:tblPr>
        <w:tblStyle w:val="PlainTable2"/>
        <w:tblW w:w="8100" w:type="dxa"/>
        <w:tblLook w:val="04A0" w:firstRow="1" w:lastRow="0" w:firstColumn="1" w:lastColumn="0" w:noHBand="0" w:noVBand="1"/>
      </w:tblPr>
      <w:tblGrid>
        <w:gridCol w:w="1530"/>
        <w:gridCol w:w="4050"/>
        <w:gridCol w:w="2520"/>
      </w:tblGrid>
      <w:tr w:rsidR="008B360D" w:rsidRPr="00A9353A" w14:paraId="71FB5FBE" w14:textId="77777777" w:rsidTr="008B3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731A2E6E" w14:textId="77777777" w:rsidR="008B360D" w:rsidRPr="00A9353A" w:rsidRDefault="008B360D" w:rsidP="008B360D">
            <w:pPr>
              <w:spacing w:line="480" w:lineRule="auto"/>
              <w:rPr>
                <w:rFonts w:ascii="Arial" w:hAnsi="Arial" w:cs="Arial"/>
              </w:rPr>
            </w:pPr>
            <w:r w:rsidRPr="00A9353A">
              <w:rPr>
                <w:rFonts w:ascii="Arial" w:hAnsi="Arial" w:cs="Arial"/>
              </w:rPr>
              <w:t>Sample</w:t>
            </w:r>
          </w:p>
        </w:tc>
        <w:tc>
          <w:tcPr>
            <w:tcW w:w="4050" w:type="dxa"/>
            <w:hideMark/>
          </w:tcPr>
          <w:p w14:paraId="4E742054" w14:textId="77777777" w:rsidR="008B360D" w:rsidRPr="00A9353A" w:rsidRDefault="008B360D" w:rsidP="008B360D">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Film Composition</w:t>
            </w:r>
          </w:p>
        </w:tc>
        <w:tc>
          <w:tcPr>
            <w:tcW w:w="2520" w:type="dxa"/>
            <w:hideMark/>
          </w:tcPr>
          <w:p w14:paraId="580925C8" w14:textId="77777777" w:rsidR="008B360D" w:rsidRPr="00A9353A" w:rsidRDefault="008B360D" w:rsidP="008B360D">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Thickness (mm)</w:t>
            </w:r>
          </w:p>
        </w:tc>
      </w:tr>
      <w:tr w:rsidR="008B360D" w:rsidRPr="00A9353A" w14:paraId="0F221663"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nil"/>
            </w:tcBorders>
            <w:hideMark/>
          </w:tcPr>
          <w:p w14:paraId="5394E00D" w14:textId="1A8B2529" w:rsidR="008B360D" w:rsidRPr="00A9353A" w:rsidRDefault="008B360D" w:rsidP="00DF1B5A">
            <w:pPr>
              <w:spacing w:after="60"/>
              <w:rPr>
                <w:rFonts w:ascii="Arial" w:hAnsi="Arial" w:cs="Arial"/>
                <w:b w:val="0"/>
                <w:bCs w:val="0"/>
              </w:rPr>
            </w:pPr>
            <w:r w:rsidRPr="00A9353A">
              <w:rPr>
                <w:rFonts w:ascii="Arial" w:hAnsi="Arial" w:cs="Arial"/>
                <w:b w:val="0"/>
                <w:bCs w:val="0"/>
              </w:rPr>
              <w:t>Film 1</w:t>
            </w:r>
          </w:p>
        </w:tc>
        <w:tc>
          <w:tcPr>
            <w:tcW w:w="4050" w:type="dxa"/>
            <w:tcBorders>
              <w:bottom w:val="nil"/>
            </w:tcBorders>
            <w:hideMark/>
          </w:tcPr>
          <w:p w14:paraId="11643F72" w14:textId="77777777"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Starch–PVA (2:1)</w:t>
            </w:r>
          </w:p>
        </w:tc>
        <w:tc>
          <w:tcPr>
            <w:tcW w:w="2520" w:type="dxa"/>
            <w:tcBorders>
              <w:bottom w:val="nil"/>
            </w:tcBorders>
            <w:hideMark/>
          </w:tcPr>
          <w:p w14:paraId="4DE2C165" w14:textId="6008B9EC"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0.18</w:t>
            </w:r>
          </w:p>
        </w:tc>
      </w:tr>
      <w:tr w:rsidR="008B360D" w:rsidRPr="00A9353A" w14:paraId="520D893B" w14:textId="77777777" w:rsidTr="008B360D">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29C18D83" w14:textId="7BC746C7" w:rsidR="008B360D" w:rsidRPr="00A9353A" w:rsidRDefault="008B360D" w:rsidP="00DF1B5A">
            <w:pPr>
              <w:spacing w:after="60"/>
              <w:rPr>
                <w:rFonts w:ascii="Arial" w:hAnsi="Arial" w:cs="Arial"/>
                <w:b w:val="0"/>
                <w:bCs w:val="0"/>
              </w:rPr>
            </w:pPr>
            <w:r w:rsidRPr="00A9353A">
              <w:rPr>
                <w:rFonts w:ascii="Arial" w:hAnsi="Arial" w:cs="Arial"/>
                <w:b w:val="0"/>
                <w:bCs w:val="0"/>
              </w:rPr>
              <w:t>Film 2</w:t>
            </w:r>
          </w:p>
        </w:tc>
        <w:tc>
          <w:tcPr>
            <w:tcW w:w="4050" w:type="dxa"/>
            <w:tcBorders>
              <w:top w:val="nil"/>
              <w:bottom w:val="nil"/>
            </w:tcBorders>
            <w:hideMark/>
          </w:tcPr>
          <w:p w14:paraId="015EA140" w14:textId="77777777" w:rsidR="008B360D" w:rsidRPr="00A9353A" w:rsidRDefault="008B360D" w:rsidP="00DF1B5A">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Starch–PVA (2:1) + 10% Glycerol</w:t>
            </w:r>
          </w:p>
        </w:tc>
        <w:tc>
          <w:tcPr>
            <w:tcW w:w="2520" w:type="dxa"/>
            <w:tcBorders>
              <w:top w:val="nil"/>
              <w:bottom w:val="nil"/>
            </w:tcBorders>
            <w:hideMark/>
          </w:tcPr>
          <w:p w14:paraId="265CD2BE" w14:textId="677D35F8" w:rsidR="008B360D" w:rsidRPr="00A9353A" w:rsidRDefault="008B360D" w:rsidP="00DF1B5A">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0.21</w:t>
            </w:r>
          </w:p>
        </w:tc>
      </w:tr>
      <w:tr w:rsidR="008B360D" w:rsidRPr="00A9353A" w14:paraId="7D77AA37"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0A0DCF17" w14:textId="243CBC25" w:rsidR="008B360D" w:rsidRPr="00A9353A" w:rsidRDefault="008B360D" w:rsidP="00DF1B5A">
            <w:pPr>
              <w:spacing w:after="60"/>
              <w:rPr>
                <w:rFonts w:ascii="Arial" w:hAnsi="Arial" w:cs="Arial"/>
                <w:b w:val="0"/>
                <w:bCs w:val="0"/>
              </w:rPr>
            </w:pPr>
            <w:r w:rsidRPr="00A9353A">
              <w:rPr>
                <w:rFonts w:ascii="Arial" w:hAnsi="Arial" w:cs="Arial"/>
                <w:b w:val="0"/>
                <w:bCs w:val="0"/>
              </w:rPr>
              <w:t>Film 3</w:t>
            </w:r>
          </w:p>
        </w:tc>
        <w:tc>
          <w:tcPr>
            <w:tcW w:w="4050" w:type="dxa"/>
            <w:tcBorders>
              <w:top w:val="nil"/>
              <w:bottom w:val="nil"/>
            </w:tcBorders>
            <w:hideMark/>
          </w:tcPr>
          <w:p w14:paraId="4ECE53F6" w14:textId="77777777"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Starch–PVA (2:1) + 20% Glycerol</w:t>
            </w:r>
          </w:p>
        </w:tc>
        <w:tc>
          <w:tcPr>
            <w:tcW w:w="2520" w:type="dxa"/>
            <w:tcBorders>
              <w:top w:val="nil"/>
              <w:bottom w:val="nil"/>
            </w:tcBorders>
            <w:hideMark/>
          </w:tcPr>
          <w:p w14:paraId="5C77DD75" w14:textId="4AF50E84"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0.22</w:t>
            </w:r>
          </w:p>
        </w:tc>
      </w:tr>
      <w:tr w:rsidR="008B360D" w:rsidRPr="00A9353A" w14:paraId="16D444C5" w14:textId="77777777" w:rsidTr="008B360D">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hideMark/>
          </w:tcPr>
          <w:p w14:paraId="72CA0294" w14:textId="39A1CFF1" w:rsidR="008B360D" w:rsidRPr="00A9353A" w:rsidRDefault="008B360D" w:rsidP="00DF1B5A">
            <w:pPr>
              <w:spacing w:after="60"/>
              <w:rPr>
                <w:rFonts w:ascii="Arial" w:hAnsi="Arial" w:cs="Arial"/>
                <w:b w:val="0"/>
                <w:bCs w:val="0"/>
              </w:rPr>
            </w:pPr>
            <w:r w:rsidRPr="00A9353A">
              <w:rPr>
                <w:rFonts w:ascii="Arial" w:hAnsi="Arial" w:cs="Arial"/>
                <w:b w:val="0"/>
                <w:bCs w:val="0"/>
              </w:rPr>
              <w:t>Film 4</w:t>
            </w:r>
          </w:p>
        </w:tc>
        <w:tc>
          <w:tcPr>
            <w:tcW w:w="4050" w:type="dxa"/>
            <w:tcBorders>
              <w:top w:val="nil"/>
              <w:bottom w:val="nil"/>
            </w:tcBorders>
            <w:hideMark/>
          </w:tcPr>
          <w:p w14:paraId="4AD1D8AF" w14:textId="77777777" w:rsidR="008B360D" w:rsidRPr="00A9353A" w:rsidRDefault="008B360D" w:rsidP="00DF1B5A">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Starch–PVA (3:1) + 10% Glycerol</w:t>
            </w:r>
          </w:p>
        </w:tc>
        <w:tc>
          <w:tcPr>
            <w:tcW w:w="2520" w:type="dxa"/>
            <w:tcBorders>
              <w:top w:val="nil"/>
              <w:bottom w:val="nil"/>
            </w:tcBorders>
            <w:hideMark/>
          </w:tcPr>
          <w:p w14:paraId="6F728138" w14:textId="77777777" w:rsidR="008B360D" w:rsidRPr="00A9353A" w:rsidRDefault="008B360D" w:rsidP="00DF1B5A">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353A">
              <w:rPr>
                <w:rFonts w:ascii="Arial" w:hAnsi="Arial" w:cs="Arial"/>
              </w:rPr>
              <w:t>0.25</w:t>
            </w:r>
          </w:p>
        </w:tc>
      </w:tr>
      <w:tr w:rsidR="008B360D" w:rsidRPr="00A9353A" w14:paraId="4C3C10A0" w14:textId="77777777" w:rsidTr="008B3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4" w:space="0" w:color="auto"/>
            </w:tcBorders>
            <w:hideMark/>
          </w:tcPr>
          <w:p w14:paraId="2F965F55" w14:textId="66D5B6DA" w:rsidR="008B360D" w:rsidRPr="00A9353A" w:rsidRDefault="008B360D" w:rsidP="00DF1B5A">
            <w:pPr>
              <w:spacing w:after="60"/>
              <w:rPr>
                <w:rFonts w:ascii="Arial" w:hAnsi="Arial" w:cs="Arial"/>
                <w:b w:val="0"/>
                <w:bCs w:val="0"/>
              </w:rPr>
            </w:pPr>
            <w:r w:rsidRPr="00A9353A">
              <w:rPr>
                <w:rFonts w:ascii="Arial" w:hAnsi="Arial" w:cs="Arial"/>
                <w:b w:val="0"/>
                <w:bCs w:val="0"/>
              </w:rPr>
              <w:t>Film 5</w:t>
            </w:r>
          </w:p>
        </w:tc>
        <w:tc>
          <w:tcPr>
            <w:tcW w:w="4050" w:type="dxa"/>
            <w:tcBorders>
              <w:top w:val="nil"/>
              <w:bottom w:val="single" w:sz="4" w:space="0" w:color="auto"/>
            </w:tcBorders>
            <w:hideMark/>
          </w:tcPr>
          <w:p w14:paraId="36D3FB5F" w14:textId="77777777"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Starch–PVA (3:1) + 20% Glycerol</w:t>
            </w:r>
          </w:p>
        </w:tc>
        <w:tc>
          <w:tcPr>
            <w:tcW w:w="2520" w:type="dxa"/>
            <w:tcBorders>
              <w:top w:val="nil"/>
              <w:bottom w:val="single" w:sz="4" w:space="0" w:color="auto"/>
            </w:tcBorders>
            <w:hideMark/>
          </w:tcPr>
          <w:p w14:paraId="7D5F4DE4" w14:textId="77777777" w:rsidR="008B360D" w:rsidRPr="00A9353A" w:rsidRDefault="008B360D" w:rsidP="00DF1B5A">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353A">
              <w:rPr>
                <w:rFonts w:ascii="Arial" w:hAnsi="Arial" w:cs="Arial"/>
              </w:rPr>
              <w:t>0.27</w:t>
            </w:r>
          </w:p>
        </w:tc>
      </w:tr>
    </w:tbl>
    <w:p w14:paraId="12AE4524" w14:textId="77777777" w:rsidR="008B360D" w:rsidRPr="00A9353A" w:rsidRDefault="008B360D" w:rsidP="008B360D">
      <w:pPr>
        <w:rPr>
          <w:rFonts w:ascii="Arial" w:hAnsi="Arial" w:cs="Arial"/>
        </w:rPr>
      </w:pPr>
    </w:p>
    <w:p w14:paraId="076B1166" w14:textId="463C7650" w:rsidR="00A807DD" w:rsidRPr="00A9353A" w:rsidRDefault="008B360D" w:rsidP="008B360D">
      <w:pPr>
        <w:pStyle w:val="Body"/>
        <w:rPr>
          <w:rFonts w:ascii="Arial" w:hAnsi="Arial" w:cs="Arial"/>
        </w:rPr>
      </w:pPr>
      <w:r w:rsidRPr="00A9353A">
        <w:rPr>
          <w:rFonts w:ascii="Arial" w:hAnsi="Arial" w:cs="Arial"/>
        </w:rPr>
        <w:lastRenderedPageBreak/>
        <w:t>Optimising film thickness is therefore essential to balance strength, flexibility, biodegradability, and cost-effectiveness. The results corroborate thicknesses reported by Zavareze et al. (2012) and Fonseca et al. (2015), confirming the direct correlation between starch concentration, plastici</w:t>
      </w:r>
      <w:r w:rsidR="00350123" w:rsidRPr="00A9353A">
        <w:rPr>
          <w:rFonts w:ascii="Arial" w:hAnsi="Arial" w:cs="Arial"/>
        </w:rPr>
        <w:t>s</w:t>
      </w:r>
      <w:r w:rsidRPr="00A9353A">
        <w:rPr>
          <w:rFonts w:ascii="Arial" w:hAnsi="Arial" w:cs="Arial"/>
        </w:rPr>
        <w:t>er content, and bioplastic film thickness.</w:t>
      </w:r>
    </w:p>
    <w:p w14:paraId="42732C32" w14:textId="77777777" w:rsidR="00B01FCD" w:rsidRPr="00A9353A" w:rsidRDefault="00000F8F" w:rsidP="008B360D">
      <w:pPr>
        <w:pStyle w:val="ConcHead"/>
        <w:jc w:val="both"/>
        <w:rPr>
          <w:rFonts w:ascii="Arial" w:hAnsi="Arial" w:cs="Arial"/>
        </w:rPr>
      </w:pPr>
      <w:r w:rsidRPr="00A9353A">
        <w:rPr>
          <w:rFonts w:ascii="Arial" w:hAnsi="Arial" w:cs="Arial"/>
        </w:rPr>
        <w:t xml:space="preserve">4. </w:t>
      </w:r>
      <w:r w:rsidR="00B01FCD" w:rsidRPr="00A9353A">
        <w:rPr>
          <w:rFonts w:ascii="Arial" w:hAnsi="Arial" w:cs="Arial"/>
        </w:rPr>
        <w:t>Conclusion</w:t>
      </w:r>
    </w:p>
    <w:p w14:paraId="0218327D" w14:textId="2FF7FE30" w:rsidR="0045171F" w:rsidRPr="00A9353A" w:rsidRDefault="008B360D" w:rsidP="001E3779">
      <w:pPr>
        <w:pStyle w:val="Body"/>
        <w:rPr>
          <w:rFonts w:ascii="Arial" w:hAnsi="Arial" w:cs="Arial"/>
        </w:rPr>
      </w:pPr>
      <w:r w:rsidRPr="00A9353A">
        <w:rPr>
          <w:rFonts w:ascii="Arial" w:hAnsi="Arial" w:cs="Arial"/>
        </w:rPr>
        <w:t>This study demonstrated the effective synthesis and comprehensive characteri</w:t>
      </w:r>
      <w:r w:rsidR="00350123" w:rsidRPr="00A9353A">
        <w:rPr>
          <w:rFonts w:ascii="Arial" w:hAnsi="Arial" w:cs="Arial"/>
        </w:rPr>
        <w:t>s</w:t>
      </w:r>
      <w:r w:rsidRPr="00A9353A">
        <w:rPr>
          <w:rFonts w:ascii="Arial" w:hAnsi="Arial" w:cs="Arial"/>
        </w:rPr>
        <w:t>ation of cassava starch–PVA bioplastic films, confirming their potential as sustainable alternatives to petroleum-based plastics. The cassava starch yield of 80.06% underscores the crop’s suitability as a renewable raw material for polymer production. The films exhibited low water absorption (4%), indicating enhanced hydrophobicity due to PVA incorporation, which is advantageous for food and packaging applications. Biodegradation studies revealed complete decomposition within 20</w:t>
      </w:r>
      <w:r w:rsidR="0039299A" w:rsidRPr="00A9353A">
        <w:rPr>
          <w:rFonts w:ascii="Arial" w:hAnsi="Arial" w:cs="Arial"/>
        </w:rPr>
        <w:t xml:space="preserve"> – </w:t>
      </w:r>
      <w:r w:rsidRPr="00A9353A">
        <w:rPr>
          <w:rFonts w:ascii="Arial" w:hAnsi="Arial" w:cs="Arial"/>
        </w:rPr>
        <w:t xml:space="preserve">28 days, strongly influenced by burial depth and microbial activity, signifying excellent environmental degradability. </w:t>
      </w:r>
      <w:r w:rsidR="001E3779" w:rsidRPr="00A9353A">
        <w:rPr>
          <w:rFonts w:ascii="Arial" w:hAnsi="Arial" w:cs="Arial"/>
        </w:rPr>
        <w:t>FTIR analysis verified intermolecular interactions, including hydrogen bonding, esterification, and crosslinking, through prominent O–H, C–H, C=O, and C–O functional groups among starch, PVA, and glycerol. SEM imaging confirmed smooth, uniform surface morphologies indicative of good film homogeneity, while TGA/DTG revealed a characteristic three-stage decomposition profile with satisfactory thermal stability up to approximately</w:t>
      </w:r>
      <w:r w:rsidRPr="00A9353A">
        <w:rPr>
          <w:rFonts w:ascii="Arial" w:hAnsi="Arial" w:cs="Arial"/>
        </w:rPr>
        <w:t xml:space="preserve"> 150°C. </w:t>
      </w:r>
      <w:r w:rsidR="001E3779" w:rsidRPr="00A9353A">
        <w:rPr>
          <w:rFonts w:ascii="Arial" w:hAnsi="Arial" w:cs="Arial"/>
        </w:rPr>
        <w:t>Film thicknesses of 0.18 – 0.28 mm further support lightweight and flexible characteristics appropriate for short-term applications</w:t>
      </w:r>
      <w:r w:rsidRPr="00A9353A">
        <w:rPr>
          <w:rFonts w:ascii="Arial" w:hAnsi="Arial" w:cs="Arial"/>
        </w:rPr>
        <w:t>.</w:t>
      </w:r>
      <w:r w:rsidR="0039299A" w:rsidRPr="00A9353A">
        <w:rPr>
          <w:rFonts w:ascii="Arial" w:hAnsi="Arial" w:cs="Arial"/>
        </w:rPr>
        <w:t xml:space="preserve"> Collectively, these results affirm cassava starch–PVA–glycerol composites as promising eco-friendly materials with desirable hydrophobicity, rapid biodegradability, structural uniformity, and thermal resilience for sustainable packaging and allied applications.</w:t>
      </w:r>
      <w:r w:rsidRPr="00A9353A">
        <w:rPr>
          <w:rFonts w:ascii="Arial" w:hAnsi="Arial" w:cs="Arial"/>
        </w:rPr>
        <w:t xml:space="preserve"> </w:t>
      </w:r>
    </w:p>
    <w:p w14:paraId="7D8D6F82" w14:textId="2F7F88A0" w:rsidR="00583F1F" w:rsidRPr="00A9353A" w:rsidRDefault="001E3779" w:rsidP="00D7286A">
      <w:pPr>
        <w:pStyle w:val="Body"/>
        <w:rPr>
          <w:rFonts w:ascii="Arial" w:hAnsi="Arial" w:cs="Arial"/>
        </w:rPr>
      </w:pPr>
      <w:r w:rsidRPr="00A9353A">
        <w:rPr>
          <w:rFonts w:ascii="Arial" w:hAnsi="Arial" w:cs="Arial"/>
        </w:rPr>
        <w:t>Mechanical properties (e.g., tensile strength</w:t>
      </w:r>
      <w:r w:rsidR="00297BD0" w:rsidRPr="00A9353A">
        <w:rPr>
          <w:rFonts w:ascii="Arial" w:hAnsi="Arial" w:cs="Arial"/>
        </w:rPr>
        <w:t xml:space="preserve"> and</w:t>
      </w:r>
      <w:r w:rsidRPr="00A9353A">
        <w:rPr>
          <w:rFonts w:ascii="Arial" w:hAnsi="Arial" w:cs="Arial"/>
        </w:rPr>
        <w:t xml:space="preserve"> elongation at break) were not evaluated</w:t>
      </w:r>
      <w:r w:rsidR="00297BD0" w:rsidRPr="00A9353A">
        <w:rPr>
          <w:rFonts w:ascii="Arial" w:hAnsi="Arial" w:cs="Arial"/>
        </w:rPr>
        <w:t xml:space="preserve"> in the present work</w:t>
      </w:r>
      <w:r w:rsidRPr="00A9353A">
        <w:rPr>
          <w:rFonts w:ascii="Arial" w:hAnsi="Arial" w:cs="Arial"/>
        </w:rPr>
        <w:t>, limiting full assessment of durability and practical performance under stress</w:t>
      </w:r>
      <w:r w:rsidR="0045171F" w:rsidRPr="00A9353A">
        <w:rPr>
          <w:rFonts w:ascii="Arial" w:hAnsi="Arial" w:cs="Arial"/>
        </w:rPr>
        <w:t>es</w:t>
      </w:r>
      <w:r w:rsidRPr="00A9353A">
        <w:rPr>
          <w:rFonts w:ascii="Arial" w:hAnsi="Arial" w:cs="Arial"/>
        </w:rPr>
        <w:t xml:space="preserve">. </w:t>
      </w:r>
      <w:r w:rsidR="0039299A" w:rsidRPr="00A9353A">
        <w:rPr>
          <w:rFonts w:ascii="Arial" w:hAnsi="Arial" w:cs="Arial"/>
        </w:rPr>
        <w:t>Although the observed hydrophobicity, morphology, and thickness suggest adequate structural integrity for short-term uses, quantitative mechanical assessment is required to fully substantiate direct comparisons with commercial plastics</w:t>
      </w:r>
      <w:r w:rsidR="00252E6A" w:rsidRPr="00A9353A">
        <w:rPr>
          <w:rFonts w:ascii="Arial" w:hAnsi="Arial" w:cs="Arial"/>
        </w:rPr>
        <w:t xml:space="preserve">. </w:t>
      </w:r>
      <w:r w:rsidR="00297BD0" w:rsidRPr="00A9353A">
        <w:rPr>
          <w:rFonts w:ascii="Arial" w:hAnsi="Arial" w:cs="Arial"/>
        </w:rPr>
        <w:t>Future work should include standard tensile testing (e.g., ASTM D882) to address this gap and strengthen applicability claims</w:t>
      </w:r>
      <w:r w:rsidRPr="00A9353A">
        <w:rPr>
          <w:rFonts w:ascii="Arial" w:hAnsi="Arial" w:cs="Arial"/>
        </w:rPr>
        <w:t>.</w:t>
      </w:r>
    </w:p>
    <w:p w14:paraId="20AF3BF6" w14:textId="77777777" w:rsidR="00912C31" w:rsidRPr="00A9353A" w:rsidRDefault="00912C31" w:rsidP="00912C31">
      <w:pPr>
        <w:spacing w:after="200" w:line="276" w:lineRule="auto"/>
        <w:rPr>
          <w:rFonts w:ascii="Arial" w:eastAsiaTheme="minorEastAsia" w:hAnsi="Arial" w:cs="Arial"/>
          <w:b/>
          <w:bCs/>
          <w:sz w:val="22"/>
          <w:szCs w:val="22"/>
          <w:lang w:eastAsia="en-GB"/>
        </w:rPr>
      </w:pPr>
      <w:r w:rsidRPr="00A9353A">
        <w:rPr>
          <w:rFonts w:ascii="Arial" w:eastAsiaTheme="minorEastAsia" w:hAnsi="Arial" w:cs="Arial"/>
          <w:b/>
          <w:bCs/>
          <w:sz w:val="22"/>
          <w:szCs w:val="22"/>
          <w:lang w:eastAsia="en-GB"/>
        </w:rPr>
        <w:t>COMPETING INTERESTS DISCLAIMER:</w:t>
      </w:r>
    </w:p>
    <w:p w14:paraId="7D9C13B2" w14:textId="2DF8BE26" w:rsidR="00912C31" w:rsidRPr="00A9353A" w:rsidRDefault="00912C31" w:rsidP="00912C31">
      <w:pPr>
        <w:spacing w:after="200" w:line="276" w:lineRule="auto"/>
        <w:rPr>
          <w:rFonts w:ascii="Arial" w:eastAsiaTheme="minorEastAsia" w:hAnsi="Arial" w:cs="Arial"/>
          <w:sz w:val="22"/>
          <w:szCs w:val="22"/>
          <w:lang w:eastAsia="en-GB"/>
        </w:rPr>
      </w:pPr>
      <w:r w:rsidRPr="00A9353A">
        <w:rPr>
          <w:rFonts w:ascii="Arial" w:eastAsiaTheme="minorEastAsia" w:hAnsi="Arial" w:cs="Arial"/>
          <w:sz w:val="22"/>
          <w:szCs w:val="22"/>
          <w:lang w:eastAsia="en-GB"/>
        </w:rPr>
        <w:t>Authors have declared that they have no known competing financial interests OR non-financial interests OR personal relationships that could have appeared to influence the work reported in this paper.</w:t>
      </w:r>
    </w:p>
    <w:p w14:paraId="6BE83E9D" w14:textId="46769CA0" w:rsidR="00583F1F" w:rsidRDefault="00086655" w:rsidP="00086655">
      <w:pPr>
        <w:rPr>
          <w:rFonts w:ascii="Arial" w:hAnsi="Arial" w:cs="Arial"/>
          <w:b/>
        </w:rPr>
      </w:pPr>
      <w:r w:rsidRPr="00A9353A">
        <w:rPr>
          <w:rFonts w:ascii="Arial" w:hAnsi="Arial" w:cs="Arial"/>
          <w:b/>
        </w:rPr>
        <w:t>Disclaimer (Artificial intelligence)</w:t>
      </w:r>
    </w:p>
    <w:p w14:paraId="4F637C24" w14:textId="77777777" w:rsidR="000F2E88" w:rsidRPr="00A9353A" w:rsidRDefault="000F2E88" w:rsidP="00086655">
      <w:pPr>
        <w:rPr>
          <w:rFonts w:ascii="Arial" w:hAnsi="Arial" w:cs="Arial"/>
          <w:b/>
        </w:rPr>
      </w:pPr>
    </w:p>
    <w:p w14:paraId="069E8D31" w14:textId="369E5F00" w:rsidR="00086655" w:rsidRDefault="00086655" w:rsidP="00086655">
      <w:pPr>
        <w:rPr>
          <w:rFonts w:ascii="Arial" w:hAnsi="Arial" w:cs="Arial"/>
        </w:rPr>
      </w:pPr>
      <w:r w:rsidRPr="00A9353A">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74AF4861" w14:textId="77777777" w:rsidR="000F2E88" w:rsidRPr="00A9353A" w:rsidRDefault="000F2E88" w:rsidP="00086655">
      <w:pPr>
        <w:rPr>
          <w:rFonts w:ascii="Arial" w:hAnsi="Arial" w:cs="Arial"/>
          <w:b/>
        </w:rPr>
      </w:pPr>
    </w:p>
    <w:p w14:paraId="34A1B9F8" w14:textId="63085DB4" w:rsidR="00B01FCD" w:rsidRPr="00A9353A" w:rsidRDefault="00B01FCD" w:rsidP="008B360D">
      <w:pPr>
        <w:pStyle w:val="AcknHead"/>
        <w:jc w:val="both"/>
        <w:rPr>
          <w:rFonts w:ascii="Arial" w:hAnsi="Arial" w:cs="Arial"/>
        </w:rPr>
      </w:pPr>
      <w:r w:rsidRPr="00A9353A">
        <w:rPr>
          <w:rFonts w:ascii="Arial" w:hAnsi="Arial" w:cs="Arial"/>
        </w:rPr>
        <w:t>References</w:t>
      </w:r>
    </w:p>
    <w:p w14:paraId="153F55A9"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Al-Ademi , R. (2020). </w:t>
      </w:r>
      <w:r w:rsidRPr="00A9353A">
        <w:rPr>
          <w:rFonts w:ascii="Arial" w:hAnsi="Arial" w:cs="Arial"/>
          <w:i/>
          <w:iCs/>
        </w:rPr>
        <w:t>The National Sword Policy of China and its Effect on Global Policy</w:t>
      </w:r>
      <w:r w:rsidRPr="00A9353A">
        <w:rPr>
          <w:rFonts w:ascii="Arial" w:hAnsi="Arial" w:cs="Arial"/>
        </w:rPr>
        <w:t>. ResearchGate. https://www.researchgate.net/publication/340439578_The_National_Sword_Policy_of_China_and_its_Effect_on_Global_Policy</w:t>
      </w:r>
    </w:p>
    <w:p w14:paraId="39C5DF67"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Anagor-Ewuzie, A. (2020). </w:t>
      </w:r>
      <w:r w:rsidRPr="00A9353A">
        <w:rPr>
          <w:rFonts w:ascii="Arial" w:hAnsi="Arial" w:cs="Arial"/>
          <w:i/>
          <w:iCs/>
        </w:rPr>
        <w:t>NASS pushes bill to ban plastics, eliminate sources of Marine Litters</w:t>
      </w:r>
      <w:r w:rsidRPr="00A9353A">
        <w:rPr>
          <w:rFonts w:ascii="Arial" w:hAnsi="Arial" w:cs="Arial"/>
        </w:rPr>
        <w:t>. Businessday NG. https://businessday.ng/maritime/article/nass-pushes-bill-to-ban-plastics-eliminate-sources-of-marine-litters/?utm</w:t>
      </w:r>
    </w:p>
    <w:p w14:paraId="7718564B" w14:textId="77777777" w:rsidR="008B360D" w:rsidRPr="00A9353A" w:rsidRDefault="008B360D" w:rsidP="008B360D">
      <w:pPr>
        <w:pStyle w:val="Body"/>
        <w:ind w:left="720" w:hanging="720"/>
        <w:rPr>
          <w:rFonts w:ascii="Arial" w:hAnsi="Arial" w:cs="Arial"/>
        </w:rPr>
      </w:pPr>
      <w:r w:rsidRPr="00A9353A">
        <w:rPr>
          <w:rFonts w:ascii="Arial" w:hAnsi="Arial" w:cs="Arial"/>
        </w:rPr>
        <w:lastRenderedPageBreak/>
        <w:t xml:space="preserve">Baršauskaitė, I., Roy, D., Paterson, M., &amp; Templeton, J. (2025). A Guide to the Global Agreement to End Plastic Pollution. In </w:t>
      </w:r>
      <w:r w:rsidRPr="00A9353A">
        <w:rPr>
          <w:rFonts w:ascii="Arial" w:hAnsi="Arial" w:cs="Arial"/>
          <w:i/>
          <w:iCs/>
        </w:rPr>
        <w:t>International Institute for Sustainable Development</w:t>
      </w:r>
      <w:r w:rsidRPr="00A9353A">
        <w:rPr>
          <w:rFonts w:ascii="Arial" w:hAnsi="Arial" w:cs="Arial"/>
        </w:rPr>
        <w:t>. https://www.iisd.org/system/files/2025-07/guide-to_global-agreement-end-plastic-pollution.pdf</w:t>
      </w:r>
    </w:p>
    <w:p w14:paraId="7BB38051"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Bertuzzi, M. A., Castro Vidaurre, E. F., Armada, M., &amp; Gottifredi, J. C. (2007). Water vapor permeability of edible starch based films. </w:t>
      </w:r>
      <w:r w:rsidRPr="00A9353A">
        <w:rPr>
          <w:rFonts w:ascii="Arial" w:hAnsi="Arial" w:cs="Arial"/>
          <w:i/>
          <w:iCs/>
        </w:rPr>
        <w:t>Journal of Food Engineering</w:t>
      </w:r>
      <w:r w:rsidRPr="00A9353A">
        <w:rPr>
          <w:rFonts w:ascii="Arial" w:hAnsi="Arial" w:cs="Arial"/>
        </w:rPr>
        <w:t xml:space="preserve">, </w:t>
      </w:r>
      <w:r w:rsidRPr="00A9353A">
        <w:rPr>
          <w:rFonts w:ascii="Arial" w:hAnsi="Arial" w:cs="Arial"/>
          <w:i/>
          <w:iCs/>
        </w:rPr>
        <w:t>80</w:t>
      </w:r>
      <w:r w:rsidRPr="00A9353A">
        <w:rPr>
          <w:rFonts w:ascii="Arial" w:hAnsi="Arial" w:cs="Arial"/>
        </w:rPr>
        <w:t>(3), 972–978. https://doi.org/10.1016/j.jfoodeng.2006.07.016</w:t>
      </w:r>
    </w:p>
    <w:p w14:paraId="304E940B"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BEWI. (2024). </w:t>
      </w:r>
      <w:r w:rsidRPr="00A9353A">
        <w:rPr>
          <w:rFonts w:ascii="Arial" w:hAnsi="Arial" w:cs="Arial"/>
          <w:i/>
          <w:iCs/>
        </w:rPr>
        <w:t>Understanding the EU Packaging and Packaging Waste Regulation (PPWR) proposal</w:t>
      </w:r>
      <w:r w:rsidRPr="00A9353A">
        <w:rPr>
          <w:rFonts w:ascii="Arial" w:hAnsi="Arial" w:cs="Arial"/>
        </w:rPr>
        <w:t>. BEWI. https://www.bewi.com/news/understanding-the-eu-packaging-and-packaging-waste-regulation-ppwr-proposal/</w:t>
      </w:r>
    </w:p>
    <w:p w14:paraId="5192442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Brooks, A. L., Wang, S., &amp; Jambeck, J. R. (2018). The Chinese Import Ban and Its Impact on Global Plastic Waste Trade. </w:t>
      </w:r>
      <w:r w:rsidRPr="00A9353A">
        <w:rPr>
          <w:rFonts w:ascii="Arial" w:hAnsi="Arial" w:cs="Arial"/>
          <w:i/>
          <w:iCs/>
        </w:rPr>
        <w:t>Science Advances</w:t>
      </w:r>
      <w:r w:rsidRPr="00A9353A">
        <w:rPr>
          <w:rFonts w:ascii="Arial" w:hAnsi="Arial" w:cs="Arial"/>
        </w:rPr>
        <w:t xml:space="preserve">, </w:t>
      </w:r>
      <w:r w:rsidRPr="00A9353A">
        <w:rPr>
          <w:rFonts w:ascii="Arial" w:hAnsi="Arial" w:cs="Arial"/>
          <w:i/>
          <w:iCs/>
        </w:rPr>
        <w:t>4</w:t>
      </w:r>
      <w:r w:rsidRPr="00A9353A">
        <w:rPr>
          <w:rFonts w:ascii="Arial" w:hAnsi="Arial" w:cs="Arial"/>
        </w:rPr>
        <w:t>(6). https://doi.org/10.1126/sciadv.aat0131</w:t>
      </w:r>
    </w:p>
    <w:p w14:paraId="734CB9E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Chamas, A., Moon, H., Zheng, J., Qiu, Y., Tabassum, T., Jang, J. H., Abu-Omar, M., Scott, S. L., &amp; Suh, S. (2020). Degradation rates of plastics in the environment. </w:t>
      </w:r>
      <w:r w:rsidRPr="00A9353A">
        <w:rPr>
          <w:rFonts w:ascii="Arial" w:hAnsi="Arial" w:cs="Arial"/>
          <w:i/>
          <w:iCs/>
        </w:rPr>
        <w:t>ACS Sustainable Chemistry &amp; Engineering</w:t>
      </w:r>
      <w:r w:rsidRPr="00A9353A">
        <w:rPr>
          <w:rFonts w:ascii="Arial" w:hAnsi="Arial" w:cs="Arial"/>
        </w:rPr>
        <w:t xml:space="preserve">, </w:t>
      </w:r>
      <w:r w:rsidRPr="00A9353A">
        <w:rPr>
          <w:rFonts w:ascii="Arial" w:hAnsi="Arial" w:cs="Arial"/>
          <w:i/>
          <w:iCs/>
        </w:rPr>
        <w:t>8</w:t>
      </w:r>
      <w:r w:rsidRPr="00A9353A">
        <w:rPr>
          <w:rFonts w:ascii="Arial" w:hAnsi="Arial" w:cs="Arial"/>
        </w:rPr>
        <w:t>(9), 3494–3511. https://doi.org/10.1021/acssuschemeng.9b06635</w:t>
      </w:r>
    </w:p>
    <w:p w14:paraId="61847575" w14:textId="4BAD4F5C" w:rsidR="008B360D" w:rsidRPr="00A9353A" w:rsidRDefault="008B360D" w:rsidP="008B360D">
      <w:pPr>
        <w:pStyle w:val="Body"/>
        <w:ind w:left="720" w:hanging="720"/>
        <w:rPr>
          <w:rFonts w:ascii="Arial" w:hAnsi="Arial" w:cs="Arial"/>
        </w:rPr>
      </w:pPr>
      <w:r w:rsidRPr="00A9353A">
        <w:rPr>
          <w:rFonts w:ascii="Arial" w:hAnsi="Arial" w:cs="Arial"/>
        </w:rPr>
        <w:t>Chamorro, A. F., Palencia, M., &amp; Lerma, T. A. (2025). Physicochemical Characteri</w:t>
      </w:r>
      <w:r w:rsidR="00EA13F2" w:rsidRPr="00A9353A">
        <w:rPr>
          <w:rFonts w:ascii="Arial" w:hAnsi="Arial" w:cs="Arial"/>
        </w:rPr>
        <w:t>s</w:t>
      </w:r>
      <w:r w:rsidRPr="00A9353A">
        <w:rPr>
          <w:rFonts w:ascii="Arial" w:hAnsi="Arial" w:cs="Arial"/>
        </w:rPr>
        <w:t xml:space="preserve">ation and Properties of Cassava Starch: A Review.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17</w:t>
      </w:r>
      <w:r w:rsidRPr="00A9353A">
        <w:rPr>
          <w:rFonts w:ascii="Arial" w:hAnsi="Arial" w:cs="Arial"/>
        </w:rPr>
        <w:t>(12), 1663. https://doi.org/10.3390/polym17121663</w:t>
      </w:r>
    </w:p>
    <w:p w14:paraId="319AFFAB"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Di Bartolo, A., Infurna, G., &amp; Dintcheva, N. T. (2021). A Review of Bioplastics and Their Adoption in the Circular Economy.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13</w:t>
      </w:r>
      <w:r w:rsidRPr="00A9353A">
        <w:rPr>
          <w:rFonts w:ascii="Arial" w:hAnsi="Arial" w:cs="Arial"/>
        </w:rPr>
        <w:t>(8), 1229. https://doi.org/10.3390/polym13081229</w:t>
      </w:r>
    </w:p>
    <w:p w14:paraId="224F07C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Dilshad, E., Waheed, H., Ali, U., Amin, A., &amp; Ahmed, I. (2021). General Structure and Classification of Bioplastics and Biodegradable Plastics. </w:t>
      </w:r>
      <w:r w:rsidRPr="00A9353A">
        <w:rPr>
          <w:rFonts w:ascii="Arial" w:hAnsi="Arial" w:cs="Arial"/>
          <w:i/>
          <w:iCs/>
        </w:rPr>
        <w:t>Bioplastics for Sustainable Development</w:t>
      </w:r>
      <w:r w:rsidRPr="00A9353A">
        <w:rPr>
          <w:rFonts w:ascii="Arial" w:hAnsi="Arial" w:cs="Arial"/>
        </w:rPr>
        <w:t>, 61–82. Springer. https://doi.org/10.1007/978-981-16-1823-9_2</w:t>
      </w:r>
    </w:p>
    <w:p w14:paraId="4CE95FA3"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Diyana, Z. N., Jumaidin, R., Selamat, M. Z., Ghazali, I., Julmohammad, N., Huda, N., &amp; Ilyas, R. A. (2021). Physical Properties of Thermoplastic Starch Derived from Natural Resources and Its Blends: A Review.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13</w:t>
      </w:r>
      <w:r w:rsidRPr="00A9353A">
        <w:rPr>
          <w:rFonts w:ascii="Arial" w:hAnsi="Arial" w:cs="Arial"/>
        </w:rPr>
        <w:t>(9), 1396. https://doi.org/10.3390/polym13091396</w:t>
      </w:r>
    </w:p>
    <w:p w14:paraId="3006D8F7"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Dokl, M., Copot, A., Krajnc, D., Fan, Y. V., Vujanović, A., Aviso, K. B., Tan, R. R., Kravanja, Z., &amp; Čuček, L. (2024). Global projections of plastic use, end-of-life fate and potential changes in consumption, reduction, recycling and replacement with bioplastics to 2050. </w:t>
      </w:r>
      <w:r w:rsidRPr="00A9353A">
        <w:rPr>
          <w:rFonts w:ascii="Arial" w:hAnsi="Arial" w:cs="Arial"/>
          <w:i/>
          <w:iCs/>
        </w:rPr>
        <w:t>Sustainable Production and Consumption</w:t>
      </w:r>
      <w:r w:rsidRPr="00A9353A">
        <w:rPr>
          <w:rFonts w:ascii="Arial" w:hAnsi="Arial" w:cs="Arial"/>
        </w:rPr>
        <w:t xml:space="preserve">, </w:t>
      </w:r>
      <w:r w:rsidRPr="00A9353A">
        <w:rPr>
          <w:rFonts w:ascii="Arial" w:hAnsi="Arial" w:cs="Arial"/>
          <w:i/>
          <w:iCs/>
        </w:rPr>
        <w:t>51</w:t>
      </w:r>
      <w:r w:rsidRPr="00A9353A">
        <w:rPr>
          <w:rFonts w:ascii="Arial" w:hAnsi="Arial" w:cs="Arial"/>
        </w:rPr>
        <w:t>, 498–518. https://doi.org/10.1016/j.spc.2024.09.025</w:t>
      </w:r>
    </w:p>
    <w:p w14:paraId="11BE5306"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Ellen MacArthur Foundation. (2022). </w:t>
      </w:r>
      <w:r w:rsidRPr="00A9353A">
        <w:rPr>
          <w:rFonts w:ascii="Arial" w:hAnsi="Arial" w:cs="Arial"/>
          <w:i/>
          <w:iCs/>
        </w:rPr>
        <w:t>Global Commitment 2022: Progress needs fresh acceleration as key target aimed at tackling plastic pollution set to be missed</w:t>
      </w:r>
      <w:r w:rsidRPr="00A9353A">
        <w:rPr>
          <w:rFonts w:ascii="Arial" w:hAnsi="Arial" w:cs="Arial"/>
        </w:rPr>
        <w:t>. Www.ellenmacarthurfoundation.org. https://www.ellenmacarthurfoundation.org/press-release-progress-needs-fresh-acceleration</w:t>
      </w:r>
    </w:p>
    <w:p w14:paraId="4D83D81C"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Ellen MacArthur Foundation. (2023). </w:t>
      </w:r>
      <w:r w:rsidRPr="00A9353A">
        <w:rPr>
          <w:rFonts w:ascii="Arial" w:hAnsi="Arial" w:cs="Arial"/>
          <w:i/>
          <w:iCs/>
        </w:rPr>
        <w:t>The Global Commitment: a common vision for a circular economy for plastics</w:t>
      </w:r>
      <w:r w:rsidRPr="00A9353A">
        <w:rPr>
          <w:rFonts w:ascii="Arial" w:hAnsi="Arial" w:cs="Arial"/>
        </w:rPr>
        <w:t>. Ellenmacarthurfoundation.org. https://www.ellenmacarthurfoundation.org/global-commitment/overview?utm_source=chatgpt.com</w:t>
      </w:r>
    </w:p>
    <w:p w14:paraId="56067639" w14:textId="77777777" w:rsidR="008B360D" w:rsidRPr="00A9353A" w:rsidRDefault="008B360D" w:rsidP="008B360D">
      <w:pPr>
        <w:pStyle w:val="Body"/>
        <w:ind w:left="720" w:hanging="720"/>
        <w:rPr>
          <w:rFonts w:ascii="Arial" w:hAnsi="Arial" w:cs="Arial"/>
        </w:rPr>
      </w:pPr>
      <w:r w:rsidRPr="00A9353A">
        <w:rPr>
          <w:rFonts w:ascii="Arial" w:hAnsi="Arial" w:cs="Arial"/>
        </w:rPr>
        <w:lastRenderedPageBreak/>
        <w:t xml:space="preserve">European Bioplastics. (2024). </w:t>
      </w:r>
      <w:r w:rsidRPr="00A9353A">
        <w:rPr>
          <w:rFonts w:ascii="Arial" w:hAnsi="Arial" w:cs="Arial"/>
          <w:i/>
          <w:iCs/>
        </w:rPr>
        <w:t>Bioplastics market development update 2024: Global production capacities of bioplastics 2024-2029</w:t>
      </w:r>
      <w:r w:rsidRPr="00A9353A">
        <w:rPr>
          <w:rFonts w:ascii="Arial" w:hAnsi="Arial" w:cs="Arial"/>
        </w:rPr>
        <w:t>. European Bioplastics E.V. https://www.european-bioplastics.org/market/</w:t>
      </w:r>
    </w:p>
    <w:p w14:paraId="50F2508F"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European Commission. (2018). </w:t>
      </w:r>
      <w:r w:rsidRPr="00A9353A">
        <w:rPr>
          <w:rFonts w:ascii="Arial" w:hAnsi="Arial" w:cs="Arial"/>
          <w:i/>
          <w:iCs/>
        </w:rPr>
        <w:t>Legal documents on the strategy for plastics in a circular economy</w:t>
      </w:r>
      <w:r w:rsidRPr="00A9353A">
        <w:rPr>
          <w:rFonts w:ascii="Arial" w:hAnsi="Arial" w:cs="Arial"/>
        </w:rPr>
        <w:t>. European Commission. https://commission.europa.eu/publications/legal-documents-strategy-plastics-circular-economy_en</w:t>
      </w:r>
    </w:p>
    <w:p w14:paraId="7B094E58"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European Union. (2022). </w:t>
      </w:r>
      <w:r w:rsidRPr="00A9353A">
        <w:rPr>
          <w:rFonts w:ascii="Arial" w:hAnsi="Arial" w:cs="Arial"/>
          <w:i/>
          <w:iCs/>
        </w:rPr>
        <w:t>Circular economy</w:t>
      </w:r>
      <w:r w:rsidRPr="00A9353A">
        <w:rPr>
          <w:rFonts w:ascii="Arial" w:hAnsi="Arial" w:cs="Arial"/>
        </w:rPr>
        <w:t>. Publications Office of the EU. https://op.europa.eu/en/publication-detail/-/publication/65f65729-709e-11ed-9887-01aa75ed71a1/language-en</w:t>
      </w:r>
    </w:p>
    <w:p w14:paraId="2F0F825A"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European Union External Action. (2025). </w:t>
      </w:r>
      <w:r w:rsidRPr="00A9353A">
        <w:rPr>
          <w:rFonts w:ascii="Arial" w:hAnsi="Arial" w:cs="Arial"/>
          <w:i/>
          <w:iCs/>
        </w:rPr>
        <w:t>Circular Economy: Commission welcomes Council final adoption of new rules on single-use plastics to reduce marine plastic litter</w:t>
      </w:r>
      <w:r w:rsidRPr="00A9353A">
        <w:rPr>
          <w:rFonts w:ascii="Arial" w:hAnsi="Arial" w:cs="Arial"/>
        </w:rPr>
        <w:t>. EEAS. https://www.eeas.europa.eu/node/63274_en</w:t>
      </w:r>
    </w:p>
    <w:p w14:paraId="01087E4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Fonseca, L. M., Gonçalves, J. R., El Halal, S. L. M., Pinto, V. Z., Dias, A. R. G., Jacques, A. C., &amp; Zavareze, E. da R. (2015). Oxidation of potato starch with different sodium hypochlorite concentrations and its effect on biodegradable films. </w:t>
      </w:r>
      <w:r w:rsidRPr="00A9353A">
        <w:rPr>
          <w:rFonts w:ascii="Arial" w:hAnsi="Arial" w:cs="Arial"/>
          <w:i/>
          <w:iCs/>
        </w:rPr>
        <w:t>LWT - Food Science and Technology</w:t>
      </w:r>
      <w:r w:rsidRPr="00A9353A">
        <w:rPr>
          <w:rFonts w:ascii="Arial" w:hAnsi="Arial" w:cs="Arial"/>
        </w:rPr>
        <w:t xml:space="preserve">, </w:t>
      </w:r>
      <w:r w:rsidRPr="00A9353A">
        <w:rPr>
          <w:rFonts w:ascii="Arial" w:hAnsi="Arial" w:cs="Arial"/>
          <w:i/>
          <w:iCs/>
        </w:rPr>
        <w:t>60</w:t>
      </w:r>
      <w:r w:rsidRPr="00A9353A">
        <w:rPr>
          <w:rFonts w:ascii="Arial" w:hAnsi="Arial" w:cs="Arial"/>
        </w:rPr>
        <w:t>(2), 714–720. https://doi.org/10.1016/j.lwt.2014.10.052</w:t>
      </w:r>
    </w:p>
    <w:p w14:paraId="3DE048FF"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Gesley, J. (2021). </w:t>
      </w:r>
      <w:r w:rsidRPr="00A9353A">
        <w:rPr>
          <w:rFonts w:ascii="Arial" w:hAnsi="Arial" w:cs="Arial"/>
          <w:i/>
          <w:iCs/>
        </w:rPr>
        <w:t>European Union: Ban on Single-Use Plastics Takes Effect</w:t>
      </w:r>
      <w:r w:rsidRPr="00A9353A">
        <w:rPr>
          <w:rFonts w:ascii="Arial" w:hAnsi="Arial" w:cs="Arial"/>
        </w:rPr>
        <w:t>. Library of Congress, Washington, D.C. 20540 USA. https://www.loc.gov/item/global-legal-monitor/2021-07-18/european-union-ban-on-single-use-plastics-takes-effect/</w:t>
      </w:r>
    </w:p>
    <w:p w14:paraId="605D401E"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Geyer, R., Jambeck, J. R., &amp; Law, K. L. (2017). Production, use, and fate of all plastics ever made. </w:t>
      </w:r>
      <w:r w:rsidRPr="00A9353A">
        <w:rPr>
          <w:rFonts w:ascii="Arial" w:hAnsi="Arial" w:cs="Arial"/>
          <w:i/>
          <w:iCs/>
        </w:rPr>
        <w:t>Science Advances</w:t>
      </w:r>
      <w:r w:rsidRPr="00A9353A">
        <w:rPr>
          <w:rFonts w:ascii="Arial" w:hAnsi="Arial" w:cs="Arial"/>
        </w:rPr>
        <w:t xml:space="preserve">, </w:t>
      </w:r>
      <w:r w:rsidRPr="00A9353A">
        <w:rPr>
          <w:rFonts w:ascii="Arial" w:hAnsi="Arial" w:cs="Arial"/>
          <w:i/>
          <w:iCs/>
        </w:rPr>
        <w:t>3</w:t>
      </w:r>
      <w:r w:rsidRPr="00A9353A">
        <w:rPr>
          <w:rFonts w:ascii="Arial" w:hAnsi="Arial" w:cs="Arial"/>
        </w:rPr>
        <w:t>(7). https://doi.org/10.1126/sciadv.1700782</w:t>
      </w:r>
    </w:p>
    <w:p w14:paraId="7471B043"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Goitom, H. (2017). </w:t>
      </w:r>
      <w:r w:rsidRPr="00A9353A">
        <w:rPr>
          <w:rFonts w:ascii="Arial" w:hAnsi="Arial" w:cs="Arial"/>
          <w:i/>
          <w:iCs/>
        </w:rPr>
        <w:t>Kenya: Notice Outlawing Plastic Bags Issued</w:t>
      </w:r>
      <w:r w:rsidRPr="00A9353A">
        <w:rPr>
          <w:rFonts w:ascii="Arial" w:hAnsi="Arial" w:cs="Arial"/>
        </w:rPr>
        <w:t>. Library of Congress, Washington, D.C. 20540 USA. https://www.loc.gov/item/global-legal-monitor/2017-03-31/kenya-notice-outlawing-plastic-bags-issued/</w:t>
      </w:r>
    </w:p>
    <w:p w14:paraId="4883F3B9"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Government of Canada. (2019). </w:t>
      </w:r>
      <w:r w:rsidRPr="00A9353A">
        <w:rPr>
          <w:rFonts w:ascii="Arial" w:hAnsi="Arial" w:cs="Arial"/>
          <w:i/>
          <w:iCs/>
        </w:rPr>
        <w:t>Proposed Roadmap to Extend the Life of Plastics in End-of-Use Electronics: Consultation document - Canada.ca</w:t>
      </w:r>
      <w:r w:rsidRPr="00A9353A">
        <w:rPr>
          <w:rFonts w:ascii="Arial" w:hAnsi="Arial" w:cs="Arial"/>
        </w:rPr>
        <w:t>. Canada.ca. https://www.canada.ca/en/environment-climate-change/services/managing-reducing-waste/consultations/roadmap-plastics-end-use-electronics/proposed-extend-life-plastics-end-use-electronics.html</w:t>
      </w:r>
    </w:p>
    <w:p w14:paraId="0929E3F1"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Government of Canada. (2021). </w:t>
      </w:r>
      <w:r w:rsidRPr="00A9353A">
        <w:rPr>
          <w:rFonts w:ascii="Arial" w:hAnsi="Arial" w:cs="Arial"/>
          <w:i/>
          <w:iCs/>
        </w:rPr>
        <w:t>Zero plastic waste: Canada’s actions</w:t>
      </w:r>
      <w:r w:rsidRPr="00A9353A">
        <w:rPr>
          <w:rFonts w:ascii="Arial" w:hAnsi="Arial" w:cs="Arial"/>
        </w:rPr>
        <w:t>. Www.canada.ca. https://www.canada.ca/en/environment-climate-change/services/managing-reducing-waste/reduce-plastic-waste/canada-action.html</w:t>
      </w:r>
    </w:p>
    <w:p w14:paraId="271A3EF6"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Gureser, G. (2025). </w:t>
      </w:r>
      <w:r w:rsidRPr="00A9353A">
        <w:rPr>
          <w:rFonts w:ascii="Arial" w:hAnsi="Arial" w:cs="Arial"/>
          <w:i/>
          <w:iCs/>
        </w:rPr>
        <w:t>The Plastics Pollution Point: Strategic Pathways for Global Business and Policy</w:t>
      </w:r>
      <w:r w:rsidRPr="00A9353A">
        <w:rPr>
          <w:rFonts w:ascii="Arial" w:hAnsi="Arial" w:cs="Arial"/>
        </w:rPr>
        <w:t>. Carbonze. https://www.carbonze.com/post/global-plasticspollution-outlook-oecd-2060</w:t>
      </w:r>
    </w:p>
    <w:p w14:paraId="34EE35DD"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Hilary, L. N., Sultana, S., Islam, Z., Sarker, Md. K. U., Abedin, Md. J., &amp; Haque, M. M. (2021). Recycling of waste poly(vinyl chloride) fill materials to produce new polymer composites with propylene glycol plasticizer and waste sawdust of Albizia lebbeck wood. </w:t>
      </w:r>
      <w:r w:rsidRPr="00A9353A">
        <w:rPr>
          <w:rFonts w:ascii="Arial" w:hAnsi="Arial" w:cs="Arial"/>
          <w:i/>
          <w:iCs/>
        </w:rPr>
        <w:t>Current Research in Green and Sustainable Chemistry</w:t>
      </w:r>
      <w:r w:rsidRPr="00A9353A">
        <w:rPr>
          <w:rFonts w:ascii="Arial" w:hAnsi="Arial" w:cs="Arial"/>
        </w:rPr>
        <w:t xml:space="preserve">, </w:t>
      </w:r>
      <w:r w:rsidRPr="00A9353A">
        <w:rPr>
          <w:rFonts w:ascii="Arial" w:hAnsi="Arial" w:cs="Arial"/>
          <w:i/>
          <w:iCs/>
        </w:rPr>
        <w:t>4</w:t>
      </w:r>
      <w:r w:rsidRPr="00A9353A">
        <w:rPr>
          <w:rFonts w:ascii="Arial" w:hAnsi="Arial" w:cs="Arial"/>
        </w:rPr>
        <w:t>, 100221. https://doi.org/10.1016/j.crgsc.2021.100221</w:t>
      </w:r>
    </w:p>
    <w:p w14:paraId="3195389A"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India Briefing. (2022). </w:t>
      </w:r>
      <w:r w:rsidRPr="00A9353A">
        <w:rPr>
          <w:rFonts w:ascii="Arial" w:hAnsi="Arial" w:cs="Arial"/>
          <w:i/>
          <w:iCs/>
        </w:rPr>
        <w:t>Single Use Plastic Ban in India from July 1, 2022: Key Points</w:t>
      </w:r>
      <w:r w:rsidRPr="00A9353A">
        <w:rPr>
          <w:rFonts w:ascii="Arial" w:hAnsi="Arial" w:cs="Arial"/>
        </w:rPr>
        <w:t>. India Briefing News. https://india-briefing.com/news/india-new-plastic-waste-management-rules-single-use-plastic-ban-effective-from-july-1-2022-25398.html/</w:t>
      </w:r>
    </w:p>
    <w:p w14:paraId="44A93334" w14:textId="77777777" w:rsidR="008B360D" w:rsidRPr="00A9353A" w:rsidRDefault="008B360D" w:rsidP="008B360D">
      <w:pPr>
        <w:pStyle w:val="Body"/>
        <w:ind w:left="720" w:hanging="720"/>
        <w:rPr>
          <w:rFonts w:ascii="Arial" w:hAnsi="Arial" w:cs="Arial"/>
        </w:rPr>
      </w:pPr>
      <w:r w:rsidRPr="00A9353A">
        <w:rPr>
          <w:rFonts w:ascii="Arial" w:hAnsi="Arial" w:cs="Arial"/>
        </w:rPr>
        <w:lastRenderedPageBreak/>
        <w:t xml:space="preserve">International Energy Agency. (2018). </w:t>
      </w:r>
      <w:r w:rsidRPr="00A9353A">
        <w:rPr>
          <w:rFonts w:ascii="Arial" w:hAnsi="Arial" w:cs="Arial"/>
          <w:i/>
          <w:iCs/>
        </w:rPr>
        <w:t>Roadmap on plastic waste management (2018-2030)</w:t>
      </w:r>
      <w:r w:rsidRPr="00A9353A">
        <w:rPr>
          <w:rFonts w:ascii="Arial" w:hAnsi="Arial" w:cs="Arial"/>
        </w:rPr>
        <w:t>. International Energy Agency (IEA). https://www.iea.org/policies/26016-roadmap-on-plastic-waste-management-2018-2030</w:t>
      </w:r>
    </w:p>
    <w:p w14:paraId="2A1E21C4"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International Institute for Sustainable Development (IISD). (2022). </w:t>
      </w:r>
      <w:r w:rsidRPr="00A9353A">
        <w:rPr>
          <w:rFonts w:ascii="Arial" w:hAnsi="Arial" w:cs="Arial"/>
          <w:i/>
          <w:iCs/>
        </w:rPr>
        <w:t>Global Outlook Details Scenarios to Decrease Plastic Pollution by 2060</w:t>
      </w:r>
      <w:r w:rsidRPr="00A9353A">
        <w:rPr>
          <w:rFonts w:ascii="Arial" w:hAnsi="Arial" w:cs="Arial"/>
        </w:rPr>
        <w:t>. SDG Knowledge Hub. https://sdg.iisd.org/news/global-outlook-details-scenarios-to-decrease-plastic-pollution-by-2060/</w:t>
      </w:r>
    </w:p>
    <w:p w14:paraId="610227CE"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Invest India. (2022). </w:t>
      </w:r>
      <w:r w:rsidRPr="00A9353A">
        <w:rPr>
          <w:rFonts w:ascii="Arial" w:hAnsi="Arial" w:cs="Arial"/>
          <w:i/>
          <w:iCs/>
        </w:rPr>
        <w:t>Understanding the Plastic Waste Management (Amendment) Rules, ...</w:t>
      </w:r>
      <w:r w:rsidRPr="00A9353A">
        <w:rPr>
          <w:rFonts w:ascii="Arial" w:hAnsi="Arial" w:cs="Arial"/>
        </w:rPr>
        <w:t xml:space="preserve"> Www.investindia.gov.in. https://www.investindia.gov.in/team-india-blogs/understanding-plastic-waste-management-amendment-rules-2022</w:t>
      </w:r>
    </w:p>
    <w:p w14:paraId="2ABDEE3E"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Jambeck, J. R., Geyer, R., Wilcox, C., Siegler, T. R., Perryman, M., Andrady, A., Narayan, R., &amp; Law, K. L. (2015). Plastic Waste Inputs from Land into the Ocean. </w:t>
      </w:r>
      <w:r w:rsidRPr="00A9353A">
        <w:rPr>
          <w:rFonts w:ascii="Arial" w:hAnsi="Arial" w:cs="Arial"/>
          <w:i/>
          <w:iCs/>
        </w:rPr>
        <w:t>Science</w:t>
      </w:r>
      <w:r w:rsidRPr="00A9353A">
        <w:rPr>
          <w:rFonts w:ascii="Arial" w:hAnsi="Arial" w:cs="Arial"/>
        </w:rPr>
        <w:t xml:space="preserve">, </w:t>
      </w:r>
      <w:r w:rsidRPr="00A9353A">
        <w:rPr>
          <w:rFonts w:ascii="Arial" w:hAnsi="Arial" w:cs="Arial"/>
          <w:i/>
          <w:iCs/>
        </w:rPr>
        <w:t>347</w:t>
      </w:r>
      <w:r w:rsidRPr="00A9353A">
        <w:rPr>
          <w:rFonts w:ascii="Arial" w:hAnsi="Arial" w:cs="Arial"/>
        </w:rPr>
        <w:t>(6223), 768–771. https://doi.org/10.1126/science.1260352</w:t>
      </w:r>
    </w:p>
    <w:p w14:paraId="53698349"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Jamoh, B. (2021). </w:t>
      </w:r>
      <w:r w:rsidRPr="00A9353A">
        <w:rPr>
          <w:rFonts w:ascii="Arial" w:hAnsi="Arial" w:cs="Arial"/>
          <w:i/>
          <w:iCs/>
        </w:rPr>
        <w:t>Understanding NIMASA’s marine litters and micro plastic action plan</w:t>
      </w:r>
      <w:r w:rsidRPr="00A9353A">
        <w:rPr>
          <w:rFonts w:ascii="Arial" w:hAnsi="Arial" w:cs="Arial"/>
        </w:rPr>
        <w:t>. The Guardian Nigeria News - Nigeria and World News. https://guardian.ng/business-services/understanding-nimasas-marine-litters-and-micro-plastic-action-plan/?utm</w:t>
      </w:r>
    </w:p>
    <w:p w14:paraId="11DE5B4B"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Lackner, M. (2015). Bioplastics. </w:t>
      </w:r>
      <w:r w:rsidRPr="00A9353A">
        <w:rPr>
          <w:rFonts w:ascii="Arial" w:hAnsi="Arial" w:cs="Arial"/>
          <w:i/>
          <w:iCs/>
        </w:rPr>
        <w:t>Kirk-Othmer Encyclopedia of Chemical Technology</w:t>
      </w:r>
      <w:r w:rsidRPr="00A9353A">
        <w:rPr>
          <w:rFonts w:ascii="Arial" w:hAnsi="Arial" w:cs="Arial"/>
        </w:rPr>
        <w:t>, 1–41. https://doi.org/10.1002/0471238961.koe00006</w:t>
      </w:r>
    </w:p>
    <w:p w14:paraId="1A61029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Lau, W. W. Y., Shiran, Y., Bailey, R. M., Cook, E., Stuchtey, M. R., Koskella, J., Velis, C. A., Godfrey, L., Boucher, J., Murphy, M. B., Thompson, R. C., Jankowska, E., Castillo, A. C., Pilditch, T. D., Dixon, B., Koerselman, L., Kosior, E., Favoino, E., Gutberlet, J., &amp; Baulch, S. (2020). Evaluating scenarios toward zero plastic pollution. </w:t>
      </w:r>
      <w:r w:rsidRPr="00A9353A">
        <w:rPr>
          <w:rFonts w:ascii="Arial" w:hAnsi="Arial" w:cs="Arial"/>
          <w:i/>
          <w:iCs/>
        </w:rPr>
        <w:t>Science</w:t>
      </w:r>
      <w:r w:rsidRPr="00A9353A">
        <w:rPr>
          <w:rFonts w:ascii="Arial" w:hAnsi="Arial" w:cs="Arial"/>
        </w:rPr>
        <w:t xml:space="preserve">, </w:t>
      </w:r>
      <w:r w:rsidRPr="00A9353A">
        <w:rPr>
          <w:rFonts w:ascii="Arial" w:hAnsi="Arial" w:cs="Arial"/>
          <w:i/>
          <w:iCs/>
        </w:rPr>
        <w:t>369</w:t>
      </w:r>
      <w:r w:rsidRPr="00A9353A">
        <w:rPr>
          <w:rFonts w:ascii="Arial" w:hAnsi="Arial" w:cs="Arial"/>
        </w:rPr>
        <w:t>(6510), 1455–1461. Science. https://doi.org/10.1126/science.aba9475</w:t>
      </w:r>
    </w:p>
    <w:p w14:paraId="16AC68F8"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Lebreton, L., Slat, S., Ferrari, F., Sainte-Rose, B., Aitken, J., Marthouse, R., Hajbane, S., Cunsolo, S., Schwarz, A., Levivier, A., Noble, K., Debeljak, P., Maral, H., Schoeneich-Argent, R., Brambini, R., &amp; Reisser, J. (2018). Evidence that the Great Pacific Garbage Patch is rapidly accumulating plastic. </w:t>
      </w:r>
      <w:r w:rsidRPr="00A9353A">
        <w:rPr>
          <w:rFonts w:ascii="Arial" w:hAnsi="Arial" w:cs="Arial"/>
          <w:i/>
          <w:iCs/>
        </w:rPr>
        <w:t>Scientific Reports</w:t>
      </w:r>
      <w:r w:rsidRPr="00A9353A">
        <w:rPr>
          <w:rFonts w:ascii="Arial" w:hAnsi="Arial" w:cs="Arial"/>
        </w:rPr>
        <w:t xml:space="preserve">, </w:t>
      </w:r>
      <w:r w:rsidRPr="00A9353A">
        <w:rPr>
          <w:rFonts w:ascii="Arial" w:hAnsi="Arial" w:cs="Arial"/>
          <w:i/>
          <w:iCs/>
        </w:rPr>
        <w:t>8</w:t>
      </w:r>
      <w:r w:rsidRPr="00A9353A">
        <w:rPr>
          <w:rFonts w:ascii="Arial" w:hAnsi="Arial" w:cs="Arial"/>
        </w:rPr>
        <w:t>(1). https://doi.org/10.1038/s41598-018-22939-w</w:t>
      </w:r>
    </w:p>
    <w:p w14:paraId="6F43A1F8"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Li, B., &amp; Mu, Y. (2024). Impact of China’s National Sword Policy on Waste Import Margins: A Difference-in-Differences Approach. </w:t>
      </w:r>
      <w:r w:rsidRPr="00A9353A">
        <w:rPr>
          <w:rFonts w:ascii="Arial" w:hAnsi="Arial" w:cs="Arial"/>
          <w:i/>
          <w:iCs/>
        </w:rPr>
        <w:t>Sustainability (Basel)</w:t>
      </w:r>
      <w:r w:rsidRPr="00A9353A">
        <w:rPr>
          <w:rFonts w:ascii="Arial" w:hAnsi="Arial" w:cs="Arial"/>
        </w:rPr>
        <w:t xml:space="preserve">, </w:t>
      </w:r>
      <w:r w:rsidRPr="00A9353A">
        <w:rPr>
          <w:rFonts w:ascii="Arial" w:hAnsi="Arial" w:cs="Arial"/>
          <w:i/>
          <w:iCs/>
        </w:rPr>
        <w:t>16</w:t>
      </w:r>
      <w:r w:rsidRPr="00A9353A">
        <w:rPr>
          <w:rFonts w:ascii="Arial" w:hAnsi="Arial" w:cs="Arial"/>
        </w:rPr>
        <w:t>(2), 776–776. https://doi.org/10.3390/su16020776</w:t>
      </w:r>
    </w:p>
    <w:p w14:paraId="10A9A9EC"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Lin, C., Paengsri, P., &amp; Yang, Y. (2023). Impact of China’s National Sword Policy on waste import: A difference-in-differences approach. </w:t>
      </w:r>
      <w:r w:rsidRPr="00A9353A">
        <w:rPr>
          <w:rFonts w:ascii="Arial" w:hAnsi="Arial" w:cs="Arial"/>
          <w:i/>
          <w:iCs/>
        </w:rPr>
        <w:t>Economic Analysis and Policy</w:t>
      </w:r>
      <w:r w:rsidRPr="00A9353A">
        <w:rPr>
          <w:rFonts w:ascii="Arial" w:hAnsi="Arial" w:cs="Arial"/>
        </w:rPr>
        <w:t xml:space="preserve">, </w:t>
      </w:r>
      <w:r w:rsidRPr="00A9353A">
        <w:rPr>
          <w:rFonts w:ascii="Arial" w:hAnsi="Arial" w:cs="Arial"/>
          <w:i/>
          <w:iCs/>
        </w:rPr>
        <w:t>78</w:t>
      </w:r>
      <w:r w:rsidRPr="00A9353A">
        <w:rPr>
          <w:rFonts w:ascii="Arial" w:hAnsi="Arial" w:cs="Arial"/>
        </w:rPr>
        <w:t>. https://doi.org/10.1016/j.eap.2023.04.033</w:t>
      </w:r>
    </w:p>
    <w:p w14:paraId="57E87BE7"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Ministry of Environment, Science, Technology and Innovation (MESTI). (2020). </w:t>
      </w:r>
      <w:r w:rsidRPr="00A9353A">
        <w:rPr>
          <w:rFonts w:ascii="Arial" w:hAnsi="Arial" w:cs="Arial"/>
          <w:i/>
          <w:iCs/>
        </w:rPr>
        <w:t>National Plastic Management Policy. Accra: Government of Ghana</w:t>
      </w:r>
      <w:r w:rsidRPr="00A9353A">
        <w:rPr>
          <w:rFonts w:ascii="Arial" w:hAnsi="Arial" w:cs="Arial"/>
        </w:rPr>
        <w:t>. Ministry of Environment, Science, Technology and Innovation (MESTI).</w:t>
      </w:r>
    </w:p>
    <w:p w14:paraId="0CE63D77"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Ministry of the Environment Japan. (2022). </w:t>
      </w:r>
      <w:r w:rsidRPr="00A9353A">
        <w:rPr>
          <w:rFonts w:ascii="Arial" w:hAnsi="Arial" w:cs="Arial"/>
          <w:i/>
          <w:iCs/>
        </w:rPr>
        <w:t>Plastic Resource Circulation Strategy</w:t>
      </w:r>
      <w:r w:rsidRPr="00A9353A">
        <w:rPr>
          <w:rFonts w:ascii="Arial" w:hAnsi="Arial" w:cs="Arial"/>
        </w:rPr>
        <w:t>. Tokyo: Government of Japan. https://www.env.go.jp/en/recycle/plastic/strategy.html</w:t>
      </w:r>
    </w:p>
    <w:p w14:paraId="77D0AAF6"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NCM. (2020). Executive Summary: Possible elements of a new global agreement to prevent plastic pollution. In </w:t>
      </w:r>
      <w:r w:rsidRPr="00A9353A">
        <w:rPr>
          <w:rFonts w:ascii="Arial" w:hAnsi="Arial" w:cs="Arial"/>
          <w:i/>
          <w:iCs/>
        </w:rPr>
        <w:t>Nordic Council of Ministers</w:t>
      </w:r>
      <w:r w:rsidRPr="00A9353A">
        <w:rPr>
          <w:rFonts w:ascii="Arial" w:hAnsi="Arial" w:cs="Arial"/>
        </w:rPr>
        <w:t>. https://norden.diva-portal.org/smash/get/diva2:1481924/FULLTEXT01.pdf</w:t>
      </w:r>
    </w:p>
    <w:p w14:paraId="1B3B8A11" w14:textId="77777777" w:rsidR="008B360D" w:rsidRPr="00A9353A" w:rsidRDefault="008B360D" w:rsidP="008B360D">
      <w:pPr>
        <w:pStyle w:val="Body"/>
        <w:ind w:left="720" w:hanging="720"/>
        <w:rPr>
          <w:rFonts w:ascii="Arial" w:hAnsi="Arial" w:cs="Arial"/>
        </w:rPr>
      </w:pPr>
      <w:r w:rsidRPr="00A9353A">
        <w:rPr>
          <w:rFonts w:ascii="Arial" w:hAnsi="Arial" w:cs="Arial"/>
        </w:rPr>
        <w:lastRenderedPageBreak/>
        <w:t xml:space="preserve">Ncube, L. K., Ude, A. U., Ogunmuyiwa, E. N., Zulkifli, R., &amp; Beas, I. N. (2021). An overview of plastic waste generation and management in food packaging industries. </w:t>
      </w:r>
      <w:r w:rsidRPr="00A9353A">
        <w:rPr>
          <w:rFonts w:ascii="Arial" w:hAnsi="Arial" w:cs="Arial"/>
          <w:i/>
          <w:iCs/>
        </w:rPr>
        <w:t>Recycling</w:t>
      </w:r>
      <w:r w:rsidRPr="00A9353A">
        <w:rPr>
          <w:rFonts w:ascii="Arial" w:hAnsi="Arial" w:cs="Arial"/>
        </w:rPr>
        <w:t xml:space="preserve">, </w:t>
      </w:r>
      <w:r w:rsidRPr="00A9353A">
        <w:rPr>
          <w:rFonts w:ascii="Arial" w:hAnsi="Arial" w:cs="Arial"/>
          <w:i/>
          <w:iCs/>
        </w:rPr>
        <w:t>6</w:t>
      </w:r>
      <w:r w:rsidRPr="00A9353A">
        <w:rPr>
          <w:rFonts w:ascii="Arial" w:hAnsi="Arial" w:cs="Arial"/>
        </w:rPr>
        <w:t>(1), 12. https://doi.org/10.3390/recycling6010012</w:t>
      </w:r>
    </w:p>
    <w:p w14:paraId="562C7AD4"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OECD. (2022). </w:t>
      </w:r>
      <w:r w:rsidRPr="00A9353A">
        <w:rPr>
          <w:rFonts w:ascii="Arial" w:hAnsi="Arial" w:cs="Arial"/>
          <w:i/>
          <w:iCs/>
        </w:rPr>
        <w:t>Global plastic waste set to almost triple by 2060, says OECD</w:t>
      </w:r>
      <w:r w:rsidRPr="00A9353A">
        <w:rPr>
          <w:rFonts w:ascii="Arial" w:hAnsi="Arial" w:cs="Arial"/>
        </w:rPr>
        <w:t>. OECD. https://www.oecd.org/en/about/news/press-releases/2022/06/global-plastic-waste-set-to-almost-triple-by-2060.html</w:t>
      </w:r>
    </w:p>
    <w:p w14:paraId="0370E9E4"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OECD. (2023). </w:t>
      </w:r>
      <w:r w:rsidRPr="00A9353A">
        <w:rPr>
          <w:rFonts w:ascii="Arial" w:hAnsi="Arial" w:cs="Arial"/>
          <w:i/>
          <w:iCs/>
        </w:rPr>
        <w:t>Global Plastics Outlook - Plastics waste by region and end-of-life fate. Processed by Our World in Data. “Annual plastic waste by disposal method, World, 2000 to 2019”.</w:t>
      </w:r>
      <w:r w:rsidRPr="00A9353A">
        <w:rPr>
          <w:rFonts w:ascii="Arial" w:hAnsi="Arial" w:cs="Arial"/>
        </w:rPr>
        <w:t xml:space="preserve"> Our World in Data. https://ourworldindata.org/grapher/plastic-fate</w:t>
      </w:r>
    </w:p>
    <w:p w14:paraId="1DC97F43"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OECD. (2024). </w:t>
      </w:r>
      <w:r w:rsidRPr="00A9353A">
        <w:rPr>
          <w:rFonts w:ascii="Arial" w:hAnsi="Arial" w:cs="Arial"/>
          <w:i/>
          <w:iCs/>
        </w:rPr>
        <w:t>Policy Scenarios for Eliminating Plastic Pollution by 2040. OECD Environment Policy Papers</w:t>
      </w:r>
      <w:r w:rsidRPr="00A9353A">
        <w:rPr>
          <w:rFonts w:ascii="Arial" w:hAnsi="Arial" w:cs="Arial"/>
        </w:rPr>
        <w:t xml:space="preserve"> (Vol. 34). https://doi.org/10.1787/76400890-en</w:t>
      </w:r>
    </w:p>
    <w:p w14:paraId="38C213CF" w14:textId="10B8AF1B" w:rsidR="008B360D" w:rsidRPr="00A9353A" w:rsidRDefault="008B360D" w:rsidP="008B360D">
      <w:pPr>
        <w:pStyle w:val="Body"/>
        <w:ind w:left="720" w:hanging="720"/>
        <w:rPr>
          <w:rFonts w:ascii="Arial" w:hAnsi="Arial" w:cs="Arial"/>
        </w:rPr>
      </w:pPr>
      <w:r w:rsidRPr="00A9353A">
        <w:rPr>
          <w:rFonts w:ascii="Arial" w:hAnsi="Arial" w:cs="Arial"/>
        </w:rPr>
        <w:t>Omoike, B. A., Okieimen, F. E., Imoisi, C., &amp; Abubakar, M. A. (2024). Characteri</w:t>
      </w:r>
      <w:r w:rsidR="00EA13F2" w:rsidRPr="00A9353A">
        <w:rPr>
          <w:rFonts w:ascii="Arial" w:hAnsi="Arial" w:cs="Arial"/>
        </w:rPr>
        <w:t>s</w:t>
      </w:r>
      <w:r w:rsidRPr="00A9353A">
        <w:rPr>
          <w:rFonts w:ascii="Arial" w:hAnsi="Arial" w:cs="Arial"/>
        </w:rPr>
        <w:t>ation and Evaluation of Properties of Cassava Starch/</w:t>
      </w:r>
      <w:proofErr w:type="gramStart"/>
      <w:r w:rsidRPr="00A9353A">
        <w:rPr>
          <w:rFonts w:ascii="Arial" w:hAnsi="Arial" w:cs="Arial"/>
        </w:rPr>
        <w:t>Poly(</w:t>
      </w:r>
      <w:proofErr w:type="gramEnd"/>
      <w:r w:rsidRPr="00A9353A">
        <w:rPr>
          <w:rFonts w:ascii="Arial" w:hAnsi="Arial" w:cs="Arial"/>
        </w:rPr>
        <w:t xml:space="preserve">Vinyl Alcohol) Films for Food and Pharmaceutical Packaging Applications. Singapore Journal of Scientific Research, 14(1), 34–42. </w:t>
      </w:r>
      <w:hyperlink r:id="rId27" w:history="1">
        <w:r w:rsidRPr="00A9353A">
          <w:rPr>
            <w:rStyle w:val="Hyperlink"/>
            <w:rFonts w:ascii="Arial" w:hAnsi="Arial" w:cs="Arial"/>
          </w:rPr>
          <w:t>https://doi.org/10.3923/sjsr.2024.34.42</w:t>
        </w:r>
      </w:hyperlink>
    </w:p>
    <w:p w14:paraId="5623DFFE" w14:textId="2FFA84B6" w:rsidR="008B360D" w:rsidRPr="00A9353A" w:rsidRDefault="008B360D" w:rsidP="008B360D">
      <w:pPr>
        <w:pStyle w:val="Body"/>
        <w:ind w:left="720" w:hanging="720"/>
        <w:rPr>
          <w:rFonts w:ascii="Arial" w:hAnsi="Arial" w:cs="Arial"/>
        </w:rPr>
      </w:pPr>
      <w:r w:rsidRPr="00A9353A">
        <w:rPr>
          <w:rFonts w:ascii="Arial" w:hAnsi="Arial" w:cs="Arial"/>
        </w:rPr>
        <w:t xml:space="preserve">Osamu, S. (2022). </w:t>
      </w:r>
      <w:r w:rsidRPr="00A9353A">
        <w:rPr>
          <w:rFonts w:ascii="Arial" w:hAnsi="Arial" w:cs="Arial"/>
          <w:i/>
          <w:iCs/>
        </w:rPr>
        <w:t xml:space="preserve">Concerning the Act on Promotion of Resource Circulation for Plastics </w:t>
      </w:r>
      <w:r w:rsidRPr="00A9353A">
        <w:rPr>
          <w:rFonts w:ascii="Arial" w:hAnsi="Arial" w:cs="Arial"/>
        </w:rPr>
        <w:t>. Www.gov-Online.go.jp. https://www.gov-online.go.jp/eng/publicity/book/hlj/html/202205/202205_09_en.html</w:t>
      </w:r>
    </w:p>
    <w:p w14:paraId="3954E50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Our World in Data. (2019). </w:t>
      </w:r>
      <w:r w:rsidRPr="00A9353A">
        <w:rPr>
          <w:rFonts w:ascii="Arial" w:hAnsi="Arial" w:cs="Arial"/>
          <w:i/>
          <w:iCs/>
        </w:rPr>
        <w:t>Global Plastics Production. Part of the following publication: Hannah Ritchie, Veronika Samborska, and Max Roser (2023) - “Plastic Pollution”. Data adapted from Geyer et al., OECD</w:t>
      </w:r>
      <w:r w:rsidRPr="00A9353A">
        <w:rPr>
          <w:rFonts w:ascii="Arial" w:hAnsi="Arial" w:cs="Arial"/>
        </w:rPr>
        <w:t>. Our World in Data. https://ourworldindata.org/grapher/global-plastics-production</w:t>
      </w:r>
    </w:p>
    <w:p w14:paraId="08E2D12E"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Ozibo, R. (2025). </w:t>
      </w:r>
      <w:r w:rsidRPr="00A9353A">
        <w:rPr>
          <w:rFonts w:ascii="Arial" w:hAnsi="Arial" w:cs="Arial"/>
          <w:i/>
          <w:iCs/>
        </w:rPr>
        <w:t>Lagos State to begin full enforcement of single use plastics ban from July 1</w:t>
      </w:r>
      <w:r w:rsidRPr="00A9353A">
        <w:rPr>
          <w:rFonts w:ascii="Arial" w:hAnsi="Arial" w:cs="Arial"/>
        </w:rPr>
        <w:t>. Nairametrics. https://nairametrics.com/2025/05/19/lagos-state-to-begin-full-enforcement-of-single-use-plastics-ban-from-july-1/</w:t>
      </w:r>
    </w:p>
    <w:p w14:paraId="007F757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Pires, J. R. A., Souza, V. G. L., Fuciños, P., Pastrana, L., &amp; Fernando, A. L. (2022). Methodologies to Assess the Biodegradability of Bio-Based Polymers—Current Knowledge and Existing Gaps.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14</w:t>
      </w:r>
      <w:r w:rsidRPr="00A9353A">
        <w:rPr>
          <w:rFonts w:ascii="Arial" w:hAnsi="Arial" w:cs="Arial"/>
        </w:rPr>
        <w:t>(7), 1359. https://doi.org/10.3390/polym14071359</w:t>
      </w:r>
    </w:p>
    <w:p w14:paraId="34C9AF4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Plastics Europe. (2019). </w:t>
      </w:r>
      <w:r w:rsidRPr="00A9353A">
        <w:rPr>
          <w:rFonts w:ascii="Arial" w:hAnsi="Arial" w:cs="Arial"/>
          <w:i/>
          <w:iCs/>
        </w:rPr>
        <w:t>Plastics - the Facts 2019</w:t>
      </w:r>
      <w:r w:rsidRPr="00A9353A">
        <w:rPr>
          <w:rFonts w:ascii="Arial" w:hAnsi="Arial" w:cs="Arial"/>
        </w:rPr>
        <w:t>. Plastics Europe. https://plasticseurope.org/knowledge-hub/plastics-the-facts-2019/</w:t>
      </w:r>
    </w:p>
    <w:p w14:paraId="3855B286"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Plastics Europe. (2022). </w:t>
      </w:r>
      <w:r w:rsidRPr="00A9353A">
        <w:rPr>
          <w:rFonts w:ascii="Arial" w:hAnsi="Arial" w:cs="Arial"/>
          <w:i/>
          <w:iCs/>
        </w:rPr>
        <w:t>ReShaping Plastics: Pathways to a Circular, Climate Neutral Plastics System in Europe</w:t>
      </w:r>
      <w:r w:rsidRPr="00A9353A">
        <w:rPr>
          <w:rFonts w:ascii="Arial" w:hAnsi="Arial" w:cs="Arial"/>
        </w:rPr>
        <w:t>. Plastics Europe. https://plasticseurope.org/changingplasticsforgood/reshaping-plastics/</w:t>
      </w:r>
    </w:p>
    <w:p w14:paraId="4AAE967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Raubenheimer, K., &amp; Urho, N. (2020). Rethinking Global Governance of Plastics – the Role of Industry. </w:t>
      </w:r>
      <w:r w:rsidRPr="00A9353A">
        <w:rPr>
          <w:rFonts w:ascii="Arial" w:hAnsi="Arial" w:cs="Arial"/>
          <w:i/>
          <w:iCs/>
        </w:rPr>
        <w:t>Marine Policy</w:t>
      </w:r>
      <w:r w:rsidRPr="00A9353A">
        <w:rPr>
          <w:rFonts w:ascii="Arial" w:hAnsi="Arial" w:cs="Arial"/>
        </w:rPr>
        <w:t xml:space="preserve">, </w:t>
      </w:r>
      <w:r w:rsidRPr="00A9353A">
        <w:rPr>
          <w:rFonts w:ascii="Arial" w:hAnsi="Arial" w:cs="Arial"/>
          <w:i/>
          <w:iCs/>
        </w:rPr>
        <w:t>113</w:t>
      </w:r>
      <w:r w:rsidRPr="00A9353A">
        <w:rPr>
          <w:rFonts w:ascii="Arial" w:hAnsi="Arial" w:cs="Arial"/>
        </w:rPr>
        <w:t>, 103802. https://doi.org/10.1016/j.marpol.2019.103802</w:t>
      </w:r>
    </w:p>
    <w:p w14:paraId="26CEEB8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Republic of South Africa DFFE. (2021). </w:t>
      </w:r>
      <w:r w:rsidRPr="00A9353A">
        <w:rPr>
          <w:rFonts w:ascii="Arial" w:hAnsi="Arial" w:cs="Arial"/>
          <w:i/>
          <w:iCs/>
        </w:rPr>
        <w:t>Registration in terms of the: Regulations regarding extended producer responsibility, 2020</w:t>
      </w:r>
      <w:r w:rsidRPr="00A9353A">
        <w:rPr>
          <w:rFonts w:ascii="Arial" w:hAnsi="Arial" w:cs="Arial"/>
        </w:rPr>
        <w:t>. Department of Forestry, Fisheries and the Environment (DFFE). https://www.dffe.gov.za/registration-terms-regulations-regarding-extended-producer-responsibility-2020</w:t>
      </w:r>
    </w:p>
    <w:p w14:paraId="6B2DAE5E"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Segalla, G. (2022). </w:t>
      </w:r>
      <w:r w:rsidRPr="00A9353A">
        <w:rPr>
          <w:rFonts w:ascii="Arial" w:hAnsi="Arial" w:cs="Arial"/>
          <w:i/>
          <w:iCs/>
        </w:rPr>
        <w:t>California Implements Legislation to Reduce Plastic Pollution and Extend Producer Responsibility Laws</w:t>
      </w:r>
      <w:r w:rsidRPr="00A9353A">
        <w:rPr>
          <w:rFonts w:ascii="Arial" w:hAnsi="Arial" w:cs="Arial"/>
        </w:rPr>
        <w:t xml:space="preserve">. Environmental Law Monitor. </w:t>
      </w:r>
      <w:r w:rsidRPr="00A9353A">
        <w:rPr>
          <w:rFonts w:ascii="Arial" w:hAnsi="Arial" w:cs="Arial"/>
        </w:rPr>
        <w:lastRenderedPageBreak/>
        <w:t>https://environmentallawmonitor.com/california/california-implements-legislation-to-reduce-plastic-pollution-and-extend-producer-responsibility-laws/</w:t>
      </w:r>
    </w:p>
    <w:p w14:paraId="52874BAD"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Simon, N., Raubenheimer, K., Urho, N., Unger, S., Azoulay, D., Farrelly, T., Sousa, J., van Asselt, H., Carlini, G., Sekomo, C., Schulte, M. L., Busch, P.-O., Wienrich, N., &amp; Weiand, L. (2021). A binding global agreement to address the life cycle of plastics. </w:t>
      </w:r>
      <w:r w:rsidRPr="00A9353A">
        <w:rPr>
          <w:rFonts w:ascii="Arial" w:hAnsi="Arial" w:cs="Arial"/>
          <w:i/>
          <w:iCs/>
        </w:rPr>
        <w:t>Science</w:t>
      </w:r>
      <w:r w:rsidRPr="00A9353A">
        <w:rPr>
          <w:rFonts w:ascii="Arial" w:hAnsi="Arial" w:cs="Arial"/>
        </w:rPr>
        <w:t xml:space="preserve">, </w:t>
      </w:r>
      <w:r w:rsidRPr="00A9353A">
        <w:rPr>
          <w:rFonts w:ascii="Arial" w:hAnsi="Arial" w:cs="Arial"/>
          <w:i/>
          <w:iCs/>
        </w:rPr>
        <w:t>373</w:t>
      </w:r>
      <w:r w:rsidRPr="00A9353A">
        <w:rPr>
          <w:rFonts w:ascii="Arial" w:hAnsi="Arial" w:cs="Arial"/>
        </w:rPr>
        <w:t>(6550), 43–47. https://doi.org/10.1126/science.abi9010</w:t>
      </w:r>
    </w:p>
    <w:p w14:paraId="2B6F0BAF"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Siracusa, V., &amp; Blanco, I. (2020). Bio-Polyethylene (Bio-PE), Bio-Polypropylene (Bio-PP) and Bio-Poly(ethylene terephthalate) (Bio-PET): Recent Developments in Bio-Based Polymers Analogous to Petroleum-Derived Ones for Packaging and Engineering Applications.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12</w:t>
      </w:r>
      <w:r w:rsidRPr="00A9353A">
        <w:rPr>
          <w:rFonts w:ascii="Arial" w:hAnsi="Arial" w:cs="Arial"/>
        </w:rPr>
        <w:t>(8), 1641. https://doi.org/10.3390/polym12081641</w:t>
      </w:r>
    </w:p>
    <w:p w14:paraId="5E1FF843"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Thailand Department of Pollution Control. (2023). </w:t>
      </w:r>
      <w:r w:rsidRPr="00A9353A">
        <w:rPr>
          <w:rFonts w:ascii="Arial" w:hAnsi="Arial" w:cs="Arial"/>
          <w:i/>
          <w:iCs/>
        </w:rPr>
        <w:t>Thailand pushes Action Plan Phase 2 for plastic waste management: Successful declaration reduces over 100,000 tons of plastic bag usage</w:t>
      </w:r>
      <w:r w:rsidRPr="00A9353A">
        <w:rPr>
          <w:rFonts w:ascii="Arial" w:hAnsi="Arial" w:cs="Arial"/>
        </w:rPr>
        <w:t>. SAWASDEE Thailand.go.th. https://www.thailand.go.th/issue-focus-detail/001_04_084</w:t>
      </w:r>
    </w:p>
    <w:p w14:paraId="0B840B51"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Thompson, R. C., Gall, S. C., &amp; Moore, C. J. (2015). Microplastics in the Marine Environment: Sources, Consequences and Solutions. </w:t>
      </w:r>
      <w:r w:rsidRPr="00A9353A">
        <w:rPr>
          <w:rFonts w:ascii="Arial" w:hAnsi="Arial" w:cs="Arial"/>
          <w:i/>
          <w:iCs/>
        </w:rPr>
        <w:t>Marine Anthropogenic Litter</w:t>
      </w:r>
      <w:r w:rsidRPr="00A9353A">
        <w:rPr>
          <w:rFonts w:ascii="Arial" w:hAnsi="Arial" w:cs="Arial"/>
        </w:rPr>
        <w:t>, 185–200. https://doi.org/10.1007/978-3-319-16510-3_7</w:t>
      </w:r>
    </w:p>
    <w:p w14:paraId="63B2E84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Thuppahige, V. T. W., Moghaddam, L., Welsh, Z. G., &amp; Karim, A. (2023). Investigation of Morphological, Chemical, and Thermal Properties of Biodegradable Food Packaging Films Synthesised by Direct Utilisation of Cassava (Monihot esculanta) Bagasse. </w:t>
      </w:r>
      <w:r w:rsidRPr="00A9353A">
        <w:rPr>
          <w:rFonts w:ascii="Arial" w:hAnsi="Arial" w:cs="Arial"/>
          <w:i/>
          <w:iCs/>
        </w:rPr>
        <w:t>Polymers</w:t>
      </w:r>
      <w:r w:rsidRPr="00A9353A">
        <w:rPr>
          <w:rFonts w:ascii="Arial" w:hAnsi="Arial" w:cs="Arial"/>
        </w:rPr>
        <w:t xml:space="preserve">, </w:t>
      </w:r>
      <w:r w:rsidRPr="00A9353A">
        <w:rPr>
          <w:rFonts w:ascii="Arial" w:hAnsi="Arial" w:cs="Arial"/>
          <w:i/>
          <w:iCs/>
        </w:rPr>
        <w:t>15</w:t>
      </w:r>
      <w:r w:rsidRPr="00A9353A">
        <w:rPr>
          <w:rFonts w:ascii="Arial" w:hAnsi="Arial" w:cs="Arial"/>
        </w:rPr>
        <w:t>(3), 767. https://doi.org/10.3390/polym15030767</w:t>
      </w:r>
    </w:p>
    <w:p w14:paraId="618510E7"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Tran, T., Goto, H., &amp; Matsuda, T. (2021). The Impact of China’s Tightening Environmental Regulations on International Waste Trade and Logistics. </w:t>
      </w:r>
      <w:r w:rsidRPr="00A9353A">
        <w:rPr>
          <w:rFonts w:ascii="Arial" w:hAnsi="Arial" w:cs="Arial"/>
          <w:i/>
          <w:iCs/>
        </w:rPr>
        <w:t>Sustainability</w:t>
      </w:r>
      <w:r w:rsidRPr="00A9353A">
        <w:rPr>
          <w:rFonts w:ascii="Arial" w:hAnsi="Arial" w:cs="Arial"/>
        </w:rPr>
        <w:t xml:space="preserve">, </w:t>
      </w:r>
      <w:r w:rsidRPr="00A9353A">
        <w:rPr>
          <w:rFonts w:ascii="Arial" w:hAnsi="Arial" w:cs="Arial"/>
          <w:i/>
          <w:iCs/>
        </w:rPr>
        <w:t>13</w:t>
      </w:r>
      <w:r w:rsidRPr="00A9353A">
        <w:rPr>
          <w:rFonts w:ascii="Arial" w:hAnsi="Arial" w:cs="Arial"/>
        </w:rPr>
        <w:t>(2), 987. https://doi.org/10.3390/su13020987</w:t>
      </w:r>
    </w:p>
    <w:p w14:paraId="48E6617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UNEP. (2017). </w:t>
      </w:r>
      <w:r w:rsidRPr="00A9353A">
        <w:rPr>
          <w:rFonts w:ascii="Arial" w:hAnsi="Arial" w:cs="Arial"/>
          <w:i/>
          <w:iCs/>
        </w:rPr>
        <w:t>Notice No. 2356 of 2017 on Plastic Bags</w:t>
      </w:r>
      <w:r w:rsidRPr="00A9353A">
        <w:rPr>
          <w:rFonts w:ascii="Arial" w:hAnsi="Arial" w:cs="Arial"/>
        </w:rPr>
        <w:t>. UNEP Law and Environment Assistance Platform. https://leap.unep.org/en/countries/ke/national-legislation/notice-no-2356-2017-plastic-bags?</w:t>
      </w:r>
    </w:p>
    <w:p w14:paraId="4935A2CA"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UNEP. (2019). </w:t>
      </w:r>
      <w:r w:rsidRPr="00A9353A">
        <w:rPr>
          <w:rFonts w:ascii="Arial" w:hAnsi="Arial" w:cs="Arial"/>
          <w:i/>
          <w:iCs/>
        </w:rPr>
        <w:t>Law No. 17/2019 relating to the Prohibition of manufacturing, importation, use and sale of Plastic Carry Bags and Single-use Plastic Items</w:t>
      </w:r>
      <w:r w:rsidRPr="00A9353A">
        <w:rPr>
          <w:rFonts w:ascii="Arial" w:hAnsi="Arial" w:cs="Arial"/>
        </w:rPr>
        <w:t>. UNEP Law and Environment Assistance Platform. https://leap.unep.org/en/countries/rw/national-legislation/law-no-172019-relating-prohibition-manufacturing-importation-use</w:t>
      </w:r>
    </w:p>
    <w:p w14:paraId="29B2FEB1"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UNEP. (2020). </w:t>
      </w:r>
      <w:r w:rsidRPr="00A9353A">
        <w:rPr>
          <w:rFonts w:ascii="Arial" w:hAnsi="Arial" w:cs="Arial"/>
          <w:i/>
          <w:iCs/>
        </w:rPr>
        <w:t>National Plastic Management Policy</w:t>
      </w:r>
      <w:r w:rsidRPr="00A9353A">
        <w:rPr>
          <w:rFonts w:ascii="Arial" w:hAnsi="Arial" w:cs="Arial"/>
        </w:rPr>
        <w:t>. UNEP Law and Environment Assistance Platform. https://leap.unep.org/en/countries/gh/national-legislation/national-plastic-management-policy</w:t>
      </w:r>
    </w:p>
    <w:p w14:paraId="52E1A7F0"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UNEP. (2021). </w:t>
      </w:r>
      <w:r w:rsidRPr="00A9353A">
        <w:rPr>
          <w:rFonts w:ascii="Arial" w:hAnsi="Arial" w:cs="Arial"/>
          <w:i/>
          <w:iCs/>
        </w:rPr>
        <w:t>From Pollution to Solution: A global assessment of marine litter and plastic pollution</w:t>
      </w:r>
      <w:r w:rsidRPr="00A9353A">
        <w:rPr>
          <w:rFonts w:ascii="Arial" w:hAnsi="Arial" w:cs="Arial"/>
        </w:rPr>
        <w:t>. UNEP - UN Environment Programme; UNEP. https://www.unep.org/resources/pollution-solution-global-assessment-marine-litter-and-plastic-pollution</w:t>
      </w:r>
    </w:p>
    <w:p w14:paraId="35F481A6"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UNEP. (2022). </w:t>
      </w:r>
      <w:r w:rsidRPr="00A9353A">
        <w:rPr>
          <w:rFonts w:ascii="Arial" w:hAnsi="Arial" w:cs="Arial"/>
          <w:i/>
          <w:iCs/>
        </w:rPr>
        <w:t>End plastic pollution: towards an international legally binding instrument. Resolution adopted by the United Nations Environment Assembly, UNEP/EA.5/Res.14</w:t>
      </w:r>
      <w:r w:rsidRPr="00A9353A">
        <w:rPr>
          <w:rFonts w:ascii="Arial" w:hAnsi="Arial" w:cs="Arial"/>
        </w:rPr>
        <w:t>. United Nations Digital Library System; United Nations. https://digitallibrary.un.org/record/3999257?v=pdf</w:t>
      </w:r>
    </w:p>
    <w:p w14:paraId="001E8085" w14:textId="77777777" w:rsidR="008B360D" w:rsidRPr="00A9353A" w:rsidRDefault="008B360D" w:rsidP="008B360D">
      <w:pPr>
        <w:pStyle w:val="Body"/>
        <w:ind w:left="720" w:hanging="720"/>
        <w:rPr>
          <w:rFonts w:ascii="Arial" w:hAnsi="Arial" w:cs="Arial"/>
        </w:rPr>
      </w:pPr>
      <w:r w:rsidRPr="00A9353A">
        <w:rPr>
          <w:rFonts w:ascii="Arial" w:hAnsi="Arial" w:cs="Arial"/>
        </w:rPr>
        <w:lastRenderedPageBreak/>
        <w:t xml:space="preserve">UNEP. (2023). </w:t>
      </w:r>
      <w:r w:rsidRPr="00A9353A">
        <w:rPr>
          <w:rFonts w:ascii="Arial" w:hAnsi="Arial" w:cs="Arial"/>
          <w:i/>
          <w:iCs/>
        </w:rPr>
        <w:t>Intergovernmental Negotiating Committee on Plastic Pollution</w:t>
      </w:r>
      <w:r w:rsidRPr="00A9353A">
        <w:rPr>
          <w:rFonts w:ascii="Arial" w:hAnsi="Arial" w:cs="Arial"/>
        </w:rPr>
        <w:t>. UNEP - UN Environment Programme. https://www.unep.org/inc-plastic-pollution</w:t>
      </w:r>
    </w:p>
    <w:p w14:paraId="2D351F2C" w14:textId="2C0E22A9" w:rsidR="008B360D" w:rsidRPr="00A9353A" w:rsidRDefault="008B360D" w:rsidP="008B360D">
      <w:pPr>
        <w:pStyle w:val="Body"/>
        <w:ind w:left="720" w:hanging="720"/>
        <w:rPr>
          <w:rFonts w:ascii="Arial" w:hAnsi="Arial" w:cs="Arial"/>
        </w:rPr>
      </w:pPr>
      <w:r w:rsidRPr="00A9353A">
        <w:rPr>
          <w:rFonts w:ascii="Arial" w:hAnsi="Arial" w:cs="Arial"/>
        </w:rPr>
        <w:t xml:space="preserve">US EPA. (2024). </w:t>
      </w:r>
      <w:r w:rsidRPr="00A9353A">
        <w:rPr>
          <w:rFonts w:ascii="Arial" w:hAnsi="Arial" w:cs="Arial"/>
          <w:i/>
          <w:iCs/>
        </w:rPr>
        <w:t>Biden-Harris Administration Announces National Strategy to Prevent Plastic Pollution</w:t>
      </w:r>
      <w:r w:rsidRPr="00A9353A">
        <w:rPr>
          <w:rFonts w:ascii="Arial" w:hAnsi="Arial" w:cs="Arial"/>
        </w:rPr>
        <w:t>. US Environmental Protection Agency (EPA). https://www.epa.gov/newsreleases/biden-harris-administration-announces-national-strategy-prevent-plastic-pollution?</w:t>
      </w:r>
    </w:p>
    <w:p w14:paraId="69F99EF2"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Wang, Z., &amp; Praetorius, A. (2022). Integrating a Chemicals Perspective into the Global Plastic Treaty. </w:t>
      </w:r>
      <w:r w:rsidRPr="00A9353A">
        <w:rPr>
          <w:rFonts w:ascii="Arial" w:hAnsi="Arial" w:cs="Arial"/>
          <w:i/>
          <w:iCs/>
        </w:rPr>
        <w:t>Environmental Science &amp; Technology Letters</w:t>
      </w:r>
      <w:r w:rsidRPr="00A9353A">
        <w:rPr>
          <w:rFonts w:ascii="Arial" w:hAnsi="Arial" w:cs="Arial"/>
        </w:rPr>
        <w:t xml:space="preserve">, </w:t>
      </w:r>
      <w:r w:rsidRPr="00A9353A">
        <w:rPr>
          <w:rFonts w:ascii="Arial" w:hAnsi="Arial" w:cs="Arial"/>
          <w:i/>
          <w:iCs/>
        </w:rPr>
        <w:t>9</w:t>
      </w:r>
      <w:r w:rsidRPr="00A9353A">
        <w:rPr>
          <w:rFonts w:ascii="Arial" w:hAnsi="Arial" w:cs="Arial"/>
        </w:rPr>
        <w:t>(12), 1000–1006. https://doi.org/10.1021/acs.estlett.2c00763</w:t>
      </w:r>
    </w:p>
    <w:p w14:paraId="2853887A"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Wongphan, P., Panrong, T., &amp; Harnkarnsujarit, N. (2022). Effect of different modified starches on physical, morphological, thermomechanical, barrier and biodegradation properties of cassava starch and polybutylene adipate terephthalate blend film. </w:t>
      </w:r>
      <w:r w:rsidRPr="00A9353A">
        <w:rPr>
          <w:rFonts w:ascii="Arial" w:hAnsi="Arial" w:cs="Arial"/>
          <w:i/>
          <w:iCs/>
        </w:rPr>
        <w:t>Food Packaging and Shelf Life</w:t>
      </w:r>
      <w:r w:rsidRPr="00A9353A">
        <w:rPr>
          <w:rFonts w:ascii="Arial" w:hAnsi="Arial" w:cs="Arial"/>
        </w:rPr>
        <w:t xml:space="preserve">, </w:t>
      </w:r>
      <w:r w:rsidRPr="00A9353A">
        <w:rPr>
          <w:rFonts w:ascii="Arial" w:hAnsi="Arial" w:cs="Arial"/>
          <w:i/>
          <w:iCs/>
        </w:rPr>
        <w:t>32</w:t>
      </w:r>
      <w:r w:rsidRPr="00A9353A">
        <w:rPr>
          <w:rFonts w:ascii="Arial" w:hAnsi="Arial" w:cs="Arial"/>
        </w:rPr>
        <w:t>, 100844. https://doi.org/10.1016/j.fpsl.2022.100844</w:t>
      </w:r>
    </w:p>
    <w:p w14:paraId="27A76CA4"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World Bank. (2020). </w:t>
      </w:r>
      <w:r w:rsidRPr="00A9353A">
        <w:rPr>
          <w:rFonts w:ascii="Arial" w:hAnsi="Arial" w:cs="Arial"/>
          <w:i/>
          <w:iCs/>
        </w:rPr>
        <w:t>Stemming the Plastics Tide in Indonesia: Policy, Investments, and Research</w:t>
      </w:r>
      <w:r w:rsidRPr="00A9353A">
        <w:rPr>
          <w:rFonts w:ascii="Arial" w:hAnsi="Arial" w:cs="Arial"/>
        </w:rPr>
        <w:t>. World Bank. https://www.worldbank.org/en/news/feature/2020/10/06/stemming-the-plastics-tide-in-indonesia</w:t>
      </w:r>
    </w:p>
    <w:p w14:paraId="5CFF8B8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World Economic Forum. (2020). </w:t>
      </w:r>
      <w:r w:rsidRPr="00A9353A">
        <w:rPr>
          <w:rFonts w:ascii="Arial" w:hAnsi="Arial" w:cs="Arial"/>
          <w:i/>
          <w:iCs/>
        </w:rPr>
        <w:t>Indonesia unveils action plan to prevent 16 million tonnes of plastic from entering the ocean</w:t>
      </w:r>
      <w:r w:rsidRPr="00A9353A">
        <w:rPr>
          <w:rFonts w:ascii="Arial" w:hAnsi="Arial" w:cs="Arial"/>
        </w:rPr>
        <w:t>. World Economic Forum. https://www.weforum.org/press/2020/04/indonesia-unveils-action-plan-to-prevent-16-million-tonnes-of-plastic-from-entering-the-ocean/</w:t>
      </w:r>
    </w:p>
    <w:p w14:paraId="52985325"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Yoshida, A. (2021). China’s ban of imported recyclable waste and its impact on the waste plastic recycling industry in China and Taiwan. </w:t>
      </w:r>
      <w:r w:rsidRPr="00A9353A">
        <w:rPr>
          <w:rFonts w:ascii="Arial" w:hAnsi="Arial" w:cs="Arial"/>
          <w:i/>
          <w:iCs/>
        </w:rPr>
        <w:t>Journal of Material Cycles and Waste Management</w:t>
      </w:r>
      <w:r w:rsidRPr="00A9353A">
        <w:rPr>
          <w:rFonts w:ascii="Arial" w:hAnsi="Arial" w:cs="Arial"/>
        </w:rPr>
        <w:t xml:space="preserve">, </w:t>
      </w:r>
      <w:r w:rsidRPr="00A9353A">
        <w:rPr>
          <w:rFonts w:ascii="Arial" w:hAnsi="Arial" w:cs="Arial"/>
          <w:i/>
          <w:iCs/>
        </w:rPr>
        <w:t>24</w:t>
      </w:r>
      <w:r w:rsidRPr="00A9353A">
        <w:rPr>
          <w:rFonts w:ascii="Arial" w:hAnsi="Arial" w:cs="Arial"/>
        </w:rPr>
        <w:t>, 73–82. https://doi.org/10.1007/s10163-021-01297-2</w:t>
      </w:r>
    </w:p>
    <w:p w14:paraId="38BA8683" w14:textId="77777777" w:rsidR="008B360D" w:rsidRPr="00A9353A" w:rsidRDefault="008B360D" w:rsidP="008B360D">
      <w:pPr>
        <w:pStyle w:val="Body"/>
        <w:ind w:left="720" w:hanging="720"/>
        <w:rPr>
          <w:rFonts w:ascii="Arial" w:hAnsi="Arial" w:cs="Arial"/>
        </w:rPr>
      </w:pPr>
      <w:r w:rsidRPr="00A9353A">
        <w:rPr>
          <w:rFonts w:ascii="Arial" w:hAnsi="Arial" w:cs="Arial"/>
        </w:rPr>
        <w:t xml:space="preserve">Zavareze, E. da R., Pinto, V. Z., Klein, B., El Halal, S. L. M., Elias, M. C., Prentice-Hernández, C., &amp; Dias, A. R. G. (2012). Development of oxidised and heat–moisture treated potato starch film. </w:t>
      </w:r>
      <w:r w:rsidRPr="00A9353A">
        <w:rPr>
          <w:rFonts w:ascii="Arial" w:hAnsi="Arial" w:cs="Arial"/>
          <w:i/>
          <w:iCs/>
        </w:rPr>
        <w:t>Food Chemistry</w:t>
      </w:r>
      <w:r w:rsidRPr="00A9353A">
        <w:rPr>
          <w:rFonts w:ascii="Arial" w:hAnsi="Arial" w:cs="Arial"/>
        </w:rPr>
        <w:t xml:space="preserve">, </w:t>
      </w:r>
      <w:r w:rsidRPr="00A9353A">
        <w:rPr>
          <w:rFonts w:ascii="Arial" w:hAnsi="Arial" w:cs="Arial"/>
          <w:i/>
          <w:iCs/>
        </w:rPr>
        <w:t>132</w:t>
      </w:r>
      <w:r w:rsidRPr="00A9353A">
        <w:rPr>
          <w:rFonts w:ascii="Arial" w:hAnsi="Arial" w:cs="Arial"/>
        </w:rPr>
        <w:t>(1), 344–350. https://doi.org/10.1016/j.foodchem.2011.10.090</w:t>
      </w:r>
    </w:p>
    <w:p w14:paraId="48DE12BA" w14:textId="5EB217E9" w:rsidR="008B360D" w:rsidRPr="00C24DC2" w:rsidRDefault="008B360D" w:rsidP="008B360D">
      <w:pPr>
        <w:pStyle w:val="Body"/>
        <w:ind w:left="720" w:hanging="720"/>
        <w:rPr>
          <w:rFonts w:ascii="Arial" w:hAnsi="Arial" w:cs="Arial"/>
        </w:rPr>
        <w:sectPr w:rsidR="008B360D" w:rsidRPr="00C24DC2" w:rsidSect="00C24DC2">
          <w:pgSz w:w="12240" w:h="15840"/>
          <w:pgMar w:top="1440" w:right="1750" w:bottom="1620" w:left="2016" w:header="720" w:footer="939" w:gutter="0"/>
          <w:cols w:space="720"/>
          <w:docGrid w:linePitch="272"/>
        </w:sectPr>
      </w:pPr>
      <w:r w:rsidRPr="00A9353A">
        <w:rPr>
          <w:rFonts w:ascii="Arial" w:hAnsi="Arial" w:cs="Arial"/>
        </w:rPr>
        <w:t xml:space="preserve">Zheng, J., &amp; Suh, S. (2019). Strategies to reduce the global carbon footprint of plastics. </w:t>
      </w:r>
      <w:r w:rsidRPr="00A9353A">
        <w:rPr>
          <w:rFonts w:ascii="Arial" w:hAnsi="Arial" w:cs="Arial"/>
          <w:i/>
          <w:iCs/>
        </w:rPr>
        <w:t>Nature Climate Change</w:t>
      </w:r>
      <w:r w:rsidRPr="00A9353A">
        <w:rPr>
          <w:rFonts w:ascii="Arial" w:hAnsi="Arial" w:cs="Arial"/>
        </w:rPr>
        <w:t xml:space="preserve">, </w:t>
      </w:r>
      <w:r w:rsidRPr="00A9353A">
        <w:rPr>
          <w:rFonts w:ascii="Arial" w:hAnsi="Arial" w:cs="Arial"/>
          <w:i/>
          <w:iCs/>
        </w:rPr>
        <w:t>9</w:t>
      </w:r>
      <w:r w:rsidRPr="00A9353A">
        <w:rPr>
          <w:rFonts w:ascii="Arial" w:hAnsi="Arial" w:cs="Arial"/>
        </w:rPr>
        <w:t>(5), 374–378. https://www.nature.com/articles/s41558-019-0459-z?utm_source=feedburner&amp;utm_medium=feed&amp;utm_campaign=Feed%3A+nclimate%2Frss%2Fcurrent+%28Nature+Climate+Change+-+Issue%29</w:t>
      </w:r>
    </w:p>
    <w:p w14:paraId="0A81395F" w14:textId="77777777" w:rsidR="00B01FCD" w:rsidRPr="00C24DC2" w:rsidRDefault="00B01FCD" w:rsidP="00441B6F">
      <w:pPr>
        <w:pStyle w:val="Appendix"/>
        <w:spacing w:after="0"/>
        <w:jc w:val="both"/>
        <w:rPr>
          <w:rFonts w:ascii="Arial" w:hAnsi="Arial" w:cs="Arial"/>
          <w:b w:val="0"/>
        </w:rPr>
      </w:pPr>
    </w:p>
    <w:sectPr w:rsidR="00B01FCD" w:rsidRPr="00C24DC2" w:rsidSect="005140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AB397" w14:textId="77777777" w:rsidR="005F6718" w:rsidRDefault="005F6718" w:rsidP="00C37E61">
      <w:r>
        <w:separator/>
      </w:r>
    </w:p>
  </w:endnote>
  <w:endnote w:type="continuationSeparator" w:id="0">
    <w:p w14:paraId="50CB5822" w14:textId="77777777" w:rsidR="005F6718" w:rsidRDefault="005F67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A756" w14:textId="77777777" w:rsidR="005140F8" w:rsidRDefault="00514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661A" w14:textId="77777777" w:rsidR="005140F8" w:rsidRDefault="005140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1182" w14:textId="6D16002D" w:rsidR="00754C9A" w:rsidRPr="005140F8" w:rsidRDefault="00754C9A" w:rsidP="005140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54D2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4080B" w14:textId="77777777" w:rsidR="005F6718" w:rsidRDefault="005F6718" w:rsidP="00C37E61">
      <w:r>
        <w:separator/>
      </w:r>
    </w:p>
  </w:footnote>
  <w:footnote w:type="continuationSeparator" w:id="0">
    <w:p w14:paraId="0B98CDE6" w14:textId="77777777" w:rsidR="005F6718" w:rsidRDefault="005F67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A6AD" w14:textId="57AE929C" w:rsidR="005140F8" w:rsidRDefault="005F6718">
    <w:pPr>
      <w:pStyle w:val="Header"/>
    </w:pPr>
    <w:r>
      <w:rPr>
        <w:noProof/>
      </w:rPr>
      <w:pict w14:anchorId="3BAC2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29CD" w14:textId="1910B816" w:rsidR="005140F8" w:rsidRDefault="005F6718">
    <w:pPr>
      <w:pStyle w:val="Header"/>
    </w:pPr>
    <w:r>
      <w:rPr>
        <w:noProof/>
      </w:rPr>
      <w:pict w14:anchorId="114ED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C9B0" w14:textId="6A338CC9" w:rsidR="00296529" w:rsidRPr="00296529" w:rsidRDefault="005F6718" w:rsidP="00296529">
    <w:pPr>
      <w:ind w:left="2160"/>
      <w:jc w:val="center"/>
      <w:rPr>
        <w:rFonts w:ascii="Times New Roman" w:eastAsia="Calibri" w:hAnsi="Times New Roman"/>
        <w:i/>
        <w:sz w:val="18"/>
        <w:szCs w:val="22"/>
      </w:rPr>
    </w:pPr>
    <w:r>
      <w:rPr>
        <w:noProof/>
      </w:rPr>
      <w:pict w14:anchorId="03DA5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3F4C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5AB2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8ACC9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D8E1A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55A11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124FB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34AC" w14:textId="2987FD67" w:rsidR="005140F8" w:rsidRDefault="005F6718">
    <w:pPr>
      <w:pStyle w:val="Header"/>
    </w:pPr>
    <w:r>
      <w:rPr>
        <w:noProof/>
      </w:rPr>
      <w:pict w14:anchorId="1C775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B2726" w14:textId="3E3E0A18" w:rsidR="005140F8" w:rsidRDefault="005F6718">
    <w:pPr>
      <w:pStyle w:val="Header"/>
    </w:pPr>
    <w:r>
      <w:rPr>
        <w:noProof/>
      </w:rPr>
      <w:pict w14:anchorId="3D27E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BE538" w14:textId="0CF63F1C" w:rsidR="005140F8" w:rsidRDefault="005F6718">
    <w:pPr>
      <w:pStyle w:val="Header"/>
    </w:pPr>
    <w:r>
      <w:rPr>
        <w:noProof/>
      </w:rPr>
      <w:pict w14:anchorId="2820C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96664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6A3D4E"/>
    <w:multiLevelType w:val="hybridMultilevel"/>
    <w:tmpl w:val="36F8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FF5EE3"/>
    <w:multiLevelType w:val="multilevel"/>
    <w:tmpl w:val="0B6C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838F0"/>
    <w:multiLevelType w:val="multilevel"/>
    <w:tmpl w:val="223C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4D1AA3"/>
    <w:multiLevelType w:val="multilevel"/>
    <w:tmpl w:val="1B10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318D2"/>
    <w:multiLevelType w:val="multilevel"/>
    <w:tmpl w:val="F240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4EF2"/>
    <w:multiLevelType w:val="hybridMultilevel"/>
    <w:tmpl w:val="D700DAA6"/>
    <w:lvl w:ilvl="0" w:tplc="403A71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00A3894"/>
    <w:multiLevelType w:val="hybridMultilevel"/>
    <w:tmpl w:val="EEAA9214"/>
    <w:lvl w:ilvl="0" w:tplc="403A71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634947"/>
    <w:multiLevelType w:val="multilevel"/>
    <w:tmpl w:val="FE1A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2"/>
  </w:num>
  <w:num w:numId="10">
    <w:abstractNumId w:val="2"/>
  </w:num>
  <w:num w:numId="11">
    <w:abstractNumId w:val="25"/>
  </w:num>
  <w:num w:numId="12">
    <w:abstractNumId w:val="3"/>
  </w:num>
  <w:num w:numId="13">
    <w:abstractNumId w:val="23"/>
  </w:num>
  <w:num w:numId="14">
    <w:abstractNumId w:val="9"/>
  </w:num>
  <w:num w:numId="15">
    <w:abstractNumId w:val="28"/>
  </w:num>
  <w:num w:numId="16">
    <w:abstractNumId w:val="5"/>
  </w:num>
  <w:num w:numId="17">
    <w:abstractNumId w:val="29"/>
  </w:num>
  <w:num w:numId="18">
    <w:abstractNumId w:val="15"/>
  </w:num>
  <w:num w:numId="19">
    <w:abstractNumId w:val="36"/>
  </w:num>
  <w:num w:numId="20">
    <w:abstractNumId w:val="12"/>
  </w:num>
  <w:num w:numId="21">
    <w:abstractNumId w:val="10"/>
  </w:num>
  <w:num w:numId="22">
    <w:abstractNumId w:val="14"/>
  </w:num>
  <w:num w:numId="23">
    <w:abstractNumId w:val="26"/>
  </w:num>
  <w:num w:numId="24">
    <w:abstractNumId w:val="34"/>
  </w:num>
  <w:num w:numId="25">
    <w:abstractNumId w:val="4"/>
  </w:num>
  <w:num w:numId="26">
    <w:abstractNumId w:val="21"/>
  </w:num>
  <w:num w:numId="27">
    <w:abstractNumId w:val="27"/>
  </w:num>
  <w:num w:numId="28">
    <w:abstractNumId w:val="35"/>
  </w:num>
  <w:num w:numId="29">
    <w:abstractNumId w:val="31"/>
  </w:num>
  <w:num w:numId="30">
    <w:abstractNumId w:val="11"/>
  </w:num>
  <w:num w:numId="31">
    <w:abstractNumId w:val="24"/>
  </w:num>
  <w:num w:numId="32">
    <w:abstractNumId w:val="7"/>
  </w:num>
  <w:num w:numId="33">
    <w:abstractNumId w:val="33"/>
  </w:num>
  <w:num w:numId="34">
    <w:abstractNumId w:val="22"/>
  </w:num>
  <w:num w:numId="35">
    <w:abstractNumId w:val="16"/>
  </w:num>
  <w:num w:numId="36">
    <w:abstractNumId w:val="20"/>
  </w:num>
  <w:num w:numId="37">
    <w:abstractNumId w:val="1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623"/>
    <w:rsid w:val="00030174"/>
    <w:rsid w:val="00044EB3"/>
    <w:rsid w:val="0004579C"/>
    <w:rsid w:val="000520C7"/>
    <w:rsid w:val="00052430"/>
    <w:rsid w:val="00064D2A"/>
    <w:rsid w:val="000708F4"/>
    <w:rsid w:val="0007293C"/>
    <w:rsid w:val="00076E14"/>
    <w:rsid w:val="00080F73"/>
    <w:rsid w:val="000862D3"/>
    <w:rsid w:val="00086655"/>
    <w:rsid w:val="00093658"/>
    <w:rsid w:val="00097D60"/>
    <w:rsid w:val="000A47FA"/>
    <w:rsid w:val="000A65D3"/>
    <w:rsid w:val="000B1E33"/>
    <w:rsid w:val="000B79DD"/>
    <w:rsid w:val="000C6475"/>
    <w:rsid w:val="000D689F"/>
    <w:rsid w:val="000E7B7B"/>
    <w:rsid w:val="000E7D62"/>
    <w:rsid w:val="000F2E88"/>
    <w:rsid w:val="00103357"/>
    <w:rsid w:val="00120299"/>
    <w:rsid w:val="00121855"/>
    <w:rsid w:val="00123C9F"/>
    <w:rsid w:val="00126190"/>
    <w:rsid w:val="00130F17"/>
    <w:rsid w:val="0013133E"/>
    <w:rsid w:val="001320BF"/>
    <w:rsid w:val="001379B5"/>
    <w:rsid w:val="00145E74"/>
    <w:rsid w:val="001462D6"/>
    <w:rsid w:val="00155292"/>
    <w:rsid w:val="001638B8"/>
    <w:rsid w:val="00163BC4"/>
    <w:rsid w:val="00164D9A"/>
    <w:rsid w:val="001835CC"/>
    <w:rsid w:val="00191062"/>
    <w:rsid w:val="00192736"/>
    <w:rsid w:val="00192B72"/>
    <w:rsid w:val="00196609"/>
    <w:rsid w:val="001A0E3B"/>
    <w:rsid w:val="001A29D8"/>
    <w:rsid w:val="001A5CAA"/>
    <w:rsid w:val="001B0427"/>
    <w:rsid w:val="001B7228"/>
    <w:rsid w:val="001D3A51"/>
    <w:rsid w:val="001E10D2"/>
    <w:rsid w:val="001E25B4"/>
    <w:rsid w:val="001E30C2"/>
    <w:rsid w:val="001E3779"/>
    <w:rsid w:val="001E38FE"/>
    <w:rsid w:val="001E44FE"/>
    <w:rsid w:val="001E6075"/>
    <w:rsid w:val="001E687E"/>
    <w:rsid w:val="001F222E"/>
    <w:rsid w:val="00200595"/>
    <w:rsid w:val="00204835"/>
    <w:rsid w:val="00221E6B"/>
    <w:rsid w:val="00231920"/>
    <w:rsid w:val="0023195C"/>
    <w:rsid w:val="0024282C"/>
    <w:rsid w:val="00243A41"/>
    <w:rsid w:val="002460DC"/>
    <w:rsid w:val="00250985"/>
    <w:rsid w:val="00252E6A"/>
    <w:rsid w:val="00254333"/>
    <w:rsid w:val="002556F6"/>
    <w:rsid w:val="00262E0F"/>
    <w:rsid w:val="00275B88"/>
    <w:rsid w:val="00282A09"/>
    <w:rsid w:val="00283105"/>
    <w:rsid w:val="00284C4C"/>
    <w:rsid w:val="00287E68"/>
    <w:rsid w:val="00296529"/>
    <w:rsid w:val="00297BD0"/>
    <w:rsid w:val="002A09EB"/>
    <w:rsid w:val="002B27FB"/>
    <w:rsid w:val="002B551D"/>
    <w:rsid w:val="002B685A"/>
    <w:rsid w:val="002C3F4F"/>
    <w:rsid w:val="002C57D2"/>
    <w:rsid w:val="002C72BB"/>
    <w:rsid w:val="002D6983"/>
    <w:rsid w:val="002E0D56"/>
    <w:rsid w:val="002F542D"/>
    <w:rsid w:val="00301920"/>
    <w:rsid w:val="00315186"/>
    <w:rsid w:val="00332356"/>
    <w:rsid w:val="0033343E"/>
    <w:rsid w:val="00335A1B"/>
    <w:rsid w:val="0034467F"/>
    <w:rsid w:val="00344CC4"/>
    <w:rsid w:val="00350123"/>
    <w:rsid w:val="003512C2"/>
    <w:rsid w:val="00364B87"/>
    <w:rsid w:val="00365FFF"/>
    <w:rsid w:val="00371FB6"/>
    <w:rsid w:val="00374941"/>
    <w:rsid w:val="003763C1"/>
    <w:rsid w:val="00376BBE"/>
    <w:rsid w:val="0039224F"/>
    <w:rsid w:val="0039299A"/>
    <w:rsid w:val="003A43A4"/>
    <w:rsid w:val="003A7E18"/>
    <w:rsid w:val="003C4C86"/>
    <w:rsid w:val="003C6258"/>
    <w:rsid w:val="003E2904"/>
    <w:rsid w:val="003F698C"/>
    <w:rsid w:val="00401927"/>
    <w:rsid w:val="0041027F"/>
    <w:rsid w:val="00412475"/>
    <w:rsid w:val="00423789"/>
    <w:rsid w:val="00440F43"/>
    <w:rsid w:val="00441B6F"/>
    <w:rsid w:val="00446221"/>
    <w:rsid w:val="00450E62"/>
    <w:rsid w:val="0045171F"/>
    <w:rsid w:val="004539DB"/>
    <w:rsid w:val="0047189F"/>
    <w:rsid w:val="00471A80"/>
    <w:rsid w:val="00475D40"/>
    <w:rsid w:val="00483A85"/>
    <w:rsid w:val="00484C38"/>
    <w:rsid w:val="004877C6"/>
    <w:rsid w:val="00490C30"/>
    <w:rsid w:val="00491BA0"/>
    <w:rsid w:val="004922FC"/>
    <w:rsid w:val="004A131D"/>
    <w:rsid w:val="004B01BC"/>
    <w:rsid w:val="004C17B6"/>
    <w:rsid w:val="004C43BF"/>
    <w:rsid w:val="004D305E"/>
    <w:rsid w:val="004D4277"/>
    <w:rsid w:val="004E6C24"/>
    <w:rsid w:val="004E744F"/>
    <w:rsid w:val="004F308E"/>
    <w:rsid w:val="00502516"/>
    <w:rsid w:val="0050280B"/>
    <w:rsid w:val="00505F06"/>
    <w:rsid w:val="00506828"/>
    <w:rsid w:val="00507023"/>
    <w:rsid w:val="005140F8"/>
    <w:rsid w:val="00514B3F"/>
    <w:rsid w:val="0053056E"/>
    <w:rsid w:val="00534595"/>
    <w:rsid w:val="0053582F"/>
    <w:rsid w:val="00554FDA"/>
    <w:rsid w:val="005564F9"/>
    <w:rsid w:val="005806E3"/>
    <w:rsid w:val="00583F1F"/>
    <w:rsid w:val="00584137"/>
    <w:rsid w:val="005862BF"/>
    <w:rsid w:val="00590DF0"/>
    <w:rsid w:val="0059777D"/>
    <w:rsid w:val="005A34E1"/>
    <w:rsid w:val="005A62FB"/>
    <w:rsid w:val="005B121F"/>
    <w:rsid w:val="005B22ED"/>
    <w:rsid w:val="005B5A9B"/>
    <w:rsid w:val="005C784C"/>
    <w:rsid w:val="005D17F6"/>
    <w:rsid w:val="005E5539"/>
    <w:rsid w:val="005F0386"/>
    <w:rsid w:val="005F6718"/>
    <w:rsid w:val="006012F9"/>
    <w:rsid w:val="00602BF5"/>
    <w:rsid w:val="00613700"/>
    <w:rsid w:val="00615D8E"/>
    <w:rsid w:val="00617FDD"/>
    <w:rsid w:val="00621048"/>
    <w:rsid w:val="00622703"/>
    <w:rsid w:val="00630155"/>
    <w:rsid w:val="00633614"/>
    <w:rsid w:val="00633F68"/>
    <w:rsid w:val="00636EB2"/>
    <w:rsid w:val="006375B8"/>
    <w:rsid w:val="0066510A"/>
    <w:rsid w:val="00673F9F"/>
    <w:rsid w:val="00685E83"/>
    <w:rsid w:val="00686953"/>
    <w:rsid w:val="00686C6E"/>
    <w:rsid w:val="00687DEA"/>
    <w:rsid w:val="00687E67"/>
    <w:rsid w:val="006961F8"/>
    <w:rsid w:val="006967F7"/>
    <w:rsid w:val="006A250C"/>
    <w:rsid w:val="006B21D3"/>
    <w:rsid w:val="006B57D0"/>
    <w:rsid w:val="006B7371"/>
    <w:rsid w:val="006C65D0"/>
    <w:rsid w:val="006D30FF"/>
    <w:rsid w:val="006D6940"/>
    <w:rsid w:val="006E084E"/>
    <w:rsid w:val="006E1A9E"/>
    <w:rsid w:val="006F03EB"/>
    <w:rsid w:val="006F11EC"/>
    <w:rsid w:val="006F5915"/>
    <w:rsid w:val="0070082C"/>
    <w:rsid w:val="007106A0"/>
    <w:rsid w:val="00734823"/>
    <w:rsid w:val="007369E6"/>
    <w:rsid w:val="00746E59"/>
    <w:rsid w:val="00746FFD"/>
    <w:rsid w:val="00754A3E"/>
    <w:rsid w:val="00754C9A"/>
    <w:rsid w:val="0075599A"/>
    <w:rsid w:val="00761D52"/>
    <w:rsid w:val="0076417C"/>
    <w:rsid w:val="007652AA"/>
    <w:rsid w:val="00765596"/>
    <w:rsid w:val="007735ED"/>
    <w:rsid w:val="00776BED"/>
    <w:rsid w:val="0077749E"/>
    <w:rsid w:val="00782DFD"/>
    <w:rsid w:val="00790ADA"/>
    <w:rsid w:val="007944F5"/>
    <w:rsid w:val="00794E19"/>
    <w:rsid w:val="007A134D"/>
    <w:rsid w:val="007B04D3"/>
    <w:rsid w:val="007B1E26"/>
    <w:rsid w:val="007C020F"/>
    <w:rsid w:val="007C322C"/>
    <w:rsid w:val="007D2288"/>
    <w:rsid w:val="007E088F"/>
    <w:rsid w:val="007E1B67"/>
    <w:rsid w:val="007E30CB"/>
    <w:rsid w:val="007E3604"/>
    <w:rsid w:val="007E43F8"/>
    <w:rsid w:val="007E73B6"/>
    <w:rsid w:val="007F4DE2"/>
    <w:rsid w:val="007F7B32"/>
    <w:rsid w:val="00801F45"/>
    <w:rsid w:val="00803FF7"/>
    <w:rsid w:val="00804BC2"/>
    <w:rsid w:val="0081431A"/>
    <w:rsid w:val="00815155"/>
    <w:rsid w:val="0082042F"/>
    <w:rsid w:val="0082285F"/>
    <w:rsid w:val="00825A08"/>
    <w:rsid w:val="00827050"/>
    <w:rsid w:val="0083216F"/>
    <w:rsid w:val="00835509"/>
    <w:rsid w:val="00843E5D"/>
    <w:rsid w:val="00860000"/>
    <w:rsid w:val="00863BD3"/>
    <w:rsid w:val="008641ED"/>
    <w:rsid w:val="00865AC4"/>
    <w:rsid w:val="00866D66"/>
    <w:rsid w:val="00867055"/>
    <w:rsid w:val="008671C6"/>
    <w:rsid w:val="008732A7"/>
    <w:rsid w:val="00874277"/>
    <w:rsid w:val="00875803"/>
    <w:rsid w:val="00885137"/>
    <w:rsid w:val="008A3FC2"/>
    <w:rsid w:val="008B1BBB"/>
    <w:rsid w:val="008B360D"/>
    <w:rsid w:val="008B459E"/>
    <w:rsid w:val="008B7728"/>
    <w:rsid w:val="008C07F2"/>
    <w:rsid w:val="008E13AE"/>
    <w:rsid w:val="008E1506"/>
    <w:rsid w:val="008E200F"/>
    <w:rsid w:val="008E710C"/>
    <w:rsid w:val="008F69D6"/>
    <w:rsid w:val="00900B4E"/>
    <w:rsid w:val="00902823"/>
    <w:rsid w:val="00910D01"/>
    <w:rsid w:val="00912C31"/>
    <w:rsid w:val="00914B4E"/>
    <w:rsid w:val="00915CA6"/>
    <w:rsid w:val="0091614A"/>
    <w:rsid w:val="00923A76"/>
    <w:rsid w:val="00923D07"/>
    <w:rsid w:val="0092685F"/>
    <w:rsid w:val="00927834"/>
    <w:rsid w:val="00931F53"/>
    <w:rsid w:val="00942D7E"/>
    <w:rsid w:val="00943333"/>
    <w:rsid w:val="009500A6"/>
    <w:rsid w:val="009566BB"/>
    <w:rsid w:val="00957C18"/>
    <w:rsid w:val="009659BA"/>
    <w:rsid w:val="009665FF"/>
    <w:rsid w:val="00981037"/>
    <w:rsid w:val="00983040"/>
    <w:rsid w:val="009944E9"/>
    <w:rsid w:val="009A0BCA"/>
    <w:rsid w:val="009B3FB9"/>
    <w:rsid w:val="009B756B"/>
    <w:rsid w:val="009C2465"/>
    <w:rsid w:val="009C71DF"/>
    <w:rsid w:val="009D35A0"/>
    <w:rsid w:val="009D7EB7"/>
    <w:rsid w:val="009E048A"/>
    <w:rsid w:val="009E08E9"/>
    <w:rsid w:val="009E3DB9"/>
    <w:rsid w:val="009E6E35"/>
    <w:rsid w:val="009F0EDA"/>
    <w:rsid w:val="009F49A7"/>
    <w:rsid w:val="00A0104D"/>
    <w:rsid w:val="00A03B96"/>
    <w:rsid w:val="00A05B19"/>
    <w:rsid w:val="00A1134E"/>
    <w:rsid w:val="00A177AC"/>
    <w:rsid w:val="00A22E14"/>
    <w:rsid w:val="00A24E7E"/>
    <w:rsid w:val="00A258C3"/>
    <w:rsid w:val="00A30623"/>
    <w:rsid w:val="00A347C0"/>
    <w:rsid w:val="00A51431"/>
    <w:rsid w:val="00A539AD"/>
    <w:rsid w:val="00A56E60"/>
    <w:rsid w:val="00A710E8"/>
    <w:rsid w:val="00A7714C"/>
    <w:rsid w:val="00A807DD"/>
    <w:rsid w:val="00A9353A"/>
    <w:rsid w:val="00A94063"/>
    <w:rsid w:val="00A95CD2"/>
    <w:rsid w:val="00AA6219"/>
    <w:rsid w:val="00AA74E0"/>
    <w:rsid w:val="00AB703F"/>
    <w:rsid w:val="00AC6BB8"/>
    <w:rsid w:val="00AE008F"/>
    <w:rsid w:val="00B01FCD"/>
    <w:rsid w:val="00B03AEF"/>
    <w:rsid w:val="00B0794F"/>
    <w:rsid w:val="00B17497"/>
    <w:rsid w:val="00B1776C"/>
    <w:rsid w:val="00B216D6"/>
    <w:rsid w:val="00B333AB"/>
    <w:rsid w:val="00B36ABD"/>
    <w:rsid w:val="00B5156F"/>
    <w:rsid w:val="00B519AE"/>
    <w:rsid w:val="00B52583"/>
    <w:rsid w:val="00B52896"/>
    <w:rsid w:val="00B56D2F"/>
    <w:rsid w:val="00B575E5"/>
    <w:rsid w:val="00B62C26"/>
    <w:rsid w:val="00B66554"/>
    <w:rsid w:val="00B725D0"/>
    <w:rsid w:val="00B7285E"/>
    <w:rsid w:val="00B76F9B"/>
    <w:rsid w:val="00B8001C"/>
    <w:rsid w:val="00B84BD1"/>
    <w:rsid w:val="00B84C0A"/>
    <w:rsid w:val="00B85F05"/>
    <w:rsid w:val="00B95236"/>
    <w:rsid w:val="00B9660B"/>
    <w:rsid w:val="00B96BD9"/>
    <w:rsid w:val="00BA1B01"/>
    <w:rsid w:val="00BA2641"/>
    <w:rsid w:val="00BB1639"/>
    <w:rsid w:val="00BB37AA"/>
    <w:rsid w:val="00BC2E07"/>
    <w:rsid w:val="00BC45E7"/>
    <w:rsid w:val="00BC53A0"/>
    <w:rsid w:val="00BD3601"/>
    <w:rsid w:val="00BD4601"/>
    <w:rsid w:val="00BE62AD"/>
    <w:rsid w:val="00BF121F"/>
    <w:rsid w:val="00BF1F80"/>
    <w:rsid w:val="00C00675"/>
    <w:rsid w:val="00C166EF"/>
    <w:rsid w:val="00C17EB0"/>
    <w:rsid w:val="00C17FA5"/>
    <w:rsid w:val="00C24DC2"/>
    <w:rsid w:val="00C27F5F"/>
    <w:rsid w:val="00C30A0F"/>
    <w:rsid w:val="00C37E61"/>
    <w:rsid w:val="00C70F1B"/>
    <w:rsid w:val="00C71A47"/>
    <w:rsid w:val="00C7464C"/>
    <w:rsid w:val="00C747E2"/>
    <w:rsid w:val="00C74C0C"/>
    <w:rsid w:val="00C77DB4"/>
    <w:rsid w:val="00C85588"/>
    <w:rsid w:val="00C86E26"/>
    <w:rsid w:val="00C9259C"/>
    <w:rsid w:val="00C92633"/>
    <w:rsid w:val="00CB26B5"/>
    <w:rsid w:val="00CD6755"/>
    <w:rsid w:val="00CD6856"/>
    <w:rsid w:val="00CE0089"/>
    <w:rsid w:val="00CE793C"/>
    <w:rsid w:val="00CF193C"/>
    <w:rsid w:val="00CF4DF5"/>
    <w:rsid w:val="00D129D8"/>
    <w:rsid w:val="00D173F1"/>
    <w:rsid w:val="00D304DB"/>
    <w:rsid w:val="00D30A88"/>
    <w:rsid w:val="00D37AF0"/>
    <w:rsid w:val="00D41C8B"/>
    <w:rsid w:val="00D4362B"/>
    <w:rsid w:val="00D47804"/>
    <w:rsid w:val="00D7286A"/>
    <w:rsid w:val="00D74CB0"/>
    <w:rsid w:val="00D80E11"/>
    <w:rsid w:val="00D8295D"/>
    <w:rsid w:val="00DB6707"/>
    <w:rsid w:val="00DC2A65"/>
    <w:rsid w:val="00DC3A04"/>
    <w:rsid w:val="00DC710D"/>
    <w:rsid w:val="00DD0EF2"/>
    <w:rsid w:val="00DD5428"/>
    <w:rsid w:val="00DD5AD6"/>
    <w:rsid w:val="00DE15F0"/>
    <w:rsid w:val="00DE2F4D"/>
    <w:rsid w:val="00DE5663"/>
    <w:rsid w:val="00DE78AA"/>
    <w:rsid w:val="00DF1B5A"/>
    <w:rsid w:val="00E053D0"/>
    <w:rsid w:val="00E15994"/>
    <w:rsid w:val="00E16A15"/>
    <w:rsid w:val="00E31020"/>
    <w:rsid w:val="00E3114E"/>
    <w:rsid w:val="00E31A70"/>
    <w:rsid w:val="00E35B02"/>
    <w:rsid w:val="00E62106"/>
    <w:rsid w:val="00E66496"/>
    <w:rsid w:val="00E66B35"/>
    <w:rsid w:val="00E66E10"/>
    <w:rsid w:val="00E71C4E"/>
    <w:rsid w:val="00E72920"/>
    <w:rsid w:val="00E73147"/>
    <w:rsid w:val="00E769F6"/>
    <w:rsid w:val="00E829FE"/>
    <w:rsid w:val="00E82E4B"/>
    <w:rsid w:val="00E8407C"/>
    <w:rsid w:val="00E84F3C"/>
    <w:rsid w:val="00E8796D"/>
    <w:rsid w:val="00EA012C"/>
    <w:rsid w:val="00EA13F2"/>
    <w:rsid w:val="00EA2260"/>
    <w:rsid w:val="00EA3F65"/>
    <w:rsid w:val="00EB257B"/>
    <w:rsid w:val="00EB2D8C"/>
    <w:rsid w:val="00EC6A55"/>
    <w:rsid w:val="00ED0288"/>
    <w:rsid w:val="00EE52CB"/>
    <w:rsid w:val="00EF581D"/>
    <w:rsid w:val="00EF7FD8"/>
    <w:rsid w:val="00F06F59"/>
    <w:rsid w:val="00F17988"/>
    <w:rsid w:val="00F469F0"/>
    <w:rsid w:val="00F520D4"/>
    <w:rsid w:val="00F53273"/>
    <w:rsid w:val="00F56170"/>
    <w:rsid w:val="00F61532"/>
    <w:rsid w:val="00F65146"/>
    <w:rsid w:val="00F67D15"/>
    <w:rsid w:val="00F755E4"/>
    <w:rsid w:val="00F770D1"/>
    <w:rsid w:val="00F77D02"/>
    <w:rsid w:val="00F847F8"/>
    <w:rsid w:val="00F85D90"/>
    <w:rsid w:val="00FA0447"/>
    <w:rsid w:val="00FB3A86"/>
    <w:rsid w:val="00FB6962"/>
    <w:rsid w:val="00FB7D3A"/>
    <w:rsid w:val="00FC045D"/>
    <w:rsid w:val="00FC0BA6"/>
    <w:rsid w:val="00FC476C"/>
    <w:rsid w:val="00FD1625"/>
    <w:rsid w:val="00FD36C8"/>
    <w:rsid w:val="00FD4FFB"/>
    <w:rsid w:val="00FD6EE6"/>
    <w:rsid w:val="00FE31D9"/>
    <w:rsid w:val="00FF4D19"/>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4E2D4A"/>
  <w15:docId w15:val="{A4B7BD34-02EE-4CCF-B4DD-F8B648CB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800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45E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88513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EB257B"/>
    <w:pPr>
      <w:spacing w:after="200"/>
    </w:pPr>
    <w:rPr>
      <w:i/>
      <w:iCs/>
      <w:color w:val="1F497D" w:themeColor="text2"/>
      <w:sz w:val="18"/>
      <w:szCs w:val="18"/>
    </w:rPr>
  </w:style>
  <w:style w:type="character" w:customStyle="1" w:styleId="Heading3Char">
    <w:name w:val="Heading 3 Char"/>
    <w:basedOn w:val="DefaultParagraphFont"/>
    <w:link w:val="Heading3"/>
    <w:semiHidden/>
    <w:rsid w:val="00145E74"/>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C17F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B8001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semiHidden/>
    <w:rsid w:val="00885137"/>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doi.org/10.3923/sjsr.2024.34.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10F0E-51A5-4B50-AED9-0A166EA6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30</TotalTime>
  <Pages>22</Pages>
  <Words>8760</Words>
  <Characters>49936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58579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1158</cp:lastModifiedBy>
  <cp:revision>19</cp:revision>
  <cp:lastPrinted>2025-11-09T04:40:00Z</cp:lastPrinted>
  <dcterms:created xsi:type="dcterms:W3CDTF">2026-01-31T11:49:00Z</dcterms:created>
  <dcterms:modified xsi:type="dcterms:W3CDTF">2026-02-02T13:28:00Z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2025-09-03T15:50:27Z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54ee226b-a64b-4dfb-a09a-8b1d572c0c24</vt:lpwstr>
  </property>
  <property fmtid="{D5CDD505-2E9C-101B-9397-08002B2CF9AE}" pid="7" name="MSIP_Label_defa4170-0d19-0005-0004-bc88714345d2_ActionId">
    <vt:lpwstr>bc55c694-3383-4775-9317-f1c93428c416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