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2859C" w14:textId="70C21A4B" w:rsidR="00754C9A" w:rsidRDefault="001A608E" w:rsidP="00441B6F">
      <w:pPr>
        <w:pStyle w:val="Title"/>
        <w:spacing w:after="0"/>
        <w:jc w:val="both"/>
        <w:rPr>
          <w:rFonts w:ascii="Arial" w:hAnsi="Arial" w:cs="Arial"/>
          <w:u w:val="single"/>
        </w:rPr>
      </w:pPr>
      <w:r w:rsidRPr="001A608E">
        <w:rPr>
          <w:rFonts w:ascii="Arial" w:hAnsi="Arial" w:cs="Arial"/>
          <w:u w:val="single"/>
        </w:rPr>
        <w:t>Original Research Article</w:t>
      </w:r>
    </w:p>
    <w:p w14:paraId="12D3F8E6" w14:textId="77777777" w:rsidR="001A608E" w:rsidRPr="001A608E" w:rsidRDefault="001A608E" w:rsidP="00441B6F">
      <w:pPr>
        <w:pStyle w:val="Title"/>
        <w:spacing w:after="0"/>
        <w:jc w:val="both"/>
        <w:rPr>
          <w:rFonts w:ascii="Arial" w:hAnsi="Arial" w:cs="Arial"/>
          <w:u w:val="single"/>
        </w:rPr>
      </w:pPr>
    </w:p>
    <w:p w14:paraId="7B4C57F5" w14:textId="4CBBEEE1" w:rsidR="00163BC4" w:rsidRPr="00163BC4" w:rsidRDefault="00BB5CA1" w:rsidP="00BB5CA1">
      <w:pPr>
        <w:pStyle w:val="Author"/>
        <w:spacing w:line="240" w:lineRule="auto"/>
        <w:rPr>
          <w:rFonts w:ascii="Arial" w:hAnsi="Arial" w:cs="Arial"/>
          <w:bCs/>
          <w:iCs/>
          <w:kern w:val="28"/>
          <w:sz w:val="36"/>
        </w:rPr>
      </w:pPr>
      <w:r w:rsidRPr="00BB5CA1">
        <w:rPr>
          <w:rFonts w:ascii="Arial" w:eastAsia="MS Mincho" w:hAnsi="Arial" w:cs="Arial"/>
          <w:bCs/>
          <w:sz w:val="36"/>
          <w:szCs w:val="36"/>
        </w:rPr>
        <w:t>Enhancing Prediction Accuracy of Gas Viscosity Correlations for the Niger Delta B</w:t>
      </w:r>
      <w:r w:rsidR="00A60BA1">
        <w:rPr>
          <w:rFonts w:ascii="Arial" w:eastAsia="MS Mincho" w:hAnsi="Arial" w:cs="Arial"/>
          <w:bCs/>
          <w:sz w:val="36"/>
          <w:szCs w:val="36"/>
        </w:rPr>
        <w:t>asin by Parameter Calibration u</w:t>
      </w:r>
      <w:r w:rsidRPr="00BB5CA1">
        <w:rPr>
          <w:rFonts w:ascii="Arial" w:eastAsia="MS Mincho" w:hAnsi="Arial" w:cs="Arial"/>
          <w:bCs/>
          <w:sz w:val="36"/>
          <w:szCs w:val="36"/>
        </w:rPr>
        <w:t>sing Nonlinear Optimization Algorithms</w:t>
      </w:r>
    </w:p>
    <w:p w14:paraId="3AD74B3D" w14:textId="77777777" w:rsidR="00A258C3" w:rsidRPr="00790ADA" w:rsidRDefault="00A258C3" w:rsidP="00441B6F">
      <w:pPr>
        <w:pStyle w:val="Author"/>
        <w:spacing w:line="240" w:lineRule="auto"/>
        <w:jc w:val="both"/>
        <w:rPr>
          <w:rFonts w:ascii="Arial" w:hAnsi="Arial" w:cs="Arial"/>
          <w:sz w:val="36"/>
        </w:rPr>
      </w:pPr>
    </w:p>
    <w:p w14:paraId="28A96716" w14:textId="5BF0590B" w:rsidR="00971B03" w:rsidRPr="0083216F" w:rsidRDefault="00971B03" w:rsidP="008635B2">
      <w:pPr>
        <w:pStyle w:val="Affiliation"/>
        <w:spacing w:after="0" w:line="240" w:lineRule="auto"/>
        <w:rPr>
          <w:rFonts w:ascii="Arial" w:hAnsi="Arial" w:cs="Arial"/>
          <w:i/>
        </w:rPr>
      </w:pPr>
      <w:r>
        <w:rPr>
          <w:rFonts w:ascii="Arial" w:hAnsi="Arial" w:cs="Arial"/>
          <w:i/>
        </w:rPr>
        <w:t xml:space="preserve"> </w:t>
      </w:r>
    </w:p>
    <w:p w14:paraId="4381E1CC" w14:textId="77777777" w:rsidR="00790ADA" w:rsidRDefault="00790ADA" w:rsidP="00441B6F">
      <w:pPr>
        <w:pStyle w:val="Affiliation"/>
        <w:spacing w:after="0" w:line="240" w:lineRule="auto"/>
        <w:jc w:val="both"/>
        <w:rPr>
          <w:rFonts w:ascii="Arial" w:hAnsi="Arial" w:cs="Arial"/>
        </w:rPr>
      </w:pPr>
    </w:p>
    <w:p w14:paraId="68C0304A" w14:textId="77777777" w:rsidR="002C57D2" w:rsidRPr="00FB3A86" w:rsidRDefault="002C57D2" w:rsidP="00441B6F">
      <w:pPr>
        <w:pStyle w:val="Affiliation"/>
        <w:spacing w:after="0" w:line="240" w:lineRule="auto"/>
        <w:jc w:val="both"/>
        <w:rPr>
          <w:rFonts w:ascii="Arial" w:hAnsi="Arial" w:cs="Arial"/>
        </w:rPr>
      </w:pPr>
    </w:p>
    <w:p w14:paraId="30097747" w14:textId="77777777" w:rsidR="00B01FCD" w:rsidRPr="00FB3A86" w:rsidRDefault="004D1922" w:rsidP="00441B6F">
      <w:pPr>
        <w:pStyle w:val="Copyright"/>
        <w:spacing w:after="0" w:line="240" w:lineRule="auto"/>
        <w:jc w:val="both"/>
        <w:rPr>
          <w:rFonts w:ascii="Arial" w:hAnsi="Arial" w:cs="Arial"/>
        </w:rPr>
        <w:sectPr w:rsidR="00B01FCD" w:rsidRPr="00FB3A86" w:rsidSect="00AA101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6758E0" wp14:editId="1BC96C95">
                <wp:extent cx="5303520" cy="0"/>
                <wp:effectExtent l="9525" t="15240" r="1143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0324681"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7631A3F3"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696B943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AE467BB" w14:textId="77777777" w:rsidTr="001E44FE">
        <w:tc>
          <w:tcPr>
            <w:tcW w:w="9576" w:type="dxa"/>
            <w:shd w:val="clear" w:color="auto" w:fill="F2F2F2"/>
          </w:tcPr>
          <w:p w14:paraId="656F5935" w14:textId="30D89B6B" w:rsidR="00BB4E13" w:rsidRPr="00FB3859" w:rsidRDefault="00AB0CF3" w:rsidP="00BB4E13">
            <w:pPr>
              <w:jc w:val="both"/>
              <w:rPr>
                <w:rFonts w:ascii="Arial" w:hAnsi="Arial" w:cs="Arial"/>
              </w:rPr>
            </w:pPr>
            <w:r w:rsidRPr="00AB0CF3">
              <w:rPr>
                <w:rFonts w:ascii="Arial" w:hAnsi="Arial" w:cs="Arial"/>
              </w:rPr>
              <w:t xml:space="preserve">Accurate prediction of natural gas viscosity is essential for reliable reservoir engineering calculations, fluid flow analysis, and production system design. Although laboratory measurements provide accurate viscosity values, they are often expensive and time-consuming, leading to widespread reliance on empirical correlations. However, commonly used industry-standard correlations developed from global datasets often fail to accurately represent the thermophysical behavior of natural gas systems in the Niger Delta Basin, while existing region-specific correlations show limited accuracy, and their accuracy has not been optimized through model calibration techniques. </w:t>
            </w:r>
            <w:r>
              <w:rPr>
                <w:rFonts w:ascii="Arial" w:hAnsi="Arial" w:cs="Arial"/>
              </w:rPr>
              <w:t xml:space="preserve">In </w:t>
            </w:r>
            <w:r w:rsidRPr="00AB0CF3">
              <w:rPr>
                <w:rFonts w:ascii="Arial" w:hAnsi="Arial" w:cs="Arial"/>
              </w:rPr>
              <w:t xml:space="preserve">this study, a nonlinear least squares model fitting technique built on the Levenberg–Marquardt optimization algorithm via Python’s </w:t>
            </w:r>
            <w:proofErr w:type="spellStart"/>
            <w:r w:rsidRPr="00AB0CF3">
              <w:rPr>
                <w:rFonts w:ascii="Arial" w:hAnsi="Arial" w:cs="Arial"/>
              </w:rPr>
              <w:t>scipy.optimize.curve_fit</w:t>
            </w:r>
            <w:proofErr w:type="spellEnd"/>
            <w:r w:rsidRPr="00AB0CF3">
              <w:rPr>
                <w:rFonts w:ascii="Arial" w:hAnsi="Arial" w:cs="Arial"/>
              </w:rPr>
              <w:t xml:space="preserve"> was used to optimize the Lee-Gonzalez-Eakin correlation and the Carr-Kobayashi-Burrows correlation (modified by Dempsey and Standing), using 5,511 experimental PVT data points obtained from Niger Delta gas fields. The dataset was divided into training, testing, and validation datasets to assess performance robustness. Model performance was evaluated using the coefficient of determination (R²), Root Mean Squared Error (RMSE), and Mean Absolute Error (MAE).  The calibrated models showed good improvements in predictive accuracy. The R² increased significantly for both Lee-Gonzalez-Eakin and Carr-Dempsey-Standing correlations from approximately 0.88 to greater than 0.9999. The MAE and RMSE for the Lee-Gonzalez-Eakin correlation reduce to zero from 0.001310 and 0.001315, while the Carr-Dempsey-Standing correlation also reduces to zero from 0.001014 and 0.001327. In contrast, the existing region-specific correlation developed by Azubuike et al. for the Niger Delta Basin gave a moderate R² of 0.58025 and was significantly outperformed by the calibrated global models. The results show that while global correlations for gas viscosity provide a useful starting point, model calibration using region-based datasets significantly enhances their accuracy and reliability for petroleum engineering applications in the Niger Delta.</w:t>
            </w:r>
          </w:p>
          <w:p w14:paraId="7BBE342C" w14:textId="77777777" w:rsidR="00505F06" w:rsidRPr="00BA1B01" w:rsidRDefault="00505F06" w:rsidP="00441B6F">
            <w:pPr>
              <w:pStyle w:val="Body"/>
              <w:spacing w:after="0"/>
              <w:rPr>
                <w:rFonts w:ascii="Arial" w:eastAsia="Calibri" w:hAnsi="Arial" w:cs="Arial"/>
                <w:szCs w:val="22"/>
              </w:rPr>
            </w:pPr>
          </w:p>
        </w:tc>
      </w:tr>
    </w:tbl>
    <w:p w14:paraId="376C5291" w14:textId="77777777" w:rsidR="00636EB2" w:rsidRDefault="00636EB2" w:rsidP="00441B6F">
      <w:pPr>
        <w:pStyle w:val="Body"/>
        <w:spacing w:after="0"/>
        <w:rPr>
          <w:rFonts w:ascii="Arial" w:hAnsi="Arial" w:cs="Arial"/>
          <w:i/>
        </w:rPr>
      </w:pPr>
    </w:p>
    <w:p w14:paraId="51A85227" w14:textId="77777777" w:rsidR="00BB4E13" w:rsidRPr="00DF4A9B" w:rsidRDefault="00A24E7E" w:rsidP="00BB4E13">
      <w:pPr>
        <w:jc w:val="both"/>
        <w:rPr>
          <w:rFonts w:ascii="Arial" w:hAnsi="Arial" w:cs="Arial"/>
          <w:i/>
        </w:rPr>
      </w:pPr>
      <w:r>
        <w:rPr>
          <w:rFonts w:ascii="Arial" w:hAnsi="Arial" w:cs="Arial"/>
          <w:i/>
        </w:rPr>
        <w:t>Keywords:</w:t>
      </w:r>
      <w:r w:rsidR="00BB4E13" w:rsidRPr="00BB4E13">
        <w:rPr>
          <w:rFonts w:ascii="Arial" w:hAnsi="Arial" w:cs="Arial"/>
          <w:i/>
        </w:rPr>
        <w:t xml:space="preserve"> </w:t>
      </w:r>
      <w:r w:rsidR="00BB4E13" w:rsidRPr="00DF4A9B">
        <w:rPr>
          <w:rFonts w:ascii="Arial" w:hAnsi="Arial" w:cs="Arial"/>
          <w:i/>
        </w:rPr>
        <w:t>Natural Gas, Gas Viscosity, Niger Delta, Correlation Calibration, Model Validation.</w:t>
      </w:r>
    </w:p>
    <w:p w14:paraId="416474F7" w14:textId="77777777" w:rsidR="00790ADA" w:rsidRDefault="00790ADA" w:rsidP="00441B6F">
      <w:pPr>
        <w:pStyle w:val="Body"/>
        <w:spacing w:after="0"/>
        <w:rPr>
          <w:rFonts w:ascii="Arial" w:hAnsi="Arial" w:cs="Arial"/>
          <w:i/>
        </w:rPr>
      </w:pPr>
    </w:p>
    <w:p w14:paraId="45E7F68E" w14:textId="77777777" w:rsidR="0024282C" w:rsidRDefault="0024282C" w:rsidP="00441B6F">
      <w:pPr>
        <w:pStyle w:val="Body"/>
        <w:spacing w:after="0"/>
        <w:rPr>
          <w:rFonts w:ascii="Arial" w:hAnsi="Arial" w:cs="Arial"/>
          <w:i/>
          <w:sz w:val="18"/>
        </w:rPr>
      </w:pPr>
    </w:p>
    <w:p w14:paraId="6EEA82B8" w14:textId="77777777" w:rsidR="00505F06" w:rsidRPr="00A24E7E" w:rsidRDefault="00505F06" w:rsidP="00441B6F">
      <w:pPr>
        <w:pStyle w:val="Body"/>
        <w:spacing w:after="0"/>
        <w:rPr>
          <w:rFonts w:ascii="Arial" w:hAnsi="Arial" w:cs="Arial"/>
          <w:i/>
        </w:rPr>
      </w:pPr>
    </w:p>
    <w:p w14:paraId="35A5C495"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337345CC" w14:textId="77777777" w:rsidR="00790ADA" w:rsidRPr="00FB3A86" w:rsidRDefault="00790ADA" w:rsidP="00441B6F">
      <w:pPr>
        <w:pStyle w:val="AbstHead"/>
        <w:spacing w:after="0"/>
        <w:jc w:val="both"/>
        <w:rPr>
          <w:rFonts w:ascii="Arial" w:hAnsi="Arial" w:cs="Arial"/>
        </w:rPr>
      </w:pPr>
    </w:p>
    <w:p w14:paraId="635D09B4" w14:textId="56C37C65" w:rsidR="00B30ED6" w:rsidRPr="00261573" w:rsidRDefault="003E4269" w:rsidP="00B30ED6">
      <w:pPr>
        <w:jc w:val="both"/>
        <w:rPr>
          <w:rFonts w:ascii="Arial" w:hAnsi="Arial" w:cs="Arial"/>
        </w:rPr>
      </w:pPr>
      <w:r>
        <w:rPr>
          <w:rFonts w:ascii="Arial" w:hAnsi="Arial" w:cs="Arial"/>
        </w:rPr>
        <w:t>“</w:t>
      </w:r>
      <w:r w:rsidR="00B30ED6" w:rsidRPr="00261573">
        <w:rPr>
          <w:rFonts w:ascii="Arial" w:hAnsi="Arial" w:cs="Arial"/>
        </w:rPr>
        <w:t>Natural gas possesses physical properties whose knowledge must be gained to understand and predict the behavior of gas reservoirs and solve problems related to natural gas reservoir engineering. These properties include apparent molecular weight (Ma); specific gravity (</w:t>
      </w:r>
      <w:proofErr w:type="spellStart"/>
      <w:r w:rsidR="00B30ED6" w:rsidRPr="00261573">
        <w:rPr>
          <w:rFonts w:ascii="Arial" w:hAnsi="Arial" w:cs="Arial"/>
        </w:rPr>
        <w:t>γ</w:t>
      </w:r>
      <w:r w:rsidR="00B30ED6" w:rsidRPr="00261573">
        <w:rPr>
          <w:rFonts w:ascii="Arial" w:hAnsi="Arial" w:cs="Arial"/>
          <w:vertAlign w:val="subscript"/>
        </w:rPr>
        <w:t>g</w:t>
      </w:r>
      <w:proofErr w:type="spellEnd"/>
      <w:r w:rsidR="00B30ED6" w:rsidRPr="00261573">
        <w:rPr>
          <w:rFonts w:ascii="Arial" w:hAnsi="Arial" w:cs="Arial"/>
        </w:rPr>
        <w:t>), gas compressibility factor (z); gas density (</w:t>
      </w:r>
      <w:proofErr w:type="spellStart"/>
      <w:r w:rsidR="00B30ED6" w:rsidRPr="00261573">
        <w:rPr>
          <w:rFonts w:ascii="Arial" w:hAnsi="Arial" w:cs="Arial"/>
        </w:rPr>
        <w:t>ρ</w:t>
      </w:r>
      <w:r w:rsidR="00B30ED6" w:rsidRPr="00261573">
        <w:rPr>
          <w:rFonts w:ascii="Arial" w:hAnsi="Arial" w:cs="Arial"/>
          <w:vertAlign w:val="subscript"/>
        </w:rPr>
        <w:t>g</w:t>
      </w:r>
      <w:proofErr w:type="spellEnd"/>
      <w:r w:rsidR="00B30ED6" w:rsidRPr="00261573">
        <w:rPr>
          <w:rFonts w:ascii="Arial" w:hAnsi="Arial" w:cs="Arial"/>
        </w:rPr>
        <w:t>), specific gas volume (v); isothermal gas compressibility coefficient (c</w:t>
      </w:r>
      <w:r w:rsidR="00B30ED6" w:rsidRPr="00261573">
        <w:rPr>
          <w:rFonts w:ascii="Arial" w:hAnsi="Arial" w:cs="Arial"/>
          <w:vertAlign w:val="subscript"/>
        </w:rPr>
        <w:t>g</w:t>
      </w:r>
      <w:r w:rsidR="00B30ED6" w:rsidRPr="00261573">
        <w:rPr>
          <w:rFonts w:ascii="Arial" w:hAnsi="Arial" w:cs="Arial"/>
        </w:rPr>
        <w:t>), gas formation volume factor (</w:t>
      </w:r>
      <w:proofErr w:type="spellStart"/>
      <w:r w:rsidR="00B30ED6" w:rsidRPr="00261573">
        <w:rPr>
          <w:rFonts w:ascii="Arial" w:hAnsi="Arial" w:cs="Arial"/>
        </w:rPr>
        <w:t>B</w:t>
      </w:r>
      <w:r w:rsidR="00B30ED6" w:rsidRPr="00261573">
        <w:rPr>
          <w:rFonts w:ascii="Arial" w:hAnsi="Arial" w:cs="Arial"/>
          <w:vertAlign w:val="subscript"/>
        </w:rPr>
        <w:t>g</w:t>
      </w:r>
      <w:proofErr w:type="spellEnd"/>
      <w:r w:rsidR="00B30ED6" w:rsidRPr="00261573">
        <w:rPr>
          <w:rFonts w:ascii="Arial" w:hAnsi="Arial" w:cs="Arial"/>
        </w:rPr>
        <w:t>), gas expansion factor (</w:t>
      </w:r>
      <w:proofErr w:type="spellStart"/>
      <w:r w:rsidR="00B30ED6" w:rsidRPr="00261573">
        <w:rPr>
          <w:rFonts w:ascii="Arial" w:hAnsi="Arial" w:cs="Arial"/>
        </w:rPr>
        <w:t>E</w:t>
      </w:r>
      <w:r w:rsidR="00B30ED6" w:rsidRPr="00261573">
        <w:rPr>
          <w:rFonts w:ascii="Arial" w:hAnsi="Arial" w:cs="Arial"/>
          <w:vertAlign w:val="subscript"/>
        </w:rPr>
        <w:t>g</w:t>
      </w:r>
      <w:proofErr w:type="spellEnd"/>
      <w:r w:rsidR="00B30ED6" w:rsidRPr="00261573">
        <w:rPr>
          <w:rFonts w:ascii="Arial" w:hAnsi="Arial" w:cs="Arial"/>
        </w:rPr>
        <w:t>) and viscosity (µ).</w:t>
      </w:r>
      <w:r>
        <w:rPr>
          <w:rFonts w:ascii="Arial" w:hAnsi="Arial" w:cs="Arial"/>
        </w:rPr>
        <w:t xml:space="preserve"> </w:t>
      </w:r>
      <w:r w:rsidR="00B30ED6" w:rsidRPr="00261573">
        <w:rPr>
          <w:rFonts w:ascii="Arial" w:hAnsi="Arial" w:cs="Arial"/>
        </w:rPr>
        <w:t>It is important to understand these properties in the study of reservoirs and the design of optimum production systems because their accurate prediction is central to the design, development, and optimization of petroleum reservoirs. The physical properties of interest in this study are the gas viscosity (</w:t>
      </w:r>
      <w:proofErr w:type="spellStart"/>
      <w:r w:rsidR="00B30ED6" w:rsidRPr="00261573">
        <w:rPr>
          <w:rFonts w:ascii="Arial" w:hAnsi="Arial" w:cs="Arial"/>
        </w:rPr>
        <w:t>μ</w:t>
      </w:r>
      <w:r w:rsidR="00B30ED6" w:rsidRPr="00261573">
        <w:rPr>
          <w:rFonts w:ascii="Arial" w:hAnsi="Arial" w:cs="Arial"/>
          <w:vertAlign w:val="subscript"/>
        </w:rPr>
        <w:t>g</w:t>
      </w:r>
      <w:proofErr w:type="spellEnd"/>
      <w:r w:rsidR="00B30ED6" w:rsidRPr="00261573">
        <w:rPr>
          <w:rFonts w:ascii="Arial" w:hAnsi="Arial" w:cs="Arial"/>
        </w:rPr>
        <w:t>), which is fundamental thermodynamic and transport property required for material balance calculations, gas flow in pipes, well analysis, reservoir simulation, and production forecasting</w:t>
      </w:r>
      <w:r>
        <w:rPr>
          <w:rFonts w:ascii="Arial" w:hAnsi="Arial" w:cs="Arial"/>
        </w:rPr>
        <w:t>”</w:t>
      </w:r>
      <w:r w:rsidR="00B30ED6" w:rsidRPr="00261573">
        <w:rPr>
          <w:rFonts w:ascii="Arial" w:hAnsi="Arial" w:cs="Arial"/>
        </w:rPr>
        <w:t xml:space="preserve"> [1].</w:t>
      </w:r>
    </w:p>
    <w:p w14:paraId="034A1935" w14:textId="24414007" w:rsidR="00B30ED6" w:rsidRPr="00261573" w:rsidRDefault="003E4269" w:rsidP="00B30ED6">
      <w:pPr>
        <w:jc w:val="both"/>
        <w:rPr>
          <w:rFonts w:ascii="Arial" w:hAnsi="Arial" w:cs="Arial"/>
        </w:rPr>
      </w:pPr>
      <w:r>
        <w:rPr>
          <w:rFonts w:ascii="Arial" w:hAnsi="Arial" w:cs="Arial"/>
        </w:rPr>
        <w:t>“</w:t>
      </w:r>
      <w:r w:rsidR="00B30ED6" w:rsidRPr="00261573">
        <w:rPr>
          <w:rFonts w:ascii="Arial" w:hAnsi="Arial" w:cs="Arial"/>
        </w:rPr>
        <w:t>Sampling and measuring the gas viscosity has many inherent difficulties. The industry standard method of measuring this property is through laboratory experiments; nevertheless, studies have shown that this experimental process is quite expensive and time-consuming</w:t>
      </w:r>
      <w:r>
        <w:rPr>
          <w:rFonts w:ascii="Arial" w:hAnsi="Arial" w:cs="Arial"/>
        </w:rPr>
        <w:t>”</w:t>
      </w:r>
      <w:r w:rsidR="00B30ED6" w:rsidRPr="00261573">
        <w:rPr>
          <w:rFonts w:ascii="Arial" w:hAnsi="Arial" w:cs="Arial"/>
        </w:rPr>
        <w:t xml:space="preserve"> [2, 3]. This approach has led to the development of numerous implicit and explicit correlations for z-factor and viscosity.</w:t>
      </w:r>
    </w:p>
    <w:p w14:paraId="4CB5BF6C" w14:textId="77777777" w:rsidR="00B30ED6" w:rsidRDefault="00B30ED6" w:rsidP="00B30ED6">
      <w:pPr>
        <w:jc w:val="both"/>
        <w:rPr>
          <w:rFonts w:ascii="Arial" w:hAnsi="Arial" w:cs="Arial"/>
        </w:rPr>
      </w:pPr>
      <w:r w:rsidRPr="00261573">
        <w:rPr>
          <w:rFonts w:ascii="Arial" w:hAnsi="Arial" w:cs="Arial"/>
        </w:rPr>
        <w:t>According to Ahmed [1], gas viscosity is described completely as a function of pressure, temperature, and gas composition as expressed in equation 1 and is not often measured in the laboratory because its precise value can be determined empirically. Londono et al. [4]</w:t>
      </w:r>
      <w:r w:rsidRPr="00261573">
        <w:rPr>
          <w:rFonts w:ascii="Arial" w:hAnsi="Arial" w:cs="Arial"/>
          <w:vertAlign w:val="superscript"/>
        </w:rPr>
        <w:t xml:space="preserve"> </w:t>
      </w:r>
      <w:r w:rsidRPr="00261573">
        <w:rPr>
          <w:rFonts w:ascii="Arial" w:hAnsi="Arial" w:cs="Arial"/>
        </w:rPr>
        <w:t>expressed gas viscosity as a function of density, pressure, molecular weight, and temperature.</w:t>
      </w:r>
    </w:p>
    <w:p w14:paraId="737D82C7" w14:textId="77777777" w:rsidR="00026EE5" w:rsidRDefault="00026EE5" w:rsidP="00B30ED6">
      <w:pPr>
        <w:jc w:val="both"/>
        <w:rPr>
          <w:rFonts w:ascii="Arial" w:hAnsi="Arial" w:cs="Arial"/>
        </w:rPr>
      </w:pPr>
    </w:p>
    <w:p w14:paraId="310EF665" w14:textId="77777777" w:rsidR="00B30ED6" w:rsidRPr="00261573" w:rsidRDefault="00026EE5" w:rsidP="00026EE5">
      <w:pPr>
        <w:ind w:firstLine="720"/>
        <w:jc w:val="both"/>
        <w:rPr>
          <w:rFonts w:ascii="Arial" w:hAnsi="Arial" w:cs="Arial"/>
        </w:rPr>
      </w:pPr>
      <w:r w:rsidRPr="00026EE5">
        <w:rPr>
          <w:rFonts w:ascii="Arial" w:hAnsi="Arial" w:cs="Arial"/>
          <w:position w:val="-14"/>
        </w:rPr>
        <w:object w:dxaOrig="1440" w:dyaOrig="380" w14:anchorId="19575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9.45pt" o:ole="">
            <v:imagedata r:id="rId14" o:title=""/>
          </v:shape>
          <o:OLEObject Type="Embed" ProgID="Equation.3" ShapeID="_x0000_i1025" DrawAspect="Content" ObjectID="_1831705403" r:id="rId15"/>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w:t>
      </w:r>
    </w:p>
    <w:p w14:paraId="260F3BF6" w14:textId="77777777" w:rsidR="00B30ED6" w:rsidRPr="00261573" w:rsidRDefault="00B30ED6" w:rsidP="00B30ED6">
      <w:pPr>
        <w:jc w:val="both"/>
        <w:rPr>
          <w:rFonts w:ascii="Arial" w:hAnsi="Arial" w:cs="Arial"/>
        </w:rPr>
      </w:pPr>
    </w:p>
    <w:p w14:paraId="317C19D8" w14:textId="02A5058D" w:rsidR="00B30ED6" w:rsidRPr="00261573" w:rsidRDefault="00B30ED6" w:rsidP="00B30ED6">
      <w:pPr>
        <w:jc w:val="both"/>
        <w:rPr>
          <w:rFonts w:ascii="Arial" w:hAnsi="Arial" w:cs="Arial"/>
        </w:rPr>
      </w:pPr>
      <w:r w:rsidRPr="00261573">
        <w:rPr>
          <w:rFonts w:ascii="Arial" w:hAnsi="Arial" w:cs="Arial"/>
        </w:rPr>
        <w:t xml:space="preserve">Standard industry correlations [5, 6, 7], among many others, have gained worldwide industry applicability in reservoir and production engineering for gas viscosity. However, these correlations were originally developed using data from distant regions that are geologically, geochemically, geographically, and thermodynamically different in characteristics compared to the Niger Delta region. Using these correlations without adjusting the parameters to match the properties of gas deposits in this region may introduce errors in the analysis of Nigerian gas reservoirs. Researchers such as </w:t>
      </w:r>
      <w:proofErr w:type="spellStart"/>
      <w:r w:rsidRPr="00261573">
        <w:rPr>
          <w:rFonts w:ascii="Arial" w:hAnsi="Arial" w:cs="Arial"/>
        </w:rPr>
        <w:t>Ohirhian</w:t>
      </w:r>
      <w:proofErr w:type="spellEnd"/>
      <w:r w:rsidRPr="00261573">
        <w:rPr>
          <w:rFonts w:ascii="Arial" w:hAnsi="Arial" w:cs="Arial"/>
        </w:rPr>
        <w:t xml:space="preserve"> and Abu [8], </w:t>
      </w:r>
      <w:proofErr w:type="spellStart"/>
      <w:r w:rsidRPr="00261573">
        <w:rPr>
          <w:rFonts w:ascii="Arial" w:hAnsi="Arial" w:cs="Arial"/>
        </w:rPr>
        <w:t>Anyiador</w:t>
      </w:r>
      <w:proofErr w:type="spellEnd"/>
      <w:r w:rsidRPr="00261573">
        <w:rPr>
          <w:rFonts w:ascii="Arial" w:hAnsi="Arial" w:cs="Arial"/>
        </w:rPr>
        <w:t xml:space="preserve"> et al. [9] and Azubuike et al. [10] have attempted to </w:t>
      </w:r>
      <w:r w:rsidR="003E4269">
        <w:rPr>
          <w:rFonts w:ascii="Arial" w:hAnsi="Arial" w:cs="Arial"/>
        </w:rPr>
        <w:t>“</w:t>
      </w:r>
      <w:r w:rsidRPr="00261573">
        <w:rPr>
          <w:rFonts w:ascii="Arial" w:hAnsi="Arial" w:cs="Arial"/>
        </w:rPr>
        <w:t>develop different empirical correlations that are more suited for Niger Delta gas reservoirs. Therefore, this study is carried out to calibrate and validate the industry-accepted standard correlations for gas viscosity using empirical PVT data from the Niger Delta, to improve the accuracy of the existing standard gas property prediction correlations and ensure their reliability in petroleum engineering decision making in Niger Delta Basin</w:t>
      </w:r>
      <w:r w:rsidR="003E4269">
        <w:rPr>
          <w:rFonts w:ascii="Arial" w:hAnsi="Arial" w:cs="Arial"/>
        </w:rPr>
        <w:t>”</w:t>
      </w:r>
      <w:r w:rsidRPr="00261573">
        <w:rPr>
          <w:rFonts w:ascii="Arial" w:hAnsi="Arial" w:cs="Arial"/>
        </w:rPr>
        <w:t>.</w:t>
      </w:r>
    </w:p>
    <w:p w14:paraId="00F84645" w14:textId="5D47B6FC" w:rsidR="00B30ED6" w:rsidRPr="00261573" w:rsidRDefault="00B30ED6" w:rsidP="00B30ED6">
      <w:pPr>
        <w:jc w:val="both"/>
        <w:rPr>
          <w:rFonts w:ascii="Arial" w:hAnsi="Arial" w:cs="Arial"/>
        </w:rPr>
      </w:pPr>
      <w:r w:rsidRPr="00261573">
        <w:rPr>
          <w:rFonts w:ascii="Arial" w:hAnsi="Arial" w:cs="Arial"/>
        </w:rPr>
        <w:t xml:space="preserve">Carr et al. [5] developed </w:t>
      </w:r>
      <w:r w:rsidR="003E4269">
        <w:rPr>
          <w:rFonts w:ascii="Arial" w:hAnsi="Arial" w:cs="Arial"/>
        </w:rPr>
        <w:t>“</w:t>
      </w:r>
      <w:r w:rsidRPr="00261573">
        <w:rPr>
          <w:rFonts w:ascii="Arial" w:hAnsi="Arial" w:cs="Arial"/>
        </w:rPr>
        <w:t xml:space="preserve">the popularly known </w:t>
      </w:r>
      <w:proofErr w:type="spellStart"/>
      <w:r w:rsidRPr="00261573">
        <w:rPr>
          <w:rFonts w:ascii="Arial" w:hAnsi="Arial" w:cs="Arial"/>
        </w:rPr>
        <w:t>Carr</w:t>
      </w:r>
      <w:proofErr w:type="spellEnd"/>
      <w:r w:rsidRPr="00261573">
        <w:rPr>
          <w:rFonts w:ascii="Arial" w:hAnsi="Arial" w:cs="Arial"/>
        </w:rPr>
        <w:t>-Kobayashi-Burrows correlation for estimating natural gas viscosity as a function of gas gravity, temperature, and pressure. This correlation used a two-step technique to estimate hydrocarbon gas viscosity. This includes the determination of the gas viscosity at atmospheric conditions and the adjustment of the estimated viscosity at atmospheric pressure to desired temperature and pressure conditions using a second correlation</w:t>
      </w:r>
      <w:r w:rsidR="003E4269">
        <w:rPr>
          <w:rFonts w:ascii="Arial" w:hAnsi="Arial" w:cs="Arial"/>
        </w:rPr>
        <w:t>”</w:t>
      </w:r>
      <w:r w:rsidRPr="00261573">
        <w:rPr>
          <w:rFonts w:ascii="Arial" w:hAnsi="Arial" w:cs="Arial"/>
        </w:rPr>
        <w:t xml:space="preserve">. They created a graphical correlation, which is a function of reduced pressures and temperatures from their experimental data. The gas viscosity can therefore be estimated using graphical correlations or using equations derived from these figures. Al-Nasser and Al-Marhoun [11] claimed that </w:t>
      </w:r>
      <w:r w:rsidR="003E4269">
        <w:rPr>
          <w:rFonts w:ascii="Arial" w:hAnsi="Arial" w:cs="Arial"/>
        </w:rPr>
        <w:t>“</w:t>
      </w:r>
      <w:r w:rsidRPr="00261573">
        <w:rPr>
          <w:rFonts w:ascii="Arial" w:hAnsi="Arial" w:cs="Arial"/>
        </w:rPr>
        <w:t>simplicity and corrections for the existence of non-hydrocarbon gases such as CO</w:t>
      </w:r>
      <w:r w:rsidRPr="00261573">
        <w:rPr>
          <w:rFonts w:ascii="Cambria Math" w:hAnsi="Cambria Math" w:cs="Cambria Math"/>
        </w:rPr>
        <w:t>₂</w:t>
      </w:r>
      <w:r w:rsidRPr="00261573">
        <w:rPr>
          <w:rFonts w:ascii="Arial" w:hAnsi="Arial" w:cs="Arial"/>
        </w:rPr>
        <w:t>, N</w:t>
      </w:r>
      <w:r w:rsidRPr="00261573">
        <w:rPr>
          <w:rFonts w:ascii="Cambria Math" w:hAnsi="Cambria Math" w:cs="Cambria Math"/>
        </w:rPr>
        <w:t>₂</w:t>
      </w:r>
      <w:r w:rsidRPr="00261573">
        <w:rPr>
          <w:rFonts w:ascii="Arial" w:hAnsi="Arial" w:cs="Arial"/>
        </w:rPr>
        <w:t>, and H</w:t>
      </w:r>
      <w:r w:rsidRPr="00261573">
        <w:rPr>
          <w:rFonts w:ascii="Cambria Math" w:hAnsi="Cambria Math" w:cs="Cambria Math"/>
        </w:rPr>
        <w:t>₂</w:t>
      </w:r>
      <w:r w:rsidRPr="00261573">
        <w:rPr>
          <w:rFonts w:ascii="Arial" w:hAnsi="Arial" w:cs="Arial"/>
        </w:rPr>
        <w:t>S are the main advantages of the Carr-Kobayashi-Burrows correlation. The correlation is applicable to gases with a temperature range of 100 and 300°F and a specific gravity of 0.55 and 1.22</w:t>
      </w:r>
      <w:r w:rsidR="003E4269">
        <w:rPr>
          <w:rFonts w:ascii="Arial" w:hAnsi="Arial" w:cs="Arial"/>
        </w:rPr>
        <w:t>”</w:t>
      </w:r>
      <w:r w:rsidRPr="00261573">
        <w:rPr>
          <w:rFonts w:ascii="Arial" w:hAnsi="Arial" w:cs="Arial"/>
        </w:rPr>
        <w:t>. Dempsey [6] obtained his equation from the Carr-Kobayashi-Burrows correlation viscosity ratio chart.</w:t>
      </w:r>
    </w:p>
    <w:p w14:paraId="4FAC6D87" w14:textId="0E7E90BA" w:rsidR="00B30ED6" w:rsidRPr="00261573" w:rsidRDefault="00B30ED6" w:rsidP="00B30ED6">
      <w:pPr>
        <w:jc w:val="both"/>
        <w:rPr>
          <w:rFonts w:ascii="Arial" w:hAnsi="Arial" w:cs="Arial"/>
        </w:rPr>
      </w:pPr>
      <w:r w:rsidRPr="00261573">
        <w:rPr>
          <w:rFonts w:ascii="Arial" w:hAnsi="Arial" w:cs="Arial"/>
        </w:rPr>
        <w:lastRenderedPageBreak/>
        <w:t xml:space="preserve">Standing [12] developed </w:t>
      </w:r>
      <w:r w:rsidR="003E4269">
        <w:rPr>
          <w:rFonts w:ascii="Arial" w:hAnsi="Arial" w:cs="Arial"/>
        </w:rPr>
        <w:t>“</w:t>
      </w:r>
      <w:r w:rsidRPr="00261573">
        <w:rPr>
          <w:rFonts w:ascii="Arial" w:hAnsi="Arial" w:cs="Arial"/>
        </w:rPr>
        <w:t>expressions that account for the presence of H</w:t>
      </w:r>
      <w:r w:rsidRPr="00261573">
        <w:rPr>
          <w:rFonts w:ascii="Cambria Math" w:hAnsi="Cambria Math" w:cs="Cambria Math"/>
        </w:rPr>
        <w:t>₂</w:t>
      </w:r>
      <w:r w:rsidRPr="00261573">
        <w:rPr>
          <w:rFonts w:ascii="Arial" w:hAnsi="Arial" w:cs="Arial"/>
        </w:rPr>
        <w:t>S, CO</w:t>
      </w:r>
      <w:r w:rsidRPr="00261573">
        <w:rPr>
          <w:rFonts w:ascii="Cambria Math" w:hAnsi="Cambria Math" w:cs="Cambria Math"/>
        </w:rPr>
        <w:t>₂</w:t>
      </w:r>
      <w:r w:rsidRPr="00261573">
        <w:rPr>
          <w:rFonts w:ascii="Arial" w:hAnsi="Arial" w:cs="Arial"/>
        </w:rPr>
        <w:t>, and N</w:t>
      </w:r>
      <w:r w:rsidRPr="00261573">
        <w:rPr>
          <w:rFonts w:ascii="Cambria Math" w:hAnsi="Cambria Math" w:cs="Cambria Math"/>
        </w:rPr>
        <w:t>₂</w:t>
      </w:r>
      <w:r w:rsidRPr="00261573">
        <w:rPr>
          <w:rFonts w:ascii="Arial" w:hAnsi="Arial" w:cs="Arial"/>
        </w:rPr>
        <w:t xml:space="preserve"> in natural gas at one atmospheric pressure</w:t>
      </w:r>
      <w:r w:rsidR="003E4269">
        <w:rPr>
          <w:rFonts w:ascii="Arial" w:hAnsi="Arial" w:cs="Arial"/>
        </w:rPr>
        <w:t>”</w:t>
      </w:r>
      <w:r w:rsidRPr="00261573">
        <w:rPr>
          <w:rFonts w:ascii="Arial" w:hAnsi="Arial" w:cs="Arial"/>
        </w:rPr>
        <w:t xml:space="preserve">. </w:t>
      </w:r>
      <w:r w:rsidR="003E4269">
        <w:rPr>
          <w:rFonts w:ascii="Arial" w:hAnsi="Arial" w:cs="Arial"/>
        </w:rPr>
        <w:t>“</w:t>
      </w:r>
      <w:r w:rsidRPr="00261573">
        <w:rPr>
          <w:rFonts w:ascii="Arial" w:hAnsi="Arial" w:cs="Arial"/>
        </w:rPr>
        <w:t>A combination of Standing's and Dempsey's equations makes the estimation of gas viscosity more convenient</w:t>
      </w:r>
      <w:r w:rsidR="003E4269">
        <w:rPr>
          <w:rFonts w:ascii="Arial" w:hAnsi="Arial" w:cs="Arial"/>
        </w:rPr>
        <w:t>”</w:t>
      </w:r>
      <w:r w:rsidRPr="00261573">
        <w:rPr>
          <w:rFonts w:ascii="Arial" w:hAnsi="Arial" w:cs="Arial"/>
        </w:rPr>
        <w:t xml:space="preserve"> </w:t>
      </w:r>
      <w:r w:rsidRPr="00B30ED6">
        <w:rPr>
          <w:rFonts w:ascii="Arial" w:hAnsi="Arial" w:cs="Arial"/>
        </w:rPr>
        <w:t>[11].</w:t>
      </w:r>
      <w:r w:rsidRPr="00261573">
        <w:rPr>
          <w:rFonts w:ascii="Arial" w:hAnsi="Arial" w:cs="Arial"/>
        </w:rPr>
        <w:t xml:space="preserve"> Jossi et al. [13] developed </w:t>
      </w:r>
      <w:r w:rsidR="003E4269">
        <w:rPr>
          <w:rFonts w:ascii="Arial" w:hAnsi="Arial" w:cs="Arial"/>
        </w:rPr>
        <w:t>“</w:t>
      </w:r>
      <w:r w:rsidRPr="00261573">
        <w:rPr>
          <w:rFonts w:ascii="Arial" w:hAnsi="Arial" w:cs="Arial"/>
        </w:rPr>
        <w:t xml:space="preserve">the </w:t>
      </w:r>
      <w:proofErr w:type="spellStart"/>
      <w:r w:rsidRPr="00261573">
        <w:rPr>
          <w:rFonts w:ascii="Arial" w:hAnsi="Arial" w:cs="Arial"/>
        </w:rPr>
        <w:t>Jossi-Stiel-Thodos</w:t>
      </w:r>
      <w:proofErr w:type="spellEnd"/>
      <w:r w:rsidRPr="00261573">
        <w:rPr>
          <w:rFonts w:ascii="Arial" w:hAnsi="Arial" w:cs="Arial"/>
        </w:rPr>
        <w:t xml:space="preserve"> gas viscosity correlation for pure gases such as methane, ethane, propane, butane, pentane, nitrogen, oxygen, carbon dioxide, sulfur dioxide, and argon. The </w:t>
      </w:r>
      <w:proofErr w:type="spellStart"/>
      <w:r w:rsidRPr="00261573">
        <w:rPr>
          <w:rFonts w:ascii="Arial" w:hAnsi="Arial" w:cs="Arial"/>
        </w:rPr>
        <w:t>Jossi-Stiel-Thodos</w:t>
      </w:r>
      <w:proofErr w:type="spellEnd"/>
      <w:r w:rsidRPr="00261573">
        <w:rPr>
          <w:rFonts w:ascii="Arial" w:hAnsi="Arial" w:cs="Arial"/>
        </w:rPr>
        <w:t xml:space="preserve"> correlation for gas viscosity is expressed as function of reduced density: Their correlation is applicable for values of reduced density below 2.0 and has an average absolute error of 4%</w:t>
      </w:r>
      <w:r w:rsidR="003E4269">
        <w:rPr>
          <w:rFonts w:ascii="Arial" w:hAnsi="Arial" w:cs="Arial"/>
        </w:rPr>
        <w:t>”</w:t>
      </w:r>
      <w:r w:rsidRPr="00261573">
        <w:rPr>
          <w:rFonts w:ascii="Arial" w:hAnsi="Arial" w:cs="Arial"/>
        </w:rPr>
        <w:t>.</w:t>
      </w:r>
    </w:p>
    <w:p w14:paraId="24F2B12F" w14:textId="77777777" w:rsidR="00B30ED6" w:rsidRPr="00261573" w:rsidRDefault="00B30ED6" w:rsidP="00B30ED6">
      <w:pPr>
        <w:jc w:val="both"/>
        <w:rPr>
          <w:rFonts w:ascii="Arial" w:hAnsi="Arial" w:cs="Arial"/>
        </w:rPr>
      </w:pPr>
      <w:r w:rsidRPr="00261573">
        <w:rPr>
          <w:rFonts w:ascii="Arial" w:hAnsi="Arial" w:cs="Arial"/>
        </w:rPr>
        <w:t>Based on the Starling and Ellington equation, Lee et al. [7] developed the widely acceptable and simple semi-empirical equation for predicting natural gas viscosity known as the Lee-Gonzalez-Eakin correlation.</w:t>
      </w:r>
    </w:p>
    <w:p w14:paraId="0D840E8D" w14:textId="4749E509" w:rsidR="00B30ED6" w:rsidRPr="00261573" w:rsidRDefault="00B30ED6" w:rsidP="00B30ED6">
      <w:pPr>
        <w:jc w:val="both"/>
        <w:rPr>
          <w:rFonts w:ascii="Arial" w:hAnsi="Arial" w:cs="Arial"/>
        </w:rPr>
      </w:pPr>
      <w:r w:rsidRPr="00261573">
        <w:rPr>
          <w:rFonts w:ascii="Arial" w:hAnsi="Arial" w:cs="Arial"/>
        </w:rPr>
        <w:t xml:space="preserve">The Lee-Gonzalez-Eakin correlation has a standard deviation of 2.7% and a maximum deviation of 8.99%. Lee et al. [7] pointed out that </w:t>
      </w:r>
      <w:r w:rsidR="003E4269">
        <w:rPr>
          <w:rFonts w:ascii="Arial" w:hAnsi="Arial" w:cs="Arial"/>
        </w:rPr>
        <w:t>“</w:t>
      </w:r>
      <w:r w:rsidRPr="00261573">
        <w:rPr>
          <w:rFonts w:ascii="Arial" w:hAnsi="Arial" w:cs="Arial"/>
        </w:rPr>
        <w:t>the correlation is less accurate for gases with specific gravities greater than 1.0 and cannot be used for sour gases</w:t>
      </w:r>
      <w:r w:rsidR="003E4269">
        <w:rPr>
          <w:rFonts w:ascii="Arial" w:hAnsi="Arial" w:cs="Arial"/>
        </w:rPr>
        <w:t>”</w:t>
      </w:r>
      <w:r w:rsidRPr="00261573">
        <w:rPr>
          <w:rFonts w:ascii="Arial" w:hAnsi="Arial" w:cs="Arial"/>
        </w:rPr>
        <w:t xml:space="preserve">. In 1970, Gonzalez et al. [14] revised Lee et al. correlation for pressure ranges between 100 and 8000 psia and temperature ranges between 100 and 340°F, and it can be used in the presence of carbon dioxide for concentrations up to 3.2 mol%. Over practically wide ranges of temperature, pressure, and gas composition, </w:t>
      </w:r>
      <w:r w:rsidRPr="00261573">
        <w:rPr>
          <w:rFonts w:ascii="Arial" w:hAnsi="Arial" w:cs="Arial"/>
          <w:vertAlign w:val="superscript"/>
        </w:rPr>
        <w:t>[4]</w:t>
      </w:r>
      <w:r w:rsidRPr="00261573">
        <w:rPr>
          <w:rFonts w:ascii="Arial" w:hAnsi="Arial" w:cs="Arial"/>
        </w:rPr>
        <w:t xml:space="preserve"> optimized some of the existing correlations (</w:t>
      </w:r>
      <w:proofErr w:type="spellStart"/>
      <w:r w:rsidRPr="00261573">
        <w:rPr>
          <w:rFonts w:ascii="Arial" w:hAnsi="Arial" w:cs="Arial"/>
        </w:rPr>
        <w:t>Jossi-Stiel-Thodos</w:t>
      </w:r>
      <w:proofErr w:type="spellEnd"/>
      <w:r w:rsidRPr="00261573">
        <w:rPr>
          <w:rFonts w:ascii="Arial" w:hAnsi="Arial" w:cs="Arial"/>
        </w:rPr>
        <w:t xml:space="preserve"> and Lee-Gonzalez-Eakin) and also presented new approaches for predicting viscosity and density of natural gas. </w:t>
      </w:r>
      <w:r w:rsidR="003E4269">
        <w:rPr>
          <w:rFonts w:ascii="Arial" w:hAnsi="Arial" w:cs="Arial"/>
        </w:rPr>
        <w:t>“</w:t>
      </w:r>
      <w:r w:rsidRPr="00261573">
        <w:rPr>
          <w:rFonts w:ascii="Arial" w:hAnsi="Arial" w:cs="Arial"/>
        </w:rPr>
        <w:t>They developed a large-scale database that meets the applicability of various models for gas viscosity and density. The optimized Jossi et al. and Lee et al. have average absolute errors of 4.43% and 2.29%, respectively, compared to the 5.26% and 3.34% obtained from their original form when used with their developed database. The new implicit gas viscosity correlation developed by Londono et al. has an average absolute error of 3.05% and works well for both pure gases and gas mixtures over a wide range of pressure, temperature, and molecular weight</w:t>
      </w:r>
      <w:r w:rsidR="003E4269">
        <w:rPr>
          <w:rFonts w:ascii="Arial" w:hAnsi="Arial" w:cs="Arial"/>
        </w:rPr>
        <w:t>” [12]</w:t>
      </w:r>
      <w:r w:rsidRPr="00261573">
        <w:rPr>
          <w:rFonts w:ascii="Arial" w:hAnsi="Arial" w:cs="Arial"/>
        </w:rPr>
        <w:t>. Sutton [15]</w:t>
      </w:r>
      <w:r w:rsidRPr="00261573">
        <w:rPr>
          <w:rFonts w:ascii="Arial" w:hAnsi="Arial" w:cs="Arial"/>
          <w:vertAlign w:val="superscript"/>
        </w:rPr>
        <w:t xml:space="preserve"> </w:t>
      </w:r>
      <w:r w:rsidRPr="00261573">
        <w:rPr>
          <w:rFonts w:ascii="Arial" w:hAnsi="Arial" w:cs="Arial"/>
        </w:rPr>
        <w:t xml:space="preserve">combined the Lucas equation with the Lee-Gonzalez-Eakin correlation to develop a new correlation for estimating gas viscosity as a function of </w:t>
      </w:r>
      <w:proofErr w:type="spellStart"/>
      <w:r w:rsidRPr="00261573">
        <w:rPr>
          <w:rFonts w:ascii="Arial" w:hAnsi="Arial" w:cs="Arial"/>
        </w:rPr>
        <w:t>P</w:t>
      </w:r>
      <w:r w:rsidRPr="00261573">
        <w:rPr>
          <w:rFonts w:ascii="Arial" w:hAnsi="Arial" w:cs="Arial"/>
          <w:vertAlign w:val="subscript"/>
        </w:rPr>
        <w:t>pr</w:t>
      </w:r>
      <w:proofErr w:type="spellEnd"/>
      <w:r w:rsidRPr="00261573">
        <w:rPr>
          <w:rFonts w:ascii="Arial" w:hAnsi="Arial" w:cs="Arial"/>
        </w:rPr>
        <w:t xml:space="preserve">, </w:t>
      </w:r>
      <w:proofErr w:type="spellStart"/>
      <w:r w:rsidRPr="00261573">
        <w:rPr>
          <w:rFonts w:ascii="Arial" w:hAnsi="Arial" w:cs="Arial"/>
        </w:rPr>
        <w:t>T</w:t>
      </w:r>
      <w:r w:rsidRPr="00261573">
        <w:rPr>
          <w:rFonts w:ascii="Arial" w:hAnsi="Arial" w:cs="Arial"/>
          <w:vertAlign w:val="subscript"/>
        </w:rPr>
        <w:t>pr</w:t>
      </w:r>
      <w:proofErr w:type="spellEnd"/>
      <w:r w:rsidRPr="00261573">
        <w:rPr>
          <w:rFonts w:ascii="Arial" w:hAnsi="Arial" w:cs="Arial"/>
        </w:rPr>
        <w:t xml:space="preserve">, </w:t>
      </w:r>
      <w:proofErr w:type="spellStart"/>
      <w:r w:rsidRPr="00261573">
        <w:rPr>
          <w:rFonts w:ascii="Arial" w:hAnsi="Arial" w:cs="Arial"/>
        </w:rPr>
        <w:t>P</w:t>
      </w:r>
      <w:r w:rsidRPr="00261573">
        <w:rPr>
          <w:rFonts w:ascii="Arial" w:hAnsi="Arial" w:cs="Arial"/>
          <w:vertAlign w:val="subscript"/>
        </w:rPr>
        <w:t>pc</w:t>
      </w:r>
      <w:proofErr w:type="spellEnd"/>
      <w:r w:rsidRPr="00261573">
        <w:rPr>
          <w:rFonts w:ascii="Arial" w:hAnsi="Arial" w:cs="Arial"/>
        </w:rPr>
        <w:t xml:space="preserve">, </w:t>
      </w:r>
      <w:proofErr w:type="spellStart"/>
      <w:r w:rsidRPr="00261573">
        <w:rPr>
          <w:rFonts w:ascii="Arial" w:hAnsi="Arial" w:cs="Arial"/>
        </w:rPr>
        <w:t>T</w:t>
      </w:r>
      <w:r w:rsidRPr="00261573">
        <w:rPr>
          <w:rFonts w:ascii="Arial" w:hAnsi="Arial" w:cs="Arial"/>
          <w:vertAlign w:val="subscript"/>
        </w:rPr>
        <w:t>pc</w:t>
      </w:r>
      <w:proofErr w:type="spellEnd"/>
      <w:r w:rsidRPr="00261573">
        <w:rPr>
          <w:rFonts w:ascii="Arial" w:hAnsi="Arial" w:cs="Arial"/>
        </w:rPr>
        <w:t>, and M</w:t>
      </w:r>
      <w:r w:rsidRPr="00261573">
        <w:rPr>
          <w:rFonts w:ascii="Arial" w:hAnsi="Arial" w:cs="Arial"/>
          <w:vertAlign w:val="subscript"/>
        </w:rPr>
        <w:t>a</w:t>
      </w:r>
      <w:r w:rsidRPr="00261573">
        <w:rPr>
          <w:rFonts w:ascii="Arial" w:hAnsi="Arial" w:cs="Arial"/>
        </w:rPr>
        <w:t xml:space="preserve">. Using about 5881 data points, he recorded a standard deviation of 4.9 and an average absolute error of 4.2%. </w:t>
      </w:r>
    </w:p>
    <w:p w14:paraId="1E2EECB9" w14:textId="77777777" w:rsidR="00B30ED6" w:rsidRDefault="00B30ED6" w:rsidP="00B30ED6">
      <w:pPr>
        <w:jc w:val="both"/>
        <w:rPr>
          <w:rFonts w:ascii="Arial" w:hAnsi="Arial" w:cs="Arial"/>
        </w:rPr>
      </w:pPr>
      <w:r w:rsidRPr="00261573">
        <w:rPr>
          <w:rFonts w:ascii="Arial" w:hAnsi="Arial" w:cs="Arial"/>
        </w:rPr>
        <w:t xml:space="preserve">While the accuracy of existing gas viscosity correlations was questioned due to the limited amount of data, Al-Nasser and Al-Marhoun [11] developed a new correlation that is applicable over a wide range of gas specific gravity (up to 1.55) with fewer coefficients. They claimed that the model is simple and more accurate than existing models. They also built a model using Artificial Neural Networks (ANN) in order to compare its results with those obtained from the new correlation. They predicted gas viscosity using the existing correlations (Carr et al.– Dempsey– Standing, </w:t>
      </w:r>
      <w:proofErr w:type="spellStart"/>
      <w:r w:rsidRPr="00261573">
        <w:rPr>
          <w:rFonts w:ascii="Arial" w:hAnsi="Arial" w:cs="Arial"/>
        </w:rPr>
        <w:t>Jossi-Stiel-Thodos</w:t>
      </w:r>
      <w:proofErr w:type="spellEnd"/>
      <w:r w:rsidRPr="00261573">
        <w:rPr>
          <w:rFonts w:ascii="Arial" w:hAnsi="Arial" w:cs="Arial"/>
        </w:rPr>
        <w:t xml:space="preserve">, Dean and </w:t>
      </w:r>
      <w:proofErr w:type="spellStart"/>
      <w:r w:rsidRPr="00261573">
        <w:rPr>
          <w:rFonts w:ascii="Arial" w:hAnsi="Arial" w:cs="Arial"/>
        </w:rPr>
        <w:t>Stiel</w:t>
      </w:r>
      <w:proofErr w:type="spellEnd"/>
      <w:r w:rsidRPr="00261573">
        <w:rPr>
          <w:rFonts w:ascii="Arial" w:hAnsi="Arial" w:cs="Arial"/>
        </w:rPr>
        <w:t xml:space="preserve">, Lee-Gonzalez-Eakin, and Sutton correlations) and pointed out most of these correlations gave high errors with the large dataset used for this study. They optimized these correlations using the linear and non-linear regressions to improve their accuracy. Despite this, their new correlation and ANN model outperform the improved existing correlations. </w:t>
      </w:r>
      <w:proofErr w:type="spellStart"/>
      <w:r w:rsidRPr="00261573">
        <w:rPr>
          <w:rFonts w:ascii="Arial" w:hAnsi="Arial" w:cs="Arial"/>
        </w:rPr>
        <w:t>Heidaryan</w:t>
      </w:r>
      <w:proofErr w:type="spellEnd"/>
      <w:r w:rsidRPr="00261573">
        <w:rPr>
          <w:rFonts w:ascii="Arial" w:hAnsi="Arial" w:cs="Arial"/>
        </w:rPr>
        <w:t xml:space="preserve"> and </w:t>
      </w:r>
      <w:proofErr w:type="spellStart"/>
      <w:r w:rsidRPr="00261573">
        <w:rPr>
          <w:rFonts w:ascii="Arial" w:hAnsi="Arial" w:cs="Arial"/>
        </w:rPr>
        <w:t>Jarrahian</w:t>
      </w:r>
      <w:proofErr w:type="spellEnd"/>
      <w:r w:rsidRPr="00261573">
        <w:rPr>
          <w:rFonts w:ascii="Arial" w:hAnsi="Arial" w:cs="Arial"/>
        </w:rPr>
        <w:t xml:space="preserve"> [16] optimized the K, X, and Y parameters of the Lee-Gonzelez-Eakin correlation through multiple regression analyses on temperature, density, and molecular weight. Yang et al. [17] derived a new model for gas viscosity based on the kinetic theory of gases as a function of temperature and density. To develop a model that is simple, fast, accurate, and directly applicable to CO</w:t>
      </w:r>
      <w:r w:rsidRPr="00261573">
        <w:rPr>
          <w:rFonts w:ascii="Cambria Math" w:hAnsi="Cambria Math" w:cs="Cambria Math"/>
        </w:rPr>
        <w:t>₂</w:t>
      </w:r>
      <w:r w:rsidRPr="00261573">
        <w:rPr>
          <w:rFonts w:ascii="Arial" w:hAnsi="Arial" w:cs="Arial"/>
        </w:rPr>
        <w:t xml:space="preserve">-bearing gas samples, they optimized their model parameters using a large experimental database. In their study, they showed that the gas viscosity increases with the increase of density as well as the increase of temperature in the low-density region and that gas viscosity increases with the decrease of temperature in the high-density region. </w:t>
      </w:r>
    </w:p>
    <w:p w14:paraId="00DBDA34" w14:textId="364C62A9" w:rsidR="00055276" w:rsidRPr="00055276" w:rsidRDefault="00055276" w:rsidP="00055276">
      <w:pPr>
        <w:jc w:val="both"/>
        <w:rPr>
          <w:rFonts w:ascii="Arial" w:hAnsi="Arial" w:cs="Arial"/>
        </w:rPr>
      </w:pPr>
      <w:proofErr w:type="spellStart"/>
      <w:r w:rsidRPr="00055276">
        <w:rPr>
          <w:rFonts w:ascii="Arial" w:hAnsi="Arial" w:cs="Arial"/>
        </w:rPr>
        <w:t>Behesht</w:t>
      </w:r>
      <w:proofErr w:type="spellEnd"/>
      <w:r w:rsidRPr="00055276">
        <w:rPr>
          <w:rFonts w:ascii="Arial" w:hAnsi="Arial" w:cs="Arial"/>
        </w:rPr>
        <w:t xml:space="preserve"> Abad et al. </w:t>
      </w:r>
      <w:r>
        <w:rPr>
          <w:rFonts w:ascii="Arial" w:hAnsi="Arial" w:cs="Arial"/>
        </w:rPr>
        <w:t>[18]</w:t>
      </w:r>
      <w:r w:rsidRPr="00055276">
        <w:rPr>
          <w:rFonts w:ascii="Arial" w:hAnsi="Arial" w:cs="Arial"/>
        </w:rPr>
        <w:t xml:space="preserve"> developed a model that uses the multiple extreme learning machine (MELM) and particle swarm optimizer (PSO) to predict condensate viscosity in the near wellbore regions from pressure, temperature, initial gas to condensate ratio, gas specific gravity, and condensate gravity. Their analysis showed that pressure, gas gravity, and initial </w:t>
      </w:r>
      <w:r w:rsidRPr="00055276">
        <w:rPr>
          <w:rFonts w:ascii="Arial" w:hAnsi="Arial" w:cs="Arial"/>
        </w:rPr>
        <w:lastRenderedPageBreak/>
        <w:t>gas-to-oil condensate ratio are the most influential variables in terms of condensate viscosity based on the large dataset studied. </w:t>
      </w:r>
    </w:p>
    <w:p w14:paraId="0D4EBB76" w14:textId="4EE82EEF" w:rsidR="00055276" w:rsidRPr="00055276" w:rsidRDefault="00055276" w:rsidP="00055276">
      <w:pPr>
        <w:jc w:val="both"/>
        <w:rPr>
          <w:rFonts w:ascii="Arial" w:hAnsi="Arial" w:cs="Arial"/>
        </w:rPr>
      </w:pPr>
      <w:proofErr w:type="spellStart"/>
      <w:r w:rsidRPr="00055276">
        <w:rPr>
          <w:rFonts w:ascii="Arial" w:hAnsi="Arial" w:cs="Arial"/>
        </w:rPr>
        <w:t>Deumah</w:t>
      </w:r>
      <w:proofErr w:type="spellEnd"/>
      <w:r w:rsidRPr="00055276">
        <w:rPr>
          <w:rFonts w:ascii="Arial" w:hAnsi="Arial" w:cs="Arial"/>
        </w:rPr>
        <w:t xml:space="preserve"> et al. </w:t>
      </w:r>
      <w:r>
        <w:rPr>
          <w:rFonts w:ascii="Arial" w:hAnsi="Arial" w:cs="Arial"/>
        </w:rPr>
        <w:t>[19]</w:t>
      </w:r>
      <w:r w:rsidRPr="00055276">
        <w:rPr>
          <w:rFonts w:ascii="Arial" w:hAnsi="Arial" w:cs="Arial"/>
        </w:rPr>
        <w:t xml:space="preserve"> assess </w:t>
      </w:r>
      <w:r w:rsidR="003E4269">
        <w:rPr>
          <w:rFonts w:ascii="Arial" w:hAnsi="Arial" w:cs="Arial"/>
        </w:rPr>
        <w:t>“</w:t>
      </w:r>
      <w:r w:rsidRPr="00055276">
        <w:rPr>
          <w:rFonts w:ascii="Arial" w:hAnsi="Arial" w:cs="Arial"/>
        </w:rPr>
        <w:t>the predictability of gas viscosity of Yemeni gas fields using machine learning techniques. They investigated the performance K-nearest neighbors, random forest, multiple linear regression, and decision tree using 440 data points collected from different Yemeni gas fields. They found that the decision tree model predicted the gas viscosity with higher accuracy and outperformed other models</w:t>
      </w:r>
      <w:r w:rsidR="003E4269">
        <w:rPr>
          <w:rFonts w:ascii="Arial" w:hAnsi="Arial" w:cs="Arial"/>
        </w:rPr>
        <w:t>”</w:t>
      </w:r>
      <w:r w:rsidRPr="00055276">
        <w:rPr>
          <w:rFonts w:ascii="Arial" w:hAnsi="Arial" w:cs="Arial"/>
        </w:rPr>
        <w:t>.</w:t>
      </w:r>
    </w:p>
    <w:p w14:paraId="207A44AF" w14:textId="6C166420" w:rsidR="00055276" w:rsidRPr="00055276" w:rsidRDefault="00055276" w:rsidP="00055276">
      <w:pPr>
        <w:jc w:val="both"/>
        <w:rPr>
          <w:rFonts w:ascii="Arial" w:hAnsi="Arial" w:cs="Arial"/>
        </w:rPr>
      </w:pPr>
      <w:r w:rsidRPr="00055276">
        <w:rPr>
          <w:rFonts w:ascii="Arial" w:hAnsi="Arial" w:cs="Arial"/>
        </w:rPr>
        <w:t xml:space="preserve">Al-Gathe et al. </w:t>
      </w:r>
      <w:r>
        <w:rPr>
          <w:rFonts w:ascii="Arial" w:hAnsi="Arial" w:cs="Arial"/>
        </w:rPr>
        <w:t>[20]</w:t>
      </w:r>
      <w:r w:rsidRPr="00055276">
        <w:rPr>
          <w:rFonts w:ascii="Arial" w:hAnsi="Arial" w:cs="Arial"/>
        </w:rPr>
        <w:t xml:space="preserve"> </w:t>
      </w:r>
      <w:r w:rsidR="00A60BA1">
        <w:rPr>
          <w:rFonts w:ascii="Arial" w:hAnsi="Arial" w:cs="Arial"/>
        </w:rPr>
        <w:t xml:space="preserve">used </w:t>
      </w:r>
      <w:r w:rsidR="003E4269">
        <w:rPr>
          <w:rFonts w:ascii="Arial" w:hAnsi="Arial" w:cs="Arial"/>
        </w:rPr>
        <w:t>“</w:t>
      </w:r>
      <w:r w:rsidRPr="00055276">
        <w:rPr>
          <w:rFonts w:ascii="Arial" w:hAnsi="Arial" w:cs="Arial"/>
        </w:rPr>
        <w:t>hybridized ANN and PSO algorithms to estimate gas viscosity using a total of 868 data points experimentally obtained from Yemen gas field. The PSO algorithm was employed to search for optimal connection weights and thresholds for the neural networks (NN), then the back-propagation learning rule and training algorithm were used to adjust the final weights. Their study showed that the hybridized model is more reliable and accurate when compared to ANN and other models, with an absolute percentage relative error and mean square error of 2.76 and 5.49, respectively</w:t>
      </w:r>
      <w:r w:rsidR="003E4269">
        <w:rPr>
          <w:rFonts w:ascii="Arial" w:hAnsi="Arial" w:cs="Arial"/>
        </w:rPr>
        <w:t>”</w:t>
      </w:r>
      <w:r w:rsidRPr="00055276">
        <w:rPr>
          <w:rFonts w:ascii="Arial" w:hAnsi="Arial" w:cs="Arial"/>
        </w:rPr>
        <w:t>.</w:t>
      </w:r>
    </w:p>
    <w:p w14:paraId="0DA9B000" w14:textId="44B3D8BF" w:rsidR="00055276" w:rsidRPr="00055276" w:rsidRDefault="00055276" w:rsidP="00055276">
      <w:pPr>
        <w:jc w:val="both"/>
        <w:rPr>
          <w:rFonts w:ascii="Arial" w:hAnsi="Arial" w:cs="Arial"/>
        </w:rPr>
      </w:pPr>
      <w:r w:rsidRPr="00055276">
        <w:rPr>
          <w:rFonts w:ascii="Arial" w:hAnsi="Arial" w:cs="Arial"/>
        </w:rPr>
        <w:t xml:space="preserve">Daniel </w:t>
      </w:r>
      <w:r>
        <w:rPr>
          <w:rFonts w:ascii="Arial" w:hAnsi="Arial" w:cs="Arial"/>
        </w:rPr>
        <w:t>[21]</w:t>
      </w:r>
      <w:r w:rsidRPr="00055276">
        <w:rPr>
          <w:rFonts w:ascii="Arial" w:hAnsi="Arial" w:cs="Arial"/>
        </w:rPr>
        <w:t xml:space="preserve"> developed </w:t>
      </w:r>
      <w:r w:rsidR="003E4269">
        <w:rPr>
          <w:rFonts w:ascii="Arial" w:hAnsi="Arial" w:cs="Arial"/>
        </w:rPr>
        <w:t>“</w:t>
      </w:r>
      <w:r w:rsidRPr="00055276">
        <w:rPr>
          <w:rFonts w:ascii="Arial" w:hAnsi="Arial" w:cs="Arial"/>
        </w:rPr>
        <w:t>support vector machine (SVM) model that is adapted to specific reservoir conditions and found out that SVM trained with a polynomial kernel exhibits superior performance compared to SVM trained with linear and RBF kernels</w:t>
      </w:r>
      <w:r w:rsidR="003E4269">
        <w:rPr>
          <w:rFonts w:ascii="Arial" w:hAnsi="Arial" w:cs="Arial"/>
        </w:rPr>
        <w:t>”</w:t>
      </w:r>
      <w:r w:rsidRPr="00055276">
        <w:rPr>
          <w:rFonts w:ascii="Arial" w:hAnsi="Arial" w:cs="Arial"/>
        </w:rPr>
        <w:t>.</w:t>
      </w:r>
    </w:p>
    <w:p w14:paraId="093C4336" w14:textId="614FEB3A" w:rsidR="00026EE5" w:rsidRDefault="00055276" w:rsidP="00B30ED6">
      <w:pPr>
        <w:jc w:val="both"/>
        <w:rPr>
          <w:rFonts w:ascii="Arial" w:hAnsi="Arial" w:cs="Arial"/>
        </w:rPr>
      </w:pPr>
      <w:r w:rsidRPr="00055276">
        <w:rPr>
          <w:rFonts w:ascii="Arial" w:hAnsi="Arial" w:cs="Arial"/>
        </w:rPr>
        <w:t xml:space="preserve">Gomaa et al. </w:t>
      </w:r>
      <w:r>
        <w:rPr>
          <w:rFonts w:ascii="Arial" w:hAnsi="Arial" w:cs="Arial"/>
        </w:rPr>
        <w:t>[22]</w:t>
      </w:r>
      <w:r w:rsidRPr="00055276">
        <w:rPr>
          <w:rFonts w:ascii="Arial" w:hAnsi="Arial" w:cs="Arial"/>
        </w:rPr>
        <w:t xml:space="preserve"> predicted </w:t>
      </w:r>
      <w:r w:rsidR="003E4269">
        <w:rPr>
          <w:rFonts w:ascii="Arial" w:hAnsi="Arial" w:cs="Arial"/>
        </w:rPr>
        <w:t>“</w:t>
      </w:r>
      <w:r w:rsidRPr="00055276">
        <w:rPr>
          <w:rFonts w:ascii="Arial" w:hAnsi="Arial" w:cs="Arial"/>
        </w:rPr>
        <w:t>the viscosities of methane, nitrogen, and natural gas mixture from more than 4304 experimental data points using decision trees, Nu support vector regression (</w:t>
      </w:r>
      <w:proofErr w:type="spellStart"/>
      <w:r w:rsidRPr="00055276">
        <w:rPr>
          <w:rFonts w:ascii="Arial" w:hAnsi="Arial" w:cs="Arial"/>
        </w:rPr>
        <w:t>NuSVR</w:t>
      </w:r>
      <w:proofErr w:type="spellEnd"/>
      <w:r w:rsidRPr="00055276">
        <w:rPr>
          <w:rFonts w:ascii="Arial" w:hAnsi="Arial" w:cs="Arial"/>
        </w:rPr>
        <w:t xml:space="preserve">), random forest (RF), artificial neural networks (ANN), gradient boosting, linear regression, and K-nearest neighbors. Their results revealed that RF, ANN, and gradient boosting performed better with a coefficient of determination (R²) of 0.99, while the linear regression and </w:t>
      </w:r>
      <w:proofErr w:type="spellStart"/>
      <w:r w:rsidRPr="00055276">
        <w:rPr>
          <w:rFonts w:ascii="Arial" w:hAnsi="Arial" w:cs="Arial"/>
        </w:rPr>
        <w:t>NuSVR</w:t>
      </w:r>
      <w:proofErr w:type="spellEnd"/>
      <w:r w:rsidRPr="00055276">
        <w:rPr>
          <w:rFonts w:ascii="Arial" w:hAnsi="Arial" w:cs="Arial"/>
        </w:rPr>
        <w:t xml:space="preserve"> performed poorly with a coefficient of determination (R²) of 0.07 and −0.01, respectively</w:t>
      </w:r>
      <w:r w:rsidR="003E4269">
        <w:rPr>
          <w:rFonts w:ascii="Arial" w:hAnsi="Arial" w:cs="Arial"/>
        </w:rPr>
        <w:t>”</w:t>
      </w:r>
      <w:r w:rsidRPr="00055276">
        <w:rPr>
          <w:rFonts w:ascii="Arial" w:hAnsi="Arial" w:cs="Arial"/>
        </w:rPr>
        <w:t>.</w:t>
      </w:r>
    </w:p>
    <w:p w14:paraId="67EB2576" w14:textId="77777777" w:rsidR="00026EE5" w:rsidRPr="00261573" w:rsidRDefault="00026EE5" w:rsidP="00B30ED6">
      <w:pPr>
        <w:jc w:val="both"/>
        <w:rPr>
          <w:rFonts w:ascii="Arial" w:hAnsi="Arial" w:cs="Arial"/>
        </w:rPr>
      </w:pPr>
    </w:p>
    <w:p w14:paraId="43091E92" w14:textId="77777777" w:rsidR="00B30ED6" w:rsidRPr="00B30ED6" w:rsidRDefault="00B30ED6" w:rsidP="00B30ED6">
      <w:pPr>
        <w:rPr>
          <w:rFonts w:ascii="Arial" w:hAnsi="Arial" w:cs="Arial"/>
          <w:b/>
          <w:bCs/>
          <w:sz w:val="22"/>
        </w:rPr>
      </w:pPr>
      <w:bookmarkStart w:id="0" w:name="_Toc211071053"/>
      <w:r w:rsidRPr="00B30ED6">
        <w:rPr>
          <w:rFonts w:ascii="Arial" w:hAnsi="Arial" w:cs="Arial"/>
          <w:b/>
          <w:bCs/>
          <w:sz w:val="22"/>
        </w:rPr>
        <w:t>1.1</w:t>
      </w:r>
      <w:r w:rsidRPr="00B30ED6">
        <w:rPr>
          <w:rFonts w:ascii="Arial" w:hAnsi="Arial" w:cs="Arial"/>
          <w:b/>
          <w:bCs/>
          <w:sz w:val="22"/>
        </w:rPr>
        <w:tab/>
        <w:t>Limitations of Existing Correlations in the Niger Delta Context</w:t>
      </w:r>
      <w:bookmarkEnd w:id="0"/>
    </w:p>
    <w:p w14:paraId="4FE6A6CC" w14:textId="77777777" w:rsidR="00B30ED6" w:rsidRPr="00261573" w:rsidRDefault="00B30ED6" w:rsidP="00B30ED6">
      <w:pPr>
        <w:jc w:val="both"/>
        <w:rPr>
          <w:rFonts w:ascii="Arial" w:hAnsi="Arial" w:cs="Arial"/>
        </w:rPr>
      </w:pPr>
      <w:r w:rsidRPr="00261573">
        <w:rPr>
          <w:rFonts w:ascii="Arial" w:hAnsi="Arial" w:cs="Arial"/>
        </w:rPr>
        <w:t>Despite being reported as accurate and reliable on a global scale, the applicability of these correlations has been found to be less accurate to the Niger Delta gas reservoirs. These inaccuracies can be a result of variation in data quality and quantity used in the development of the model, different geological settings, gas composition, and pressure-temperature conditions.</w:t>
      </w:r>
    </w:p>
    <w:p w14:paraId="5E99BF31" w14:textId="77777777" w:rsidR="00B30ED6" w:rsidRPr="00B30ED6" w:rsidRDefault="00B30ED6" w:rsidP="00B30ED6">
      <w:pPr>
        <w:rPr>
          <w:rFonts w:ascii="Arial" w:hAnsi="Arial" w:cs="Arial"/>
          <w:b/>
          <w:bCs/>
          <w:sz w:val="22"/>
        </w:rPr>
      </w:pPr>
      <w:bookmarkStart w:id="1" w:name="_Toc211071055"/>
      <w:r w:rsidRPr="00B30ED6">
        <w:rPr>
          <w:rFonts w:ascii="Arial" w:hAnsi="Arial" w:cs="Arial"/>
          <w:b/>
          <w:bCs/>
          <w:sz w:val="22"/>
        </w:rPr>
        <w:t>1.2</w:t>
      </w:r>
      <w:r>
        <w:rPr>
          <w:rFonts w:ascii="Arial" w:hAnsi="Arial" w:cs="Arial"/>
          <w:b/>
          <w:bCs/>
          <w:sz w:val="22"/>
        </w:rPr>
        <w:tab/>
      </w:r>
      <w:r w:rsidRPr="00B30ED6">
        <w:rPr>
          <w:rFonts w:ascii="Arial" w:hAnsi="Arial" w:cs="Arial"/>
          <w:b/>
          <w:bCs/>
          <w:sz w:val="22"/>
        </w:rPr>
        <w:t>Studies on Gas Viscosity Correlation for the Niger Delta Region</w:t>
      </w:r>
      <w:bookmarkEnd w:id="1"/>
    </w:p>
    <w:p w14:paraId="4B48A7E5" w14:textId="3A35301E" w:rsidR="00B30ED6" w:rsidRPr="00261573" w:rsidRDefault="00B30ED6" w:rsidP="00B30ED6">
      <w:pPr>
        <w:jc w:val="both"/>
        <w:rPr>
          <w:rFonts w:ascii="Arial" w:hAnsi="Arial" w:cs="Arial"/>
        </w:rPr>
      </w:pPr>
      <w:r w:rsidRPr="00261573">
        <w:rPr>
          <w:rFonts w:ascii="Arial" w:hAnsi="Arial" w:cs="Arial"/>
        </w:rPr>
        <w:t xml:space="preserve">According to </w:t>
      </w:r>
      <w:proofErr w:type="spellStart"/>
      <w:r w:rsidRPr="00261573">
        <w:rPr>
          <w:rFonts w:ascii="Arial" w:hAnsi="Arial" w:cs="Arial"/>
        </w:rPr>
        <w:t>Ohirhian</w:t>
      </w:r>
      <w:proofErr w:type="spellEnd"/>
      <w:r w:rsidRPr="00261573">
        <w:rPr>
          <w:rFonts w:ascii="Arial" w:hAnsi="Arial" w:cs="Arial"/>
        </w:rPr>
        <w:t xml:space="preserve"> and Abu [8], the Carr-Kobayashi-Burrows correlation gave, on average, an absolute error that ranged from 0.00 to 10.68% for Nigeria's natural gas system, while the Lee-Gonzalez-Eakin correlation even gave higher absolute errors. Based on this claim, they developed a new equation for estimating the viscosity of Nigerian natural gas under reservoir conditions of 144–4100 psia and 130–220°F. </w:t>
      </w:r>
      <w:r w:rsidR="003E4269">
        <w:rPr>
          <w:rFonts w:ascii="Arial" w:hAnsi="Arial" w:cs="Arial"/>
        </w:rPr>
        <w:t>“</w:t>
      </w:r>
      <w:r w:rsidRPr="00261573">
        <w:rPr>
          <w:rFonts w:ascii="Arial" w:hAnsi="Arial" w:cs="Arial"/>
        </w:rPr>
        <w:t>Using experimental PVT data of associated gas reservoirs sourced from renowned oil and gas companies in Nigeria, their developed correlation for gas viscosity gave an average absolute error of 1.55%, a maximum absolute error of 4.878%, and a standard deviation of 1.29. To also test for universal applicability of the developed correlation, the developed correlation was used to solve two problems for which solutions by the Carr-Kobayashi-Burrows correlation were available in textbooks and calculated equal values</w:t>
      </w:r>
      <w:r w:rsidR="003E4269">
        <w:rPr>
          <w:rFonts w:ascii="Arial" w:hAnsi="Arial" w:cs="Arial"/>
        </w:rPr>
        <w:t>”</w:t>
      </w:r>
      <w:r w:rsidRPr="00261573">
        <w:rPr>
          <w:rFonts w:ascii="Arial" w:hAnsi="Arial" w:cs="Arial"/>
        </w:rPr>
        <w:t xml:space="preserve"> [</w:t>
      </w:r>
      <w:r w:rsidR="00055276">
        <w:rPr>
          <w:rFonts w:ascii="Arial" w:hAnsi="Arial" w:cs="Arial"/>
        </w:rPr>
        <w:t>23</w:t>
      </w:r>
      <w:r w:rsidRPr="00261573">
        <w:rPr>
          <w:rFonts w:ascii="Arial" w:hAnsi="Arial" w:cs="Arial"/>
        </w:rPr>
        <w:t xml:space="preserve">, </w:t>
      </w:r>
      <w:r w:rsidR="00055276">
        <w:rPr>
          <w:rFonts w:ascii="Arial" w:hAnsi="Arial" w:cs="Arial"/>
        </w:rPr>
        <w:t>24</w:t>
      </w:r>
      <w:r w:rsidRPr="00261573">
        <w:rPr>
          <w:rFonts w:ascii="Arial" w:hAnsi="Arial" w:cs="Arial"/>
        </w:rPr>
        <w:t xml:space="preserve">]. </w:t>
      </w:r>
      <w:proofErr w:type="spellStart"/>
      <w:r w:rsidRPr="00261573">
        <w:rPr>
          <w:rFonts w:ascii="Arial" w:hAnsi="Arial" w:cs="Arial"/>
        </w:rPr>
        <w:t>Anyiador</w:t>
      </w:r>
      <w:proofErr w:type="spellEnd"/>
      <w:r w:rsidRPr="00261573">
        <w:rPr>
          <w:rFonts w:ascii="Arial" w:hAnsi="Arial" w:cs="Arial"/>
        </w:rPr>
        <w:t xml:space="preserve"> et al. [9] evaluated gas viscosity correlations for the Niger Delta gas reservoirs. The following correlations: Dempsey, 1965; Lee et al., 1966; Londono et al., 2002; and </w:t>
      </w:r>
      <w:proofErr w:type="spellStart"/>
      <w:r w:rsidRPr="00261573">
        <w:rPr>
          <w:rFonts w:ascii="Arial" w:hAnsi="Arial" w:cs="Arial"/>
        </w:rPr>
        <w:t>Ohirhian</w:t>
      </w:r>
      <w:proofErr w:type="spellEnd"/>
      <w:r w:rsidRPr="00261573">
        <w:rPr>
          <w:rFonts w:ascii="Arial" w:hAnsi="Arial" w:cs="Arial"/>
        </w:rPr>
        <w:t xml:space="preserve"> and Abu, 2009, were evaluated using statistical analysis, the Multiple Statistical Optimization Model (MULSON), and performance plots of 319 experimental PVT data obtained from Niger Delta gas reservoirs. Dempsey's correlation was ranked best with the numerical value of 0.705 and the best performance plot. They reported that their work is valid for a data range of 1.4 ≥ Tr ≥ 1.90 and 0.2 ≥ </w:t>
      </w:r>
      <w:proofErr w:type="spellStart"/>
      <w:r w:rsidRPr="00261573">
        <w:rPr>
          <w:rFonts w:ascii="Arial" w:hAnsi="Arial" w:cs="Arial"/>
        </w:rPr>
        <w:t>Pr</w:t>
      </w:r>
      <w:proofErr w:type="spellEnd"/>
      <w:r w:rsidRPr="00261573">
        <w:rPr>
          <w:rFonts w:ascii="Arial" w:hAnsi="Arial" w:cs="Arial"/>
        </w:rPr>
        <w:t xml:space="preserve"> ≥ 10.08, and based on the analyzed Dempsey correlation for the Niger Delta region, they developed charts of viscosity against pseudo-reduced pressure and temperature as well as viscosity ratio versus pseudo-reduced pressure and temperature.</w:t>
      </w:r>
    </w:p>
    <w:p w14:paraId="3D5DE804" w14:textId="5B35F7D5" w:rsidR="00B30ED6" w:rsidRPr="00261573" w:rsidRDefault="00B30ED6" w:rsidP="00B30ED6">
      <w:pPr>
        <w:jc w:val="both"/>
        <w:rPr>
          <w:rFonts w:ascii="Arial" w:hAnsi="Arial" w:cs="Arial"/>
        </w:rPr>
      </w:pPr>
      <w:r w:rsidRPr="00261573">
        <w:rPr>
          <w:rFonts w:ascii="Arial" w:hAnsi="Arial" w:cs="Arial"/>
        </w:rPr>
        <w:lastRenderedPageBreak/>
        <w:t>Azubuike et al. [</w:t>
      </w:r>
      <w:r w:rsidR="00055276">
        <w:rPr>
          <w:rFonts w:ascii="Arial" w:hAnsi="Arial" w:cs="Arial"/>
        </w:rPr>
        <w:t>25</w:t>
      </w:r>
      <w:r w:rsidRPr="00261573">
        <w:rPr>
          <w:rFonts w:ascii="Arial" w:hAnsi="Arial" w:cs="Arial"/>
        </w:rPr>
        <w:t xml:space="preserve">] researched </w:t>
      </w:r>
      <w:r w:rsidR="003E4269">
        <w:rPr>
          <w:rFonts w:ascii="Arial" w:hAnsi="Arial" w:cs="Arial"/>
        </w:rPr>
        <w:t>“</w:t>
      </w:r>
      <w:r w:rsidRPr="00261573">
        <w:rPr>
          <w:rFonts w:ascii="Arial" w:hAnsi="Arial" w:cs="Arial"/>
        </w:rPr>
        <w:t>the applicability of existing gas viscosity correlations for high-pressure and high-temperature (HPHT) gas reservoirs. To justify their claim that existing correlation models were derived using experimental data at low to moderate pressure and temperatures and that using the extrapolation approach is not reliable, they presented a comparative study of some existing gas viscosity correlations</w:t>
      </w:r>
      <w:r w:rsidR="003E4269">
        <w:rPr>
          <w:rFonts w:ascii="Arial" w:hAnsi="Arial" w:cs="Arial"/>
        </w:rPr>
        <w:t>”</w:t>
      </w:r>
      <w:bookmarkStart w:id="2" w:name="_GoBack"/>
      <w:bookmarkEnd w:id="2"/>
      <w:r w:rsidRPr="00261573">
        <w:rPr>
          <w:rFonts w:ascii="Arial" w:hAnsi="Arial" w:cs="Arial"/>
        </w:rPr>
        <w:t xml:space="preserve"> (Dempsey, 1965; Lee et al., 1966; and </w:t>
      </w:r>
      <w:proofErr w:type="spellStart"/>
      <w:r w:rsidRPr="00261573">
        <w:rPr>
          <w:rFonts w:ascii="Arial" w:hAnsi="Arial" w:cs="Arial"/>
        </w:rPr>
        <w:t>Ohirhian</w:t>
      </w:r>
      <w:proofErr w:type="spellEnd"/>
      <w:r w:rsidRPr="00261573">
        <w:rPr>
          <w:rFonts w:ascii="Arial" w:hAnsi="Arial" w:cs="Arial"/>
        </w:rPr>
        <w:t xml:space="preserve"> and Abu, 2009) against gas viscosity at 6000–14000 psia and 270–370°F experimentally determined in the laboratory using a capillary electromagnetic viscometer. Their research showed that </w:t>
      </w:r>
      <w:r w:rsidRPr="00261573">
        <w:rPr>
          <w:rFonts w:ascii="Arial" w:hAnsi="Arial" w:cs="Arial"/>
          <w:vertAlign w:val="superscript"/>
        </w:rPr>
        <w:t>[8]</w:t>
      </w:r>
      <w:r w:rsidRPr="00261573">
        <w:rPr>
          <w:rFonts w:ascii="Arial" w:hAnsi="Arial" w:cs="Arial"/>
        </w:rPr>
        <w:t xml:space="preserve"> outperform other evaluated correlations for the temperature of 270°F with the relative mean error of -5.22 and absolute mean error of 8.752, while</w:t>
      </w:r>
      <w:r w:rsidR="00055276">
        <w:rPr>
          <w:rFonts w:ascii="Arial" w:hAnsi="Arial" w:cs="Arial"/>
        </w:rPr>
        <w:t xml:space="preserve"> [6] </w:t>
      </w:r>
      <w:r w:rsidRPr="00261573">
        <w:rPr>
          <w:rFonts w:ascii="Arial" w:hAnsi="Arial" w:cs="Arial"/>
        </w:rPr>
        <w:t>predicts gas viscosity better for 370°F with a relative mean error of -16.88 and absolute mean error of 16.88. They concluded that the comparative study proved that the existing gas viscosity correlations commonly used in the industry are not very reliable at HPHT conditions and that the oil and gas industry needed new gas viscosity correlations that can predict gas viscosity in the HPHT region better. Azubuike et al. [10], at HPHT conditions (above 10,000 psia and 300°F), developed a comprehensive model that predicts the viscosity of natural gas using Microsoft Excel Solver as the development tool. They obtained 154 data sets from the Niger Delta region of Nigeria and carried out quantitative and qualitative assessments to evaluate the degree of accuracy of the developed model to the experimental data relative to existing empirical correlations. They reported that, using the same data, the developed gas viscosity correlation outperformed other selected existing correlations and gave an average mean error of 3.4443, a coefficient of correlation of 0.9556, and a rank of 2.004. Their developed correlation depends on temperature (°R), pressure (psia), and gas density (</w:t>
      </w:r>
      <w:proofErr w:type="spellStart"/>
      <w:r w:rsidRPr="00261573">
        <w:rPr>
          <w:rFonts w:ascii="Arial" w:hAnsi="Arial" w:cs="Arial"/>
        </w:rPr>
        <w:t>lb</w:t>
      </w:r>
      <w:proofErr w:type="spellEnd"/>
      <w:r w:rsidRPr="00261573">
        <w:rPr>
          <w:rFonts w:ascii="Arial" w:hAnsi="Arial" w:cs="Arial"/>
        </w:rPr>
        <w:t xml:space="preserve">/ft³), and it is applicable to 1.8 ≤ Tr ≤ 3.0 and 10 ≤ </w:t>
      </w:r>
      <w:proofErr w:type="spellStart"/>
      <w:r w:rsidRPr="00261573">
        <w:rPr>
          <w:rFonts w:ascii="Arial" w:hAnsi="Arial" w:cs="Arial"/>
        </w:rPr>
        <w:t>Pr</w:t>
      </w:r>
      <w:proofErr w:type="spellEnd"/>
      <w:r w:rsidRPr="00261573">
        <w:rPr>
          <w:rFonts w:ascii="Arial" w:hAnsi="Arial" w:cs="Arial"/>
        </w:rPr>
        <w:t xml:space="preserve"> ≤ 20.</w:t>
      </w:r>
    </w:p>
    <w:p w14:paraId="569AA38A" w14:textId="50ED62C2" w:rsidR="00B30ED6" w:rsidRPr="00261573" w:rsidRDefault="00B30ED6" w:rsidP="00B30ED6">
      <w:pPr>
        <w:jc w:val="both"/>
        <w:rPr>
          <w:rFonts w:ascii="Arial" w:hAnsi="Arial" w:cs="Arial"/>
        </w:rPr>
      </w:pPr>
      <w:r w:rsidRPr="00261573">
        <w:rPr>
          <w:rFonts w:ascii="Arial" w:hAnsi="Arial" w:cs="Arial"/>
        </w:rPr>
        <w:t xml:space="preserve">Azubuike and </w:t>
      </w:r>
      <w:proofErr w:type="spellStart"/>
      <w:r w:rsidRPr="00261573">
        <w:rPr>
          <w:rFonts w:ascii="Arial" w:hAnsi="Arial" w:cs="Arial"/>
        </w:rPr>
        <w:t>Ikiensikimama</w:t>
      </w:r>
      <w:proofErr w:type="spellEnd"/>
      <w:r w:rsidRPr="00261573">
        <w:rPr>
          <w:rFonts w:ascii="Arial" w:hAnsi="Arial" w:cs="Arial"/>
        </w:rPr>
        <w:t xml:space="preserve"> [2</w:t>
      </w:r>
      <w:r w:rsidR="00055276">
        <w:rPr>
          <w:rFonts w:ascii="Arial" w:hAnsi="Arial" w:cs="Arial"/>
        </w:rPr>
        <w:t>6</w:t>
      </w:r>
      <w:r w:rsidRPr="00261573">
        <w:rPr>
          <w:rFonts w:ascii="Arial" w:hAnsi="Arial" w:cs="Arial"/>
        </w:rPr>
        <w:t xml:space="preserve">] acted on the reports of many scholars that intelligent predictive models like Artificial Neural Network (ANN) and Adaptive Neuro-fuzzy System (ANFIS) give better accuracy compared to empirical models. They developed a model that predicts gas viscosity at HPHT conditions (above 10,000 psia and 300°F) using an artificial neural network (MATLAB ANN tool) on 154 laboratory-measured data from the Niger Delta. They divided the data into training, validation, and testing datasets in a 3:1:1 ratio and assessed the accuracy of the new model compared to the existing empirical correlations. The ANN gas viscosity model outperformed other models, having a correlation coefficient (R) of 0.995, a mean absolute error of 4.3416, and a rank of 2.4639. Fortune and </w:t>
      </w:r>
      <w:proofErr w:type="spellStart"/>
      <w:r w:rsidRPr="00261573">
        <w:rPr>
          <w:rFonts w:ascii="Arial" w:hAnsi="Arial" w:cs="Arial"/>
        </w:rPr>
        <w:t>Mbachu</w:t>
      </w:r>
      <w:proofErr w:type="spellEnd"/>
      <w:r w:rsidRPr="00261573">
        <w:rPr>
          <w:rFonts w:ascii="Arial" w:hAnsi="Arial" w:cs="Arial"/>
        </w:rPr>
        <w:t xml:space="preserve"> [2</w:t>
      </w:r>
      <w:r w:rsidR="00055276">
        <w:rPr>
          <w:rFonts w:ascii="Arial" w:hAnsi="Arial" w:cs="Arial"/>
        </w:rPr>
        <w:t>7</w:t>
      </w:r>
      <w:r w:rsidRPr="00261573">
        <w:rPr>
          <w:rFonts w:ascii="Arial" w:hAnsi="Arial" w:cs="Arial"/>
        </w:rPr>
        <w:t>] developed a natural gas viscosity prediction model using support vector machines (SVMs). The MATLAB SVMs module was employed in building the model using 332 data sets from the Niger Delta region of Nigeria. Quantitative and qualitative assessments were employed to evaluate the accuracy of the model for both artificial neural networks (ANNs) and some of the existing empirical correlations. The new SVM gas viscosity model gave an excellent prediction when compared to other natural gas viscosity models, with a mean relative error of 1.0937 and a rank of 1.0934. It also gave the best forecast over the artificial neural network model, which has a mean relative error of 2.6126 and a rank of 1.0937.</w:t>
      </w:r>
    </w:p>
    <w:p w14:paraId="0580C6EB" w14:textId="77777777" w:rsidR="00790ADA" w:rsidRPr="00FB3A86" w:rsidRDefault="00790ADA" w:rsidP="00441B6F">
      <w:pPr>
        <w:pStyle w:val="Body"/>
        <w:spacing w:after="0"/>
        <w:rPr>
          <w:rFonts w:ascii="Arial" w:hAnsi="Arial" w:cs="Arial"/>
        </w:rPr>
      </w:pPr>
    </w:p>
    <w:p w14:paraId="385BDA6C" w14:textId="68BE6821"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6D72BCA" w14:textId="77777777" w:rsidR="00790ADA" w:rsidRPr="00FB3A86" w:rsidRDefault="00790ADA" w:rsidP="00441B6F">
      <w:pPr>
        <w:pStyle w:val="AbstHead"/>
        <w:spacing w:after="0"/>
        <w:jc w:val="both"/>
        <w:rPr>
          <w:rFonts w:ascii="Arial" w:hAnsi="Arial" w:cs="Arial"/>
        </w:rPr>
      </w:pPr>
    </w:p>
    <w:p w14:paraId="77B7B3F4" w14:textId="77777777" w:rsidR="00B30ED6" w:rsidRPr="00B30ED6" w:rsidRDefault="00B30ED6" w:rsidP="00B30ED6">
      <w:pPr>
        <w:jc w:val="both"/>
        <w:rPr>
          <w:rFonts w:ascii="Arial" w:hAnsi="Arial" w:cs="Arial"/>
          <w:b/>
          <w:bCs/>
          <w:sz w:val="22"/>
        </w:rPr>
      </w:pPr>
      <w:r w:rsidRPr="00B30ED6">
        <w:rPr>
          <w:rFonts w:ascii="Arial" w:hAnsi="Arial" w:cs="Arial"/>
          <w:b/>
          <w:bCs/>
          <w:sz w:val="22"/>
        </w:rPr>
        <w:t>2.1</w:t>
      </w:r>
      <w:r w:rsidRPr="00B30ED6">
        <w:rPr>
          <w:rFonts w:ascii="Arial" w:hAnsi="Arial" w:cs="Arial"/>
          <w:b/>
          <w:bCs/>
          <w:sz w:val="22"/>
        </w:rPr>
        <w:tab/>
        <w:t>Selection of industry-standard correlation</w:t>
      </w:r>
    </w:p>
    <w:p w14:paraId="5D7F9418" w14:textId="77777777" w:rsidR="00B30ED6" w:rsidRPr="00261573" w:rsidRDefault="00B30ED6" w:rsidP="00B30ED6">
      <w:pPr>
        <w:jc w:val="both"/>
        <w:rPr>
          <w:rFonts w:ascii="Arial" w:hAnsi="Arial" w:cs="Arial"/>
        </w:rPr>
      </w:pPr>
      <w:r w:rsidRPr="00261573">
        <w:rPr>
          <w:rFonts w:ascii="Arial" w:hAnsi="Arial" w:cs="Arial"/>
        </w:rPr>
        <w:t>Carr-Kobayashi-Burrows correlation (modified by Dempsey and Standing) and Lee, Gonzalez, and Eakin correlation were selected for evaluation based on their sound theoretical basis and recommendations from research works reviewed in the study area.</w:t>
      </w:r>
    </w:p>
    <w:p w14:paraId="026151B0" w14:textId="77777777" w:rsidR="00B30ED6" w:rsidRPr="00B30ED6" w:rsidRDefault="00B30ED6" w:rsidP="00B30ED6">
      <w:pPr>
        <w:jc w:val="both"/>
        <w:rPr>
          <w:rFonts w:ascii="Arial" w:hAnsi="Arial" w:cs="Arial"/>
          <w:b/>
          <w:bCs/>
          <w:sz w:val="22"/>
        </w:rPr>
      </w:pPr>
      <w:r w:rsidRPr="00B30ED6">
        <w:rPr>
          <w:rFonts w:ascii="Arial" w:hAnsi="Arial" w:cs="Arial"/>
          <w:b/>
          <w:bCs/>
          <w:sz w:val="22"/>
        </w:rPr>
        <w:t>2.2</w:t>
      </w:r>
      <w:r w:rsidRPr="00B30ED6">
        <w:rPr>
          <w:rFonts w:ascii="Arial" w:hAnsi="Arial" w:cs="Arial"/>
          <w:b/>
          <w:bCs/>
          <w:sz w:val="22"/>
        </w:rPr>
        <w:tab/>
        <w:t xml:space="preserve">Data Acquisition and Processing </w:t>
      </w:r>
    </w:p>
    <w:p w14:paraId="6A876ECE" w14:textId="77777777" w:rsidR="00B30ED6" w:rsidRDefault="00B30ED6" w:rsidP="00B30ED6">
      <w:pPr>
        <w:jc w:val="both"/>
        <w:rPr>
          <w:rFonts w:ascii="Arial" w:hAnsi="Arial" w:cs="Arial"/>
        </w:rPr>
      </w:pPr>
      <w:r w:rsidRPr="00261573">
        <w:rPr>
          <w:rFonts w:ascii="Arial" w:hAnsi="Arial" w:cs="Arial"/>
        </w:rPr>
        <w:t xml:space="preserve">The datasets used in this study comprise gas reservoir parameters (5,511 data points) experimentally obtained from fields in the Niger Delta basin. The datasets were subjected to data cleaning, preprocessing, feature engineering, and feature selection before applying to evaluate the original correlations and optimized. Table 1 shows the descriptive statistics of the processed dataset for gas viscosity and </w:t>
      </w:r>
      <w:r>
        <w:rPr>
          <w:rFonts w:ascii="Arial" w:hAnsi="Arial" w:cs="Arial"/>
        </w:rPr>
        <w:t>F</w:t>
      </w:r>
      <w:r w:rsidRPr="00261573">
        <w:rPr>
          <w:rFonts w:ascii="Arial" w:hAnsi="Arial" w:cs="Arial"/>
        </w:rPr>
        <w:t xml:space="preserve">igures 1 and 2 visualize the relationships existing in </w:t>
      </w:r>
      <w:r w:rsidRPr="00261573">
        <w:rPr>
          <w:rFonts w:ascii="Arial" w:hAnsi="Arial" w:cs="Arial"/>
        </w:rPr>
        <w:lastRenderedPageBreak/>
        <w:t>the datasets. The dataset was then divided into training and testing dataset in ratio of 80/20. Python programs were written for each correlation to compute the gas viscosity.</w:t>
      </w:r>
    </w:p>
    <w:p w14:paraId="68B2B292" w14:textId="77777777" w:rsidR="00026EE5" w:rsidRPr="00261573" w:rsidRDefault="00026EE5" w:rsidP="00B30ED6">
      <w:pPr>
        <w:jc w:val="both"/>
        <w:rPr>
          <w:rFonts w:ascii="Arial" w:hAnsi="Arial" w:cs="Arial"/>
        </w:rPr>
      </w:pPr>
    </w:p>
    <w:p w14:paraId="2A7984CD" w14:textId="77777777" w:rsidR="00B30ED6" w:rsidRPr="00261573" w:rsidRDefault="00B30ED6" w:rsidP="00B30ED6">
      <w:pPr>
        <w:jc w:val="both"/>
        <w:rPr>
          <w:rFonts w:ascii="Arial" w:hAnsi="Arial" w:cs="Arial"/>
        </w:rPr>
      </w:pPr>
      <w:bookmarkStart w:id="3" w:name="_Hlk211067379"/>
      <w:r w:rsidRPr="00261573">
        <w:rPr>
          <w:rFonts w:ascii="Arial" w:hAnsi="Arial" w:cs="Arial"/>
        </w:rPr>
        <w:t>Table 1: Descriptive Statistics for Gas Viscosity Dataset</w:t>
      </w:r>
      <w:bookmarkEnd w:id="3"/>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167"/>
        <w:gridCol w:w="794"/>
        <w:gridCol w:w="957"/>
        <w:gridCol w:w="957"/>
        <w:gridCol w:w="845"/>
        <w:gridCol w:w="849"/>
        <w:gridCol w:w="847"/>
        <w:gridCol w:w="849"/>
        <w:gridCol w:w="943"/>
      </w:tblGrid>
      <w:tr w:rsidR="00B30ED6" w:rsidRPr="00FB3859" w14:paraId="2FD3D78F" w14:textId="77777777" w:rsidTr="003729E1">
        <w:tc>
          <w:tcPr>
            <w:tcW w:w="1615" w:type="dxa"/>
            <w:tcBorders>
              <w:top w:val="single" w:sz="4" w:space="0" w:color="auto"/>
              <w:bottom w:val="single" w:sz="4" w:space="0" w:color="auto"/>
            </w:tcBorders>
          </w:tcPr>
          <w:p w14:paraId="12E86652"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Variable</w:t>
            </w:r>
          </w:p>
        </w:tc>
        <w:tc>
          <w:tcPr>
            <w:tcW w:w="775" w:type="dxa"/>
            <w:tcBorders>
              <w:top w:val="single" w:sz="4" w:space="0" w:color="auto"/>
              <w:bottom w:val="single" w:sz="4" w:space="0" w:color="auto"/>
            </w:tcBorders>
            <w:vAlign w:val="center"/>
          </w:tcPr>
          <w:p w14:paraId="78AA13F4"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Count</w:t>
            </w:r>
          </w:p>
        </w:tc>
        <w:tc>
          <w:tcPr>
            <w:tcW w:w="1066" w:type="dxa"/>
            <w:tcBorders>
              <w:top w:val="single" w:sz="4" w:space="0" w:color="auto"/>
              <w:bottom w:val="single" w:sz="4" w:space="0" w:color="auto"/>
            </w:tcBorders>
            <w:vAlign w:val="center"/>
          </w:tcPr>
          <w:p w14:paraId="2FCC7260"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Mean</w:t>
            </w:r>
          </w:p>
        </w:tc>
        <w:tc>
          <w:tcPr>
            <w:tcW w:w="1066" w:type="dxa"/>
            <w:tcBorders>
              <w:top w:val="single" w:sz="4" w:space="0" w:color="auto"/>
              <w:bottom w:val="single" w:sz="4" w:space="0" w:color="auto"/>
            </w:tcBorders>
            <w:vAlign w:val="center"/>
          </w:tcPr>
          <w:p w14:paraId="514C94BB"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Std</w:t>
            </w:r>
          </w:p>
        </w:tc>
        <w:tc>
          <w:tcPr>
            <w:tcW w:w="951" w:type="dxa"/>
            <w:tcBorders>
              <w:top w:val="single" w:sz="4" w:space="0" w:color="auto"/>
              <w:bottom w:val="single" w:sz="4" w:space="0" w:color="auto"/>
            </w:tcBorders>
            <w:vAlign w:val="center"/>
          </w:tcPr>
          <w:p w14:paraId="01F2AB32"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min</w:t>
            </w:r>
          </w:p>
        </w:tc>
        <w:tc>
          <w:tcPr>
            <w:tcW w:w="975" w:type="dxa"/>
            <w:tcBorders>
              <w:top w:val="single" w:sz="4" w:space="0" w:color="auto"/>
              <w:bottom w:val="single" w:sz="4" w:space="0" w:color="auto"/>
            </w:tcBorders>
            <w:vAlign w:val="center"/>
          </w:tcPr>
          <w:p w14:paraId="559E47CC"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25%</w:t>
            </w:r>
          </w:p>
        </w:tc>
        <w:tc>
          <w:tcPr>
            <w:tcW w:w="963" w:type="dxa"/>
            <w:tcBorders>
              <w:top w:val="single" w:sz="4" w:space="0" w:color="auto"/>
              <w:bottom w:val="single" w:sz="4" w:space="0" w:color="auto"/>
            </w:tcBorders>
            <w:vAlign w:val="center"/>
          </w:tcPr>
          <w:p w14:paraId="34354484"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50%</w:t>
            </w:r>
          </w:p>
        </w:tc>
        <w:tc>
          <w:tcPr>
            <w:tcW w:w="975" w:type="dxa"/>
            <w:tcBorders>
              <w:top w:val="single" w:sz="4" w:space="0" w:color="auto"/>
              <w:bottom w:val="single" w:sz="4" w:space="0" w:color="auto"/>
            </w:tcBorders>
            <w:vAlign w:val="center"/>
          </w:tcPr>
          <w:p w14:paraId="7A92398A"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75%</w:t>
            </w:r>
          </w:p>
        </w:tc>
        <w:tc>
          <w:tcPr>
            <w:tcW w:w="964" w:type="dxa"/>
            <w:tcBorders>
              <w:top w:val="single" w:sz="4" w:space="0" w:color="auto"/>
              <w:bottom w:val="single" w:sz="4" w:space="0" w:color="auto"/>
            </w:tcBorders>
            <w:vAlign w:val="center"/>
          </w:tcPr>
          <w:p w14:paraId="56B66F2C"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Max</w:t>
            </w:r>
          </w:p>
        </w:tc>
      </w:tr>
      <w:tr w:rsidR="00B30ED6" w:rsidRPr="00FB3859" w14:paraId="47425F23" w14:textId="77777777" w:rsidTr="003729E1">
        <w:tc>
          <w:tcPr>
            <w:tcW w:w="1615" w:type="dxa"/>
            <w:tcBorders>
              <w:top w:val="single" w:sz="4" w:space="0" w:color="auto"/>
            </w:tcBorders>
            <w:vAlign w:val="center"/>
          </w:tcPr>
          <w:p w14:paraId="6D0143FE"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Temp (</w:t>
            </w:r>
            <w:r w:rsidR="001A41E4">
              <w:rPr>
                <w:rFonts w:ascii="Arial" w:hAnsi="Arial" w:cs="Arial"/>
                <w:b/>
                <w:bCs/>
                <w:sz w:val="20"/>
                <w:szCs w:val="20"/>
              </w:rPr>
              <w:t>°</w:t>
            </w:r>
            <w:r w:rsidRPr="00FB3859">
              <w:rPr>
                <w:rFonts w:ascii="Arial" w:hAnsi="Arial" w:cs="Arial"/>
                <w:b/>
                <w:bCs/>
                <w:sz w:val="20"/>
                <w:szCs w:val="20"/>
              </w:rPr>
              <w:t>R)</w:t>
            </w:r>
          </w:p>
        </w:tc>
        <w:tc>
          <w:tcPr>
            <w:tcW w:w="775" w:type="dxa"/>
            <w:tcBorders>
              <w:top w:val="single" w:sz="4" w:space="0" w:color="auto"/>
            </w:tcBorders>
            <w:vAlign w:val="center"/>
          </w:tcPr>
          <w:p w14:paraId="649A463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tcBorders>
              <w:top w:val="single" w:sz="4" w:space="0" w:color="auto"/>
            </w:tcBorders>
            <w:vAlign w:val="center"/>
          </w:tcPr>
          <w:p w14:paraId="0D843E7E"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639</w:t>
            </w:r>
          </w:p>
        </w:tc>
        <w:tc>
          <w:tcPr>
            <w:tcW w:w="1066" w:type="dxa"/>
            <w:tcBorders>
              <w:top w:val="single" w:sz="4" w:space="0" w:color="auto"/>
            </w:tcBorders>
            <w:vAlign w:val="center"/>
          </w:tcPr>
          <w:p w14:paraId="255E161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13.28</w:t>
            </w:r>
          </w:p>
        </w:tc>
        <w:tc>
          <w:tcPr>
            <w:tcW w:w="951" w:type="dxa"/>
            <w:tcBorders>
              <w:top w:val="single" w:sz="4" w:space="0" w:color="auto"/>
            </w:tcBorders>
            <w:vAlign w:val="center"/>
          </w:tcPr>
          <w:p w14:paraId="2581E0D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618</w:t>
            </w:r>
          </w:p>
        </w:tc>
        <w:tc>
          <w:tcPr>
            <w:tcW w:w="975" w:type="dxa"/>
            <w:tcBorders>
              <w:top w:val="single" w:sz="4" w:space="0" w:color="auto"/>
            </w:tcBorders>
            <w:vAlign w:val="center"/>
          </w:tcPr>
          <w:p w14:paraId="029BA7A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626.40</w:t>
            </w:r>
          </w:p>
        </w:tc>
        <w:tc>
          <w:tcPr>
            <w:tcW w:w="963" w:type="dxa"/>
            <w:tcBorders>
              <w:top w:val="single" w:sz="4" w:space="0" w:color="auto"/>
            </w:tcBorders>
            <w:vAlign w:val="center"/>
          </w:tcPr>
          <w:p w14:paraId="287C25D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639</w:t>
            </w:r>
          </w:p>
        </w:tc>
        <w:tc>
          <w:tcPr>
            <w:tcW w:w="975" w:type="dxa"/>
            <w:tcBorders>
              <w:top w:val="single" w:sz="4" w:space="0" w:color="auto"/>
            </w:tcBorders>
            <w:vAlign w:val="center"/>
          </w:tcPr>
          <w:p w14:paraId="3DC5417D"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651.60</w:t>
            </w:r>
          </w:p>
        </w:tc>
        <w:tc>
          <w:tcPr>
            <w:tcW w:w="964" w:type="dxa"/>
            <w:tcBorders>
              <w:top w:val="single" w:sz="4" w:space="0" w:color="auto"/>
            </w:tcBorders>
            <w:vAlign w:val="center"/>
          </w:tcPr>
          <w:p w14:paraId="536E3DB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660.0</w:t>
            </w:r>
          </w:p>
        </w:tc>
      </w:tr>
      <w:tr w:rsidR="00B30ED6" w:rsidRPr="00FB3859" w14:paraId="00975CF2" w14:textId="77777777" w:rsidTr="003729E1">
        <w:tc>
          <w:tcPr>
            <w:tcW w:w="1615" w:type="dxa"/>
            <w:vAlign w:val="center"/>
          </w:tcPr>
          <w:p w14:paraId="58488A65" w14:textId="77777777" w:rsidR="00B30ED6" w:rsidRPr="00FB3859" w:rsidRDefault="00B30ED6" w:rsidP="003729E1">
            <w:pPr>
              <w:jc w:val="both"/>
              <w:rPr>
                <w:rFonts w:ascii="Arial" w:hAnsi="Arial" w:cs="Arial"/>
                <w:sz w:val="20"/>
                <w:szCs w:val="20"/>
              </w:rPr>
            </w:pPr>
            <w:r w:rsidRPr="00FB3859">
              <w:rPr>
                <w:rFonts w:ascii="Arial" w:hAnsi="Arial" w:cs="Arial"/>
                <w:b/>
                <w:bCs/>
                <w:sz w:val="20"/>
                <w:szCs w:val="20"/>
              </w:rPr>
              <w:t>Pressure (psia)</w:t>
            </w:r>
          </w:p>
        </w:tc>
        <w:tc>
          <w:tcPr>
            <w:tcW w:w="775" w:type="dxa"/>
          </w:tcPr>
          <w:p w14:paraId="71F225DF"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71A3CC67" w14:textId="77777777" w:rsidR="00B30ED6" w:rsidRPr="00FB3859" w:rsidRDefault="001A41E4" w:rsidP="003729E1">
            <w:pPr>
              <w:jc w:val="both"/>
              <w:rPr>
                <w:rFonts w:ascii="Arial" w:hAnsi="Arial" w:cs="Arial"/>
                <w:sz w:val="20"/>
                <w:szCs w:val="20"/>
              </w:rPr>
            </w:pPr>
            <w:r>
              <w:rPr>
                <w:rFonts w:ascii="Arial" w:hAnsi="Arial" w:cs="Arial"/>
                <w:sz w:val="20"/>
                <w:szCs w:val="20"/>
              </w:rPr>
              <w:t>2264.7</w:t>
            </w:r>
          </w:p>
        </w:tc>
        <w:tc>
          <w:tcPr>
            <w:tcW w:w="1066" w:type="dxa"/>
            <w:vAlign w:val="center"/>
          </w:tcPr>
          <w:p w14:paraId="33E576F1"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1012.47</w:t>
            </w:r>
          </w:p>
        </w:tc>
        <w:tc>
          <w:tcPr>
            <w:tcW w:w="951" w:type="dxa"/>
            <w:vAlign w:val="center"/>
          </w:tcPr>
          <w:p w14:paraId="0510C83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514.7</w:t>
            </w:r>
          </w:p>
        </w:tc>
        <w:tc>
          <w:tcPr>
            <w:tcW w:w="975" w:type="dxa"/>
            <w:vAlign w:val="center"/>
          </w:tcPr>
          <w:p w14:paraId="6FDD45C2"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1389.7</w:t>
            </w:r>
          </w:p>
        </w:tc>
        <w:tc>
          <w:tcPr>
            <w:tcW w:w="963" w:type="dxa"/>
            <w:vAlign w:val="center"/>
          </w:tcPr>
          <w:p w14:paraId="16CA1FA3"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2264.7</w:t>
            </w:r>
          </w:p>
        </w:tc>
        <w:tc>
          <w:tcPr>
            <w:tcW w:w="975" w:type="dxa"/>
            <w:vAlign w:val="center"/>
          </w:tcPr>
          <w:p w14:paraId="632C62F1" w14:textId="77777777" w:rsidR="00B30ED6" w:rsidRPr="00FB3859" w:rsidRDefault="001A41E4" w:rsidP="003729E1">
            <w:pPr>
              <w:jc w:val="both"/>
              <w:rPr>
                <w:rFonts w:ascii="Arial" w:hAnsi="Arial" w:cs="Arial"/>
                <w:sz w:val="20"/>
                <w:szCs w:val="20"/>
              </w:rPr>
            </w:pPr>
            <w:r>
              <w:rPr>
                <w:rFonts w:ascii="Arial" w:hAnsi="Arial" w:cs="Arial"/>
                <w:sz w:val="20"/>
                <w:szCs w:val="20"/>
              </w:rPr>
              <w:t>3139.7</w:t>
            </w:r>
          </w:p>
        </w:tc>
        <w:tc>
          <w:tcPr>
            <w:tcW w:w="964" w:type="dxa"/>
            <w:vAlign w:val="center"/>
          </w:tcPr>
          <w:p w14:paraId="38DC904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4014.7</w:t>
            </w:r>
          </w:p>
        </w:tc>
      </w:tr>
      <w:tr w:rsidR="00B30ED6" w:rsidRPr="00FB3859" w14:paraId="2E9E8F85" w14:textId="77777777" w:rsidTr="003729E1">
        <w:tc>
          <w:tcPr>
            <w:tcW w:w="1615" w:type="dxa"/>
            <w:vAlign w:val="center"/>
          </w:tcPr>
          <w:p w14:paraId="49D55407" w14:textId="77777777" w:rsidR="00B30ED6" w:rsidRPr="00FB3859" w:rsidRDefault="00B30ED6" w:rsidP="003729E1">
            <w:pPr>
              <w:jc w:val="both"/>
              <w:rPr>
                <w:rFonts w:ascii="Arial" w:hAnsi="Arial" w:cs="Arial"/>
                <w:sz w:val="20"/>
                <w:szCs w:val="20"/>
              </w:rPr>
            </w:pPr>
            <w:proofErr w:type="spellStart"/>
            <w:r w:rsidRPr="00FB3859">
              <w:rPr>
                <w:rFonts w:ascii="Arial" w:hAnsi="Arial" w:cs="Arial"/>
                <w:b/>
                <w:bCs/>
                <w:sz w:val="20"/>
                <w:szCs w:val="20"/>
              </w:rPr>
              <w:t>Tpr</w:t>
            </w:r>
            <w:proofErr w:type="spellEnd"/>
          </w:p>
        </w:tc>
        <w:tc>
          <w:tcPr>
            <w:tcW w:w="775" w:type="dxa"/>
          </w:tcPr>
          <w:p w14:paraId="18057F8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25F9AA4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1.6877</w:t>
            </w:r>
          </w:p>
        </w:tc>
        <w:tc>
          <w:tcPr>
            <w:tcW w:w="1066" w:type="dxa"/>
            <w:vAlign w:val="center"/>
          </w:tcPr>
          <w:p w14:paraId="7605DF32" w14:textId="77777777" w:rsidR="00B30ED6" w:rsidRPr="00FB3859" w:rsidRDefault="001A41E4" w:rsidP="003729E1">
            <w:pPr>
              <w:jc w:val="both"/>
              <w:rPr>
                <w:rFonts w:ascii="Arial" w:hAnsi="Arial" w:cs="Arial"/>
                <w:sz w:val="20"/>
                <w:szCs w:val="20"/>
              </w:rPr>
            </w:pPr>
            <w:r>
              <w:rPr>
                <w:rFonts w:ascii="Arial" w:hAnsi="Arial" w:cs="Arial"/>
                <w:sz w:val="20"/>
                <w:szCs w:val="20"/>
              </w:rPr>
              <w:t>0.0351</w:t>
            </w:r>
          </w:p>
        </w:tc>
        <w:tc>
          <w:tcPr>
            <w:tcW w:w="951" w:type="dxa"/>
            <w:vAlign w:val="center"/>
          </w:tcPr>
          <w:p w14:paraId="5A5081F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1.632</w:t>
            </w:r>
          </w:p>
        </w:tc>
        <w:tc>
          <w:tcPr>
            <w:tcW w:w="975" w:type="dxa"/>
            <w:vAlign w:val="center"/>
          </w:tcPr>
          <w:p w14:paraId="5D96C3D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1.6544</w:t>
            </w:r>
          </w:p>
        </w:tc>
        <w:tc>
          <w:tcPr>
            <w:tcW w:w="963" w:type="dxa"/>
            <w:vAlign w:val="center"/>
          </w:tcPr>
          <w:p w14:paraId="7BE4B4A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1.6876</w:t>
            </w:r>
          </w:p>
        </w:tc>
        <w:tc>
          <w:tcPr>
            <w:tcW w:w="975" w:type="dxa"/>
            <w:vAlign w:val="center"/>
          </w:tcPr>
          <w:p w14:paraId="0FF41DF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1.7209</w:t>
            </w:r>
          </w:p>
        </w:tc>
        <w:tc>
          <w:tcPr>
            <w:tcW w:w="964" w:type="dxa"/>
            <w:vAlign w:val="center"/>
          </w:tcPr>
          <w:p w14:paraId="232DC9A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1.7431</w:t>
            </w:r>
          </w:p>
        </w:tc>
      </w:tr>
      <w:tr w:rsidR="00B30ED6" w:rsidRPr="00FB3859" w14:paraId="018CB62C" w14:textId="77777777" w:rsidTr="003729E1">
        <w:tc>
          <w:tcPr>
            <w:tcW w:w="1615" w:type="dxa"/>
            <w:vAlign w:val="center"/>
          </w:tcPr>
          <w:p w14:paraId="13F4B876"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Ppr</w:t>
            </w:r>
          </w:p>
        </w:tc>
        <w:tc>
          <w:tcPr>
            <w:tcW w:w="775" w:type="dxa"/>
          </w:tcPr>
          <w:p w14:paraId="2E5543D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1819233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3.4266</w:t>
            </w:r>
          </w:p>
        </w:tc>
        <w:tc>
          <w:tcPr>
            <w:tcW w:w="1066" w:type="dxa"/>
            <w:vAlign w:val="center"/>
          </w:tcPr>
          <w:p w14:paraId="1768DC1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1.5319</w:t>
            </w:r>
          </w:p>
        </w:tc>
        <w:tc>
          <w:tcPr>
            <w:tcW w:w="951" w:type="dxa"/>
            <w:vAlign w:val="center"/>
          </w:tcPr>
          <w:p w14:paraId="2CCFE912"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0.778</w:t>
            </w:r>
          </w:p>
        </w:tc>
        <w:tc>
          <w:tcPr>
            <w:tcW w:w="975" w:type="dxa"/>
            <w:vAlign w:val="center"/>
          </w:tcPr>
          <w:p w14:paraId="3F2D306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2.1027</w:t>
            </w:r>
          </w:p>
        </w:tc>
        <w:tc>
          <w:tcPr>
            <w:tcW w:w="963" w:type="dxa"/>
            <w:vAlign w:val="center"/>
          </w:tcPr>
          <w:p w14:paraId="43A6C99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3.427</w:t>
            </w:r>
          </w:p>
        </w:tc>
        <w:tc>
          <w:tcPr>
            <w:tcW w:w="975" w:type="dxa"/>
            <w:vAlign w:val="center"/>
          </w:tcPr>
          <w:p w14:paraId="70908E7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4.7505</w:t>
            </w:r>
          </w:p>
        </w:tc>
        <w:tc>
          <w:tcPr>
            <w:tcW w:w="964" w:type="dxa"/>
            <w:vAlign w:val="center"/>
          </w:tcPr>
          <w:p w14:paraId="74B5E7D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6.0745</w:t>
            </w:r>
          </w:p>
        </w:tc>
      </w:tr>
      <w:tr w:rsidR="00B30ED6" w:rsidRPr="00FB3859" w14:paraId="573CF1F1" w14:textId="77777777" w:rsidTr="003729E1">
        <w:tc>
          <w:tcPr>
            <w:tcW w:w="1615" w:type="dxa"/>
            <w:vAlign w:val="center"/>
          </w:tcPr>
          <w:p w14:paraId="0E3561F8"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Z-Factor</w:t>
            </w:r>
          </w:p>
        </w:tc>
        <w:tc>
          <w:tcPr>
            <w:tcW w:w="775" w:type="dxa"/>
          </w:tcPr>
          <w:p w14:paraId="30FC327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562926F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0.8424</w:t>
            </w:r>
          </w:p>
        </w:tc>
        <w:tc>
          <w:tcPr>
            <w:tcW w:w="1066" w:type="dxa"/>
            <w:vAlign w:val="center"/>
          </w:tcPr>
          <w:p w14:paraId="03C862C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0.0375</w:t>
            </w:r>
          </w:p>
        </w:tc>
        <w:tc>
          <w:tcPr>
            <w:tcW w:w="951" w:type="dxa"/>
            <w:vAlign w:val="center"/>
          </w:tcPr>
          <w:p w14:paraId="39823F50"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0.775</w:t>
            </w:r>
          </w:p>
        </w:tc>
        <w:tc>
          <w:tcPr>
            <w:tcW w:w="975" w:type="dxa"/>
            <w:vAlign w:val="center"/>
          </w:tcPr>
          <w:p w14:paraId="54C3C3C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0.8145</w:t>
            </w:r>
          </w:p>
        </w:tc>
        <w:tc>
          <w:tcPr>
            <w:tcW w:w="963" w:type="dxa"/>
            <w:vAlign w:val="center"/>
          </w:tcPr>
          <w:p w14:paraId="753B138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0.836</w:t>
            </w:r>
          </w:p>
        </w:tc>
        <w:tc>
          <w:tcPr>
            <w:tcW w:w="975" w:type="dxa"/>
            <w:vAlign w:val="center"/>
          </w:tcPr>
          <w:p w14:paraId="7668A7CF"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0.8683</w:t>
            </w:r>
          </w:p>
        </w:tc>
        <w:tc>
          <w:tcPr>
            <w:tcW w:w="964" w:type="dxa"/>
            <w:vAlign w:val="center"/>
          </w:tcPr>
          <w:p w14:paraId="27FAAFF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0.9417</w:t>
            </w:r>
          </w:p>
        </w:tc>
      </w:tr>
      <w:tr w:rsidR="00B30ED6" w:rsidRPr="00FB3859" w14:paraId="62677857" w14:textId="77777777" w:rsidTr="003729E1">
        <w:tc>
          <w:tcPr>
            <w:tcW w:w="1615" w:type="dxa"/>
            <w:vAlign w:val="center"/>
          </w:tcPr>
          <w:p w14:paraId="581A7D45"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Gas Viscosity</w:t>
            </w:r>
          </w:p>
        </w:tc>
        <w:tc>
          <w:tcPr>
            <w:tcW w:w="775" w:type="dxa"/>
          </w:tcPr>
          <w:p w14:paraId="0B44AE4A"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64DF07C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0.0179</w:t>
            </w:r>
          </w:p>
        </w:tc>
        <w:tc>
          <w:tcPr>
            <w:tcW w:w="1066" w:type="dxa"/>
            <w:vAlign w:val="center"/>
          </w:tcPr>
          <w:p w14:paraId="5B3A2E4A" w14:textId="77777777" w:rsidR="00B30ED6" w:rsidRPr="00FB3859" w:rsidRDefault="001A41E4" w:rsidP="003729E1">
            <w:pPr>
              <w:jc w:val="both"/>
              <w:rPr>
                <w:rFonts w:ascii="Arial" w:hAnsi="Arial" w:cs="Arial"/>
                <w:sz w:val="20"/>
                <w:szCs w:val="20"/>
              </w:rPr>
            </w:pPr>
            <w:r>
              <w:rPr>
                <w:rFonts w:ascii="Arial" w:hAnsi="Arial" w:cs="Arial"/>
                <w:sz w:val="20"/>
                <w:szCs w:val="20"/>
              </w:rPr>
              <w:t>0.0038</w:t>
            </w:r>
          </w:p>
        </w:tc>
        <w:tc>
          <w:tcPr>
            <w:tcW w:w="951" w:type="dxa"/>
            <w:vAlign w:val="center"/>
          </w:tcPr>
          <w:p w14:paraId="620EB44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w:t>
            </w:r>
          </w:p>
        </w:tc>
        <w:tc>
          <w:tcPr>
            <w:tcW w:w="975" w:type="dxa"/>
            <w:vAlign w:val="center"/>
          </w:tcPr>
          <w:p w14:paraId="69272178"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0.0144</w:t>
            </w:r>
          </w:p>
        </w:tc>
        <w:tc>
          <w:tcPr>
            <w:tcW w:w="963" w:type="dxa"/>
            <w:vAlign w:val="center"/>
          </w:tcPr>
          <w:p w14:paraId="1D3BE75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0.0175</w:t>
            </w:r>
          </w:p>
        </w:tc>
        <w:tc>
          <w:tcPr>
            <w:tcW w:w="975" w:type="dxa"/>
            <w:vAlign w:val="center"/>
          </w:tcPr>
          <w:p w14:paraId="1E26B9E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0.0212</w:t>
            </w:r>
          </w:p>
        </w:tc>
        <w:tc>
          <w:tcPr>
            <w:tcW w:w="964" w:type="dxa"/>
            <w:vAlign w:val="center"/>
          </w:tcPr>
          <w:p w14:paraId="4EB7208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0.0257</w:t>
            </w:r>
          </w:p>
        </w:tc>
      </w:tr>
      <w:tr w:rsidR="00B30ED6" w:rsidRPr="00FB3859" w14:paraId="588242D1" w14:textId="77777777" w:rsidTr="003729E1">
        <w:tc>
          <w:tcPr>
            <w:tcW w:w="1615" w:type="dxa"/>
            <w:vAlign w:val="center"/>
          </w:tcPr>
          <w:p w14:paraId="36807C45"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Gas Density</w:t>
            </w:r>
          </w:p>
        </w:tc>
        <w:tc>
          <w:tcPr>
            <w:tcW w:w="775" w:type="dxa"/>
          </w:tcPr>
          <w:p w14:paraId="7A2C34A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0CED302F"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8.4648</w:t>
            </w:r>
          </w:p>
        </w:tc>
        <w:tc>
          <w:tcPr>
            <w:tcW w:w="1066" w:type="dxa"/>
            <w:vAlign w:val="center"/>
          </w:tcPr>
          <w:p w14:paraId="025E2710"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3.7516</w:t>
            </w:r>
          </w:p>
        </w:tc>
        <w:tc>
          <w:tcPr>
            <w:tcW w:w="951" w:type="dxa"/>
            <w:vAlign w:val="center"/>
          </w:tcPr>
          <w:p w14:paraId="710D35D3"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1.657</w:t>
            </w:r>
          </w:p>
        </w:tc>
        <w:tc>
          <w:tcPr>
            <w:tcW w:w="975" w:type="dxa"/>
            <w:vAlign w:val="center"/>
          </w:tcPr>
          <w:p w14:paraId="22D6D58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5.1668</w:t>
            </w:r>
          </w:p>
        </w:tc>
        <w:tc>
          <w:tcPr>
            <w:tcW w:w="963" w:type="dxa"/>
            <w:vAlign w:val="center"/>
          </w:tcPr>
          <w:p w14:paraId="26CA0F1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8.797</w:t>
            </w:r>
          </w:p>
        </w:tc>
        <w:tc>
          <w:tcPr>
            <w:tcW w:w="975" w:type="dxa"/>
            <w:vAlign w:val="center"/>
          </w:tcPr>
          <w:p w14:paraId="30B1623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11.840</w:t>
            </w:r>
          </w:p>
        </w:tc>
        <w:tc>
          <w:tcPr>
            <w:tcW w:w="964" w:type="dxa"/>
            <w:vAlign w:val="center"/>
          </w:tcPr>
          <w:p w14:paraId="2011735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14.870</w:t>
            </w:r>
            <w:r w:rsidR="001A41E4">
              <w:rPr>
                <w:rFonts w:ascii="Arial" w:hAnsi="Arial" w:cs="Arial"/>
                <w:sz w:val="20"/>
                <w:szCs w:val="20"/>
              </w:rPr>
              <w:t>0</w:t>
            </w:r>
          </w:p>
        </w:tc>
      </w:tr>
      <w:tr w:rsidR="00B30ED6" w:rsidRPr="00FB3859" w14:paraId="1BB66234" w14:textId="77777777" w:rsidTr="003729E1">
        <w:tc>
          <w:tcPr>
            <w:tcW w:w="1615" w:type="dxa"/>
            <w:vAlign w:val="center"/>
          </w:tcPr>
          <w:p w14:paraId="184A3BF2"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 xml:space="preserve">Mol. </w:t>
            </w:r>
            <w:proofErr w:type="spellStart"/>
            <w:r w:rsidRPr="00FB3859">
              <w:rPr>
                <w:rFonts w:ascii="Arial" w:hAnsi="Arial" w:cs="Arial"/>
                <w:b/>
                <w:bCs/>
                <w:sz w:val="20"/>
                <w:szCs w:val="20"/>
              </w:rPr>
              <w:t>Wt</w:t>
            </w:r>
            <w:proofErr w:type="spellEnd"/>
          </w:p>
        </w:tc>
        <w:tc>
          <w:tcPr>
            <w:tcW w:w="775" w:type="dxa"/>
          </w:tcPr>
          <w:p w14:paraId="72EA7B9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2894576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r w:rsidR="001A41E4">
              <w:rPr>
                <w:rFonts w:ascii="Arial" w:hAnsi="Arial" w:cs="Arial"/>
                <w:sz w:val="20"/>
                <w:szCs w:val="20"/>
              </w:rPr>
              <w:t>0</w:t>
            </w:r>
          </w:p>
        </w:tc>
        <w:tc>
          <w:tcPr>
            <w:tcW w:w="1066" w:type="dxa"/>
            <w:vAlign w:val="center"/>
          </w:tcPr>
          <w:p w14:paraId="5DE9D485"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1.073e-12</w:t>
            </w:r>
          </w:p>
        </w:tc>
        <w:tc>
          <w:tcPr>
            <w:tcW w:w="951" w:type="dxa"/>
            <w:vAlign w:val="center"/>
          </w:tcPr>
          <w:p w14:paraId="6E8AE4CE"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75" w:type="dxa"/>
            <w:vAlign w:val="center"/>
          </w:tcPr>
          <w:p w14:paraId="6178A1A7"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63" w:type="dxa"/>
            <w:vAlign w:val="center"/>
          </w:tcPr>
          <w:p w14:paraId="6BDE7661"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75" w:type="dxa"/>
            <w:vAlign w:val="center"/>
          </w:tcPr>
          <w:p w14:paraId="50706AF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w:t>
            </w:r>
          </w:p>
        </w:tc>
        <w:tc>
          <w:tcPr>
            <w:tcW w:w="964" w:type="dxa"/>
            <w:vAlign w:val="center"/>
          </w:tcPr>
          <w:p w14:paraId="03C445CC"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19.3163</w:t>
            </w:r>
          </w:p>
        </w:tc>
      </w:tr>
      <w:tr w:rsidR="00B30ED6" w:rsidRPr="00FB3859" w14:paraId="00665098" w14:textId="77777777" w:rsidTr="003729E1">
        <w:tc>
          <w:tcPr>
            <w:tcW w:w="1615" w:type="dxa"/>
            <w:vAlign w:val="center"/>
          </w:tcPr>
          <w:p w14:paraId="3EE2161E" w14:textId="77777777" w:rsidR="00B30ED6" w:rsidRPr="00FB3859" w:rsidRDefault="00B30ED6" w:rsidP="003729E1">
            <w:pPr>
              <w:jc w:val="both"/>
              <w:rPr>
                <w:rFonts w:ascii="Arial" w:hAnsi="Arial" w:cs="Arial"/>
                <w:b/>
                <w:bCs/>
                <w:sz w:val="20"/>
                <w:szCs w:val="20"/>
              </w:rPr>
            </w:pPr>
            <w:r w:rsidRPr="00FB3859">
              <w:rPr>
                <w:rFonts w:ascii="Arial" w:hAnsi="Arial" w:cs="Arial"/>
                <w:b/>
                <w:bCs/>
                <w:sz w:val="20"/>
                <w:szCs w:val="20"/>
              </w:rPr>
              <w:t>Atm. Viscosity</w:t>
            </w:r>
          </w:p>
        </w:tc>
        <w:tc>
          <w:tcPr>
            <w:tcW w:w="775" w:type="dxa"/>
          </w:tcPr>
          <w:p w14:paraId="027763B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5511</w:t>
            </w:r>
          </w:p>
        </w:tc>
        <w:tc>
          <w:tcPr>
            <w:tcW w:w="1066" w:type="dxa"/>
            <w:vAlign w:val="center"/>
          </w:tcPr>
          <w:p w14:paraId="3938ABF6"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0.0118</w:t>
            </w:r>
          </w:p>
        </w:tc>
        <w:tc>
          <w:tcPr>
            <w:tcW w:w="1066" w:type="dxa"/>
            <w:vAlign w:val="center"/>
          </w:tcPr>
          <w:p w14:paraId="4E29BF5B"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1.958e-04</w:t>
            </w:r>
          </w:p>
        </w:tc>
        <w:tc>
          <w:tcPr>
            <w:tcW w:w="951" w:type="dxa"/>
            <w:vAlign w:val="center"/>
          </w:tcPr>
          <w:p w14:paraId="329EDF60"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w:t>
            </w:r>
          </w:p>
        </w:tc>
        <w:tc>
          <w:tcPr>
            <w:tcW w:w="975" w:type="dxa"/>
            <w:vAlign w:val="center"/>
          </w:tcPr>
          <w:p w14:paraId="13EC2D23"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0.0116</w:t>
            </w:r>
          </w:p>
        </w:tc>
        <w:tc>
          <w:tcPr>
            <w:tcW w:w="963" w:type="dxa"/>
            <w:vAlign w:val="center"/>
          </w:tcPr>
          <w:p w14:paraId="668C4139"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0.0118</w:t>
            </w:r>
          </w:p>
        </w:tc>
        <w:tc>
          <w:tcPr>
            <w:tcW w:w="975" w:type="dxa"/>
            <w:vAlign w:val="center"/>
          </w:tcPr>
          <w:p w14:paraId="2DAF19AD"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0.0120</w:t>
            </w:r>
          </w:p>
        </w:tc>
        <w:tc>
          <w:tcPr>
            <w:tcW w:w="964" w:type="dxa"/>
            <w:vAlign w:val="center"/>
          </w:tcPr>
          <w:p w14:paraId="3178BFE4" w14:textId="77777777" w:rsidR="00B30ED6" w:rsidRPr="00FB3859" w:rsidRDefault="00B30ED6" w:rsidP="003729E1">
            <w:pPr>
              <w:jc w:val="both"/>
              <w:rPr>
                <w:rFonts w:ascii="Arial" w:hAnsi="Arial" w:cs="Arial"/>
                <w:sz w:val="20"/>
                <w:szCs w:val="20"/>
              </w:rPr>
            </w:pPr>
            <w:r w:rsidRPr="00FB3859">
              <w:rPr>
                <w:rFonts w:ascii="Arial" w:hAnsi="Arial" w:cs="Arial"/>
                <w:sz w:val="20"/>
                <w:szCs w:val="20"/>
              </w:rPr>
              <w:t>0.0121</w:t>
            </w:r>
          </w:p>
        </w:tc>
      </w:tr>
    </w:tbl>
    <w:p w14:paraId="702E849F" w14:textId="77777777" w:rsidR="00B30ED6" w:rsidRPr="00FB3859" w:rsidRDefault="00B30ED6" w:rsidP="00B30ED6">
      <w:pPr>
        <w:jc w:val="both"/>
        <w:rPr>
          <w:rFonts w:ascii="Arial" w:hAnsi="Arial" w:cs="Arial"/>
        </w:rPr>
      </w:pPr>
    </w:p>
    <w:p w14:paraId="43A2CAD0" w14:textId="77777777" w:rsidR="00B30ED6" w:rsidRPr="00FB3859" w:rsidRDefault="00B30ED6" w:rsidP="00B30ED6">
      <w:pPr>
        <w:jc w:val="both"/>
        <w:rPr>
          <w:rFonts w:ascii="Arial" w:hAnsi="Arial" w:cs="Arial"/>
        </w:rPr>
      </w:pPr>
      <w:r w:rsidRPr="00FB3859">
        <w:rPr>
          <w:rFonts w:ascii="Arial" w:hAnsi="Arial" w:cs="Arial"/>
          <w:noProof/>
        </w:rPr>
        <w:drawing>
          <wp:inline distT="0" distB="0" distL="0" distR="0" wp14:anchorId="469DC264" wp14:editId="2D374D06">
            <wp:extent cx="5943600" cy="4591050"/>
            <wp:effectExtent l="0" t="0" r="0" b="0"/>
            <wp:docPr id="66803420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34206" name="Picture 668034206"/>
                    <pic:cNvPicPr/>
                  </pic:nvPicPr>
                  <pic:blipFill>
                    <a:blip r:embed="rId16">
                      <a:extLst>
                        <a:ext uri="{28A0092B-C50C-407E-A947-70E740481C1C}">
                          <a14:useLocalDpi xmlns:a14="http://schemas.microsoft.com/office/drawing/2010/main" val="0"/>
                        </a:ext>
                      </a:extLst>
                    </a:blip>
                    <a:stretch>
                      <a:fillRect/>
                    </a:stretch>
                  </pic:blipFill>
                  <pic:spPr>
                    <a:xfrm>
                      <a:off x="0" y="0"/>
                      <a:ext cx="5943600" cy="4591050"/>
                    </a:xfrm>
                    <a:prstGeom prst="rect">
                      <a:avLst/>
                    </a:prstGeom>
                  </pic:spPr>
                </pic:pic>
              </a:graphicData>
            </a:graphic>
          </wp:inline>
        </w:drawing>
      </w:r>
    </w:p>
    <w:p w14:paraId="574B69F3" w14:textId="77777777" w:rsidR="00B30ED6" w:rsidRPr="00FB3859" w:rsidRDefault="00B30ED6" w:rsidP="00B30ED6">
      <w:pPr>
        <w:jc w:val="both"/>
        <w:rPr>
          <w:rFonts w:ascii="Arial" w:hAnsi="Arial" w:cs="Arial"/>
        </w:rPr>
      </w:pPr>
      <w:r w:rsidRPr="00FB3859">
        <w:rPr>
          <w:rFonts w:ascii="Arial" w:hAnsi="Arial" w:cs="Arial"/>
        </w:rPr>
        <w:t>Figure 1: Pairwise Relationship of Features for Gas Viscosity Dataset</w:t>
      </w:r>
    </w:p>
    <w:p w14:paraId="032C67B2" w14:textId="77777777" w:rsidR="00B30ED6" w:rsidRPr="00FB3859" w:rsidRDefault="00B30ED6" w:rsidP="00B30ED6">
      <w:pPr>
        <w:jc w:val="both"/>
        <w:rPr>
          <w:rFonts w:ascii="Arial" w:hAnsi="Arial" w:cs="Arial"/>
        </w:rPr>
      </w:pPr>
      <w:r w:rsidRPr="00FB3859">
        <w:rPr>
          <w:rFonts w:ascii="Arial" w:hAnsi="Arial" w:cs="Arial"/>
          <w:noProof/>
        </w:rPr>
        <w:lastRenderedPageBreak/>
        <w:drawing>
          <wp:inline distT="0" distB="0" distL="0" distR="0" wp14:anchorId="3D9298BA" wp14:editId="3BF9DE3A">
            <wp:extent cx="5943600" cy="2724150"/>
            <wp:effectExtent l="0" t="0" r="0" b="0"/>
            <wp:docPr id="586812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1244" name="Picture 58681244"/>
                    <pic:cNvPicPr/>
                  </pic:nvPicPr>
                  <pic:blipFill>
                    <a:blip r:embed="rId17">
                      <a:extLst>
                        <a:ext uri="{28A0092B-C50C-407E-A947-70E740481C1C}">
                          <a14:useLocalDpi xmlns:a14="http://schemas.microsoft.com/office/drawing/2010/main" val="0"/>
                        </a:ext>
                      </a:extLst>
                    </a:blip>
                    <a:stretch>
                      <a:fillRect/>
                    </a:stretch>
                  </pic:blipFill>
                  <pic:spPr>
                    <a:xfrm>
                      <a:off x="0" y="0"/>
                      <a:ext cx="5943600" cy="2724150"/>
                    </a:xfrm>
                    <a:prstGeom prst="rect">
                      <a:avLst/>
                    </a:prstGeom>
                  </pic:spPr>
                </pic:pic>
              </a:graphicData>
            </a:graphic>
          </wp:inline>
        </w:drawing>
      </w:r>
    </w:p>
    <w:p w14:paraId="5992D807" w14:textId="77777777" w:rsidR="00B30ED6" w:rsidRDefault="00B30ED6" w:rsidP="00B30ED6">
      <w:pPr>
        <w:jc w:val="both"/>
        <w:rPr>
          <w:rFonts w:ascii="Arial" w:hAnsi="Arial" w:cs="Arial"/>
        </w:rPr>
      </w:pPr>
      <w:r w:rsidRPr="00FB3859">
        <w:rPr>
          <w:rFonts w:ascii="Arial" w:hAnsi="Arial" w:cs="Arial"/>
        </w:rPr>
        <w:t xml:space="preserve">Figure 2: Cross-plot Relationship Between </w:t>
      </w:r>
      <w:proofErr w:type="spellStart"/>
      <w:r w:rsidRPr="00FB3859">
        <w:rPr>
          <w:rFonts w:ascii="Arial" w:hAnsi="Arial" w:cs="Arial"/>
        </w:rPr>
        <w:t>Ppr</w:t>
      </w:r>
      <w:proofErr w:type="spellEnd"/>
      <w:r w:rsidRPr="00FB3859">
        <w:rPr>
          <w:rFonts w:ascii="Arial" w:hAnsi="Arial" w:cs="Arial"/>
        </w:rPr>
        <w:t xml:space="preserve">, </w:t>
      </w:r>
      <w:proofErr w:type="spellStart"/>
      <w:r w:rsidRPr="00FB3859">
        <w:rPr>
          <w:rFonts w:ascii="Arial" w:hAnsi="Arial" w:cs="Arial"/>
        </w:rPr>
        <w:t>Tpr</w:t>
      </w:r>
      <w:proofErr w:type="spellEnd"/>
      <w:r w:rsidRPr="00FB3859">
        <w:rPr>
          <w:rFonts w:ascii="Arial" w:hAnsi="Arial" w:cs="Arial"/>
        </w:rPr>
        <w:t>, and Gas Viscosity</w:t>
      </w:r>
    </w:p>
    <w:p w14:paraId="71765F81" w14:textId="77777777" w:rsidR="00B30ED6" w:rsidRPr="00FB3859" w:rsidRDefault="00B30ED6" w:rsidP="00B30ED6">
      <w:pPr>
        <w:jc w:val="both"/>
        <w:rPr>
          <w:rFonts w:ascii="Arial" w:hAnsi="Arial" w:cs="Arial"/>
        </w:rPr>
      </w:pPr>
    </w:p>
    <w:p w14:paraId="653ADC56" w14:textId="77777777" w:rsidR="00B30ED6" w:rsidRPr="00B30ED6" w:rsidRDefault="00B30ED6" w:rsidP="00B30ED6">
      <w:pPr>
        <w:rPr>
          <w:rFonts w:ascii="Arial" w:hAnsi="Arial" w:cs="Arial"/>
          <w:b/>
          <w:bCs/>
          <w:sz w:val="22"/>
        </w:rPr>
      </w:pPr>
      <w:bookmarkStart w:id="4" w:name="_Toc211071068"/>
      <w:r w:rsidRPr="00B30ED6">
        <w:rPr>
          <w:rFonts w:ascii="Arial" w:hAnsi="Arial" w:cs="Arial"/>
          <w:b/>
          <w:bCs/>
          <w:sz w:val="22"/>
        </w:rPr>
        <w:t>2.3</w:t>
      </w:r>
      <w:r w:rsidRPr="00B30ED6">
        <w:rPr>
          <w:rFonts w:ascii="Arial" w:hAnsi="Arial" w:cs="Arial"/>
          <w:b/>
          <w:bCs/>
          <w:sz w:val="22"/>
        </w:rPr>
        <w:tab/>
        <w:t>Model Calibration</w:t>
      </w:r>
      <w:bookmarkStart w:id="5" w:name="_Toc211071069"/>
      <w:bookmarkEnd w:id="4"/>
      <w:r w:rsidRPr="00B30ED6">
        <w:rPr>
          <w:rFonts w:ascii="Arial" w:hAnsi="Arial" w:cs="Arial"/>
          <w:b/>
          <w:bCs/>
          <w:sz w:val="22"/>
        </w:rPr>
        <w:t>: Curve Fitting (Regression-Based Calibration)</w:t>
      </w:r>
      <w:bookmarkEnd w:id="5"/>
    </w:p>
    <w:p w14:paraId="1E23AE7A" w14:textId="77777777" w:rsidR="00B30ED6" w:rsidRPr="00261573" w:rsidRDefault="00B30ED6" w:rsidP="00B30ED6">
      <w:pPr>
        <w:rPr>
          <w:rFonts w:ascii="Arial" w:hAnsi="Arial" w:cs="Arial"/>
          <w:b/>
          <w:bCs/>
        </w:rPr>
      </w:pPr>
      <w:r w:rsidRPr="00261573">
        <w:rPr>
          <w:rFonts w:ascii="Arial" w:hAnsi="Arial" w:cs="Arial"/>
        </w:rPr>
        <w:t>The collected field data from the study area were fitted into the selected existing correlation equations using nonlinear regression analysis. To achieve this, a function used for nonlinear least squares fitting called “</w:t>
      </w:r>
      <w:proofErr w:type="spellStart"/>
      <w:r w:rsidRPr="00261573">
        <w:rPr>
          <w:rFonts w:ascii="Arial" w:hAnsi="Arial" w:cs="Arial"/>
        </w:rPr>
        <w:t>curve_fit</w:t>
      </w:r>
      <w:proofErr w:type="spellEnd"/>
      <w:r w:rsidRPr="00261573">
        <w:rPr>
          <w:rFonts w:ascii="Arial" w:hAnsi="Arial" w:cs="Arial"/>
        </w:rPr>
        <w:t xml:space="preserve">” inside the </w:t>
      </w:r>
      <w:proofErr w:type="spellStart"/>
      <w:r w:rsidRPr="00261573">
        <w:rPr>
          <w:rFonts w:ascii="Arial" w:hAnsi="Arial" w:cs="Arial"/>
        </w:rPr>
        <w:t>scipy</w:t>
      </w:r>
      <w:proofErr w:type="spellEnd"/>
      <w:r w:rsidRPr="00261573">
        <w:rPr>
          <w:rFonts w:ascii="Arial" w:hAnsi="Arial" w:cs="Arial"/>
        </w:rPr>
        <w:t xml:space="preserve"> library submodule “</w:t>
      </w:r>
      <w:proofErr w:type="spellStart"/>
      <w:r w:rsidRPr="00261573">
        <w:rPr>
          <w:rFonts w:ascii="Arial" w:hAnsi="Arial" w:cs="Arial"/>
        </w:rPr>
        <w:t>scipy.optimize</w:t>
      </w:r>
      <w:proofErr w:type="spellEnd"/>
      <w:r w:rsidRPr="00261573">
        <w:rPr>
          <w:rFonts w:ascii="Arial" w:hAnsi="Arial" w:cs="Arial"/>
        </w:rPr>
        <w:t>,” used for model optimization, will be used to optimize model parameters.</w:t>
      </w:r>
    </w:p>
    <w:p w14:paraId="59E952FD" w14:textId="77777777" w:rsidR="00B30ED6" w:rsidRPr="00261573" w:rsidRDefault="00B30ED6" w:rsidP="00B30ED6">
      <w:pPr>
        <w:jc w:val="both"/>
        <w:rPr>
          <w:rFonts w:ascii="Arial" w:hAnsi="Arial" w:cs="Arial"/>
        </w:rPr>
      </w:pPr>
      <w:proofErr w:type="spellStart"/>
      <w:r w:rsidRPr="00261573">
        <w:rPr>
          <w:rFonts w:ascii="Arial" w:hAnsi="Arial" w:cs="Arial"/>
        </w:rPr>
        <w:t>Curve_fit</w:t>
      </w:r>
      <w:proofErr w:type="spellEnd"/>
      <w:r w:rsidRPr="00261573">
        <w:rPr>
          <w:rFonts w:ascii="Arial" w:hAnsi="Arial" w:cs="Arial"/>
        </w:rPr>
        <w:t xml:space="preserve"> uses a non-linear least squares approach to internally fit a model to a given dataset. It does so by minimizing the least square error between the predicted model value and observed field data, and it is very effective for models whose output depends on several parameters.</w:t>
      </w:r>
    </w:p>
    <w:p w14:paraId="6721977D" w14:textId="77777777" w:rsidR="00B30ED6" w:rsidRPr="00B30ED6" w:rsidRDefault="00B30ED6" w:rsidP="00B30ED6">
      <w:pPr>
        <w:rPr>
          <w:rFonts w:ascii="Arial" w:hAnsi="Arial" w:cs="Arial"/>
          <w:b/>
          <w:bCs/>
          <w:sz w:val="22"/>
        </w:rPr>
      </w:pPr>
      <w:bookmarkStart w:id="6" w:name="_Toc211071071"/>
      <w:r w:rsidRPr="00B30ED6">
        <w:rPr>
          <w:rFonts w:ascii="Arial" w:hAnsi="Arial" w:cs="Arial"/>
          <w:b/>
          <w:bCs/>
          <w:sz w:val="22"/>
        </w:rPr>
        <w:t>2.4</w:t>
      </w:r>
      <w:r w:rsidRPr="00B30ED6">
        <w:rPr>
          <w:rFonts w:ascii="Arial" w:hAnsi="Arial" w:cs="Arial"/>
          <w:b/>
          <w:bCs/>
          <w:sz w:val="22"/>
        </w:rPr>
        <w:tab/>
        <w:t>Model Performance Metric Evaluation</w:t>
      </w:r>
      <w:bookmarkEnd w:id="6"/>
    </w:p>
    <w:p w14:paraId="0EBD7F9D" w14:textId="77777777" w:rsidR="00B30ED6" w:rsidRDefault="00B30ED6" w:rsidP="00B30ED6">
      <w:pPr>
        <w:jc w:val="both"/>
        <w:rPr>
          <w:rFonts w:ascii="Arial" w:hAnsi="Arial" w:cs="Arial"/>
        </w:rPr>
      </w:pPr>
      <w:r w:rsidRPr="00261573">
        <w:rPr>
          <w:rFonts w:ascii="Arial" w:hAnsi="Arial" w:cs="Arial"/>
        </w:rPr>
        <w:t>To validate and quantify the accuracy of the calibrated correlation equations, the following statistical metrics were used:</w:t>
      </w:r>
    </w:p>
    <w:p w14:paraId="16D55E6A" w14:textId="77777777" w:rsidR="00026EE5" w:rsidRPr="00261573" w:rsidRDefault="00026EE5" w:rsidP="00B30ED6">
      <w:pPr>
        <w:jc w:val="both"/>
        <w:rPr>
          <w:rFonts w:ascii="Arial" w:hAnsi="Arial" w:cs="Arial"/>
        </w:rPr>
      </w:pPr>
    </w:p>
    <w:p w14:paraId="1293BAB6" w14:textId="77777777" w:rsidR="00B30ED6" w:rsidRPr="00261573" w:rsidRDefault="00B30ED6" w:rsidP="00B30ED6">
      <w:pPr>
        <w:jc w:val="both"/>
        <w:rPr>
          <w:rFonts w:ascii="Arial" w:hAnsi="Arial" w:cs="Arial"/>
          <w:b/>
          <w:bCs/>
        </w:rPr>
      </w:pPr>
      <w:r>
        <w:rPr>
          <w:rFonts w:ascii="Arial" w:hAnsi="Arial" w:cs="Arial"/>
          <w:b/>
          <w:bCs/>
        </w:rPr>
        <w:t>2.4.1</w:t>
      </w:r>
      <w:r>
        <w:rPr>
          <w:rFonts w:ascii="Arial" w:hAnsi="Arial" w:cs="Arial"/>
          <w:b/>
          <w:bCs/>
        </w:rPr>
        <w:tab/>
      </w:r>
      <w:r w:rsidRPr="00261573">
        <w:rPr>
          <w:rFonts w:ascii="Arial" w:hAnsi="Arial" w:cs="Arial"/>
          <w:b/>
          <w:bCs/>
        </w:rPr>
        <w:t>Mean Absolute Error (MAE)</w:t>
      </w:r>
    </w:p>
    <w:p w14:paraId="486EA66B" w14:textId="77777777" w:rsidR="00B30ED6" w:rsidRDefault="00B30ED6" w:rsidP="00B30ED6">
      <w:pPr>
        <w:jc w:val="both"/>
        <w:rPr>
          <w:rStyle w:val="apple-converted-space"/>
          <w:rFonts w:ascii="Arial" w:hAnsi="Arial" w:cs="Arial"/>
        </w:rPr>
      </w:pPr>
      <w:r w:rsidRPr="00261573">
        <w:rPr>
          <w:rStyle w:val="apple-converted-space"/>
          <w:rFonts w:ascii="Arial" w:hAnsi="Arial" w:cs="Arial"/>
        </w:rPr>
        <w:t>It measures the mean value of the differences in predictions without paying attention to their direction. For a better statistical model, it is required to have as minimal MAE as possible (close to zero is preferred).</w:t>
      </w:r>
    </w:p>
    <w:p w14:paraId="57F32997" w14:textId="77777777" w:rsidR="00026EE5" w:rsidRDefault="00026EE5" w:rsidP="00B30ED6">
      <w:pPr>
        <w:jc w:val="both"/>
        <w:rPr>
          <w:rStyle w:val="apple-converted-space"/>
          <w:rFonts w:ascii="Arial" w:hAnsi="Arial" w:cs="Arial"/>
        </w:rPr>
      </w:pPr>
    </w:p>
    <w:p w14:paraId="268F7414" w14:textId="77777777" w:rsidR="00026EE5" w:rsidRPr="00261573" w:rsidRDefault="00026EE5" w:rsidP="00F25741">
      <w:pPr>
        <w:ind w:firstLine="720"/>
        <w:jc w:val="both"/>
        <w:rPr>
          <w:rStyle w:val="apple-converted-space"/>
          <w:rFonts w:ascii="Arial" w:hAnsi="Arial" w:cs="Arial"/>
        </w:rPr>
      </w:pPr>
      <w:r w:rsidRPr="00026EE5">
        <w:rPr>
          <w:rFonts w:ascii="Arial" w:hAnsi="Arial" w:cs="Arial"/>
          <w:position w:val="-28"/>
        </w:rPr>
        <w:object w:dxaOrig="2079" w:dyaOrig="680" w14:anchorId="7BCF3BEC">
          <v:shape id="_x0000_i1026" type="#_x0000_t75" style="width:104.25pt;height:34.45pt" o:ole="">
            <v:imagedata r:id="rId18" o:title=""/>
          </v:shape>
          <o:OLEObject Type="Embed" ProgID="Equation.3" ShapeID="_x0000_i1026" DrawAspect="Content" ObjectID="_1831705404" r:id="rId19"/>
        </w:objec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2</w:t>
      </w:r>
    </w:p>
    <w:p w14:paraId="6864DE28" w14:textId="77777777" w:rsidR="00B30ED6" w:rsidRPr="00026EE5" w:rsidRDefault="00B30ED6" w:rsidP="00B30ED6">
      <w:pPr>
        <w:jc w:val="both"/>
        <w:rPr>
          <w:rStyle w:val="apple-converted-space"/>
          <w:rFonts w:ascii="Arial" w:eastAsiaTheme="minorEastAsia" w:hAnsi="Arial" w:cs="Arial"/>
        </w:rPr>
      </w:pPr>
      <w:r w:rsidRPr="00026EE5">
        <w:rPr>
          <w:rStyle w:val="apple-converted-space"/>
          <w:rFonts w:ascii="Arial" w:eastAsiaTheme="minorEastAsia" w:hAnsi="Arial" w:cs="Arial"/>
        </w:rPr>
        <w:t xml:space="preserve">Where </w:t>
      </w:r>
      <m:oMath>
        <m:sSub>
          <m:sSubPr>
            <m:ctrlPr>
              <w:rPr>
                <w:rStyle w:val="apple-converted-space"/>
                <w:rFonts w:ascii="Cambria Math" w:eastAsiaTheme="minorEastAsia" w:hAnsi="Cambria Math" w:cs="Arial"/>
                <w:i/>
              </w:rPr>
            </m:ctrlPr>
          </m:sSubPr>
          <m:e>
            <m:r>
              <w:rPr>
                <w:rStyle w:val="apple-converted-space"/>
                <w:rFonts w:ascii="Cambria Math" w:eastAsiaTheme="minorEastAsia" w:hAnsi="Cambria Math" w:cs="Arial"/>
              </w:rPr>
              <m:t>y</m:t>
            </m:r>
          </m:e>
          <m:sub>
            <m:r>
              <w:rPr>
                <w:rStyle w:val="apple-converted-space"/>
                <w:rFonts w:ascii="Cambria Math" w:eastAsiaTheme="minorEastAsia" w:hAnsi="Cambria Math" w:cs="Arial"/>
              </w:rPr>
              <m:t>i</m:t>
            </m:r>
          </m:sub>
        </m:sSub>
        <m:r>
          <w:rPr>
            <w:rStyle w:val="apple-converted-space"/>
            <w:rFonts w:ascii="Cambria Math" w:eastAsiaTheme="minorEastAsia" w:hAnsi="Cambria Math" w:cs="Arial"/>
          </w:rPr>
          <m:t>=</m:t>
        </m:r>
      </m:oMath>
      <w:r w:rsidRPr="00026EE5">
        <w:rPr>
          <w:rStyle w:val="apple-converted-space"/>
          <w:rFonts w:ascii="Arial" w:eastAsiaTheme="minorEastAsia" w:hAnsi="Arial" w:cs="Arial"/>
        </w:rPr>
        <w:t xml:space="preserve"> </w:t>
      </w:r>
      <m:oMath>
        <m:r>
          <m:rPr>
            <m:sty m:val="p"/>
          </m:rPr>
          <w:rPr>
            <w:rStyle w:val="apple-converted-space"/>
            <w:rFonts w:ascii="Cambria Math" w:eastAsiaTheme="minorEastAsia" w:hAnsi="Cambria Math" w:cs="Arial"/>
          </w:rPr>
          <m:t>the true value</m:t>
        </m:r>
      </m:oMath>
      <w:r w:rsidR="00026EE5" w:rsidRPr="00026EE5">
        <w:rPr>
          <w:rStyle w:val="apple-converted-space"/>
          <w:rFonts w:ascii="Arial" w:eastAsiaTheme="minorEastAsia" w:hAnsi="Arial" w:cs="Arial"/>
        </w:rPr>
        <w:t>;</w:t>
      </w:r>
      <w:r w:rsidR="00026EE5" w:rsidRPr="00026EE5">
        <w:rPr>
          <w:rStyle w:val="apple-converted-space"/>
          <w:rFonts w:ascii="Arial" w:eastAsiaTheme="minorEastAsia" w:hAnsi="Arial" w:cs="Arial"/>
        </w:rPr>
        <w:tab/>
      </w:r>
      <m:oMath>
        <m:r>
          <w:rPr>
            <w:rStyle w:val="apple-converted-space"/>
            <w:rFonts w:ascii="Cambria Math" w:eastAsiaTheme="minorEastAsia" w:hAnsi="Cambria Math" w:cs="Arial"/>
          </w:rPr>
          <m:t>ӯ=</m:t>
        </m:r>
        <m:r>
          <m:rPr>
            <m:sty m:val="p"/>
          </m:rPr>
          <w:rPr>
            <w:rStyle w:val="apple-converted-space"/>
            <w:rFonts w:ascii="Cambria Math" w:eastAsiaTheme="minorEastAsia" w:hAnsi="Cambria Math" w:cs="Arial"/>
          </w:rPr>
          <m:t>the predicted value</m:t>
        </m:r>
      </m:oMath>
    </w:p>
    <w:p w14:paraId="00AB9BE5" w14:textId="77777777" w:rsidR="00026EE5" w:rsidRPr="00026EE5" w:rsidRDefault="00026EE5" w:rsidP="00B30ED6">
      <w:pPr>
        <w:jc w:val="both"/>
        <w:rPr>
          <w:rFonts w:ascii="Arial" w:eastAsiaTheme="minorEastAsia" w:hAnsi="Arial" w:cs="Arial"/>
          <w:sz w:val="28"/>
        </w:rPr>
      </w:pPr>
    </w:p>
    <w:p w14:paraId="5288613A" w14:textId="77777777" w:rsidR="00B30ED6" w:rsidRPr="00261573" w:rsidRDefault="00B30ED6" w:rsidP="00B30ED6">
      <w:pPr>
        <w:jc w:val="both"/>
        <w:rPr>
          <w:rFonts w:ascii="Arial" w:hAnsi="Arial" w:cs="Arial"/>
          <w:b/>
          <w:bCs/>
        </w:rPr>
      </w:pPr>
      <w:r>
        <w:rPr>
          <w:rFonts w:ascii="Arial" w:hAnsi="Arial" w:cs="Arial"/>
          <w:b/>
          <w:bCs/>
        </w:rPr>
        <w:t>2.4.2</w:t>
      </w:r>
      <w:r>
        <w:rPr>
          <w:rFonts w:ascii="Arial" w:hAnsi="Arial" w:cs="Arial"/>
          <w:b/>
          <w:bCs/>
        </w:rPr>
        <w:tab/>
      </w:r>
      <w:r w:rsidRPr="00261573">
        <w:rPr>
          <w:rFonts w:ascii="Arial" w:hAnsi="Arial" w:cs="Arial"/>
          <w:b/>
          <w:bCs/>
        </w:rPr>
        <w:t>Root Mean Squared Error (RMSE)</w:t>
      </w:r>
    </w:p>
    <w:p w14:paraId="5506E163" w14:textId="77777777" w:rsidR="00B30ED6" w:rsidRDefault="00B30ED6" w:rsidP="00B30ED6">
      <w:pPr>
        <w:jc w:val="both"/>
        <w:rPr>
          <w:rFonts w:ascii="Arial" w:hAnsi="Arial" w:cs="Arial"/>
        </w:rPr>
      </w:pPr>
      <w:r w:rsidRPr="00261573">
        <w:rPr>
          <w:rFonts w:ascii="Arial" w:hAnsi="Arial" w:cs="Arial"/>
        </w:rPr>
        <w:t>It tells how concentrated the data is around the line of best fit. It is very sensitive to large errors and good to use if the dataset has a lot of outliers. The lower the RMSE (i.e., close to zero), the better the prediction.</w:t>
      </w:r>
    </w:p>
    <w:p w14:paraId="040166D0" w14:textId="77777777" w:rsidR="00026EE5" w:rsidRDefault="00026EE5" w:rsidP="00B30ED6">
      <w:pPr>
        <w:jc w:val="both"/>
        <w:rPr>
          <w:rFonts w:ascii="Arial" w:hAnsi="Arial" w:cs="Arial"/>
        </w:rPr>
      </w:pPr>
    </w:p>
    <w:p w14:paraId="44D1F6DB" w14:textId="77777777" w:rsidR="00B30ED6" w:rsidRDefault="00BC5671" w:rsidP="00F25741">
      <w:pPr>
        <w:ind w:firstLine="720"/>
        <w:jc w:val="both"/>
        <w:rPr>
          <w:rFonts w:ascii="Arial" w:hAnsi="Arial" w:cs="Arial"/>
          <w:color w:val="141414"/>
          <w:lang w:eastAsia="en-GB"/>
        </w:rPr>
      </w:pPr>
      <w:r w:rsidRPr="00F25741">
        <w:rPr>
          <w:rFonts w:ascii="Arial" w:hAnsi="Arial" w:cs="Arial"/>
          <w:position w:val="-26"/>
        </w:rPr>
        <w:object w:dxaOrig="2520" w:dyaOrig="1080" w14:anchorId="583AB94E">
          <v:shape id="_x0000_i1027" type="#_x0000_t75" style="width:126.75pt;height:54.75pt" o:ole="">
            <v:imagedata r:id="rId20" o:title=""/>
          </v:shape>
          <o:OLEObject Type="Embed" ProgID="Equation.3" ShapeID="_x0000_i1027" DrawAspect="Content" ObjectID="_1831705405" r:id="rId21"/>
        </w:object>
      </w:r>
      <w:r w:rsidR="00F25741">
        <w:rPr>
          <w:rFonts w:ascii="Arial" w:hAnsi="Arial" w:cs="Arial"/>
        </w:rPr>
        <w:tab/>
      </w:r>
      <w:r w:rsidR="00F25741">
        <w:rPr>
          <w:rFonts w:ascii="Arial" w:hAnsi="Arial" w:cs="Arial"/>
        </w:rPr>
        <w:tab/>
      </w:r>
      <w:r w:rsidR="00F25741">
        <w:rPr>
          <w:rFonts w:ascii="Arial" w:hAnsi="Arial" w:cs="Arial"/>
          <w:color w:val="141414"/>
          <w:lang w:eastAsia="en-GB"/>
        </w:rPr>
        <w:tab/>
      </w:r>
      <w:r w:rsidR="00F25741">
        <w:rPr>
          <w:rFonts w:ascii="Arial" w:hAnsi="Arial" w:cs="Arial"/>
          <w:color w:val="141414"/>
          <w:lang w:eastAsia="en-GB"/>
        </w:rPr>
        <w:tab/>
      </w:r>
      <w:r w:rsidR="00F25741">
        <w:rPr>
          <w:rFonts w:ascii="Arial" w:hAnsi="Arial" w:cs="Arial"/>
          <w:color w:val="141414"/>
          <w:lang w:eastAsia="en-GB"/>
        </w:rPr>
        <w:tab/>
      </w:r>
      <w:r w:rsidR="00F25741">
        <w:rPr>
          <w:rFonts w:ascii="Arial" w:hAnsi="Arial" w:cs="Arial"/>
          <w:color w:val="141414"/>
          <w:lang w:eastAsia="en-GB"/>
        </w:rPr>
        <w:tab/>
      </w:r>
      <w:r w:rsidR="00B30ED6" w:rsidRPr="00261573">
        <w:rPr>
          <w:rFonts w:ascii="Arial" w:hAnsi="Arial" w:cs="Arial"/>
          <w:color w:val="141414"/>
          <w:lang w:eastAsia="en-GB"/>
        </w:rPr>
        <w:t>3</w:t>
      </w:r>
    </w:p>
    <w:p w14:paraId="45F7F95D" w14:textId="77777777" w:rsidR="00026EE5" w:rsidRPr="00261573" w:rsidRDefault="00026EE5" w:rsidP="00B30ED6">
      <w:pPr>
        <w:ind w:firstLine="720"/>
        <w:jc w:val="both"/>
        <w:rPr>
          <w:rFonts w:ascii="Arial" w:hAnsi="Arial" w:cs="Arial"/>
          <w:color w:val="141414"/>
          <w:lang w:eastAsia="en-GB"/>
        </w:rPr>
      </w:pPr>
    </w:p>
    <w:p w14:paraId="55263B67" w14:textId="77777777" w:rsidR="00B30ED6" w:rsidRPr="00261573" w:rsidRDefault="00B30ED6" w:rsidP="00B30ED6">
      <w:pPr>
        <w:jc w:val="both"/>
        <w:rPr>
          <w:rStyle w:val="apple-converted-space"/>
          <w:rFonts w:ascii="Arial" w:eastAsiaTheme="minorEastAsia" w:hAnsi="Arial" w:cs="Arial"/>
          <w:b/>
        </w:rPr>
      </w:pPr>
      <w:r>
        <w:rPr>
          <w:rStyle w:val="apple-converted-space"/>
          <w:rFonts w:ascii="Arial" w:eastAsiaTheme="minorEastAsia" w:hAnsi="Arial" w:cs="Arial"/>
          <w:b/>
        </w:rPr>
        <w:t>2.4.3</w:t>
      </w:r>
      <w:r>
        <w:rPr>
          <w:rStyle w:val="apple-converted-space"/>
          <w:rFonts w:ascii="Arial" w:eastAsiaTheme="minorEastAsia" w:hAnsi="Arial" w:cs="Arial"/>
          <w:b/>
        </w:rPr>
        <w:tab/>
      </w:r>
      <w:r w:rsidRPr="00261573">
        <w:rPr>
          <w:rStyle w:val="apple-converted-space"/>
          <w:rFonts w:ascii="Arial" w:eastAsiaTheme="minorEastAsia" w:hAnsi="Arial" w:cs="Arial"/>
          <w:b/>
        </w:rPr>
        <w:t xml:space="preserve">Coefficient of determination, </w:t>
      </w:r>
      <m:oMath>
        <m:sSup>
          <m:sSupPr>
            <m:ctrlPr>
              <w:rPr>
                <w:rStyle w:val="apple-converted-space"/>
                <w:rFonts w:ascii="Cambria Math" w:eastAsiaTheme="minorEastAsia" w:hAnsi="Cambria Math" w:cs="Arial"/>
                <w:b/>
                <w:i/>
              </w:rPr>
            </m:ctrlPr>
          </m:sSupPr>
          <m:e>
            <m:r>
              <m:rPr>
                <m:sty m:val="bi"/>
              </m:rPr>
              <w:rPr>
                <w:rStyle w:val="apple-converted-space"/>
                <w:rFonts w:ascii="Cambria Math" w:eastAsiaTheme="minorEastAsia" w:hAnsi="Cambria Math" w:cs="Arial"/>
              </w:rPr>
              <m:t>(R</m:t>
            </m:r>
          </m:e>
          <m:sup>
            <m:r>
              <m:rPr>
                <m:sty m:val="bi"/>
              </m:rPr>
              <w:rPr>
                <w:rStyle w:val="apple-converted-space"/>
                <w:rFonts w:ascii="Cambria Math" w:eastAsiaTheme="minorEastAsia" w:hAnsi="Cambria Math" w:cs="Arial"/>
              </w:rPr>
              <m:t>2</m:t>
            </m:r>
          </m:sup>
        </m:sSup>
      </m:oMath>
      <w:r w:rsidRPr="00261573">
        <w:rPr>
          <w:rStyle w:val="apple-converted-space"/>
          <w:rFonts w:ascii="Arial" w:eastAsiaTheme="minorEastAsia" w:hAnsi="Arial" w:cs="Arial"/>
          <w:b/>
        </w:rPr>
        <w:t xml:space="preserve"> score)</w:t>
      </w:r>
    </w:p>
    <w:p w14:paraId="36C1B75C" w14:textId="77777777" w:rsidR="00B30ED6" w:rsidRPr="00261573" w:rsidRDefault="00B30ED6" w:rsidP="00B30ED6">
      <w:pPr>
        <w:jc w:val="both"/>
        <w:rPr>
          <w:rFonts w:ascii="Arial" w:eastAsiaTheme="minorEastAsia" w:hAnsi="Arial" w:cs="Arial"/>
        </w:rPr>
      </w:pPr>
      <w:r w:rsidRPr="00261573">
        <w:rPr>
          <w:rStyle w:val="apple-converted-space"/>
          <w:rFonts w:ascii="Arial" w:eastAsiaTheme="minorEastAsia" w:hAnsi="Arial" w:cs="Arial"/>
        </w:rPr>
        <w:t xml:space="preserve">This tells how well the data fits the model (the goodness of fit). </w:t>
      </w:r>
      <w:r w:rsidRPr="00261573">
        <w:rPr>
          <w:rFonts w:ascii="Arial" w:hAnsi="Arial" w:cs="Arial"/>
          <w:color w:val="141414"/>
          <w:lang w:eastAsia="en-GB"/>
        </w:rPr>
        <w:t>It ranges between values of zero and one.  The value of 1 represents perfect prediction, while 0 implies that the model does no better than the mean. An R</w:t>
      </w:r>
      <w:r w:rsidRPr="00261573">
        <w:rPr>
          <w:rFonts w:ascii="Arial" w:hAnsi="Arial" w:cs="Arial"/>
          <w:color w:val="141414"/>
          <w:vertAlign w:val="superscript"/>
          <w:lang w:eastAsia="en-GB"/>
        </w:rPr>
        <w:t>2</w:t>
      </w:r>
      <w:r w:rsidRPr="00261573">
        <w:rPr>
          <w:rFonts w:ascii="Arial" w:hAnsi="Arial" w:cs="Arial"/>
          <w:color w:val="141414"/>
          <w:lang w:eastAsia="en-GB"/>
        </w:rPr>
        <w:t xml:space="preserve"> value less than 0 implies worse than the mean.</w:t>
      </w:r>
    </w:p>
    <w:p w14:paraId="40A40F33" w14:textId="77777777" w:rsidR="00B30ED6" w:rsidRDefault="00B30ED6" w:rsidP="00B30ED6">
      <w:pPr>
        <w:jc w:val="both"/>
        <w:rPr>
          <w:rStyle w:val="apple-converted-space"/>
          <w:rFonts w:ascii="Arial" w:eastAsiaTheme="minorEastAsia" w:hAnsi="Arial" w:cs="Arial"/>
        </w:rPr>
      </w:pPr>
      <w:r w:rsidRPr="00261573">
        <w:rPr>
          <w:rStyle w:val="apple-converted-space"/>
          <w:rFonts w:ascii="Arial" w:eastAsiaTheme="minorEastAsia" w:hAnsi="Arial" w:cs="Arial"/>
        </w:rPr>
        <w:t>Mathematically, the coefficient of determination can be found using:</w:t>
      </w:r>
    </w:p>
    <w:p w14:paraId="70E7FC01" w14:textId="77777777" w:rsidR="00F25741" w:rsidRDefault="00F25741" w:rsidP="00B30ED6">
      <w:pPr>
        <w:jc w:val="both"/>
        <w:rPr>
          <w:rStyle w:val="apple-converted-space"/>
          <w:rFonts w:ascii="Arial" w:eastAsiaTheme="minorEastAsia" w:hAnsi="Arial" w:cs="Arial"/>
        </w:rPr>
      </w:pPr>
    </w:p>
    <w:p w14:paraId="0EBBA276" w14:textId="77777777" w:rsidR="00B30ED6" w:rsidRPr="00261573" w:rsidRDefault="00F25741" w:rsidP="00BC5671">
      <w:pPr>
        <w:jc w:val="both"/>
        <w:rPr>
          <w:rStyle w:val="apple-converted-space"/>
          <w:rFonts w:ascii="Arial" w:eastAsiaTheme="minorEastAsia" w:hAnsi="Arial" w:cs="Arial"/>
        </w:rPr>
      </w:pPr>
      <w:r>
        <w:rPr>
          <w:rStyle w:val="apple-converted-space"/>
          <w:rFonts w:ascii="Arial" w:eastAsiaTheme="minorEastAsia" w:hAnsi="Arial" w:cs="Arial"/>
        </w:rPr>
        <w:tab/>
      </w:r>
      <w:r w:rsidR="00BC5671" w:rsidRPr="00F25741">
        <w:rPr>
          <w:rFonts w:ascii="Arial" w:hAnsi="Arial" w:cs="Arial"/>
          <w:position w:val="-30"/>
        </w:rPr>
        <w:object w:dxaOrig="1920" w:dyaOrig="720" w14:anchorId="5FE3C6D1">
          <v:shape id="_x0000_i1028" type="#_x0000_t75" style="width:95.4pt;height:36.2pt" o:ole="">
            <v:imagedata r:id="rId22" o:title=""/>
          </v:shape>
          <o:OLEObject Type="Embed" ProgID="Equation.3" ShapeID="_x0000_i1028" DrawAspect="Content" ObjectID="_1831705406" r:id="rId23"/>
        </w:object>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r>
      <w:r w:rsidR="00B30ED6" w:rsidRPr="00261573">
        <w:rPr>
          <w:rStyle w:val="apple-converted-space"/>
          <w:rFonts w:ascii="Arial" w:eastAsiaTheme="minorEastAsia" w:hAnsi="Arial" w:cs="Arial"/>
        </w:rPr>
        <w:tab/>
        <w:t>4</w:t>
      </w:r>
    </w:p>
    <w:p w14:paraId="4F543227" w14:textId="77777777" w:rsidR="00B30ED6" w:rsidRPr="00261573" w:rsidRDefault="00B30ED6" w:rsidP="00B30ED6">
      <w:pPr>
        <w:jc w:val="both"/>
        <w:rPr>
          <w:rStyle w:val="apple-converted-space"/>
          <w:rFonts w:ascii="Arial" w:hAnsi="Arial" w:cs="Arial"/>
        </w:rPr>
      </w:pPr>
      <m:oMath>
        <m:r>
          <w:rPr>
            <w:rStyle w:val="apple-converted-space"/>
            <w:rFonts w:ascii="Cambria Math" w:hAnsi="Cambria Math" w:cs="Arial"/>
          </w:rPr>
          <m:t>S</m:t>
        </m:r>
        <m:sSub>
          <m:sSubPr>
            <m:ctrlPr>
              <w:rPr>
                <w:rStyle w:val="apple-converted-space"/>
                <w:rFonts w:ascii="Cambria Math" w:hAnsi="Cambria Math" w:cs="Arial"/>
                <w:i/>
              </w:rPr>
            </m:ctrlPr>
          </m:sSubPr>
          <m:e>
            <m:r>
              <w:rPr>
                <w:rStyle w:val="apple-converted-space"/>
                <w:rFonts w:ascii="Cambria Math" w:hAnsi="Cambria Math" w:cs="Arial"/>
              </w:rPr>
              <m:t>S</m:t>
            </m:r>
          </m:e>
          <m:sub>
            <m:r>
              <w:rPr>
                <w:rStyle w:val="apple-converted-space"/>
                <w:rFonts w:ascii="Cambria Math" w:hAnsi="Cambria Math" w:cs="Arial"/>
              </w:rPr>
              <m:t>regression</m:t>
            </m:r>
          </m:sub>
        </m:sSub>
        <m:r>
          <w:rPr>
            <w:rStyle w:val="apple-converted-space"/>
            <w:rFonts w:ascii="Cambria Math" w:hAnsi="Cambria Math" w:cs="Arial"/>
          </w:rPr>
          <m:t xml:space="preserve"> </m:t>
        </m:r>
      </m:oMath>
      <w:r w:rsidR="00BC5671">
        <w:rPr>
          <w:rStyle w:val="apple-converted-space"/>
          <w:rFonts w:ascii="Arial" w:hAnsi="Arial" w:cs="Arial"/>
        </w:rPr>
        <w:t xml:space="preserve">is </w:t>
      </w:r>
      <w:r w:rsidRPr="00261573">
        <w:rPr>
          <w:rStyle w:val="apple-converted-space"/>
          <w:rFonts w:ascii="Arial" w:hAnsi="Arial" w:cs="Arial"/>
        </w:rPr>
        <w:t>the sum of squares due to regression</w:t>
      </w:r>
      <w:r w:rsidR="00BC5671">
        <w:rPr>
          <w:rStyle w:val="apple-converted-space"/>
          <w:rFonts w:ascii="Arial" w:hAnsi="Arial" w:cs="Arial"/>
        </w:rPr>
        <w:t xml:space="preserve"> i.e.</w:t>
      </w:r>
      <w:r w:rsidR="00BC5671" w:rsidRPr="00BC5671">
        <w:t xml:space="preserve"> </w:t>
      </w:r>
      <w:r w:rsidR="00BC5671" w:rsidRPr="002B71C1">
        <w:rPr>
          <w:position w:val="-28"/>
        </w:rPr>
        <w:object w:dxaOrig="1340" w:dyaOrig="720" w14:anchorId="404F25D4">
          <v:shape id="_x0000_i1029" type="#_x0000_t75" style="width:66.7pt;height:36.2pt" o:ole="">
            <v:imagedata r:id="rId24" o:title=""/>
          </v:shape>
          <o:OLEObject Type="Embed" ProgID="Equation.3" ShapeID="_x0000_i1029" DrawAspect="Content" ObjectID="_1831705407" r:id="rId25"/>
        </w:object>
      </w:r>
      <w:r w:rsidRPr="00261573">
        <w:rPr>
          <w:rStyle w:val="apple-converted-space"/>
          <w:rFonts w:ascii="Arial" w:hAnsi="Arial" w:cs="Arial"/>
        </w:rPr>
        <w:tab/>
      </w:r>
    </w:p>
    <w:p w14:paraId="6C14DF3A" w14:textId="77777777" w:rsidR="00B30ED6" w:rsidRPr="00261573" w:rsidRDefault="00B30ED6" w:rsidP="00B30ED6">
      <w:pPr>
        <w:jc w:val="both"/>
        <w:rPr>
          <w:rStyle w:val="apple-converted-space"/>
          <w:rFonts w:ascii="Arial" w:eastAsiaTheme="minorEastAsia" w:hAnsi="Arial" w:cs="Arial"/>
        </w:rPr>
      </w:pPr>
      <m:oMath>
        <m:r>
          <w:rPr>
            <w:rStyle w:val="apple-converted-space"/>
            <w:rFonts w:ascii="Cambria Math" w:hAnsi="Cambria Math" w:cs="Arial"/>
          </w:rPr>
          <m:t>S</m:t>
        </m:r>
        <m:sSub>
          <m:sSubPr>
            <m:ctrlPr>
              <w:rPr>
                <w:rStyle w:val="apple-converted-space"/>
                <w:rFonts w:ascii="Cambria Math" w:hAnsi="Cambria Math" w:cs="Arial"/>
                <w:i/>
              </w:rPr>
            </m:ctrlPr>
          </m:sSubPr>
          <m:e>
            <m:r>
              <w:rPr>
                <w:rStyle w:val="apple-converted-space"/>
                <w:rFonts w:ascii="Cambria Math" w:hAnsi="Cambria Math" w:cs="Arial"/>
              </w:rPr>
              <m:t>S</m:t>
            </m:r>
          </m:e>
          <m:sub>
            <m:r>
              <w:rPr>
                <w:rStyle w:val="apple-converted-space"/>
                <w:rFonts w:ascii="Cambria Math" w:hAnsi="Cambria Math" w:cs="Arial"/>
              </w:rPr>
              <m:t>total</m:t>
            </m:r>
          </m:sub>
        </m:sSub>
        <m:r>
          <w:rPr>
            <w:rStyle w:val="apple-converted-space"/>
            <w:rFonts w:ascii="Cambria Math" w:hAnsi="Cambria Math" w:cs="Arial"/>
          </w:rPr>
          <m:t xml:space="preserve"> </m:t>
        </m:r>
      </m:oMath>
      <w:r w:rsidR="00BC5671">
        <w:rPr>
          <w:rStyle w:val="apple-converted-space"/>
          <w:rFonts w:ascii="Arial" w:hAnsi="Arial" w:cs="Arial"/>
        </w:rPr>
        <w:t>is</w:t>
      </w:r>
      <w:r w:rsidRPr="00261573">
        <w:rPr>
          <w:rStyle w:val="apple-converted-space"/>
          <w:rFonts w:ascii="Arial" w:hAnsi="Arial" w:cs="Arial"/>
        </w:rPr>
        <w:t xml:space="preserve"> the total sum of squares </w:t>
      </w:r>
      <w:r w:rsidR="00BC5671">
        <w:rPr>
          <w:rStyle w:val="apple-converted-space"/>
          <w:rFonts w:ascii="Arial" w:hAnsi="Arial" w:cs="Arial"/>
        </w:rPr>
        <w:t xml:space="preserve">i.e. </w:t>
      </w:r>
      <w:r w:rsidR="00BC5671" w:rsidRPr="00BC5671">
        <w:rPr>
          <w:position w:val="-16"/>
        </w:rPr>
        <w:object w:dxaOrig="1320" w:dyaOrig="460" w14:anchorId="376B110E">
          <v:shape id="_x0000_i1030" type="#_x0000_t75" style="width:65.8pt;height:22.55pt" o:ole="">
            <v:imagedata r:id="rId26" o:title=""/>
          </v:shape>
          <o:OLEObject Type="Embed" ProgID="Equation.3" ShapeID="_x0000_i1030" DrawAspect="Content" ObjectID="_1831705408" r:id="rId27"/>
        </w:object>
      </w:r>
      <w:r w:rsidRPr="00261573">
        <w:rPr>
          <w:rStyle w:val="apple-converted-space"/>
          <w:rFonts w:ascii="Arial" w:eastAsiaTheme="minorEastAsia" w:hAnsi="Arial" w:cs="Arial"/>
        </w:rPr>
        <w:tab/>
      </w:r>
      <w:r w:rsidRPr="00261573">
        <w:rPr>
          <w:rStyle w:val="apple-converted-space"/>
          <w:rFonts w:ascii="Arial" w:eastAsiaTheme="minorEastAsia" w:hAnsi="Arial" w:cs="Arial"/>
        </w:rPr>
        <w:tab/>
      </w:r>
      <w:r w:rsidRPr="00261573">
        <w:rPr>
          <w:rStyle w:val="apple-converted-space"/>
          <w:rFonts w:ascii="Arial" w:eastAsiaTheme="minorEastAsia" w:hAnsi="Arial" w:cs="Arial"/>
        </w:rPr>
        <w:tab/>
      </w:r>
    </w:p>
    <w:p w14:paraId="77C4A4D6" w14:textId="77777777" w:rsidR="00B30ED6" w:rsidRPr="00261573" w:rsidRDefault="003E4269" w:rsidP="00B30ED6">
      <w:pPr>
        <w:jc w:val="both"/>
        <w:rPr>
          <w:rFonts w:ascii="Arial" w:hAnsi="Arial" w:cs="Arial"/>
        </w:rPr>
      </w:pPr>
      <m:oMath>
        <m:sSub>
          <m:sSubPr>
            <m:ctrlPr>
              <w:rPr>
                <w:rStyle w:val="apple-converted-space"/>
                <w:rFonts w:ascii="Cambria Math" w:hAnsi="Cambria Math" w:cs="Arial"/>
                <w:i/>
              </w:rPr>
            </m:ctrlPr>
          </m:sSubPr>
          <m:e>
            <m:r>
              <w:rPr>
                <w:rStyle w:val="apple-converted-space"/>
                <w:rFonts w:ascii="Cambria Math" w:hAnsi="Cambria Math" w:cs="Arial"/>
              </w:rPr>
              <m:t>f</m:t>
            </m:r>
          </m:e>
          <m:sub>
            <m:r>
              <w:rPr>
                <w:rStyle w:val="apple-converted-space"/>
                <w:rFonts w:ascii="Cambria Math" w:hAnsi="Cambria Math" w:cs="Arial"/>
              </w:rPr>
              <m:t>i</m:t>
            </m:r>
          </m:sub>
        </m:sSub>
        <m:r>
          <w:rPr>
            <w:rFonts w:ascii="Cambria Math" w:hAnsi="Cambria Math"/>
          </w:rPr>
          <m:t xml:space="preserve"> is </m:t>
        </m:r>
      </m:oMath>
      <w:r w:rsidR="00B30ED6" w:rsidRPr="00261573">
        <w:rPr>
          <w:rStyle w:val="apple-converted-space"/>
          <w:rFonts w:ascii="Arial" w:hAnsi="Arial" w:cs="Arial"/>
        </w:rPr>
        <w:t xml:space="preserve">the mean of the predicted value(s). </w:t>
      </w:r>
    </w:p>
    <w:p w14:paraId="4DF48DD1" w14:textId="77777777" w:rsidR="00BC5671" w:rsidRDefault="00BC5671" w:rsidP="00B30ED6">
      <w:pPr>
        <w:jc w:val="both"/>
        <w:rPr>
          <w:rFonts w:ascii="Arial" w:hAnsi="Arial" w:cs="Arial"/>
        </w:rPr>
      </w:pPr>
    </w:p>
    <w:p w14:paraId="39F1704E" w14:textId="77777777" w:rsidR="00B30ED6" w:rsidRPr="00261573" w:rsidRDefault="00B30ED6" w:rsidP="00B30ED6">
      <w:pPr>
        <w:jc w:val="both"/>
        <w:rPr>
          <w:rFonts w:ascii="Arial" w:hAnsi="Arial" w:cs="Arial"/>
          <w:b/>
          <w:bCs/>
        </w:rPr>
      </w:pPr>
      <w:r w:rsidRPr="00261573">
        <w:rPr>
          <w:rFonts w:ascii="Arial" w:hAnsi="Arial" w:cs="Arial"/>
        </w:rPr>
        <w:t>The evaluation procedure compared the performance of unmodified industry-standard correlations, calibrated correlation equations for the region, and the developed machine learning models.</w:t>
      </w:r>
    </w:p>
    <w:p w14:paraId="7E6E30F5"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45911ED" w14:textId="77777777" w:rsidR="00790ADA" w:rsidRPr="00FB3A86" w:rsidRDefault="00790ADA" w:rsidP="00441B6F">
      <w:pPr>
        <w:pStyle w:val="Head1"/>
        <w:spacing w:after="0"/>
        <w:jc w:val="both"/>
        <w:rPr>
          <w:rFonts w:ascii="Arial" w:hAnsi="Arial" w:cs="Arial"/>
        </w:rPr>
      </w:pPr>
    </w:p>
    <w:p w14:paraId="471E7C6B" w14:textId="77777777" w:rsidR="00F06FBB" w:rsidRPr="00CB2C87" w:rsidRDefault="00F06FBB" w:rsidP="00F06FBB">
      <w:pPr>
        <w:jc w:val="both"/>
        <w:rPr>
          <w:rFonts w:ascii="Arial" w:hAnsi="Arial" w:cs="Arial"/>
          <w:sz w:val="22"/>
          <w:szCs w:val="22"/>
        </w:rPr>
      </w:pPr>
      <w:r w:rsidRPr="00CB2C87">
        <w:rPr>
          <w:rFonts w:ascii="Arial" w:hAnsi="Arial" w:cs="Arial"/>
          <w:b/>
          <w:bCs/>
          <w:sz w:val="22"/>
          <w:szCs w:val="22"/>
        </w:rPr>
        <w:t>3.1 Performance of Original Industry-Standard Correlations</w:t>
      </w:r>
    </w:p>
    <w:p w14:paraId="7797FF6B" w14:textId="6F61067B" w:rsidR="00F06FBB" w:rsidRPr="00F06FBB" w:rsidRDefault="00F06FBB" w:rsidP="00F06FBB">
      <w:pPr>
        <w:jc w:val="both"/>
        <w:rPr>
          <w:rFonts w:ascii="Arial" w:hAnsi="Arial" w:cs="Arial"/>
        </w:rPr>
      </w:pPr>
      <w:r w:rsidRPr="00F06FBB">
        <w:rPr>
          <w:rFonts w:ascii="Arial" w:hAnsi="Arial" w:cs="Arial"/>
        </w:rPr>
        <w:t>Table 2 summarized the predictive performance of the Carr</w:t>
      </w:r>
      <w:r w:rsidR="00CB2C87">
        <w:rPr>
          <w:rFonts w:ascii="Arial" w:hAnsi="Arial" w:cs="Arial"/>
        </w:rPr>
        <w:t>-</w:t>
      </w:r>
      <w:r w:rsidRPr="00F06FBB">
        <w:rPr>
          <w:rFonts w:ascii="Arial" w:hAnsi="Arial" w:cs="Arial"/>
        </w:rPr>
        <w:t>Kobayashi</w:t>
      </w:r>
      <w:r w:rsidR="00CB2C87">
        <w:rPr>
          <w:rFonts w:ascii="Arial" w:hAnsi="Arial" w:cs="Arial"/>
        </w:rPr>
        <w:t>-</w:t>
      </w:r>
      <w:r w:rsidRPr="00F06FBB">
        <w:rPr>
          <w:rFonts w:ascii="Arial" w:hAnsi="Arial" w:cs="Arial"/>
        </w:rPr>
        <w:t>Burrows correlation modified by Dempsey and Standing and the Lee</w:t>
      </w:r>
      <w:r w:rsidR="00706C8D">
        <w:rPr>
          <w:rFonts w:ascii="Arial" w:hAnsi="Arial" w:cs="Arial"/>
        </w:rPr>
        <w:t>-</w:t>
      </w:r>
      <w:r w:rsidRPr="00F06FBB">
        <w:rPr>
          <w:rFonts w:ascii="Arial" w:hAnsi="Arial" w:cs="Arial"/>
        </w:rPr>
        <w:t>Gonzalez</w:t>
      </w:r>
      <w:r w:rsidR="00706C8D">
        <w:rPr>
          <w:rFonts w:ascii="Arial" w:hAnsi="Arial" w:cs="Arial"/>
        </w:rPr>
        <w:t>-</w:t>
      </w:r>
      <w:r w:rsidRPr="00F06FBB">
        <w:rPr>
          <w:rFonts w:ascii="Arial" w:hAnsi="Arial" w:cs="Arial"/>
        </w:rPr>
        <w:t>Eakin correlation.</w:t>
      </w:r>
      <w:r w:rsidR="00706C8D" w:rsidRPr="00706C8D">
        <w:rPr>
          <w:rFonts w:ascii="Arial" w:hAnsi="Arial" w:cs="Arial"/>
        </w:rPr>
        <w:t xml:space="preserve"> </w:t>
      </w:r>
      <w:r w:rsidR="00706C8D" w:rsidRPr="00CF5B20">
        <w:rPr>
          <w:rFonts w:ascii="Arial" w:hAnsi="Arial" w:cs="Arial"/>
        </w:rPr>
        <w:t>Figures 3 (a-b) showed the actual versus predicted gas viscosity for the evaluated model.</w:t>
      </w:r>
      <w:r w:rsidRPr="00F06FBB">
        <w:rPr>
          <w:rFonts w:ascii="Arial" w:hAnsi="Arial" w:cs="Arial"/>
        </w:rPr>
        <w:t xml:space="preserve"> The Carr et al.-Dempsey-Standing correlation achieved a high R² of 0.877897 with a corresponding RMSE of 0.001327 and MAE of 0.001014. The Lee</w:t>
      </w:r>
      <w:r w:rsidR="00CB2C87">
        <w:rPr>
          <w:rFonts w:ascii="Arial" w:hAnsi="Arial" w:cs="Arial"/>
        </w:rPr>
        <w:t>-</w:t>
      </w:r>
      <w:r w:rsidRPr="00F06FBB">
        <w:rPr>
          <w:rFonts w:ascii="Arial" w:hAnsi="Arial" w:cs="Arial"/>
        </w:rPr>
        <w:t>Gonzalez</w:t>
      </w:r>
      <w:r w:rsidR="00CB2C87">
        <w:rPr>
          <w:rFonts w:ascii="Arial" w:hAnsi="Arial" w:cs="Arial"/>
        </w:rPr>
        <w:t>-</w:t>
      </w:r>
      <w:r w:rsidRPr="00F06FBB">
        <w:rPr>
          <w:rFonts w:ascii="Arial" w:hAnsi="Arial" w:cs="Arial"/>
        </w:rPr>
        <w:t>Eakin correlation equally achieved a high R² of 0.8801 with corresponding RMSE and MAE of 0.001315 and 0.00131, respectively. These results show that the selected industry-standard correlations have realistic predictive ability when applied to Niger Delta gas systems.</w:t>
      </w:r>
    </w:p>
    <w:p w14:paraId="6536DD68" w14:textId="77777777" w:rsidR="0071044F" w:rsidRDefault="0071044F" w:rsidP="0071044F">
      <w:pPr>
        <w:jc w:val="both"/>
        <w:rPr>
          <w:rFonts w:ascii="Arial" w:hAnsi="Arial" w:cs="Arial"/>
        </w:rPr>
      </w:pPr>
      <w:bookmarkStart w:id="7" w:name="_Hlk211067930"/>
    </w:p>
    <w:p w14:paraId="04D8D7F2" w14:textId="77777777" w:rsidR="0071044F" w:rsidRPr="00CF5B20" w:rsidRDefault="0071044F" w:rsidP="0071044F">
      <w:pPr>
        <w:jc w:val="both"/>
        <w:rPr>
          <w:rFonts w:ascii="Arial" w:hAnsi="Arial" w:cs="Arial"/>
        </w:rPr>
      </w:pPr>
      <w:r w:rsidRPr="00CF5B20">
        <w:rPr>
          <w:rFonts w:ascii="Arial" w:hAnsi="Arial" w:cs="Arial"/>
        </w:rPr>
        <w:t>Table 2 Performance Metrics for Selected the Gas Viscosity Correlations</w:t>
      </w: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060"/>
        <w:gridCol w:w="1716"/>
        <w:gridCol w:w="1716"/>
        <w:gridCol w:w="1716"/>
      </w:tblGrid>
      <w:tr w:rsidR="0071044F" w:rsidRPr="00CF5B20" w14:paraId="139EE319" w14:textId="77777777" w:rsidTr="0071044F">
        <w:trPr>
          <w:tblHeader/>
          <w:jc w:val="center"/>
        </w:trPr>
        <w:tc>
          <w:tcPr>
            <w:tcW w:w="3076" w:type="dxa"/>
            <w:tcBorders>
              <w:top w:val="single" w:sz="4" w:space="0" w:color="auto"/>
              <w:bottom w:val="single" w:sz="4" w:space="0" w:color="auto"/>
            </w:tcBorders>
            <w:tcMar>
              <w:top w:w="120" w:type="dxa"/>
              <w:left w:w="120" w:type="dxa"/>
              <w:bottom w:w="120" w:type="dxa"/>
              <w:right w:w="120" w:type="dxa"/>
            </w:tcMar>
            <w:vAlign w:val="center"/>
            <w:hideMark/>
          </w:tcPr>
          <w:bookmarkEnd w:id="7"/>
          <w:p w14:paraId="0DE10761" w14:textId="77777777" w:rsidR="0071044F" w:rsidRPr="00CF5B20" w:rsidRDefault="0071044F" w:rsidP="0071044F">
            <w:pPr>
              <w:rPr>
                <w:rFonts w:ascii="Arial" w:hAnsi="Arial" w:cs="Arial"/>
                <w:b/>
                <w:bCs/>
              </w:rPr>
            </w:pPr>
            <w:r w:rsidRPr="00CF5B20">
              <w:rPr>
                <w:rFonts w:ascii="Arial" w:hAnsi="Arial" w:cs="Arial"/>
                <w:b/>
                <w:bCs/>
              </w:rPr>
              <w:t>Correlation</w:t>
            </w:r>
          </w:p>
        </w:tc>
        <w:tc>
          <w:tcPr>
            <w:tcW w:w="1721" w:type="dxa"/>
            <w:tcBorders>
              <w:top w:val="single" w:sz="4" w:space="0" w:color="auto"/>
              <w:bottom w:val="single" w:sz="4" w:space="0" w:color="auto"/>
            </w:tcBorders>
            <w:tcMar>
              <w:top w:w="120" w:type="dxa"/>
              <w:left w:w="120" w:type="dxa"/>
              <w:bottom w:w="120" w:type="dxa"/>
              <w:right w:w="120" w:type="dxa"/>
            </w:tcMar>
            <w:vAlign w:val="center"/>
            <w:hideMark/>
          </w:tcPr>
          <w:p w14:paraId="0CE4CB04" w14:textId="77777777" w:rsidR="0071044F" w:rsidRPr="00CF5B20" w:rsidRDefault="0071044F" w:rsidP="003729E1">
            <w:pPr>
              <w:jc w:val="center"/>
              <w:rPr>
                <w:rFonts w:ascii="Arial" w:hAnsi="Arial" w:cs="Arial"/>
                <w:b/>
                <w:bCs/>
              </w:rPr>
            </w:pPr>
            <w:r w:rsidRPr="00CF5B20">
              <w:rPr>
                <w:rFonts w:ascii="Arial" w:hAnsi="Arial" w:cs="Arial"/>
                <w:b/>
                <w:bCs/>
              </w:rPr>
              <w:t>MAE</w:t>
            </w:r>
          </w:p>
        </w:tc>
        <w:tc>
          <w:tcPr>
            <w:tcW w:w="1721" w:type="dxa"/>
            <w:tcBorders>
              <w:top w:val="single" w:sz="4" w:space="0" w:color="auto"/>
              <w:bottom w:val="single" w:sz="4" w:space="0" w:color="auto"/>
            </w:tcBorders>
            <w:tcMar>
              <w:top w:w="120" w:type="dxa"/>
              <w:left w:w="120" w:type="dxa"/>
              <w:bottom w:w="120" w:type="dxa"/>
              <w:right w:w="120" w:type="dxa"/>
            </w:tcMar>
            <w:vAlign w:val="center"/>
            <w:hideMark/>
          </w:tcPr>
          <w:p w14:paraId="404D0376" w14:textId="77777777" w:rsidR="0071044F" w:rsidRPr="00CF5B20" w:rsidRDefault="0071044F" w:rsidP="003729E1">
            <w:pPr>
              <w:jc w:val="center"/>
              <w:rPr>
                <w:rFonts w:ascii="Arial" w:hAnsi="Arial" w:cs="Arial"/>
                <w:b/>
                <w:bCs/>
              </w:rPr>
            </w:pPr>
            <w:r w:rsidRPr="00CF5B20">
              <w:rPr>
                <w:rFonts w:ascii="Arial" w:hAnsi="Arial" w:cs="Arial"/>
                <w:b/>
                <w:bCs/>
              </w:rPr>
              <w:t>RMSE</w:t>
            </w:r>
          </w:p>
        </w:tc>
        <w:tc>
          <w:tcPr>
            <w:tcW w:w="1721" w:type="dxa"/>
            <w:tcBorders>
              <w:top w:val="single" w:sz="4" w:space="0" w:color="auto"/>
              <w:bottom w:val="single" w:sz="4" w:space="0" w:color="auto"/>
            </w:tcBorders>
            <w:tcMar>
              <w:top w:w="120" w:type="dxa"/>
              <w:left w:w="120" w:type="dxa"/>
              <w:bottom w:w="120" w:type="dxa"/>
              <w:right w:w="120" w:type="dxa"/>
            </w:tcMar>
            <w:vAlign w:val="center"/>
            <w:hideMark/>
          </w:tcPr>
          <w:p w14:paraId="658AA9BF" w14:textId="77777777" w:rsidR="0071044F" w:rsidRPr="00CF5B20" w:rsidRDefault="0071044F" w:rsidP="003729E1">
            <w:pPr>
              <w:jc w:val="center"/>
              <w:rPr>
                <w:rFonts w:ascii="Arial" w:hAnsi="Arial" w:cs="Arial"/>
                <w:b/>
                <w:bCs/>
              </w:rPr>
            </w:pPr>
            <w:r w:rsidRPr="00CF5B20">
              <w:rPr>
                <w:rFonts w:ascii="Arial" w:hAnsi="Arial" w:cs="Arial"/>
                <w:b/>
                <w:bCs/>
              </w:rPr>
              <w:t>R²</w:t>
            </w:r>
          </w:p>
        </w:tc>
      </w:tr>
      <w:tr w:rsidR="0071044F" w:rsidRPr="00CF5B20" w14:paraId="5A08257D" w14:textId="77777777" w:rsidTr="0071044F">
        <w:trPr>
          <w:jc w:val="center"/>
        </w:trPr>
        <w:tc>
          <w:tcPr>
            <w:tcW w:w="3076" w:type="dxa"/>
            <w:tcBorders>
              <w:top w:val="single" w:sz="4" w:space="0" w:color="auto"/>
            </w:tcBorders>
            <w:tcMar>
              <w:top w:w="120" w:type="dxa"/>
              <w:left w:w="120" w:type="dxa"/>
              <w:bottom w:w="120" w:type="dxa"/>
              <w:right w:w="120" w:type="dxa"/>
            </w:tcMar>
            <w:vAlign w:val="center"/>
            <w:hideMark/>
          </w:tcPr>
          <w:p w14:paraId="517B0056" w14:textId="77777777" w:rsidR="0071044F" w:rsidRPr="00CF5B20" w:rsidRDefault="0071044F" w:rsidP="0071044F">
            <w:pPr>
              <w:rPr>
                <w:rFonts w:ascii="Arial" w:hAnsi="Arial" w:cs="Arial"/>
              </w:rPr>
            </w:pPr>
            <w:r w:rsidRPr="00CF5B20">
              <w:rPr>
                <w:rFonts w:ascii="Arial" w:hAnsi="Arial" w:cs="Arial"/>
              </w:rPr>
              <w:t>Carr et al.-Dempsey-Standing</w:t>
            </w:r>
          </w:p>
        </w:tc>
        <w:tc>
          <w:tcPr>
            <w:tcW w:w="1721" w:type="dxa"/>
            <w:tcBorders>
              <w:top w:val="single" w:sz="4" w:space="0" w:color="auto"/>
            </w:tcBorders>
            <w:tcMar>
              <w:top w:w="120" w:type="dxa"/>
              <w:left w:w="120" w:type="dxa"/>
              <w:bottom w:w="120" w:type="dxa"/>
              <w:right w:w="120" w:type="dxa"/>
            </w:tcMar>
            <w:vAlign w:val="center"/>
            <w:hideMark/>
          </w:tcPr>
          <w:p w14:paraId="76C8BD4E" w14:textId="77777777" w:rsidR="0071044F" w:rsidRPr="00CF5B20" w:rsidRDefault="0071044F" w:rsidP="003729E1">
            <w:pPr>
              <w:jc w:val="center"/>
              <w:rPr>
                <w:rFonts w:ascii="Arial" w:hAnsi="Arial" w:cs="Arial"/>
              </w:rPr>
            </w:pPr>
            <w:r w:rsidRPr="00CF5B20">
              <w:rPr>
                <w:rFonts w:ascii="Arial" w:hAnsi="Arial" w:cs="Arial"/>
              </w:rPr>
              <w:t>0.001014</w:t>
            </w:r>
          </w:p>
        </w:tc>
        <w:tc>
          <w:tcPr>
            <w:tcW w:w="1721" w:type="dxa"/>
            <w:tcBorders>
              <w:top w:val="single" w:sz="4" w:space="0" w:color="auto"/>
            </w:tcBorders>
            <w:tcMar>
              <w:top w:w="120" w:type="dxa"/>
              <w:left w:w="120" w:type="dxa"/>
              <w:bottom w:w="120" w:type="dxa"/>
              <w:right w:w="120" w:type="dxa"/>
            </w:tcMar>
            <w:vAlign w:val="center"/>
            <w:hideMark/>
          </w:tcPr>
          <w:p w14:paraId="0E133FEB" w14:textId="77777777" w:rsidR="0071044F" w:rsidRPr="00CF5B20" w:rsidRDefault="0071044F" w:rsidP="003729E1">
            <w:pPr>
              <w:jc w:val="center"/>
              <w:rPr>
                <w:rFonts w:ascii="Arial" w:hAnsi="Arial" w:cs="Arial"/>
                <w:b/>
                <w:bCs/>
              </w:rPr>
            </w:pPr>
            <w:r w:rsidRPr="00CF5B20">
              <w:rPr>
                <w:rFonts w:ascii="Arial" w:hAnsi="Arial" w:cs="Arial"/>
                <w:b/>
                <w:bCs/>
              </w:rPr>
              <w:t>0</w:t>
            </w:r>
            <w:r w:rsidRPr="00CF5B20">
              <w:rPr>
                <w:rFonts w:ascii="Arial" w:hAnsi="Arial" w:cs="Arial"/>
              </w:rPr>
              <w:t>.001327</w:t>
            </w:r>
          </w:p>
        </w:tc>
        <w:tc>
          <w:tcPr>
            <w:tcW w:w="1721" w:type="dxa"/>
            <w:tcBorders>
              <w:top w:val="single" w:sz="4" w:space="0" w:color="auto"/>
            </w:tcBorders>
            <w:tcMar>
              <w:top w:w="120" w:type="dxa"/>
              <w:left w:w="120" w:type="dxa"/>
              <w:bottom w:w="120" w:type="dxa"/>
              <w:right w:w="120" w:type="dxa"/>
            </w:tcMar>
            <w:vAlign w:val="center"/>
            <w:hideMark/>
          </w:tcPr>
          <w:p w14:paraId="1387C11D" w14:textId="77777777" w:rsidR="0071044F" w:rsidRPr="00CF5B20" w:rsidRDefault="0071044F" w:rsidP="003729E1">
            <w:pPr>
              <w:jc w:val="center"/>
              <w:rPr>
                <w:rFonts w:ascii="Arial" w:hAnsi="Arial" w:cs="Arial"/>
              </w:rPr>
            </w:pPr>
            <w:r w:rsidRPr="00CF5B20">
              <w:rPr>
                <w:rFonts w:ascii="Arial" w:hAnsi="Arial" w:cs="Arial"/>
              </w:rPr>
              <w:t>0.877897</w:t>
            </w:r>
          </w:p>
        </w:tc>
      </w:tr>
      <w:tr w:rsidR="0071044F" w:rsidRPr="00CF5B20" w14:paraId="0D4EB80E" w14:textId="77777777" w:rsidTr="0071044F">
        <w:trPr>
          <w:jc w:val="center"/>
        </w:trPr>
        <w:tc>
          <w:tcPr>
            <w:tcW w:w="3076" w:type="dxa"/>
            <w:tcMar>
              <w:top w:w="120" w:type="dxa"/>
              <w:left w:w="120" w:type="dxa"/>
              <w:bottom w:w="120" w:type="dxa"/>
              <w:right w:w="120" w:type="dxa"/>
            </w:tcMar>
            <w:vAlign w:val="center"/>
            <w:hideMark/>
          </w:tcPr>
          <w:p w14:paraId="05930FD8" w14:textId="77777777" w:rsidR="0071044F" w:rsidRPr="00CF5B20" w:rsidRDefault="0071044F" w:rsidP="0071044F">
            <w:pPr>
              <w:rPr>
                <w:rFonts w:ascii="Arial" w:hAnsi="Arial" w:cs="Arial"/>
              </w:rPr>
            </w:pPr>
            <w:r w:rsidRPr="00CF5B20">
              <w:rPr>
                <w:rFonts w:ascii="Arial" w:hAnsi="Arial" w:cs="Arial"/>
              </w:rPr>
              <w:t>Lee-Gonzalez-Eakin</w:t>
            </w:r>
          </w:p>
        </w:tc>
        <w:tc>
          <w:tcPr>
            <w:tcW w:w="1721" w:type="dxa"/>
            <w:tcMar>
              <w:top w:w="120" w:type="dxa"/>
              <w:left w:w="120" w:type="dxa"/>
              <w:bottom w:w="120" w:type="dxa"/>
              <w:right w:w="120" w:type="dxa"/>
            </w:tcMar>
            <w:vAlign w:val="center"/>
            <w:hideMark/>
          </w:tcPr>
          <w:p w14:paraId="75D3865D" w14:textId="77777777" w:rsidR="0071044F" w:rsidRPr="00CF5B20" w:rsidRDefault="0071044F" w:rsidP="003729E1">
            <w:pPr>
              <w:jc w:val="center"/>
              <w:rPr>
                <w:rFonts w:ascii="Arial" w:hAnsi="Arial" w:cs="Arial"/>
              </w:rPr>
            </w:pPr>
            <w:r w:rsidRPr="00CF5B20">
              <w:rPr>
                <w:rFonts w:ascii="Arial" w:hAnsi="Arial" w:cs="Arial"/>
              </w:rPr>
              <w:t>0.001310</w:t>
            </w:r>
          </w:p>
        </w:tc>
        <w:tc>
          <w:tcPr>
            <w:tcW w:w="1721" w:type="dxa"/>
            <w:tcMar>
              <w:top w:w="120" w:type="dxa"/>
              <w:left w:w="120" w:type="dxa"/>
              <w:bottom w:w="120" w:type="dxa"/>
              <w:right w:w="120" w:type="dxa"/>
            </w:tcMar>
            <w:vAlign w:val="center"/>
            <w:hideMark/>
          </w:tcPr>
          <w:p w14:paraId="4ED6A721" w14:textId="77777777" w:rsidR="0071044F" w:rsidRPr="00CF5B20" w:rsidRDefault="0071044F" w:rsidP="003729E1">
            <w:pPr>
              <w:jc w:val="center"/>
              <w:rPr>
                <w:rFonts w:ascii="Arial" w:hAnsi="Arial" w:cs="Arial"/>
              </w:rPr>
            </w:pPr>
            <w:r w:rsidRPr="00CF5B20">
              <w:rPr>
                <w:rFonts w:ascii="Arial" w:hAnsi="Arial" w:cs="Arial"/>
              </w:rPr>
              <w:t>0.001315</w:t>
            </w:r>
          </w:p>
        </w:tc>
        <w:tc>
          <w:tcPr>
            <w:tcW w:w="1721" w:type="dxa"/>
            <w:tcMar>
              <w:top w:w="120" w:type="dxa"/>
              <w:left w:w="120" w:type="dxa"/>
              <w:bottom w:w="120" w:type="dxa"/>
              <w:right w:w="120" w:type="dxa"/>
            </w:tcMar>
            <w:vAlign w:val="center"/>
            <w:hideMark/>
          </w:tcPr>
          <w:p w14:paraId="1BD674E2" w14:textId="77777777" w:rsidR="0071044F" w:rsidRPr="00CF5B20" w:rsidRDefault="0071044F" w:rsidP="003729E1">
            <w:pPr>
              <w:jc w:val="center"/>
              <w:rPr>
                <w:rFonts w:ascii="Arial" w:hAnsi="Arial" w:cs="Arial"/>
              </w:rPr>
            </w:pPr>
            <w:r w:rsidRPr="00CF5B20">
              <w:rPr>
                <w:rFonts w:ascii="Arial" w:hAnsi="Arial" w:cs="Arial"/>
              </w:rPr>
              <w:t>0.880114</w:t>
            </w:r>
          </w:p>
        </w:tc>
      </w:tr>
    </w:tbl>
    <w:p w14:paraId="1FF79C2C" w14:textId="77777777" w:rsidR="0071044F" w:rsidRPr="00CF5B20" w:rsidRDefault="0071044F" w:rsidP="0071044F">
      <w:pPr>
        <w:jc w:val="both"/>
        <w:rPr>
          <w:rFonts w:ascii="Arial" w:hAnsi="Arial" w:cs="Arial"/>
        </w:rPr>
      </w:pPr>
    </w:p>
    <w:p w14:paraId="20E876F0" w14:textId="315E3515" w:rsidR="00706C8D" w:rsidRPr="00706C8D" w:rsidRDefault="00706C8D" w:rsidP="00706C8D">
      <w:pPr>
        <w:jc w:val="both"/>
        <w:rPr>
          <w:rFonts w:ascii="Arial" w:hAnsi="Arial" w:cs="Arial"/>
        </w:rPr>
      </w:pPr>
      <w:r w:rsidRPr="00706C8D">
        <w:rPr>
          <w:rFonts w:ascii="Arial" w:hAnsi="Arial" w:cs="Arial"/>
        </w:rPr>
        <w:t>However, figures 3(a-b) clearly show that the predicted gas viscosity values deviate from the experimental values at certain pseudo-reduced temperatures and pressures despite the relatively high value of R². The figures also show that the selected globally developed correlations capture the general trend of gas viscosity. These observations support the claim that these correlations do not fully represent the composition and thermodynamic behavior of the Niger Delta gas system despite capturing the general trend, and there is a need to systematically calibrate the model parameters rather than replacing them.</w:t>
      </w:r>
    </w:p>
    <w:p w14:paraId="1C64BE2F" w14:textId="77777777" w:rsidR="0071044F" w:rsidRPr="00CF5B20" w:rsidRDefault="0071044F" w:rsidP="0071044F">
      <w:pPr>
        <w:jc w:val="both"/>
        <w:rPr>
          <w:rFonts w:ascii="Arial" w:hAnsi="Arial" w:cs="Arial"/>
        </w:rPr>
      </w:pPr>
    </w:p>
    <w:p w14:paraId="5FE0DBC7" w14:textId="77777777" w:rsidR="0071044F" w:rsidRPr="00CF5B20" w:rsidRDefault="0071044F" w:rsidP="0071044F">
      <w:pPr>
        <w:rPr>
          <w:rFonts w:ascii="Arial" w:hAnsi="Arial" w:cs="Arial"/>
        </w:rPr>
      </w:pPr>
      <w:bookmarkStart w:id="8" w:name="_Hlk211067952"/>
      <w:r>
        <w:rPr>
          <w:noProof/>
        </w:rPr>
        <w:lastRenderedPageBreak/>
        <w:drawing>
          <wp:inline distT="0" distB="0" distL="0" distR="0" wp14:anchorId="217A142A" wp14:editId="63644D12">
            <wp:extent cx="5362575" cy="277431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r="10985"/>
                    <a:stretch/>
                  </pic:blipFill>
                  <pic:spPr bwMode="auto">
                    <a:xfrm>
                      <a:off x="0" y="0"/>
                      <a:ext cx="5362575" cy="2774315"/>
                    </a:xfrm>
                    <a:prstGeom prst="rect">
                      <a:avLst/>
                    </a:prstGeom>
                    <a:noFill/>
                  </pic:spPr>
                </pic:pic>
              </a:graphicData>
            </a:graphic>
          </wp:inline>
        </w:drawing>
      </w:r>
    </w:p>
    <w:p w14:paraId="505C3ECE" w14:textId="77777777" w:rsidR="0071044F" w:rsidRPr="00CF5B20" w:rsidRDefault="0071044F" w:rsidP="0071044F">
      <w:pPr>
        <w:pStyle w:val="ListParagraph"/>
        <w:spacing w:line="240" w:lineRule="auto"/>
        <w:ind w:left="1440" w:firstLine="720"/>
        <w:rPr>
          <w:rFonts w:ascii="Arial" w:hAnsi="Arial" w:cs="Arial"/>
          <w:sz w:val="20"/>
          <w:szCs w:val="20"/>
        </w:rPr>
      </w:pPr>
      <w:r>
        <w:rPr>
          <w:rFonts w:ascii="Arial" w:hAnsi="Arial" w:cs="Arial"/>
          <w:sz w:val="20"/>
          <w:szCs w:val="20"/>
        </w:rPr>
        <w: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F5B20">
        <w:rPr>
          <w:rFonts w:ascii="Arial" w:hAnsi="Arial" w:cs="Arial"/>
          <w:sz w:val="20"/>
          <w:szCs w:val="20"/>
        </w:rPr>
        <w:t>(b)</w:t>
      </w:r>
    </w:p>
    <w:p w14:paraId="7DE232AF" w14:textId="77777777" w:rsidR="0071044F" w:rsidRDefault="0071044F" w:rsidP="0071044F">
      <w:pPr>
        <w:jc w:val="both"/>
        <w:rPr>
          <w:rFonts w:ascii="Arial" w:hAnsi="Arial" w:cs="Arial"/>
        </w:rPr>
      </w:pPr>
      <w:r w:rsidRPr="00CF5B20">
        <w:rPr>
          <w:rFonts w:ascii="Arial" w:hAnsi="Arial" w:cs="Arial"/>
        </w:rPr>
        <w:t xml:space="preserve">Figure 3(a-b): Actual Versus Predicted Gas Viscosity </w:t>
      </w:r>
    </w:p>
    <w:p w14:paraId="40F365D2" w14:textId="5496005B" w:rsidR="006B58AF" w:rsidRDefault="0071044F" w:rsidP="006B58AF">
      <w:pPr>
        <w:jc w:val="both"/>
        <w:rPr>
          <w:rFonts w:ascii="Arial" w:hAnsi="Arial" w:cs="Arial"/>
        </w:rPr>
      </w:pPr>
      <w:r w:rsidRPr="00CF5B20">
        <w:rPr>
          <w:rFonts w:ascii="Arial" w:hAnsi="Arial" w:cs="Arial"/>
        </w:rPr>
        <w:t xml:space="preserve">(a) Carr et al.-Dempsey-Standing Correlation </w:t>
      </w:r>
      <w:r>
        <w:rPr>
          <w:rFonts w:ascii="Arial" w:hAnsi="Arial" w:cs="Arial"/>
        </w:rPr>
        <w:tab/>
      </w:r>
      <w:r>
        <w:rPr>
          <w:rFonts w:ascii="Arial" w:hAnsi="Arial" w:cs="Arial"/>
        </w:rPr>
        <w:tab/>
      </w:r>
      <w:r w:rsidRPr="00CF5B20">
        <w:rPr>
          <w:rFonts w:ascii="Arial" w:hAnsi="Arial" w:cs="Arial"/>
        </w:rPr>
        <w:t>(b) Lee-Gonzalez-Eakin Correlation</w:t>
      </w:r>
      <w:bookmarkEnd w:id="8"/>
    </w:p>
    <w:p w14:paraId="43125DBC" w14:textId="77777777" w:rsidR="006B58AF" w:rsidRPr="006B58AF" w:rsidRDefault="006B58AF" w:rsidP="006B58AF">
      <w:pPr>
        <w:jc w:val="both"/>
        <w:rPr>
          <w:rFonts w:ascii="Arial" w:hAnsi="Arial" w:cs="Arial"/>
        </w:rPr>
      </w:pPr>
    </w:p>
    <w:p w14:paraId="17818837" w14:textId="18E2696E" w:rsidR="00706C8D" w:rsidRPr="00706C8D" w:rsidRDefault="00706C8D" w:rsidP="00706C8D">
      <w:pPr>
        <w:rPr>
          <w:rFonts w:ascii="Arial" w:hAnsi="Arial" w:cs="Arial"/>
          <w:sz w:val="22"/>
          <w:szCs w:val="22"/>
        </w:rPr>
      </w:pPr>
      <w:r w:rsidRPr="00706C8D">
        <w:rPr>
          <w:rFonts w:ascii="Arial" w:hAnsi="Arial" w:cs="Arial"/>
          <w:b/>
          <w:bCs/>
          <w:sz w:val="22"/>
          <w:szCs w:val="22"/>
        </w:rPr>
        <w:t>3.2 Performance of Calibrated Gas Viscosity Correlations</w:t>
      </w:r>
    </w:p>
    <w:p w14:paraId="5DCC24D3" w14:textId="18F6F1FC" w:rsidR="0071044F" w:rsidRPr="00CF5B20" w:rsidRDefault="00706C8D" w:rsidP="0071044F">
      <w:pPr>
        <w:jc w:val="both"/>
        <w:rPr>
          <w:rFonts w:ascii="Arial" w:hAnsi="Arial" w:cs="Arial"/>
        </w:rPr>
      </w:pPr>
      <w:r w:rsidRPr="00706C8D">
        <w:rPr>
          <w:rFonts w:ascii="Arial" w:hAnsi="Arial" w:cs="Arial"/>
        </w:rPr>
        <w:t>Table 3 summarized the predictive performance of the calibrated Carr et al.</w:t>
      </w:r>
      <w:r w:rsidR="00CB2C87">
        <w:rPr>
          <w:rFonts w:ascii="Arial" w:hAnsi="Arial" w:cs="Arial"/>
        </w:rPr>
        <w:t>-</w:t>
      </w:r>
      <w:r w:rsidRPr="00706C8D">
        <w:rPr>
          <w:rFonts w:ascii="Arial" w:hAnsi="Arial" w:cs="Arial"/>
        </w:rPr>
        <w:t>Dempsey</w:t>
      </w:r>
      <w:r w:rsidR="00CB2C87">
        <w:rPr>
          <w:rFonts w:ascii="Arial" w:hAnsi="Arial" w:cs="Arial"/>
        </w:rPr>
        <w:t>-</w:t>
      </w:r>
      <w:r w:rsidRPr="00706C8D">
        <w:rPr>
          <w:rFonts w:ascii="Arial" w:hAnsi="Arial" w:cs="Arial"/>
        </w:rPr>
        <w:t>Standing and Lee</w:t>
      </w:r>
      <w:r w:rsidR="00CB2C87">
        <w:rPr>
          <w:rFonts w:ascii="Arial" w:hAnsi="Arial" w:cs="Arial"/>
        </w:rPr>
        <w:t>-</w:t>
      </w:r>
      <w:r w:rsidRPr="00706C8D">
        <w:rPr>
          <w:rFonts w:ascii="Arial" w:hAnsi="Arial" w:cs="Arial"/>
        </w:rPr>
        <w:t>Gonzalez</w:t>
      </w:r>
      <w:r w:rsidR="00CB2C87">
        <w:rPr>
          <w:rFonts w:ascii="Arial" w:hAnsi="Arial" w:cs="Arial"/>
        </w:rPr>
        <w:t>-</w:t>
      </w:r>
      <w:r w:rsidRPr="00706C8D">
        <w:rPr>
          <w:rFonts w:ascii="Arial" w:hAnsi="Arial" w:cs="Arial"/>
        </w:rPr>
        <w:t>Eakin correlations. The table shows that the predictive accuracy of both correlations was significantly improved following the application of the Levenberg</w:t>
      </w:r>
      <w:r w:rsidR="00CB2C87">
        <w:rPr>
          <w:rFonts w:ascii="Arial" w:hAnsi="Arial" w:cs="Arial"/>
        </w:rPr>
        <w:t>-</w:t>
      </w:r>
      <w:r w:rsidRPr="00706C8D">
        <w:rPr>
          <w:rFonts w:ascii="Arial" w:hAnsi="Arial" w:cs="Arial"/>
        </w:rPr>
        <w:t>Marquardt algorithm for nonlinear least-squares optimization. As shown in the table, the Carr et al.</w:t>
      </w:r>
      <w:r w:rsidR="00CB2C87">
        <w:rPr>
          <w:rFonts w:ascii="Arial" w:hAnsi="Arial" w:cs="Arial"/>
        </w:rPr>
        <w:t>-</w:t>
      </w:r>
      <w:r w:rsidRPr="00706C8D">
        <w:rPr>
          <w:rFonts w:ascii="Arial" w:hAnsi="Arial" w:cs="Arial"/>
        </w:rPr>
        <w:t>Dempsey</w:t>
      </w:r>
      <w:r w:rsidR="00CB2C87">
        <w:rPr>
          <w:rFonts w:ascii="Arial" w:hAnsi="Arial" w:cs="Arial"/>
        </w:rPr>
        <w:t>-</w:t>
      </w:r>
      <w:r w:rsidRPr="00706C8D">
        <w:rPr>
          <w:rFonts w:ascii="Arial" w:hAnsi="Arial" w:cs="Arial"/>
        </w:rPr>
        <w:t>Standing and Lee</w:t>
      </w:r>
      <w:r w:rsidR="00CB2C87">
        <w:rPr>
          <w:rFonts w:ascii="Arial" w:hAnsi="Arial" w:cs="Arial"/>
        </w:rPr>
        <w:t>-</w:t>
      </w:r>
      <w:r w:rsidRPr="00706C8D">
        <w:rPr>
          <w:rFonts w:ascii="Arial" w:hAnsi="Arial" w:cs="Arial"/>
        </w:rPr>
        <w:t>Gonzalez</w:t>
      </w:r>
      <w:r w:rsidR="00CB2C87">
        <w:rPr>
          <w:rFonts w:ascii="Arial" w:hAnsi="Arial" w:cs="Arial"/>
        </w:rPr>
        <w:t>-</w:t>
      </w:r>
      <w:r w:rsidRPr="00706C8D">
        <w:rPr>
          <w:rFonts w:ascii="Arial" w:hAnsi="Arial" w:cs="Arial"/>
        </w:rPr>
        <w:t>Eakin correlations achieved near-unity R² (≈ 0.9999) with significantly reduced RMSE and MAE compared to their original forms.</w:t>
      </w:r>
    </w:p>
    <w:p w14:paraId="7BADA66A" w14:textId="77777777" w:rsidR="007F7BEA" w:rsidRDefault="007F7BEA" w:rsidP="0071044F">
      <w:pPr>
        <w:jc w:val="both"/>
        <w:rPr>
          <w:rFonts w:ascii="Arial" w:hAnsi="Arial" w:cs="Arial"/>
        </w:rPr>
      </w:pPr>
    </w:p>
    <w:p w14:paraId="4FD622B3" w14:textId="77777777" w:rsidR="007F7BEA" w:rsidRPr="00CF5B20" w:rsidRDefault="007F7BEA" w:rsidP="007F7BEA">
      <w:pPr>
        <w:jc w:val="both"/>
        <w:rPr>
          <w:rFonts w:ascii="Arial" w:hAnsi="Arial" w:cs="Arial"/>
        </w:rPr>
      </w:pPr>
      <w:bookmarkStart w:id="9" w:name="_Hlk211068222"/>
      <w:r w:rsidRPr="00CF5B20">
        <w:rPr>
          <w:rFonts w:ascii="Arial" w:hAnsi="Arial" w:cs="Arial"/>
        </w:rPr>
        <w:t>Table 3: Performance Metrics for the Calibrated and Validated Gas Viscosity Correlations</w:t>
      </w:r>
    </w:p>
    <w:tbl>
      <w:tblPr>
        <w:tblW w:w="0" w:type="auto"/>
        <w:jc w:val="center"/>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48"/>
        <w:gridCol w:w="1520"/>
        <w:gridCol w:w="1520"/>
        <w:gridCol w:w="1520"/>
      </w:tblGrid>
      <w:tr w:rsidR="007F7BEA" w:rsidRPr="00CF5B20" w14:paraId="0170B5DE" w14:textId="77777777" w:rsidTr="003729E1">
        <w:trPr>
          <w:tblHeader/>
          <w:jc w:val="center"/>
        </w:trPr>
        <w:tc>
          <w:tcPr>
            <w:tcW w:w="0" w:type="auto"/>
            <w:tcBorders>
              <w:top w:val="single" w:sz="4" w:space="0" w:color="auto"/>
              <w:bottom w:val="single" w:sz="4" w:space="0" w:color="auto"/>
            </w:tcBorders>
            <w:tcMar>
              <w:top w:w="120" w:type="dxa"/>
              <w:left w:w="120" w:type="dxa"/>
              <w:bottom w:w="120" w:type="dxa"/>
              <w:right w:w="120" w:type="dxa"/>
            </w:tcMar>
            <w:vAlign w:val="center"/>
            <w:hideMark/>
          </w:tcPr>
          <w:bookmarkEnd w:id="9"/>
          <w:p w14:paraId="64FDFFF9" w14:textId="77777777" w:rsidR="007F7BEA" w:rsidRPr="00CF5B20" w:rsidRDefault="007F7BEA" w:rsidP="007F7BEA">
            <w:pPr>
              <w:rPr>
                <w:rFonts w:ascii="Arial" w:hAnsi="Arial" w:cs="Arial"/>
                <w:b/>
                <w:bCs/>
              </w:rPr>
            </w:pPr>
            <w:r w:rsidRPr="00CF5B20">
              <w:rPr>
                <w:rFonts w:ascii="Arial" w:hAnsi="Arial" w:cs="Arial"/>
                <w:b/>
                <w:bCs/>
              </w:rPr>
              <w:t>Correlation</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7F51D037" w14:textId="77777777" w:rsidR="007F7BEA" w:rsidRPr="00CF5B20" w:rsidRDefault="007F7BEA" w:rsidP="003729E1">
            <w:pPr>
              <w:jc w:val="center"/>
              <w:rPr>
                <w:rFonts w:ascii="Arial" w:hAnsi="Arial" w:cs="Arial"/>
                <w:b/>
                <w:bCs/>
              </w:rPr>
            </w:pPr>
            <w:r w:rsidRPr="00CF5B20">
              <w:rPr>
                <w:rFonts w:ascii="Arial" w:hAnsi="Arial" w:cs="Arial"/>
                <w:b/>
                <w:bCs/>
              </w:rPr>
              <w:t>MAE</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00ADC93E" w14:textId="77777777" w:rsidR="007F7BEA" w:rsidRPr="00CF5B20" w:rsidRDefault="007F7BEA" w:rsidP="003729E1">
            <w:pPr>
              <w:jc w:val="center"/>
              <w:rPr>
                <w:rFonts w:ascii="Arial" w:hAnsi="Arial" w:cs="Arial"/>
                <w:b/>
                <w:bCs/>
              </w:rPr>
            </w:pPr>
            <w:r w:rsidRPr="00CF5B20">
              <w:rPr>
                <w:rFonts w:ascii="Arial" w:hAnsi="Arial" w:cs="Arial"/>
                <w:b/>
                <w:bCs/>
              </w:rPr>
              <w:t>RMSE</w:t>
            </w:r>
          </w:p>
        </w:tc>
        <w:tc>
          <w:tcPr>
            <w:tcW w:w="0" w:type="auto"/>
            <w:tcBorders>
              <w:top w:val="single" w:sz="4" w:space="0" w:color="auto"/>
              <w:bottom w:val="single" w:sz="4" w:space="0" w:color="auto"/>
            </w:tcBorders>
            <w:tcMar>
              <w:top w:w="120" w:type="dxa"/>
              <w:left w:w="120" w:type="dxa"/>
              <w:bottom w:w="120" w:type="dxa"/>
              <w:right w:w="120" w:type="dxa"/>
            </w:tcMar>
            <w:vAlign w:val="center"/>
            <w:hideMark/>
          </w:tcPr>
          <w:p w14:paraId="260DFB5C" w14:textId="77777777" w:rsidR="007F7BEA" w:rsidRPr="00CF5B20" w:rsidRDefault="007F7BEA" w:rsidP="003729E1">
            <w:pPr>
              <w:jc w:val="center"/>
              <w:rPr>
                <w:rFonts w:ascii="Arial" w:hAnsi="Arial" w:cs="Arial"/>
                <w:b/>
                <w:bCs/>
              </w:rPr>
            </w:pPr>
            <w:r w:rsidRPr="00CF5B20">
              <w:rPr>
                <w:rFonts w:ascii="Arial" w:hAnsi="Arial" w:cs="Arial"/>
                <w:b/>
                <w:bCs/>
              </w:rPr>
              <w:t>R²</w:t>
            </w:r>
          </w:p>
        </w:tc>
      </w:tr>
      <w:tr w:rsidR="007F7BEA" w:rsidRPr="00CF5B20" w14:paraId="630664D9" w14:textId="77777777" w:rsidTr="003729E1">
        <w:trPr>
          <w:jc w:val="center"/>
        </w:trPr>
        <w:tc>
          <w:tcPr>
            <w:tcW w:w="0" w:type="auto"/>
            <w:tcBorders>
              <w:top w:val="single" w:sz="4" w:space="0" w:color="auto"/>
            </w:tcBorders>
            <w:tcMar>
              <w:top w:w="120" w:type="dxa"/>
              <w:left w:w="120" w:type="dxa"/>
              <w:bottom w:w="120" w:type="dxa"/>
              <w:right w:w="120" w:type="dxa"/>
            </w:tcMar>
            <w:vAlign w:val="center"/>
            <w:hideMark/>
          </w:tcPr>
          <w:p w14:paraId="5BFDC287" w14:textId="77777777" w:rsidR="007F7BEA" w:rsidRPr="00CF5B20" w:rsidRDefault="007F7BEA" w:rsidP="007F7BEA">
            <w:pPr>
              <w:rPr>
                <w:rFonts w:ascii="Arial" w:hAnsi="Arial" w:cs="Arial"/>
              </w:rPr>
            </w:pPr>
            <w:r w:rsidRPr="00CF5B20">
              <w:rPr>
                <w:rFonts w:ascii="Arial" w:hAnsi="Arial" w:cs="Arial"/>
              </w:rPr>
              <w:t>Optimized Carr et al.-Dempsey-Standing (Training)</w:t>
            </w:r>
          </w:p>
        </w:tc>
        <w:tc>
          <w:tcPr>
            <w:tcW w:w="0" w:type="auto"/>
            <w:tcBorders>
              <w:top w:val="single" w:sz="4" w:space="0" w:color="auto"/>
            </w:tcBorders>
            <w:tcMar>
              <w:top w:w="120" w:type="dxa"/>
              <w:left w:w="120" w:type="dxa"/>
              <w:bottom w:w="120" w:type="dxa"/>
              <w:right w:w="120" w:type="dxa"/>
            </w:tcMar>
            <w:vAlign w:val="center"/>
            <w:hideMark/>
          </w:tcPr>
          <w:p w14:paraId="311C9212" w14:textId="77777777" w:rsidR="007F7BEA" w:rsidRPr="00CF5B20" w:rsidRDefault="007F7BEA" w:rsidP="003729E1">
            <w:pPr>
              <w:jc w:val="center"/>
              <w:rPr>
                <w:rFonts w:ascii="Arial" w:hAnsi="Arial" w:cs="Arial"/>
              </w:rPr>
            </w:pPr>
            <w:r w:rsidRPr="00CF5B20">
              <w:rPr>
                <w:rFonts w:ascii="Arial" w:hAnsi="Arial" w:cs="Arial"/>
              </w:rPr>
              <w:t>0.000025</w:t>
            </w:r>
            <w:r w:rsidR="001A41E4">
              <w:rPr>
                <w:rFonts w:ascii="Arial" w:hAnsi="Arial" w:cs="Arial"/>
              </w:rPr>
              <w:t>0000</w:t>
            </w:r>
          </w:p>
        </w:tc>
        <w:tc>
          <w:tcPr>
            <w:tcW w:w="0" w:type="auto"/>
            <w:tcBorders>
              <w:top w:val="single" w:sz="4" w:space="0" w:color="auto"/>
            </w:tcBorders>
            <w:tcMar>
              <w:top w:w="120" w:type="dxa"/>
              <w:left w:w="120" w:type="dxa"/>
              <w:bottom w:w="120" w:type="dxa"/>
              <w:right w:w="120" w:type="dxa"/>
            </w:tcMar>
            <w:vAlign w:val="center"/>
            <w:hideMark/>
          </w:tcPr>
          <w:p w14:paraId="301C7BC8" w14:textId="77777777" w:rsidR="007F7BEA" w:rsidRPr="00CF5B20" w:rsidRDefault="007F7BEA" w:rsidP="003729E1">
            <w:pPr>
              <w:jc w:val="center"/>
              <w:rPr>
                <w:rFonts w:ascii="Arial" w:hAnsi="Arial" w:cs="Arial"/>
              </w:rPr>
            </w:pPr>
            <w:r w:rsidRPr="00CF5B20">
              <w:rPr>
                <w:rFonts w:ascii="Arial" w:hAnsi="Arial" w:cs="Arial"/>
              </w:rPr>
              <w:t>0.000029</w:t>
            </w:r>
            <w:r w:rsidR="001A41E4">
              <w:rPr>
                <w:rFonts w:ascii="Arial" w:hAnsi="Arial" w:cs="Arial"/>
              </w:rPr>
              <w:t>0000</w:t>
            </w:r>
          </w:p>
        </w:tc>
        <w:tc>
          <w:tcPr>
            <w:tcW w:w="0" w:type="auto"/>
            <w:tcBorders>
              <w:top w:val="single" w:sz="4" w:space="0" w:color="auto"/>
            </w:tcBorders>
            <w:tcMar>
              <w:top w:w="120" w:type="dxa"/>
              <w:left w:w="120" w:type="dxa"/>
              <w:bottom w:w="120" w:type="dxa"/>
              <w:right w:w="120" w:type="dxa"/>
            </w:tcMar>
            <w:vAlign w:val="center"/>
            <w:hideMark/>
          </w:tcPr>
          <w:p w14:paraId="4FC566D2" w14:textId="77777777" w:rsidR="007F7BEA" w:rsidRPr="00CF5B20" w:rsidRDefault="007F7BEA" w:rsidP="003729E1">
            <w:pPr>
              <w:jc w:val="center"/>
              <w:rPr>
                <w:rFonts w:ascii="Arial" w:hAnsi="Arial" w:cs="Arial"/>
              </w:rPr>
            </w:pPr>
            <w:r w:rsidRPr="00CF5B20">
              <w:rPr>
                <w:rFonts w:ascii="Arial" w:hAnsi="Arial" w:cs="Arial"/>
              </w:rPr>
              <w:t>0.999940</w:t>
            </w:r>
            <w:r w:rsidR="001A41E4">
              <w:rPr>
                <w:rFonts w:ascii="Arial" w:hAnsi="Arial" w:cs="Arial"/>
              </w:rPr>
              <w:t>0000</w:t>
            </w:r>
          </w:p>
        </w:tc>
      </w:tr>
      <w:tr w:rsidR="007F7BEA" w:rsidRPr="00CF5B20" w14:paraId="4173A6A9" w14:textId="77777777" w:rsidTr="003729E1">
        <w:trPr>
          <w:jc w:val="center"/>
        </w:trPr>
        <w:tc>
          <w:tcPr>
            <w:tcW w:w="0" w:type="auto"/>
            <w:tcMar>
              <w:top w:w="120" w:type="dxa"/>
              <w:left w:w="120" w:type="dxa"/>
              <w:bottom w:w="120" w:type="dxa"/>
              <w:right w:w="120" w:type="dxa"/>
            </w:tcMar>
            <w:vAlign w:val="center"/>
            <w:hideMark/>
          </w:tcPr>
          <w:p w14:paraId="0757BB84" w14:textId="77777777" w:rsidR="007F7BEA" w:rsidRPr="00CF5B20" w:rsidRDefault="007F7BEA" w:rsidP="007F7BEA">
            <w:pPr>
              <w:rPr>
                <w:rFonts w:ascii="Arial" w:hAnsi="Arial" w:cs="Arial"/>
              </w:rPr>
            </w:pPr>
            <w:r w:rsidRPr="00CF5B20">
              <w:rPr>
                <w:rFonts w:ascii="Arial" w:hAnsi="Arial" w:cs="Arial"/>
              </w:rPr>
              <w:t>Optimized Carr et al.-Dempsey-Standing (Validation)</w:t>
            </w:r>
          </w:p>
        </w:tc>
        <w:tc>
          <w:tcPr>
            <w:tcW w:w="0" w:type="auto"/>
            <w:tcMar>
              <w:top w:w="120" w:type="dxa"/>
              <w:left w:w="120" w:type="dxa"/>
              <w:bottom w:w="120" w:type="dxa"/>
              <w:right w:w="120" w:type="dxa"/>
            </w:tcMar>
            <w:vAlign w:val="center"/>
            <w:hideMark/>
          </w:tcPr>
          <w:p w14:paraId="4BC172E5" w14:textId="77777777" w:rsidR="007F7BEA" w:rsidRPr="00CF5B20" w:rsidRDefault="007F7BEA" w:rsidP="003729E1">
            <w:pPr>
              <w:jc w:val="center"/>
              <w:rPr>
                <w:rFonts w:ascii="Arial" w:hAnsi="Arial" w:cs="Arial"/>
              </w:rPr>
            </w:pPr>
            <w:r w:rsidRPr="00CF5B20">
              <w:rPr>
                <w:rFonts w:ascii="Arial" w:hAnsi="Arial" w:cs="Arial"/>
              </w:rPr>
              <w:t>0.000025</w:t>
            </w:r>
            <w:r w:rsidR="001A41E4">
              <w:rPr>
                <w:rFonts w:ascii="Arial" w:hAnsi="Arial" w:cs="Arial"/>
              </w:rPr>
              <w:t>0000</w:t>
            </w:r>
          </w:p>
        </w:tc>
        <w:tc>
          <w:tcPr>
            <w:tcW w:w="0" w:type="auto"/>
            <w:tcMar>
              <w:top w:w="120" w:type="dxa"/>
              <w:left w:w="120" w:type="dxa"/>
              <w:bottom w:w="120" w:type="dxa"/>
              <w:right w:w="120" w:type="dxa"/>
            </w:tcMar>
            <w:vAlign w:val="center"/>
            <w:hideMark/>
          </w:tcPr>
          <w:p w14:paraId="5761A105" w14:textId="77777777" w:rsidR="007F7BEA" w:rsidRPr="00CF5B20" w:rsidRDefault="007F7BEA" w:rsidP="003729E1">
            <w:pPr>
              <w:jc w:val="center"/>
              <w:rPr>
                <w:rFonts w:ascii="Arial" w:hAnsi="Arial" w:cs="Arial"/>
              </w:rPr>
            </w:pPr>
            <w:r w:rsidRPr="00CF5B20">
              <w:rPr>
                <w:rFonts w:ascii="Arial" w:hAnsi="Arial" w:cs="Arial"/>
              </w:rPr>
              <w:t>0.000029</w:t>
            </w:r>
            <w:r w:rsidR="001A41E4">
              <w:rPr>
                <w:rFonts w:ascii="Arial" w:hAnsi="Arial" w:cs="Arial"/>
              </w:rPr>
              <w:t>0000</w:t>
            </w:r>
          </w:p>
        </w:tc>
        <w:tc>
          <w:tcPr>
            <w:tcW w:w="0" w:type="auto"/>
            <w:tcMar>
              <w:top w:w="120" w:type="dxa"/>
              <w:left w:w="120" w:type="dxa"/>
              <w:bottom w:w="120" w:type="dxa"/>
              <w:right w:w="120" w:type="dxa"/>
            </w:tcMar>
            <w:vAlign w:val="center"/>
            <w:hideMark/>
          </w:tcPr>
          <w:p w14:paraId="576B10E3" w14:textId="77777777" w:rsidR="007F7BEA" w:rsidRPr="00CF5B20" w:rsidRDefault="007F7BEA" w:rsidP="003729E1">
            <w:pPr>
              <w:jc w:val="center"/>
              <w:rPr>
                <w:rFonts w:ascii="Arial" w:hAnsi="Arial" w:cs="Arial"/>
              </w:rPr>
            </w:pPr>
            <w:r w:rsidRPr="00CF5B20">
              <w:rPr>
                <w:rFonts w:ascii="Arial" w:hAnsi="Arial" w:cs="Arial"/>
              </w:rPr>
              <w:t>0.999939</w:t>
            </w:r>
            <w:r w:rsidR="001A41E4">
              <w:rPr>
                <w:rFonts w:ascii="Arial" w:hAnsi="Arial" w:cs="Arial"/>
              </w:rPr>
              <w:t>0000</w:t>
            </w:r>
          </w:p>
        </w:tc>
      </w:tr>
      <w:tr w:rsidR="007F7BEA" w:rsidRPr="00CF5B20" w14:paraId="57BAF2D5" w14:textId="77777777" w:rsidTr="003729E1">
        <w:trPr>
          <w:jc w:val="center"/>
        </w:trPr>
        <w:tc>
          <w:tcPr>
            <w:tcW w:w="0" w:type="auto"/>
            <w:tcMar>
              <w:top w:w="120" w:type="dxa"/>
              <w:left w:w="120" w:type="dxa"/>
              <w:bottom w:w="120" w:type="dxa"/>
              <w:right w:w="120" w:type="dxa"/>
            </w:tcMar>
            <w:vAlign w:val="center"/>
            <w:hideMark/>
          </w:tcPr>
          <w:p w14:paraId="0CCD8534" w14:textId="77777777" w:rsidR="007F7BEA" w:rsidRPr="00CF5B20" w:rsidRDefault="007F7BEA" w:rsidP="007F7BEA">
            <w:pPr>
              <w:rPr>
                <w:rFonts w:ascii="Arial" w:hAnsi="Arial" w:cs="Arial"/>
              </w:rPr>
            </w:pPr>
            <w:r w:rsidRPr="00CF5B20">
              <w:rPr>
                <w:rFonts w:ascii="Arial" w:hAnsi="Arial" w:cs="Arial"/>
              </w:rPr>
              <w:t>Optimized Lee-Gonzalez-Eakin (Training)</w:t>
            </w:r>
          </w:p>
        </w:tc>
        <w:tc>
          <w:tcPr>
            <w:tcW w:w="0" w:type="auto"/>
            <w:tcMar>
              <w:top w:w="120" w:type="dxa"/>
              <w:left w:w="120" w:type="dxa"/>
              <w:bottom w:w="120" w:type="dxa"/>
              <w:right w:w="120" w:type="dxa"/>
            </w:tcMar>
            <w:vAlign w:val="center"/>
            <w:hideMark/>
          </w:tcPr>
          <w:p w14:paraId="437BCD45" w14:textId="77777777" w:rsidR="007F7BEA" w:rsidRPr="00CF5B20" w:rsidRDefault="007F7BEA" w:rsidP="003729E1">
            <w:pPr>
              <w:jc w:val="center"/>
              <w:rPr>
                <w:rFonts w:ascii="Arial" w:hAnsi="Arial" w:cs="Arial"/>
              </w:rPr>
            </w:pPr>
            <w:r w:rsidRPr="00CF5B20">
              <w:rPr>
                <w:rFonts w:ascii="Arial" w:hAnsi="Arial" w:cs="Arial"/>
              </w:rPr>
              <w:t>0.00000061</w:t>
            </w:r>
            <w:r w:rsidR="001A41E4">
              <w:rPr>
                <w:rFonts w:ascii="Arial" w:hAnsi="Arial" w:cs="Arial"/>
              </w:rPr>
              <w:t>00</w:t>
            </w:r>
          </w:p>
        </w:tc>
        <w:tc>
          <w:tcPr>
            <w:tcW w:w="0" w:type="auto"/>
            <w:tcMar>
              <w:top w:w="120" w:type="dxa"/>
              <w:left w:w="120" w:type="dxa"/>
              <w:bottom w:w="120" w:type="dxa"/>
              <w:right w:w="120" w:type="dxa"/>
            </w:tcMar>
            <w:vAlign w:val="center"/>
            <w:hideMark/>
          </w:tcPr>
          <w:p w14:paraId="7F7E9E70" w14:textId="77777777" w:rsidR="007F7BEA" w:rsidRPr="00CF5B20" w:rsidRDefault="007F7BEA" w:rsidP="003729E1">
            <w:pPr>
              <w:jc w:val="center"/>
              <w:rPr>
                <w:rFonts w:ascii="Arial" w:hAnsi="Arial" w:cs="Arial"/>
              </w:rPr>
            </w:pPr>
            <w:r w:rsidRPr="00CF5B20">
              <w:rPr>
                <w:rFonts w:ascii="Arial" w:hAnsi="Arial" w:cs="Arial"/>
              </w:rPr>
              <w:t>0.00000075</w:t>
            </w:r>
            <w:r w:rsidR="001A41E4">
              <w:rPr>
                <w:rFonts w:ascii="Arial" w:hAnsi="Arial" w:cs="Arial"/>
              </w:rPr>
              <w:t>00</w:t>
            </w:r>
          </w:p>
        </w:tc>
        <w:tc>
          <w:tcPr>
            <w:tcW w:w="0" w:type="auto"/>
            <w:tcMar>
              <w:top w:w="120" w:type="dxa"/>
              <w:left w:w="120" w:type="dxa"/>
              <w:bottom w:w="120" w:type="dxa"/>
              <w:right w:w="120" w:type="dxa"/>
            </w:tcMar>
            <w:vAlign w:val="center"/>
            <w:hideMark/>
          </w:tcPr>
          <w:p w14:paraId="37912EBE" w14:textId="77777777" w:rsidR="007F7BEA" w:rsidRPr="00CF5B20" w:rsidRDefault="007F7BEA" w:rsidP="003729E1">
            <w:pPr>
              <w:jc w:val="center"/>
              <w:rPr>
                <w:rFonts w:ascii="Arial" w:hAnsi="Arial" w:cs="Arial"/>
              </w:rPr>
            </w:pPr>
            <w:r w:rsidRPr="00CF5B20">
              <w:rPr>
                <w:rFonts w:ascii="Arial" w:hAnsi="Arial" w:cs="Arial"/>
              </w:rPr>
              <w:t>0.99999996</w:t>
            </w:r>
            <w:r w:rsidR="001A41E4">
              <w:rPr>
                <w:rFonts w:ascii="Arial" w:hAnsi="Arial" w:cs="Arial"/>
              </w:rPr>
              <w:t>00</w:t>
            </w:r>
          </w:p>
        </w:tc>
      </w:tr>
      <w:tr w:rsidR="007F7BEA" w:rsidRPr="00CF5B20" w14:paraId="6DCA9F1B" w14:textId="77777777" w:rsidTr="003729E1">
        <w:trPr>
          <w:jc w:val="center"/>
        </w:trPr>
        <w:tc>
          <w:tcPr>
            <w:tcW w:w="0" w:type="auto"/>
            <w:tcMar>
              <w:top w:w="120" w:type="dxa"/>
              <w:left w:w="120" w:type="dxa"/>
              <w:bottom w:w="120" w:type="dxa"/>
              <w:right w:w="120" w:type="dxa"/>
            </w:tcMar>
            <w:vAlign w:val="center"/>
          </w:tcPr>
          <w:p w14:paraId="3A02BDFB" w14:textId="77777777" w:rsidR="007F7BEA" w:rsidRPr="00CF5B20" w:rsidRDefault="007F7BEA" w:rsidP="007F7BEA">
            <w:pPr>
              <w:rPr>
                <w:rFonts w:ascii="Arial" w:hAnsi="Arial" w:cs="Arial"/>
              </w:rPr>
            </w:pPr>
            <w:r w:rsidRPr="00CF5B20">
              <w:rPr>
                <w:rFonts w:ascii="Arial" w:hAnsi="Arial" w:cs="Arial"/>
              </w:rPr>
              <w:t>Optimized Lee-Gonzalez-Eakin (Validation)</w:t>
            </w:r>
          </w:p>
        </w:tc>
        <w:tc>
          <w:tcPr>
            <w:tcW w:w="0" w:type="auto"/>
            <w:tcMar>
              <w:top w:w="120" w:type="dxa"/>
              <w:left w:w="120" w:type="dxa"/>
              <w:bottom w:w="120" w:type="dxa"/>
              <w:right w:w="120" w:type="dxa"/>
            </w:tcMar>
            <w:vAlign w:val="center"/>
          </w:tcPr>
          <w:p w14:paraId="163F0F8B" w14:textId="77777777" w:rsidR="007F7BEA" w:rsidRPr="00CF5B20" w:rsidRDefault="007F7BEA" w:rsidP="003729E1">
            <w:pPr>
              <w:jc w:val="center"/>
              <w:rPr>
                <w:rFonts w:ascii="Arial" w:hAnsi="Arial" w:cs="Arial"/>
              </w:rPr>
            </w:pPr>
            <w:r w:rsidRPr="00CF5B20">
              <w:rPr>
                <w:rFonts w:ascii="Arial" w:hAnsi="Arial" w:cs="Arial"/>
              </w:rPr>
              <w:t>0.0000006124</w:t>
            </w:r>
          </w:p>
        </w:tc>
        <w:tc>
          <w:tcPr>
            <w:tcW w:w="0" w:type="auto"/>
            <w:tcMar>
              <w:top w:w="120" w:type="dxa"/>
              <w:left w:w="120" w:type="dxa"/>
              <w:bottom w:w="120" w:type="dxa"/>
              <w:right w:w="120" w:type="dxa"/>
            </w:tcMar>
            <w:vAlign w:val="center"/>
          </w:tcPr>
          <w:p w14:paraId="0C43F44F" w14:textId="77777777" w:rsidR="007F7BEA" w:rsidRPr="00CF5B20" w:rsidRDefault="007F7BEA" w:rsidP="003729E1">
            <w:pPr>
              <w:rPr>
                <w:rFonts w:ascii="Arial" w:hAnsi="Arial" w:cs="Arial"/>
              </w:rPr>
            </w:pPr>
            <w:r w:rsidRPr="00CF5B20">
              <w:rPr>
                <w:rFonts w:ascii="Arial" w:hAnsi="Arial" w:cs="Arial"/>
              </w:rPr>
              <w:t>0.0000007501</w:t>
            </w:r>
          </w:p>
        </w:tc>
        <w:tc>
          <w:tcPr>
            <w:tcW w:w="0" w:type="auto"/>
            <w:tcMar>
              <w:top w:w="120" w:type="dxa"/>
              <w:left w:w="120" w:type="dxa"/>
              <w:bottom w:w="120" w:type="dxa"/>
              <w:right w:w="120" w:type="dxa"/>
            </w:tcMar>
            <w:vAlign w:val="center"/>
          </w:tcPr>
          <w:p w14:paraId="26001FA4" w14:textId="77777777" w:rsidR="007F7BEA" w:rsidRPr="00CF5B20" w:rsidRDefault="007F7BEA" w:rsidP="003729E1">
            <w:pPr>
              <w:rPr>
                <w:rFonts w:ascii="Arial" w:hAnsi="Arial" w:cs="Arial"/>
              </w:rPr>
            </w:pPr>
            <w:r w:rsidRPr="00CF5B20">
              <w:rPr>
                <w:rFonts w:ascii="Arial" w:hAnsi="Arial" w:cs="Arial"/>
              </w:rPr>
              <w:t>0.9999999606</w:t>
            </w:r>
          </w:p>
        </w:tc>
      </w:tr>
    </w:tbl>
    <w:p w14:paraId="1146C86C" w14:textId="77777777" w:rsidR="007F7BEA" w:rsidRPr="00CF5B20" w:rsidRDefault="007F7BEA" w:rsidP="007F7BEA">
      <w:pPr>
        <w:jc w:val="both"/>
        <w:rPr>
          <w:rFonts w:ascii="Arial" w:hAnsi="Arial" w:cs="Arial"/>
          <w:b/>
          <w:bCs/>
        </w:rPr>
      </w:pPr>
    </w:p>
    <w:p w14:paraId="54AE1448" w14:textId="564B1B14" w:rsidR="00CB2C87" w:rsidRPr="00706C8D" w:rsidRDefault="00CB2C87" w:rsidP="00CB2C87">
      <w:pPr>
        <w:jc w:val="both"/>
        <w:rPr>
          <w:rFonts w:ascii="Arial" w:hAnsi="Arial" w:cs="Arial"/>
        </w:rPr>
      </w:pPr>
      <w:r w:rsidRPr="00706C8D">
        <w:rPr>
          <w:rFonts w:ascii="Arial" w:hAnsi="Arial" w:cs="Arial"/>
        </w:rPr>
        <w:t>The original versions of the Carr et al.</w:t>
      </w:r>
      <w:r>
        <w:rPr>
          <w:rFonts w:ascii="Arial" w:hAnsi="Arial" w:cs="Arial"/>
        </w:rPr>
        <w:t>-</w:t>
      </w:r>
      <w:r w:rsidRPr="00706C8D">
        <w:rPr>
          <w:rFonts w:ascii="Arial" w:hAnsi="Arial" w:cs="Arial"/>
        </w:rPr>
        <w:t>Dempsey</w:t>
      </w:r>
      <w:r>
        <w:rPr>
          <w:rFonts w:ascii="Arial" w:hAnsi="Arial" w:cs="Arial"/>
        </w:rPr>
        <w:t>-</w:t>
      </w:r>
      <w:r w:rsidRPr="00706C8D">
        <w:rPr>
          <w:rFonts w:ascii="Arial" w:hAnsi="Arial" w:cs="Arial"/>
        </w:rPr>
        <w:t>Standing and Lee</w:t>
      </w:r>
      <w:r>
        <w:rPr>
          <w:rFonts w:ascii="Arial" w:hAnsi="Arial" w:cs="Arial"/>
        </w:rPr>
        <w:t>-</w:t>
      </w:r>
      <w:r w:rsidRPr="00706C8D">
        <w:rPr>
          <w:rFonts w:ascii="Arial" w:hAnsi="Arial" w:cs="Arial"/>
        </w:rPr>
        <w:t>Gonzalez</w:t>
      </w:r>
      <w:r>
        <w:rPr>
          <w:rFonts w:ascii="Arial" w:hAnsi="Arial" w:cs="Arial"/>
        </w:rPr>
        <w:t>-</w:t>
      </w:r>
      <w:r w:rsidRPr="00706C8D">
        <w:rPr>
          <w:rFonts w:ascii="Arial" w:hAnsi="Arial" w:cs="Arial"/>
        </w:rPr>
        <w:t>Eakin correlations are presented in equations 5 and 6, respectively. The modified coefficients for both correlations support the claim that parameter calibration of globally developed gas viscosity correlation to region-specific gas systems would improve the predictive accuracy of the correlation.</w:t>
      </w:r>
    </w:p>
    <w:p w14:paraId="354CEFCA" w14:textId="77777777" w:rsidR="00CB2C87" w:rsidRPr="00CF5B20" w:rsidRDefault="00CB2C87" w:rsidP="00CB2C87">
      <w:pPr>
        <w:jc w:val="both"/>
        <w:rPr>
          <w:rFonts w:ascii="Arial" w:hAnsi="Arial" w:cs="Arial"/>
        </w:rPr>
      </w:pPr>
      <m:oMath>
        <m:r>
          <w:rPr>
            <w:rFonts w:ascii="Cambria Math" w:hAnsi="Cambria Math" w:cs="Arial"/>
            <w:sz w:val="22"/>
          </w:rPr>
          <w:lastRenderedPageBreak/>
          <m:t>In</m:t>
        </m:r>
        <m:d>
          <m:dPr>
            <m:begChr m:val="["/>
            <m:endChr m:val="]"/>
            <m:ctrlPr>
              <w:rPr>
                <w:rFonts w:ascii="Cambria Math" w:hAnsi="Cambria Math" w:cs="Arial"/>
                <w:i/>
                <w:sz w:val="22"/>
              </w:rPr>
            </m:ctrlPr>
          </m:dPr>
          <m:e>
            <m:sSub>
              <m:sSubPr>
                <m:ctrlPr>
                  <w:rPr>
                    <w:rFonts w:ascii="Cambria Math" w:hAnsi="Cambria Math" w:cs="Arial"/>
                    <w:i/>
                    <w:sz w:val="22"/>
                  </w:rPr>
                </m:ctrlPr>
              </m:sSubPr>
              <m:e>
                <m:r>
                  <w:rPr>
                    <w:rFonts w:ascii="Cambria Math" w:hAnsi="Cambria Math" w:cs="Arial"/>
                    <w:sz w:val="22"/>
                  </w:rPr>
                  <m:t>T</m:t>
                </m:r>
              </m:e>
              <m:sub>
                <m:r>
                  <w:rPr>
                    <w:rFonts w:ascii="Cambria Math" w:hAnsi="Cambria Math" w:cs="Arial"/>
                    <w:sz w:val="22"/>
                  </w:rPr>
                  <m:t>pr</m:t>
                </m:r>
              </m:sub>
            </m:sSub>
            <m:d>
              <m:dPr>
                <m:ctrlPr>
                  <w:rPr>
                    <w:rFonts w:ascii="Cambria Math" w:hAnsi="Cambria Math" w:cs="Arial"/>
                    <w:i/>
                    <w:sz w:val="22"/>
                  </w:rPr>
                </m:ctrlPr>
              </m:dPr>
              <m:e>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μ</m:t>
                        </m:r>
                      </m:e>
                      <m:sub>
                        <m:r>
                          <w:rPr>
                            <w:rFonts w:ascii="Cambria Math" w:hAnsi="Cambria Math" w:cs="Arial"/>
                            <w:sz w:val="22"/>
                          </w:rPr>
                          <m:t>g</m:t>
                        </m:r>
                      </m:sub>
                    </m:sSub>
                  </m:num>
                  <m:den>
                    <m:sSub>
                      <m:sSubPr>
                        <m:ctrlPr>
                          <w:rPr>
                            <w:rFonts w:ascii="Cambria Math" w:hAnsi="Cambria Math" w:cs="Arial"/>
                            <w:i/>
                            <w:sz w:val="22"/>
                          </w:rPr>
                        </m:ctrlPr>
                      </m:sSubPr>
                      <m:e>
                        <m:r>
                          <w:rPr>
                            <w:rFonts w:ascii="Cambria Math" w:hAnsi="Cambria Math" w:cs="Arial"/>
                            <w:sz w:val="22"/>
                          </w:rPr>
                          <m:t>μ</m:t>
                        </m:r>
                      </m:e>
                      <m:sub>
                        <m:r>
                          <w:rPr>
                            <w:rFonts w:ascii="Cambria Math" w:hAnsi="Cambria Math" w:cs="Arial"/>
                            <w:sz w:val="22"/>
                          </w:rPr>
                          <m:t>1</m:t>
                        </m:r>
                      </m:sub>
                    </m:sSub>
                  </m:den>
                </m:f>
              </m:e>
            </m:d>
          </m:e>
        </m:d>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0</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2</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3</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3</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T</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4</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5</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6</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7</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3</m:t>
            </m:r>
          </m:sup>
        </m:sSubSup>
        <m:r>
          <w:rPr>
            <w:rFonts w:ascii="Cambria Math" w:eastAsiaTheme="minorEastAsia" w:hAnsi="Cambria Math" w:cs="Arial"/>
            <w:sz w:val="22"/>
          </w:rPr>
          <m:t>+</m:t>
        </m:r>
        <m:sSubSup>
          <m:sSubSupPr>
            <m:ctrlPr>
              <w:rPr>
                <w:rFonts w:ascii="Cambria Math" w:eastAsiaTheme="minorEastAsia" w:hAnsi="Cambria Math" w:cs="Arial"/>
                <w:i/>
                <w:sz w:val="22"/>
              </w:rPr>
            </m:ctrlPr>
          </m:sSubSupPr>
          <m:e>
            <m:r>
              <w:rPr>
                <w:rFonts w:ascii="Cambria Math" w:eastAsiaTheme="minorEastAsia" w:hAnsi="Cambria Math" w:cs="Arial"/>
                <w:sz w:val="22"/>
              </w:rPr>
              <m:t>T</m:t>
            </m:r>
          </m:e>
          <m:sub>
            <m:r>
              <w:rPr>
                <w:rFonts w:ascii="Cambria Math" w:eastAsiaTheme="minorEastAsia" w:hAnsi="Cambria Math" w:cs="Arial"/>
                <w:sz w:val="22"/>
              </w:rPr>
              <m:t>pr</m:t>
            </m:r>
          </m:sub>
          <m:sup>
            <m:r>
              <w:rPr>
                <w:rFonts w:ascii="Cambria Math" w:eastAsiaTheme="minorEastAsia" w:hAnsi="Cambria Math" w:cs="Arial"/>
                <w:sz w:val="22"/>
              </w:rPr>
              <m:t>2</m:t>
            </m:r>
          </m:sup>
        </m:sSubSup>
        <m:d>
          <m:dPr>
            <m:ctrlPr>
              <w:rPr>
                <w:rFonts w:ascii="Cambria Math" w:eastAsiaTheme="minorEastAsia" w:hAnsi="Cambria Math" w:cs="Arial"/>
                <w:i/>
                <w:sz w:val="22"/>
              </w:rPr>
            </m:ctrlPr>
          </m:dPr>
          <m:e>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8</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9</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10</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11</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3</m:t>
                </m:r>
              </m:sup>
            </m:sSubSup>
          </m:e>
        </m:d>
        <m:r>
          <w:rPr>
            <w:rFonts w:ascii="Cambria Math" w:eastAsiaTheme="minorEastAsia" w:hAnsi="Cambria Math" w:cs="Arial"/>
            <w:sz w:val="22"/>
          </w:rPr>
          <m:t>+</m:t>
        </m:r>
        <m:sSub>
          <m:sSubPr>
            <m:ctrlPr>
              <w:rPr>
                <w:rFonts w:ascii="Cambria Math" w:eastAsiaTheme="minorEastAsia" w:hAnsi="Cambria Math" w:cs="Arial"/>
                <w:i/>
                <w:sz w:val="22"/>
              </w:rPr>
            </m:ctrlPr>
          </m:sSubPr>
          <m:e>
            <m:sSubSup>
              <m:sSubSupPr>
                <m:ctrlPr>
                  <w:rPr>
                    <w:rFonts w:ascii="Cambria Math" w:eastAsiaTheme="minorEastAsia" w:hAnsi="Cambria Math" w:cs="Arial"/>
                    <w:i/>
                    <w:sz w:val="22"/>
                  </w:rPr>
                </m:ctrlPr>
              </m:sSubSupPr>
              <m:e>
                <m:r>
                  <w:rPr>
                    <w:rFonts w:ascii="Cambria Math" w:eastAsiaTheme="minorEastAsia" w:hAnsi="Cambria Math" w:cs="Arial"/>
                    <w:sz w:val="22"/>
                  </w:rPr>
                  <m:t>T</m:t>
                </m:r>
              </m:e>
              <m:sub>
                <m:r>
                  <w:rPr>
                    <w:rFonts w:ascii="Cambria Math" w:eastAsiaTheme="minorEastAsia" w:hAnsi="Cambria Math" w:cs="Arial"/>
                    <w:sz w:val="22"/>
                  </w:rPr>
                  <m:t>pr</m:t>
                </m:r>
              </m:sub>
              <m:sup>
                <m:r>
                  <w:rPr>
                    <w:rFonts w:ascii="Cambria Math" w:eastAsiaTheme="minorEastAsia" w:hAnsi="Cambria Math" w:cs="Arial"/>
                    <w:sz w:val="22"/>
                  </w:rPr>
                  <m:t>3</m:t>
                </m:r>
              </m:sup>
            </m:sSubSup>
            <m:r>
              <w:rPr>
                <w:rFonts w:ascii="Cambria Math" w:eastAsiaTheme="minorEastAsia" w:hAnsi="Cambria Math" w:cs="Arial"/>
                <w:sz w:val="22"/>
              </w:rPr>
              <m:t>(a</m:t>
            </m:r>
          </m:e>
          <m:sub>
            <m:r>
              <w:rPr>
                <w:rFonts w:ascii="Cambria Math" w:eastAsiaTheme="minorEastAsia" w:hAnsi="Cambria Math" w:cs="Arial"/>
                <w:sz w:val="22"/>
              </w:rPr>
              <m:t>12</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13</m:t>
            </m:r>
          </m:sub>
        </m:sSub>
        <m:sSub>
          <m:sSubPr>
            <m:ctrlPr>
              <w:rPr>
                <w:rFonts w:ascii="Cambria Math" w:eastAsiaTheme="minorEastAsia" w:hAnsi="Cambria Math" w:cs="Arial"/>
                <w:i/>
                <w:sz w:val="22"/>
              </w:rPr>
            </m:ctrlPr>
          </m:sSubPr>
          <m:e>
            <m:r>
              <w:rPr>
                <w:rFonts w:ascii="Cambria Math" w:eastAsiaTheme="minorEastAsia" w:hAnsi="Cambria Math" w:cs="Arial"/>
                <w:sz w:val="22"/>
              </w:rPr>
              <m:t>P</m:t>
            </m:r>
          </m:e>
          <m:sub>
            <m:r>
              <w:rPr>
                <w:rFonts w:ascii="Cambria Math" w:eastAsiaTheme="minorEastAsia" w:hAnsi="Cambria Math" w:cs="Arial"/>
                <w:sz w:val="22"/>
              </w:rPr>
              <m:t>pr</m:t>
            </m:r>
          </m:sub>
        </m:sSub>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14</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sSub>
          <m:sSubPr>
            <m:ctrlPr>
              <w:rPr>
                <w:rFonts w:ascii="Cambria Math" w:eastAsiaTheme="minorEastAsia" w:hAnsi="Cambria Math" w:cs="Arial"/>
                <w:i/>
                <w:sz w:val="22"/>
              </w:rPr>
            </m:ctrlPr>
          </m:sSubPr>
          <m:e>
            <m:r>
              <w:rPr>
                <w:rFonts w:ascii="Cambria Math" w:eastAsiaTheme="minorEastAsia" w:hAnsi="Cambria Math" w:cs="Arial"/>
                <w:sz w:val="22"/>
              </w:rPr>
              <m:t>a</m:t>
            </m:r>
          </m:e>
          <m:sub>
            <m:r>
              <w:rPr>
                <w:rFonts w:ascii="Cambria Math" w:eastAsiaTheme="minorEastAsia" w:hAnsi="Cambria Math" w:cs="Arial"/>
                <w:sz w:val="22"/>
              </w:rPr>
              <m:t>15</m:t>
            </m:r>
          </m:sub>
        </m:sSub>
        <m:sSubSup>
          <m:sSubSupPr>
            <m:ctrlPr>
              <w:rPr>
                <w:rFonts w:ascii="Cambria Math" w:eastAsiaTheme="minorEastAsia" w:hAnsi="Cambria Math" w:cs="Arial"/>
                <w:i/>
                <w:sz w:val="22"/>
              </w:rPr>
            </m:ctrlPr>
          </m:sSubSupPr>
          <m:e>
            <m:r>
              <w:rPr>
                <w:rFonts w:ascii="Cambria Math" w:eastAsiaTheme="minorEastAsia" w:hAnsi="Cambria Math" w:cs="Arial"/>
                <w:sz w:val="22"/>
              </w:rPr>
              <m:t>P</m:t>
            </m:r>
          </m:e>
          <m:sub>
            <m:r>
              <w:rPr>
                <w:rFonts w:ascii="Cambria Math" w:eastAsiaTheme="minorEastAsia" w:hAnsi="Cambria Math" w:cs="Arial"/>
                <w:sz w:val="22"/>
              </w:rPr>
              <m:t>pr</m:t>
            </m:r>
          </m:sub>
          <m:sup>
            <m:r>
              <w:rPr>
                <w:rFonts w:ascii="Cambria Math" w:eastAsiaTheme="minorEastAsia" w:hAnsi="Cambria Math" w:cs="Arial"/>
                <w:sz w:val="22"/>
              </w:rPr>
              <m:t>2</m:t>
            </m:r>
          </m:sup>
        </m:sSubSup>
        <m:r>
          <w:rPr>
            <w:rFonts w:ascii="Cambria Math" w:eastAsiaTheme="minorEastAsia" w:hAnsi="Cambria Math" w:cs="Arial"/>
            <w:sz w:val="22"/>
          </w:rPr>
          <m:t>)</m:t>
        </m:r>
      </m:oMath>
      <w:r w:rsidRPr="00CF5B20">
        <w:rPr>
          <w:rFonts w:ascii="Arial" w:eastAsiaTheme="minorEastAsia" w:hAnsi="Arial" w:cs="Arial"/>
        </w:rPr>
        <w:tab/>
      </w:r>
      <w:r w:rsidRPr="00CF5B20">
        <w:rPr>
          <w:rFonts w:ascii="Arial" w:eastAsiaTheme="minorEastAsia" w:hAnsi="Arial" w:cs="Arial"/>
        </w:rPr>
        <w:tab/>
        <w:t>5</w:t>
      </w:r>
    </w:p>
    <w:p w14:paraId="6397E5DB" w14:textId="77777777" w:rsidR="00CB2C87" w:rsidRDefault="00CB2C87" w:rsidP="00CB2C87">
      <w:pPr>
        <w:jc w:val="both"/>
        <w:rPr>
          <w:rFonts w:ascii="Arial" w:hAnsi="Arial" w:cs="Arial"/>
        </w:rPr>
      </w:pPr>
    </w:p>
    <w:p w14:paraId="5559FBB7" w14:textId="77777777" w:rsidR="00CB2C87" w:rsidRPr="00CF5B20" w:rsidRDefault="00CB2C87" w:rsidP="00CB2C87">
      <w:pPr>
        <w:jc w:val="both"/>
        <w:rPr>
          <w:rFonts w:ascii="Arial" w:hAnsi="Arial" w:cs="Arial"/>
        </w:rPr>
      </w:pPr>
      <w:r w:rsidRPr="00CF5B20">
        <w:rPr>
          <w:rFonts w:ascii="Arial" w:hAnsi="Arial" w:cs="Arial"/>
        </w:rPr>
        <w:t>where</w:t>
      </w:r>
      <w:r w:rsidRPr="00CF5B20">
        <w:rPr>
          <w:rFonts w:ascii="Arial" w:hAnsi="Arial" w:cs="Arial"/>
        </w:rPr>
        <w:tab/>
      </w:r>
      <w:proofErr w:type="spellStart"/>
      <w:r w:rsidRPr="00CF5B20">
        <w:rPr>
          <w:rFonts w:ascii="Arial" w:hAnsi="Arial" w:cs="Arial"/>
        </w:rPr>
        <w:t>T</w:t>
      </w:r>
      <w:r w:rsidRPr="00CF5B20">
        <w:rPr>
          <w:rFonts w:ascii="Arial" w:hAnsi="Arial" w:cs="Arial"/>
          <w:vertAlign w:val="subscript"/>
        </w:rPr>
        <w:t>pr</w:t>
      </w:r>
      <w:proofErr w:type="spellEnd"/>
      <w:r w:rsidRPr="00CF5B20">
        <w:rPr>
          <w:rFonts w:ascii="Arial" w:hAnsi="Arial" w:cs="Arial"/>
        </w:rPr>
        <w:t xml:space="preserve"> = pseudo-reduced temperature of the gas mixture, °R </w:t>
      </w:r>
    </w:p>
    <w:p w14:paraId="781A90AA" w14:textId="77777777" w:rsidR="00CB2C87" w:rsidRPr="00CF5B20" w:rsidRDefault="00CB2C87" w:rsidP="00CB2C87">
      <w:pPr>
        <w:ind w:firstLine="720"/>
        <w:jc w:val="both"/>
        <w:rPr>
          <w:rFonts w:ascii="Arial" w:hAnsi="Arial" w:cs="Arial"/>
        </w:rPr>
      </w:pPr>
      <w:r w:rsidRPr="00CF5B20">
        <w:rPr>
          <w:rFonts w:ascii="Arial" w:hAnsi="Arial" w:cs="Arial"/>
        </w:rPr>
        <w:t>Ppr = pseudo-reduced pressure of the gas mixture, psia</w:t>
      </w:r>
    </w:p>
    <w:p w14:paraId="2E2CCD42" w14:textId="77777777" w:rsidR="00CB2C87" w:rsidRPr="00CF5B20" w:rsidRDefault="003E4269" w:rsidP="00CB2C87">
      <w:pPr>
        <w:ind w:firstLine="720"/>
        <w:jc w:val="both"/>
        <w:rPr>
          <w:rFonts w:ascii="Arial"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0</m:t>
            </m:r>
          </m:sub>
        </m:sSub>
        <m:r>
          <w:rPr>
            <w:rFonts w:ascii="Cambria Math" w:eastAsiaTheme="minorEastAsia" w:hAnsi="Cambria Math" w:cs="Arial"/>
          </w:rPr>
          <m:t xml:space="preserve"> to </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15</m:t>
            </m:r>
          </m:sub>
        </m:sSub>
      </m:oMath>
      <w:r w:rsidR="00CB2C87" w:rsidRPr="00CF5B20">
        <w:rPr>
          <w:rFonts w:ascii="Arial" w:hAnsi="Arial" w:cs="Arial"/>
        </w:rPr>
        <w:t xml:space="preserve"> = coefficients of the equations</w:t>
      </w:r>
    </w:p>
    <w:p w14:paraId="07CB2E6D" w14:textId="77777777" w:rsidR="00CB2C87" w:rsidRDefault="00CB2C87" w:rsidP="00CB2C87">
      <w:pPr>
        <w:jc w:val="both"/>
        <w:rPr>
          <w:rFonts w:ascii="Arial" w:hAnsi="Arial" w:cs="Arial"/>
        </w:rPr>
      </w:pPr>
    </w:p>
    <w:p w14:paraId="5CDA58C8" w14:textId="77777777" w:rsidR="00CB2C87" w:rsidRPr="00CB2C87" w:rsidRDefault="00CB2C87" w:rsidP="00CB2C87">
      <w:pPr>
        <w:jc w:val="both"/>
        <w:rPr>
          <w:rFonts w:ascii="Arial" w:hAnsi="Arial" w:cs="Arial"/>
        </w:rPr>
      </w:pPr>
      <w:r w:rsidRPr="00CB2C87">
        <w:rPr>
          <w:rFonts w:ascii="Arial" w:hAnsi="Arial" w:cs="Arial"/>
        </w:rPr>
        <w:t>The optimized coefficients for a</w:t>
      </w:r>
      <w:r w:rsidRPr="00CB2C87">
        <w:rPr>
          <w:rFonts w:ascii="Arial" w:hAnsi="Arial" w:cs="Arial"/>
          <w:vertAlign w:val="subscript"/>
        </w:rPr>
        <w:t>0</w:t>
      </w:r>
      <w:r w:rsidRPr="00CB2C87">
        <w:rPr>
          <w:rFonts w:ascii="Arial" w:hAnsi="Arial" w:cs="Arial"/>
        </w:rPr>
        <w:t xml:space="preserve"> to a</w:t>
      </w:r>
      <w:r w:rsidRPr="00CB2C87">
        <w:rPr>
          <w:rFonts w:ascii="Arial" w:hAnsi="Arial" w:cs="Arial"/>
          <w:vertAlign w:val="subscript"/>
        </w:rPr>
        <w:t>15</w:t>
      </w:r>
      <w:r w:rsidRPr="00CB2C87">
        <w:rPr>
          <w:rFonts w:ascii="Arial" w:hAnsi="Arial" w:cs="Arial"/>
        </w:rPr>
        <w:t xml:space="preserve"> are as follows:</w:t>
      </w:r>
    </w:p>
    <w:p w14:paraId="37FB9038" w14:textId="77777777" w:rsidR="00CB2C87" w:rsidRPr="00CF5B20" w:rsidRDefault="00CB2C87" w:rsidP="00CB2C87">
      <w:pPr>
        <w:jc w:val="both"/>
        <w:rPr>
          <w:rFonts w:ascii="Arial" w:hAnsi="Arial" w:cs="Arial"/>
        </w:rPr>
      </w:pPr>
    </w:p>
    <w:p w14:paraId="48D87EF9" w14:textId="77777777" w:rsidR="00CB2C87" w:rsidRPr="00CF5B20" w:rsidRDefault="00CB2C87" w:rsidP="00CB2C87">
      <w:pPr>
        <w:jc w:val="both"/>
        <w:rPr>
          <w:rFonts w:ascii="Arial" w:hAnsi="Arial" w:cs="Arial"/>
        </w:rPr>
      </w:pPr>
      <w:r w:rsidRPr="00CF5B20">
        <w:rPr>
          <w:rFonts w:ascii="Arial" w:hAnsi="Arial" w:cs="Arial"/>
        </w:rPr>
        <w:t>a</w:t>
      </w:r>
      <w:r w:rsidRPr="00CF5B20">
        <w:rPr>
          <w:rFonts w:ascii="Arial" w:hAnsi="Arial" w:cs="Arial"/>
          <w:vertAlign w:val="subscript"/>
        </w:rPr>
        <w:t>0</w:t>
      </w:r>
      <w:r w:rsidRPr="00CF5B20">
        <w:rPr>
          <w:rFonts w:ascii="Arial" w:hAnsi="Arial" w:cs="Arial"/>
        </w:rPr>
        <w:t xml:space="preserve"> = 91.4775917777;</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1</w:t>
      </w:r>
      <w:r w:rsidRPr="00CF5B20">
        <w:rPr>
          <w:rFonts w:ascii="Arial" w:hAnsi="Arial" w:cs="Arial"/>
        </w:rPr>
        <w:t xml:space="preserve"> = -107.4217748829;</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2</w:t>
      </w:r>
      <w:r w:rsidRPr="00CF5B20">
        <w:rPr>
          <w:rFonts w:ascii="Arial" w:hAnsi="Arial" w:cs="Arial"/>
        </w:rPr>
        <w:t xml:space="preserve"> = 35.5431074981;</w:t>
      </w:r>
      <w:r w:rsidRPr="00CF5B20">
        <w:rPr>
          <w:rFonts w:ascii="Arial" w:hAnsi="Arial" w:cs="Arial"/>
        </w:rPr>
        <w:tab/>
      </w:r>
    </w:p>
    <w:p w14:paraId="348BED00" w14:textId="77777777" w:rsidR="00CB2C87" w:rsidRPr="00CF5B20" w:rsidRDefault="00CB2C87" w:rsidP="00CB2C87">
      <w:pPr>
        <w:jc w:val="both"/>
        <w:rPr>
          <w:rFonts w:ascii="Arial" w:hAnsi="Arial" w:cs="Arial"/>
        </w:rPr>
      </w:pPr>
      <w:r w:rsidRPr="00CF5B20">
        <w:rPr>
          <w:rFonts w:ascii="Arial" w:hAnsi="Arial" w:cs="Arial"/>
        </w:rPr>
        <w:t>a</w:t>
      </w:r>
      <w:r w:rsidRPr="00CF5B20">
        <w:rPr>
          <w:rFonts w:ascii="Arial" w:hAnsi="Arial" w:cs="Arial"/>
          <w:vertAlign w:val="subscript"/>
        </w:rPr>
        <w:t>3</w:t>
      </w:r>
      <w:r w:rsidRPr="00CF5B20">
        <w:rPr>
          <w:rFonts w:ascii="Arial" w:hAnsi="Arial" w:cs="Arial"/>
        </w:rPr>
        <w:t xml:space="preserve"> = -3.3342750901;</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4</w:t>
      </w:r>
      <w:r w:rsidRPr="00CF5B20">
        <w:rPr>
          <w:rFonts w:ascii="Arial" w:hAnsi="Arial" w:cs="Arial"/>
        </w:rPr>
        <w:t xml:space="preserve"> = -163.6733863001;</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5</w:t>
      </w:r>
      <w:r w:rsidRPr="00CF5B20">
        <w:rPr>
          <w:rFonts w:ascii="Arial" w:hAnsi="Arial" w:cs="Arial"/>
        </w:rPr>
        <w:t xml:space="preserve"> = 191.0335685249;</w:t>
      </w:r>
      <w:r w:rsidRPr="00CF5B20">
        <w:rPr>
          <w:rFonts w:ascii="Arial" w:hAnsi="Arial" w:cs="Arial"/>
        </w:rPr>
        <w:tab/>
      </w:r>
    </w:p>
    <w:p w14:paraId="770FEAF8" w14:textId="77777777" w:rsidR="00CB2C87" w:rsidRPr="00CF5B20" w:rsidRDefault="00CB2C87" w:rsidP="00CB2C87">
      <w:pPr>
        <w:jc w:val="both"/>
        <w:rPr>
          <w:rFonts w:ascii="Arial" w:hAnsi="Arial" w:cs="Arial"/>
        </w:rPr>
      </w:pPr>
      <w:r w:rsidRPr="00CF5B20">
        <w:rPr>
          <w:rFonts w:ascii="Arial" w:hAnsi="Arial" w:cs="Arial"/>
        </w:rPr>
        <w:t>a</w:t>
      </w:r>
      <w:r w:rsidRPr="00CF5B20">
        <w:rPr>
          <w:rFonts w:ascii="Arial" w:hAnsi="Arial" w:cs="Arial"/>
          <w:vertAlign w:val="subscript"/>
        </w:rPr>
        <w:t>6</w:t>
      </w:r>
      <w:r w:rsidRPr="00CF5B20">
        <w:rPr>
          <w:rFonts w:ascii="Arial" w:hAnsi="Arial" w:cs="Arial"/>
        </w:rPr>
        <w:t xml:space="preserve"> = -62.4996387484;</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7</w:t>
      </w:r>
      <w:r w:rsidRPr="00CF5B20">
        <w:rPr>
          <w:rFonts w:ascii="Arial" w:hAnsi="Arial" w:cs="Arial"/>
        </w:rPr>
        <w:t xml:space="preserve"> = 5.8410089218;</w:t>
      </w:r>
      <w:r w:rsidRPr="00CF5B20">
        <w:rPr>
          <w:rFonts w:ascii="Arial" w:hAnsi="Arial" w:cs="Arial"/>
        </w:rPr>
        <w:tab/>
      </w:r>
      <w:r w:rsidRPr="00CF5B20">
        <w:rPr>
          <w:rFonts w:ascii="Arial" w:hAnsi="Arial" w:cs="Arial"/>
        </w:rPr>
        <w:tab/>
        <w:t>a</w:t>
      </w:r>
      <w:r w:rsidRPr="00CF5B20">
        <w:rPr>
          <w:rFonts w:ascii="Arial" w:hAnsi="Arial" w:cs="Arial"/>
          <w:vertAlign w:val="subscript"/>
        </w:rPr>
        <w:t>8</w:t>
      </w:r>
      <w:r w:rsidRPr="00CF5B20">
        <w:rPr>
          <w:rFonts w:ascii="Arial" w:hAnsi="Arial" w:cs="Arial"/>
        </w:rPr>
        <w:t xml:space="preserve"> = 97.6547235155;</w:t>
      </w:r>
      <w:r w:rsidRPr="00CF5B20">
        <w:rPr>
          <w:rFonts w:ascii="Arial" w:hAnsi="Arial" w:cs="Arial"/>
        </w:rPr>
        <w:tab/>
      </w:r>
    </w:p>
    <w:p w14:paraId="38B6215B" w14:textId="77777777" w:rsidR="00CB2C87" w:rsidRPr="00CF5B20" w:rsidRDefault="00CB2C87" w:rsidP="00CB2C87">
      <w:pPr>
        <w:jc w:val="both"/>
        <w:rPr>
          <w:rFonts w:ascii="Arial" w:hAnsi="Arial" w:cs="Arial"/>
        </w:rPr>
      </w:pPr>
      <w:r w:rsidRPr="00CF5B20">
        <w:rPr>
          <w:rFonts w:ascii="Arial" w:hAnsi="Arial" w:cs="Arial"/>
        </w:rPr>
        <w:t>a</w:t>
      </w:r>
      <w:r w:rsidRPr="00CF5B20">
        <w:rPr>
          <w:rFonts w:ascii="Arial" w:hAnsi="Arial" w:cs="Arial"/>
          <w:vertAlign w:val="subscript"/>
        </w:rPr>
        <w:t>9</w:t>
      </w:r>
      <w:r w:rsidRPr="00CF5B20">
        <w:rPr>
          <w:rFonts w:ascii="Arial" w:hAnsi="Arial" w:cs="Arial"/>
        </w:rPr>
        <w:t xml:space="preserve"> = -113.1129624657;</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10</w:t>
      </w:r>
      <w:r w:rsidRPr="00CF5B20">
        <w:rPr>
          <w:rFonts w:ascii="Arial" w:hAnsi="Arial" w:cs="Arial"/>
        </w:rPr>
        <w:t xml:space="preserve"> = 36.7059840310;</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11</w:t>
      </w:r>
      <w:r w:rsidRPr="00CF5B20">
        <w:rPr>
          <w:rFonts w:ascii="Arial" w:hAnsi="Arial" w:cs="Arial"/>
        </w:rPr>
        <w:t xml:space="preserve"> = -3.4190284761;</w:t>
      </w:r>
    </w:p>
    <w:p w14:paraId="3E2A843D" w14:textId="77777777" w:rsidR="00CB2C87" w:rsidRPr="00CF5B20" w:rsidRDefault="00CB2C87" w:rsidP="00CB2C87">
      <w:pPr>
        <w:jc w:val="both"/>
        <w:rPr>
          <w:rFonts w:ascii="Arial" w:hAnsi="Arial" w:cs="Arial"/>
        </w:rPr>
      </w:pPr>
      <w:r w:rsidRPr="00CF5B20">
        <w:rPr>
          <w:rFonts w:ascii="Arial" w:hAnsi="Arial" w:cs="Arial"/>
        </w:rPr>
        <w:t>a</w:t>
      </w:r>
      <w:r w:rsidRPr="00CF5B20">
        <w:rPr>
          <w:rFonts w:ascii="Arial" w:hAnsi="Arial" w:cs="Arial"/>
          <w:vertAlign w:val="subscript"/>
        </w:rPr>
        <w:t>12</w:t>
      </w:r>
      <w:r w:rsidRPr="00CF5B20">
        <w:rPr>
          <w:rFonts w:ascii="Arial" w:hAnsi="Arial" w:cs="Arial"/>
        </w:rPr>
        <w:t xml:space="preserve"> = -19.3223868796;</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13</w:t>
      </w:r>
      <w:r w:rsidRPr="00CF5B20">
        <w:rPr>
          <w:rFonts w:ascii="Arial" w:hAnsi="Arial" w:cs="Arial"/>
        </w:rPr>
        <w:t xml:space="preserve"> = 22.3090355383;</w:t>
      </w:r>
      <w:r w:rsidRPr="00CF5B20">
        <w:rPr>
          <w:rFonts w:ascii="Arial" w:hAnsi="Arial" w:cs="Arial"/>
        </w:rPr>
        <w:tab/>
      </w:r>
      <w:r>
        <w:rPr>
          <w:rFonts w:ascii="Arial" w:hAnsi="Arial" w:cs="Arial"/>
        </w:rPr>
        <w:tab/>
      </w:r>
      <w:r w:rsidRPr="00CF5B20">
        <w:rPr>
          <w:rFonts w:ascii="Arial" w:hAnsi="Arial" w:cs="Arial"/>
        </w:rPr>
        <w:t>a</w:t>
      </w:r>
      <w:r w:rsidRPr="00CF5B20">
        <w:rPr>
          <w:rFonts w:ascii="Arial" w:hAnsi="Arial" w:cs="Arial"/>
          <w:vertAlign w:val="subscript"/>
        </w:rPr>
        <w:t>14</w:t>
      </w:r>
      <w:r w:rsidRPr="00CF5B20">
        <w:rPr>
          <w:rFonts w:ascii="Arial" w:hAnsi="Arial" w:cs="Arial"/>
        </w:rPr>
        <w:t xml:space="preserve"> = -7.1937758482;</w:t>
      </w:r>
      <w:r w:rsidRPr="00CF5B20">
        <w:rPr>
          <w:rFonts w:ascii="Arial" w:hAnsi="Arial" w:cs="Arial"/>
        </w:rPr>
        <w:tab/>
      </w:r>
    </w:p>
    <w:p w14:paraId="63838337" w14:textId="001FEC62" w:rsidR="007F7BEA" w:rsidRDefault="00CB2C87" w:rsidP="00CB2C87">
      <w:pPr>
        <w:jc w:val="both"/>
        <w:rPr>
          <w:rFonts w:ascii="Arial" w:hAnsi="Arial" w:cs="Arial"/>
        </w:rPr>
      </w:pPr>
      <w:r w:rsidRPr="00CF5B20">
        <w:rPr>
          <w:rFonts w:ascii="Arial" w:hAnsi="Arial" w:cs="Arial"/>
        </w:rPr>
        <w:t>a</w:t>
      </w:r>
      <w:r w:rsidRPr="00CF5B20">
        <w:rPr>
          <w:rFonts w:ascii="Arial" w:hAnsi="Arial" w:cs="Arial"/>
          <w:vertAlign w:val="subscript"/>
        </w:rPr>
        <w:t>15</w:t>
      </w:r>
      <w:r w:rsidRPr="00CF5B20">
        <w:rPr>
          <w:rFonts w:ascii="Arial" w:hAnsi="Arial" w:cs="Arial"/>
        </w:rPr>
        <w:t xml:space="preserve"> = 0.6681258658.</w:t>
      </w:r>
    </w:p>
    <w:p w14:paraId="474DC6B9" w14:textId="77777777" w:rsidR="0071044F" w:rsidRPr="00CF5B20" w:rsidRDefault="0071044F" w:rsidP="0071044F">
      <w:pPr>
        <w:jc w:val="both"/>
        <w:rPr>
          <w:rFonts w:ascii="Arial" w:hAnsi="Arial" w:cs="Arial"/>
          <w:b/>
          <w:bCs/>
        </w:rPr>
      </w:pPr>
      <w:r w:rsidRPr="00CF5B20">
        <w:rPr>
          <w:rFonts w:ascii="Arial" w:hAnsi="Arial" w:cs="Arial"/>
        </w:rPr>
        <w:t>Similarly, the numerical constants K, X and Y expressed in equation 6 by Lee-Gonzalez-Eakin [7] can be replaced with the optimized values (equations 7, 8 and 9) as follows:</w:t>
      </w:r>
    </w:p>
    <w:p w14:paraId="0DCD76B6" w14:textId="77777777" w:rsidR="0071044F" w:rsidRPr="00CF5B20" w:rsidRDefault="0071044F" w:rsidP="0071044F">
      <w:pPr>
        <w:jc w:val="both"/>
        <w:rPr>
          <w:rFonts w:ascii="Arial" w:hAnsi="Arial" w:cs="Arial"/>
        </w:rPr>
      </w:pPr>
    </w:p>
    <w:p w14:paraId="1E4FCCE1" w14:textId="77777777" w:rsidR="0071044F" w:rsidRPr="00CF5B20" w:rsidRDefault="003E4269" w:rsidP="0071044F">
      <w:pPr>
        <w:ind w:firstLine="720"/>
        <w:jc w:val="both"/>
        <w:rPr>
          <w:rFonts w:ascii="Arial" w:hAnsi="Arial" w:cs="Arial"/>
        </w:rPr>
      </w:pPr>
      <m:oMath>
        <m:sSub>
          <m:sSubPr>
            <m:ctrlPr>
              <w:rPr>
                <w:rFonts w:ascii="Cambria Math" w:hAnsi="Cambria Math" w:cs="Arial"/>
                <w:i/>
                <w:sz w:val="22"/>
              </w:rPr>
            </m:ctrlPr>
          </m:sSubPr>
          <m:e>
            <m:r>
              <w:rPr>
                <w:rFonts w:ascii="Cambria Math" w:hAnsi="Cambria Math" w:cs="Arial"/>
                <w:sz w:val="22"/>
              </w:rPr>
              <m:t>μ</m:t>
            </m:r>
          </m:e>
          <m:sub>
            <m:r>
              <w:rPr>
                <w:rFonts w:ascii="Cambria Math" w:hAnsi="Cambria Math" w:cs="Arial"/>
                <w:sz w:val="22"/>
              </w:rPr>
              <m:t>g</m:t>
            </m:r>
          </m:sub>
        </m:sSub>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10</m:t>
            </m:r>
          </m:e>
          <m:sup>
            <m:r>
              <w:rPr>
                <w:rFonts w:ascii="Cambria Math" w:hAnsi="Cambria Math" w:cs="Arial"/>
                <w:sz w:val="22"/>
              </w:rPr>
              <m:t>-4</m:t>
            </m:r>
          </m:sup>
        </m:sSup>
        <m:r>
          <w:rPr>
            <w:rFonts w:ascii="Cambria Math" w:hAnsi="Cambria Math" w:cs="Arial"/>
            <w:sz w:val="22"/>
          </w:rPr>
          <m:t>K exp</m:t>
        </m:r>
        <m:d>
          <m:dPr>
            <m:begChr m:val="["/>
            <m:endChr m:val="]"/>
            <m:ctrlPr>
              <w:rPr>
                <w:rFonts w:ascii="Cambria Math" w:hAnsi="Cambria Math" w:cs="Arial"/>
                <w:i/>
                <w:sz w:val="22"/>
              </w:rPr>
            </m:ctrlPr>
          </m:dPr>
          <m:e>
            <m:r>
              <w:rPr>
                <w:rFonts w:ascii="Cambria Math" w:hAnsi="Cambria Math" w:cs="Arial"/>
                <w:sz w:val="22"/>
              </w:rPr>
              <m:t>X</m:t>
            </m:r>
            <m:sSup>
              <m:sSupPr>
                <m:ctrlPr>
                  <w:rPr>
                    <w:rFonts w:ascii="Cambria Math" w:hAnsi="Cambria Math" w:cs="Arial"/>
                    <w:i/>
                    <w:sz w:val="22"/>
                  </w:rPr>
                </m:ctrlPr>
              </m:sSupPr>
              <m:e>
                <m:d>
                  <m:dPr>
                    <m:ctrlPr>
                      <w:rPr>
                        <w:rFonts w:ascii="Cambria Math" w:hAnsi="Cambria Math" w:cs="Arial"/>
                        <w:i/>
                        <w:sz w:val="22"/>
                      </w:rPr>
                    </m:ctrlPr>
                  </m:dPr>
                  <m:e>
                    <m:f>
                      <m:fPr>
                        <m:ctrlPr>
                          <w:rPr>
                            <w:rFonts w:ascii="Cambria Math" w:hAnsi="Cambria Math" w:cs="Arial"/>
                            <w:i/>
                            <w:sz w:val="22"/>
                          </w:rPr>
                        </m:ctrlPr>
                      </m:fPr>
                      <m:num>
                        <m:sSub>
                          <m:sSubPr>
                            <m:ctrlPr>
                              <w:rPr>
                                <w:rFonts w:ascii="Cambria Math" w:hAnsi="Cambria Math" w:cs="Arial"/>
                                <w:i/>
                                <w:sz w:val="22"/>
                              </w:rPr>
                            </m:ctrlPr>
                          </m:sSubPr>
                          <m:e>
                            <m:r>
                              <w:rPr>
                                <w:rFonts w:ascii="Cambria Math" w:hAnsi="Cambria Math" w:cs="Arial"/>
                                <w:sz w:val="22"/>
                              </w:rPr>
                              <m:t>ρ</m:t>
                            </m:r>
                          </m:e>
                          <m:sub>
                            <m:r>
                              <w:rPr>
                                <w:rFonts w:ascii="Cambria Math" w:hAnsi="Cambria Math" w:cs="Arial"/>
                                <w:sz w:val="22"/>
                              </w:rPr>
                              <m:t>g</m:t>
                            </m:r>
                          </m:sub>
                        </m:sSub>
                      </m:num>
                      <m:den>
                        <m:r>
                          <w:rPr>
                            <w:rFonts w:ascii="Cambria Math" w:hAnsi="Cambria Math" w:cs="Arial"/>
                            <w:sz w:val="22"/>
                          </w:rPr>
                          <m:t>62.4</m:t>
                        </m:r>
                      </m:den>
                    </m:f>
                  </m:e>
                </m:d>
              </m:e>
              <m:sup>
                <m:r>
                  <w:rPr>
                    <w:rFonts w:ascii="Cambria Math" w:hAnsi="Cambria Math" w:cs="Arial"/>
                    <w:sz w:val="22"/>
                  </w:rPr>
                  <m:t>Y</m:t>
                </m:r>
              </m:sup>
            </m:sSup>
          </m:e>
        </m:d>
      </m:oMath>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r>
      <w:r w:rsidR="0071044F" w:rsidRPr="00CF5B20">
        <w:rPr>
          <w:rFonts w:ascii="Arial" w:eastAsiaTheme="minorEastAsia" w:hAnsi="Arial" w:cs="Arial"/>
        </w:rPr>
        <w:tab/>
        <w:t>6</w:t>
      </w:r>
    </w:p>
    <w:p w14:paraId="7673A662" w14:textId="77777777" w:rsidR="00BC5671" w:rsidRDefault="00BC5671" w:rsidP="00BC5671">
      <w:pPr>
        <w:jc w:val="both"/>
        <w:rPr>
          <w:rFonts w:ascii="Arial" w:hAnsi="Arial" w:cs="Arial"/>
        </w:rPr>
      </w:pPr>
    </w:p>
    <w:p w14:paraId="4DC2E4DA" w14:textId="77777777" w:rsidR="0071044F" w:rsidRPr="00CF5B20" w:rsidRDefault="0071044F" w:rsidP="00BC5671">
      <w:pPr>
        <w:jc w:val="both"/>
        <w:rPr>
          <w:rFonts w:ascii="Arial" w:hAnsi="Arial" w:cs="Arial"/>
        </w:rPr>
      </w:pPr>
      <w:r w:rsidRPr="00CF5B20">
        <w:rPr>
          <w:rFonts w:ascii="Arial" w:hAnsi="Arial" w:cs="Arial"/>
        </w:rPr>
        <w:t>where</w:t>
      </w:r>
      <w:r w:rsidRPr="00CF5B20">
        <w:rPr>
          <w:rFonts w:ascii="Arial" w:hAnsi="Arial" w:cs="Arial"/>
        </w:rPr>
        <w:tab/>
      </w:r>
      <m:oMath>
        <m:r>
          <w:rPr>
            <w:rFonts w:ascii="Cambria Math" w:hAnsi="Cambria Math" w:cs="Arial"/>
            <w:sz w:val="22"/>
          </w:rPr>
          <m:t>K=</m:t>
        </m:r>
        <m:f>
          <m:fPr>
            <m:ctrlPr>
              <w:rPr>
                <w:rFonts w:ascii="Cambria Math" w:hAnsi="Cambria Math" w:cs="Arial"/>
                <w:i/>
                <w:sz w:val="22"/>
              </w:rPr>
            </m:ctrlPr>
          </m:fPr>
          <m:num>
            <m:r>
              <w:rPr>
                <w:rFonts w:ascii="Cambria Math" w:hAnsi="Cambria Math" w:cs="Arial"/>
                <w:sz w:val="22"/>
              </w:rPr>
              <m:t>(9.4+0.02</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T</m:t>
                </m:r>
              </m:e>
              <m:sup>
                <m:r>
                  <w:rPr>
                    <w:rFonts w:ascii="Cambria Math" w:hAnsi="Cambria Math" w:cs="Arial"/>
                    <w:sz w:val="22"/>
                  </w:rPr>
                  <m:t>1.5</m:t>
                </m:r>
              </m:sup>
            </m:sSup>
          </m:num>
          <m:den>
            <m:r>
              <w:rPr>
                <w:rFonts w:ascii="Cambria Math" w:hAnsi="Cambria Math" w:cs="Arial"/>
                <w:sz w:val="22"/>
              </w:rPr>
              <m:t>209+19</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+T</m:t>
            </m:r>
          </m:den>
        </m:f>
      </m:oMath>
      <w:r w:rsidR="00BC5671">
        <w:rPr>
          <w:rFonts w:ascii="Arial" w:hAnsi="Arial" w:cs="Arial"/>
          <w:sz w:val="22"/>
        </w:rPr>
        <w:t>,</w:t>
      </w:r>
      <w:r w:rsidRPr="00CF5B20">
        <w:rPr>
          <w:rFonts w:ascii="Arial" w:eastAsiaTheme="minorEastAsia" w:hAnsi="Arial" w:cs="Arial"/>
        </w:rPr>
        <w:tab/>
      </w:r>
      <m:oMath>
        <m:r>
          <w:rPr>
            <w:rFonts w:ascii="Cambria Math" w:hAnsi="Cambria Math" w:cs="Arial"/>
            <w:sz w:val="22"/>
          </w:rPr>
          <m:t>X=3.5+</m:t>
        </m:r>
        <m:f>
          <m:fPr>
            <m:ctrlPr>
              <w:rPr>
                <w:rFonts w:ascii="Cambria Math" w:hAnsi="Cambria Math" w:cs="Arial"/>
                <w:i/>
                <w:sz w:val="22"/>
              </w:rPr>
            </m:ctrlPr>
          </m:fPr>
          <m:num>
            <m:r>
              <w:rPr>
                <w:rFonts w:ascii="Cambria Math" w:hAnsi="Cambria Math" w:cs="Arial"/>
                <w:sz w:val="22"/>
              </w:rPr>
              <m:t>986</m:t>
            </m:r>
          </m:num>
          <m:den>
            <m:r>
              <w:rPr>
                <w:rFonts w:ascii="Cambria Math" w:hAnsi="Cambria Math" w:cs="Arial"/>
                <w:sz w:val="22"/>
              </w:rPr>
              <m:t>T</m:t>
            </m:r>
          </m:den>
        </m:f>
        <m:r>
          <w:rPr>
            <w:rFonts w:ascii="Cambria Math" w:hAnsi="Cambria Math" w:cs="Arial"/>
            <w:sz w:val="22"/>
          </w:rPr>
          <m:t>+0.01</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oMath>
      <w:r w:rsidR="00BC5671">
        <w:rPr>
          <w:rFonts w:ascii="Arial" w:eastAsiaTheme="minorEastAsia" w:hAnsi="Arial" w:cs="Arial"/>
          <w:sz w:val="22"/>
        </w:rPr>
        <w:t>,</w:t>
      </w:r>
      <w:r w:rsidRPr="00CF5B20">
        <w:rPr>
          <w:rFonts w:ascii="Arial" w:eastAsiaTheme="minorEastAsia" w:hAnsi="Arial" w:cs="Arial"/>
        </w:rPr>
        <w:tab/>
      </w:r>
      <m:oMath>
        <m:r>
          <w:rPr>
            <w:rFonts w:ascii="Cambria Math" w:hAnsi="Cambria Math" w:cs="Arial"/>
            <w:sz w:val="22"/>
          </w:rPr>
          <m:t>Y=2.4-0.2X</m:t>
        </m:r>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p>
    <w:p w14:paraId="48D264B9" w14:textId="77777777" w:rsidR="0071044F" w:rsidRPr="00CF5B20" w:rsidRDefault="003E4269" w:rsidP="0071044F">
      <w:pPr>
        <w:jc w:val="both"/>
        <w:rPr>
          <w:rFonts w:ascii="Arial" w:hAnsi="Arial" w:cs="Arial"/>
        </w:rPr>
      </w:pPr>
      <m:oMath>
        <m:sSub>
          <m:sSubPr>
            <m:ctrlPr>
              <w:rPr>
                <w:rFonts w:ascii="Cambria Math" w:hAnsi="Cambria Math" w:cs="Arial"/>
                <w:i/>
              </w:rPr>
            </m:ctrlPr>
          </m:sSubPr>
          <m:e>
            <m:r>
              <w:rPr>
                <w:rFonts w:ascii="Cambria Math" w:hAnsi="Cambria Math" w:cs="Arial"/>
              </w:rPr>
              <m:t>ρ</m:t>
            </m:r>
          </m:e>
          <m:sub>
            <m:r>
              <w:rPr>
                <w:rFonts w:ascii="Cambria Math" w:hAnsi="Cambria Math" w:cs="Arial"/>
              </w:rPr>
              <m:t>g</m:t>
            </m:r>
          </m:sub>
        </m:sSub>
      </m:oMath>
      <w:r w:rsidR="0071044F" w:rsidRPr="00CF5B20">
        <w:rPr>
          <w:rFonts w:ascii="Arial" w:hAnsi="Arial" w:cs="Arial"/>
        </w:rPr>
        <w:t>= gas density at reservoir pressure and temperature, lb/ft</w:t>
      </w:r>
      <w:r w:rsidR="0071044F" w:rsidRPr="00CF5B20">
        <w:rPr>
          <w:rFonts w:ascii="Arial" w:hAnsi="Arial" w:cs="Arial"/>
          <w:vertAlign w:val="superscript"/>
        </w:rPr>
        <w:t>3</w:t>
      </w:r>
      <w:r w:rsidR="0071044F" w:rsidRPr="00CF5B20">
        <w:rPr>
          <w:rFonts w:ascii="Arial" w:hAnsi="Arial" w:cs="Arial"/>
        </w:rPr>
        <w:t xml:space="preserve">; T = reservoir temperature, °R </w:t>
      </w:r>
    </w:p>
    <w:p w14:paraId="4A6EEBC4" w14:textId="77777777" w:rsidR="0071044F" w:rsidRPr="00CF5B20" w:rsidRDefault="0071044F" w:rsidP="0071044F">
      <w:pPr>
        <w:jc w:val="both"/>
        <w:rPr>
          <w:rFonts w:ascii="Arial" w:hAnsi="Arial" w:cs="Arial"/>
        </w:rPr>
      </w:pPr>
      <w:r w:rsidRPr="00CF5B20">
        <w:rPr>
          <w:rFonts w:ascii="Arial" w:hAnsi="Arial" w:cs="Arial"/>
        </w:rPr>
        <w:t>M</w:t>
      </w:r>
      <w:r w:rsidRPr="00CF5B20">
        <w:rPr>
          <w:rFonts w:ascii="Arial" w:hAnsi="Arial" w:cs="Arial"/>
          <w:vertAlign w:val="subscript"/>
        </w:rPr>
        <w:t>a</w:t>
      </w:r>
      <w:r w:rsidRPr="00CF5B20">
        <w:rPr>
          <w:rFonts w:ascii="Arial" w:hAnsi="Arial" w:cs="Arial"/>
        </w:rPr>
        <w:t xml:space="preserve"> = apparent molecular weight of the gas mixture, </w:t>
      </w:r>
      <w:proofErr w:type="spellStart"/>
      <w:r w:rsidRPr="00CF5B20">
        <w:rPr>
          <w:rFonts w:ascii="Arial" w:hAnsi="Arial" w:cs="Arial"/>
        </w:rPr>
        <w:t>lb</w:t>
      </w:r>
      <w:proofErr w:type="spellEnd"/>
      <w:r w:rsidRPr="00CF5B20">
        <w:rPr>
          <w:rFonts w:ascii="Arial" w:hAnsi="Arial" w:cs="Arial"/>
        </w:rPr>
        <w:t>/</w:t>
      </w:r>
      <w:proofErr w:type="spellStart"/>
      <w:r w:rsidRPr="00CF5B20">
        <w:rPr>
          <w:rFonts w:ascii="Arial" w:hAnsi="Arial" w:cs="Arial"/>
        </w:rPr>
        <w:t>lb</w:t>
      </w:r>
      <w:proofErr w:type="spellEnd"/>
      <w:r w:rsidRPr="00CF5B20">
        <w:rPr>
          <w:rFonts w:ascii="Arial" w:hAnsi="Arial" w:cs="Arial"/>
        </w:rPr>
        <w:t>-mole</w:t>
      </w:r>
    </w:p>
    <w:p w14:paraId="1C57A0E3" w14:textId="77777777" w:rsidR="0071044F" w:rsidRPr="00CF5B20" w:rsidRDefault="0071044F" w:rsidP="0071044F">
      <w:pPr>
        <w:jc w:val="both"/>
        <w:rPr>
          <w:rFonts w:ascii="Arial" w:hAnsi="Arial" w:cs="Arial"/>
        </w:rPr>
      </w:pPr>
    </w:p>
    <w:p w14:paraId="68C3E068" w14:textId="77777777" w:rsidR="0071044F" w:rsidRPr="00CF5B20" w:rsidRDefault="0071044F" w:rsidP="0071044F">
      <w:pPr>
        <w:ind w:firstLine="720"/>
        <w:jc w:val="both"/>
        <w:rPr>
          <w:rFonts w:ascii="Arial" w:hAnsi="Arial" w:cs="Arial"/>
        </w:rPr>
      </w:pPr>
      <w:r w:rsidRPr="00CF5B20">
        <w:rPr>
          <w:rFonts w:ascii="Arial" w:hAnsi="Arial" w:cs="Arial"/>
        </w:rPr>
        <w:tab/>
      </w:r>
      <m:oMath>
        <m:r>
          <w:rPr>
            <w:rFonts w:ascii="Cambria Math" w:hAnsi="Cambria Math" w:cs="Arial"/>
            <w:sz w:val="22"/>
          </w:rPr>
          <m:t>K=</m:t>
        </m:r>
        <m:f>
          <m:fPr>
            <m:ctrlPr>
              <w:rPr>
                <w:rFonts w:ascii="Cambria Math" w:hAnsi="Cambria Math" w:cs="Arial"/>
                <w:i/>
                <w:sz w:val="22"/>
              </w:rPr>
            </m:ctrlPr>
          </m:fPr>
          <m:num>
            <m:r>
              <w:rPr>
                <w:rFonts w:ascii="Cambria Math" w:hAnsi="Cambria Math" w:cs="Arial"/>
                <w:sz w:val="22"/>
              </w:rPr>
              <m:t>(</m:t>
            </m:r>
            <m:r>
              <m:rPr>
                <m:sty m:val="p"/>
              </m:rPr>
              <w:rPr>
                <w:rFonts w:ascii="Cambria Math" w:hAnsi="Cambria Math" w:cs="Arial"/>
                <w:sz w:val="22"/>
              </w:rPr>
              <m:t xml:space="preserve">9.05459 </m:t>
            </m:r>
            <m:r>
              <w:rPr>
                <w:rFonts w:ascii="Cambria Math" w:hAnsi="Cambria Math" w:cs="Arial"/>
                <w:sz w:val="22"/>
              </w:rPr>
              <m:t xml:space="preserve">+ </m:t>
            </m:r>
            <m:r>
              <m:rPr>
                <m:sty m:val="p"/>
              </m:rPr>
              <w:rPr>
                <w:rFonts w:ascii="Cambria Math" w:hAnsi="Cambria Math" w:cs="Arial"/>
                <w:sz w:val="22"/>
              </w:rPr>
              <m:t>0.000314</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m:t>
            </m:r>
            <m:sSup>
              <m:sSupPr>
                <m:ctrlPr>
                  <w:rPr>
                    <w:rFonts w:ascii="Cambria Math" w:hAnsi="Cambria Math" w:cs="Arial"/>
                    <w:i/>
                    <w:sz w:val="22"/>
                  </w:rPr>
                </m:ctrlPr>
              </m:sSupPr>
              <m:e>
                <m:r>
                  <w:rPr>
                    <w:rFonts w:ascii="Cambria Math" w:hAnsi="Cambria Math" w:cs="Arial"/>
                    <w:sz w:val="22"/>
                  </w:rPr>
                  <m:t>T</m:t>
                </m:r>
              </m:e>
              <m:sup>
                <m:r>
                  <m:rPr>
                    <m:sty m:val="p"/>
                  </m:rPr>
                  <w:rPr>
                    <w:rFonts w:ascii="Cambria Math" w:hAnsi="Cambria Math" w:cs="Arial"/>
                    <w:sz w:val="22"/>
                  </w:rPr>
                  <m:t>1.513196</m:t>
                </m:r>
              </m:sup>
            </m:sSup>
          </m:num>
          <m:den>
            <m:r>
              <m:rPr>
                <m:sty m:val="p"/>
              </m:rPr>
              <w:rPr>
                <w:rFonts w:ascii="Cambria Math" w:hAnsi="Cambria Math" w:cs="Arial"/>
                <w:sz w:val="22"/>
              </w:rPr>
              <m:t>273.41738</m:t>
            </m:r>
            <m:r>
              <w:rPr>
                <w:rFonts w:ascii="Cambria Math" w:hAnsi="Cambria Math" w:cs="Arial"/>
                <w:sz w:val="22"/>
              </w:rPr>
              <m:t>+</m:t>
            </m:r>
            <m:r>
              <m:rPr>
                <m:sty m:val="p"/>
              </m:rPr>
              <w:rPr>
                <w:rFonts w:ascii="Cambria Math" w:hAnsi="Cambria Math" w:cs="Arial"/>
                <w:sz w:val="22"/>
              </w:rPr>
              <m:t>22.24694</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r>
              <w:rPr>
                <w:rFonts w:ascii="Cambria Math" w:hAnsi="Cambria Math" w:cs="Arial"/>
                <w:sz w:val="22"/>
              </w:rPr>
              <m:t>+T</m:t>
            </m:r>
          </m:den>
        </m:f>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t>7</w:t>
      </w:r>
    </w:p>
    <w:p w14:paraId="3D84DB9C" w14:textId="77777777" w:rsidR="0071044F" w:rsidRPr="00CF5B20" w:rsidRDefault="0071044F" w:rsidP="0071044F">
      <w:pPr>
        <w:ind w:left="720" w:firstLine="720"/>
        <w:jc w:val="both"/>
        <w:rPr>
          <w:rFonts w:ascii="Arial" w:hAnsi="Arial" w:cs="Arial"/>
        </w:rPr>
      </w:pPr>
      <m:oMath>
        <m:r>
          <w:rPr>
            <w:rFonts w:ascii="Cambria Math" w:hAnsi="Cambria Math" w:cs="Arial"/>
            <w:sz w:val="22"/>
          </w:rPr>
          <m:t>X=3.583696+</m:t>
        </m:r>
        <m:f>
          <m:fPr>
            <m:ctrlPr>
              <w:rPr>
                <w:rFonts w:ascii="Cambria Math" w:hAnsi="Cambria Math" w:cs="Arial"/>
                <w:i/>
                <w:sz w:val="22"/>
              </w:rPr>
            </m:ctrlPr>
          </m:fPr>
          <m:num>
            <m:r>
              <m:rPr>
                <m:sty m:val="p"/>
              </m:rPr>
              <w:rPr>
                <w:rFonts w:ascii="Cambria Math" w:hAnsi="Cambria Math" w:cs="Arial"/>
                <w:sz w:val="22"/>
              </w:rPr>
              <m:t>959.33534</m:t>
            </m:r>
          </m:num>
          <m:den>
            <m:r>
              <w:rPr>
                <w:rFonts w:ascii="Cambria Math" w:hAnsi="Cambria Math" w:cs="Arial"/>
                <w:sz w:val="22"/>
              </w:rPr>
              <m:t>T</m:t>
            </m:r>
          </m:den>
        </m:f>
        <m:r>
          <w:rPr>
            <w:rFonts w:ascii="Cambria Math" w:hAnsi="Cambria Math" w:cs="Arial"/>
            <w:sz w:val="22"/>
          </w:rPr>
          <m:t>+</m:t>
        </m:r>
        <m:r>
          <m:rPr>
            <m:sty m:val="p"/>
          </m:rPr>
          <w:rPr>
            <w:rFonts w:ascii="Cambria Math" w:hAnsi="Cambria Math" w:cs="Arial"/>
            <w:sz w:val="22"/>
          </w:rPr>
          <m:t>0.015478</m:t>
        </m:r>
        <m:sSub>
          <m:sSubPr>
            <m:ctrlPr>
              <w:rPr>
                <w:rFonts w:ascii="Cambria Math" w:hAnsi="Cambria Math" w:cs="Arial"/>
                <w:i/>
                <w:sz w:val="22"/>
              </w:rPr>
            </m:ctrlPr>
          </m:sSubPr>
          <m:e>
            <m:r>
              <w:rPr>
                <w:rFonts w:ascii="Cambria Math" w:hAnsi="Cambria Math" w:cs="Arial"/>
                <w:sz w:val="22"/>
              </w:rPr>
              <m:t>M</m:t>
            </m:r>
          </m:e>
          <m:sub>
            <m:r>
              <w:rPr>
                <w:rFonts w:ascii="Cambria Math" w:hAnsi="Cambria Math" w:cs="Arial"/>
                <w:sz w:val="22"/>
              </w:rPr>
              <m:t>a</m:t>
            </m:r>
          </m:sub>
        </m:sSub>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t>8</w:t>
      </w:r>
    </w:p>
    <w:p w14:paraId="2CE9C3BE" w14:textId="77777777" w:rsidR="0071044F" w:rsidRPr="00CF5B20" w:rsidRDefault="0071044F" w:rsidP="0071044F">
      <w:pPr>
        <w:ind w:left="720" w:firstLine="720"/>
        <w:jc w:val="both"/>
        <w:rPr>
          <w:rFonts w:ascii="Arial" w:eastAsiaTheme="minorEastAsia" w:hAnsi="Arial" w:cs="Arial"/>
        </w:rPr>
      </w:pPr>
      <m:oMath>
        <m:r>
          <w:rPr>
            <w:rFonts w:ascii="Cambria Math" w:hAnsi="Cambria Math" w:cs="Arial"/>
            <w:sz w:val="22"/>
          </w:rPr>
          <m:t>Y=</m:t>
        </m:r>
        <m:r>
          <m:rPr>
            <m:sty m:val="p"/>
          </m:rPr>
          <w:rPr>
            <w:rFonts w:ascii="Cambria Math" w:hAnsi="Cambria Math" w:cs="Arial"/>
            <w:sz w:val="22"/>
          </w:rPr>
          <m:t>2.54243</m:t>
        </m:r>
        <m:r>
          <w:rPr>
            <w:rFonts w:ascii="Cambria Math" w:hAnsi="Cambria Math" w:cs="Arial"/>
            <w:sz w:val="22"/>
          </w:rPr>
          <m:t>-</m:t>
        </m:r>
        <m:r>
          <m:rPr>
            <m:sty m:val="p"/>
          </m:rPr>
          <w:rPr>
            <w:rFonts w:ascii="Cambria Math" w:hAnsi="Cambria Math" w:cs="Arial"/>
            <w:sz w:val="22"/>
          </w:rPr>
          <m:t>0.223175</m:t>
        </m:r>
        <m:r>
          <w:rPr>
            <w:rFonts w:ascii="Cambria Math" w:hAnsi="Cambria Math" w:cs="Arial"/>
            <w:sz w:val="22"/>
          </w:rPr>
          <m:t>X</m:t>
        </m:r>
      </m:oMath>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r>
      <w:r w:rsidRPr="00CF5B20">
        <w:rPr>
          <w:rFonts w:ascii="Arial" w:eastAsiaTheme="minorEastAsia" w:hAnsi="Arial" w:cs="Arial"/>
        </w:rPr>
        <w:tab/>
        <w:t>9</w:t>
      </w:r>
    </w:p>
    <w:p w14:paraId="6C6A6B3D" w14:textId="77777777" w:rsidR="00635AF7" w:rsidRDefault="00635AF7" w:rsidP="00635AF7">
      <w:pPr>
        <w:jc w:val="both"/>
        <w:rPr>
          <w:rFonts w:ascii="Arial" w:hAnsi="Arial" w:cs="Arial"/>
        </w:rPr>
      </w:pPr>
    </w:p>
    <w:p w14:paraId="17E5615C" w14:textId="32A2C612" w:rsidR="00635AF7" w:rsidRPr="00CF5B20" w:rsidRDefault="00635AF7" w:rsidP="00635AF7">
      <w:pPr>
        <w:jc w:val="both"/>
        <w:rPr>
          <w:rFonts w:ascii="Arial" w:hAnsi="Arial" w:cs="Arial"/>
        </w:rPr>
      </w:pPr>
      <w:r w:rsidRPr="00635AF7">
        <w:rPr>
          <w:rFonts w:ascii="Arial" w:hAnsi="Arial" w:cs="Arial"/>
        </w:rPr>
        <w:t>Additionally, performance metrics for the training and validation datasets reflect that the model optimization process maintained internal consistency within the used data. Nevertheless, proper caution must be taken when interpreting the extremely high values of the reported coefficient of determination because these values may also mirror high flexibility of the optimized models when applied to a new but thermodynamically related dataset. More importantly, the predictive performance of the calibrated models cannot be guaranteed outside the gas composition, temperature, and pressure range used in the model optimization without further independent testing within the study area.</w:t>
      </w:r>
    </w:p>
    <w:p w14:paraId="5824851C" w14:textId="77777777" w:rsidR="00635AF7" w:rsidRPr="00635AF7" w:rsidRDefault="00635AF7" w:rsidP="00635AF7">
      <w:pPr>
        <w:jc w:val="both"/>
        <w:rPr>
          <w:rFonts w:ascii="Arial" w:hAnsi="Arial" w:cs="Arial"/>
          <w:sz w:val="22"/>
          <w:szCs w:val="22"/>
        </w:rPr>
      </w:pPr>
      <w:r w:rsidRPr="00635AF7">
        <w:rPr>
          <w:rFonts w:ascii="Arial" w:hAnsi="Arial" w:cs="Arial"/>
          <w:b/>
          <w:bCs/>
          <w:sz w:val="22"/>
          <w:szCs w:val="22"/>
        </w:rPr>
        <w:t>3.3 Model Validation, Generalization, and Overfitting Considerations</w:t>
      </w:r>
    </w:p>
    <w:p w14:paraId="0C137A3D" w14:textId="77777777" w:rsidR="00635AF7" w:rsidRPr="00635AF7" w:rsidRDefault="00635AF7" w:rsidP="00635AF7">
      <w:pPr>
        <w:jc w:val="both"/>
        <w:rPr>
          <w:rFonts w:ascii="Arial" w:hAnsi="Arial" w:cs="Arial"/>
        </w:rPr>
      </w:pPr>
      <w:r w:rsidRPr="00635AF7">
        <w:rPr>
          <w:rFonts w:ascii="Arial" w:hAnsi="Arial" w:cs="Arial"/>
        </w:rPr>
        <w:t>The model validation technique used shows that the optimized gas viscosity correlations retained the predictive accuracy of the training dataset for the validation dataset rather than memorizing it. However, this does not establish universal generalizability of the optimized parameters because they are region-specific, and usage beyond this region should be approached cautiously.</w:t>
      </w:r>
    </w:p>
    <w:p w14:paraId="0B15F2AD" w14:textId="29957309" w:rsidR="00635AF7" w:rsidRPr="00635AF7" w:rsidRDefault="00635AF7" w:rsidP="00635AF7">
      <w:pPr>
        <w:jc w:val="both"/>
        <w:rPr>
          <w:rFonts w:ascii="Arial" w:hAnsi="Arial" w:cs="Arial"/>
        </w:rPr>
      </w:pPr>
      <w:r w:rsidRPr="00635AF7">
        <w:rPr>
          <w:rFonts w:ascii="Arial" w:hAnsi="Arial" w:cs="Arial"/>
        </w:rPr>
        <w:t>Calibration of nonlinear models with multi-parameters is potentially prone to overfitting, especially when the coefficient of determination obtained is extremely high. The optimized version of the Carr et al.</w:t>
      </w:r>
      <w:r>
        <w:rPr>
          <w:rFonts w:ascii="Arial" w:hAnsi="Arial" w:cs="Arial"/>
        </w:rPr>
        <w:t>-</w:t>
      </w:r>
      <w:r w:rsidRPr="00635AF7">
        <w:rPr>
          <w:rFonts w:ascii="Arial" w:hAnsi="Arial" w:cs="Arial"/>
        </w:rPr>
        <w:t>Dempsey</w:t>
      </w:r>
      <w:r>
        <w:rPr>
          <w:rFonts w:ascii="Arial" w:hAnsi="Arial" w:cs="Arial"/>
        </w:rPr>
        <w:t>-</w:t>
      </w:r>
      <w:r w:rsidRPr="00635AF7">
        <w:rPr>
          <w:rFonts w:ascii="Arial" w:hAnsi="Arial" w:cs="Arial"/>
        </w:rPr>
        <w:t>Standing and Lee</w:t>
      </w:r>
      <w:r>
        <w:rPr>
          <w:rFonts w:ascii="Arial" w:hAnsi="Arial" w:cs="Arial"/>
        </w:rPr>
        <w:t>-G</w:t>
      </w:r>
      <w:r w:rsidRPr="00635AF7">
        <w:rPr>
          <w:rFonts w:ascii="Arial" w:hAnsi="Arial" w:cs="Arial"/>
        </w:rPr>
        <w:t>onzalez</w:t>
      </w:r>
      <w:r>
        <w:rPr>
          <w:rFonts w:ascii="Arial" w:hAnsi="Arial" w:cs="Arial"/>
        </w:rPr>
        <w:t>-</w:t>
      </w:r>
      <w:r w:rsidRPr="00635AF7">
        <w:rPr>
          <w:rFonts w:ascii="Arial" w:hAnsi="Arial" w:cs="Arial"/>
        </w:rPr>
        <w:t xml:space="preserve">Eakin correlations should be regarded as region-specific gas viscosity predictive tools rather than universal replacements for the original version of these models. The robustness of these models can be strengthened </w:t>
      </w:r>
      <w:r w:rsidRPr="00635AF7">
        <w:rPr>
          <w:rFonts w:ascii="Arial" w:hAnsi="Arial" w:cs="Arial"/>
        </w:rPr>
        <w:lastRenderedPageBreak/>
        <w:t>by testing them against datasets outside the used temperature and pressure range, gas composition, and basis.</w:t>
      </w:r>
    </w:p>
    <w:p w14:paraId="3DFB994C" w14:textId="77777777" w:rsidR="00635AF7" w:rsidRPr="00635AF7" w:rsidRDefault="00635AF7" w:rsidP="00635AF7">
      <w:pPr>
        <w:jc w:val="both"/>
        <w:rPr>
          <w:rFonts w:ascii="Arial" w:hAnsi="Arial" w:cs="Arial"/>
          <w:sz w:val="22"/>
          <w:szCs w:val="22"/>
        </w:rPr>
      </w:pPr>
      <w:r w:rsidRPr="00635AF7">
        <w:rPr>
          <w:rFonts w:ascii="Arial" w:hAnsi="Arial" w:cs="Arial"/>
          <w:b/>
          <w:bCs/>
          <w:sz w:val="22"/>
          <w:szCs w:val="22"/>
        </w:rPr>
        <w:t>3.4 Comparison with Region-Specific Correlations</w:t>
      </w:r>
    </w:p>
    <w:p w14:paraId="7834C5EF" w14:textId="77777777" w:rsidR="00635AF7" w:rsidRDefault="00635AF7" w:rsidP="00635AF7">
      <w:pPr>
        <w:jc w:val="both"/>
        <w:rPr>
          <w:rFonts w:ascii="Arial" w:hAnsi="Arial" w:cs="Arial"/>
        </w:rPr>
      </w:pPr>
      <w:r w:rsidRPr="00635AF7">
        <w:rPr>
          <w:rFonts w:ascii="Arial" w:hAnsi="Arial" w:cs="Arial"/>
        </w:rPr>
        <w:t>To have a standardized benchmark, the Azubuike et al. correlation developed for the Niger Delta gas system was evaluated against the same experimental dataset. As shown in Figure 4, the correlation gave a moderate predictive accuracy, with an R² of 0.5803, an RMSE of 0.00216, and an MAE of 0.00246. The predictive accuracy of the original and calibrated industry-standard correlations outperformed that of Azubuike et al.</w:t>
      </w:r>
    </w:p>
    <w:p w14:paraId="4E511BB1" w14:textId="77777777" w:rsidR="00635AF7" w:rsidRPr="00635AF7" w:rsidRDefault="00635AF7" w:rsidP="00635AF7">
      <w:pPr>
        <w:jc w:val="both"/>
        <w:rPr>
          <w:rFonts w:ascii="Arial" w:hAnsi="Arial" w:cs="Arial"/>
        </w:rPr>
      </w:pPr>
    </w:p>
    <w:p w14:paraId="16C4C050" w14:textId="77777777" w:rsidR="0071044F" w:rsidRPr="00CF5B20" w:rsidRDefault="0071044F" w:rsidP="0071044F">
      <w:pPr>
        <w:jc w:val="center"/>
        <w:rPr>
          <w:rFonts w:ascii="Arial" w:hAnsi="Arial" w:cs="Arial"/>
        </w:rPr>
      </w:pPr>
      <w:r w:rsidRPr="00CF5B20">
        <w:rPr>
          <w:rFonts w:ascii="Arial" w:hAnsi="Arial" w:cs="Arial"/>
          <w:b/>
          <w:bCs/>
          <w:noProof/>
        </w:rPr>
        <w:drawing>
          <wp:inline distT="0" distB="0" distL="0" distR="0" wp14:anchorId="19EDA620" wp14:editId="4D0AD365">
            <wp:extent cx="4695535" cy="2457450"/>
            <wp:effectExtent l="0" t="0" r="0" b="0"/>
            <wp:docPr id="897188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8890" name="Picture 89718890"/>
                    <pic:cNvPicPr/>
                  </pic:nvPicPr>
                  <pic:blipFill>
                    <a:blip r:embed="rId29">
                      <a:extLst>
                        <a:ext uri="{28A0092B-C50C-407E-A947-70E740481C1C}">
                          <a14:useLocalDpi xmlns:a14="http://schemas.microsoft.com/office/drawing/2010/main" val="0"/>
                        </a:ext>
                      </a:extLst>
                    </a:blip>
                    <a:stretch>
                      <a:fillRect/>
                    </a:stretch>
                  </pic:blipFill>
                  <pic:spPr>
                    <a:xfrm>
                      <a:off x="0" y="0"/>
                      <a:ext cx="4748319" cy="2485075"/>
                    </a:xfrm>
                    <a:prstGeom prst="rect">
                      <a:avLst/>
                    </a:prstGeom>
                  </pic:spPr>
                </pic:pic>
              </a:graphicData>
            </a:graphic>
          </wp:inline>
        </w:drawing>
      </w:r>
    </w:p>
    <w:p w14:paraId="49214DFB" w14:textId="7866CD97" w:rsidR="00AD7689" w:rsidRPr="00635AF7" w:rsidRDefault="0071044F" w:rsidP="00102CB0">
      <w:pPr>
        <w:jc w:val="center"/>
        <w:rPr>
          <w:rFonts w:ascii="Arial" w:hAnsi="Arial" w:cs="Arial"/>
        </w:rPr>
      </w:pPr>
      <w:bookmarkStart w:id="10" w:name="_Hlk211068621"/>
      <w:r w:rsidRPr="00CF5B20">
        <w:rPr>
          <w:rFonts w:ascii="Arial" w:hAnsi="Arial" w:cs="Arial"/>
        </w:rPr>
        <w:t xml:space="preserve">Figure 4: Actual Versus Predicted Gas Viscosity for Azubuike et al. </w:t>
      </w:r>
      <w:r w:rsidRPr="00CF5B20">
        <w:rPr>
          <w:rFonts w:ascii="Arial" w:hAnsi="Arial" w:cs="Arial"/>
          <w:vertAlign w:val="superscript"/>
        </w:rPr>
        <w:t>[10]</w:t>
      </w:r>
      <w:bookmarkEnd w:id="10"/>
    </w:p>
    <w:p w14:paraId="0D53C0C0" w14:textId="77777777" w:rsidR="00E053D0" w:rsidRDefault="00E053D0" w:rsidP="00441B6F">
      <w:pPr>
        <w:pStyle w:val="Body"/>
        <w:spacing w:after="0"/>
        <w:rPr>
          <w:rFonts w:ascii="Arial" w:hAnsi="Arial" w:cs="Arial"/>
        </w:rPr>
      </w:pPr>
    </w:p>
    <w:p w14:paraId="61164F67" w14:textId="77777777" w:rsidR="008A2E1D" w:rsidRPr="00CF5B20" w:rsidRDefault="008A2E1D" w:rsidP="008A2E1D">
      <w:pPr>
        <w:jc w:val="center"/>
        <w:rPr>
          <w:rFonts w:ascii="Arial" w:hAnsi="Arial" w:cs="Arial"/>
        </w:rPr>
      </w:pPr>
      <w:r w:rsidRPr="00CF5B20">
        <w:rPr>
          <w:rFonts w:ascii="Arial" w:hAnsi="Arial" w:cs="Arial"/>
          <w:noProof/>
        </w:rPr>
        <w:drawing>
          <wp:inline distT="0" distB="0" distL="0" distR="0" wp14:anchorId="335CA541" wp14:editId="043C871C">
            <wp:extent cx="5943600" cy="2695575"/>
            <wp:effectExtent l="0" t="0" r="0" b="9525"/>
            <wp:docPr id="192270395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03950" name="Picture 1922703950"/>
                    <pic:cNvPicPr/>
                  </pic:nvPicPr>
                  <pic:blipFill>
                    <a:blip r:embed="rId30">
                      <a:extLst>
                        <a:ext uri="{28A0092B-C50C-407E-A947-70E740481C1C}">
                          <a14:useLocalDpi xmlns:a14="http://schemas.microsoft.com/office/drawing/2010/main" val="0"/>
                        </a:ext>
                      </a:extLst>
                    </a:blip>
                    <a:stretch>
                      <a:fillRect/>
                    </a:stretch>
                  </pic:blipFill>
                  <pic:spPr>
                    <a:xfrm>
                      <a:off x="0" y="0"/>
                      <a:ext cx="5943600" cy="2695575"/>
                    </a:xfrm>
                    <a:prstGeom prst="rect">
                      <a:avLst/>
                    </a:prstGeom>
                  </pic:spPr>
                </pic:pic>
              </a:graphicData>
            </a:graphic>
          </wp:inline>
        </w:drawing>
      </w:r>
    </w:p>
    <w:p w14:paraId="2FF11177" w14:textId="77777777" w:rsidR="008A2E1D" w:rsidRDefault="008A2E1D" w:rsidP="008A2E1D">
      <w:pPr>
        <w:jc w:val="center"/>
        <w:rPr>
          <w:rFonts w:ascii="Arial" w:hAnsi="Arial" w:cs="Arial"/>
        </w:rPr>
      </w:pPr>
      <w:bookmarkStart w:id="11" w:name="_Hlk211068651"/>
      <w:r w:rsidRPr="00CF5B20">
        <w:rPr>
          <w:rFonts w:ascii="Arial" w:hAnsi="Arial" w:cs="Arial"/>
        </w:rPr>
        <w:t xml:space="preserve">Figure </w:t>
      </w:r>
      <w:r>
        <w:rPr>
          <w:rFonts w:ascii="Arial" w:hAnsi="Arial" w:cs="Arial"/>
        </w:rPr>
        <w:t>5</w:t>
      </w:r>
      <w:r w:rsidRPr="00CF5B20">
        <w:rPr>
          <w:rFonts w:ascii="Arial" w:hAnsi="Arial" w:cs="Arial"/>
        </w:rPr>
        <w:t>a: MAE Comparison of the Original and Optimized Model and Azubuike Correlation</w:t>
      </w:r>
    </w:p>
    <w:p w14:paraId="33BDE92B" w14:textId="77777777" w:rsidR="00102CB0" w:rsidRDefault="00102CB0" w:rsidP="00102CB0">
      <w:pPr>
        <w:jc w:val="both"/>
        <w:rPr>
          <w:rFonts w:ascii="Arial" w:hAnsi="Arial" w:cs="Arial"/>
        </w:rPr>
      </w:pPr>
    </w:p>
    <w:p w14:paraId="61655CC1" w14:textId="77777777" w:rsidR="00102CB0" w:rsidRPr="00AD7689" w:rsidRDefault="00102CB0" w:rsidP="00102CB0">
      <w:pPr>
        <w:jc w:val="both"/>
        <w:rPr>
          <w:rFonts w:ascii="Arial" w:hAnsi="Arial" w:cs="Arial"/>
        </w:rPr>
      </w:pPr>
      <w:r w:rsidRPr="00635AF7">
        <w:rPr>
          <w:rFonts w:ascii="Arial" w:hAnsi="Arial" w:cs="Arial"/>
        </w:rPr>
        <w:t xml:space="preserve">Figures 5(a–c) provide a comparative visualization of mean absolute error, root mean squared error, and the coefficient of determination across all evaluated models. The outcomes show that leveraging robust existing global correlations and improving their predictive accuracy through parameter calibration result in better performance of the global correlations in a specific region. This highlights that while region-specific models have relevance, their </w:t>
      </w:r>
      <w:r w:rsidRPr="00635AF7">
        <w:rPr>
          <w:rFonts w:ascii="Arial" w:hAnsi="Arial" w:cs="Arial"/>
        </w:rPr>
        <w:lastRenderedPageBreak/>
        <w:t>predictive strength may depend on the representativeness and quantity of the dataset used in their development.</w:t>
      </w:r>
      <w:r>
        <w:rPr>
          <w:rFonts w:ascii="Arial" w:hAnsi="Arial" w:cs="Arial"/>
        </w:rPr>
        <w:t xml:space="preserve"> </w:t>
      </w:r>
      <w:r w:rsidRPr="007335BC">
        <w:t xml:space="preserve">The discoveries of this study validate that parameter calibration </w:t>
      </w:r>
      <w:r>
        <w:t>of model through nonlinear optimization algorithm gives</w:t>
      </w:r>
      <w:r w:rsidRPr="007335BC">
        <w:t xml:space="preserve"> a </w:t>
      </w:r>
      <w:r>
        <w:t>realistic</w:t>
      </w:r>
      <w:r w:rsidRPr="007335BC">
        <w:t xml:space="preserve"> and effective </w:t>
      </w:r>
      <w:r>
        <w:t>method</w:t>
      </w:r>
      <w:r w:rsidRPr="007335BC">
        <w:t xml:space="preserve"> for </w:t>
      </w:r>
      <w:r>
        <w:t>enhanc</w:t>
      </w:r>
      <w:r w:rsidRPr="007335BC">
        <w:t xml:space="preserve">ing gas viscosity </w:t>
      </w:r>
      <w:r>
        <w:t>estima</w:t>
      </w:r>
      <w:r w:rsidRPr="007335BC">
        <w:t xml:space="preserve">tion in geochemically different basins. </w:t>
      </w:r>
      <w:r>
        <w:t>Instead of modelling an</w:t>
      </w:r>
      <w:r w:rsidRPr="007335BC">
        <w:t xml:space="preserve"> entirely new empirical correlations with limited datasets, </w:t>
      </w:r>
      <w:r>
        <w:t>parameter optimization of</w:t>
      </w:r>
      <w:r w:rsidRPr="007335BC">
        <w:t xml:space="preserve"> established global</w:t>
      </w:r>
      <w:r>
        <w:t xml:space="preserve"> correlation</w:t>
      </w:r>
      <w:r w:rsidRPr="007335BC">
        <w:t>s using</w:t>
      </w:r>
      <w:r>
        <w:t xml:space="preserve"> </w:t>
      </w:r>
      <w:r w:rsidRPr="007335BC">
        <w:t xml:space="preserve">can yield </w:t>
      </w:r>
      <w:r>
        <w:t>better predictive</w:t>
      </w:r>
      <w:r w:rsidRPr="007335BC">
        <w:t xml:space="preserve"> accuracy while </w:t>
      </w:r>
      <w:r>
        <w:t>maintain</w:t>
      </w:r>
      <w:r w:rsidRPr="007335BC">
        <w:t>ing physical interpretability and industry familiarity.</w:t>
      </w:r>
    </w:p>
    <w:p w14:paraId="7A77CFA1" w14:textId="77777777" w:rsidR="00102CB0" w:rsidRPr="00CF5B20" w:rsidRDefault="00102CB0" w:rsidP="00102CB0">
      <w:pPr>
        <w:jc w:val="both"/>
        <w:rPr>
          <w:rFonts w:ascii="Arial" w:hAnsi="Arial" w:cs="Arial"/>
        </w:rPr>
      </w:pPr>
    </w:p>
    <w:p w14:paraId="4E37BD0C" w14:textId="77777777" w:rsidR="008A2E1D" w:rsidRPr="00CF5B20" w:rsidRDefault="008A2E1D" w:rsidP="008A2E1D">
      <w:pPr>
        <w:jc w:val="center"/>
        <w:rPr>
          <w:rFonts w:ascii="Arial" w:hAnsi="Arial" w:cs="Arial"/>
        </w:rPr>
      </w:pPr>
      <w:r w:rsidRPr="00CF5B20">
        <w:rPr>
          <w:rFonts w:ascii="Arial" w:hAnsi="Arial" w:cs="Arial"/>
          <w:noProof/>
        </w:rPr>
        <w:drawing>
          <wp:inline distT="0" distB="0" distL="0" distR="0" wp14:anchorId="2117DE24" wp14:editId="2BB1E1EC">
            <wp:extent cx="5943600" cy="2714625"/>
            <wp:effectExtent l="0" t="0" r="0" b="9525"/>
            <wp:docPr id="10353993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99365" name="Picture 1035399365"/>
                    <pic:cNvPicPr/>
                  </pic:nvPicPr>
                  <pic:blipFill>
                    <a:blip r:embed="rId31">
                      <a:extLst>
                        <a:ext uri="{28A0092B-C50C-407E-A947-70E740481C1C}">
                          <a14:useLocalDpi xmlns:a14="http://schemas.microsoft.com/office/drawing/2010/main" val="0"/>
                        </a:ext>
                      </a:extLst>
                    </a:blip>
                    <a:stretch>
                      <a:fillRect/>
                    </a:stretch>
                  </pic:blipFill>
                  <pic:spPr>
                    <a:xfrm>
                      <a:off x="0" y="0"/>
                      <a:ext cx="5943600" cy="2714625"/>
                    </a:xfrm>
                    <a:prstGeom prst="rect">
                      <a:avLst/>
                    </a:prstGeom>
                  </pic:spPr>
                </pic:pic>
              </a:graphicData>
            </a:graphic>
          </wp:inline>
        </w:drawing>
      </w:r>
    </w:p>
    <w:p w14:paraId="32B86246" w14:textId="08A44F54" w:rsidR="008A2E1D" w:rsidRDefault="008A2E1D" w:rsidP="00102CB0">
      <w:pPr>
        <w:jc w:val="center"/>
        <w:rPr>
          <w:rFonts w:ascii="Arial" w:hAnsi="Arial" w:cs="Arial"/>
        </w:rPr>
      </w:pPr>
      <w:r w:rsidRPr="00CF5B20">
        <w:rPr>
          <w:rFonts w:ascii="Arial" w:hAnsi="Arial" w:cs="Arial"/>
        </w:rPr>
        <w:t xml:space="preserve">Figure </w:t>
      </w:r>
      <w:r>
        <w:rPr>
          <w:rFonts w:ascii="Arial" w:hAnsi="Arial" w:cs="Arial"/>
        </w:rPr>
        <w:t>5</w:t>
      </w:r>
      <w:r w:rsidRPr="00CF5B20">
        <w:rPr>
          <w:rFonts w:ascii="Arial" w:hAnsi="Arial" w:cs="Arial"/>
        </w:rPr>
        <w:t>b: RMSE Comparison of the Original and Optimized Model and Azubuike Correlation</w:t>
      </w:r>
    </w:p>
    <w:p w14:paraId="669EE401" w14:textId="77777777" w:rsidR="008A2E1D" w:rsidRPr="00CF5B20" w:rsidRDefault="008A2E1D" w:rsidP="008A2E1D">
      <w:pPr>
        <w:jc w:val="center"/>
        <w:rPr>
          <w:rFonts w:ascii="Arial" w:hAnsi="Arial" w:cs="Arial"/>
        </w:rPr>
      </w:pPr>
    </w:p>
    <w:p w14:paraId="789DECA0" w14:textId="77777777" w:rsidR="008A2E1D" w:rsidRPr="00CF5B20" w:rsidRDefault="008A2E1D" w:rsidP="008A2E1D">
      <w:pPr>
        <w:jc w:val="center"/>
        <w:rPr>
          <w:rFonts w:ascii="Arial" w:hAnsi="Arial" w:cs="Arial"/>
        </w:rPr>
      </w:pPr>
      <w:r w:rsidRPr="00CF5B20">
        <w:rPr>
          <w:rFonts w:ascii="Arial" w:hAnsi="Arial" w:cs="Arial"/>
          <w:noProof/>
        </w:rPr>
        <w:drawing>
          <wp:inline distT="0" distB="0" distL="0" distR="0" wp14:anchorId="6234E237" wp14:editId="21D73CC3">
            <wp:extent cx="5932805" cy="2819400"/>
            <wp:effectExtent l="0" t="0" r="0" b="0"/>
            <wp:docPr id="91231277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12771" name="Picture 912312771"/>
                    <pic:cNvPicPr/>
                  </pic:nvPicPr>
                  <pic:blipFill>
                    <a:blip r:embed="rId32">
                      <a:extLst>
                        <a:ext uri="{28A0092B-C50C-407E-A947-70E740481C1C}">
                          <a14:useLocalDpi xmlns:a14="http://schemas.microsoft.com/office/drawing/2010/main" val="0"/>
                        </a:ext>
                      </a:extLst>
                    </a:blip>
                    <a:stretch>
                      <a:fillRect/>
                    </a:stretch>
                  </pic:blipFill>
                  <pic:spPr>
                    <a:xfrm>
                      <a:off x="0" y="0"/>
                      <a:ext cx="5949728" cy="2827442"/>
                    </a:xfrm>
                    <a:prstGeom prst="rect">
                      <a:avLst/>
                    </a:prstGeom>
                  </pic:spPr>
                </pic:pic>
              </a:graphicData>
            </a:graphic>
          </wp:inline>
        </w:drawing>
      </w:r>
    </w:p>
    <w:p w14:paraId="5D8BB667" w14:textId="77777777" w:rsidR="008A2E1D" w:rsidRPr="00CF5B20" w:rsidRDefault="008A2E1D" w:rsidP="008A2E1D">
      <w:pPr>
        <w:jc w:val="center"/>
        <w:rPr>
          <w:rFonts w:ascii="Arial" w:hAnsi="Arial" w:cs="Arial"/>
        </w:rPr>
      </w:pPr>
      <w:r w:rsidRPr="00CF5B20">
        <w:rPr>
          <w:rFonts w:ascii="Arial" w:hAnsi="Arial" w:cs="Arial"/>
        </w:rPr>
        <w:t xml:space="preserve">Figure </w:t>
      </w:r>
      <w:r>
        <w:rPr>
          <w:rFonts w:ascii="Arial" w:hAnsi="Arial" w:cs="Arial"/>
        </w:rPr>
        <w:t>5</w:t>
      </w:r>
      <w:r w:rsidRPr="00CF5B20">
        <w:rPr>
          <w:rFonts w:ascii="Arial" w:hAnsi="Arial" w:cs="Arial"/>
        </w:rPr>
        <w:t>c: R</w:t>
      </w:r>
      <w:r w:rsidRPr="00CF5B20">
        <w:rPr>
          <w:rFonts w:ascii="Arial" w:hAnsi="Arial" w:cs="Arial"/>
          <w:vertAlign w:val="superscript"/>
        </w:rPr>
        <w:t>2</w:t>
      </w:r>
      <w:r w:rsidRPr="00CF5B20">
        <w:rPr>
          <w:rFonts w:ascii="Arial" w:hAnsi="Arial" w:cs="Arial"/>
        </w:rPr>
        <w:t xml:space="preserve"> Comparison of the Original and Optimized Model and Azubuike Correlation</w:t>
      </w:r>
    </w:p>
    <w:bookmarkEnd w:id="11"/>
    <w:p w14:paraId="7754D69A"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0CB9BB39" w14:textId="77777777" w:rsidR="00790ADA" w:rsidRPr="00FB3A86" w:rsidRDefault="00790ADA" w:rsidP="00441B6F">
      <w:pPr>
        <w:pStyle w:val="ConcHead"/>
        <w:spacing w:after="0"/>
        <w:jc w:val="both"/>
        <w:rPr>
          <w:rFonts w:ascii="Arial" w:hAnsi="Arial" w:cs="Arial"/>
        </w:rPr>
      </w:pPr>
    </w:p>
    <w:p w14:paraId="4C503520" w14:textId="77777777" w:rsidR="008A2E1D" w:rsidRPr="00CF5B20" w:rsidRDefault="008A2E1D" w:rsidP="008A2E1D">
      <w:pPr>
        <w:jc w:val="both"/>
        <w:rPr>
          <w:rFonts w:ascii="Arial" w:hAnsi="Arial" w:cs="Arial"/>
        </w:rPr>
      </w:pPr>
      <w:r w:rsidRPr="00CF5B20">
        <w:rPr>
          <w:rFonts w:ascii="Arial" w:hAnsi="Arial" w:cs="Arial"/>
        </w:rPr>
        <w:t>This research work successfully calibrated and validated globally accepted industry-standard correlations for predicting natural gas viscosity using Niger Delta field PVT data. The results show</w:t>
      </w:r>
      <w:r>
        <w:rPr>
          <w:rFonts w:ascii="Arial" w:hAnsi="Arial" w:cs="Arial"/>
        </w:rPr>
        <w:t>ed</w:t>
      </w:r>
      <w:r w:rsidRPr="00CF5B20">
        <w:rPr>
          <w:rFonts w:ascii="Arial" w:hAnsi="Arial" w:cs="Arial"/>
        </w:rPr>
        <w:t xml:space="preserve"> that:</w:t>
      </w:r>
    </w:p>
    <w:p w14:paraId="3C12E80A" w14:textId="77777777" w:rsidR="008A2E1D" w:rsidRPr="00CF5B20" w:rsidRDefault="008A2E1D" w:rsidP="008A2E1D">
      <w:pPr>
        <w:numPr>
          <w:ilvl w:val="0"/>
          <w:numId w:val="31"/>
        </w:numPr>
        <w:spacing w:after="160"/>
        <w:jc w:val="both"/>
        <w:rPr>
          <w:rFonts w:ascii="Arial" w:hAnsi="Arial" w:cs="Arial"/>
        </w:rPr>
      </w:pPr>
      <w:r w:rsidRPr="00CF5B20">
        <w:rPr>
          <w:rFonts w:ascii="Arial" w:hAnsi="Arial" w:cs="Arial"/>
        </w:rPr>
        <w:t>The performance of the selected industry standard correlations gave relatively high errors which make their suitability for predicting gas property in the Niger Delta basin limited without modification.</w:t>
      </w:r>
    </w:p>
    <w:p w14:paraId="3C5C9230" w14:textId="77777777" w:rsidR="008A2E1D" w:rsidRPr="00CF5B20" w:rsidRDefault="008A2E1D" w:rsidP="008A2E1D">
      <w:pPr>
        <w:numPr>
          <w:ilvl w:val="0"/>
          <w:numId w:val="31"/>
        </w:numPr>
        <w:spacing w:after="160"/>
        <w:jc w:val="both"/>
        <w:rPr>
          <w:rFonts w:ascii="Arial" w:hAnsi="Arial" w:cs="Arial"/>
        </w:rPr>
      </w:pPr>
      <w:r w:rsidRPr="00CF5B20">
        <w:rPr>
          <w:rFonts w:ascii="Arial" w:hAnsi="Arial" w:cs="Arial"/>
        </w:rPr>
        <w:t>Optimized gas viscosity correlations achieved near-perfect accuracy with zero error.</w:t>
      </w:r>
    </w:p>
    <w:p w14:paraId="46610B03" w14:textId="77777777" w:rsidR="008A2E1D" w:rsidRPr="00CF5B20" w:rsidRDefault="008A2E1D" w:rsidP="008A2E1D">
      <w:pPr>
        <w:numPr>
          <w:ilvl w:val="0"/>
          <w:numId w:val="31"/>
        </w:numPr>
        <w:spacing w:after="160"/>
        <w:jc w:val="both"/>
        <w:rPr>
          <w:rFonts w:ascii="Arial" w:hAnsi="Arial" w:cs="Arial"/>
        </w:rPr>
      </w:pPr>
      <w:r w:rsidRPr="00CF5B20">
        <w:rPr>
          <w:rFonts w:ascii="Arial" w:hAnsi="Arial" w:cs="Arial"/>
        </w:rPr>
        <w:t>Although Azubuike et al.</w:t>
      </w:r>
      <w:r>
        <w:rPr>
          <w:rFonts w:ascii="Arial" w:hAnsi="Arial" w:cs="Arial"/>
        </w:rPr>
        <w:t xml:space="preserve"> [10]</w:t>
      </w:r>
      <w:r w:rsidRPr="00CF5B20">
        <w:rPr>
          <w:rFonts w:ascii="Arial" w:hAnsi="Arial" w:cs="Arial"/>
        </w:rPr>
        <w:t xml:space="preserve"> correlation gave moderate predictions, the modified and originally selected correlations outperformed it. This implies that the region-based models still require model refinement.</w:t>
      </w:r>
    </w:p>
    <w:p w14:paraId="13F0482F" w14:textId="77777777" w:rsidR="00790ADA" w:rsidRPr="00FB3A86" w:rsidRDefault="00790ADA" w:rsidP="00441B6F">
      <w:pPr>
        <w:pStyle w:val="Body"/>
        <w:spacing w:after="0"/>
        <w:rPr>
          <w:rFonts w:ascii="Arial" w:hAnsi="Arial" w:cs="Arial"/>
        </w:rPr>
      </w:pPr>
    </w:p>
    <w:p w14:paraId="040E019A"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28603236" w14:textId="77777777" w:rsidR="00790ADA" w:rsidRPr="00FB3A86" w:rsidRDefault="00790ADA" w:rsidP="00441B6F">
      <w:pPr>
        <w:pStyle w:val="AcknHead"/>
        <w:spacing w:after="0"/>
        <w:jc w:val="both"/>
        <w:rPr>
          <w:rFonts w:ascii="Arial" w:hAnsi="Arial" w:cs="Arial"/>
        </w:rPr>
      </w:pPr>
    </w:p>
    <w:p w14:paraId="0D72FD1D" w14:textId="676488FF" w:rsidR="008A2E1D" w:rsidRPr="00970490" w:rsidRDefault="008A2E1D" w:rsidP="008A2E1D">
      <w:pPr>
        <w:jc w:val="both"/>
        <w:rPr>
          <w:rFonts w:ascii="Arial" w:hAnsi="Arial" w:cs="Arial"/>
        </w:rPr>
      </w:pPr>
      <w:r w:rsidRPr="00970490">
        <w:rPr>
          <w:rFonts w:ascii="Arial" w:hAnsi="Arial" w:cs="Arial"/>
        </w:rPr>
        <w:t xml:space="preserve">The authors gratefully acknowledge and appreciate Department of Petroleum Engineering, University of Ibadan, Ibadan, Nigeria </w:t>
      </w:r>
      <w:r w:rsidR="00055276">
        <w:rPr>
          <w:rFonts w:ascii="Arial" w:hAnsi="Arial" w:cs="Arial"/>
        </w:rPr>
        <w:t xml:space="preserve">and Petroleum Trust Development Fund (PTDF) </w:t>
      </w:r>
      <w:r w:rsidRPr="00970490">
        <w:rPr>
          <w:rFonts w:ascii="Arial" w:hAnsi="Arial" w:cs="Arial"/>
        </w:rPr>
        <w:t>for the facilities made available during the course of this work</w:t>
      </w:r>
    </w:p>
    <w:p w14:paraId="0F64FD8E" w14:textId="77777777" w:rsidR="00315186" w:rsidRPr="00315186" w:rsidRDefault="00315186" w:rsidP="00441B6F"/>
    <w:p w14:paraId="6AF41816" w14:textId="77777777" w:rsidR="004820A8" w:rsidRPr="00CA3906" w:rsidRDefault="004820A8" w:rsidP="004820A8">
      <w:pPr>
        <w:rPr>
          <w:b/>
          <w:highlight w:val="yellow"/>
        </w:rPr>
      </w:pPr>
      <w:r w:rsidRPr="00CA3906">
        <w:rPr>
          <w:b/>
          <w:highlight w:val="yellow"/>
        </w:rPr>
        <w:t>Disclaimer (Artificial intelligence)</w:t>
      </w:r>
    </w:p>
    <w:p w14:paraId="314CEF84" w14:textId="77777777" w:rsidR="004820A8" w:rsidRPr="00740879" w:rsidRDefault="004820A8" w:rsidP="004820A8">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05FF705" w14:textId="77777777" w:rsidR="00315186" w:rsidRPr="00315186" w:rsidRDefault="00315186" w:rsidP="00441B6F"/>
    <w:p w14:paraId="715FA4D9" w14:textId="77777777" w:rsidR="00102CB0" w:rsidRDefault="00102CB0" w:rsidP="00441B6F">
      <w:pPr>
        <w:pStyle w:val="ReferHead"/>
        <w:spacing w:after="0"/>
        <w:jc w:val="both"/>
        <w:rPr>
          <w:rFonts w:ascii="Arial" w:hAnsi="Arial" w:cs="Arial"/>
          <w:b w:val="0"/>
          <w:caps w:val="0"/>
          <w:sz w:val="20"/>
        </w:rPr>
      </w:pPr>
    </w:p>
    <w:p w14:paraId="66D155C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D56288" w14:textId="77777777" w:rsidR="00790ADA" w:rsidRPr="00FB3A86" w:rsidRDefault="00790ADA" w:rsidP="00441B6F">
      <w:pPr>
        <w:pStyle w:val="ReferHead"/>
        <w:spacing w:after="0"/>
        <w:jc w:val="both"/>
        <w:rPr>
          <w:rFonts w:ascii="Arial" w:hAnsi="Arial" w:cs="Arial"/>
        </w:rPr>
      </w:pPr>
    </w:p>
    <w:p w14:paraId="2031B2B5" w14:textId="77777777" w:rsidR="00302054" w:rsidRPr="00E00015" w:rsidRDefault="00302054" w:rsidP="00302054">
      <w:pPr>
        <w:ind w:left="720" w:hanging="720"/>
        <w:jc w:val="both"/>
        <w:rPr>
          <w:rFonts w:ascii="Arial" w:hAnsi="Arial" w:cs="Arial"/>
        </w:rPr>
      </w:pPr>
      <w:r>
        <w:rPr>
          <w:rFonts w:ascii="Arial" w:hAnsi="Arial" w:cs="Arial"/>
        </w:rPr>
        <w:t>1.</w:t>
      </w:r>
      <w:r>
        <w:rPr>
          <w:rFonts w:ascii="Arial" w:hAnsi="Arial" w:cs="Arial"/>
        </w:rPr>
        <w:tab/>
      </w:r>
      <w:r w:rsidRPr="00E00015">
        <w:rPr>
          <w:rFonts w:ascii="Arial" w:hAnsi="Arial" w:cs="Arial"/>
        </w:rPr>
        <w:t xml:space="preserve">Ahmed, T. (2001). </w:t>
      </w:r>
      <w:r w:rsidRPr="00E00015">
        <w:rPr>
          <w:rFonts w:ascii="Arial" w:hAnsi="Arial" w:cs="Arial"/>
          <w:i/>
          <w:iCs/>
        </w:rPr>
        <w:t>Reservoir engineering handbook</w:t>
      </w:r>
      <w:r w:rsidRPr="00E00015">
        <w:rPr>
          <w:rFonts w:ascii="Arial" w:hAnsi="Arial" w:cs="Arial"/>
        </w:rPr>
        <w:t xml:space="preserve"> (2nd Edition). London, Gulf Professional Publishing. pp.29-74.</w:t>
      </w:r>
    </w:p>
    <w:p w14:paraId="2DA17F2E" w14:textId="77777777" w:rsidR="00302054" w:rsidRPr="00E00015" w:rsidRDefault="00302054" w:rsidP="00BC411A">
      <w:pPr>
        <w:ind w:left="720" w:hanging="720"/>
        <w:jc w:val="both"/>
        <w:rPr>
          <w:rFonts w:ascii="Arial" w:hAnsi="Arial" w:cs="Arial"/>
        </w:rPr>
      </w:pPr>
      <w:r>
        <w:rPr>
          <w:rFonts w:ascii="Arial" w:hAnsi="Arial" w:cs="Arial"/>
        </w:rPr>
        <w:t>2.</w:t>
      </w:r>
      <w:r>
        <w:rPr>
          <w:rFonts w:ascii="Arial" w:hAnsi="Arial" w:cs="Arial"/>
        </w:rPr>
        <w:tab/>
      </w:r>
      <w:r w:rsidRPr="00E00015">
        <w:rPr>
          <w:rFonts w:ascii="Arial" w:hAnsi="Arial" w:cs="Arial"/>
        </w:rPr>
        <w:t xml:space="preserve">Okoro, E. E., Dike, H., </w:t>
      </w:r>
      <w:proofErr w:type="spellStart"/>
      <w:r w:rsidRPr="00E00015">
        <w:rPr>
          <w:rFonts w:ascii="Arial" w:hAnsi="Arial" w:cs="Arial"/>
        </w:rPr>
        <w:t>Igwilo</w:t>
      </w:r>
      <w:proofErr w:type="spellEnd"/>
      <w:r w:rsidRPr="00E00015">
        <w:rPr>
          <w:rFonts w:ascii="Arial" w:hAnsi="Arial" w:cs="Arial"/>
        </w:rPr>
        <w:t xml:space="preserve">, K. C., &amp; </w:t>
      </w:r>
      <w:proofErr w:type="spellStart"/>
      <w:r w:rsidRPr="00E00015">
        <w:rPr>
          <w:rFonts w:ascii="Arial" w:hAnsi="Arial" w:cs="Arial"/>
        </w:rPr>
        <w:t>Mamudu</w:t>
      </w:r>
      <w:proofErr w:type="spellEnd"/>
      <w:r w:rsidRPr="00E00015">
        <w:rPr>
          <w:rFonts w:ascii="Arial" w:hAnsi="Arial" w:cs="Arial"/>
        </w:rPr>
        <w:t xml:space="preserve">, A. O. (2017). Measurement of the Best Z-Factor Correlation Using Gas Well Inflow Performance Data in Niger-Delta. </w:t>
      </w:r>
      <w:r w:rsidRPr="00E00015">
        <w:rPr>
          <w:rFonts w:ascii="Arial" w:hAnsi="Arial" w:cs="Arial"/>
          <w:i/>
          <w:iCs/>
        </w:rPr>
        <w:t>International</w:t>
      </w:r>
      <w:r w:rsidRPr="00E00015">
        <w:rPr>
          <w:rFonts w:ascii="Arial" w:hAnsi="Arial" w:cs="Arial"/>
        </w:rPr>
        <w:t xml:space="preserve"> </w:t>
      </w:r>
      <w:r w:rsidRPr="00E00015">
        <w:rPr>
          <w:rFonts w:ascii="Arial" w:hAnsi="Arial" w:cs="Arial"/>
          <w:i/>
          <w:iCs/>
        </w:rPr>
        <w:t>Journal of Applied Engineering Research</w:t>
      </w:r>
      <w:r w:rsidRPr="00E00015">
        <w:rPr>
          <w:rFonts w:ascii="Arial" w:hAnsi="Arial" w:cs="Arial"/>
        </w:rPr>
        <w:t xml:space="preserve">, </w:t>
      </w:r>
      <w:r w:rsidRPr="00E00015">
        <w:rPr>
          <w:rFonts w:ascii="Arial" w:hAnsi="Arial" w:cs="Arial"/>
          <w:i/>
          <w:iCs/>
        </w:rPr>
        <w:t>12</w:t>
      </w:r>
      <w:r w:rsidRPr="00E00015">
        <w:rPr>
          <w:rFonts w:ascii="Arial" w:hAnsi="Arial" w:cs="Arial"/>
        </w:rPr>
        <w:t>(12), 3507–3522.</w:t>
      </w:r>
    </w:p>
    <w:p w14:paraId="2798CEBF" w14:textId="77777777" w:rsidR="00302054" w:rsidRPr="00E00015" w:rsidRDefault="00BC411A" w:rsidP="00BC411A">
      <w:pPr>
        <w:ind w:left="720" w:hanging="720"/>
        <w:jc w:val="both"/>
        <w:rPr>
          <w:rFonts w:ascii="Arial" w:hAnsi="Arial" w:cs="Arial"/>
        </w:rPr>
      </w:pPr>
      <w:r>
        <w:rPr>
          <w:rFonts w:ascii="Arial" w:hAnsi="Arial" w:cs="Arial"/>
        </w:rPr>
        <w:t>3.</w:t>
      </w:r>
      <w:r>
        <w:rPr>
          <w:rFonts w:ascii="Arial" w:hAnsi="Arial" w:cs="Arial"/>
        </w:rPr>
        <w:tab/>
      </w:r>
      <w:r w:rsidR="00302054" w:rsidRPr="00E00015">
        <w:rPr>
          <w:rFonts w:ascii="Arial" w:hAnsi="Arial" w:cs="Arial"/>
        </w:rPr>
        <w:t xml:space="preserve">Ekechukwu, G. K., &amp; </w:t>
      </w:r>
      <w:proofErr w:type="spellStart"/>
      <w:r w:rsidR="00302054" w:rsidRPr="00E00015">
        <w:rPr>
          <w:rFonts w:ascii="Arial" w:hAnsi="Arial" w:cs="Arial"/>
        </w:rPr>
        <w:t>Orodu</w:t>
      </w:r>
      <w:proofErr w:type="spellEnd"/>
      <w:r w:rsidR="00302054" w:rsidRPr="00E00015">
        <w:rPr>
          <w:rFonts w:ascii="Arial" w:hAnsi="Arial" w:cs="Arial"/>
        </w:rPr>
        <w:t xml:space="preserve">, O. D. (2019). Novel mathematical correlation for accurate prediction of gas compressibility factor. </w:t>
      </w:r>
      <w:r w:rsidR="00302054" w:rsidRPr="00E00015">
        <w:rPr>
          <w:rFonts w:ascii="Arial" w:hAnsi="Arial" w:cs="Arial"/>
          <w:i/>
          <w:iCs/>
        </w:rPr>
        <w:t>Natural Gas Industry B</w:t>
      </w:r>
      <w:r w:rsidR="00302054" w:rsidRPr="00E00015">
        <w:rPr>
          <w:rFonts w:ascii="Arial" w:hAnsi="Arial" w:cs="Arial"/>
        </w:rPr>
        <w:t xml:space="preserve">, </w:t>
      </w:r>
      <w:r w:rsidR="00302054" w:rsidRPr="00E00015">
        <w:rPr>
          <w:rFonts w:ascii="Arial" w:hAnsi="Arial" w:cs="Arial"/>
          <w:i/>
          <w:iCs/>
        </w:rPr>
        <w:t>6</w:t>
      </w:r>
      <w:r w:rsidR="00302054" w:rsidRPr="00E00015">
        <w:rPr>
          <w:rFonts w:ascii="Arial" w:hAnsi="Arial" w:cs="Arial"/>
        </w:rPr>
        <w:t xml:space="preserve">(6), 629–638. </w:t>
      </w:r>
    </w:p>
    <w:p w14:paraId="2C40305B" w14:textId="77777777" w:rsidR="00302054" w:rsidRPr="00E00015" w:rsidRDefault="00BC411A" w:rsidP="00BC411A">
      <w:pPr>
        <w:ind w:left="720" w:hanging="720"/>
        <w:jc w:val="both"/>
        <w:rPr>
          <w:rFonts w:ascii="Arial" w:hAnsi="Arial" w:cs="Arial"/>
        </w:rPr>
      </w:pPr>
      <w:r>
        <w:rPr>
          <w:rFonts w:ascii="Arial" w:hAnsi="Arial" w:cs="Arial"/>
        </w:rPr>
        <w:t>4.</w:t>
      </w:r>
      <w:r>
        <w:rPr>
          <w:rFonts w:ascii="Arial" w:hAnsi="Arial" w:cs="Arial"/>
        </w:rPr>
        <w:tab/>
      </w:r>
      <w:r w:rsidR="00302054" w:rsidRPr="00E00015">
        <w:rPr>
          <w:rFonts w:ascii="Arial" w:hAnsi="Arial" w:cs="Arial"/>
        </w:rPr>
        <w:t>Londono, F. E., Archer, R. A., &amp; Blassingame, T.A., (2002). Simplified Correlations for</w:t>
      </w:r>
      <w:r>
        <w:rPr>
          <w:rFonts w:ascii="Arial" w:hAnsi="Arial" w:cs="Arial"/>
        </w:rPr>
        <w:t xml:space="preserve"> </w:t>
      </w:r>
      <w:r w:rsidR="00302054" w:rsidRPr="00E00015">
        <w:rPr>
          <w:rFonts w:ascii="Arial" w:hAnsi="Arial" w:cs="Arial"/>
        </w:rPr>
        <w:t xml:space="preserve">hydrocarbon Gas Viscosity and Gas Density-validation and correlation of </w:t>
      </w:r>
      <w:proofErr w:type="spellStart"/>
      <w:r w:rsidR="00302054" w:rsidRPr="00E00015">
        <w:rPr>
          <w:rFonts w:ascii="Arial" w:hAnsi="Arial" w:cs="Arial"/>
        </w:rPr>
        <w:t>Behaviour</w:t>
      </w:r>
      <w:proofErr w:type="spellEnd"/>
      <w:r w:rsidR="00302054" w:rsidRPr="00E00015">
        <w:rPr>
          <w:rFonts w:ascii="Arial" w:hAnsi="Arial" w:cs="Arial"/>
        </w:rPr>
        <w:t xml:space="preserve"> using</w:t>
      </w:r>
      <w:r>
        <w:rPr>
          <w:rFonts w:ascii="Arial" w:hAnsi="Arial" w:cs="Arial"/>
        </w:rPr>
        <w:t xml:space="preserve"> </w:t>
      </w:r>
      <w:r w:rsidR="00302054" w:rsidRPr="00E00015">
        <w:rPr>
          <w:rFonts w:ascii="Arial" w:hAnsi="Arial" w:cs="Arial"/>
        </w:rPr>
        <w:t>a large-scale Database. SPE 75721, Calgary, Canada.</w:t>
      </w:r>
    </w:p>
    <w:p w14:paraId="358BEB06" w14:textId="77777777" w:rsidR="00302054" w:rsidRPr="00E00015" w:rsidRDefault="00BC411A" w:rsidP="00BC411A">
      <w:pPr>
        <w:ind w:left="720" w:hanging="720"/>
        <w:jc w:val="both"/>
        <w:rPr>
          <w:rFonts w:ascii="Arial" w:hAnsi="Arial" w:cs="Arial"/>
        </w:rPr>
      </w:pPr>
      <w:r>
        <w:rPr>
          <w:rFonts w:ascii="Arial" w:hAnsi="Arial" w:cs="Arial"/>
        </w:rPr>
        <w:t>5.</w:t>
      </w:r>
      <w:r>
        <w:rPr>
          <w:rFonts w:ascii="Arial" w:hAnsi="Arial" w:cs="Arial"/>
        </w:rPr>
        <w:tab/>
      </w:r>
      <w:r w:rsidR="00302054" w:rsidRPr="00E00015">
        <w:rPr>
          <w:rFonts w:ascii="Arial" w:hAnsi="Arial" w:cs="Arial"/>
        </w:rPr>
        <w:t>Carr, N. L., Kobayashi, R., &amp; Burrows, D. B. (1954). Viscosity of hydrocarbon gases under</w:t>
      </w:r>
      <w:r>
        <w:rPr>
          <w:rFonts w:ascii="Arial" w:hAnsi="Arial" w:cs="Arial"/>
        </w:rPr>
        <w:t xml:space="preserve"> </w:t>
      </w:r>
      <w:r w:rsidR="00302054" w:rsidRPr="00E00015">
        <w:rPr>
          <w:rFonts w:ascii="Arial" w:hAnsi="Arial" w:cs="Arial"/>
        </w:rPr>
        <w:t xml:space="preserve">pressure. </w:t>
      </w:r>
      <w:r w:rsidR="00302054" w:rsidRPr="00E00015">
        <w:rPr>
          <w:rFonts w:ascii="Arial" w:hAnsi="Arial" w:cs="Arial"/>
          <w:i/>
          <w:iCs/>
        </w:rPr>
        <w:t>Journal of Petroleum Technology, 6</w:t>
      </w:r>
      <w:r w:rsidR="00302054" w:rsidRPr="00E00015">
        <w:rPr>
          <w:rFonts w:ascii="Arial" w:hAnsi="Arial" w:cs="Arial"/>
        </w:rPr>
        <w:t>, 47–55.</w:t>
      </w:r>
    </w:p>
    <w:p w14:paraId="53C42875" w14:textId="77777777" w:rsidR="00302054" w:rsidRPr="00E00015" w:rsidRDefault="00BC411A" w:rsidP="00BC411A">
      <w:pPr>
        <w:ind w:left="720" w:hanging="720"/>
        <w:jc w:val="both"/>
        <w:rPr>
          <w:rFonts w:ascii="Arial" w:hAnsi="Arial" w:cs="Arial"/>
        </w:rPr>
      </w:pPr>
      <w:r>
        <w:rPr>
          <w:rFonts w:ascii="Arial" w:hAnsi="Arial" w:cs="Arial"/>
        </w:rPr>
        <w:t>6.</w:t>
      </w:r>
      <w:r>
        <w:rPr>
          <w:rFonts w:ascii="Arial" w:hAnsi="Arial" w:cs="Arial"/>
        </w:rPr>
        <w:tab/>
      </w:r>
      <w:r w:rsidR="00302054" w:rsidRPr="00E00015">
        <w:rPr>
          <w:rFonts w:ascii="Arial" w:hAnsi="Arial" w:cs="Arial"/>
        </w:rPr>
        <w:t xml:space="preserve">Dempsey, J. R. (1965). Computer routine treats gas viscosity as a variable. </w:t>
      </w:r>
      <w:r w:rsidR="00302054" w:rsidRPr="00E00015">
        <w:rPr>
          <w:rFonts w:ascii="Arial" w:hAnsi="Arial" w:cs="Arial"/>
          <w:i/>
          <w:iCs/>
        </w:rPr>
        <w:t>Oil and Gas Journal</w:t>
      </w:r>
      <w:r w:rsidR="00302054" w:rsidRPr="00E00015">
        <w:rPr>
          <w:rFonts w:ascii="Arial" w:hAnsi="Arial" w:cs="Arial"/>
        </w:rPr>
        <w:t>, 141.</w:t>
      </w:r>
    </w:p>
    <w:p w14:paraId="27510432" w14:textId="77777777" w:rsidR="00302054" w:rsidRPr="00E00015" w:rsidRDefault="00BC411A" w:rsidP="00BC411A">
      <w:pPr>
        <w:ind w:left="720" w:hanging="720"/>
        <w:jc w:val="both"/>
        <w:rPr>
          <w:rFonts w:ascii="Arial" w:hAnsi="Arial" w:cs="Arial"/>
          <w:i/>
          <w:iCs/>
        </w:rPr>
      </w:pPr>
      <w:r>
        <w:rPr>
          <w:rFonts w:ascii="Arial" w:hAnsi="Arial" w:cs="Arial"/>
        </w:rPr>
        <w:t>7.</w:t>
      </w:r>
      <w:r>
        <w:rPr>
          <w:rFonts w:ascii="Arial" w:hAnsi="Arial" w:cs="Arial"/>
        </w:rPr>
        <w:tab/>
      </w:r>
      <w:r w:rsidR="00302054" w:rsidRPr="00E00015">
        <w:rPr>
          <w:rFonts w:ascii="Arial" w:hAnsi="Arial" w:cs="Arial"/>
        </w:rPr>
        <w:t xml:space="preserve">Lee, A. L., Gonzalez, M. H., &amp; Eakin, B. E. (1966). The viscosity of natural gases. </w:t>
      </w:r>
      <w:r w:rsidR="00302054" w:rsidRPr="00E00015">
        <w:rPr>
          <w:rFonts w:ascii="Arial" w:hAnsi="Arial" w:cs="Arial"/>
          <w:i/>
          <w:iCs/>
        </w:rPr>
        <w:t>Journal of Petroleum Technology, 18</w:t>
      </w:r>
      <w:r w:rsidR="00302054" w:rsidRPr="00E00015">
        <w:rPr>
          <w:rFonts w:ascii="Arial" w:hAnsi="Arial" w:cs="Arial"/>
        </w:rPr>
        <w:t>(8), 997–1000.</w:t>
      </w:r>
    </w:p>
    <w:p w14:paraId="6A1AB705" w14:textId="77777777" w:rsidR="00302054" w:rsidRPr="00E00015" w:rsidRDefault="00BC411A" w:rsidP="00BC411A">
      <w:pPr>
        <w:ind w:left="720" w:hanging="720"/>
        <w:jc w:val="both"/>
        <w:rPr>
          <w:rFonts w:ascii="Arial" w:hAnsi="Arial" w:cs="Arial"/>
          <w:i/>
          <w:iCs/>
        </w:rPr>
      </w:pPr>
      <w:r>
        <w:rPr>
          <w:rFonts w:ascii="Arial" w:hAnsi="Arial" w:cs="Arial"/>
        </w:rPr>
        <w:t>8.</w:t>
      </w:r>
      <w:r>
        <w:rPr>
          <w:rFonts w:ascii="Arial" w:hAnsi="Arial" w:cs="Arial"/>
        </w:rPr>
        <w:tab/>
      </w:r>
      <w:proofErr w:type="spellStart"/>
      <w:r w:rsidR="00302054" w:rsidRPr="00E00015">
        <w:rPr>
          <w:rFonts w:ascii="Arial" w:hAnsi="Arial" w:cs="Arial"/>
        </w:rPr>
        <w:t>Ohirhian</w:t>
      </w:r>
      <w:proofErr w:type="spellEnd"/>
      <w:r w:rsidR="00302054" w:rsidRPr="00E00015">
        <w:rPr>
          <w:rFonts w:ascii="Arial" w:hAnsi="Arial" w:cs="Arial"/>
        </w:rPr>
        <w:t>, P. U., &amp; Abu, I. N. (2008). A new correlation for the viscosity of natural gas.</w:t>
      </w:r>
      <w:r w:rsidR="00302054" w:rsidRPr="00E00015">
        <w:rPr>
          <w:rFonts w:ascii="Arial" w:hAnsi="Arial" w:cs="Arial"/>
          <w:i/>
          <w:iCs/>
        </w:rPr>
        <w:t xml:space="preserve"> Advanced Materials Research,</w:t>
      </w:r>
      <w:r w:rsidR="00302054" w:rsidRPr="00E00015">
        <w:rPr>
          <w:rFonts w:ascii="Arial" w:hAnsi="Arial" w:cs="Arial"/>
        </w:rPr>
        <w:t xml:space="preserve"> 62(64), 474-483.</w:t>
      </w:r>
    </w:p>
    <w:p w14:paraId="1DEC3840" w14:textId="77777777" w:rsidR="00302054" w:rsidRPr="00E00015" w:rsidRDefault="00BC411A" w:rsidP="00BC411A">
      <w:pPr>
        <w:ind w:left="720" w:hanging="720"/>
        <w:jc w:val="both"/>
        <w:rPr>
          <w:rFonts w:ascii="Arial" w:hAnsi="Arial" w:cs="Arial"/>
        </w:rPr>
      </w:pPr>
      <w:r>
        <w:rPr>
          <w:rFonts w:ascii="Arial" w:hAnsi="Arial" w:cs="Arial"/>
        </w:rPr>
        <w:t>9.</w:t>
      </w:r>
      <w:r>
        <w:rPr>
          <w:rFonts w:ascii="Arial" w:hAnsi="Arial" w:cs="Arial"/>
        </w:rPr>
        <w:tab/>
      </w:r>
      <w:proofErr w:type="spellStart"/>
      <w:r w:rsidR="00302054" w:rsidRPr="00E00015">
        <w:rPr>
          <w:rFonts w:ascii="Arial" w:hAnsi="Arial" w:cs="Arial"/>
        </w:rPr>
        <w:t>Anyiador</w:t>
      </w:r>
      <w:proofErr w:type="spellEnd"/>
      <w:r w:rsidR="00302054" w:rsidRPr="00E00015">
        <w:rPr>
          <w:rFonts w:ascii="Arial" w:hAnsi="Arial" w:cs="Arial"/>
        </w:rPr>
        <w:t xml:space="preserve">, O. M., </w:t>
      </w:r>
      <w:proofErr w:type="spellStart"/>
      <w:r w:rsidR="00302054" w:rsidRPr="00E00015">
        <w:rPr>
          <w:rFonts w:ascii="Arial" w:hAnsi="Arial" w:cs="Arial"/>
        </w:rPr>
        <w:t>Ikiensikimama</w:t>
      </w:r>
      <w:proofErr w:type="spellEnd"/>
      <w:r w:rsidR="00302054" w:rsidRPr="00E00015">
        <w:rPr>
          <w:rFonts w:ascii="Arial" w:hAnsi="Arial" w:cs="Arial"/>
        </w:rPr>
        <w:t xml:space="preserve">, S. S., &amp; Azubuike, I. I. (2015). Evaluation of viscosity correlation for Niger Delta gas reservoir. </w:t>
      </w:r>
      <w:r w:rsidR="00302054" w:rsidRPr="00E00015">
        <w:rPr>
          <w:rFonts w:ascii="Arial" w:hAnsi="Arial" w:cs="Arial"/>
          <w:i/>
          <w:iCs/>
        </w:rPr>
        <w:t>International Journal of Science and Engineering</w:t>
      </w:r>
      <w:r w:rsidR="00302054" w:rsidRPr="00E00015">
        <w:rPr>
          <w:rFonts w:ascii="Arial" w:hAnsi="Arial" w:cs="Arial"/>
        </w:rPr>
        <w:t xml:space="preserve"> </w:t>
      </w:r>
      <w:r w:rsidR="00302054" w:rsidRPr="00E00015">
        <w:rPr>
          <w:rFonts w:ascii="Arial" w:hAnsi="Arial" w:cs="Arial"/>
          <w:i/>
          <w:iCs/>
        </w:rPr>
        <w:t>Investigations, 4</w:t>
      </w:r>
      <w:r w:rsidR="00302054" w:rsidRPr="00E00015">
        <w:rPr>
          <w:rFonts w:ascii="Arial" w:hAnsi="Arial" w:cs="Arial"/>
        </w:rPr>
        <w:t>(46). ISSN: 2251-8843.</w:t>
      </w:r>
    </w:p>
    <w:p w14:paraId="0A36A547" w14:textId="77777777" w:rsidR="00302054" w:rsidRPr="00E00015" w:rsidRDefault="00BC411A" w:rsidP="00BC411A">
      <w:pPr>
        <w:ind w:left="720" w:hanging="720"/>
        <w:jc w:val="both"/>
        <w:rPr>
          <w:rFonts w:ascii="Arial" w:hAnsi="Arial" w:cs="Arial"/>
        </w:rPr>
      </w:pPr>
      <w:r>
        <w:rPr>
          <w:rFonts w:ascii="Arial" w:hAnsi="Arial" w:cs="Arial"/>
        </w:rPr>
        <w:t>10.</w:t>
      </w:r>
      <w:r>
        <w:rPr>
          <w:rFonts w:ascii="Arial" w:hAnsi="Arial" w:cs="Arial"/>
        </w:rPr>
        <w:tab/>
      </w:r>
      <w:r w:rsidR="00302054" w:rsidRPr="00E00015">
        <w:rPr>
          <w:rFonts w:ascii="Arial" w:hAnsi="Arial" w:cs="Arial"/>
        </w:rPr>
        <w:t xml:space="preserve">Azubuike, I. I., </w:t>
      </w:r>
      <w:proofErr w:type="spellStart"/>
      <w:r w:rsidR="00302054" w:rsidRPr="00E00015">
        <w:rPr>
          <w:rFonts w:ascii="Arial" w:hAnsi="Arial" w:cs="Arial"/>
        </w:rPr>
        <w:t>Ikiensikimama</w:t>
      </w:r>
      <w:proofErr w:type="spellEnd"/>
      <w:r w:rsidR="00302054" w:rsidRPr="00E00015">
        <w:rPr>
          <w:rFonts w:ascii="Arial" w:hAnsi="Arial" w:cs="Arial"/>
        </w:rPr>
        <w:t xml:space="preserve">, S. S., &amp; </w:t>
      </w:r>
      <w:proofErr w:type="spellStart"/>
      <w:r w:rsidR="00302054" w:rsidRPr="00E00015">
        <w:rPr>
          <w:rFonts w:ascii="Arial" w:hAnsi="Arial" w:cs="Arial"/>
        </w:rPr>
        <w:t>Orodu</w:t>
      </w:r>
      <w:proofErr w:type="spellEnd"/>
      <w:r w:rsidR="00302054" w:rsidRPr="00E00015">
        <w:rPr>
          <w:rFonts w:ascii="Arial" w:hAnsi="Arial" w:cs="Arial"/>
        </w:rPr>
        <w:t xml:space="preserve">, O. D. (2019). Predictive tool for high pressure high temperature gas viscosity. </w:t>
      </w:r>
      <w:r w:rsidR="00302054" w:rsidRPr="00E00015">
        <w:rPr>
          <w:rFonts w:ascii="Arial" w:hAnsi="Arial" w:cs="Arial"/>
          <w:i/>
          <w:iCs/>
        </w:rPr>
        <w:t>American Journal of Engineering Research (AJER), 8</w:t>
      </w:r>
      <w:r w:rsidR="00302054" w:rsidRPr="00E00015">
        <w:rPr>
          <w:rFonts w:ascii="Arial" w:hAnsi="Arial" w:cs="Arial"/>
        </w:rPr>
        <w:t>(3), 177-187.</w:t>
      </w:r>
    </w:p>
    <w:p w14:paraId="6D6F46D8" w14:textId="77777777" w:rsidR="00302054" w:rsidRPr="00E00015" w:rsidRDefault="00BC411A" w:rsidP="00BC411A">
      <w:pPr>
        <w:ind w:left="720" w:hanging="720"/>
        <w:jc w:val="both"/>
        <w:rPr>
          <w:rFonts w:ascii="Arial" w:hAnsi="Arial" w:cs="Arial"/>
        </w:rPr>
      </w:pPr>
      <w:r>
        <w:rPr>
          <w:rFonts w:ascii="Arial" w:hAnsi="Arial" w:cs="Arial"/>
        </w:rPr>
        <w:lastRenderedPageBreak/>
        <w:t>11.</w:t>
      </w:r>
      <w:r>
        <w:rPr>
          <w:rFonts w:ascii="Arial" w:hAnsi="Arial" w:cs="Arial"/>
        </w:rPr>
        <w:tab/>
      </w:r>
      <w:r w:rsidR="00302054" w:rsidRPr="00E00015">
        <w:rPr>
          <w:rFonts w:ascii="Arial" w:hAnsi="Arial" w:cs="Arial"/>
        </w:rPr>
        <w:t xml:space="preserve">Al-Nasser, K. S., &amp; Al-Marhoun, M. A. (2012). Development of New Gas Viscosity Correlations. </w:t>
      </w:r>
      <w:r w:rsidR="00302054" w:rsidRPr="00E00015">
        <w:rPr>
          <w:rFonts w:ascii="Arial" w:hAnsi="Arial" w:cs="Arial"/>
          <w:i/>
          <w:iCs/>
        </w:rPr>
        <w:t>SPE International Production and Operations Conference and Exhibition Held in Doha Qatar, 14–16 May 2012</w:t>
      </w:r>
      <w:r w:rsidR="00302054" w:rsidRPr="00E00015">
        <w:rPr>
          <w:rFonts w:ascii="Arial" w:hAnsi="Arial" w:cs="Arial"/>
        </w:rPr>
        <w:t xml:space="preserve">, </w:t>
      </w:r>
      <w:r w:rsidR="00302054" w:rsidRPr="00E00015">
        <w:rPr>
          <w:rFonts w:ascii="Arial" w:hAnsi="Arial" w:cs="Arial"/>
          <w:i/>
          <w:iCs/>
        </w:rPr>
        <w:t>1</w:t>
      </w:r>
      <w:r w:rsidR="00302054" w:rsidRPr="00E00015">
        <w:rPr>
          <w:rFonts w:ascii="Arial" w:hAnsi="Arial" w:cs="Arial"/>
        </w:rPr>
        <w:t>(SPE 153239). https://doi.org/10.2118/153239-MS</w:t>
      </w:r>
    </w:p>
    <w:p w14:paraId="60FDB332" w14:textId="77777777" w:rsidR="00302054" w:rsidRPr="00E00015" w:rsidRDefault="00BC411A" w:rsidP="00BC411A">
      <w:pPr>
        <w:ind w:left="720" w:hanging="720"/>
        <w:jc w:val="both"/>
        <w:rPr>
          <w:rFonts w:ascii="Arial" w:hAnsi="Arial" w:cs="Arial"/>
        </w:rPr>
      </w:pPr>
      <w:r>
        <w:rPr>
          <w:rFonts w:ascii="Arial" w:hAnsi="Arial" w:cs="Arial"/>
        </w:rPr>
        <w:t>12.</w:t>
      </w:r>
      <w:r>
        <w:rPr>
          <w:rFonts w:ascii="Arial" w:hAnsi="Arial" w:cs="Arial"/>
        </w:rPr>
        <w:tab/>
      </w:r>
      <w:r w:rsidR="00302054" w:rsidRPr="00E00015">
        <w:rPr>
          <w:rFonts w:ascii="Arial" w:hAnsi="Arial" w:cs="Arial"/>
        </w:rPr>
        <w:t>Standing, M. B. (1977). Volumetric and phase behavior of oil field hydrocarbon system (pp. 125-126). SPE.</w:t>
      </w:r>
    </w:p>
    <w:p w14:paraId="7FD06033" w14:textId="77777777" w:rsidR="00302054" w:rsidRPr="00E00015" w:rsidRDefault="00BC411A" w:rsidP="00BC411A">
      <w:pPr>
        <w:ind w:left="720" w:hanging="720"/>
        <w:jc w:val="both"/>
        <w:rPr>
          <w:rFonts w:ascii="Arial" w:hAnsi="Arial" w:cs="Arial"/>
        </w:rPr>
      </w:pPr>
      <w:r>
        <w:rPr>
          <w:rFonts w:ascii="Arial" w:hAnsi="Arial" w:cs="Arial"/>
        </w:rPr>
        <w:t>13.</w:t>
      </w:r>
      <w:r>
        <w:rPr>
          <w:rFonts w:ascii="Arial" w:hAnsi="Arial" w:cs="Arial"/>
        </w:rPr>
        <w:tab/>
      </w:r>
      <w:r w:rsidR="00302054" w:rsidRPr="00E00015">
        <w:rPr>
          <w:rFonts w:ascii="Arial" w:hAnsi="Arial" w:cs="Arial"/>
        </w:rPr>
        <w:t xml:space="preserve">Jossi, J. A., Stiel, L. I., &amp; </w:t>
      </w:r>
      <w:proofErr w:type="spellStart"/>
      <w:r w:rsidR="00302054" w:rsidRPr="00E00015">
        <w:rPr>
          <w:rFonts w:ascii="Arial" w:hAnsi="Arial" w:cs="Arial"/>
        </w:rPr>
        <w:t>Thodos</w:t>
      </w:r>
      <w:proofErr w:type="spellEnd"/>
      <w:r w:rsidR="00302054" w:rsidRPr="00E00015">
        <w:rPr>
          <w:rFonts w:ascii="Arial" w:hAnsi="Arial" w:cs="Arial"/>
        </w:rPr>
        <w:t xml:space="preserve">, G. (1962). The viscosity of pure substances in the dense gaseous and liquid phases. </w:t>
      </w:r>
      <w:r w:rsidR="00302054" w:rsidRPr="00E00015">
        <w:rPr>
          <w:rFonts w:ascii="Arial" w:hAnsi="Arial" w:cs="Arial"/>
          <w:i/>
          <w:iCs/>
        </w:rPr>
        <w:t>AIChE Journal, 8</w:t>
      </w:r>
      <w:r w:rsidR="00302054" w:rsidRPr="00E00015">
        <w:rPr>
          <w:rFonts w:ascii="Arial" w:hAnsi="Arial" w:cs="Arial"/>
        </w:rPr>
        <w:t>(1), 59–62.</w:t>
      </w:r>
    </w:p>
    <w:p w14:paraId="780778F6" w14:textId="77777777" w:rsidR="00302054" w:rsidRPr="00E00015" w:rsidRDefault="00BC411A" w:rsidP="00BC411A">
      <w:pPr>
        <w:ind w:left="720" w:hanging="720"/>
        <w:jc w:val="both"/>
        <w:rPr>
          <w:rFonts w:ascii="Arial" w:hAnsi="Arial" w:cs="Arial"/>
        </w:rPr>
      </w:pPr>
      <w:r>
        <w:rPr>
          <w:rFonts w:ascii="Arial" w:hAnsi="Arial" w:cs="Arial"/>
        </w:rPr>
        <w:t>14.</w:t>
      </w:r>
      <w:r>
        <w:rPr>
          <w:rFonts w:ascii="Arial" w:hAnsi="Arial" w:cs="Arial"/>
        </w:rPr>
        <w:tab/>
      </w:r>
      <w:r w:rsidR="00302054" w:rsidRPr="00E00015">
        <w:rPr>
          <w:rFonts w:ascii="Arial" w:hAnsi="Arial" w:cs="Arial"/>
        </w:rPr>
        <w:t xml:space="preserve">Gonzalez, M. H., Eakin, B. E., &amp; Lee, A. L. (1970). Viscosity of natural gases. </w:t>
      </w:r>
      <w:r w:rsidR="00302054" w:rsidRPr="00E00015">
        <w:rPr>
          <w:rFonts w:ascii="Arial" w:hAnsi="Arial" w:cs="Arial"/>
          <w:i/>
          <w:iCs/>
        </w:rPr>
        <w:t>API Monograph on API Research Project 65</w:t>
      </w:r>
      <w:r w:rsidR="00302054" w:rsidRPr="00E00015">
        <w:rPr>
          <w:rFonts w:ascii="Arial" w:hAnsi="Arial" w:cs="Arial"/>
        </w:rPr>
        <w:t>.</w:t>
      </w:r>
    </w:p>
    <w:p w14:paraId="51B8800F" w14:textId="77777777" w:rsidR="00302054" w:rsidRPr="00E00015" w:rsidRDefault="00BC411A" w:rsidP="00BC411A">
      <w:pPr>
        <w:ind w:left="720" w:hanging="720"/>
        <w:jc w:val="both"/>
        <w:rPr>
          <w:rFonts w:ascii="Arial" w:hAnsi="Arial" w:cs="Arial"/>
        </w:rPr>
      </w:pPr>
      <w:r>
        <w:rPr>
          <w:rFonts w:ascii="Arial" w:hAnsi="Arial" w:cs="Arial"/>
        </w:rPr>
        <w:t>15.</w:t>
      </w:r>
      <w:r>
        <w:rPr>
          <w:rFonts w:ascii="Arial" w:hAnsi="Arial" w:cs="Arial"/>
        </w:rPr>
        <w:tab/>
      </w:r>
      <w:r w:rsidR="00302054" w:rsidRPr="00E00015">
        <w:rPr>
          <w:rFonts w:ascii="Arial" w:hAnsi="Arial" w:cs="Arial"/>
        </w:rPr>
        <w:t xml:space="preserve">Sutton, R. P. (2005). Fundamental PVT Calculations for associated and gas/condensate natural gas system. </w:t>
      </w:r>
      <w:r w:rsidR="00302054" w:rsidRPr="00E00015">
        <w:rPr>
          <w:rFonts w:ascii="Arial" w:hAnsi="Arial" w:cs="Arial"/>
          <w:i/>
          <w:iCs/>
        </w:rPr>
        <w:t>Paper SPE 97099</w:t>
      </w:r>
      <w:r w:rsidR="00302054" w:rsidRPr="00E00015">
        <w:rPr>
          <w:rFonts w:ascii="Arial" w:hAnsi="Arial" w:cs="Arial"/>
        </w:rPr>
        <w:t>, presented at the SPE Annual Technical Conference and Exhibition, Dallas, Texas.</w:t>
      </w:r>
    </w:p>
    <w:p w14:paraId="2E15A1AE" w14:textId="77777777" w:rsidR="00302054" w:rsidRPr="00E00015" w:rsidRDefault="00BC411A" w:rsidP="00BC411A">
      <w:pPr>
        <w:ind w:left="720" w:hanging="720"/>
        <w:jc w:val="both"/>
        <w:rPr>
          <w:rFonts w:ascii="Arial" w:hAnsi="Arial" w:cs="Arial"/>
        </w:rPr>
      </w:pPr>
      <w:r>
        <w:rPr>
          <w:rFonts w:ascii="Arial" w:hAnsi="Arial" w:cs="Arial"/>
        </w:rPr>
        <w:t>16.</w:t>
      </w:r>
      <w:r>
        <w:rPr>
          <w:rFonts w:ascii="Arial" w:hAnsi="Arial" w:cs="Arial"/>
        </w:rPr>
        <w:tab/>
      </w:r>
      <w:proofErr w:type="spellStart"/>
      <w:r w:rsidR="00302054" w:rsidRPr="00E00015">
        <w:rPr>
          <w:rFonts w:ascii="Arial" w:hAnsi="Arial" w:cs="Arial"/>
        </w:rPr>
        <w:t>Heidaryan</w:t>
      </w:r>
      <w:proofErr w:type="spellEnd"/>
      <w:r w:rsidR="00302054" w:rsidRPr="00E00015">
        <w:rPr>
          <w:rFonts w:ascii="Arial" w:hAnsi="Arial" w:cs="Arial"/>
        </w:rPr>
        <w:t xml:space="preserve">, E., and </w:t>
      </w:r>
      <w:proofErr w:type="spellStart"/>
      <w:r w:rsidR="00302054" w:rsidRPr="00E00015">
        <w:rPr>
          <w:rFonts w:ascii="Arial" w:hAnsi="Arial" w:cs="Arial"/>
        </w:rPr>
        <w:t>Jarrahian</w:t>
      </w:r>
      <w:proofErr w:type="spellEnd"/>
      <w:r w:rsidR="00302054" w:rsidRPr="00E00015">
        <w:rPr>
          <w:rFonts w:ascii="Arial" w:hAnsi="Arial" w:cs="Arial"/>
        </w:rPr>
        <w:t xml:space="preserve">, A. (2012). Natural gas viscosity estimation using density based models. </w:t>
      </w:r>
      <w:r w:rsidR="00302054" w:rsidRPr="00E00015">
        <w:rPr>
          <w:rFonts w:ascii="Arial" w:hAnsi="Arial" w:cs="Arial"/>
          <w:i/>
          <w:iCs/>
        </w:rPr>
        <w:t>The Canadian Journal of Chemical Engineering</w:t>
      </w:r>
      <w:r w:rsidR="00302054" w:rsidRPr="00E00015">
        <w:rPr>
          <w:rFonts w:ascii="Arial" w:hAnsi="Arial" w:cs="Arial"/>
        </w:rPr>
        <w:t xml:space="preserve">, </w:t>
      </w:r>
      <w:r w:rsidR="00302054" w:rsidRPr="00E00015">
        <w:rPr>
          <w:rFonts w:ascii="Arial" w:hAnsi="Arial" w:cs="Arial"/>
          <w:i/>
          <w:iCs/>
        </w:rPr>
        <w:t>91</w:t>
      </w:r>
      <w:r w:rsidR="00302054" w:rsidRPr="00E00015">
        <w:rPr>
          <w:rFonts w:ascii="Arial" w:hAnsi="Arial" w:cs="Arial"/>
        </w:rPr>
        <w:t>(6), 1183–1189. https://doi.org/10.1002/cjce.21715</w:t>
      </w:r>
    </w:p>
    <w:p w14:paraId="0EE86F13" w14:textId="77777777" w:rsidR="00302054" w:rsidRPr="00E00015" w:rsidRDefault="00BC411A" w:rsidP="00BC411A">
      <w:pPr>
        <w:ind w:left="720" w:hanging="720"/>
        <w:jc w:val="both"/>
        <w:rPr>
          <w:rFonts w:ascii="Arial" w:hAnsi="Arial" w:cs="Arial"/>
        </w:rPr>
      </w:pPr>
      <w:r>
        <w:rPr>
          <w:rFonts w:ascii="Arial" w:hAnsi="Arial" w:cs="Arial"/>
        </w:rPr>
        <w:t>17.</w:t>
      </w:r>
      <w:r>
        <w:rPr>
          <w:rFonts w:ascii="Arial" w:hAnsi="Arial" w:cs="Arial"/>
        </w:rPr>
        <w:tab/>
      </w:r>
      <w:r w:rsidR="00302054" w:rsidRPr="00E00015">
        <w:rPr>
          <w:rFonts w:ascii="Arial" w:hAnsi="Arial" w:cs="Arial"/>
        </w:rPr>
        <w:t xml:space="preserve">Yang, X. H., Zhang, S., &amp; Zhu, W. (2017). A new model for the accurate calculation of natural gas viscosity. </w:t>
      </w:r>
      <w:r w:rsidR="00302054" w:rsidRPr="00E00015">
        <w:rPr>
          <w:rFonts w:ascii="Arial" w:hAnsi="Arial" w:cs="Arial"/>
          <w:i/>
          <w:iCs/>
        </w:rPr>
        <w:t>Natural Gas Industry B</w:t>
      </w:r>
      <w:r w:rsidR="00302054" w:rsidRPr="00E00015">
        <w:rPr>
          <w:rFonts w:ascii="Arial" w:hAnsi="Arial" w:cs="Arial"/>
        </w:rPr>
        <w:t xml:space="preserve">. </w:t>
      </w:r>
    </w:p>
    <w:p w14:paraId="4CEF6C32" w14:textId="06CD866E" w:rsidR="00CF0709" w:rsidRPr="00CF0709" w:rsidRDefault="00CF0709" w:rsidP="00CF0709">
      <w:pPr>
        <w:ind w:left="720" w:hanging="720"/>
        <w:jc w:val="both"/>
        <w:rPr>
          <w:rFonts w:ascii="Arial" w:hAnsi="Arial" w:cs="Arial"/>
        </w:rPr>
      </w:pPr>
      <w:r>
        <w:rPr>
          <w:rFonts w:ascii="Arial" w:hAnsi="Arial" w:cs="Arial"/>
        </w:rPr>
        <w:t>18.</w:t>
      </w:r>
      <w:r>
        <w:rPr>
          <w:rFonts w:ascii="Arial" w:hAnsi="Arial" w:cs="Arial"/>
        </w:rPr>
        <w:tab/>
      </w:r>
      <w:r w:rsidRPr="00CF0709">
        <w:rPr>
          <w:rFonts w:ascii="Arial" w:hAnsi="Arial" w:cs="Arial"/>
        </w:rPr>
        <w:t xml:space="preserve">Al-Gathe, A., </w:t>
      </w:r>
      <w:proofErr w:type="spellStart"/>
      <w:r w:rsidRPr="00CF0709">
        <w:rPr>
          <w:rFonts w:ascii="Arial" w:hAnsi="Arial" w:cs="Arial"/>
        </w:rPr>
        <w:t>Baarimah</w:t>
      </w:r>
      <w:proofErr w:type="spellEnd"/>
      <w:r w:rsidRPr="00CF0709">
        <w:rPr>
          <w:rFonts w:ascii="Arial" w:hAnsi="Arial" w:cs="Arial"/>
        </w:rPr>
        <w:t xml:space="preserve">, S. O., Al-Khudafi, A. M., Bawahab, M., &amp; </w:t>
      </w:r>
      <w:proofErr w:type="spellStart"/>
      <w:r w:rsidRPr="00CF0709">
        <w:rPr>
          <w:rFonts w:ascii="Arial" w:hAnsi="Arial" w:cs="Arial"/>
        </w:rPr>
        <w:t>Dmour</w:t>
      </w:r>
      <w:proofErr w:type="spellEnd"/>
      <w:r w:rsidRPr="00CF0709">
        <w:rPr>
          <w:rFonts w:ascii="Arial" w:hAnsi="Arial" w:cs="Arial"/>
        </w:rPr>
        <w:t xml:space="preserve">, H. (2023). Hybrid approach for gas viscosity in Yemeni oil fields. </w:t>
      </w:r>
      <w:r w:rsidRPr="00CF0709">
        <w:rPr>
          <w:rFonts w:ascii="Arial" w:hAnsi="Arial" w:cs="Arial"/>
          <w:i/>
          <w:iCs/>
        </w:rPr>
        <w:t>Earth Science Informatics</w:t>
      </w:r>
      <w:r w:rsidRPr="00CF0709">
        <w:rPr>
          <w:rFonts w:ascii="Arial" w:hAnsi="Arial" w:cs="Arial"/>
        </w:rPr>
        <w:t>. https://doi.org/10.1007/s12145-023-01121-5</w:t>
      </w:r>
    </w:p>
    <w:p w14:paraId="1816AA69" w14:textId="7822AD9B" w:rsidR="00CF0709" w:rsidRPr="00CF0709" w:rsidRDefault="00CF0709" w:rsidP="00CF0709">
      <w:pPr>
        <w:ind w:left="720" w:hanging="720"/>
        <w:jc w:val="both"/>
        <w:rPr>
          <w:rFonts w:ascii="Arial" w:hAnsi="Arial" w:cs="Arial"/>
        </w:rPr>
      </w:pPr>
      <w:r>
        <w:rPr>
          <w:rFonts w:ascii="Arial" w:hAnsi="Arial" w:cs="Arial"/>
        </w:rPr>
        <w:t>19.</w:t>
      </w:r>
      <w:r>
        <w:rPr>
          <w:rFonts w:ascii="Arial" w:hAnsi="Arial" w:cs="Arial"/>
        </w:rPr>
        <w:tab/>
      </w:r>
      <w:proofErr w:type="spellStart"/>
      <w:r w:rsidRPr="00CF0709">
        <w:rPr>
          <w:rFonts w:ascii="Arial" w:hAnsi="Arial" w:cs="Arial"/>
        </w:rPr>
        <w:t>Behesht</w:t>
      </w:r>
      <w:proofErr w:type="spellEnd"/>
      <w:r w:rsidRPr="00CF0709">
        <w:rPr>
          <w:rFonts w:ascii="Arial" w:hAnsi="Arial" w:cs="Arial"/>
        </w:rPr>
        <w:t xml:space="preserve"> Abad, A. R., Mousavi, S., </w:t>
      </w:r>
      <w:proofErr w:type="spellStart"/>
      <w:r w:rsidRPr="00CF0709">
        <w:rPr>
          <w:rFonts w:ascii="Arial" w:hAnsi="Arial" w:cs="Arial"/>
        </w:rPr>
        <w:t>Mohamadian</w:t>
      </w:r>
      <w:proofErr w:type="spellEnd"/>
      <w:r w:rsidRPr="00CF0709">
        <w:rPr>
          <w:rFonts w:ascii="Arial" w:hAnsi="Arial" w:cs="Arial"/>
        </w:rPr>
        <w:t xml:space="preserve">, N., Wood, D. A., Ghorbani, H., Davoodi, S., Alvar, M. A., &amp; Shahbazi, K. (2021). Hybrid machine learning algorithms to predict condensate viscosity in the near wellbore regions of gas condensate reservoirs. </w:t>
      </w:r>
      <w:r w:rsidRPr="00CF0709">
        <w:rPr>
          <w:rFonts w:ascii="Arial" w:hAnsi="Arial" w:cs="Arial"/>
          <w:i/>
          <w:iCs/>
        </w:rPr>
        <w:t>Journal of Natural Gas Science and Engineering</w:t>
      </w:r>
      <w:r w:rsidRPr="00CF0709">
        <w:rPr>
          <w:rFonts w:ascii="Arial" w:hAnsi="Arial" w:cs="Arial"/>
        </w:rPr>
        <w:t xml:space="preserve">, </w:t>
      </w:r>
      <w:r w:rsidRPr="00CF0709">
        <w:rPr>
          <w:rFonts w:ascii="Arial" w:hAnsi="Arial" w:cs="Arial"/>
          <w:i/>
          <w:iCs/>
        </w:rPr>
        <w:t>95</w:t>
      </w:r>
      <w:r w:rsidRPr="00CF0709">
        <w:rPr>
          <w:rFonts w:ascii="Arial" w:hAnsi="Arial" w:cs="Arial"/>
        </w:rPr>
        <w:t>, 104210. https://doi.org/10.1016/j.jngse.2021.104210</w:t>
      </w:r>
    </w:p>
    <w:p w14:paraId="3894355E" w14:textId="5600EF8C" w:rsidR="00CF0709" w:rsidRPr="00CF0709" w:rsidRDefault="00CF0709" w:rsidP="00CF0709">
      <w:pPr>
        <w:ind w:left="720" w:hanging="720"/>
        <w:jc w:val="both"/>
        <w:rPr>
          <w:rFonts w:ascii="Arial" w:hAnsi="Arial" w:cs="Arial"/>
        </w:rPr>
      </w:pPr>
      <w:r>
        <w:rPr>
          <w:rFonts w:ascii="Arial" w:hAnsi="Arial" w:cs="Arial"/>
        </w:rPr>
        <w:t>20.</w:t>
      </w:r>
      <w:r>
        <w:rPr>
          <w:rFonts w:ascii="Arial" w:hAnsi="Arial" w:cs="Arial"/>
        </w:rPr>
        <w:tab/>
      </w:r>
      <w:r w:rsidRPr="00CF0709">
        <w:rPr>
          <w:rFonts w:ascii="Arial" w:hAnsi="Arial" w:cs="Arial"/>
        </w:rPr>
        <w:t xml:space="preserve">Daniel, G. V. V. (2023). Machine Learning Applied to Viscosity Prediction: A Case Study. </w:t>
      </w:r>
      <w:r w:rsidRPr="00CF0709">
        <w:rPr>
          <w:rFonts w:ascii="Arial" w:hAnsi="Arial" w:cs="Arial"/>
          <w:i/>
          <w:iCs/>
        </w:rPr>
        <w:t>WSEAS TRANSACTIONS on COMPUTERS</w:t>
      </w:r>
      <w:r w:rsidRPr="00CF0709">
        <w:rPr>
          <w:rFonts w:ascii="Arial" w:hAnsi="Arial" w:cs="Arial"/>
        </w:rPr>
        <w:t xml:space="preserve">, </w:t>
      </w:r>
      <w:r w:rsidRPr="00CF0709">
        <w:rPr>
          <w:rFonts w:ascii="Arial" w:hAnsi="Arial" w:cs="Arial"/>
          <w:i/>
          <w:iCs/>
        </w:rPr>
        <w:t>22</w:t>
      </w:r>
      <w:r w:rsidRPr="00CF0709">
        <w:rPr>
          <w:rFonts w:ascii="Arial" w:hAnsi="Arial" w:cs="Arial"/>
        </w:rPr>
        <w:t>, 277–283. https://doi.org/10.37394/23205.2023.22.31</w:t>
      </w:r>
    </w:p>
    <w:p w14:paraId="28D02BF8" w14:textId="02DEFDCD" w:rsidR="00CF0709" w:rsidRPr="00CF0709" w:rsidRDefault="00CF0709" w:rsidP="00CF0709">
      <w:pPr>
        <w:ind w:left="720" w:hanging="720"/>
        <w:jc w:val="both"/>
        <w:rPr>
          <w:rFonts w:ascii="Arial" w:hAnsi="Arial" w:cs="Arial"/>
        </w:rPr>
      </w:pPr>
      <w:r>
        <w:rPr>
          <w:rFonts w:ascii="Arial" w:hAnsi="Arial" w:cs="Arial"/>
        </w:rPr>
        <w:t>21.</w:t>
      </w:r>
      <w:r>
        <w:rPr>
          <w:rFonts w:ascii="Arial" w:hAnsi="Arial" w:cs="Arial"/>
        </w:rPr>
        <w:tab/>
      </w:r>
      <w:proofErr w:type="spellStart"/>
      <w:r w:rsidRPr="00CF0709">
        <w:rPr>
          <w:rFonts w:ascii="Arial" w:hAnsi="Arial" w:cs="Arial"/>
        </w:rPr>
        <w:t>Deumah</w:t>
      </w:r>
      <w:proofErr w:type="spellEnd"/>
      <w:r w:rsidRPr="00CF0709">
        <w:rPr>
          <w:rFonts w:ascii="Arial" w:hAnsi="Arial" w:cs="Arial"/>
        </w:rPr>
        <w:t>, S. S., Yahya, W. A., Al-</w:t>
      </w:r>
      <w:proofErr w:type="spellStart"/>
      <w:r w:rsidRPr="00CF0709">
        <w:rPr>
          <w:rFonts w:ascii="Arial" w:hAnsi="Arial" w:cs="Arial"/>
        </w:rPr>
        <w:t>khudafi</w:t>
      </w:r>
      <w:proofErr w:type="spellEnd"/>
      <w:r w:rsidRPr="00CF0709">
        <w:rPr>
          <w:rFonts w:ascii="Arial" w:hAnsi="Arial" w:cs="Arial"/>
        </w:rPr>
        <w:t xml:space="preserve">, A. M., Ba-Jaalah, K. S., &amp; Al-Absi, W. T. (2021). Prediction of Gas Viscosity of Yemeni Gas Fields Using Machine Learning Techniques. </w:t>
      </w:r>
      <w:r w:rsidRPr="00CF0709">
        <w:rPr>
          <w:rFonts w:ascii="Arial" w:hAnsi="Arial" w:cs="Arial"/>
          <w:i/>
          <w:iCs/>
        </w:rPr>
        <w:t>Paper Presented at the SPE Symposium: Artificial Intelligence - towards a Resilient and Efficient Energy Industry, Virtual, October 2021</w:t>
      </w:r>
      <w:r w:rsidRPr="00CF0709">
        <w:rPr>
          <w:rFonts w:ascii="Arial" w:hAnsi="Arial" w:cs="Arial"/>
        </w:rPr>
        <w:t>. https://doi.org/10.2118/208667-ms</w:t>
      </w:r>
    </w:p>
    <w:p w14:paraId="57781DDB" w14:textId="2283FC9E" w:rsidR="00CF0709" w:rsidRPr="00E00015" w:rsidRDefault="00CF0709" w:rsidP="00102CB0">
      <w:pPr>
        <w:ind w:left="720" w:hanging="720"/>
        <w:jc w:val="both"/>
        <w:rPr>
          <w:rFonts w:ascii="Arial" w:hAnsi="Arial" w:cs="Arial"/>
        </w:rPr>
      </w:pPr>
      <w:r>
        <w:rPr>
          <w:rFonts w:ascii="Arial" w:hAnsi="Arial" w:cs="Arial"/>
        </w:rPr>
        <w:t>22.</w:t>
      </w:r>
      <w:r>
        <w:rPr>
          <w:rFonts w:ascii="Arial" w:hAnsi="Arial" w:cs="Arial"/>
        </w:rPr>
        <w:tab/>
      </w:r>
      <w:r w:rsidRPr="00CF0709">
        <w:rPr>
          <w:rFonts w:ascii="Arial" w:hAnsi="Arial" w:cs="Arial"/>
        </w:rPr>
        <w:t>Gomaa, S., Abdalla, M., Salem, K. G., Nasr, K., Emara, R., Wang, Q., &amp; El-</w:t>
      </w:r>
      <w:proofErr w:type="spellStart"/>
      <w:r w:rsidRPr="00CF0709">
        <w:rPr>
          <w:rFonts w:ascii="Arial" w:hAnsi="Arial" w:cs="Arial"/>
        </w:rPr>
        <w:t>hoshoudy</w:t>
      </w:r>
      <w:proofErr w:type="spellEnd"/>
      <w:r w:rsidRPr="00CF0709">
        <w:rPr>
          <w:rFonts w:ascii="Arial" w:hAnsi="Arial" w:cs="Arial"/>
        </w:rPr>
        <w:t xml:space="preserve">, A. N. (2024). Machine learning prediction of methane, nitrogen, and natural gas mixture viscosities under normal and harsh conditions. </w:t>
      </w:r>
      <w:r w:rsidRPr="00CF0709">
        <w:rPr>
          <w:rFonts w:ascii="Arial" w:hAnsi="Arial" w:cs="Arial"/>
          <w:i/>
          <w:iCs/>
        </w:rPr>
        <w:t>Scientific Reports</w:t>
      </w:r>
      <w:r w:rsidRPr="00CF0709">
        <w:rPr>
          <w:rFonts w:ascii="Arial" w:hAnsi="Arial" w:cs="Arial"/>
        </w:rPr>
        <w:t xml:space="preserve">, </w:t>
      </w:r>
      <w:r w:rsidRPr="00CF0709">
        <w:rPr>
          <w:rFonts w:ascii="Arial" w:hAnsi="Arial" w:cs="Arial"/>
          <w:i/>
          <w:iCs/>
        </w:rPr>
        <w:t>14</w:t>
      </w:r>
      <w:r w:rsidRPr="00CF0709">
        <w:rPr>
          <w:rFonts w:ascii="Arial" w:hAnsi="Arial" w:cs="Arial"/>
        </w:rPr>
        <w:t>(1), 15155. https://doi.org/10.1038/s41598-024-64752-8</w:t>
      </w:r>
    </w:p>
    <w:p w14:paraId="7FB9251A" w14:textId="7685A8A9" w:rsidR="00CF0709" w:rsidRDefault="00CF0709" w:rsidP="00CF0709">
      <w:pPr>
        <w:jc w:val="both"/>
        <w:rPr>
          <w:rFonts w:ascii="Arial" w:hAnsi="Arial" w:cs="Arial"/>
        </w:rPr>
      </w:pPr>
      <w:r>
        <w:rPr>
          <w:rFonts w:ascii="Arial" w:hAnsi="Arial" w:cs="Arial"/>
        </w:rPr>
        <w:t>23.</w:t>
      </w:r>
      <w:r>
        <w:rPr>
          <w:rFonts w:ascii="Arial" w:hAnsi="Arial" w:cs="Arial"/>
        </w:rPr>
        <w:tab/>
      </w:r>
      <w:r w:rsidRPr="00E00015">
        <w:rPr>
          <w:rFonts w:ascii="Arial" w:hAnsi="Arial" w:cs="Arial"/>
        </w:rPr>
        <w:t xml:space="preserve">Katz, D. L. (1959). </w:t>
      </w:r>
      <w:r w:rsidRPr="00E00015">
        <w:rPr>
          <w:rFonts w:ascii="Arial" w:hAnsi="Arial" w:cs="Arial"/>
          <w:i/>
          <w:iCs/>
        </w:rPr>
        <w:t>Handbook of natural gas engineering</w:t>
      </w:r>
      <w:r w:rsidRPr="00E00015">
        <w:rPr>
          <w:rFonts w:ascii="Arial" w:hAnsi="Arial" w:cs="Arial"/>
        </w:rPr>
        <w:t>. McGraw-Hill.</w:t>
      </w:r>
    </w:p>
    <w:p w14:paraId="5DBC20C1" w14:textId="2725E0D8" w:rsidR="00302054" w:rsidRPr="00E00015" w:rsidRDefault="00CF0709" w:rsidP="00BC411A">
      <w:pPr>
        <w:ind w:left="720" w:hanging="720"/>
        <w:jc w:val="both"/>
        <w:rPr>
          <w:rFonts w:ascii="Arial" w:hAnsi="Arial" w:cs="Arial"/>
        </w:rPr>
      </w:pPr>
      <w:r>
        <w:rPr>
          <w:rFonts w:ascii="Arial" w:hAnsi="Arial" w:cs="Arial"/>
        </w:rPr>
        <w:t>24</w:t>
      </w:r>
      <w:r w:rsidR="00BC411A">
        <w:rPr>
          <w:rFonts w:ascii="Arial" w:hAnsi="Arial" w:cs="Arial"/>
        </w:rPr>
        <w:t>.</w:t>
      </w:r>
      <w:r w:rsidR="00BC411A">
        <w:rPr>
          <w:rFonts w:ascii="Arial" w:hAnsi="Arial" w:cs="Arial"/>
        </w:rPr>
        <w:tab/>
      </w:r>
      <w:proofErr w:type="spellStart"/>
      <w:r w:rsidR="00302054" w:rsidRPr="00E00015">
        <w:rPr>
          <w:rFonts w:ascii="Arial" w:hAnsi="Arial" w:cs="Arial"/>
        </w:rPr>
        <w:t>Ikoku</w:t>
      </w:r>
      <w:proofErr w:type="spellEnd"/>
      <w:r w:rsidR="00302054" w:rsidRPr="00E00015">
        <w:rPr>
          <w:rFonts w:ascii="Arial" w:hAnsi="Arial" w:cs="Arial"/>
        </w:rPr>
        <w:t xml:space="preserve">, C. U. (1992). </w:t>
      </w:r>
      <w:r w:rsidR="00302054" w:rsidRPr="00E00015">
        <w:rPr>
          <w:rFonts w:ascii="Arial" w:hAnsi="Arial" w:cs="Arial"/>
          <w:i/>
          <w:iCs/>
        </w:rPr>
        <w:t>Natural gas production engineering</w:t>
      </w:r>
      <w:r w:rsidR="00302054" w:rsidRPr="00E00015">
        <w:rPr>
          <w:rFonts w:ascii="Arial" w:hAnsi="Arial" w:cs="Arial"/>
        </w:rPr>
        <w:t xml:space="preserve">. Krieger Publishing </w:t>
      </w:r>
      <w:r w:rsidR="00BC411A">
        <w:rPr>
          <w:rFonts w:ascii="Arial" w:hAnsi="Arial" w:cs="Arial"/>
        </w:rPr>
        <w:t>Company. p</w:t>
      </w:r>
      <w:r w:rsidR="00302054" w:rsidRPr="00E00015">
        <w:rPr>
          <w:rFonts w:ascii="Arial" w:hAnsi="Arial" w:cs="Arial"/>
        </w:rPr>
        <w:t>p 24-65.</w:t>
      </w:r>
    </w:p>
    <w:p w14:paraId="15417371" w14:textId="00440ACB" w:rsidR="00302054" w:rsidRPr="00E00015" w:rsidRDefault="00026EE5" w:rsidP="00026EE5">
      <w:pPr>
        <w:ind w:left="720" w:hanging="720"/>
        <w:jc w:val="both"/>
        <w:rPr>
          <w:rFonts w:ascii="Arial" w:hAnsi="Arial" w:cs="Arial"/>
        </w:rPr>
      </w:pPr>
      <w:r>
        <w:rPr>
          <w:rFonts w:ascii="Arial" w:hAnsi="Arial" w:cs="Arial"/>
        </w:rPr>
        <w:t>2</w:t>
      </w:r>
      <w:r w:rsidR="00CF0709">
        <w:rPr>
          <w:rFonts w:ascii="Arial" w:hAnsi="Arial" w:cs="Arial"/>
        </w:rPr>
        <w:t>5</w:t>
      </w:r>
      <w:r>
        <w:rPr>
          <w:rFonts w:ascii="Arial" w:hAnsi="Arial" w:cs="Arial"/>
        </w:rPr>
        <w:t>.</w:t>
      </w:r>
      <w:r>
        <w:rPr>
          <w:rFonts w:ascii="Arial" w:hAnsi="Arial" w:cs="Arial"/>
        </w:rPr>
        <w:tab/>
      </w:r>
      <w:r w:rsidR="00302054" w:rsidRPr="00E00015">
        <w:rPr>
          <w:rFonts w:ascii="Arial" w:hAnsi="Arial" w:cs="Arial"/>
        </w:rPr>
        <w:t xml:space="preserve">Azubuike, I. I., </w:t>
      </w:r>
      <w:proofErr w:type="spellStart"/>
      <w:r w:rsidR="00302054" w:rsidRPr="00E00015">
        <w:rPr>
          <w:rFonts w:ascii="Arial" w:hAnsi="Arial" w:cs="Arial"/>
        </w:rPr>
        <w:t>Ikiensikimama</w:t>
      </w:r>
      <w:proofErr w:type="spellEnd"/>
      <w:r w:rsidR="00302054" w:rsidRPr="00E00015">
        <w:rPr>
          <w:rFonts w:ascii="Arial" w:hAnsi="Arial" w:cs="Arial"/>
        </w:rPr>
        <w:t xml:space="preserve">, S. S., &amp; </w:t>
      </w:r>
      <w:proofErr w:type="spellStart"/>
      <w:r w:rsidR="00302054" w:rsidRPr="00E00015">
        <w:rPr>
          <w:rFonts w:ascii="Arial" w:hAnsi="Arial" w:cs="Arial"/>
        </w:rPr>
        <w:t>Orodu</w:t>
      </w:r>
      <w:proofErr w:type="spellEnd"/>
      <w:r w:rsidR="00302054" w:rsidRPr="00E00015">
        <w:rPr>
          <w:rFonts w:ascii="Arial" w:hAnsi="Arial" w:cs="Arial"/>
        </w:rPr>
        <w:t xml:space="preserve">, O. D. (2016). Gas viscosity measurement and evaluation for high pressure and high temperature gas reservoir. </w:t>
      </w:r>
      <w:r w:rsidR="00302054" w:rsidRPr="00E00015">
        <w:rPr>
          <w:rFonts w:ascii="Arial" w:hAnsi="Arial" w:cs="Arial"/>
          <w:i/>
          <w:iCs/>
        </w:rPr>
        <w:t>International Journal of</w:t>
      </w:r>
      <w:r w:rsidR="00302054" w:rsidRPr="00E00015">
        <w:rPr>
          <w:rFonts w:ascii="Arial" w:hAnsi="Arial" w:cs="Arial"/>
        </w:rPr>
        <w:t xml:space="preserve"> </w:t>
      </w:r>
      <w:r w:rsidR="00302054" w:rsidRPr="00E00015">
        <w:rPr>
          <w:rFonts w:ascii="Arial" w:hAnsi="Arial" w:cs="Arial"/>
          <w:i/>
          <w:iCs/>
        </w:rPr>
        <w:t>Science and Engineering Investigation, 5</w:t>
      </w:r>
      <w:r w:rsidR="00302054" w:rsidRPr="00E00015">
        <w:rPr>
          <w:rFonts w:ascii="Arial" w:hAnsi="Arial" w:cs="Arial"/>
        </w:rPr>
        <w:t>(54), July. ISSN: 2251-8843.</w:t>
      </w:r>
    </w:p>
    <w:p w14:paraId="0AF67C0A" w14:textId="4874EA61" w:rsidR="00302054" w:rsidRPr="00E00015" w:rsidRDefault="00026EE5" w:rsidP="00026EE5">
      <w:pPr>
        <w:ind w:left="720" w:hanging="720"/>
        <w:jc w:val="both"/>
        <w:rPr>
          <w:rFonts w:ascii="Arial" w:hAnsi="Arial" w:cs="Arial"/>
        </w:rPr>
      </w:pPr>
      <w:r>
        <w:rPr>
          <w:rFonts w:ascii="Arial" w:hAnsi="Arial" w:cs="Arial"/>
        </w:rPr>
        <w:t>2</w:t>
      </w:r>
      <w:r w:rsidR="00CF0709">
        <w:rPr>
          <w:rFonts w:ascii="Arial" w:hAnsi="Arial" w:cs="Arial"/>
        </w:rPr>
        <w:t>6</w:t>
      </w:r>
      <w:r>
        <w:rPr>
          <w:rFonts w:ascii="Arial" w:hAnsi="Arial" w:cs="Arial"/>
        </w:rPr>
        <w:t>.</w:t>
      </w:r>
      <w:r>
        <w:rPr>
          <w:rFonts w:ascii="Arial" w:hAnsi="Arial" w:cs="Arial"/>
        </w:rPr>
        <w:tab/>
      </w:r>
      <w:r w:rsidR="00302054" w:rsidRPr="00E00015">
        <w:rPr>
          <w:rFonts w:ascii="Arial" w:hAnsi="Arial" w:cs="Arial"/>
        </w:rPr>
        <w:t xml:space="preserve">Azubuike, I. I., &amp; </w:t>
      </w:r>
      <w:proofErr w:type="spellStart"/>
      <w:r w:rsidR="00302054" w:rsidRPr="00E00015">
        <w:rPr>
          <w:rFonts w:ascii="Arial" w:hAnsi="Arial" w:cs="Arial"/>
        </w:rPr>
        <w:t>Ikiensikimama</w:t>
      </w:r>
      <w:proofErr w:type="spellEnd"/>
      <w:r w:rsidR="00302054" w:rsidRPr="00E00015">
        <w:rPr>
          <w:rFonts w:ascii="Arial" w:hAnsi="Arial" w:cs="Arial"/>
        </w:rPr>
        <w:t xml:space="preserve">, S. S. (2020). Modeling gas viscosity of high-pressure high temperature conditions using artificial neural network. </w:t>
      </w:r>
      <w:r w:rsidR="00302054" w:rsidRPr="00E00015">
        <w:rPr>
          <w:rFonts w:ascii="Arial" w:hAnsi="Arial" w:cs="Arial"/>
          <w:i/>
          <w:iCs/>
        </w:rPr>
        <w:t>American Journal of Engineering</w:t>
      </w:r>
      <w:r w:rsidR="00302054" w:rsidRPr="00E00015">
        <w:rPr>
          <w:rFonts w:ascii="Arial" w:hAnsi="Arial" w:cs="Arial"/>
        </w:rPr>
        <w:t xml:space="preserve"> </w:t>
      </w:r>
      <w:r w:rsidR="00302054" w:rsidRPr="00E00015">
        <w:rPr>
          <w:rFonts w:ascii="Arial" w:hAnsi="Arial" w:cs="Arial"/>
          <w:i/>
          <w:iCs/>
        </w:rPr>
        <w:t>Research, 9</w:t>
      </w:r>
      <w:r w:rsidR="00302054" w:rsidRPr="00E00015">
        <w:rPr>
          <w:rFonts w:ascii="Arial" w:hAnsi="Arial" w:cs="Arial"/>
        </w:rPr>
        <w:t>(5), 1–9.</w:t>
      </w:r>
    </w:p>
    <w:p w14:paraId="2D0131C6" w14:textId="4EB2C867" w:rsidR="00302054" w:rsidRPr="00E00015" w:rsidRDefault="00026EE5" w:rsidP="00026EE5">
      <w:pPr>
        <w:ind w:left="720" w:hanging="720"/>
        <w:jc w:val="both"/>
        <w:rPr>
          <w:rFonts w:ascii="Arial" w:hAnsi="Arial" w:cs="Arial"/>
          <w:i/>
          <w:iCs/>
        </w:rPr>
      </w:pPr>
      <w:r>
        <w:rPr>
          <w:rFonts w:ascii="Arial" w:hAnsi="Arial" w:cs="Arial"/>
        </w:rPr>
        <w:t>2</w:t>
      </w:r>
      <w:r w:rsidR="00CF0709">
        <w:rPr>
          <w:rFonts w:ascii="Arial" w:hAnsi="Arial" w:cs="Arial"/>
        </w:rPr>
        <w:t>7</w:t>
      </w:r>
      <w:r>
        <w:rPr>
          <w:rFonts w:ascii="Arial" w:hAnsi="Arial" w:cs="Arial"/>
        </w:rPr>
        <w:t>.</w:t>
      </w:r>
      <w:r>
        <w:rPr>
          <w:rFonts w:ascii="Arial" w:hAnsi="Arial" w:cs="Arial"/>
        </w:rPr>
        <w:tab/>
      </w:r>
      <w:r w:rsidR="00302054" w:rsidRPr="00E00015">
        <w:rPr>
          <w:rFonts w:ascii="Arial" w:hAnsi="Arial" w:cs="Arial"/>
        </w:rPr>
        <w:t xml:space="preserve">Fortune A.A &amp; </w:t>
      </w:r>
      <w:proofErr w:type="spellStart"/>
      <w:r w:rsidR="00302054" w:rsidRPr="00E00015">
        <w:rPr>
          <w:rFonts w:ascii="Arial" w:hAnsi="Arial" w:cs="Arial"/>
        </w:rPr>
        <w:t>Mbachu</w:t>
      </w:r>
      <w:proofErr w:type="spellEnd"/>
      <w:r w:rsidR="00302054" w:rsidRPr="00E00015">
        <w:rPr>
          <w:rFonts w:ascii="Arial" w:hAnsi="Arial" w:cs="Arial"/>
        </w:rPr>
        <w:t xml:space="preserve"> I.I., (2022). Modeling Natural Gas Viscosity for Niger Delta Region Using Support Vector Machine (SVM) Algorithm. </w:t>
      </w:r>
      <w:r w:rsidR="00302054" w:rsidRPr="00E00015">
        <w:rPr>
          <w:rFonts w:ascii="Arial" w:hAnsi="Arial" w:cs="Arial"/>
          <w:i/>
          <w:iCs/>
        </w:rPr>
        <w:t>International Journal of Research in Engineering and Science,</w:t>
      </w:r>
      <w:r w:rsidR="00302054" w:rsidRPr="00E00015">
        <w:rPr>
          <w:rFonts w:ascii="Arial" w:hAnsi="Arial" w:cs="Arial"/>
        </w:rPr>
        <w:t xml:space="preserve"> 10(3), 51-61</w:t>
      </w:r>
    </w:p>
    <w:p w14:paraId="0C552553" w14:textId="77777777" w:rsidR="004D4277" w:rsidRPr="00FB3A86" w:rsidRDefault="004D4277" w:rsidP="00441B6F">
      <w:pPr>
        <w:pStyle w:val="Appendix"/>
        <w:spacing w:after="0"/>
        <w:jc w:val="both"/>
        <w:rPr>
          <w:rFonts w:ascii="Arial" w:hAnsi="Arial" w:cs="Arial"/>
          <w:b w:val="0"/>
        </w:rPr>
        <w:sectPr w:rsidR="004D4277" w:rsidRPr="00FB3A86" w:rsidSect="00AA1016">
          <w:headerReference w:type="even" r:id="rId33"/>
          <w:headerReference w:type="default" r:id="rId34"/>
          <w:footerReference w:type="default" r:id="rId35"/>
          <w:headerReference w:type="first" r:id="rId36"/>
          <w:type w:val="continuous"/>
          <w:pgSz w:w="12240" w:h="15840"/>
          <w:pgMar w:top="1440" w:right="2016" w:bottom="2016" w:left="2016" w:header="720" w:footer="1123" w:gutter="0"/>
          <w:cols w:space="720"/>
          <w:docGrid w:linePitch="272"/>
        </w:sectPr>
      </w:pPr>
    </w:p>
    <w:p w14:paraId="3985930E" w14:textId="77777777" w:rsidR="00B01FCD" w:rsidRPr="00FB3A86" w:rsidRDefault="00B01FCD" w:rsidP="00441B6F">
      <w:pPr>
        <w:pStyle w:val="Appendix"/>
        <w:spacing w:after="0"/>
        <w:jc w:val="both"/>
        <w:rPr>
          <w:rFonts w:ascii="Arial" w:hAnsi="Arial" w:cs="Arial"/>
          <w:b w:val="0"/>
        </w:rPr>
      </w:pPr>
    </w:p>
    <w:sectPr w:rsidR="00B01FCD" w:rsidRPr="00FB3A86" w:rsidSect="00AA10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29576" w14:textId="77777777" w:rsidR="00126BF0" w:rsidRDefault="00126BF0" w:rsidP="00C37E61">
      <w:r>
        <w:separator/>
      </w:r>
    </w:p>
  </w:endnote>
  <w:endnote w:type="continuationSeparator" w:id="0">
    <w:p w14:paraId="03A9CEBA" w14:textId="77777777" w:rsidR="00126BF0" w:rsidRDefault="00126B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2C26E" w14:textId="77777777" w:rsidR="008D0C82" w:rsidRDefault="008D0C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A485" w14:textId="77777777" w:rsidR="008D0C82" w:rsidRDefault="008D0C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CB014" w14:textId="77777777" w:rsidR="003729E1" w:rsidRDefault="003729E1">
    <w:pPr>
      <w:pStyle w:val="Footer"/>
      <w:rPr>
        <w:rFonts w:ascii="Arial" w:hAnsi="Arial" w:cs="Arial"/>
        <w:sz w:val="16"/>
      </w:rPr>
    </w:pPr>
  </w:p>
  <w:p w14:paraId="0D8BD971" w14:textId="77777777" w:rsidR="003729E1" w:rsidRDefault="003729E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921865D" w14:textId="77777777" w:rsidR="003729E1" w:rsidRDefault="003729E1">
    <w:pPr>
      <w:pStyle w:val="Footer"/>
      <w:rPr>
        <w:rFonts w:ascii="Arial" w:hAnsi="Arial" w:cs="Arial"/>
        <w:sz w:val="16"/>
      </w:rPr>
    </w:pPr>
  </w:p>
  <w:p w14:paraId="262C6E1C" w14:textId="76D5FFB3" w:rsidR="003729E1" w:rsidRPr="009E048A" w:rsidRDefault="003729E1">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11162" w14:textId="77777777" w:rsidR="003729E1" w:rsidRPr="00C37E61" w:rsidRDefault="003729E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34D76" w14:textId="77777777" w:rsidR="00126BF0" w:rsidRDefault="00126BF0" w:rsidP="00C37E61">
      <w:r>
        <w:separator/>
      </w:r>
    </w:p>
  </w:footnote>
  <w:footnote w:type="continuationSeparator" w:id="0">
    <w:p w14:paraId="7B27B157" w14:textId="77777777" w:rsidR="00126BF0" w:rsidRDefault="00126BF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F5CBF" w14:textId="052B3EE3" w:rsidR="008D0C82" w:rsidRDefault="003E4269">
    <w:pPr>
      <w:pStyle w:val="Header"/>
    </w:pPr>
    <w:r>
      <w:rPr>
        <w:noProof/>
      </w:rPr>
      <w:pict w14:anchorId="30534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07476" w14:textId="39D701BB" w:rsidR="008D0C82" w:rsidRDefault="003E4269">
    <w:pPr>
      <w:pStyle w:val="Header"/>
    </w:pPr>
    <w:r>
      <w:rPr>
        <w:noProof/>
      </w:rPr>
      <w:pict w14:anchorId="7E706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2898B" w14:textId="13D01496" w:rsidR="003729E1" w:rsidRPr="00296529" w:rsidRDefault="003E4269" w:rsidP="00296529">
    <w:pPr>
      <w:ind w:left="2160"/>
      <w:jc w:val="center"/>
      <w:rPr>
        <w:rFonts w:ascii="Times New Roman" w:eastAsia="Calibri" w:hAnsi="Times New Roman"/>
        <w:i/>
        <w:sz w:val="18"/>
        <w:szCs w:val="22"/>
      </w:rPr>
    </w:pPr>
    <w:r>
      <w:rPr>
        <w:noProof/>
      </w:rPr>
      <w:pict w14:anchorId="6F225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137CA1" w14:textId="77777777" w:rsidR="003729E1" w:rsidRPr="00296529" w:rsidRDefault="003729E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9A0EBF5" w14:textId="77777777" w:rsidR="003729E1" w:rsidRPr="00296529" w:rsidRDefault="003729E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88C3B6" w14:textId="77777777" w:rsidR="003729E1" w:rsidRPr="00296529" w:rsidRDefault="003729E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C8EF51" w14:textId="77777777" w:rsidR="003729E1" w:rsidRDefault="003729E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91B3DE" w14:textId="77777777" w:rsidR="003729E1" w:rsidRDefault="003729E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DAE2365" w14:textId="77777777" w:rsidR="003729E1" w:rsidRDefault="003729E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3ADC6" w14:textId="0AD59AE1" w:rsidR="008D0C82" w:rsidRDefault="003E4269">
    <w:pPr>
      <w:pStyle w:val="Header"/>
    </w:pPr>
    <w:r>
      <w:rPr>
        <w:noProof/>
      </w:rPr>
      <w:pict w14:anchorId="607BDC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22553" w14:textId="2AC8FA19" w:rsidR="008D0C82" w:rsidRDefault="003E4269">
    <w:pPr>
      <w:pStyle w:val="Header"/>
    </w:pPr>
    <w:r>
      <w:rPr>
        <w:noProof/>
      </w:rPr>
      <w:pict w14:anchorId="50641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6B86" w14:textId="41329A74" w:rsidR="008D0C82" w:rsidRDefault="003E4269">
    <w:pPr>
      <w:pStyle w:val="Header"/>
    </w:pPr>
    <w:r>
      <w:rPr>
        <w:noProof/>
      </w:rPr>
      <w:pict w14:anchorId="190A74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585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1E4CA0"/>
    <w:multiLevelType w:val="multilevel"/>
    <w:tmpl w:val="97820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EE5"/>
    <w:rsid w:val="00030174"/>
    <w:rsid w:val="0004579C"/>
    <w:rsid w:val="00055276"/>
    <w:rsid w:val="000A47FA"/>
    <w:rsid w:val="000A65D3"/>
    <w:rsid w:val="000B1E33"/>
    <w:rsid w:val="000D689F"/>
    <w:rsid w:val="000E7B7B"/>
    <w:rsid w:val="000E7D62"/>
    <w:rsid w:val="00102CB0"/>
    <w:rsid w:val="00103357"/>
    <w:rsid w:val="00123C9F"/>
    <w:rsid w:val="00124E3E"/>
    <w:rsid w:val="00126190"/>
    <w:rsid w:val="00126BF0"/>
    <w:rsid w:val="00130F17"/>
    <w:rsid w:val="001320BF"/>
    <w:rsid w:val="00163BC4"/>
    <w:rsid w:val="00191062"/>
    <w:rsid w:val="00192B72"/>
    <w:rsid w:val="001A29D8"/>
    <w:rsid w:val="001A41E4"/>
    <w:rsid w:val="001A5CAA"/>
    <w:rsid w:val="001A608E"/>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270F"/>
    <w:rsid w:val="00302054"/>
    <w:rsid w:val="00315186"/>
    <w:rsid w:val="0033343E"/>
    <w:rsid w:val="003512C2"/>
    <w:rsid w:val="00371FB6"/>
    <w:rsid w:val="003729E1"/>
    <w:rsid w:val="003763C1"/>
    <w:rsid w:val="00376BBE"/>
    <w:rsid w:val="0039224F"/>
    <w:rsid w:val="003A43A4"/>
    <w:rsid w:val="003A7E18"/>
    <w:rsid w:val="003B6AC2"/>
    <w:rsid w:val="003C4C86"/>
    <w:rsid w:val="003C6258"/>
    <w:rsid w:val="003E2904"/>
    <w:rsid w:val="003E3D59"/>
    <w:rsid w:val="003E4269"/>
    <w:rsid w:val="00401927"/>
    <w:rsid w:val="0041027F"/>
    <w:rsid w:val="00412475"/>
    <w:rsid w:val="0042332E"/>
    <w:rsid w:val="00423789"/>
    <w:rsid w:val="00440F43"/>
    <w:rsid w:val="00441B6F"/>
    <w:rsid w:val="00446221"/>
    <w:rsid w:val="00450E62"/>
    <w:rsid w:val="004539DB"/>
    <w:rsid w:val="00471A80"/>
    <w:rsid w:val="004820A8"/>
    <w:rsid w:val="004D1922"/>
    <w:rsid w:val="004D305E"/>
    <w:rsid w:val="004D4277"/>
    <w:rsid w:val="00502516"/>
    <w:rsid w:val="00505F06"/>
    <w:rsid w:val="00506828"/>
    <w:rsid w:val="0053056E"/>
    <w:rsid w:val="00554FDA"/>
    <w:rsid w:val="00595519"/>
    <w:rsid w:val="005C784C"/>
    <w:rsid w:val="005D17F6"/>
    <w:rsid w:val="005E5539"/>
    <w:rsid w:val="00602BF5"/>
    <w:rsid w:val="00617FDD"/>
    <w:rsid w:val="00633614"/>
    <w:rsid w:val="00633F68"/>
    <w:rsid w:val="00635AF7"/>
    <w:rsid w:val="00636EB2"/>
    <w:rsid w:val="006375B8"/>
    <w:rsid w:val="00646ACD"/>
    <w:rsid w:val="0066510A"/>
    <w:rsid w:val="00673F9F"/>
    <w:rsid w:val="00686953"/>
    <w:rsid w:val="00687DEA"/>
    <w:rsid w:val="00687E67"/>
    <w:rsid w:val="006967F7"/>
    <w:rsid w:val="006A250C"/>
    <w:rsid w:val="006B21D3"/>
    <w:rsid w:val="006B57D0"/>
    <w:rsid w:val="006B58AF"/>
    <w:rsid w:val="006D30FF"/>
    <w:rsid w:val="006D6940"/>
    <w:rsid w:val="006F11EC"/>
    <w:rsid w:val="0070082C"/>
    <w:rsid w:val="00706C8D"/>
    <w:rsid w:val="0071044F"/>
    <w:rsid w:val="007369E6"/>
    <w:rsid w:val="007432AE"/>
    <w:rsid w:val="00746E59"/>
    <w:rsid w:val="00754C9A"/>
    <w:rsid w:val="0075599A"/>
    <w:rsid w:val="00761D52"/>
    <w:rsid w:val="0077749E"/>
    <w:rsid w:val="00790ADA"/>
    <w:rsid w:val="007D2288"/>
    <w:rsid w:val="007E088F"/>
    <w:rsid w:val="007F7B32"/>
    <w:rsid w:val="007F7BEA"/>
    <w:rsid w:val="00804BC2"/>
    <w:rsid w:val="0081431A"/>
    <w:rsid w:val="0083216F"/>
    <w:rsid w:val="008474A6"/>
    <w:rsid w:val="00860000"/>
    <w:rsid w:val="008635B2"/>
    <w:rsid w:val="00863BD3"/>
    <w:rsid w:val="008641ED"/>
    <w:rsid w:val="00866D66"/>
    <w:rsid w:val="008671C6"/>
    <w:rsid w:val="00875803"/>
    <w:rsid w:val="008A2E1D"/>
    <w:rsid w:val="008B459E"/>
    <w:rsid w:val="008D0C82"/>
    <w:rsid w:val="008E13AE"/>
    <w:rsid w:val="008E1506"/>
    <w:rsid w:val="008E710C"/>
    <w:rsid w:val="008F69D6"/>
    <w:rsid w:val="00902823"/>
    <w:rsid w:val="00915CA6"/>
    <w:rsid w:val="00927834"/>
    <w:rsid w:val="009500A6"/>
    <w:rsid w:val="00957C18"/>
    <w:rsid w:val="009659BA"/>
    <w:rsid w:val="00971B03"/>
    <w:rsid w:val="00983040"/>
    <w:rsid w:val="00990B6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0F9"/>
    <w:rsid w:val="00A347C0"/>
    <w:rsid w:val="00A51431"/>
    <w:rsid w:val="00A539AD"/>
    <w:rsid w:val="00A60BA1"/>
    <w:rsid w:val="00A6325A"/>
    <w:rsid w:val="00A94063"/>
    <w:rsid w:val="00AA1016"/>
    <w:rsid w:val="00AA4535"/>
    <w:rsid w:val="00AA6219"/>
    <w:rsid w:val="00AA74E0"/>
    <w:rsid w:val="00AB0CF3"/>
    <w:rsid w:val="00AB703F"/>
    <w:rsid w:val="00AC6BB8"/>
    <w:rsid w:val="00AD7689"/>
    <w:rsid w:val="00AE008F"/>
    <w:rsid w:val="00B01FCD"/>
    <w:rsid w:val="00B1776C"/>
    <w:rsid w:val="00B30ED6"/>
    <w:rsid w:val="00B52583"/>
    <w:rsid w:val="00B52896"/>
    <w:rsid w:val="00B73A93"/>
    <w:rsid w:val="00B95236"/>
    <w:rsid w:val="00B96BD9"/>
    <w:rsid w:val="00BA1B01"/>
    <w:rsid w:val="00BA2641"/>
    <w:rsid w:val="00BB37AA"/>
    <w:rsid w:val="00BB4E13"/>
    <w:rsid w:val="00BB5CA1"/>
    <w:rsid w:val="00BC411A"/>
    <w:rsid w:val="00BC53A0"/>
    <w:rsid w:val="00BC5671"/>
    <w:rsid w:val="00BE62AD"/>
    <w:rsid w:val="00BF121F"/>
    <w:rsid w:val="00BF1F80"/>
    <w:rsid w:val="00C166EF"/>
    <w:rsid w:val="00C17EB0"/>
    <w:rsid w:val="00C27F5F"/>
    <w:rsid w:val="00C30A0F"/>
    <w:rsid w:val="00C37E61"/>
    <w:rsid w:val="00C70F1B"/>
    <w:rsid w:val="00C71A47"/>
    <w:rsid w:val="00C7464C"/>
    <w:rsid w:val="00C85588"/>
    <w:rsid w:val="00CB2C87"/>
    <w:rsid w:val="00CD6755"/>
    <w:rsid w:val="00CD6856"/>
    <w:rsid w:val="00CE0089"/>
    <w:rsid w:val="00CE793C"/>
    <w:rsid w:val="00CF0709"/>
    <w:rsid w:val="00CF193C"/>
    <w:rsid w:val="00D173F1"/>
    <w:rsid w:val="00D74CB0"/>
    <w:rsid w:val="00D8295D"/>
    <w:rsid w:val="00D97A73"/>
    <w:rsid w:val="00DA2345"/>
    <w:rsid w:val="00DB26F2"/>
    <w:rsid w:val="00DC2A65"/>
    <w:rsid w:val="00DE15F0"/>
    <w:rsid w:val="00DE5663"/>
    <w:rsid w:val="00DE78AA"/>
    <w:rsid w:val="00E053D0"/>
    <w:rsid w:val="00E1021D"/>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A14"/>
    <w:rsid w:val="00EF7FD8"/>
    <w:rsid w:val="00F06F59"/>
    <w:rsid w:val="00F06FBB"/>
    <w:rsid w:val="00F17988"/>
    <w:rsid w:val="00F25741"/>
    <w:rsid w:val="00F420D0"/>
    <w:rsid w:val="00F469F0"/>
    <w:rsid w:val="00F53273"/>
    <w:rsid w:val="00F74877"/>
    <w:rsid w:val="00F755E4"/>
    <w:rsid w:val="00F77D02"/>
    <w:rsid w:val="00FB3A86"/>
    <w:rsid w:val="00FC26A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31634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B30ED6"/>
  </w:style>
  <w:style w:type="paragraph" w:styleId="ListParagraph">
    <w:name w:val="List Paragraph"/>
    <w:basedOn w:val="Normal"/>
    <w:uiPriority w:val="34"/>
    <w:qFormat/>
    <w:rsid w:val="0071044F"/>
    <w:pPr>
      <w:spacing w:after="160" w:line="278" w:lineRule="auto"/>
      <w:ind w:left="720"/>
      <w:contextualSpacing/>
    </w:pPr>
    <w:rPr>
      <w:rFonts w:asciiTheme="minorHAnsi" w:eastAsiaTheme="minorHAnsi" w:hAnsiTheme="minorHAnsi" w:cstheme="minorBidi"/>
      <w:kern w:val="2"/>
      <w:sz w:val="24"/>
      <w:szCs w:val="24"/>
    </w:rPr>
  </w:style>
  <w:style w:type="character" w:customStyle="1" w:styleId="UnresolvedMention2">
    <w:name w:val="Unresolved Mention2"/>
    <w:basedOn w:val="DefaultParagraphFont"/>
    <w:uiPriority w:val="99"/>
    <w:semiHidden/>
    <w:unhideWhenUsed/>
    <w:rsid w:val="001A608E"/>
    <w:rPr>
      <w:color w:val="605E5C"/>
      <w:shd w:val="clear" w:color="auto" w:fill="E1DFDD"/>
    </w:rPr>
  </w:style>
  <w:style w:type="paragraph" w:styleId="NormalWeb">
    <w:name w:val="Normal (Web)"/>
    <w:basedOn w:val="Normal"/>
    <w:semiHidden/>
    <w:unhideWhenUsed/>
    <w:rsid w:val="00CF070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wmf"/><Relationship Id="rId26" Type="http://schemas.openxmlformats.org/officeDocument/2006/relationships/image" Target="media/image8.wmf"/><Relationship Id="rId21" Type="http://schemas.openxmlformats.org/officeDocument/2006/relationships/oleObject" Target="embeddings/oleObject3.bin"/><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oleObject" Target="embeddings/oleObject5.bin"/><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w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wmf"/><Relationship Id="rId32" Type="http://schemas.openxmlformats.org/officeDocument/2006/relationships/image" Target="media/image13.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image" Target="media/image9.emf"/><Relationship Id="rId36" Type="http://schemas.openxmlformats.org/officeDocument/2006/relationships/header" Target="header6.xml"/><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image" Target="media/image11.png"/><Relationship Id="rId35"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62594-0FD5-48B5-BFC8-39B3BBC9B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14</Pages>
  <Words>5345</Words>
  <Characters>32383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37653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cp:revision>
  <cp:lastPrinted>1999-07-06T11:00:00Z</cp:lastPrinted>
  <dcterms:created xsi:type="dcterms:W3CDTF">2026-02-03T01:19:00Z</dcterms:created>
  <dcterms:modified xsi:type="dcterms:W3CDTF">2026-02-04T04:47:00Z</dcterms:modified>
</cp:coreProperties>
</file>