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1AF0" w:rsidRDefault="00B2073A">
      <w:pPr>
        <w:spacing w:after="0" w:line="360" w:lineRule="auto"/>
        <w:jc w:val="center"/>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t>Feasibility Study of a Combined Gas Turbine and a Multi-Effect Distillation Unit</w:t>
      </w:r>
    </w:p>
    <w:p w:rsidR="00951AF0" w:rsidRDefault="00951AF0">
      <w:pPr>
        <w:shd w:val="clear" w:color="auto" w:fill="FFFFFF"/>
        <w:spacing w:after="0" w:line="240" w:lineRule="auto"/>
        <w:jc w:val="center"/>
        <w:rPr>
          <w:rFonts w:ascii="Helvetica Neue" w:eastAsia="Helvetica Neue" w:hAnsi="Helvetica Neue" w:cs="Helvetica Neue"/>
          <w:color w:val="1D1D1D"/>
          <w:sz w:val="21"/>
          <w:szCs w:val="21"/>
        </w:rPr>
      </w:pPr>
    </w:p>
    <w:p w:rsidR="00951AF0" w:rsidRDefault="00951AF0">
      <w:pPr>
        <w:spacing w:before="280" w:after="0" w:line="360" w:lineRule="auto"/>
        <w:rPr>
          <w:rFonts w:ascii="Times New Roman" w:eastAsia="Times New Roman" w:hAnsi="Times New Roman" w:cs="Times New Roman"/>
          <w:color w:val="0F1115"/>
          <w:sz w:val="24"/>
          <w:szCs w:val="24"/>
        </w:rPr>
      </w:pPr>
    </w:p>
    <w:p w:rsidR="00951AF0" w:rsidRDefault="00B2073A">
      <w:pPr>
        <w:spacing w:before="240" w:after="0" w:line="360" w:lineRule="auto"/>
        <w:ind w:left="-142"/>
        <w:rPr>
          <w:rFonts w:ascii="Times New Roman" w:eastAsia="Times New Roman" w:hAnsi="Times New Roman" w:cs="Times New Roman"/>
          <w:color w:val="0F1115"/>
          <w:sz w:val="24"/>
          <w:szCs w:val="24"/>
        </w:rPr>
      </w:pPr>
      <w:r>
        <w:rPr>
          <w:rFonts w:ascii="Times New Roman" w:eastAsia="Times New Roman" w:hAnsi="Times New Roman" w:cs="Times New Roman"/>
          <w:b/>
          <w:bCs/>
          <w:color w:val="0F1115"/>
          <w:sz w:val="24"/>
          <w:szCs w:val="24"/>
        </w:rPr>
        <w:t>Abstract</w:t>
      </w:r>
    </w:p>
    <w:p w:rsidR="00951AF0" w:rsidRDefault="00B2073A">
      <w:pPr>
        <w:spacing w:after="0" w:line="36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Researchers and engineers are creating pertinent solutions to deal with water stress and rising energy </w:t>
      </w:r>
      <w:proofErr w:type="gramStart"/>
      <w:r>
        <w:rPr>
          <w:rFonts w:ascii="Times New Roman" w:eastAsia="Times New Roman" w:hAnsi="Times New Roman" w:cs="Times New Roman"/>
          <w:sz w:val="24"/>
          <w:szCs w:val="24"/>
        </w:rPr>
        <w:t>demand.A</w:t>
      </w:r>
      <w:proofErr w:type="gramEnd"/>
      <w:r>
        <w:rPr>
          <w:rFonts w:ascii="Times New Roman" w:eastAsia="Times New Roman" w:hAnsi="Times New Roman" w:cs="Times New Roman"/>
          <w:sz w:val="24"/>
          <w:szCs w:val="24"/>
        </w:rPr>
        <w:t> very effective method is the cogeneration of thermal and electrical energy from a single </w:t>
      </w:r>
    </w:p>
    <w:p w:rsidR="00951AF0" w:rsidRDefault="00B2073A">
      <w:pPr>
        <w:spacing w:after="0" w:line="36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primary source. The integration of gas turbines with a multieffect distillation (MED) desalination unit is described in this article. This synergy dramatically increases overall fuel efficiency to approximately 67%, lowers specific </w:t>
      </w:r>
    </w:p>
    <w:p w:rsidR="00951AF0" w:rsidRDefault="00B2073A">
      <w:pPr>
        <w:spacing w:after="0" w:line="36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greenhouse gas emissions per unit of water and power produced, and lowers operating costs </w:t>
      </w:r>
    </w:p>
    <w:p w:rsidR="00951AF0" w:rsidRDefault="00B2073A">
      <w:pPr>
        <w:spacing w:after="0" w:line="36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by using the high temperature exhaust from a gas turbine in a Heat Recovery Steam Generator</w:t>
      </w:r>
    </w:p>
    <w:p w:rsidR="00951AF0" w:rsidRDefault="00B2073A">
      <w:pPr>
        <w:spacing w:after="0" w:line="36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 (HRSG) to produce steam for thermal desalination. This study presents a technological scenario, analyzes the energy of each component, and </w:t>
      </w:r>
    </w:p>
    <w:p w:rsidR="00951AF0" w:rsidRDefault="00B2073A">
      <w:pPr>
        <w:spacing w:after="0" w:line="36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looks at the benefits and drawbacks from an economic and environmental perspective. </w:t>
      </w:r>
    </w:p>
    <w:p w:rsidR="00951AF0" w:rsidRDefault="00B2073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This article shows that combining a MED with a gas turbine presents a viable and sustainable alternative for the joint production of energy and drinking water.</w:t>
      </w:r>
    </w:p>
    <w:p w:rsidR="00951AF0" w:rsidRDefault="00B2073A">
      <w:pPr>
        <w:spacing w:after="0" w:line="36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This work further emphasizes the applicability of integrated GT–MED cogeneration systems in arid coastal regions, where water scarcity and growing energy demand coexist. By improving fuel utilization and reducing specific emissions, this configuration provides a reliable, efficient, and environmentally sustainable solution for the simultaneous production of electricity and potable water.</w:t>
      </w:r>
    </w:p>
    <w:p w:rsidR="00951AF0" w:rsidRDefault="00B2073A">
      <w:pPr>
        <w:ind w:left="-14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Cogeneration, Combined Heat and Power, Gas Turbine, Heat Recovery Steam Generator, Multi-Effect Distillation</w:t>
      </w:r>
    </w:p>
    <w:p w:rsidR="00951AF0" w:rsidRDefault="00951AF0">
      <w:pPr>
        <w:spacing w:before="240" w:after="0" w:line="360" w:lineRule="auto"/>
        <w:ind w:left="-142"/>
        <w:rPr>
          <w:rFonts w:ascii="Times New Roman" w:eastAsia="Times New Roman" w:hAnsi="Times New Roman" w:cs="Times New Roman"/>
          <w:color w:val="0F1115"/>
          <w:sz w:val="24"/>
          <w:szCs w:val="24"/>
        </w:rPr>
      </w:pPr>
    </w:p>
    <w:p w:rsidR="00951AF0" w:rsidRDefault="00B2073A">
      <w:pPr>
        <w:rPr>
          <w:rFonts w:ascii="Times New Roman" w:eastAsia="Times New Roman" w:hAnsi="Times New Roman" w:cs="Times New Roman"/>
          <w:b/>
          <w:bCs/>
          <w:color w:val="0F1115"/>
          <w:sz w:val="24"/>
          <w:szCs w:val="24"/>
        </w:rPr>
      </w:pPr>
      <w:r>
        <w:br w:type="page"/>
      </w:r>
    </w:p>
    <w:p w:rsidR="00951AF0" w:rsidRDefault="00B2073A">
      <w:pPr>
        <w:spacing w:before="240"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b/>
          <w:bCs/>
          <w:color w:val="0F1115"/>
          <w:sz w:val="24"/>
          <w:szCs w:val="24"/>
        </w:rPr>
        <w:lastRenderedPageBreak/>
        <w:t>1. Introduction</w:t>
      </w:r>
    </w:p>
    <w:p w:rsidR="00951AF0" w:rsidRDefault="00B2073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Freshwater is vital and essential for the economic development of countries. Many countries, including Tunisia, are facing acute water stress. Seawater desalination has emerged as a solution to address water stress.</w:t>
      </w:r>
    </w:p>
    <w:p w:rsidR="00951AF0" w:rsidRDefault="00B2073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0F1115"/>
          <w:sz w:val="24"/>
          <w:szCs w:val="24"/>
        </w:rPr>
        <w:t>Concurrently, the energy intensity of desalination contributes significantly to operational costs and environmental footprints [1].</w:t>
      </w:r>
    </w:p>
    <w:p w:rsidR="00951AF0" w:rsidRDefault="00B2073A">
      <w:pPr>
        <w:spacing w:before="240"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Conventionally, power and water are produced separately, resulting in suboptimal fuel utilization. Cogeneration of Heat and Power (CHP), addresses this inefficiency. Gas turbines, known for their high power-to-weight ratio and rapid start-up, are ideal engines for this system [2]. When their high-energy exhaust is effectively coupled with a thermal desalination process such as MED, it creates a highly efficient system for simultaneous production [3].</w:t>
      </w:r>
    </w:p>
    <w:p w:rsidR="00951AF0" w:rsidRDefault="00B2073A">
      <w:pPr>
        <w:spacing w:before="240"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This analysis focuses on a true thermal cogeneration configuration: a gas turbine (GT) with a Heat Recovery Steam Generator (HRSG) driving a Multi-Effect Distillation (MED) unit. The GT-MED arrangement was selected for its excellent thermodynamic synergy, suitability for the 20 MW scale, and high thermal efficiency for freshwater production, making it particularly appropriate for the development needs of southern Tunisia.</w:t>
      </w:r>
    </w:p>
    <w:p w:rsidR="00951AF0" w:rsidRDefault="00B2073A">
      <w:pPr>
        <w:spacing w:before="240"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In recent years, integrated power and desalination systems have gained increasing attention due to their ability to address the interlinked challenges of energy efficiency, water scarcity, and environmental sustainability. In arid and semi-arid regions, where freshwater resources are limited and energy demand continues to rise, the coupling of thermal power generation with desalination processes offers a strategic advantage. By simultaneously producing electricity and potable water from a single fuel source, cogeneration systems significantly reduce fuel consumption per unit output, thereby improving overall system efficiency and reducing greenhouse gas emissions. This integrated approach is particularly relevant for developing regions, where infrastructure investments must maximize economic and social returns while minimizing environmental impact.</w:t>
      </w:r>
    </w:p>
    <w:p w:rsidR="00951AF0" w:rsidRDefault="00B2073A">
      <w:pPr>
        <w:spacing w:before="240"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b/>
          <w:bCs/>
          <w:color w:val="0F1115"/>
          <w:sz w:val="24"/>
          <w:szCs w:val="24"/>
        </w:rPr>
        <w:t>2. System Description and Component Analysis</w:t>
      </w:r>
    </w:p>
    <w:p w:rsidR="00951AF0" w:rsidRDefault="00B2073A">
      <w:pPr>
        <w:spacing w:before="240"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The core principle is the cascading use of energy (Figure 1). The high-value chemical energy in natural gas is first converted to electricity using a gas turbine. The medium-value thermal energy in the exhaust is captured to produce steam. Finally, the latent heat of steam drives the phase-change process in the MED unit, producing freshwater.</w:t>
      </w:r>
    </w:p>
    <w:p w:rsidR="00951AF0" w:rsidRDefault="00B2073A">
      <w:pPr>
        <w:spacing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lastRenderedPageBreak/>
        <w:t>The system's high efficiency stems from its principled exergy management, cascading the high-exergy content of the fuel first to high-value electricity generation, then recovering the medium-exergy exhaust for steam production, and finally applying the low-exergy steam to the thermally driven, low-exergy task of desalination. This hierarchical matching of energy quality to task requirements minimizes overall thermodynamic losses.</w:t>
      </w:r>
    </w:p>
    <w:p w:rsidR="00951AF0" w:rsidRDefault="00B2073A">
      <w:pPr>
        <w:spacing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From a </w:t>
      </w:r>
      <w:proofErr w:type="gramStart"/>
      <w:r>
        <w:rPr>
          <w:rFonts w:ascii="Times New Roman" w:eastAsia="Times New Roman" w:hAnsi="Times New Roman" w:cs="Times New Roman"/>
          <w:color w:val="0F1115"/>
          <w:sz w:val="24"/>
          <w:szCs w:val="24"/>
        </w:rPr>
        <w:t>systems</w:t>
      </w:r>
      <w:proofErr w:type="gramEnd"/>
      <w:r>
        <w:rPr>
          <w:rFonts w:ascii="Times New Roman" w:eastAsia="Times New Roman" w:hAnsi="Times New Roman" w:cs="Times New Roman"/>
          <w:color w:val="0F1115"/>
          <w:sz w:val="24"/>
          <w:szCs w:val="24"/>
        </w:rPr>
        <w:t xml:space="preserve"> engineering perspective, the GT-HRSG-MED configuration represents an optimized thermal cascade in which energy is utilized according to its quality and availability. Unlike conventional standalone systems, this integrated layout minimizes exergy destruction by ensuring that high-temperature exhaust gases are not rejected to the environment but instead recovered for productive use. Such integration enhances operational flexibility, allowing the plant to adjust electricity and water production according to seasonal demand variations. Moreover, the modular nature of the system facilitates scalability and phased deployment, making it suitable for regional development projects where gradual capacity expansion is required.</w:t>
      </w:r>
    </w:p>
    <w:p w:rsidR="00951AF0" w:rsidRDefault="00951AF0">
      <w:pPr>
        <w:spacing w:before="240" w:after="0" w:line="360" w:lineRule="auto"/>
        <w:rPr>
          <w:rFonts w:ascii="Times New Roman" w:eastAsia="Times New Roman" w:hAnsi="Times New Roman" w:cs="Times New Roman"/>
          <w:color w:val="0F1115"/>
          <w:sz w:val="24"/>
          <w:szCs w:val="24"/>
        </w:rPr>
      </w:pPr>
    </w:p>
    <w:p w:rsidR="00951AF0" w:rsidRDefault="00B2073A">
      <w:pPr>
        <w:spacing w:before="240" w:after="0" w:line="360" w:lineRule="auto"/>
        <w:rPr>
          <w:rFonts w:ascii="Times New Roman" w:eastAsia="Times New Roman" w:hAnsi="Times New Roman" w:cs="Times New Roman"/>
          <w:color w:val="0F1115"/>
          <w:sz w:val="24"/>
          <w:szCs w:val="24"/>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92075</wp:posOffset>
                </wp:positionV>
                <wp:extent cx="5534025" cy="3695700"/>
                <wp:effectExtent l="0" t="0" r="0" b="0"/>
                <wp:wrapNone/>
                <wp:docPr id="41" name="Group 41"/>
                <wp:cNvGraphicFramePr/>
                <a:graphic xmlns:a="http://schemas.openxmlformats.org/drawingml/2006/main">
                  <a:graphicData uri="http://schemas.microsoft.com/office/word/2010/wordprocessingGroup">
                    <wpg:wgp>
                      <wpg:cNvGrpSpPr/>
                      <wpg:grpSpPr>
                        <a:xfrm>
                          <a:off x="0" y="0"/>
                          <a:ext cx="5534025" cy="3695700"/>
                          <a:chOff x="2574225" y="1927375"/>
                          <a:chExt cx="5543575" cy="3705250"/>
                        </a:xfrm>
                      </wpg:grpSpPr>
                      <wpg:grpSp>
                        <wpg:cNvPr id="1" name="Group 1"/>
                        <wpg:cNvGrpSpPr/>
                        <wpg:grpSpPr>
                          <a:xfrm>
                            <a:off x="2578988" y="1932150"/>
                            <a:ext cx="5534025" cy="3695700"/>
                            <a:chOff x="0" y="0"/>
                            <a:chExt cx="5534025" cy="3695700"/>
                          </a:xfrm>
                        </wpg:grpSpPr>
                        <wps:wsp>
                          <wps:cNvPr id="2" name="Rectangle 2"/>
                          <wps:cNvSpPr/>
                          <wps:spPr>
                            <a:xfrm>
                              <a:off x="0" y="0"/>
                              <a:ext cx="5534025" cy="3695700"/>
                            </a:xfrm>
                            <a:prstGeom prst="rect">
                              <a:avLst/>
                            </a:prstGeom>
                            <a:noFill/>
                            <a:ln>
                              <a:noFill/>
                            </a:ln>
                          </wps:spPr>
                          <wps:txbx>
                            <w:txbxContent>
                              <w:p w:rsidR="00951AF0" w:rsidRDefault="00951AF0">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2847975" y="0"/>
                              <a:ext cx="952500" cy="295275"/>
                            </a:xfrm>
                            <a:prstGeom prst="rect">
                              <a:avLst/>
                            </a:prstGeom>
                            <a:solidFill>
                              <a:schemeClr val="lt1"/>
                            </a:solidFill>
                            <a:ln w="9525" cap="flat" cmpd="sng">
                              <a:solidFill>
                                <a:srgbClr val="000000"/>
                              </a:solidFill>
                              <a:prstDash val="solid"/>
                              <a:round/>
                              <a:headEnd type="none" w="sm" len="sm"/>
                              <a:tailEnd type="none" w="sm" len="sm"/>
                            </a:ln>
                          </wps:spPr>
                          <wps:txbx>
                            <w:txbxContent>
                              <w:p w:rsidR="00951AF0" w:rsidRDefault="00B2073A">
                                <w:pPr>
                                  <w:spacing w:line="258" w:lineRule="auto"/>
                                  <w:textDirection w:val="btLr"/>
                                </w:pPr>
                                <w:r>
                                  <w:rPr>
                                    <w:rFonts w:ascii="Times New Roman" w:eastAsia="Times New Roman" w:hAnsi="Times New Roman" w:cs="Times New Roman"/>
                                    <w:color w:val="000000"/>
                                  </w:rPr>
                                  <w:t>Ambient air</w:t>
                                </w:r>
                              </w:p>
                            </w:txbxContent>
                          </wps:txbx>
                          <wps:bodyPr spcFirstLastPara="1" wrap="square" lIns="91425" tIns="45700" rIns="91425" bIns="45700" anchor="t" anchorCtr="0">
                            <a:noAutofit/>
                          </wps:bodyPr>
                        </wps:wsp>
                        <wps:wsp>
                          <wps:cNvPr id="4" name="Rectangle 4"/>
                          <wps:cNvSpPr/>
                          <wps:spPr>
                            <a:xfrm>
                              <a:off x="2933700" y="628650"/>
                              <a:ext cx="828675" cy="276225"/>
                            </a:xfrm>
                            <a:prstGeom prst="rect">
                              <a:avLst/>
                            </a:prstGeom>
                            <a:solidFill>
                              <a:schemeClr val="lt1"/>
                            </a:solidFill>
                            <a:ln w="9525" cap="flat" cmpd="sng">
                              <a:solidFill>
                                <a:srgbClr val="000000"/>
                              </a:solidFill>
                              <a:prstDash val="solid"/>
                              <a:round/>
                              <a:headEnd type="none" w="sm" len="sm"/>
                              <a:tailEnd type="none" w="sm" len="sm"/>
                            </a:ln>
                          </wps:spPr>
                          <wps:txbx>
                            <w:txbxContent>
                              <w:p w:rsidR="00951AF0" w:rsidRDefault="00B2073A">
                                <w:pPr>
                                  <w:spacing w:line="258" w:lineRule="auto"/>
                                  <w:textDirection w:val="btLr"/>
                                </w:pPr>
                                <w:r>
                                  <w:rPr>
                                    <w:rFonts w:ascii="Times New Roman" w:eastAsia="Times New Roman" w:hAnsi="Times New Roman" w:cs="Times New Roman"/>
                                    <w:color w:val="000000"/>
                                  </w:rPr>
                                  <w:t>Air Filters</w:t>
                                </w:r>
                              </w:p>
                            </w:txbxContent>
                          </wps:txbx>
                          <wps:bodyPr spcFirstLastPara="1" wrap="square" lIns="91425" tIns="45700" rIns="91425" bIns="45700" anchor="t" anchorCtr="0">
                            <a:noAutofit/>
                          </wps:bodyPr>
                        </wps:wsp>
                        <wps:wsp>
                          <wps:cNvPr id="5" name="Straight Arrow Connector 5"/>
                          <wps:cNvCnPr/>
                          <wps:spPr>
                            <a:xfrm>
                              <a:off x="3333750" y="295275"/>
                              <a:ext cx="0" cy="342900"/>
                            </a:xfrm>
                            <a:prstGeom prst="straightConnector1">
                              <a:avLst/>
                            </a:prstGeom>
                            <a:noFill/>
                            <a:ln w="9525" cap="flat" cmpd="sng">
                              <a:solidFill>
                                <a:schemeClr val="dk1"/>
                              </a:solidFill>
                              <a:prstDash val="solid"/>
                              <a:miter lim="800000"/>
                              <a:headEnd type="none" w="sm" len="sm"/>
                              <a:tailEnd type="triangle" w="med" len="med"/>
                            </a:ln>
                          </wps:spPr>
                          <wps:bodyPr/>
                        </wps:wsp>
                        <wps:wsp>
                          <wps:cNvPr id="6" name="Flowchart: Manual Operation 6"/>
                          <wps:cNvSpPr/>
                          <wps:spPr>
                            <a:xfrm>
                              <a:off x="3190875" y="1295400"/>
                              <a:ext cx="333375" cy="352425"/>
                            </a:xfrm>
                            <a:prstGeom prst="flowChartManualOperation">
                              <a:avLst/>
                            </a:prstGeom>
                            <a:solidFill>
                              <a:schemeClr val="lt1"/>
                            </a:solidFill>
                            <a:ln w="12700" cap="flat" cmpd="sng">
                              <a:solidFill>
                                <a:schemeClr val="dk1"/>
                              </a:solidFill>
                              <a:prstDash val="solid"/>
                              <a:miter lim="800000"/>
                              <a:headEnd type="none" w="sm" len="sm"/>
                              <a:tailEnd type="none" w="sm" len="sm"/>
                            </a:ln>
                          </wps:spPr>
                          <wps:txbx>
                            <w:txbxContent>
                              <w:p w:rsidR="00951AF0" w:rsidRDefault="00951AF0">
                                <w:pPr>
                                  <w:spacing w:after="0" w:line="240" w:lineRule="auto"/>
                                  <w:textDirection w:val="btLr"/>
                                </w:pPr>
                              </w:p>
                            </w:txbxContent>
                          </wps:txbx>
                          <wps:bodyPr spcFirstLastPara="1" wrap="square" lIns="91425" tIns="91425" rIns="91425" bIns="91425" anchor="ctr" anchorCtr="0">
                            <a:noAutofit/>
                          </wps:bodyPr>
                        </wps:wsp>
                        <wps:wsp>
                          <wps:cNvPr id="7" name="Straight Arrow Connector 7"/>
                          <wps:cNvCnPr/>
                          <wps:spPr>
                            <a:xfrm>
                              <a:off x="3352800" y="914400"/>
                              <a:ext cx="0" cy="371475"/>
                            </a:xfrm>
                            <a:prstGeom prst="straightConnector1">
                              <a:avLst/>
                            </a:prstGeom>
                            <a:noFill/>
                            <a:ln w="9525" cap="flat" cmpd="sng">
                              <a:solidFill>
                                <a:schemeClr val="dk1"/>
                              </a:solidFill>
                              <a:prstDash val="solid"/>
                              <a:miter lim="800000"/>
                              <a:headEnd type="none" w="sm" len="sm"/>
                              <a:tailEnd type="triangle" w="med" len="med"/>
                            </a:ln>
                          </wps:spPr>
                          <wps:bodyPr/>
                        </wps:wsp>
                        <wps:wsp>
                          <wps:cNvPr id="8" name="Rectangle 8"/>
                          <wps:cNvSpPr/>
                          <wps:spPr>
                            <a:xfrm>
                              <a:off x="3667125" y="1333500"/>
                              <a:ext cx="885825" cy="276225"/>
                            </a:xfrm>
                            <a:prstGeom prst="rect">
                              <a:avLst/>
                            </a:prstGeom>
                            <a:solidFill>
                              <a:schemeClr val="lt1"/>
                            </a:solidFill>
                            <a:ln w="9525" cap="flat" cmpd="sng">
                              <a:solidFill>
                                <a:srgbClr val="000000"/>
                              </a:solidFill>
                              <a:prstDash val="solid"/>
                              <a:round/>
                              <a:headEnd type="none" w="sm" len="sm"/>
                              <a:tailEnd type="none" w="sm" len="sm"/>
                            </a:ln>
                          </wps:spPr>
                          <wps:txbx>
                            <w:txbxContent>
                              <w:p w:rsidR="00951AF0" w:rsidRDefault="00B2073A">
                                <w:pPr>
                                  <w:spacing w:line="258" w:lineRule="auto"/>
                                  <w:textDirection w:val="btLr"/>
                                </w:pPr>
                                <w:r>
                                  <w:rPr>
                                    <w:rFonts w:ascii="Times New Roman" w:eastAsia="Times New Roman" w:hAnsi="Times New Roman" w:cs="Times New Roman"/>
                                    <w:color w:val="000000"/>
                                  </w:rPr>
                                  <w:t>Compressor</w:t>
                                </w:r>
                              </w:p>
                            </w:txbxContent>
                          </wps:txbx>
                          <wps:bodyPr spcFirstLastPara="1" wrap="square" lIns="91425" tIns="45700" rIns="91425" bIns="45700" anchor="t" anchorCtr="0">
                            <a:noAutofit/>
                          </wps:bodyPr>
                        </wps:wsp>
                        <wps:wsp>
                          <wps:cNvPr id="9" name="Straight Arrow Connector 9"/>
                          <wps:cNvCnPr/>
                          <wps:spPr>
                            <a:xfrm>
                              <a:off x="3371850" y="1676400"/>
                              <a:ext cx="0" cy="371475"/>
                            </a:xfrm>
                            <a:prstGeom prst="straightConnector1">
                              <a:avLst/>
                            </a:prstGeom>
                            <a:noFill/>
                            <a:ln w="9525" cap="flat" cmpd="sng">
                              <a:solidFill>
                                <a:schemeClr val="dk1"/>
                              </a:solidFill>
                              <a:prstDash val="solid"/>
                              <a:miter lim="800000"/>
                              <a:headEnd type="none" w="sm" len="sm"/>
                              <a:tailEnd type="triangle" w="med" len="med"/>
                            </a:ln>
                          </wps:spPr>
                          <wps:bodyPr/>
                        </wps:wsp>
                        <wps:wsp>
                          <wps:cNvPr id="10" name="Rectangle 10"/>
                          <wps:cNvSpPr/>
                          <wps:spPr>
                            <a:xfrm>
                              <a:off x="2657475" y="2114550"/>
                              <a:ext cx="1447800" cy="276225"/>
                            </a:xfrm>
                            <a:prstGeom prst="rect">
                              <a:avLst/>
                            </a:prstGeom>
                            <a:solidFill>
                              <a:schemeClr val="lt1"/>
                            </a:solidFill>
                            <a:ln w="9525" cap="flat" cmpd="sng">
                              <a:solidFill>
                                <a:srgbClr val="000000"/>
                              </a:solidFill>
                              <a:prstDash val="solid"/>
                              <a:round/>
                              <a:headEnd type="none" w="sm" len="sm"/>
                              <a:tailEnd type="none" w="sm" len="sm"/>
                            </a:ln>
                          </wps:spPr>
                          <wps:txbx>
                            <w:txbxContent>
                              <w:p w:rsidR="00951AF0" w:rsidRDefault="00B2073A">
                                <w:pPr>
                                  <w:spacing w:line="258" w:lineRule="auto"/>
                                  <w:textDirection w:val="btLr"/>
                                </w:pPr>
                                <w:r>
                                  <w:rPr>
                                    <w:rFonts w:ascii="Times New Roman" w:eastAsia="Times New Roman" w:hAnsi="Times New Roman" w:cs="Times New Roman"/>
                                    <w:color w:val="000000"/>
                                  </w:rPr>
                                  <w:t>Combustion Chamber</w:t>
                                </w:r>
                              </w:p>
                            </w:txbxContent>
                          </wps:txbx>
                          <wps:bodyPr spcFirstLastPara="1" wrap="square" lIns="91425" tIns="45700" rIns="91425" bIns="45700" anchor="t" anchorCtr="0">
                            <a:noAutofit/>
                          </wps:bodyPr>
                        </wps:wsp>
                        <wps:wsp>
                          <wps:cNvPr id="11" name="Rectangle 11"/>
                          <wps:cNvSpPr/>
                          <wps:spPr>
                            <a:xfrm>
                              <a:off x="4486275" y="2124074"/>
                              <a:ext cx="990600" cy="314327"/>
                            </a:xfrm>
                            <a:prstGeom prst="rect">
                              <a:avLst/>
                            </a:prstGeom>
                            <a:solidFill>
                              <a:schemeClr val="lt1"/>
                            </a:solidFill>
                            <a:ln w="9525" cap="flat" cmpd="sng">
                              <a:solidFill>
                                <a:srgbClr val="000000"/>
                              </a:solidFill>
                              <a:prstDash val="solid"/>
                              <a:round/>
                              <a:headEnd type="none" w="sm" len="sm"/>
                              <a:tailEnd type="none" w="sm" len="sm"/>
                            </a:ln>
                          </wps:spPr>
                          <wps:txbx>
                            <w:txbxContent>
                              <w:p w:rsidR="00951AF0" w:rsidRDefault="00B2073A">
                                <w:pPr>
                                  <w:spacing w:line="258" w:lineRule="auto"/>
                                  <w:jc w:val="center"/>
                                  <w:textDirection w:val="btLr"/>
                                </w:pPr>
                                <w:r>
                                  <w:rPr>
                                    <w:rFonts w:ascii="Times New Roman" w:eastAsia="Times New Roman" w:hAnsi="Times New Roman" w:cs="Times New Roman"/>
                                    <w:b/>
                                    <w:color w:val="FF0000"/>
                                  </w:rPr>
                                  <w:t>Natural Gas</w:t>
                                </w:r>
                              </w:p>
                            </w:txbxContent>
                          </wps:txbx>
                          <wps:bodyPr spcFirstLastPara="1" wrap="square" lIns="91425" tIns="45700" rIns="91425" bIns="45700" anchor="t" anchorCtr="0">
                            <a:noAutofit/>
                          </wps:bodyPr>
                        </wps:wsp>
                        <wps:wsp>
                          <wps:cNvPr id="12" name="Straight Arrow Connector 12"/>
                          <wps:cNvCnPr/>
                          <wps:spPr>
                            <a:xfrm rot="10800000">
                              <a:off x="4105275" y="2247900"/>
                              <a:ext cx="361950"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13" name="Straight Arrow Connector 13"/>
                          <wps:cNvCnPr/>
                          <wps:spPr>
                            <a:xfrm>
                              <a:off x="3448050" y="2428875"/>
                              <a:ext cx="0" cy="371475"/>
                            </a:xfrm>
                            <a:prstGeom prst="straightConnector1">
                              <a:avLst/>
                            </a:prstGeom>
                            <a:noFill/>
                            <a:ln w="9525" cap="flat" cmpd="sng">
                              <a:solidFill>
                                <a:schemeClr val="dk1"/>
                              </a:solidFill>
                              <a:prstDash val="solid"/>
                              <a:miter lim="800000"/>
                              <a:headEnd type="none" w="sm" len="sm"/>
                              <a:tailEnd type="triangle" w="med" len="med"/>
                            </a:ln>
                          </wps:spPr>
                          <wps:bodyPr/>
                        </wps:wsp>
                        <wps:wsp>
                          <wps:cNvPr id="14" name="Flowchart: Manual Operation 14"/>
                          <wps:cNvSpPr/>
                          <wps:spPr>
                            <a:xfrm rot="10800000" flipH="1">
                              <a:off x="3286125" y="2800350"/>
                              <a:ext cx="333375" cy="457200"/>
                            </a:xfrm>
                            <a:prstGeom prst="flowChartManualOperation">
                              <a:avLst/>
                            </a:prstGeom>
                            <a:solidFill>
                              <a:schemeClr val="lt1"/>
                            </a:solidFill>
                            <a:ln w="12700" cap="flat" cmpd="sng">
                              <a:solidFill>
                                <a:schemeClr val="dk1"/>
                              </a:solidFill>
                              <a:prstDash val="solid"/>
                              <a:miter lim="800000"/>
                              <a:headEnd type="none" w="sm" len="sm"/>
                              <a:tailEnd type="none" w="sm" len="sm"/>
                            </a:ln>
                          </wps:spPr>
                          <wps:txbx>
                            <w:txbxContent>
                              <w:p w:rsidR="00951AF0" w:rsidRDefault="00951AF0">
                                <w:pPr>
                                  <w:spacing w:after="0" w:line="240" w:lineRule="auto"/>
                                  <w:textDirection w:val="btLr"/>
                                </w:pPr>
                              </w:p>
                            </w:txbxContent>
                          </wps:txbx>
                          <wps:bodyPr spcFirstLastPara="1" wrap="square" lIns="91425" tIns="91425" rIns="91425" bIns="91425" anchor="ctr" anchorCtr="0">
                            <a:noAutofit/>
                          </wps:bodyPr>
                        </wps:wsp>
                        <wps:wsp>
                          <wps:cNvPr id="15" name="Rectangle 15"/>
                          <wps:cNvSpPr/>
                          <wps:spPr>
                            <a:xfrm>
                              <a:off x="3781425" y="2857500"/>
                              <a:ext cx="885825" cy="276225"/>
                            </a:xfrm>
                            <a:prstGeom prst="rect">
                              <a:avLst/>
                            </a:prstGeom>
                            <a:solidFill>
                              <a:schemeClr val="lt1"/>
                            </a:solidFill>
                            <a:ln w="9525" cap="flat" cmpd="sng">
                              <a:solidFill>
                                <a:srgbClr val="000000"/>
                              </a:solidFill>
                              <a:prstDash val="solid"/>
                              <a:round/>
                              <a:headEnd type="none" w="sm" len="sm"/>
                              <a:tailEnd type="none" w="sm" len="sm"/>
                            </a:ln>
                          </wps:spPr>
                          <wps:txbx>
                            <w:txbxContent>
                              <w:p w:rsidR="00951AF0" w:rsidRDefault="00B2073A">
                                <w:pPr>
                                  <w:spacing w:line="258" w:lineRule="auto"/>
                                  <w:textDirection w:val="btLr"/>
                                </w:pPr>
                                <w:r>
                                  <w:rPr>
                                    <w:rFonts w:ascii="Times New Roman" w:eastAsia="Times New Roman" w:hAnsi="Times New Roman" w:cs="Times New Roman"/>
                                    <w:color w:val="000000"/>
                                  </w:rPr>
                                  <w:t>Gas Turbine</w:t>
                                </w:r>
                              </w:p>
                            </w:txbxContent>
                          </wps:txbx>
                          <wps:bodyPr spcFirstLastPara="1" wrap="square" lIns="91425" tIns="45700" rIns="91425" bIns="45700" anchor="t" anchorCtr="0">
                            <a:noAutofit/>
                          </wps:bodyPr>
                        </wps:wsp>
                        <wps:wsp>
                          <wps:cNvPr id="16" name="Connector: Elbow 16"/>
                          <wps:cNvCnPr/>
                          <wps:spPr>
                            <a:xfrm>
                              <a:off x="3638550" y="3238500"/>
                              <a:ext cx="419100" cy="295275"/>
                            </a:xfrm>
                            <a:prstGeom prst="bentConnector3">
                              <a:avLst>
                                <a:gd name="adj1" fmla="val 43182"/>
                              </a:avLst>
                            </a:prstGeom>
                            <a:noFill/>
                            <a:ln w="9525" cap="flat" cmpd="sng">
                              <a:solidFill>
                                <a:schemeClr val="dk1"/>
                              </a:solidFill>
                              <a:prstDash val="solid"/>
                              <a:miter lim="800000"/>
                              <a:headEnd type="none" w="sm" len="sm"/>
                              <a:tailEnd type="triangle" w="med" len="med"/>
                            </a:ln>
                          </wps:spPr>
                          <wps:bodyPr/>
                        </wps:wsp>
                        <wps:wsp>
                          <wps:cNvPr id="17" name="Connector: Elbow 17"/>
                          <wps:cNvCnPr/>
                          <wps:spPr>
                            <a:xfrm flipH="1">
                              <a:off x="2847975" y="3257550"/>
                              <a:ext cx="419100" cy="295275"/>
                            </a:xfrm>
                            <a:prstGeom prst="bentConnector3">
                              <a:avLst>
                                <a:gd name="adj1" fmla="val 43182"/>
                              </a:avLst>
                            </a:prstGeom>
                            <a:noFill/>
                            <a:ln w="9525" cap="flat" cmpd="sng">
                              <a:solidFill>
                                <a:schemeClr val="dk1"/>
                              </a:solidFill>
                              <a:prstDash val="solid"/>
                              <a:miter lim="800000"/>
                              <a:headEnd type="none" w="sm" len="sm"/>
                              <a:tailEnd type="triangle" w="med" len="med"/>
                            </a:ln>
                          </wps:spPr>
                          <wps:bodyPr/>
                        </wps:wsp>
                        <wps:wsp>
                          <wps:cNvPr id="18" name="Rectangle 18"/>
                          <wps:cNvSpPr/>
                          <wps:spPr>
                            <a:xfrm>
                              <a:off x="1809750" y="3419475"/>
                              <a:ext cx="1019175" cy="276225"/>
                            </a:xfrm>
                            <a:prstGeom prst="rect">
                              <a:avLst/>
                            </a:prstGeom>
                            <a:solidFill>
                              <a:schemeClr val="lt1"/>
                            </a:solidFill>
                            <a:ln w="9525" cap="flat" cmpd="sng">
                              <a:solidFill>
                                <a:srgbClr val="000000"/>
                              </a:solidFill>
                              <a:prstDash val="solid"/>
                              <a:round/>
                              <a:headEnd type="none" w="sm" len="sm"/>
                              <a:tailEnd type="none" w="sm" len="sm"/>
                            </a:ln>
                          </wps:spPr>
                          <wps:txbx>
                            <w:txbxContent>
                              <w:p w:rsidR="00951AF0" w:rsidRDefault="00B2073A">
                                <w:pPr>
                                  <w:spacing w:line="258" w:lineRule="auto"/>
                                  <w:jc w:val="center"/>
                                  <w:textDirection w:val="btLr"/>
                                </w:pPr>
                                <w:r>
                                  <w:rPr>
                                    <w:rFonts w:ascii="Times New Roman" w:eastAsia="Times New Roman" w:hAnsi="Times New Roman" w:cs="Times New Roman"/>
                                    <w:color w:val="FF0000"/>
                                  </w:rPr>
                                  <w:t>Exhaust Gas</w:t>
                                </w:r>
                              </w:p>
                            </w:txbxContent>
                          </wps:txbx>
                          <wps:bodyPr spcFirstLastPara="1" wrap="square" lIns="91425" tIns="45700" rIns="91425" bIns="45700" anchor="t" anchorCtr="0">
                            <a:noAutofit/>
                          </wps:bodyPr>
                        </wps:wsp>
                        <wps:wsp>
                          <wps:cNvPr id="19" name="Rectangle 19"/>
                          <wps:cNvSpPr/>
                          <wps:spPr>
                            <a:xfrm>
                              <a:off x="4086225" y="3390900"/>
                              <a:ext cx="1447800" cy="276225"/>
                            </a:xfrm>
                            <a:prstGeom prst="rect">
                              <a:avLst/>
                            </a:prstGeom>
                            <a:solidFill>
                              <a:schemeClr val="lt1"/>
                            </a:solidFill>
                            <a:ln w="9525" cap="flat" cmpd="sng">
                              <a:solidFill>
                                <a:srgbClr val="000000"/>
                              </a:solidFill>
                              <a:prstDash val="solid"/>
                              <a:round/>
                              <a:headEnd type="none" w="sm" len="sm"/>
                              <a:tailEnd type="none" w="sm" len="sm"/>
                            </a:ln>
                          </wps:spPr>
                          <wps:txbx>
                            <w:txbxContent>
                              <w:p w:rsidR="00951AF0" w:rsidRDefault="00B2073A">
                                <w:pPr>
                                  <w:spacing w:line="258" w:lineRule="auto"/>
                                  <w:textDirection w:val="btLr"/>
                                </w:pPr>
                                <w:r>
                                  <w:rPr>
                                    <w:rFonts w:ascii="Times New Roman" w:eastAsia="Times New Roman" w:hAnsi="Times New Roman" w:cs="Times New Roman"/>
                                    <w:b/>
                                    <w:color w:val="2111ED"/>
                                  </w:rPr>
                                  <w:t>Electrical Generator</w:t>
                                </w:r>
                              </w:p>
                            </w:txbxContent>
                          </wps:txbx>
                          <wps:bodyPr spcFirstLastPara="1" wrap="square" lIns="91425" tIns="45700" rIns="91425" bIns="45700" anchor="t" anchorCtr="0">
                            <a:noAutofit/>
                          </wps:bodyPr>
                        </wps:wsp>
                        <wps:wsp>
                          <wps:cNvPr id="20" name="Rectangle 20"/>
                          <wps:cNvSpPr/>
                          <wps:spPr>
                            <a:xfrm>
                              <a:off x="1781175" y="2438401"/>
                              <a:ext cx="990600" cy="704850"/>
                            </a:xfrm>
                            <a:prstGeom prst="rect">
                              <a:avLst/>
                            </a:prstGeom>
                            <a:solidFill>
                              <a:schemeClr val="lt1"/>
                            </a:solidFill>
                            <a:ln w="9525" cap="flat" cmpd="sng">
                              <a:solidFill>
                                <a:srgbClr val="000000"/>
                              </a:solidFill>
                              <a:prstDash val="solid"/>
                              <a:round/>
                              <a:headEnd type="none" w="sm" len="sm"/>
                              <a:tailEnd type="none" w="sm" len="sm"/>
                            </a:ln>
                          </wps:spPr>
                          <wps:txbx>
                            <w:txbxContent>
                              <w:p w:rsidR="00951AF0" w:rsidRDefault="00B2073A">
                                <w:pPr>
                                  <w:spacing w:after="0" w:line="240" w:lineRule="auto"/>
                                  <w:jc w:val="center"/>
                                  <w:textDirection w:val="btLr"/>
                                </w:pPr>
                                <w:r>
                                  <w:rPr>
                                    <w:rFonts w:ascii="Times New Roman" w:eastAsia="Times New Roman" w:hAnsi="Times New Roman" w:cs="Times New Roman"/>
                                    <w:color w:val="000000"/>
                                  </w:rPr>
                                  <w:t>Heat Recovery System</w:t>
                                </w:r>
                              </w:p>
                              <w:p w:rsidR="00951AF0" w:rsidRDefault="00B2073A">
                                <w:pPr>
                                  <w:spacing w:after="0" w:line="240" w:lineRule="auto"/>
                                  <w:jc w:val="center"/>
                                  <w:textDirection w:val="btLr"/>
                                </w:pPr>
                                <w:r>
                                  <w:rPr>
                                    <w:rFonts w:ascii="Times New Roman" w:eastAsia="Times New Roman" w:hAnsi="Times New Roman" w:cs="Times New Roman"/>
                                    <w:color w:val="000000"/>
                                  </w:rPr>
                                  <w:t>HRSG</w:t>
                                </w:r>
                              </w:p>
                            </w:txbxContent>
                          </wps:txbx>
                          <wps:bodyPr spcFirstLastPara="1" wrap="square" lIns="91425" tIns="45700" rIns="91425" bIns="45700" anchor="t" anchorCtr="0">
                            <a:noAutofit/>
                          </wps:bodyPr>
                        </wps:wsp>
                        <wps:wsp>
                          <wps:cNvPr id="21" name="Straight Arrow Connector 21"/>
                          <wps:cNvCnPr/>
                          <wps:spPr>
                            <a:xfrm rot="10800000">
                              <a:off x="2286000" y="3124200"/>
                              <a:ext cx="9525" cy="295275"/>
                            </a:xfrm>
                            <a:prstGeom prst="straightConnector1">
                              <a:avLst/>
                            </a:prstGeom>
                            <a:noFill/>
                            <a:ln w="9525" cap="flat" cmpd="sng">
                              <a:solidFill>
                                <a:schemeClr val="dk1"/>
                              </a:solidFill>
                              <a:prstDash val="solid"/>
                              <a:miter lim="800000"/>
                              <a:headEnd type="none" w="sm" len="sm"/>
                              <a:tailEnd type="triangle" w="med" len="med"/>
                            </a:ln>
                          </wps:spPr>
                          <wps:bodyPr/>
                        </wps:wsp>
                        <wps:wsp>
                          <wps:cNvPr id="22" name="Straight Arrow Connector 22"/>
                          <wps:cNvCnPr/>
                          <wps:spPr>
                            <a:xfrm flipH="1">
                              <a:off x="1390650" y="2819400"/>
                              <a:ext cx="390525" cy="19050"/>
                            </a:xfrm>
                            <a:prstGeom prst="straightConnector1">
                              <a:avLst/>
                            </a:prstGeom>
                            <a:noFill/>
                            <a:ln w="9525" cap="flat" cmpd="sng">
                              <a:solidFill>
                                <a:schemeClr val="dk1"/>
                              </a:solidFill>
                              <a:prstDash val="solid"/>
                              <a:miter lim="800000"/>
                              <a:headEnd type="none" w="sm" len="sm"/>
                              <a:tailEnd type="triangle" w="med" len="med"/>
                            </a:ln>
                          </wps:spPr>
                          <wps:bodyPr/>
                        </wps:wsp>
                        <wps:wsp>
                          <wps:cNvPr id="23" name="Rectangle 23"/>
                          <wps:cNvSpPr/>
                          <wps:spPr>
                            <a:xfrm>
                              <a:off x="809625" y="2676525"/>
                              <a:ext cx="561975" cy="295275"/>
                            </a:xfrm>
                            <a:prstGeom prst="rect">
                              <a:avLst/>
                            </a:prstGeom>
                            <a:solidFill>
                              <a:schemeClr val="lt1"/>
                            </a:solidFill>
                            <a:ln w="9525" cap="flat" cmpd="sng">
                              <a:solidFill>
                                <a:srgbClr val="000000"/>
                              </a:solidFill>
                              <a:prstDash val="solid"/>
                              <a:round/>
                              <a:headEnd type="none" w="sm" len="sm"/>
                              <a:tailEnd type="none" w="sm" len="sm"/>
                            </a:ln>
                          </wps:spPr>
                          <wps:txbx>
                            <w:txbxContent>
                              <w:p w:rsidR="00951AF0" w:rsidRDefault="00B2073A">
                                <w:pPr>
                                  <w:spacing w:line="258" w:lineRule="auto"/>
                                  <w:textDirection w:val="btLr"/>
                                </w:pPr>
                                <w:r>
                                  <w:rPr>
                                    <w:rFonts w:ascii="Times New Roman" w:eastAsia="Times New Roman" w:hAnsi="Times New Roman" w:cs="Times New Roman"/>
                                    <w:color w:val="000000"/>
                                  </w:rPr>
                                  <w:t>Steam</w:t>
                                </w:r>
                              </w:p>
                            </w:txbxContent>
                          </wps:txbx>
                          <wps:bodyPr spcFirstLastPara="1" wrap="square" lIns="91425" tIns="45700" rIns="91425" bIns="45700" anchor="t" anchorCtr="0">
                            <a:noAutofit/>
                          </wps:bodyPr>
                        </wps:wsp>
                        <wps:wsp>
                          <wps:cNvPr id="24" name="Straight Arrow Connector 24"/>
                          <wps:cNvCnPr/>
                          <wps:spPr>
                            <a:xfrm rot="10800000">
                              <a:off x="1085850" y="2076450"/>
                              <a:ext cx="9525" cy="600075"/>
                            </a:xfrm>
                            <a:prstGeom prst="straightConnector1">
                              <a:avLst/>
                            </a:prstGeom>
                            <a:noFill/>
                            <a:ln w="19050" cap="flat" cmpd="sng">
                              <a:solidFill>
                                <a:schemeClr val="dk1"/>
                              </a:solidFill>
                              <a:prstDash val="solid"/>
                              <a:miter lim="800000"/>
                              <a:headEnd type="none" w="sm" len="sm"/>
                              <a:tailEnd type="triangle" w="med" len="med"/>
                            </a:ln>
                          </wps:spPr>
                          <wps:bodyPr/>
                        </wps:wsp>
                        <wps:wsp>
                          <wps:cNvPr id="25" name="Rectangle 25"/>
                          <wps:cNvSpPr/>
                          <wps:spPr>
                            <a:xfrm>
                              <a:off x="400050" y="1504950"/>
                              <a:ext cx="1104900" cy="514350"/>
                            </a:xfrm>
                            <a:prstGeom prst="rect">
                              <a:avLst/>
                            </a:prstGeom>
                            <a:solidFill>
                              <a:schemeClr val="lt1"/>
                            </a:solidFill>
                            <a:ln w="9525" cap="flat" cmpd="sng">
                              <a:solidFill>
                                <a:srgbClr val="000000"/>
                              </a:solidFill>
                              <a:prstDash val="solid"/>
                              <a:round/>
                              <a:headEnd type="none" w="sm" len="sm"/>
                              <a:tailEnd type="none" w="sm" len="sm"/>
                            </a:ln>
                          </wps:spPr>
                          <wps:txbx>
                            <w:txbxContent>
                              <w:p w:rsidR="00951AF0" w:rsidRDefault="00B2073A">
                                <w:pPr>
                                  <w:spacing w:line="258" w:lineRule="auto"/>
                                  <w:jc w:val="center"/>
                                  <w:textDirection w:val="btLr"/>
                                </w:pPr>
                                <w:r>
                                  <w:rPr>
                                    <w:rFonts w:ascii="Times New Roman" w:eastAsia="Times New Roman" w:hAnsi="Times New Roman" w:cs="Times New Roman"/>
                                    <w:color w:val="000000"/>
                                  </w:rPr>
                                  <w:t>MED Desalination</w:t>
                                </w:r>
                              </w:p>
                            </w:txbxContent>
                          </wps:txbx>
                          <wps:bodyPr spcFirstLastPara="1" wrap="square" lIns="91425" tIns="45700" rIns="91425" bIns="45700" anchor="t" anchorCtr="0">
                            <a:noAutofit/>
                          </wps:bodyPr>
                        </wps:wsp>
                        <wps:wsp>
                          <wps:cNvPr id="26" name="Rectangle 26"/>
                          <wps:cNvSpPr/>
                          <wps:spPr>
                            <a:xfrm>
                              <a:off x="2066925" y="1581150"/>
                              <a:ext cx="752475" cy="276225"/>
                            </a:xfrm>
                            <a:prstGeom prst="rect">
                              <a:avLst/>
                            </a:prstGeom>
                            <a:solidFill>
                              <a:schemeClr val="lt1"/>
                            </a:solidFill>
                            <a:ln w="9525" cap="flat" cmpd="sng">
                              <a:solidFill>
                                <a:srgbClr val="000000"/>
                              </a:solidFill>
                              <a:prstDash val="solid"/>
                              <a:round/>
                              <a:headEnd type="none" w="sm" len="sm"/>
                              <a:tailEnd type="none" w="sm" len="sm"/>
                            </a:ln>
                          </wps:spPr>
                          <wps:txbx>
                            <w:txbxContent>
                              <w:p w:rsidR="00951AF0" w:rsidRDefault="00B2073A">
                                <w:pPr>
                                  <w:spacing w:line="258" w:lineRule="auto"/>
                                  <w:jc w:val="center"/>
                                  <w:textDirection w:val="btLr"/>
                                </w:pPr>
                                <w:r>
                                  <w:rPr>
                                    <w:rFonts w:ascii="Times New Roman" w:eastAsia="Times New Roman" w:hAnsi="Times New Roman" w:cs="Times New Roman"/>
                                    <w:color w:val="000000"/>
                                  </w:rPr>
                                  <w:t>Seawater</w:t>
                                </w:r>
                              </w:p>
                            </w:txbxContent>
                          </wps:txbx>
                          <wps:bodyPr spcFirstLastPara="1" wrap="square" lIns="91425" tIns="45700" rIns="91425" bIns="45700" anchor="t" anchorCtr="0">
                            <a:noAutofit/>
                          </wps:bodyPr>
                        </wps:wsp>
                        <wps:wsp>
                          <wps:cNvPr id="27" name="Straight Arrow Connector 27"/>
                          <wps:cNvCnPr/>
                          <wps:spPr>
                            <a:xfrm flipH="1">
                              <a:off x="1495425" y="1743075"/>
                              <a:ext cx="571500" cy="19050"/>
                            </a:xfrm>
                            <a:prstGeom prst="straightConnector1">
                              <a:avLst/>
                            </a:prstGeom>
                            <a:noFill/>
                            <a:ln w="19050" cap="flat" cmpd="sng">
                              <a:solidFill>
                                <a:schemeClr val="dk1"/>
                              </a:solidFill>
                              <a:prstDash val="solid"/>
                              <a:miter lim="800000"/>
                              <a:headEnd type="none" w="sm" len="sm"/>
                              <a:tailEnd type="triangle" w="med" len="med"/>
                            </a:ln>
                          </wps:spPr>
                          <wps:bodyPr/>
                        </wps:wsp>
                        <wps:wsp>
                          <wps:cNvPr id="28" name="Straight Arrow Connector 28"/>
                          <wps:cNvCnPr/>
                          <wps:spPr>
                            <a:xfrm rot="10800000">
                              <a:off x="476250" y="876300"/>
                              <a:ext cx="9525" cy="600075"/>
                            </a:xfrm>
                            <a:prstGeom prst="straightConnector1">
                              <a:avLst/>
                            </a:prstGeom>
                            <a:noFill/>
                            <a:ln w="19050" cap="flat" cmpd="sng">
                              <a:solidFill>
                                <a:schemeClr val="dk1"/>
                              </a:solidFill>
                              <a:prstDash val="solid"/>
                              <a:miter lim="800000"/>
                              <a:headEnd type="none" w="sm" len="sm"/>
                              <a:tailEnd type="triangle" w="med" len="med"/>
                            </a:ln>
                          </wps:spPr>
                          <wps:bodyPr/>
                        </wps:wsp>
                        <wps:wsp>
                          <wps:cNvPr id="29" name="Straight Arrow Connector 29"/>
                          <wps:cNvCnPr/>
                          <wps:spPr>
                            <a:xfrm rot="10800000">
                              <a:off x="1447800" y="847725"/>
                              <a:ext cx="9525" cy="600075"/>
                            </a:xfrm>
                            <a:prstGeom prst="straightConnector1">
                              <a:avLst/>
                            </a:prstGeom>
                            <a:noFill/>
                            <a:ln w="19050" cap="flat" cmpd="sng">
                              <a:solidFill>
                                <a:schemeClr val="dk1"/>
                              </a:solidFill>
                              <a:prstDash val="solid"/>
                              <a:miter lim="800000"/>
                              <a:headEnd type="none" w="sm" len="sm"/>
                              <a:tailEnd type="triangle" w="med" len="med"/>
                            </a:ln>
                          </wps:spPr>
                          <wps:bodyPr/>
                        </wps:wsp>
                        <wps:wsp>
                          <wps:cNvPr id="30" name="Rectangle 30"/>
                          <wps:cNvSpPr/>
                          <wps:spPr>
                            <a:xfrm>
                              <a:off x="0" y="371475"/>
                              <a:ext cx="952500" cy="495300"/>
                            </a:xfrm>
                            <a:prstGeom prst="rect">
                              <a:avLst/>
                            </a:prstGeom>
                            <a:solidFill>
                              <a:schemeClr val="lt1"/>
                            </a:solidFill>
                            <a:ln w="9525" cap="flat" cmpd="sng">
                              <a:solidFill>
                                <a:srgbClr val="000000"/>
                              </a:solidFill>
                              <a:prstDash val="solid"/>
                              <a:round/>
                              <a:headEnd type="none" w="sm" len="sm"/>
                              <a:tailEnd type="none" w="sm" len="sm"/>
                            </a:ln>
                          </wps:spPr>
                          <wps:txbx>
                            <w:txbxContent>
                              <w:p w:rsidR="00951AF0" w:rsidRDefault="00B2073A">
                                <w:pPr>
                                  <w:spacing w:line="258" w:lineRule="auto"/>
                                  <w:jc w:val="center"/>
                                  <w:textDirection w:val="btLr"/>
                                </w:pPr>
                                <w:r>
                                  <w:rPr>
                                    <w:rFonts w:ascii="Times New Roman" w:eastAsia="Times New Roman" w:hAnsi="Times New Roman" w:cs="Times New Roman"/>
                                    <w:b/>
                                    <w:color w:val="0070C0"/>
                                  </w:rPr>
                                  <w:t>Desalinated water</w:t>
                                </w:r>
                              </w:p>
                            </w:txbxContent>
                          </wps:txbx>
                          <wps:bodyPr spcFirstLastPara="1" wrap="square" lIns="91425" tIns="45700" rIns="91425" bIns="45700" anchor="t" anchorCtr="0">
                            <a:noAutofit/>
                          </wps:bodyPr>
                        </wps:wsp>
                        <wps:wsp>
                          <wps:cNvPr id="31" name="Rectangle 31"/>
                          <wps:cNvSpPr/>
                          <wps:spPr>
                            <a:xfrm>
                              <a:off x="1057275" y="381000"/>
                              <a:ext cx="781050" cy="438150"/>
                            </a:xfrm>
                            <a:prstGeom prst="rect">
                              <a:avLst/>
                            </a:prstGeom>
                            <a:solidFill>
                              <a:schemeClr val="lt1"/>
                            </a:solidFill>
                            <a:ln w="9525" cap="flat" cmpd="sng">
                              <a:solidFill>
                                <a:srgbClr val="000000"/>
                              </a:solidFill>
                              <a:prstDash val="solid"/>
                              <a:round/>
                              <a:headEnd type="none" w="sm" len="sm"/>
                              <a:tailEnd type="none" w="sm" len="sm"/>
                            </a:ln>
                          </wps:spPr>
                          <wps:txbx>
                            <w:txbxContent>
                              <w:p w:rsidR="00951AF0" w:rsidRDefault="00B2073A">
                                <w:pPr>
                                  <w:spacing w:line="258" w:lineRule="auto"/>
                                  <w:jc w:val="center"/>
                                  <w:textDirection w:val="btLr"/>
                                </w:pPr>
                                <w:r>
                                  <w:rPr>
                                    <w:rFonts w:ascii="Times New Roman" w:eastAsia="Times New Roman" w:hAnsi="Times New Roman" w:cs="Times New Roman"/>
                                    <w:color w:val="000000"/>
                                  </w:rPr>
                                  <w:t>Brine Discharge</w:t>
                                </w:r>
                              </w:p>
                            </w:txbxContent>
                          </wps:txbx>
                          <wps:bodyPr spcFirstLastPara="1" wrap="square" lIns="91425" tIns="45700" rIns="91425" bIns="45700" anchor="t" anchorCtr="0">
                            <a:noAutofit/>
                          </wps:bodyPr>
                        </wps:wsp>
                      </wpg:grpSp>
                    </wpg:wgp>
                  </a:graphicData>
                </a:graphic>
              </wp:anchor>
            </w:drawing>
          </mc:Choice>
          <mc:Fallback>
            <w:pict>
              <v:group id="Group 41" o:spid="_x0000_s1026" style="position:absolute;margin-left:0;margin-top:7.25pt;width:435.75pt;height:291pt;z-index:251658240" coordorigin="25742,19273" coordsize="55435,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">
                <v:group id="Group 1" o:spid="_x0000_s1027" style="position:absolute;left:25789;top:19321;width:55341;height:36957" coordsize="55340,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5340;height:36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951AF0" w:rsidRDefault="00951AF0">
                          <w:pPr>
                            <w:spacing w:after="0" w:line="240" w:lineRule="auto"/>
                            <w:textDirection w:val="btLr"/>
                          </w:pPr>
                        </w:p>
                      </w:txbxContent>
                    </v:textbox>
                  </v:rect>
                  <v:rect id="Rectangle 3" o:spid="_x0000_s1029" style="position:absolute;left:28479;width:952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" fillcolor="white [3201]">
                    <v:stroke startarrowwidth="narrow" startarrowlength="short" endarrowwidth="narrow" endarrowlength="short" joinstyle="round"/>
                    <v:textbox inset="2.53958mm,1.2694mm,2.53958mm,1.2694mm">
                      <w:txbxContent>
                        <w:p w:rsidR="00951AF0" w:rsidRDefault="00B2073A">
                          <w:pPr>
                            <w:spacing w:line="258" w:lineRule="auto"/>
                            <w:textDirection w:val="btLr"/>
                          </w:pPr>
                          <w:r>
                            <w:rPr>
                              <w:rFonts w:ascii="Times New Roman" w:eastAsia="Times New Roman" w:hAnsi="Times New Roman" w:cs="Times New Roman"/>
                              <w:color w:val="000000"/>
                            </w:rPr>
                            <w:t>Ambient air</w:t>
                          </w:r>
                        </w:p>
                      </w:txbxContent>
                    </v:textbox>
                  </v:rect>
                  <v:rect id="Rectangle 4" o:spid="_x0000_s1030" style="position:absolute;left:29337;top:6286;width:8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" fillcolor="white [3201]">
                    <v:stroke startarrowwidth="narrow" startarrowlength="short" endarrowwidth="narrow" endarrowlength="short" joinstyle="round"/>
                    <v:textbox inset="2.53958mm,1.2694mm,2.53958mm,1.2694mm">
                      <w:txbxContent>
                        <w:p w:rsidR="00951AF0" w:rsidRDefault="00B2073A">
                          <w:pPr>
                            <w:spacing w:line="258" w:lineRule="auto"/>
                            <w:textDirection w:val="btLr"/>
                          </w:pPr>
                          <w:r>
                            <w:rPr>
                              <w:rFonts w:ascii="Times New Roman" w:eastAsia="Times New Roman" w:hAnsi="Times New Roman" w:cs="Times New Roman"/>
                              <w:color w:val="000000"/>
                            </w:rPr>
                            <w:t>Air Filters</w:t>
                          </w:r>
                        </w:p>
                      </w:txbxContent>
                    </v:textbox>
                  </v:rect>
                  <v:shapetype id="_x0000_t32" coordsize="21600,21600" o:spt="32" o:oned="t" path="m,l21600,21600e" filled="f">
                    <v:path arrowok="t" fillok="f" o:connecttype="none"/>
                    <o:lock v:ext="edit" shapetype="t"/>
                  </v:shapetype>
                  <v:shape id="Straight Arrow Connector 5" o:spid="_x0000_s1031" type="#_x0000_t32" style="position:absolute;left:33337;top:2952;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" strokecolor="black [3200]">
                    <v:stroke startarrowwidth="narrow" startarrowlength="short" endarrow="block" joinstyle="miter"/>
                  </v:shape>
                  <v:shapetype id="_x0000_t119" coordsize="21600,21600" o:spt="119" path="m,l21600,,17240,21600r-12880,xe">
                    <v:stroke joinstyle="miter"/>
                    <v:path gradientshapeok="t" o:connecttype="custom" o:connectlocs="10800,0;2180,10800;10800,21600;19420,10800" textboxrect="4321,0,17204,21600"/>
                  </v:shapetype>
                  <v:shape id="Flowchart: Manual Operation 6" o:spid="_x0000_s1032" type="#_x0000_t119" style="position:absolute;left:31908;top:12954;width:333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" fillcolor="white [3201]" strokecolor="black [3200]" strokeweight="1pt">
                    <v:stroke startarrowwidth="narrow" startarrowlength="short" endarrowwidth="narrow" endarrowlength="short"/>
                    <v:textbox inset="2.53958mm,2.53958mm,2.53958mm,2.53958mm">
                      <w:txbxContent>
                        <w:p w:rsidR="00951AF0" w:rsidRDefault="00951AF0">
                          <w:pPr>
                            <w:spacing w:after="0" w:line="240" w:lineRule="auto"/>
                            <w:textDirection w:val="btLr"/>
                          </w:pPr>
                        </w:p>
                      </w:txbxContent>
                    </v:textbox>
                  </v:shape>
                  <v:shape id="Straight Arrow Connector 7" o:spid="_x0000_s1033" type="#_x0000_t32" style="position:absolute;left:33528;top:9144;width:0;height:3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" strokecolor="black [3200]">
                    <v:stroke startarrowwidth="narrow" startarrowlength="short" endarrow="block" joinstyle="miter"/>
                  </v:shape>
                  <v:rect id="Rectangle 8" o:spid="_x0000_s1034" style="position:absolute;left:36671;top:13335;width:885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" fillcolor="white [3201]">
                    <v:stroke startarrowwidth="narrow" startarrowlength="short" endarrowwidth="narrow" endarrowlength="short" joinstyle="round"/>
                    <v:textbox inset="2.53958mm,1.2694mm,2.53958mm,1.2694mm">
                      <w:txbxContent>
                        <w:p w:rsidR="00951AF0" w:rsidRDefault="00B2073A">
                          <w:pPr>
                            <w:spacing w:line="258" w:lineRule="auto"/>
                            <w:textDirection w:val="btLr"/>
                          </w:pPr>
                          <w:r>
                            <w:rPr>
                              <w:rFonts w:ascii="Times New Roman" w:eastAsia="Times New Roman" w:hAnsi="Times New Roman" w:cs="Times New Roman"/>
                              <w:color w:val="000000"/>
                            </w:rPr>
                            <w:t>Compressor</w:t>
                          </w:r>
                        </w:p>
                      </w:txbxContent>
                    </v:textbox>
                  </v:rect>
                  <v:shape id="Straight Arrow Connector 9" o:spid="_x0000_s1035" type="#_x0000_t32" style="position:absolute;left:33718;top:16764;width:0;height:3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" strokecolor="black [3200]">
                    <v:stroke startarrowwidth="narrow" startarrowlength="short" endarrow="block" joinstyle="miter"/>
                  </v:shape>
                  <v:rect id="Rectangle 10" o:spid="_x0000_s1036" style="position:absolute;left:26574;top:21145;width:1447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" fillcolor="white [3201]">
                    <v:stroke startarrowwidth="narrow" startarrowlength="short" endarrowwidth="narrow" endarrowlength="short" joinstyle="round"/>
                    <v:textbox inset="2.53958mm,1.2694mm,2.53958mm,1.2694mm">
                      <w:txbxContent>
                        <w:p w:rsidR="00951AF0" w:rsidRDefault="00B2073A">
                          <w:pPr>
                            <w:spacing w:line="258" w:lineRule="auto"/>
                            <w:textDirection w:val="btLr"/>
                          </w:pPr>
                          <w:r>
                            <w:rPr>
                              <w:rFonts w:ascii="Times New Roman" w:eastAsia="Times New Roman" w:hAnsi="Times New Roman" w:cs="Times New Roman"/>
                              <w:color w:val="000000"/>
                            </w:rPr>
                            <w:t>Combustion Chamber</w:t>
                          </w:r>
                        </w:p>
                      </w:txbxContent>
                    </v:textbox>
                  </v:rect>
                  <v:rect id="Rectangle 11" o:spid="_x0000_s1037" style="position:absolute;left:44862;top:21240;width:990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" fillcolor="white [3201]">
                    <v:stroke startarrowwidth="narrow" startarrowlength="short" endarrowwidth="narrow" endarrowlength="short" joinstyle="round"/>
                    <v:textbox inset="2.53958mm,1.2694mm,2.53958mm,1.2694mm">
                      <w:txbxContent>
                        <w:p w:rsidR="00951AF0" w:rsidRDefault="00B2073A">
                          <w:pPr>
                            <w:spacing w:line="258" w:lineRule="auto"/>
                            <w:jc w:val="center"/>
                            <w:textDirection w:val="btLr"/>
                          </w:pPr>
                          <w:r>
                            <w:rPr>
                              <w:rFonts w:ascii="Times New Roman" w:eastAsia="Times New Roman" w:hAnsi="Times New Roman" w:cs="Times New Roman"/>
                              <w:b/>
                              <w:color w:val="FF0000"/>
                            </w:rPr>
                            <w:t>Natural Gas</w:t>
                          </w:r>
                        </w:p>
                      </w:txbxContent>
                    </v:textbox>
                  </v:rect>
                  <v:shape id="Straight Arrow Connector 12" o:spid="_x0000_s1038" type="#_x0000_t32" style="position:absolute;left:41052;top:22479;width:362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" strokecolor="black [3200]">
                    <v:stroke startarrowwidth="narrow" startarrowlength="short" endarrow="block" joinstyle="miter"/>
                  </v:shape>
                  <v:shape id="Straight Arrow Connector 13" o:spid="_x0000_s1039" type="#_x0000_t32" style="position:absolute;left:34480;top:24288;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" strokecolor="black [3200]">
                    <v:stroke startarrowwidth="narrow" startarrowlength="short" endarrow="block" joinstyle="miter"/>
                  </v:shape>
                  <v:shape id="Flowchart: Manual Operation 14" o:spid="_x0000_s1040" type="#_x0000_t119" style="position:absolute;left:32861;top:28003;width:3334;height:457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" fillcolor="white [3201]" strokecolor="black [3200]" strokeweight="1pt">
                    <v:stroke startarrowwidth="narrow" startarrowlength="short" endarrowwidth="narrow" endarrowlength="short"/>
                    <v:textbox inset="2.53958mm,2.53958mm,2.53958mm,2.53958mm">
                      <w:txbxContent>
                        <w:p w:rsidR="00951AF0" w:rsidRDefault="00951AF0">
                          <w:pPr>
                            <w:spacing w:after="0" w:line="240" w:lineRule="auto"/>
                            <w:textDirection w:val="btLr"/>
                          </w:pPr>
                        </w:p>
                      </w:txbxContent>
                    </v:textbox>
                  </v:shape>
                  <v:rect id="Rectangle 15" o:spid="_x0000_s1041" style="position:absolute;left:37814;top:28575;width:885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" fillcolor="white [3201]">
                    <v:stroke startarrowwidth="narrow" startarrowlength="short" endarrowwidth="narrow" endarrowlength="short" joinstyle="round"/>
                    <v:textbox inset="2.53958mm,1.2694mm,2.53958mm,1.2694mm">
                      <w:txbxContent>
                        <w:p w:rsidR="00951AF0" w:rsidRDefault="00B2073A">
                          <w:pPr>
                            <w:spacing w:line="258" w:lineRule="auto"/>
                            <w:textDirection w:val="btLr"/>
                          </w:pPr>
                          <w:r>
                            <w:rPr>
                              <w:rFonts w:ascii="Times New Roman" w:eastAsia="Times New Roman" w:hAnsi="Times New Roman" w:cs="Times New Roman"/>
                              <w:color w:val="000000"/>
                            </w:rPr>
                            <w:t>Gas Turbine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 o:spid="_x0000_s1042" type="#_x0000_t34" style="position:absolute;left:36385;top:32385;width:4191;height:295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" adj="9327" strokecolor="black [3200]">
                    <v:stroke startarrowwidth="narrow" startarrowlength="short" endarrow="block"/>
                  </v:shape>
                  <v:shape id="Connector: Elbow 17" o:spid="_x0000_s1043" type="#_x0000_t34" style="position:absolute;left:28479;top:32575;width:4191;height:295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" adj="9327" strokecolor="black [3200]">
                    <v:stroke startarrowwidth="narrow" startarrowlength="short" endarrow="block"/>
                  </v:shape>
                  <v:rect id="Rectangle 18" o:spid="_x0000_s1044" style="position:absolute;left:18097;top:34194;width:1019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" fillcolor="white [3201]">
                    <v:stroke startarrowwidth="narrow" startarrowlength="short" endarrowwidth="narrow" endarrowlength="short" joinstyle="round"/>
                    <v:textbox inset="2.53958mm,1.2694mm,2.53958mm,1.2694mm">
                      <w:txbxContent>
                        <w:p w:rsidR="00951AF0" w:rsidRDefault="00B2073A">
                          <w:pPr>
                            <w:spacing w:line="258" w:lineRule="auto"/>
                            <w:jc w:val="center"/>
                            <w:textDirection w:val="btLr"/>
                          </w:pPr>
                          <w:r>
                            <w:rPr>
                              <w:rFonts w:ascii="Times New Roman" w:eastAsia="Times New Roman" w:hAnsi="Times New Roman" w:cs="Times New Roman"/>
                              <w:color w:val="FF0000"/>
                            </w:rPr>
                            <w:t>Exhaust Gas</w:t>
                          </w:r>
                        </w:p>
                      </w:txbxContent>
                    </v:textbox>
                  </v:rect>
                  <v:rect id="Rectangle 19" o:spid="_x0000_s1045" style="position:absolute;left:40862;top:33909;width:1447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" fillcolor="white [3201]">
                    <v:stroke startarrowwidth="narrow" startarrowlength="short" endarrowwidth="narrow" endarrowlength="short" joinstyle="round"/>
                    <v:textbox inset="2.53958mm,1.2694mm,2.53958mm,1.2694mm">
                      <w:txbxContent>
                        <w:p w:rsidR="00951AF0" w:rsidRDefault="00B2073A">
                          <w:pPr>
                            <w:spacing w:line="258" w:lineRule="auto"/>
                            <w:textDirection w:val="btLr"/>
                          </w:pPr>
                          <w:r>
                            <w:rPr>
                              <w:rFonts w:ascii="Times New Roman" w:eastAsia="Times New Roman" w:hAnsi="Times New Roman" w:cs="Times New Roman"/>
                              <w:b/>
                              <w:color w:val="2111ED"/>
                            </w:rPr>
                            <w:t>Electrical Generator</w:t>
                          </w:r>
                        </w:p>
                      </w:txbxContent>
                    </v:textbox>
                  </v:rect>
                  <v:rect id="Rectangle 20" o:spid="_x0000_s1046" style="position:absolute;left:17811;top:24384;width:9906;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" fillcolor="white [3201]">
                    <v:stroke startarrowwidth="narrow" startarrowlength="short" endarrowwidth="narrow" endarrowlength="short" joinstyle="round"/>
                    <v:textbox inset="2.53958mm,1.2694mm,2.53958mm,1.2694mm">
                      <w:txbxContent>
                        <w:p w:rsidR="00951AF0" w:rsidRDefault="00B2073A">
                          <w:pPr>
                            <w:spacing w:after="0" w:line="240" w:lineRule="auto"/>
                            <w:jc w:val="center"/>
                            <w:textDirection w:val="btLr"/>
                          </w:pPr>
                          <w:r>
                            <w:rPr>
                              <w:rFonts w:ascii="Times New Roman" w:eastAsia="Times New Roman" w:hAnsi="Times New Roman" w:cs="Times New Roman"/>
                              <w:color w:val="000000"/>
                            </w:rPr>
                            <w:t>Heat Recovery System</w:t>
                          </w:r>
                        </w:p>
                        <w:p w:rsidR="00951AF0" w:rsidRDefault="00B2073A">
                          <w:pPr>
                            <w:spacing w:after="0" w:line="240" w:lineRule="auto"/>
                            <w:jc w:val="center"/>
                            <w:textDirection w:val="btLr"/>
                          </w:pPr>
                          <w:r>
                            <w:rPr>
                              <w:rFonts w:ascii="Times New Roman" w:eastAsia="Times New Roman" w:hAnsi="Times New Roman" w:cs="Times New Roman"/>
                              <w:color w:val="000000"/>
                            </w:rPr>
                            <w:t>HRSG</w:t>
                          </w:r>
                        </w:p>
                      </w:txbxContent>
                    </v:textbox>
                  </v:rect>
                  <v:shape id="Straight Arrow Connector 21" o:spid="_x0000_s1047" type="#_x0000_t32" style="position:absolute;left:22860;top:31242;width:95;height:295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" strokecolor="black [3200]">
                    <v:stroke startarrowwidth="narrow" startarrowlength="short" endarrow="block" joinstyle="miter"/>
                  </v:shape>
                  <v:shape id="Straight Arrow Connector 22" o:spid="_x0000_s1048" type="#_x0000_t32" style="position:absolute;left:13906;top:28194;width:3905;height: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" strokecolor="black [3200]">
                    <v:stroke startarrowwidth="narrow" startarrowlength="short" endarrow="block" joinstyle="miter"/>
                  </v:shape>
                  <v:rect id="Rectangle 23" o:spid="_x0000_s1049" style="position:absolute;left:8096;top:26765;width:562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" fillcolor="white [3201]">
                    <v:stroke startarrowwidth="narrow" startarrowlength="short" endarrowwidth="narrow" endarrowlength="short" joinstyle="round"/>
                    <v:textbox inset="2.53958mm,1.2694mm,2.53958mm,1.2694mm">
                      <w:txbxContent>
                        <w:p w:rsidR="00951AF0" w:rsidRDefault="00B2073A">
                          <w:pPr>
                            <w:spacing w:line="258" w:lineRule="auto"/>
                            <w:textDirection w:val="btLr"/>
                          </w:pPr>
                          <w:r>
                            <w:rPr>
                              <w:rFonts w:ascii="Times New Roman" w:eastAsia="Times New Roman" w:hAnsi="Times New Roman" w:cs="Times New Roman"/>
                              <w:color w:val="000000"/>
                            </w:rPr>
                            <w:t>Steam</w:t>
                          </w:r>
                        </w:p>
                      </w:txbxContent>
                    </v:textbox>
                  </v:rect>
                  <v:shape id="Straight Arrow Connector 24" o:spid="_x0000_s1050" type="#_x0000_t32" style="position:absolute;left:10858;top:20764;width:95;height:60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" strokecolor="black [3200]" strokeweight="1.5pt">
                    <v:stroke startarrowwidth="narrow" startarrowlength="short" endarrow="block" joinstyle="miter"/>
                  </v:shape>
                  <v:rect id="Rectangle 25" o:spid="_x0000_s1051" style="position:absolute;left:4000;top:15049;width:1104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" fillcolor="white [3201]">
                    <v:stroke startarrowwidth="narrow" startarrowlength="short" endarrowwidth="narrow" endarrowlength="short" joinstyle="round"/>
                    <v:textbox inset="2.53958mm,1.2694mm,2.53958mm,1.2694mm">
                      <w:txbxContent>
                        <w:p w:rsidR="00951AF0" w:rsidRDefault="00B2073A">
                          <w:pPr>
                            <w:spacing w:line="258" w:lineRule="auto"/>
                            <w:jc w:val="center"/>
                            <w:textDirection w:val="btLr"/>
                          </w:pPr>
                          <w:r>
                            <w:rPr>
                              <w:rFonts w:ascii="Times New Roman" w:eastAsia="Times New Roman" w:hAnsi="Times New Roman" w:cs="Times New Roman"/>
                              <w:color w:val="000000"/>
                            </w:rPr>
                            <w:t>MED Desalination</w:t>
                          </w:r>
                        </w:p>
                      </w:txbxContent>
                    </v:textbox>
                  </v:rect>
                  <v:rect id="Rectangle 26" o:spid="_x0000_s1052" style="position:absolute;left:20669;top:15811;width:752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" fillcolor="white [3201]">
                    <v:stroke startarrowwidth="narrow" startarrowlength="short" endarrowwidth="narrow" endarrowlength="short" joinstyle="round"/>
                    <v:textbox inset="2.53958mm,1.2694mm,2.53958mm,1.2694mm">
                      <w:txbxContent>
                        <w:p w:rsidR="00951AF0" w:rsidRDefault="00B2073A">
                          <w:pPr>
                            <w:spacing w:line="258" w:lineRule="auto"/>
                            <w:jc w:val="center"/>
                            <w:textDirection w:val="btLr"/>
                          </w:pPr>
                          <w:r>
                            <w:rPr>
                              <w:rFonts w:ascii="Times New Roman" w:eastAsia="Times New Roman" w:hAnsi="Times New Roman" w:cs="Times New Roman"/>
                              <w:color w:val="000000"/>
                            </w:rPr>
                            <w:t>Seawater</w:t>
                          </w:r>
                        </w:p>
                      </w:txbxContent>
                    </v:textbox>
                  </v:rect>
                  <v:shape id="Straight Arrow Connector 27" o:spid="_x0000_s1053" type="#_x0000_t32" style="position:absolute;left:14954;top:17430;width:5715;height: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" strokecolor="black [3200]" strokeweight="1.5pt">
                    <v:stroke startarrowwidth="narrow" startarrowlength="short" endarrow="block" joinstyle="miter"/>
                  </v:shape>
                  <v:shape id="Straight Arrow Connector 28" o:spid="_x0000_s1054" type="#_x0000_t32" style="position:absolute;left:4762;top:8763;width:95;height:600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" strokecolor="black [3200]" strokeweight="1.5pt">
                    <v:stroke startarrowwidth="narrow" startarrowlength="short" endarrow="block" joinstyle="miter"/>
                  </v:shape>
                  <v:shape id="Straight Arrow Connector 29" o:spid="_x0000_s1055" type="#_x0000_t32" style="position:absolute;left:14478;top:8477;width:95;height:60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" strokecolor="black [3200]" strokeweight="1.5pt">
                    <v:stroke startarrowwidth="narrow" startarrowlength="short" endarrow="block" joinstyle="miter"/>
                  </v:shape>
                  <v:rect id="Rectangle 30" o:spid="_x0000_s1056" style="position:absolute;top:3714;width:952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" fillcolor="white [3201]">
                    <v:stroke startarrowwidth="narrow" startarrowlength="short" endarrowwidth="narrow" endarrowlength="short" joinstyle="round"/>
                    <v:textbox inset="2.53958mm,1.2694mm,2.53958mm,1.2694mm">
                      <w:txbxContent>
                        <w:p w:rsidR="00951AF0" w:rsidRDefault="00B2073A">
                          <w:pPr>
                            <w:spacing w:line="258" w:lineRule="auto"/>
                            <w:jc w:val="center"/>
                            <w:textDirection w:val="btLr"/>
                          </w:pPr>
                          <w:r>
                            <w:rPr>
                              <w:rFonts w:ascii="Times New Roman" w:eastAsia="Times New Roman" w:hAnsi="Times New Roman" w:cs="Times New Roman"/>
                              <w:b/>
                              <w:color w:val="0070C0"/>
                            </w:rPr>
                            <w:t>Desalinated water</w:t>
                          </w:r>
                        </w:p>
                      </w:txbxContent>
                    </v:textbox>
                  </v:rect>
                  <v:rect id="Rectangle 31" o:spid="_x0000_s1057" style="position:absolute;left:10572;top:3810;width:7811;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" fillcolor="white [3201]">
                    <v:stroke startarrowwidth="narrow" startarrowlength="short" endarrowwidth="narrow" endarrowlength="short" joinstyle="round"/>
                    <v:textbox inset="2.53958mm,1.2694mm,2.53958mm,1.2694mm">
                      <w:txbxContent>
                        <w:p w:rsidR="00951AF0" w:rsidRDefault="00B2073A">
                          <w:pPr>
                            <w:spacing w:line="258" w:lineRule="auto"/>
                            <w:jc w:val="center"/>
                            <w:textDirection w:val="btLr"/>
                          </w:pPr>
                          <w:r>
                            <w:rPr>
                              <w:rFonts w:ascii="Times New Roman" w:eastAsia="Times New Roman" w:hAnsi="Times New Roman" w:cs="Times New Roman"/>
                              <w:color w:val="000000"/>
                            </w:rPr>
                            <w:t>Brine Discharge</w:t>
                          </w:r>
                        </w:p>
                      </w:txbxContent>
                    </v:textbox>
                  </v:rect>
                </v:group>
              </v:group>
            </w:pict>
          </mc:Fallback>
        </mc:AlternateContent>
      </w:r>
    </w:p>
    <w:p w:rsidR="00951AF0" w:rsidRDefault="00951AF0">
      <w:pPr>
        <w:spacing w:before="240" w:after="0" w:line="360" w:lineRule="auto"/>
        <w:rPr>
          <w:rFonts w:ascii="Times New Roman" w:eastAsia="Times New Roman" w:hAnsi="Times New Roman" w:cs="Times New Roman"/>
          <w:color w:val="0F1115"/>
          <w:sz w:val="24"/>
          <w:szCs w:val="24"/>
        </w:rPr>
      </w:pPr>
    </w:p>
    <w:p w:rsidR="00951AF0" w:rsidRDefault="00951AF0">
      <w:pPr>
        <w:spacing w:before="240" w:after="0" w:line="360" w:lineRule="auto"/>
        <w:rPr>
          <w:rFonts w:ascii="Times New Roman" w:eastAsia="Times New Roman" w:hAnsi="Times New Roman" w:cs="Times New Roman"/>
          <w:color w:val="0F1115"/>
          <w:sz w:val="24"/>
          <w:szCs w:val="24"/>
        </w:rPr>
      </w:pPr>
    </w:p>
    <w:p w:rsidR="00951AF0" w:rsidRDefault="00951AF0">
      <w:pPr>
        <w:spacing w:before="240" w:after="0" w:line="360" w:lineRule="auto"/>
        <w:rPr>
          <w:rFonts w:ascii="Times New Roman" w:eastAsia="Times New Roman" w:hAnsi="Times New Roman" w:cs="Times New Roman"/>
          <w:color w:val="0F1115"/>
          <w:sz w:val="24"/>
          <w:szCs w:val="24"/>
        </w:rPr>
      </w:pPr>
    </w:p>
    <w:p w:rsidR="00951AF0" w:rsidRDefault="00951AF0">
      <w:pPr>
        <w:spacing w:before="240" w:after="0" w:line="360" w:lineRule="auto"/>
        <w:jc w:val="center"/>
        <w:rPr>
          <w:rFonts w:ascii="Times New Roman" w:eastAsia="Times New Roman" w:hAnsi="Times New Roman" w:cs="Times New Roman"/>
          <w:i/>
          <w:iCs/>
          <w:color w:val="0F1115"/>
          <w:sz w:val="24"/>
          <w:szCs w:val="24"/>
        </w:rPr>
      </w:pPr>
    </w:p>
    <w:p w:rsidR="00951AF0" w:rsidRDefault="00951AF0">
      <w:pPr>
        <w:spacing w:before="240" w:after="0" w:line="360" w:lineRule="auto"/>
        <w:rPr>
          <w:rFonts w:ascii="Times New Roman" w:eastAsia="Times New Roman" w:hAnsi="Times New Roman" w:cs="Times New Roman"/>
          <w:i/>
          <w:iCs/>
          <w:color w:val="0F1115"/>
          <w:sz w:val="24"/>
          <w:szCs w:val="24"/>
        </w:rPr>
      </w:pPr>
    </w:p>
    <w:p w:rsidR="00951AF0" w:rsidRDefault="00951AF0">
      <w:pPr>
        <w:spacing w:before="240" w:after="0" w:line="360" w:lineRule="auto"/>
        <w:rPr>
          <w:rFonts w:ascii="Times New Roman" w:eastAsia="Times New Roman" w:hAnsi="Times New Roman" w:cs="Times New Roman"/>
          <w:i/>
          <w:iCs/>
          <w:color w:val="0F1115"/>
          <w:sz w:val="24"/>
          <w:szCs w:val="24"/>
        </w:rPr>
      </w:pPr>
    </w:p>
    <w:p w:rsidR="00951AF0" w:rsidRDefault="00951AF0">
      <w:pPr>
        <w:spacing w:before="240" w:after="0" w:line="360" w:lineRule="auto"/>
        <w:rPr>
          <w:rFonts w:ascii="Times New Roman" w:eastAsia="Times New Roman" w:hAnsi="Times New Roman" w:cs="Times New Roman"/>
          <w:i/>
          <w:iCs/>
          <w:color w:val="0F1115"/>
          <w:sz w:val="24"/>
          <w:szCs w:val="24"/>
        </w:rPr>
      </w:pPr>
    </w:p>
    <w:p w:rsidR="00951AF0" w:rsidRDefault="00951AF0">
      <w:pPr>
        <w:spacing w:before="240" w:after="0" w:line="360" w:lineRule="auto"/>
        <w:rPr>
          <w:rFonts w:ascii="Times New Roman" w:eastAsia="Times New Roman" w:hAnsi="Times New Roman" w:cs="Times New Roman"/>
          <w:i/>
          <w:iCs/>
          <w:color w:val="0F1115"/>
          <w:sz w:val="24"/>
          <w:szCs w:val="24"/>
        </w:rPr>
      </w:pPr>
    </w:p>
    <w:p w:rsidR="00951AF0" w:rsidRDefault="00951AF0">
      <w:pPr>
        <w:spacing w:before="240" w:after="0" w:line="360" w:lineRule="auto"/>
        <w:jc w:val="center"/>
        <w:rPr>
          <w:rFonts w:ascii="Times New Roman" w:eastAsia="Times New Roman" w:hAnsi="Times New Roman" w:cs="Times New Roman"/>
          <w:color w:val="0F1115"/>
          <w:sz w:val="24"/>
          <w:szCs w:val="24"/>
        </w:rPr>
      </w:pPr>
    </w:p>
    <w:p w:rsidR="00951AF0" w:rsidRDefault="00B2073A">
      <w:pPr>
        <w:spacing w:before="240" w:after="0" w:line="360" w:lineRule="auto"/>
        <w:jc w:val="center"/>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Figure 1:  Gas Turbine and MED Seawater Desalination Plant.</w:t>
      </w:r>
    </w:p>
    <w:p w:rsidR="00951AF0" w:rsidRDefault="00B2073A">
      <w:pPr>
        <w:spacing w:before="240"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b/>
          <w:bCs/>
          <w:color w:val="0F1115"/>
          <w:sz w:val="24"/>
          <w:szCs w:val="24"/>
        </w:rPr>
        <w:t>2.1. Detailed System Breakdown &amp; Components</w:t>
      </w:r>
    </w:p>
    <w:p w:rsidR="00951AF0" w:rsidRDefault="00B2073A">
      <w:pPr>
        <w:spacing w:before="240" w:after="0" w:line="360" w:lineRule="auto"/>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lastRenderedPageBreak/>
        <w:t>2.1.1. The Gas Turbine description</w:t>
      </w:r>
    </w:p>
    <w:p w:rsidR="00951AF0" w:rsidRDefault="00B2073A">
      <w:pPr>
        <w:pBdr>
          <w:top w:val="nil"/>
          <w:left w:val="nil"/>
          <w:bottom w:val="nil"/>
          <w:right w:val="nil"/>
          <w:between w:val="nil"/>
        </w:pBdr>
        <w:shd w:val="clear" w:color="auto" w:fill="FFFFFF"/>
        <w:spacing w:before="280" w:after="0" w:line="360" w:lineRule="auto"/>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The Siemens Energy SGT-600 [4] was carefully chosen as the representative turbine for the 20 MW class owing to its high exhaust temperature, excellent CHP appropriateness, and strong global deployment. Its key technical data (ISO conditions, DLE burners), [4] are:</w:t>
      </w:r>
    </w:p>
    <w:p w:rsidR="00951AF0" w:rsidRDefault="00B2073A">
      <w:pPr>
        <w:numPr>
          <w:ilvl w:val="0"/>
          <w:numId w:val="1"/>
        </w:numPr>
        <w:pBdr>
          <w:top w:val="nil"/>
          <w:left w:val="nil"/>
          <w:bottom w:val="nil"/>
          <w:right w:val="nil"/>
          <w:between w:val="nil"/>
        </w:pBdr>
        <w:shd w:val="clear" w:color="auto" w:fill="FFFFFF"/>
        <w:spacing w:before="280" w:after="0" w:line="360" w:lineRule="auto"/>
        <w:ind w:left="0" w:firstLine="0"/>
        <w:jc w:val="both"/>
        <w:rPr>
          <w:rFonts w:ascii="Times New Roman" w:eastAsia="Times New Roman" w:hAnsi="Times New Roman" w:cs="Times New Roman"/>
          <w:color w:val="0F1115"/>
          <w:sz w:val="24"/>
          <w:szCs w:val="24"/>
        </w:rPr>
      </w:pPr>
      <w:bookmarkStart w:id="0" w:name="_heading=h.kfpu03rbnw81" w:colFirst="0" w:colLast="0"/>
      <w:bookmarkEnd w:id="0"/>
      <w:r>
        <w:rPr>
          <w:rFonts w:ascii="Times New Roman" w:eastAsia="Times New Roman" w:hAnsi="Times New Roman" w:cs="Times New Roman"/>
          <w:color w:val="0F1115"/>
          <w:sz w:val="24"/>
          <w:szCs w:val="24"/>
        </w:rPr>
        <w:t xml:space="preserve">Electrical Output: 20 to 22 </w:t>
      </w:r>
      <w:proofErr w:type="spellStart"/>
      <w:r>
        <w:rPr>
          <w:rFonts w:ascii="Times New Roman" w:eastAsia="Times New Roman" w:hAnsi="Times New Roman" w:cs="Times New Roman"/>
          <w:color w:val="0F1115"/>
          <w:sz w:val="24"/>
          <w:szCs w:val="24"/>
        </w:rPr>
        <w:t>MWe</w:t>
      </w:r>
      <w:proofErr w:type="spellEnd"/>
    </w:p>
    <w:p w:rsidR="00951AF0" w:rsidRDefault="00B2073A">
      <w:pPr>
        <w:numPr>
          <w:ilvl w:val="0"/>
          <w:numId w:val="1"/>
        </w:numPr>
        <w:pBdr>
          <w:top w:val="nil"/>
          <w:left w:val="nil"/>
          <w:bottom w:val="nil"/>
          <w:right w:val="nil"/>
          <w:between w:val="nil"/>
        </w:pBdr>
        <w:shd w:val="clear" w:color="auto" w:fill="FFFFFF"/>
        <w:spacing w:after="0" w:line="360" w:lineRule="auto"/>
        <w:ind w:left="0" w:firstLine="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Electrical Efficiency: 36 to 38%</w:t>
      </w:r>
    </w:p>
    <w:p w:rsidR="00951AF0" w:rsidRDefault="00B2073A">
      <w:pPr>
        <w:numPr>
          <w:ilvl w:val="0"/>
          <w:numId w:val="1"/>
        </w:numPr>
        <w:pBdr>
          <w:top w:val="nil"/>
          <w:left w:val="nil"/>
          <w:bottom w:val="nil"/>
          <w:right w:val="nil"/>
          <w:between w:val="nil"/>
        </w:pBdr>
        <w:shd w:val="clear" w:color="auto" w:fill="FFFFFF"/>
        <w:spacing w:after="0" w:line="360" w:lineRule="auto"/>
        <w:ind w:left="0" w:firstLine="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Fuel Input: 56 MW</w:t>
      </w:r>
    </w:p>
    <w:p w:rsidR="00951AF0" w:rsidRDefault="00B2073A">
      <w:pPr>
        <w:numPr>
          <w:ilvl w:val="0"/>
          <w:numId w:val="1"/>
        </w:numPr>
        <w:pBdr>
          <w:top w:val="nil"/>
          <w:left w:val="nil"/>
          <w:bottom w:val="nil"/>
          <w:right w:val="nil"/>
          <w:between w:val="nil"/>
        </w:pBdr>
        <w:shd w:val="clear" w:color="auto" w:fill="FFFFFF"/>
        <w:spacing w:after="0" w:line="360" w:lineRule="auto"/>
        <w:ind w:left="0" w:firstLine="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Turbine Inlet Temperature (TIT): 1100-1140°C</w:t>
      </w:r>
    </w:p>
    <w:p w:rsidR="00951AF0" w:rsidRDefault="00B2073A">
      <w:pPr>
        <w:numPr>
          <w:ilvl w:val="0"/>
          <w:numId w:val="1"/>
        </w:numPr>
        <w:pBdr>
          <w:top w:val="nil"/>
          <w:left w:val="nil"/>
          <w:bottom w:val="nil"/>
          <w:right w:val="nil"/>
          <w:between w:val="nil"/>
        </w:pBdr>
        <w:shd w:val="clear" w:color="auto" w:fill="FFFFFF"/>
        <w:spacing w:after="0" w:line="360" w:lineRule="auto"/>
        <w:ind w:left="0" w:firstLine="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Exhaust Temperature: 515°C</w:t>
      </w:r>
    </w:p>
    <w:p w:rsidR="00951AF0" w:rsidRDefault="00B2073A">
      <w:pPr>
        <w:numPr>
          <w:ilvl w:val="0"/>
          <w:numId w:val="1"/>
        </w:numPr>
        <w:pBdr>
          <w:top w:val="nil"/>
          <w:left w:val="nil"/>
          <w:bottom w:val="nil"/>
          <w:right w:val="nil"/>
          <w:between w:val="nil"/>
        </w:pBdr>
        <w:shd w:val="clear" w:color="auto" w:fill="FFFFFF"/>
        <w:spacing w:after="0" w:line="360" w:lineRule="auto"/>
        <w:ind w:left="0" w:firstLine="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Exhaust Mass Flow: 84 kg/s</w:t>
      </w:r>
    </w:p>
    <w:p w:rsidR="00951AF0" w:rsidRDefault="00B2073A">
      <w:pPr>
        <w:numPr>
          <w:ilvl w:val="0"/>
          <w:numId w:val="1"/>
        </w:numPr>
        <w:pBdr>
          <w:top w:val="nil"/>
          <w:left w:val="nil"/>
          <w:bottom w:val="nil"/>
          <w:right w:val="nil"/>
          <w:between w:val="nil"/>
        </w:pBdr>
        <w:shd w:val="clear" w:color="auto" w:fill="FFFFFF"/>
        <w:spacing w:after="0" w:line="360" w:lineRule="auto"/>
        <w:ind w:left="0" w:firstLine="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Pressure Ratio: 18:1</w:t>
      </w:r>
    </w:p>
    <w:p w:rsidR="00951AF0" w:rsidRDefault="00B2073A">
      <w:pPr>
        <w:numPr>
          <w:ilvl w:val="0"/>
          <w:numId w:val="1"/>
        </w:numPr>
        <w:pBdr>
          <w:top w:val="nil"/>
          <w:left w:val="nil"/>
          <w:bottom w:val="nil"/>
          <w:right w:val="nil"/>
          <w:between w:val="nil"/>
        </w:pBdr>
        <w:shd w:val="clear" w:color="auto" w:fill="FFFFFF"/>
        <w:spacing w:after="0" w:line="360" w:lineRule="auto"/>
        <w:ind w:left="0" w:firstLine="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NOx Emissions: &lt; 25 </w:t>
      </w:r>
      <w:proofErr w:type="spellStart"/>
      <w:r>
        <w:rPr>
          <w:rFonts w:ascii="Times New Roman" w:eastAsia="Times New Roman" w:hAnsi="Times New Roman" w:cs="Times New Roman"/>
          <w:color w:val="0F1115"/>
          <w:sz w:val="24"/>
          <w:szCs w:val="24"/>
        </w:rPr>
        <w:t>ppmvd</w:t>
      </w:r>
      <w:proofErr w:type="spellEnd"/>
      <w:r>
        <w:rPr>
          <w:rFonts w:ascii="Times New Roman" w:eastAsia="Times New Roman" w:hAnsi="Times New Roman" w:cs="Times New Roman"/>
          <w:color w:val="0F1115"/>
          <w:sz w:val="24"/>
          <w:szCs w:val="24"/>
        </w:rPr>
        <w:t xml:space="preserve"> (DLE)</w:t>
      </w:r>
    </w:p>
    <w:p w:rsidR="00951AF0" w:rsidRDefault="00B2073A">
      <w:pPr>
        <w:pBdr>
          <w:top w:val="nil"/>
          <w:left w:val="nil"/>
          <w:bottom w:val="nil"/>
          <w:right w:val="nil"/>
          <w:between w:val="nil"/>
        </w:pBdr>
        <w:shd w:val="clear" w:color="auto" w:fill="FFFFFF"/>
        <w:spacing w:before="240" w:after="0" w:line="360" w:lineRule="auto"/>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The package includes a multi-stage filter and silencer air intake system, a 10-stage axial compressor (PR=18), an annular Dry Low Emissions (DLE) combustor, and a 2-stage turbine. This 20 MW gas turbine was selected based on its favorable thermal, mechanical, and electrical characteristics, specifically the high exhaust temperature and mass flow suitable for heat recovery. Other comparable models on the worldwide market include the Kawasaki Heavy Industries L20A, Baker Hughes NovaLT20, Solar Turbines Titan 130, GE </w:t>
      </w:r>
      <w:proofErr w:type="spellStart"/>
      <w:r>
        <w:rPr>
          <w:rFonts w:ascii="Times New Roman" w:eastAsia="Times New Roman" w:hAnsi="Times New Roman" w:cs="Times New Roman"/>
          <w:color w:val="0F1115"/>
          <w:sz w:val="24"/>
          <w:szCs w:val="24"/>
        </w:rPr>
        <w:t>Vernova</w:t>
      </w:r>
      <w:proofErr w:type="spellEnd"/>
      <w:r>
        <w:rPr>
          <w:rFonts w:ascii="Times New Roman" w:eastAsia="Times New Roman" w:hAnsi="Times New Roman" w:cs="Times New Roman"/>
          <w:color w:val="0F1115"/>
          <w:sz w:val="24"/>
          <w:szCs w:val="24"/>
        </w:rPr>
        <w:t xml:space="preserve"> Frame 5 variants, and MAN Energy Solutions MGT 20 class, all designed or optimized for CHP applications.</w:t>
      </w:r>
    </w:p>
    <w:p w:rsidR="00951AF0" w:rsidRDefault="00B2073A">
      <w:pPr>
        <w:pBdr>
          <w:top w:val="nil"/>
          <w:left w:val="nil"/>
          <w:bottom w:val="nil"/>
          <w:right w:val="nil"/>
          <w:between w:val="nil"/>
        </w:pBdr>
        <w:shd w:val="clear" w:color="auto" w:fill="FFFFFF"/>
        <w:spacing w:before="240" w:after="0" w:line="360" w:lineRule="auto"/>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For the performance calculations in this analysis, the following values from the SGT-600 are used, [4]:</w:t>
      </w:r>
    </w:p>
    <w:p w:rsidR="00951AF0" w:rsidRDefault="00B2073A">
      <w:pPr>
        <w:numPr>
          <w:ilvl w:val="0"/>
          <w:numId w:val="2"/>
        </w:numPr>
        <w:pBdr>
          <w:top w:val="nil"/>
          <w:left w:val="nil"/>
          <w:bottom w:val="nil"/>
          <w:right w:val="nil"/>
          <w:between w:val="nil"/>
        </w:pBdr>
        <w:shd w:val="clear" w:color="auto" w:fill="FFFFFF"/>
        <w:spacing w:before="280" w:after="0" w:line="360" w:lineRule="auto"/>
        <w:ind w:left="0" w:firstLine="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Net Electrical Output (</w:t>
      </w:r>
      <w:proofErr w:type="spellStart"/>
      <w:r>
        <w:rPr>
          <w:rFonts w:ascii="Times New Roman" w:eastAsia="Times New Roman" w:hAnsi="Times New Roman" w:cs="Times New Roman"/>
          <w:color w:val="0F1115"/>
          <w:sz w:val="24"/>
          <w:szCs w:val="24"/>
        </w:rPr>
        <w:t>P</w:t>
      </w:r>
      <w:r>
        <w:rPr>
          <w:rFonts w:ascii="Times New Roman" w:eastAsia="Times New Roman" w:hAnsi="Times New Roman" w:cs="Times New Roman"/>
          <w:color w:val="0F1115"/>
          <w:sz w:val="24"/>
          <w:szCs w:val="24"/>
          <w:vertAlign w:val="subscript"/>
        </w:rPr>
        <w:t>net</w:t>
      </w:r>
      <w:proofErr w:type="spellEnd"/>
      <w:r>
        <w:rPr>
          <w:rFonts w:ascii="Times New Roman" w:eastAsia="Times New Roman" w:hAnsi="Times New Roman" w:cs="Times New Roman"/>
          <w:color w:val="0F1115"/>
          <w:sz w:val="24"/>
          <w:szCs w:val="24"/>
        </w:rPr>
        <w:t xml:space="preserve">): 20.5 </w:t>
      </w:r>
      <w:proofErr w:type="spellStart"/>
      <w:r>
        <w:rPr>
          <w:rFonts w:ascii="Times New Roman" w:eastAsia="Times New Roman" w:hAnsi="Times New Roman" w:cs="Times New Roman"/>
          <w:color w:val="0F1115"/>
          <w:sz w:val="24"/>
          <w:szCs w:val="24"/>
        </w:rPr>
        <w:t>MWe</w:t>
      </w:r>
      <w:proofErr w:type="spellEnd"/>
    </w:p>
    <w:p w:rsidR="00951AF0" w:rsidRDefault="00B2073A">
      <w:pPr>
        <w:numPr>
          <w:ilvl w:val="0"/>
          <w:numId w:val="2"/>
        </w:numPr>
        <w:pBdr>
          <w:top w:val="nil"/>
          <w:left w:val="nil"/>
          <w:bottom w:val="nil"/>
          <w:right w:val="nil"/>
          <w:between w:val="nil"/>
        </w:pBdr>
        <w:shd w:val="clear" w:color="auto" w:fill="FFFFFF"/>
        <w:spacing w:after="0" w:line="360" w:lineRule="auto"/>
        <w:ind w:left="0" w:firstLine="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Fuel Input (LHV) (</w:t>
      </w:r>
      <w:proofErr w:type="spellStart"/>
      <w:r>
        <w:rPr>
          <w:rFonts w:ascii="Times New Roman" w:eastAsia="Times New Roman" w:hAnsi="Times New Roman" w:cs="Times New Roman"/>
          <w:color w:val="0F1115"/>
          <w:sz w:val="24"/>
          <w:szCs w:val="24"/>
        </w:rPr>
        <w:t>Q</w:t>
      </w:r>
      <w:r>
        <w:rPr>
          <w:rFonts w:ascii="Times New Roman" w:eastAsia="Times New Roman" w:hAnsi="Times New Roman" w:cs="Times New Roman"/>
          <w:color w:val="0F1115"/>
          <w:sz w:val="24"/>
          <w:szCs w:val="24"/>
          <w:vertAlign w:val="subscript"/>
        </w:rPr>
        <w:t>fuel</w:t>
      </w:r>
      <w:proofErr w:type="spellEnd"/>
      <w:r>
        <w:rPr>
          <w:rFonts w:ascii="Times New Roman" w:eastAsia="Times New Roman" w:hAnsi="Times New Roman" w:cs="Times New Roman"/>
          <w:color w:val="0F1115"/>
          <w:sz w:val="24"/>
          <w:szCs w:val="24"/>
        </w:rPr>
        <w:t>): 56 MW</w:t>
      </w:r>
    </w:p>
    <w:p w:rsidR="00951AF0" w:rsidRDefault="00B2073A">
      <w:pPr>
        <w:numPr>
          <w:ilvl w:val="0"/>
          <w:numId w:val="2"/>
        </w:numPr>
        <w:pBdr>
          <w:top w:val="nil"/>
          <w:left w:val="nil"/>
          <w:bottom w:val="nil"/>
          <w:right w:val="nil"/>
          <w:between w:val="nil"/>
        </w:pBdr>
        <w:shd w:val="clear" w:color="auto" w:fill="FFFFFF"/>
        <w:spacing w:after="0" w:line="360" w:lineRule="auto"/>
        <w:ind w:left="0" w:firstLine="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Exhaust Flow (</w:t>
      </w:r>
      <m:oMath>
        <m:acc>
          <m:accPr>
            <m:chr m:val="̇"/>
            <m:ctrlPr>
              <w:rPr>
                <w:rFonts w:ascii="Cambria Math" w:eastAsia="Cambria Math" w:hAnsi="Cambria Math" w:cs="Cambria Math"/>
                <w:b/>
                <w:bCs/>
                <w:color w:val="0F1115"/>
                <w:sz w:val="24"/>
                <w:szCs w:val="24"/>
              </w:rPr>
            </m:ctrlPr>
          </m:accPr>
          <m:e>
            <m:r>
              <m:rPr>
                <m:sty m:val="bi"/>
              </m:rPr>
              <w:rPr>
                <w:rFonts w:ascii="Cambria Math" w:eastAsia="Cambria Math" w:hAnsi="Cambria Math" w:cs="Cambria Math"/>
                <w:color w:val="0F1115"/>
                <w:sz w:val="24"/>
                <w:szCs w:val="24"/>
              </w:rPr>
              <m:t>m</m:t>
            </m:r>
          </m:e>
        </m:acc>
      </m:oMath>
      <w:r>
        <w:rPr>
          <w:rFonts w:ascii="Times New Roman" w:eastAsia="Times New Roman" w:hAnsi="Times New Roman" w:cs="Times New Roman"/>
          <w:color w:val="0F1115"/>
          <w:sz w:val="24"/>
          <w:szCs w:val="24"/>
          <w:vertAlign w:val="subscript"/>
        </w:rPr>
        <w:t>exh</w:t>
      </w:r>
      <w:r>
        <w:rPr>
          <w:rFonts w:ascii="Times New Roman" w:eastAsia="Times New Roman" w:hAnsi="Times New Roman" w:cs="Times New Roman"/>
          <w:color w:val="0F1115"/>
          <w:sz w:val="24"/>
          <w:szCs w:val="24"/>
        </w:rPr>
        <w:t>): 84 kg/s</w:t>
      </w:r>
    </w:p>
    <w:p w:rsidR="00951AF0" w:rsidRDefault="00B2073A">
      <w:pPr>
        <w:numPr>
          <w:ilvl w:val="0"/>
          <w:numId w:val="2"/>
        </w:numPr>
        <w:pBdr>
          <w:top w:val="nil"/>
          <w:left w:val="nil"/>
          <w:bottom w:val="nil"/>
          <w:right w:val="nil"/>
          <w:between w:val="nil"/>
        </w:pBdr>
        <w:shd w:val="clear" w:color="auto" w:fill="FFFFFF"/>
        <w:spacing w:after="0" w:line="360" w:lineRule="auto"/>
        <w:ind w:left="0" w:firstLine="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Exhaust Temperature (</w:t>
      </w:r>
      <w:proofErr w:type="spellStart"/>
      <w:r>
        <w:rPr>
          <w:rFonts w:ascii="Times New Roman" w:eastAsia="Times New Roman" w:hAnsi="Times New Roman" w:cs="Times New Roman"/>
          <w:color w:val="0F1115"/>
          <w:sz w:val="24"/>
          <w:szCs w:val="24"/>
        </w:rPr>
        <w:t>T</w:t>
      </w:r>
      <w:r>
        <w:rPr>
          <w:rFonts w:ascii="Times New Roman" w:eastAsia="Times New Roman" w:hAnsi="Times New Roman" w:cs="Times New Roman"/>
          <w:color w:val="0F1115"/>
          <w:sz w:val="24"/>
          <w:szCs w:val="24"/>
          <w:vertAlign w:val="subscript"/>
        </w:rPr>
        <w:t>exh</w:t>
      </w:r>
      <w:proofErr w:type="spellEnd"/>
      <w:r>
        <w:rPr>
          <w:rFonts w:ascii="Times New Roman" w:eastAsia="Times New Roman" w:hAnsi="Times New Roman" w:cs="Times New Roman"/>
          <w:color w:val="0F1115"/>
          <w:sz w:val="24"/>
          <w:szCs w:val="24"/>
        </w:rPr>
        <w:t>): 515°C</w:t>
      </w:r>
    </w:p>
    <w:p w:rsidR="00951AF0" w:rsidRDefault="00B2073A">
      <w:pPr>
        <w:numPr>
          <w:ilvl w:val="0"/>
          <w:numId w:val="2"/>
        </w:numPr>
        <w:pBdr>
          <w:top w:val="nil"/>
          <w:left w:val="nil"/>
          <w:bottom w:val="nil"/>
          <w:right w:val="nil"/>
          <w:between w:val="nil"/>
        </w:pBdr>
        <w:shd w:val="clear" w:color="auto" w:fill="FFFFFF"/>
        <w:spacing w:after="0" w:line="360" w:lineRule="auto"/>
        <w:ind w:left="0" w:firstLine="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Component-Level Efficiencies:</w:t>
      </w:r>
      <w:r>
        <w:rPr>
          <w:rFonts w:ascii="Quattrocento Sans" w:eastAsia="Quattrocento Sans" w:hAnsi="Quattrocento Sans" w:cs="Quattrocento Sans"/>
          <w:color w:val="0F1115"/>
          <w:sz w:val="24"/>
          <w:szCs w:val="24"/>
        </w:rPr>
        <w:t> </w:t>
      </w:r>
      <w:r>
        <w:rPr>
          <w:rFonts w:ascii="Times New Roman" w:eastAsia="Times New Roman" w:hAnsi="Times New Roman" w:cs="Times New Roman"/>
          <w:color w:val="0F1115"/>
          <w:sz w:val="24"/>
          <w:szCs w:val="24"/>
        </w:rPr>
        <w:t>The axial compressor and 2-stage turbine exhibit typical isentropic efficiencies of approximately 86% and 89%, respectively, which underpin the net electrical efficiency of the engine [5, 6].</w:t>
      </w:r>
    </w:p>
    <w:p w:rsidR="00951AF0" w:rsidRDefault="00B2073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F1115"/>
          <w:sz w:val="24"/>
          <w:szCs w:val="24"/>
        </w:rPr>
        <w:t xml:space="preserve">To validate the performance assumptions and understand the internal energy conversions, a detailed thermodynamic model of the SGT-600 cycle was developed using </w:t>
      </w:r>
      <w:r>
        <w:rPr>
          <w:rFonts w:ascii="Times New Roman" w:eastAsia="Times New Roman" w:hAnsi="Times New Roman" w:cs="Times New Roman"/>
          <w:color w:val="0A0A0A"/>
          <w:sz w:val="24"/>
          <w:szCs w:val="24"/>
        </w:rPr>
        <w:t xml:space="preserve">EES (Engineering Equation </w:t>
      </w:r>
      <w:r>
        <w:rPr>
          <w:rFonts w:ascii="Times New Roman" w:eastAsia="Times New Roman" w:hAnsi="Times New Roman" w:cs="Times New Roman"/>
          <w:color w:val="0A0A0A"/>
          <w:sz w:val="24"/>
          <w:szCs w:val="24"/>
        </w:rPr>
        <w:lastRenderedPageBreak/>
        <w:t>Solver) software</w:t>
      </w:r>
      <w:r>
        <w:rPr>
          <w:rFonts w:ascii="Times New Roman" w:eastAsia="Times New Roman" w:hAnsi="Times New Roman" w:cs="Times New Roman"/>
          <w:color w:val="0F1115"/>
          <w:sz w:val="24"/>
          <w:szCs w:val="24"/>
        </w:rPr>
        <w:t>. The model, based on the published inlet conditions, pressure ratio, and mass flow, allowed for the calculation of key component efficiencies. The analysis yielded an isentropic efficiency of 86.2% for the axial compressor</w:t>
      </w:r>
      <w:r>
        <w:rPr>
          <w:rFonts w:ascii="Times New Roman" w:eastAsia="Times New Roman" w:hAnsi="Times New Roman" w:cs="Times New Roman"/>
          <w:b/>
          <w:bCs/>
          <w:color w:val="0F1115"/>
          <w:sz w:val="24"/>
          <w:szCs w:val="24"/>
        </w:rPr>
        <w:t> </w:t>
      </w:r>
      <w:r>
        <w:rPr>
          <w:rFonts w:ascii="Times New Roman" w:eastAsia="Times New Roman" w:hAnsi="Times New Roman" w:cs="Times New Roman"/>
          <w:color w:val="0F1115"/>
          <w:sz w:val="24"/>
          <w:szCs w:val="24"/>
        </w:rPr>
        <w:t>and</w:t>
      </w:r>
      <w:r>
        <w:rPr>
          <w:rFonts w:ascii="Times New Roman" w:eastAsia="Times New Roman" w:hAnsi="Times New Roman" w:cs="Times New Roman"/>
          <w:b/>
          <w:bCs/>
          <w:color w:val="0F1115"/>
          <w:sz w:val="24"/>
          <w:szCs w:val="24"/>
        </w:rPr>
        <w:t> </w:t>
      </w:r>
      <w:r>
        <w:rPr>
          <w:rFonts w:ascii="Times New Roman" w:eastAsia="Times New Roman" w:hAnsi="Times New Roman" w:cs="Times New Roman"/>
          <w:color w:val="0F1115"/>
          <w:sz w:val="24"/>
          <w:szCs w:val="24"/>
        </w:rPr>
        <w:t xml:space="preserve">89.5% for the two-stage expansion turbine. </w:t>
      </w:r>
      <w:r>
        <w:rPr>
          <w:rFonts w:ascii="Times New Roman" w:eastAsia="Times New Roman" w:hAnsi="Times New Roman" w:cs="Times New Roman"/>
          <w:color w:val="1F1F1F"/>
          <w:sz w:val="24"/>
          <w:szCs w:val="24"/>
        </w:rPr>
        <w:t xml:space="preserve">These calculated values ​​correspond to the performance ranges of certain industrial gas turbines [5, 6] and confirm the thermodynamic performance required to obtain a very high exhaust-gas temperature. </w:t>
      </w:r>
      <w:r>
        <w:rPr>
          <w:rFonts w:ascii="Times New Roman" w:eastAsia="Times New Roman" w:hAnsi="Times New Roman" w:cs="Times New Roman"/>
          <w:color w:val="000000"/>
          <w:sz w:val="24"/>
          <w:szCs w:val="24"/>
        </w:rPr>
        <w:t>These high enthalpies are essential for cogeneration.</w:t>
      </w:r>
    </w:p>
    <w:p w:rsidR="00951AF0" w:rsidRDefault="00B2073A">
      <w:pPr>
        <w:spacing w:before="240" w:after="0" w:line="360" w:lineRule="auto"/>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t xml:space="preserve">2.1.2. The HRSG Unit </w:t>
      </w:r>
    </w:p>
    <w:p w:rsidR="00951AF0" w:rsidRDefault="00B2073A">
      <w:pPr>
        <w:spacing w:before="28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F1115"/>
          <w:sz w:val="24"/>
          <w:szCs w:val="24"/>
        </w:rPr>
        <w:t>The HRSG is a critical link that enables thermal cogeneration. The SGT-600's high exhaust mass flow (84 kg/s) and temperature (approximately 515°C) allow for the production of approximately 30 - 32 tons per hour of steam. The selected Heat Recovery Steam Generator (HRSG) was a single-pressure, unfired, natural circulation unit. Its internal components include an economizer to preheat the incoming feedwater and an evaporator and drum section to boil the feedwater into dry, saturated steam. The system is designed to produce steam at approximately 2 - 3 bar, saturated (120 - 130°C), which is ideal for the MED process. The calculated steam flow was approximately 8.6 kg/s (31 tons/hour), representing a recovered thermal energy (</w:t>
      </w:r>
      <w:proofErr w:type="spellStart"/>
      <w:r>
        <w:rPr>
          <w:rFonts w:ascii="Times New Roman" w:eastAsia="Times New Roman" w:hAnsi="Times New Roman" w:cs="Times New Roman"/>
          <w:color w:val="0F1115"/>
          <w:sz w:val="24"/>
          <w:szCs w:val="24"/>
        </w:rPr>
        <w:t>Q</w:t>
      </w:r>
      <w:r>
        <w:rPr>
          <w:rFonts w:ascii="Times New Roman" w:eastAsia="Times New Roman" w:hAnsi="Times New Roman" w:cs="Times New Roman"/>
          <w:color w:val="0F1115"/>
          <w:sz w:val="24"/>
          <w:szCs w:val="24"/>
          <w:vertAlign w:val="subscript"/>
        </w:rPr>
        <w:t>th</w:t>
      </w:r>
      <w:proofErr w:type="spellEnd"/>
      <w:r>
        <w:rPr>
          <w:rFonts w:ascii="Times New Roman" w:eastAsia="Times New Roman" w:hAnsi="Times New Roman" w:cs="Times New Roman"/>
          <w:color w:val="0F1115"/>
          <w:sz w:val="24"/>
          <w:szCs w:val="24"/>
        </w:rPr>
        <w:t xml:space="preserve">) of approximately 17 </w:t>
      </w:r>
      <w:proofErr w:type="spellStart"/>
      <w:r>
        <w:rPr>
          <w:rFonts w:ascii="Times New Roman" w:eastAsia="Times New Roman" w:hAnsi="Times New Roman" w:cs="Times New Roman"/>
          <w:color w:val="0F1115"/>
          <w:sz w:val="24"/>
          <w:szCs w:val="24"/>
        </w:rPr>
        <w:t>MWth</w:t>
      </w:r>
      <w:proofErr w:type="spellEnd"/>
      <w:r>
        <w:rPr>
          <w:rFonts w:ascii="Times New Roman" w:eastAsia="Times New Roman" w:hAnsi="Times New Roman" w:cs="Times New Roman"/>
          <w:color w:val="0F1115"/>
          <w:sz w:val="24"/>
          <w:szCs w:val="24"/>
        </w:rPr>
        <w:t>. The stack temperature is maintained at approximately 120°C to maximize heat recovery while avoiding acid dew point corrosion [6].</w:t>
      </w:r>
    </w:p>
    <w:p w:rsidR="00951AF0" w:rsidRDefault="00B2073A">
      <w:pPr>
        <w:spacing w:before="240" w:after="0" w:line="360" w:lineRule="auto"/>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t>2.1.3. The Multi-Effect Distillation Unit</w:t>
      </w:r>
    </w:p>
    <w:p w:rsidR="00951AF0" w:rsidRDefault="00B2073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0F1115"/>
          <w:sz w:val="24"/>
          <w:szCs w:val="24"/>
        </w:rPr>
        <w:t xml:space="preserve">The MED unit utilizes the latent heat of the condensing HRSG steam in a series of effects, each at a progressively lower pressure, to repeatedly evaporate seawater [7]. </w:t>
      </w:r>
      <w:r>
        <w:rPr>
          <w:rFonts w:ascii="Times New Roman" w:eastAsia="Times New Roman" w:hAnsi="Times New Roman" w:cs="Times New Roman"/>
          <w:color w:val="1F1F1F"/>
          <w:sz w:val="24"/>
          <w:szCs w:val="24"/>
        </w:rPr>
        <w:t xml:space="preserve">The </w:t>
      </w:r>
      <w:r>
        <w:rPr>
          <w:rFonts w:ascii="Times New Roman" w:eastAsia="Times New Roman" w:hAnsi="Times New Roman" w:cs="Times New Roman"/>
          <w:color w:val="0F1115"/>
          <w:sz w:val="24"/>
          <w:szCs w:val="24"/>
        </w:rPr>
        <w:t xml:space="preserve">Gain Output Ratio </w:t>
      </w:r>
      <w:r>
        <w:rPr>
          <w:rFonts w:ascii="Times New Roman" w:eastAsia="Times New Roman" w:hAnsi="Times New Roman" w:cs="Times New Roman"/>
          <w:color w:val="1F1F1F"/>
          <w:sz w:val="24"/>
          <w:szCs w:val="24"/>
        </w:rPr>
        <w:t>(GOR) is between 8 and 10 for modern units [8].</w:t>
      </w:r>
    </w:p>
    <w:p w:rsidR="00951AF0" w:rsidRDefault="00B2073A">
      <w:pPr>
        <w:spacing w:after="0" w:line="360" w:lineRule="auto"/>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With a heating steam supply from the HRSG of approximately 31000 kg/h, the total distillate production is 31000 kg/h * 9 = 279000 kg/h, which is approximately 6696 m³ per day.</w:t>
      </w:r>
    </w:p>
    <w:p w:rsidR="00951AF0" w:rsidRDefault="00B2073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inherit" w:hAnsi="inherit" w:cs="inherit"/>
          <w:color w:val="1F1F1F"/>
          <w:sz w:val="42"/>
          <w:szCs w:val="42"/>
        </w:rPr>
      </w:pPr>
      <w:r>
        <w:rPr>
          <w:rFonts w:ascii="Times New Roman" w:eastAsia="Times New Roman" w:hAnsi="Times New Roman" w:cs="Times New Roman"/>
          <w:b/>
          <w:bCs/>
          <w:color w:val="0F1115"/>
          <w:sz w:val="24"/>
          <w:szCs w:val="24"/>
        </w:rPr>
        <w:t xml:space="preserve">2.2. </w:t>
      </w:r>
      <w:r>
        <w:rPr>
          <w:rFonts w:ascii="Times New Roman" w:eastAsia="Times New Roman" w:hAnsi="Times New Roman" w:cs="Times New Roman"/>
          <w:b/>
          <w:bCs/>
          <w:color w:val="1F1F1F"/>
          <w:sz w:val="24"/>
          <w:szCs w:val="24"/>
        </w:rPr>
        <w:t>Collection of performance data for the cogeneration system installation</w:t>
      </w:r>
    </w:p>
    <w:p w:rsidR="00951AF0" w:rsidRDefault="00B2073A">
      <w:pPr>
        <w:pBdr>
          <w:top w:val="nil"/>
          <w:left w:val="nil"/>
          <w:bottom w:val="nil"/>
          <w:right w:val="nil"/>
          <w:between w:val="nil"/>
        </w:pBdr>
        <w:shd w:val="clear" w:color="auto" w:fill="FFFFFF"/>
        <w:spacing w:before="280" w:after="0" w:line="360" w:lineRule="auto"/>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The system performance of the cogeneration plant is presented in Table 1:</w:t>
      </w:r>
    </w:p>
    <w:p w:rsidR="00951AF0" w:rsidRDefault="00B2073A">
      <w:pPr>
        <w:pStyle w:val="Heading1"/>
        <w:spacing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Table 1: Cogeneration System Performance </w:t>
      </w:r>
    </w:p>
    <w:tbl>
      <w:tblPr>
        <w:tblStyle w:val="a"/>
        <w:tblW w:w="6945" w:type="dxa"/>
        <w:tblInd w:w="0" w:type="dxa"/>
        <w:tblLayout w:type="fixed"/>
        <w:tblLook w:val="0400" w:firstRow="0" w:lastRow="0" w:firstColumn="0" w:lastColumn="0" w:noHBand="0" w:noVBand="1"/>
      </w:tblPr>
      <w:tblGrid>
        <w:gridCol w:w="3543"/>
        <w:gridCol w:w="1387"/>
        <w:gridCol w:w="2015"/>
      </w:tblGrid>
      <w:tr w:rsidR="00951AF0">
        <w:trPr>
          <w:tblHeader/>
        </w:trPr>
        <w:tc>
          <w:tcPr>
            <w:tcW w:w="3544" w:type="dxa"/>
            <w:vAlign w:val="center"/>
          </w:tcPr>
          <w:p w:rsidR="00951AF0" w:rsidRDefault="00B2073A">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w:t>
            </w:r>
          </w:p>
        </w:tc>
        <w:tc>
          <w:tcPr>
            <w:tcW w:w="1387" w:type="dxa"/>
            <w:vAlign w:val="center"/>
          </w:tcPr>
          <w:p w:rsidR="00951AF0" w:rsidRDefault="00B2073A">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Symbol</w:t>
            </w:r>
          </w:p>
        </w:tc>
        <w:tc>
          <w:tcPr>
            <w:tcW w:w="2015" w:type="dxa"/>
            <w:vAlign w:val="center"/>
          </w:tcPr>
          <w:p w:rsidR="00951AF0" w:rsidRDefault="00B2073A">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Updated Value</w:t>
            </w:r>
          </w:p>
        </w:tc>
      </w:tr>
      <w:tr w:rsidR="00951AF0">
        <w:tc>
          <w:tcPr>
            <w:tcW w:w="3544"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Gas Turbine Net Power</w:t>
            </w:r>
          </w:p>
        </w:tc>
        <w:tc>
          <w:tcPr>
            <w:tcW w:w="1387" w:type="dxa"/>
            <w:vAlign w:val="center"/>
          </w:tcPr>
          <w:p w:rsidR="00951AF0" w:rsidRDefault="00B2073A">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net</w:t>
            </w:r>
            <w:proofErr w:type="spellEnd"/>
          </w:p>
        </w:tc>
        <w:tc>
          <w:tcPr>
            <w:tcW w:w="2015"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20.5 </w:t>
            </w:r>
            <w:proofErr w:type="spellStart"/>
            <w:r>
              <w:rPr>
                <w:rFonts w:ascii="Times New Roman" w:eastAsia="Times New Roman" w:hAnsi="Times New Roman" w:cs="Times New Roman"/>
                <w:b/>
                <w:bCs/>
                <w:sz w:val="24"/>
                <w:szCs w:val="24"/>
              </w:rPr>
              <w:t>MWe</w:t>
            </w:r>
            <w:proofErr w:type="spellEnd"/>
          </w:p>
        </w:tc>
      </w:tr>
      <w:tr w:rsidR="00951AF0">
        <w:tc>
          <w:tcPr>
            <w:tcW w:w="3544"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Fuel Input (LHV)</w:t>
            </w:r>
          </w:p>
        </w:tc>
        <w:tc>
          <w:tcPr>
            <w:tcW w:w="1387" w:type="dxa"/>
            <w:vAlign w:val="center"/>
          </w:tcPr>
          <w:p w:rsidR="00951AF0" w:rsidRDefault="00B2073A">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w:t>
            </w:r>
            <w:r>
              <w:rPr>
                <w:rFonts w:ascii="Times New Roman" w:eastAsia="Times New Roman" w:hAnsi="Times New Roman" w:cs="Times New Roman"/>
                <w:sz w:val="24"/>
                <w:szCs w:val="24"/>
                <w:vertAlign w:val="subscript"/>
              </w:rPr>
              <w:t>fuel</w:t>
            </w:r>
            <w:proofErr w:type="spellEnd"/>
          </w:p>
        </w:tc>
        <w:tc>
          <w:tcPr>
            <w:tcW w:w="2015"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56 MW</w:t>
            </w:r>
          </w:p>
        </w:tc>
      </w:tr>
      <w:tr w:rsidR="00951AF0">
        <w:tc>
          <w:tcPr>
            <w:tcW w:w="3544"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Exhaust Temperature</w:t>
            </w:r>
          </w:p>
        </w:tc>
        <w:tc>
          <w:tcPr>
            <w:tcW w:w="1387" w:type="dxa"/>
            <w:vAlign w:val="center"/>
          </w:tcPr>
          <w:p w:rsidR="00951AF0" w:rsidRDefault="00B2073A">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w:t>
            </w:r>
            <w:r>
              <w:rPr>
                <w:rFonts w:ascii="Times New Roman" w:eastAsia="Times New Roman" w:hAnsi="Times New Roman" w:cs="Times New Roman"/>
                <w:sz w:val="24"/>
                <w:szCs w:val="24"/>
                <w:vertAlign w:val="subscript"/>
              </w:rPr>
              <w:t>exh</w:t>
            </w:r>
            <w:proofErr w:type="spellEnd"/>
          </w:p>
        </w:tc>
        <w:tc>
          <w:tcPr>
            <w:tcW w:w="2015"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515°C</w:t>
            </w:r>
          </w:p>
        </w:tc>
      </w:tr>
      <w:tr w:rsidR="00951AF0">
        <w:tc>
          <w:tcPr>
            <w:tcW w:w="3544"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Exhaust Mass Flow</w:t>
            </w:r>
          </w:p>
        </w:tc>
        <w:tc>
          <w:tcPr>
            <w:tcW w:w="1387" w:type="dxa"/>
            <w:vAlign w:val="center"/>
          </w:tcPr>
          <w:p w:rsidR="00951AF0" w:rsidRDefault="009A032B">
            <w:pPr>
              <w:spacing w:after="0" w:line="360" w:lineRule="auto"/>
              <w:rPr>
                <w:rFonts w:ascii="Times New Roman" w:eastAsia="Times New Roman" w:hAnsi="Times New Roman" w:cs="Times New Roman"/>
                <w:sz w:val="24"/>
                <w:szCs w:val="24"/>
              </w:rPr>
            </w:pPr>
            <m:oMath>
              <m:acc>
                <m:accPr>
                  <m:chr m:val="̇"/>
                  <m:ctrlPr>
                    <w:rPr>
                      <w:rFonts w:ascii="Cambria Math" w:eastAsia="Cambria Math" w:hAnsi="Cambria Math" w:cs="Cambria Math"/>
                      <w:sz w:val="24"/>
                      <w:szCs w:val="24"/>
                    </w:rPr>
                  </m:ctrlPr>
                </m:accPr>
                <m:e>
                  <m:r>
                    <w:rPr>
                      <w:rFonts w:ascii="Cambria Math" w:eastAsia="Cambria Math" w:hAnsi="Cambria Math" w:cs="Cambria Math"/>
                      <w:sz w:val="24"/>
                      <w:szCs w:val="24"/>
                    </w:rPr>
                    <m:t>m</m:t>
                  </m:r>
                </m:e>
              </m:acc>
            </m:oMath>
            <w:r w:rsidR="00B2073A">
              <w:rPr>
                <w:rFonts w:ascii="Times New Roman" w:eastAsia="Times New Roman" w:hAnsi="Times New Roman" w:cs="Times New Roman"/>
                <w:sz w:val="24"/>
                <w:szCs w:val="24"/>
                <w:vertAlign w:val="subscript"/>
              </w:rPr>
              <w:t>exh</w:t>
            </w:r>
            <w:bookmarkStart w:id="1" w:name="_GoBack"/>
            <w:bookmarkEnd w:id="1"/>
          </w:p>
        </w:tc>
        <w:tc>
          <w:tcPr>
            <w:tcW w:w="2015"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84 kg/s</w:t>
            </w:r>
          </w:p>
        </w:tc>
      </w:tr>
      <w:tr w:rsidR="00951AF0">
        <w:tc>
          <w:tcPr>
            <w:tcW w:w="3544"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HRSG Steam</w:t>
            </w:r>
          </w:p>
        </w:tc>
        <w:tc>
          <w:tcPr>
            <w:tcW w:w="1387" w:type="dxa"/>
            <w:vAlign w:val="center"/>
          </w:tcPr>
          <w:p w:rsidR="00951AF0" w:rsidRDefault="009A032B">
            <w:pPr>
              <w:spacing w:after="0" w:line="360" w:lineRule="auto"/>
              <w:rPr>
                <w:rFonts w:ascii="Times New Roman" w:eastAsia="Times New Roman" w:hAnsi="Times New Roman" w:cs="Times New Roman"/>
                <w:sz w:val="24"/>
                <w:szCs w:val="24"/>
              </w:rPr>
            </w:pPr>
            <m:oMath>
              <m:acc>
                <m:accPr>
                  <m:chr m:val="̇"/>
                  <m:ctrlPr>
                    <w:rPr>
                      <w:rFonts w:ascii="Cambria Math" w:eastAsia="Cambria Math" w:hAnsi="Cambria Math" w:cs="Cambria Math"/>
                      <w:sz w:val="24"/>
                      <w:szCs w:val="24"/>
                      <w:vertAlign w:val="subscript"/>
                    </w:rPr>
                  </m:ctrlPr>
                </m:accPr>
                <m:e>
                  <m:r>
                    <w:rPr>
                      <w:rFonts w:ascii="Cambria Math" w:eastAsia="Cambria Math" w:hAnsi="Cambria Math" w:cs="Cambria Math"/>
                      <w:sz w:val="24"/>
                      <w:szCs w:val="24"/>
                      <w:vertAlign w:val="subscript"/>
                    </w:rPr>
                    <m:t>m</m:t>
                  </m:r>
                </m:e>
              </m:acc>
            </m:oMath>
            <w:r w:rsidR="00B2073A">
              <w:rPr>
                <w:rFonts w:ascii="Times New Roman" w:eastAsia="Times New Roman" w:hAnsi="Times New Roman" w:cs="Times New Roman"/>
                <w:sz w:val="24"/>
                <w:szCs w:val="24"/>
                <w:vertAlign w:val="subscript"/>
              </w:rPr>
              <w:t>steam</w:t>
            </w:r>
          </w:p>
        </w:tc>
        <w:tc>
          <w:tcPr>
            <w:tcW w:w="2015"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31 t/h</w:t>
            </w:r>
          </w:p>
        </w:tc>
      </w:tr>
      <w:tr w:rsidR="00951AF0">
        <w:tc>
          <w:tcPr>
            <w:tcW w:w="3544"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 GOR</w:t>
            </w:r>
          </w:p>
        </w:tc>
        <w:tc>
          <w:tcPr>
            <w:tcW w:w="1387" w:type="dxa"/>
            <w:vAlign w:val="center"/>
          </w:tcPr>
          <w:p w:rsidR="00951AF0" w:rsidRDefault="00951AF0">
            <w:pPr>
              <w:spacing w:after="0" w:line="360" w:lineRule="auto"/>
              <w:rPr>
                <w:rFonts w:ascii="Times New Roman" w:eastAsia="Times New Roman" w:hAnsi="Times New Roman" w:cs="Times New Roman"/>
                <w:sz w:val="24"/>
                <w:szCs w:val="24"/>
              </w:rPr>
            </w:pPr>
          </w:p>
        </w:tc>
        <w:tc>
          <w:tcPr>
            <w:tcW w:w="2015"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w:t>
            </w:r>
          </w:p>
        </w:tc>
      </w:tr>
      <w:tr w:rsidR="00951AF0">
        <w:tc>
          <w:tcPr>
            <w:tcW w:w="3544"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Output</w:t>
            </w:r>
          </w:p>
        </w:tc>
        <w:tc>
          <w:tcPr>
            <w:tcW w:w="1387" w:type="dxa"/>
            <w:vAlign w:val="center"/>
          </w:tcPr>
          <w:p w:rsidR="00951AF0" w:rsidRDefault="00B2073A">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w:t>
            </w:r>
            <w:r>
              <w:rPr>
                <w:rFonts w:ascii="Times New Roman" w:eastAsia="Times New Roman" w:hAnsi="Times New Roman" w:cs="Times New Roman"/>
                <w:sz w:val="24"/>
                <w:szCs w:val="24"/>
                <w:vertAlign w:val="subscript"/>
              </w:rPr>
              <w:t>water</w:t>
            </w:r>
            <w:proofErr w:type="spellEnd"/>
          </w:p>
        </w:tc>
        <w:tc>
          <w:tcPr>
            <w:tcW w:w="2015"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6700 m³/day</w:t>
            </w:r>
          </w:p>
        </w:tc>
      </w:tr>
      <w:tr w:rsidR="00951AF0">
        <w:tc>
          <w:tcPr>
            <w:tcW w:w="3544"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Thermal Energy Recovered</w:t>
            </w:r>
          </w:p>
        </w:tc>
        <w:tc>
          <w:tcPr>
            <w:tcW w:w="1387" w:type="dxa"/>
            <w:vAlign w:val="center"/>
          </w:tcPr>
          <w:p w:rsidR="00951AF0" w:rsidRDefault="00B2073A">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w:t>
            </w:r>
            <w:r>
              <w:rPr>
                <w:rFonts w:ascii="Times New Roman" w:eastAsia="Times New Roman" w:hAnsi="Times New Roman" w:cs="Times New Roman"/>
                <w:sz w:val="24"/>
                <w:szCs w:val="24"/>
                <w:vertAlign w:val="subscript"/>
              </w:rPr>
              <w:t>th</w:t>
            </w:r>
            <w:proofErr w:type="spellEnd"/>
          </w:p>
        </w:tc>
        <w:tc>
          <w:tcPr>
            <w:tcW w:w="2015"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17 MWₜₕ</w:t>
            </w:r>
          </w:p>
        </w:tc>
      </w:tr>
      <w:tr w:rsidR="00951AF0">
        <w:tc>
          <w:tcPr>
            <w:tcW w:w="3544"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Cogeneration Efficiency</w:t>
            </w:r>
          </w:p>
        </w:tc>
        <w:tc>
          <w:tcPr>
            <w:tcW w:w="1387" w:type="dxa"/>
            <w:vAlign w:val="center"/>
          </w:tcPr>
          <w:p w:rsidR="00951AF0" w:rsidRDefault="00B2073A">
            <w:pPr>
              <w:spacing w:after="0" w:line="360" w:lineRule="auto"/>
              <w:rPr>
                <w:rFonts w:ascii="Times New Roman" w:eastAsia="Times New Roman" w:hAnsi="Times New Roman" w:cs="Times New Roman"/>
                <w:sz w:val="24"/>
                <w:szCs w:val="24"/>
              </w:rPr>
            </w:pPr>
            <w:proofErr w:type="spellStart"/>
            <w:r>
              <w:rPr>
                <w:rFonts w:ascii="Noto Sans Symbols" w:eastAsia="Noto Sans Symbols" w:hAnsi="Noto Sans Symbols" w:cs="Noto Sans Symbols"/>
                <w:sz w:val="24"/>
                <w:szCs w:val="24"/>
              </w:rPr>
              <w:t>η</w:t>
            </w:r>
            <w:r>
              <w:rPr>
                <w:rFonts w:ascii="Times New Roman" w:eastAsia="Times New Roman" w:hAnsi="Times New Roman" w:cs="Times New Roman"/>
                <w:sz w:val="24"/>
                <w:szCs w:val="24"/>
                <w:vertAlign w:val="subscript"/>
              </w:rPr>
              <w:t>cogen</w:t>
            </w:r>
            <w:proofErr w:type="spellEnd"/>
            <w:r>
              <w:rPr>
                <w:rFonts w:ascii="Times New Roman" w:eastAsia="Times New Roman" w:hAnsi="Times New Roman" w:cs="Times New Roman"/>
                <w:sz w:val="24"/>
                <w:szCs w:val="24"/>
              </w:rPr>
              <w:t xml:space="preserve"> =</w:t>
            </w:r>
          </w:p>
        </w:tc>
        <w:tc>
          <w:tcPr>
            <w:tcW w:w="2015" w:type="dxa"/>
            <w:vAlign w:val="center"/>
          </w:tcPr>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67%</w:t>
            </w:r>
          </w:p>
        </w:tc>
      </w:tr>
    </w:tbl>
    <w:p w:rsidR="00951AF0" w:rsidRDefault="00B2073A">
      <w:pPr>
        <w:pStyle w:val="Heading3"/>
        <w:spacing w:before="280" w:after="0" w:line="360" w:lineRule="auto"/>
        <w:rPr>
          <w:sz w:val="24"/>
          <w:szCs w:val="24"/>
        </w:rPr>
      </w:pPr>
      <w:r>
        <w:rPr>
          <w:sz w:val="24"/>
          <w:szCs w:val="24"/>
        </w:rPr>
        <w:t>Cogeneration Efficiency</w:t>
      </w:r>
    </w:p>
    <w:p w:rsidR="00951AF0" w:rsidRDefault="00B2073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overall efficiency is expressed as follows:</w:t>
      </w:r>
    </w:p>
    <w:p w:rsidR="00951AF0" w:rsidRDefault="00B2073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roofErr w:type="spellStart"/>
      <w:r>
        <w:rPr>
          <w:rFonts w:ascii="Noto Sans Symbols" w:eastAsia="Noto Sans Symbols" w:hAnsi="Noto Sans Symbols" w:cs="Noto Sans Symbols"/>
          <w:color w:val="000000"/>
          <w:sz w:val="24"/>
          <w:szCs w:val="24"/>
        </w:rPr>
        <w:t>η</w:t>
      </w:r>
      <w:r>
        <w:rPr>
          <w:rFonts w:ascii="Times New Roman" w:eastAsia="Times New Roman" w:hAnsi="Times New Roman" w:cs="Times New Roman"/>
          <w:color w:val="000000"/>
          <w:sz w:val="24"/>
          <w:szCs w:val="24"/>
          <w:vertAlign w:val="subscript"/>
        </w:rPr>
        <w:t>cogen</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F1115"/>
          <w:sz w:val="24"/>
          <w:szCs w:val="24"/>
        </w:rPr>
        <w:t>P</w:t>
      </w:r>
      <w:r>
        <w:rPr>
          <w:rFonts w:ascii="Times New Roman" w:eastAsia="Times New Roman" w:hAnsi="Times New Roman" w:cs="Times New Roman"/>
          <w:color w:val="0F1115"/>
          <w:sz w:val="24"/>
          <w:szCs w:val="24"/>
          <w:vertAlign w:val="subscript"/>
        </w:rPr>
        <w:t>net</w:t>
      </w:r>
      <w:proofErr w:type="spellEnd"/>
      <w:r>
        <w:rPr>
          <w:rFonts w:ascii="Times New Roman" w:eastAsia="Times New Roman" w:hAnsi="Times New Roman" w:cs="Times New Roman"/>
          <w:color w:val="0F1115"/>
          <w:sz w:val="24"/>
          <w:szCs w:val="24"/>
          <w:vertAlign w:val="subscript"/>
        </w:rPr>
        <w:t xml:space="preserve"> </w:t>
      </w:r>
      <w:r>
        <w:rPr>
          <w:rFonts w:ascii="Times New Roman" w:eastAsia="Times New Roman" w:hAnsi="Times New Roman" w:cs="Times New Roman"/>
          <w:color w:val="0F1115"/>
          <w:sz w:val="24"/>
          <w:szCs w:val="24"/>
        </w:rPr>
        <w:t>+</w:t>
      </w:r>
      <w:r>
        <w:rPr>
          <w:rFonts w:ascii="Courier New" w:eastAsia="Courier New" w:hAnsi="Courier New" w:cs="Courier New"/>
          <w:color w:val="0F1115"/>
          <w:sz w:val="24"/>
          <w:szCs w:val="24"/>
        </w:rPr>
        <w:t xml:space="preserve"> </w:t>
      </w:r>
      <w:proofErr w:type="spellStart"/>
      <w:r>
        <w:rPr>
          <w:rFonts w:ascii="Times New Roman" w:eastAsia="Times New Roman" w:hAnsi="Times New Roman" w:cs="Times New Roman"/>
          <w:color w:val="000000"/>
          <w:sz w:val="24"/>
          <w:szCs w:val="24"/>
        </w:rPr>
        <w:t>Q</w:t>
      </w:r>
      <w:r>
        <w:rPr>
          <w:rFonts w:ascii="Times New Roman" w:eastAsia="Times New Roman" w:hAnsi="Times New Roman" w:cs="Times New Roman"/>
          <w:color w:val="000000"/>
          <w:sz w:val="24"/>
          <w:szCs w:val="24"/>
          <w:vertAlign w:val="subscript"/>
        </w:rPr>
        <w:t>th</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Q</w:t>
      </w:r>
      <w:r>
        <w:rPr>
          <w:rFonts w:ascii="Times New Roman" w:eastAsia="Times New Roman" w:hAnsi="Times New Roman" w:cs="Times New Roman"/>
          <w:color w:val="000000"/>
          <w:sz w:val="24"/>
          <w:szCs w:val="24"/>
          <w:vertAlign w:val="subscript"/>
        </w:rPr>
        <w:t>fuel</w:t>
      </w:r>
      <w:proofErr w:type="spellEnd"/>
    </w:p>
    <w:p w:rsidR="00951AF0" w:rsidRDefault="00B2073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4"/>
          <w:szCs w:val="24"/>
        </w:rPr>
      </w:pPr>
      <w:proofErr w:type="gramStart"/>
      <w:r>
        <w:rPr>
          <w:rFonts w:ascii="Times New Roman" w:eastAsia="Times New Roman" w:hAnsi="Times New Roman" w:cs="Times New Roman"/>
          <w:color w:val="000000"/>
          <w:sz w:val="24"/>
          <w:szCs w:val="24"/>
        </w:rPr>
        <w:t>So :</w:t>
      </w:r>
      <w:proofErr w:type="gramEnd"/>
      <w:r>
        <w:rPr>
          <w:rFonts w:ascii="Times New Roman" w:eastAsia="Times New Roman" w:hAnsi="Times New Roman" w:cs="Times New Roman"/>
          <w:color w:val="000000"/>
          <w:sz w:val="24"/>
          <w:szCs w:val="24"/>
        </w:rPr>
        <w:t xml:space="preserve">     </w:t>
      </w:r>
      <w:proofErr w:type="spellStart"/>
      <w:r>
        <w:rPr>
          <w:rFonts w:ascii="Noto Sans Symbols" w:eastAsia="Noto Sans Symbols" w:hAnsi="Noto Sans Symbols" w:cs="Noto Sans Symbols"/>
          <w:color w:val="000000"/>
          <w:sz w:val="24"/>
          <w:szCs w:val="24"/>
        </w:rPr>
        <w:t>η</w:t>
      </w:r>
      <w:r>
        <w:rPr>
          <w:rFonts w:ascii="Times New Roman" w:eastAsia="Times New Roman" w:hAnsi="Times New Roman" w:cs="Times New Roman"/>
          <w:color w:val="000000"/>
          <w:sz w:val="24"/>
          <w:szCs w:val="24"/>
          <w:vertAlign w:val="subscript"/>
        </w:rPr>
        <w:t>cogen</w:t>
      </w:r>
      <w:proofErr w:type="spellEnd"/>
      <w:r>
        <w:rPr>
          <w:rFonts w:ascii="Times New Roman" w:eastAsia="Times New Roman" w:hAnsi="Times New Roman" w:cs="Times New Roman"/>
          <w:color w:val="000000"/>
          <w:sz w:val="24"/>
          <w:szCs w:val="24"/>
        </w:rPr>
        <w:t xml:space="preserve"> =  (20.5 + 17)/56 = 67% </w:t>
      </w:r>
    </w:p>
    <w:p w:rsidR="00951AF0" w:rsidRDefault="00B2073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Comparative Investigation, Environmental Impact</w:t>
      </w:r>
    </w:p>
    <w:p w:rsidR="00951AF0" w:rsidRDefault="00B2073A">
      <w:pPr>
        <w:spacing w:before="240" w:after="0" w:line="360" w:lineRule="auto"/>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t>3.1. Comparison of Thermal Desalination Technologies</w:t>
      </w:r>
    </w:p>
    <w:p w:rsidR="00951AF0" w:rsidRDefault="00B2073A">
      <w:pPr>
        <w:shd w:val="clear" w:color="auto" w:fill="FFFFFF"/>
        <w:spacing w:before="280"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MED was selected over other thermal processes such as Multi-Stage Flash (MSF) for its superior efficiency at the moderate steam temperatures provided by a GT-HRSG [9]. As shown in Table 2, MED offers a higher Gain Output Ratio (8 - 13), lower specific thermal energy consumption (between 60 and 80 kWh/m³), and lower scaling tendency at its typical top brine temperature of approximately 70°C, making it an excellent match for GT exhaust heat. MSF requires higher temperatures, and Mechanical Vapor Compression (MVC) requires electrical or mechanical drive, making it less suitable for direct thermal coupling.</w:t>
      </w:r>
    </w:p>
    <w:p w:rsidR="00951AF0" w:rsidRDefault="00B2073A">
      <w:pPr>
        <w:spacing w:before="240"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Table 2: Comparison of Thermal Desalination Technologies for Cogeneration [8, 10]</w:t>
      </w:r>
    </w:p>
    <w:tbl>
      <w:tblPr>
        <w:tblStyle w:val="a0"/>
        <w:tblW w:w="9072" w:type="dxa"/>
        <w:tblInd w:w="0" w:type="dxa"/>
        <w:tblLayout w:type="fixed"/>
        <w:tblLook w:val="0400" w:firstRow="0" w:lastRow="0" w:firstColumn="0" w:lastColumn="0" w:noHBand="0" w:noVBand="1"/>
      </w:tblPr>
      <w:tblGrid>
        <w:gridCol w:w="2186"/>
        <w:gridCol w:w="1500"/>
        <w:gridCol w:w="2268"/>
        <w:gridCol w:w="3118"/>
      </w:tblGrid>
      <w:tr w:rsidR="00951AF0">
        <w:trPr>
          <w:tblHeader/>
        </w:trPr>
        <w:tc>
          <w:tcPr>
            <w:tcW w:w="2186" w:type="dxa"/>
            <w:tcBorders>
              <w:top w:val="nil"/>
            </w:tcBorders>
            <w:tcMar>
              <w:top w:w="150" w:type="dxa"/>
              <w:left w:w="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w:t>
            </w:r>
          </w:p>
        </w:tc>
        <w:tc>
          <w:tcPr>
            <w:tcW w:w="1500" w:type="dxa"/>
            <w:tcBorders>
              <w:top w:val="nil"/>
            </w:tcBorders>
            <w:tcMar>
              <w:top w:w="150" w:type="dxa"/>
              <w:left w:w="24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MED</w:t>
            </w:r>
          </w:p>
        </w:tc>
        <w:tc>
          <w:tcPr>
            <w:tcW w:w="2268" w:type="dxa"/>
            <w:tcBorders>
              <w:top w:val="nil"/>
            </w:tcBorders>
            <w:tcMar>
              <w:top w:w="150" w:type="dxa"/>
              <w:left w:w="24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MSF</w:t>
            </w:r>
          </w:p>
        </w:tc>
        <w:tc>
          <w:tcPr>
            <w:tcW w:w="3118" w:type="dxa"/>
            <w:tcBorders>
              <w:top w:val="nil"/>
            </w:tcBorders>
            <w:tcMar>
              <w:top w:w="150" w:type="dxa"/>
              <w:left w:w="24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Vapor Compression (VD)</w:t>
            </w:r>
          </w:p>
        </w:tc>
      </w:tr>
      <w:tr w:rsidR="00951AF0">
        <w:tc>
          <w:tcPr>
            <w:tcW w:w="2186" w:type="dxa"/>
            <w:tcMar>
              <w:top w:w="150" w:type="dxa"/>
              <w:left w:w="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Typical GOR</w:t>
            </w:r>
          </w:p>
        </w:tc>
        <w:tc>
          <w:tcPr>
            <w:tcW w:w="1500" w:type="dxa"/>
            <w:tcMar>
              <w:top w:w="150" w:type="dxa"/>
              <w:left w:w="24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to 12</w:t>
            </w:r>
          </w:p>
        </w:tc>
        <w:tc>
          <w:tcPr>
            <w:tcW w:w="2268" w:type="dxa"/>
            <w:tcMar>
              <w:top w:w="150" w:type="dxa"/>
              <w:left w:w="24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to 8</w:t>
            </w:r>
          </w:p>
        </w:tc>
        <w:tc>
          <w:tcPr>
            <w:tcW w:w="3118" w:type="dxa"/>
            <w:tcMar>
              <w:top w:w="150" w:type="dxa"/>
              <w:left w:w="240" w:type="dxa"/>
              <w:bottom w:w="150" w:type="dxa"/>
              <w:right w:w="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to 15</w:t>
            </w:r>
          </w:p>
        </w:tc>
      </w:tr>
      <w:tr w:rsidR="00951AF0">
        <w:tc>
          <w:tcPr>
            <w:tcW w:w="2186" w:type="dxa"/>
            <w:tcMar>
              <w:top w:w="150" w:type="dxa"/>
              <w:left w:w="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Top Brine Temperature</w:t>
            </w:r>
          </w:p>
        </w:tc>
        <w:tc>
          <w:tcPr>
            <w:tcW w:w="1500" w:type="dxa"/>
            <w:tcMar>
              <w:top w:w="150" w:type="dxa"/>
              <w:left w:w="24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70°C</w:t>
            </w:r>
          </w:p>
        </w:tc>
        <w:tc>
          <w:tcPr>
            <w:tcW w:w="2268" w:type="dxa"/>
            <w:tcMar>
              <w:top w:w="150" w:type="dxa"/>
              <w:left w:w="24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110°C</w:t>
            </w:r>
          </w:p>
        </w:tc>
        <w:tc>
          <w:tcPr>
            <w:tcW w:w="3118" w:type="dxa"/>
            <w:tcMar>
              <w:top w:w="150" w:type="dxa"/>
              <w:left w:w="240" w:type="dxa"/>
              <w:bottom w:w="150" w:type="dxa"/>
              <w:right w:w="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70°C</w:t>
            </w:r>
          </w:p>
        </w:tc>
      </w:tr>
      <w:tr w:rsidR="00951AF0">
        <w:tc>
          <w:tcPr>
            <w:tcW w:w="2186" w:type="dxa"/>
            <w:tcMar>
              <w:top w:w="150" w:type="dxa"/>
              <w:left w:w="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Specific Thermal Energy</w:t>
            </w:r>
          </w:p>
        </w:tc>
        <w:tc>
          <w:tcPr>
            <w:tcW w:w="1500" w:type="dxa"/>
            <w:tcMar>
              <w:top w:w="150" w:type="dxa"/>
              <w:left w:w="24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to 80 kWhₜₕ/m³</w:t>
            </w:r>
          </w:p>
        </w:tc>
        <w:tc>
          <w:tcPr>
            <w:tcW w:w="2268" w:type="dxa"/>
            <w:tcMar>
              <w:top w:w="150" w:type="dxa"/>
              <w:left w:w="24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 to 120 kWhₜₕ/m³</w:t>
            </w:r>
          </w:p>
        </w:tc>
        <w:tc>
          <w:tcPr>
            <w:tcW w:w="3118" w:type="dxa"/>
            <w:tcMar>
              <w:top w:w="150" w:type="dxa"/>
              <w:left w:w="240" w:type="dxa"/>
              <w:bottom w:w="150" w:type="dxa"/>
              <w:right w:w="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 to 70 kWhₜₕ/m³ (electrical)</w:t>
            </w:r>
          </w:p>
        </w:tc>
      </w:tr>
      <w:tr w:rsidR="00951AF0">
        <w:tc>
          <w:tcPr>
            <w:tcW w:w="2186" w:type="dxa"/>
            <w:tcMar>
              <w:top w:w="150" w:type="dxa"/>
              <w:left w:w="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Suitability for GT Exhaust</w:t>
            </w:r>
          </w:p>
        </w:tc>
        <w:tc>
          <w:tcPr>
            <w:tcW w:w="1500" w:type="dxa"/>
            <w:tcMar>
              <w:top w:w="150" w:type="dxa"/>
              <w:left w:w="24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w:t>
            </w:r>
          </w:p>
        </w:tc>
        <w:tc>
          <w:tcPr>
            <w:tcW w:w="2268" w:type="dxa"/>
            <w:tcMar>
              <w:top w:w="150" w:type="dxa"/>
              <w:left w:w="24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(Requires higher temperature)</w:t>
            </w:r>
          </w:p>
        </w:tc>
        <w:tc>
          <w:tcPr>
            <w:tcW w:w="3118" w:type="dxa"/>
            <w:tcMar>
              <w:top w:w="150" w:type="dxa"/>
              <w:left w:w="240" w:type="dxa"/>
              <w:bottom w:w="150" w:type="dxa"/>
              <w:right w:w="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Poor (requires mechanical/electric drive)</w:t>
            </w:r>
          </w:p>
        </w:tc>
      </w:tr>
      <w:tr w:rsidR="00951AF0">
        <w:tc>
          <w:tcPr>
            <w:tcW w:w="2186" w:type="dxa"/>
            <w:tcMar>
              <w:top w:w="150" w:type="dxa"/>
              <w:left w:w="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Scaling Tendency</w:t>
            </w:r>
          </w:p>
        </w:tc>
        <w:tc>
          <w:tcPr>
            <w:tcW w:w="1500" w:type="dxa"/>
            <w:tcMar>
              <w:top w:w="150" w:type="dxa"/>
              <w:left w:w="24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268" w:type="dxa"/>
            <w:tcMar>
              <w:top w:w="150" w:type="dxa"/>
              <w:left w:w="240" w:type="dxa"/>
              <w:bottom w:w="150" w:type="dxa"/>
              <w:right w:w="24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3118" w:type="dxa"/>
            <w:tcMar>
              <w:top w:w="150" w:type="dxa"/>
              <w:left w:w="240" w:type="dxa"/>
              <w:bottom w:w="150" w:type="dxa"/>
              <w:right w:w="0" w:type="dxa"/>
            </w:tcMar>
            <w:vAlign w:val="center"/>
          </w:tcPr>
          <w:p w:rsidR="00951AF0" w:rsidRDefault="00B20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bl>
    <w:p w:rsidR="00951AF0" w:rsidRDefault="00B2073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thermodynamic performance, the selection of MED technology is supported by its favorable operational characteristics and long-term reliability. MED plants operate at relatively low top brine temperatures, which significantly reduces corrosion and scaling risks compared to MSF systems. This translates into lower maintenance requirements and longer equipment lifetimes, both of which are critical factors in remote or resource-constrained regions. Furthermore, MED systems exhibit stable performance under part-load operation, making them well suited for integration with gas turbines whose output may vary due to ambient conditions or grid demand. These attributes reinforce the suitability of MED as the preferred desalination technology for gas turbine–based cogeneration systems.</w:t>
      </w:r>
    </w:p>
    <w:p w:rsidR="00951AF0" w:rsidRDefault="00B2073A">
      <w:pPr>
        <w:spacing w:before="240"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Economic and Environmental Analysis</w:t>
      </w:r>
    </w:p>
    <w:p w:rsidR="00951AF0" w:rsidRDefault="00B2073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economic study is necessary for this work; however, emerging countries do not manufacture desalination plants and gas turbines, and investment costs can only be estimated by comparing with similar installations in certain countries. In this study, a preliminary cost estimate for such an installation is provided for informational purposes.</w:t>
      </w:r>
    </w:p>
    <w:p w:rsidR="00951AF0" w:rsidRDefault="00B2073A">
      <w:pPr>
        <w:numPr>
          <w:ilvl w:val="0"/>
          <w:numId w:val="4"/>
        </w:numPr>
        <w:pBdr>
          <w:top w:val="nil"/>
          <w:left w:val="nil"/>
          <w:bottom w:val="nil"/>
          <w:right w:val="nil"/>
          <w:between w:val="nil"/>
        </w:pBdr>
        <w:shd w:val="clear" w:color="auto" w:fill="FFFFFF"/>
        <w:spacing w:before="280" w:after="0" w:line="360" w:lineRule="auto"/>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Capital Costs: The total installed cost for a plant of this scale is estimated to be approximately $42 to $57 million. This encompasses the GT package ($20 to 25M), HRSG &amp; balance of plant ($3 to 5M), MED plant ($10 to 15M), and civil works/seawater intake/outfall systems ($5 to 8M) [11].</w:t>
      </w:r>
    </w:p>
    <w:p w:rsidR="00951AF0" w:rsidRDefault="00B2073A">
      <w:pPr>
        <w:numPr>
          <w:ilvl w:val="0"/>
          <w:numId w:val="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Operational Costs: Natural gas fuel constitutes approximately 70% of the variable O&amp;M costs. MED-specific operational costs include chemicals (primarily </w:t>
      </w:r>
      <w:proofErr w:type="spellStart"/>
      <w:r>
        <w:rPr>
          <w:rFonts w:ascii="Times New Roman" w:eastAsia="Times New Roman" w:hAnsi="Times New Roman" w:cs="Times New Roman"/>
          <w:color w:val="0F1115"/>
          <w:sz w:val="24"/>
          <w:szCs w:val="24"/>
        </w:rPr>
        <w:t>antiscalants</w:t>
      </w:r>
      <w:proofErr w:type="spellEnd"/>
      <w:r>
        <w:rPr>
          <w:rFonts w:ascii="Times New Roman" w:eastAsia="Times New Roman" w:hAnsi="Times New Roman" w:cs="Times New Roman"/>
          <w:color w:val="0F1115"/>
          <w:sz w:val="24"/>
          <w:szCs w:val="24"/>
        </w:rPr>
        <w:t>) and maintenance of the vacuum and air ejection systems.</w:t>
      </w:r>
    </w:p>
    <w:p w:rsidR="00951AF0" w:rsidRDefault="00B2073A">
      <w:pPr>
        <w:numPr>
          <w:ilvl w:val="0"/>
          <w:numId w:val="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Environmental Footprint:</w:t>
      </w:r>
    </w:p>
    <w:p w:rsidR="00951AF0" w:rsidRDefault="00B2073A">
      <w:pPr>
        <w:numPr>
          <w:ilvl w:val="0"/>
          <w:numId w:val="3"/>
        </w:numPr>
        <w:pBdr>
          <w:top w:val="nil"/>
          <w:left w:val="nil"/>
          <w:bottom w:val="nil"/>
          <w:right w:val="nil"/>
          <w:between w:val="nil"/>
        </w:pBdr>
        <w:shd w:val="clear" w:color="auto" w:fill="FFFFFF"/>
        <w:spacing w:before="280" w:after="0" w:line="360" w:lineRule="auto"/>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CO₂ Emissions: The high cogeneration efficiency (67%) dramatically reduces specific CO₂ emissions per unit of water and power produced compared to separate production [12].</w:t>
      </w:r>
    </w:p>
    <w:p w:rsidR="00951AF0" w:rsidRDefault="00B2073A">
      <w:pPr>
        <w:numPr>
          <w:ilvl w:val="0"/>
          <w:numId w:val="3"/>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Brine Discharge: MED brine is typically discharged at a temperature only 5-10°C above ambient and at approximately twice the salinity of seawater. A properly designed diffuser system is essential for environmentally sound outfall and to mitigate local ecological impact [13].</w:t>
      </w:r>
    </w:p>
    <w:p w:rsidR="00951AF0" w:rsidRDefault="00B2073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Beyond direct economic indicators, the broader socio-environmental benefits of cogeneration desalination plants must also be considered. The reduction in fuel consumption per unit of output leads not only to lower operating costs but also to decreased dependence on energy imports, thereby improving national energy security. Environmentally, the lower specific emissions associated with high-efficiency cogeneration contribute to climate change mitigation efforts and support compliance with international environmental commitments. When combined with appropriate brine management strategies, GT-MED systems can achieve a balanced compromise between water production needs and marine ecosystem protection, reinforcing their role as a sustainable infrastructure solution.</w:t>
      </w:r>
    </w:p>
    <w:p w:rsidR="00951AF0" w:rsidRDefault="00B2073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Discussion: Opportunity to Southern Tunisia</w:t>
      </w:r>
    </w:p>
    <w:p w:rsidR="00951AF0" w:rsidRDefault="00B2073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Certain regions of southern Tunisia, known for their water stress, proximity to the coast, and development needs, are ideal candidates for this cogeneration system.</w:t>
      </w:r>
    </w:p>
    <w:p w:rsidR="00951AF0" w:rsidRDefault="00B2073A">
      <w:pPr>
        <w:numPr>
          <w:ilvl w:val="0"/>
          <w:numId w:val="5"/>
        </w:numPr>
        <w:spacing w:before="280" w:after="0" w:line="360" w:lineRule="auto"/>
        <w:ind w:left="660"/>
        <w:rPr>
          <w:rFonts w:ascii="Times New Roman" w:eastAsia="Times New Roman" w:hAnsi="Times New Roman" w:cs="Times New Roman"/>
          <w:sz w:val="24"/>
          <w:szCs w:val="24"/>
        </w:rPr>
      </w:pPr>
      <w:r>
        <w:rPr>
          <w:rFonts w:ascii="Times New Roman" w:eastAsia="Times New Roman" w:hAnsi="Times New Roman" w:cs="Times New Roman"/>
          <w:sz w:val="24"/>
          <w:szCs w:val="24"/>
        </w:rPr>
        <w:t>Resource Optimization: Maximizes the value of imported or domestic natural gas by producing two critical commodities.</w:t>
      </w:r>
    </w:p>
    <w:p w:rsidR="00951AF0" w:rsidRDefault="00B2073A">
      <w:pPr>
        <w:numPr>
          <w:ilvl w:val="0"/>
          <w:numId w:val="5"/>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Grid Stability: Provides reliable, dispatchable power to the local grid.</w:t>
      </w:r>
    </w:p>
    <w:p w:rsidR="00951AF0" w:rsidRDefault="00B2073A">
      <w:pPr>
        <w:numPr>
          <w:ilvl w:val="0"/>
          <w:numId w:val="5"/>
        </w:numPr>
        <w:spacing w:after="0" w:line="360" w:lineRule="auto"/>
        <w:ind w:left="660"/>
        <w:rPr>
          <w:rFonts w:ascii="Times New Roman" w:eastAsia="Times New Roman" w:hAnsi="Times New Roman" w:cs="Times New Roman"/>
          <w:sz w:val="24"/>
          <w:szCs w:val="24"/>
        </w:rPr>
      </w:pPr>
      <w:r>
        <w:rPr>
          <w:rFonts w:ascii="Times New Roman" w:eastAsia="Times New Roman" w:hAnsi="Times New Roman" w:cs="Times New Roman"/>
          <w:sz w:val="24"/>
          <w:szCs w:val="24"/>
        </w:rPr>
        <w:t>Water Security: Offers a drought-proof source of potable water for municipal and industrial use, supporting economic development.</w:t>
      </w:r>
    </w:p>
    <w:p w:rsidR="00951AF0" w:rsidRDefault="00B2073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Reduced Carbon Footprint: The high cogeneration efficiency (67%) leads to significantly lower specific CO₂ emissions per cubic meter of water and per megawatt-hour of power produced compared to separate, conventional generation and desalination.</w:t>
      </w:r>
      <w:r>
        <w:rPr>
          <w:rFonts w:ascii="Courier New" w:eastAsia="Courier New" w:hAnsi="Courier New" w:cs="Courier New"/>
          <w:color w:val="000000"/>
          <w:sz w:val="24"/>
          <w:szCs w:val="24"/>
        </w:rPr>
        <w:t xml:space="preserve"> </w:t>
      </w:r>
      <w:r>
        <w:rPr>
          <w:rFonts w:ascii="Times New Roman" w:eastAsia="Times New Roman" w:hAnsi="Times New Roman" w:cs="Times New Roman"/>
          <w:color w:val="1F1F1F"/>
          <w:sz w:val="24"/>
          <w:szCs w:val="24"/>
        </w:rPr>
        <w:t>The production of drinking water at a low environmental cost is a global sustainable development goal.</w:t>
      </w:r>
    </w:p>
    <w:p w:rsidR="00951AF0" w:rsidRDefault="00B2073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Challenges: These include the high initial capital expenditure, reliance on natural gas market prices, and the need for robust environmental management of brine discharge in sensitive marine ecosystems.</w:t>
      </w:r>
    </w:p>
    <w:p w:rsidR="00951AF0" w:rsidRDefault="00B2073A">
      <w:pPr>
        <w:spacing w:before="280"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4.1. Scale and Demographic Relevance</w:t>
      </w:r>
    </w:p>
    <w:p w:rsidR="00951AF0" w:rsidRDefault="00951AF0">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p>
    <w:p w:rsidR="00951AF0" w:rsidRDefault="00B2073A">
      <w:pPr>
        <w:pBdr>
          <w:top w:val="nil"/>
          <w:left w:val="nil"/>
          <w:bottom w:val="nil"/>
          <w:right w:val="nil"/>
          <w:between w:val="nil"/>
        </w:pBdr>
        <w:shd w:val="clear" w:color="auto" w:fill="FFFFFF"/>
        <w:spacing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proposed 20.5 MW GT-MED cogeneration plant, producing approximately 6700 m³ of freshwater per day, can significantly affect water and energy security for a regional population. The service capacity can be estimated based on standard Tunisian consumption figures:</w:t>
      </w:r>
    </w:p>
    <w:p w:rsidR="00951AF0" w:rsidRDefault="00B2073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Electricity Service Capacity: With net output of 20.5 </w:t>
      </w:r>
      <w:proofErr w:type="spellStart"/>
      <w:r>
        <w:rPr>
          <w:rFonts w:ascii="Times New Roman" w:eastAsia="Times New Roman" w:hAnsi="Times New Roman" w:cs="Times New Roman"/>
          <w:color w:val="000000"/>
          <w:sz w:val="24"/>
          <w:szCs w:val="24"/>
        </w:rPr>
        <w:t>MWe</w:t>
      </w:r>
      <w:proofErr w:type="spellEnd"/>
      <w:r>
        <w:rPr>
          <w:rFonts w:ascii="Times New Roman" w:eastAsia="Times New Roman" w:hAnsi="Times New Roman" w:cs="Times New Roman"/>
          <w:color w:val="000000"/>
          <w:sz w:val="24"/>
          <w:szCs w:val="24"/>
        </w:rPr>
        <w:t xml:space="preserve">, the plant can provide the baseload power for approximately 40000 to 50000 people, based on an average annual per capita electricity </w:t>
      </w:r>
      <w:r>
        <w:rPr>
          <w:rFonts w:ascii="Times New Roman" w:eastAsia="Times New Roman" w:hAnsi="Times New Roman" w:cs="Times New Roman"/>
          <w:color w:val="000000"/>
          <w:sz w:val="24"/>
          <w:szCs w:val="24"/>
        </w:rPr>
        <w:lastRenderedPageBreak/>
        <w:t>consumption in Tunisia of roughly 1500 kWh [1</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This approximation considers the residential, commercial, and light industrial characteristics of a medium-sized city in southern Tunisia.</w:t>
      </w:r>
    </w:p>
    <w:p w:rsidR="00951AF0" w:rsidRDefault="00B2073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 Service Capacity</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Using a standard benchmark for potable water demand in arid regions of 150-200 liters per capita per day, the daily production of 6700 m³ could theoretically meet the freshwater needs of approximately 33500 to 45000 people. This installation dimension corresponds to the supply of a medium-sized city.</w:t>
      </w:r>
    </w:p>
    <w:p w:rsidR="00951AF0" w:rsidRDefault="00B2073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installation output was well-suited. It can sustainably support a</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combined community of 35000 to 45000 residents</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 xml:space="preserve">with synchronized power and water, a scale highly relevant for development in southern Tunisia (e.g., city like </w:t>
      </w:r>
      <w:proofErr w:type="spellStart"/>
      <w:r>
        <w:rPr>
          <w:rFonts w:ascii="Times New Roman" w:eastAsia="Times New Roman" w:hAnsi="Times New Roman" w:cs="Times New Roman"/>
          <w:color w:val="000000"/>
          <w:sz w:val="24"/>
          <w:szCs w:val="24"/>
        </w:rPr>
        <w:t>Zarzis</w:t>
      </w:r>
      <w:proofErr w:type="spellEnd"/>
      <w:r>
        <w:rPr>
          <w:rFonts w:ascii="Times New Roman" w:eastAsia="Times New Roman" w:hAnsi="Times New Roman" w:cs="Times New Roman"/>
          <w:color w:val="000000"/>
          <w:sz w:val="24"/>
          <w:szCs w:val="24"/>
        </w:rPr>
        <w:t>). It provides a drought-proof water source for municipal use and can free up grid capacity while stabilizing the local network. For larger populations, multiple modular units can be deployed.</w:t>
      </w:r>
    </w:p>
    <w:p w:rsidR="00951AF0" w:rsidRDefault="00951AF0">
      <w:pPr>
        <w:spacing w:before="280" w:after="0" w:line="360" w:lineRule="auto"/>
        <w:ind w:left="660"/>
        <w:rPr>
          <w:rFonts w:ascii="Times New Roman" w:eastAsia="Times New Roman" w:hAnsi="Times New Roman" w:cs="Times New Roman"/>
          <w:color w:val="0F1115"/>
          <w:sz w:val="24"/>
          <w:szCs w:val="24"/>
        </w:rPr>
      </w:pPr>
    </w:p>
    <w:p w:rsidR="00951AF0" w:rsidRDefault="00B2073A">
      <w:pPr>
        <w:spacing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b/>
          <w:bCs/>
          <w:color w:val="0F1115"/>
          <w:sz w:val="24"/>
          <w:szCs w:val="24"/>
        </w:rPr>
        <w:t>5. Conclusion</w:t>
      </w:r>
    </w:p>
    <w:p w:rsidR="00951AF0" w:rsidRDefault="00B2073A">
      <w:pPr>
        <w:spacing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The technical analysis confirmed that a 20 MW gas turbine coupled with </w:t>
      </w:r>
      <w:proofErr w:type="gramStart"/>
      <w:r>
        <w:rPr>
          <w:rFonts w:ascii="Times New Roman" w:eastAsia="Times New Roman" w:hAnsi="Times New Roman" w:cs="Times New Roman"/>
          <w:color w:val="0F1115"/>
          <w:sz w:val="24"/>
          <w:szCs w:val="24"/>
        </w:rPr>
        <w:t>an</w:t>
      </w:r>
      <w:proofErr w:type="gramEnd"/>
      <w:r>
        <w:rPr>
          <w:rFonts w:ascii="Times New Roman" w:eastAsia="Times New Roman" w:hAnsi="Times New Roman" w:cs="Times New Roman"/>
          <w:color w:val="0F1115"/>
          <w:sz w:val="24"/>
          <w:szCs w:val="24"/>
        </w:rPr>
        <w:t xml:space="preserve"> MED plant via an HRSG is a sophisticated and highly efficient cogeneration solution. The strength of the system lies in its thermodynamic integration, cascading energy from high-exergy electricity generation to the lower-exergy task of desalination. Although the initial investment is substantial, the unparalleled fuel efficiency (67%), operational reliability, and simultaneous production of power and water make it an economically and environmentally superior choice for addressing the intertwined challenges of energy and water scarcity in arid coastal regions. For southern Tunisia, a Siemens SGT-600–based cogeneration system can provide approximately 20.5 MW of electricity and approximately 6700 m³/day of desalinated water at a global efficiency of approximately 67%.</w:t>
      </w:r>
      <w:r>
        <w:rPr>
          <w:rFonts w:ascii="Times New Roman" w:eastAsia="Times New Roman" w:hAnsi="Times New Roman" w:cs="Times New Roman"/>
          <w:b/>
          <w:bCs/>
          <w:color w:val="0F1115"/>
          <w:sz w:val="24"/>
          <w:szCs w:val="24"/>
        </w:rPr>
        <w:t> </w:t>
      </w:r>
      <w:r>
        <w:rPr>
          <w:rFonts w:ascii="Times New Roman" w:eastAsia="Times New Roman" w:hAnsi="Times New Roman" w:cs="Times New Roman"/>
          <w:color w:val="0F1115"/>
          <w:sz w:val="24"/>
          <w:szCs w:val="24"/>
        </w:rPr>
        <w:t>This work can be supplemented with a more comprehensive economic study in the future.</w:t>
      </w:r>
    </w:p>
    <w:p w:rsidR="009A032B" w:rsidRDefault="00B2073A">
      <w:pPr>
        <w:spacing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Future work should extend this analysis through detailed techno-economic optimization and sensitivity studies, particularly considering fuel price variability and demand fluctuations. Additionally, hybridization with renewable energy sources could further enhance system resilience, reduce emissions, and improve long-term sustainability in water-stressed coastal regions.</w:t>
      </w:r>
    </w:p>
    <w:p w:rsidR="009A032B" w:rsidRDefault="009A032B">
      <w:pPr>
        <w:spacing w:after="0" w:line="360" w:lineRule="auto"/>
      </w:pPr>
    </w:p>
    <w:p w:rsidR="009A032B" w:rsidRDefault="009A032B">
      <w:pPr>
        <w:spacing w:after="0" w:line="360" w:lineRule="auto"/>
      </w:pPr>
    </w:p>
    <w:p w:rsidR="009A032B" w:rsidRDefault="009A032B" w:rsidP="009A032B">
      <w:pPr>
        <w:spacing w:after="0" w:line="360" w:lineRule="auto"/>
      </w:pPr>
      <w:r>
        <w:t>Disclaimer (Artificial intelligence)</w:t>
      </w:r>
    </w:p>
    <w:p w:rsidR="00951AF0" w:rsidRDefault="009A032B" w:rsidP="009A032B">
      <w:pPr>
        <w:spacing w:after="0" w:line="360" w:lineRule="auto"/>
        <w:rPr>
          <w:rFonts w:ascii="Times New Roman" w:eastAsia="Times New Roman" w:hAnsi="Times New Roman" w:cs="Times New Roman"/>
          <w:b/>
          <w:bCs/>
          <w:color w:val="0F1115"/>
          <w:sz w:val="24"/>
          <w:szCs w:val="24"/>
        </w:rPr>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r w:rsidR="00B2073A">
        <w:br w:type="page"/>
      </w:r>
    </w:p>
    <w:p w:rsidR="00951AF0" w:rsidRDefault="00B2073A">
      <w:pPr>
        <w:spacing w:before="240"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b/>
          <w:bCs/>
          <w:color w:val="0F1115"/>
          <w:sz w:val="24"/>
          <w:szCs w:val="24"/>
        </w:rPr>
        <w:lastRenderedPageBreak/>
        <w:t>References</w:t>
      </w:r>
    </w:p>
    <w:p w:rsidR="00951AF0" w:rsidRDefault="00B2073A">
      <w:pPr>
        <w:spacing w:after="0" w:line="36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0F1115"/>
          <w:sz w:val="24"/>
          <w:szCs w:val="24"/>
        </w:rPr>
        <w:t xml:space="preserve">[1] </w:t>
      </w:r>
      <w:r>
        <w:rPr>
          <w:rFonts w:ascii="Times New Roman" w:eastAsia="Times New Roman" w:hAnsi="Times New Roman" w:cs="Times New Roman"/>
          <w:color w:val="222222"/>
          <w:sz w:val="24"/>
          <w:szCs w:val="24"/>
        </w:rPr>
        <w:t xml:space="preserve">Shokri, A., </w:t>
      </w:r>
      <w:proofErr w:type="spellStart"/>
      <w:r>
        <w:rPr>
          <w:rFonts w:ascii="Times New Roman" w:eastAsia="Times New Roman" w:hAnsi="Times New Roman" w:cs="Times New Roman"/>
          <w:color w:val="222222"/>
          <w:sz w:val="24"/>
          <w:szCs w:val="24"/>
        </w:rPr>
        <w:t>Sanavi</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Fard</w:t>
      </w:r>
      <w:proofErr w:type="spellEnd"/>
      <w:r>
        <w:rPr>
          <w:rFonts w:ascii="Times New Roman" w:eastAsia="Times New Roman" w:hAnsi="Times New Roman" w:cs="Times New Roman"/>
          <w:color w:val="222222"/>
          <w:sz w:val="24"/>
          <w:szCs w:val="24"/>
        </w:rPr>
        <w:t>, M. (2023). A comprehensive overview of environmental footprints of water desalination and alleviation strategies. International Journal of Environmental Science and Technology. 20, 2347–2374.</w:t>
      </w:r>
    </w:p>
    <w:p w:rsidR="00951AF0" w:rsidRDefault="00B2073A">
      <w:pPr>
        <w:spacing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H. S., </w:t>
      </w:r>
      <w:proofErr w:type="spellStart"/>
      <w:r>
        <w:rPr>
          <w:rFonts w:ascii="Times New Roman" w:eastAsia="Times New Roman" w:hAnsi="Times New Roman" w:cs="Times New Roman"/>
          <w:sz w:val="24"/>
          <w:szCs w:val="24"/>
        </w:rPr>
        <w:t>Sasso</w:t>
      </w:r>
      <w:proofErr w:type="spell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Djunaedi</w:t>
      </w:r>
      <w:proofErr w:type="spellEnd"/>
      <w:r>
        <w:rPr>
          <w:rFonts w:ascii="Times New Roman" w:eastAsia="Times New Roman" w:hAnsi="Times New Roman" w:cs="Times New Roman"/>
          <w:sz w:val="24"/>
          <w:szCs w:val="24"/>
        </w:rPr>
        <w:t xml:space="preserve">, I. (2015). Performance Enhancement of Gas Turbine Power Plant via Wet Compression Technique and Its Effects on Economic Aspects. Current Journal of Applied Science and Technology, 11(1), 1–12. </w:t>
      </w:r>
      <w:hyperlink r:id="rId6">
        <w:r>
          <w:rPr>
            <w:rFonts w:ascii="Times New Roman" w:eastAsia="Times New Roman" w:hAnsi="Times New Roman" w:cs="Times New Roman"/>
            <w:color w:val="0000FF"/>
            <w:sz w:val="24"/>
            <w:szCs w:val="24"/>
          </w:rPr>
          <w:t>https://doi.org/10.9734/BJAST/2015/19184</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 xml:space="preserve"> </w:t>
      </w:r>
    </w:p>
    <w:p w:rsidR="00951AF0" w:rsidRDefault="00B2073A">
      <w:pPr>
        <w:spacing w:after="0" w:line="360" w:lineRule="auto"/>
        <w:rPr>
          <w:rFonts w:ascii="Times New Roman" w:eastAsia="Times New Roman" w:hAnsi="Times New Roman" w:cs="Times New Roman"/>
          <w:color w:val="1F1F1F"/>
          <w:sz w:val="24"/>
          <w:szCs w:val="24"/>
        </w:rPr>
      </w:pPr>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sz w:val="24"/>
          <w:szCs w:val="24"/>
        </w:rPr>
        <w:t>Seyyed</w:t>
      </w:r>
      <w:proofErr w:type="spellEnd"/>
      <w:r>
        <w:rPr>
          <w:rFonts w:ascii="Times New Roman" w:eastAsia="Times New Roman" w:hAnsi="Times New Roman" w:cs="Times New Roman"/>
          <w:sz w:val="24"/>
          <w:szCs w:val="24"/>
        </w:rPr>
        <w:t xml:space="preserve"> Ehsan Shakib, </w:t>
      </w:r>
      <w:bookmarkStart w:id="2" w:name="bookmark=id.nimedsf0f9hm" w:colFirst="0" w:colLast="0"/>
      <w:bookmarkEnd w:id="2"/>
      <w:r>
        <w:rPr>
          <w:rFonts w:ascii="Times New Roman" w:eastAsia="Times New Roman" w:hAnsi="Times New Roman" w:cs="Times New Roman"/>
          <w:sz w:val="24"/>
          <w:szCs w:val="24"/>
        </w:rPr>
        <w:t>Majid </w:t>
      </w:r>
      <w:proofErr w:type="spellStart"/>
      <w:r>
        <w:rPr>
          <w:rFonts w:ascii="Times New Roman" w:eastAsia="Times New Roman" w:hAnsi="Times New Roman" w:cs="Times New Roman"/>
          <w:sz w:val="24"/>
          <w:szCs w:val="24"/>
        </w:rPr>
        <w:t>Amidpour</w:t>
      </w:r>
      <w:proofErr w:type="spellEnd"/>
      <w:r>
        <w:rPr>
          <w:rFonts w:ascii="Times New Roman" w:eastAsia="Times New Roman" w:hAnsi="Times New Roman" w:cs="Times New Roman"/>
          <w:sz w:val="24"/>
          <w:szCs w:val="24"/>
        </w:rPr>
        <w:t>, Mehdi </w:t>
      </w:r>
      <w:proofErr w:type="spellStart"/>
      <w:r>
        <w:rPr>
          <w:rFonts w:ascii="Times New Roman" w:eastAsia="Times New Roman" w:hAnsi="Times New Roman" w:cs="Times New Roman"/>
          <w:sz w:val="24"/>
          <w:szCs w:val="24"/>
        </w:rPr>
        <w:t>Boghrati</w:t>
      </w:r>
      <w:proofErr w:type="spellEnd"/>
      <w:r>
        <w:rPr>
          <w:rFonts w:ascii="Times New Roman" w:eastAsia="Times New Roman" w:hAnsi="Times New Roman" w:cs="Times New Roman"/>
          <w:sz w:val="24"/>
          <w:szCs w:val="24"/>
        </w:rPr>
        <w:t>, Mohammad Mustafa </w:t>
      </w:r>
      <w:proofErr w:type="spellStart"/>
      <w:r>
        <w:rPr>
          <w:rFonts w:ascii="Times New Roman" w:eastAsia="Times New Roman" w:hAnsi="Times New Roman" w:cs="Times New Roman"/>
          <w:sz w:val="24"/>
          <w:szCs w:val="24"/>
        </w:rPr>
        <w:t>Ghafurian</w:t>
      </w:r>
      <w:proofErr w:type="spellEnd"/>
      <w:r>
        <w:rPr>
          <w:rFonts w:ascii="Times New Roman" w:eastAsia="Times New Roman" w:hAnsi="Times New Roman" w:cs="Times New Roman"/>
          <w:sz w:val="24"/>
          <w:szCs w:val="24"/>
        </w:rPr>
        <w:t>, Alireza </w:t>
      </w:r>
      <w:proofErr w:type="spellStart"/>
      <w:r>
        <w:rPr>
          <w:rFonts w:ascii="Times New Roman" w:eastAsia="Times New Roman" w:hAnsi="Times New Roman" w:cs="Times New Roman"/>
          <w:sz w:val="24"/>
          <w:szCs w:val="24"/>
        </w:rPr>
        <w:t>Esmaieli</w:t>
      </w:r>
      <w:proofErr w:type="spellEnd"/>
      <w:r>
        <w:rPr>
          <w:rFonts w:ascii="Times New Roman" w:eastAsia="Times New Roman" w:hAnsi="Times New Roman" w:cs="Times New Roman"/>
          <w:sz w:val="24"/>
          <w:szCs w:val="24"/>
        </w:rPr>
        <w:t xml:space="preserve">. (2021). New approaches to low production cost and low emissions through hybrid MED-TVC+RO desalination system coupled to a gas turbine cycle. Journal of Cleaner Production. </w:t>
      </w:r>
      <w:hyperlink r:id="rId7">
        <w:r>
          <w:rPr>
            <w:rFonts w:ascii="Times New Roman" w:eastAsia="Times New Roman" w:hAnsi="Times New Roman" w:cs="Times New Roman"/>
            <w:sz w:val="24"/>
            <w:szCs w:val="24"/>
          </w:rPr>
          <w:t>Volume 295</w:t>
        </w:r>
      </w:hyperlink>
      <w:r>
        <w:rPr>
          <w:rFonts w:ascii="Times New Roman" w:eastAsia="Times New Roman" w:hAnsi="Times New Roman" w:cs="Times New Roman"/>
          <w:sz w:val="24"/>
          <w:szCs w:val="24"/>
        </w:rPr>
        <w:t>, 1 May 2021, 126402.</w:t>
      </w:r>
      <w:r>
        <w:rPr>
          <w:rFonts w:ascii="Times New Roman" w:eastAsia="Times New Roman" w:hAnsi="Times New Roman" w:cs="Times New Roman"/>
          <w:color w:val="0F1115"/>
          <w:sz w:val="24"/>
          <w:szCs w:val="24"/>
        </w:rPr>
        <w:br/>
        <w:t>[4] Siemens Energy. (2023). SGT-600 Industrial Gas Turbine. Technical Brochure.</w:t>
      </w:r>
      <w:r>
        <w:rPr>
          <w:rFonts w:ascii="Times New Roman" w:eastAsia="Times New Roman" w:hAnsi="Times New Roman" w:cs="Times New Roman"/>
          <w:color w:val="0F1115"/>
          <w:sz w:val="24"/>
          <w:szCs w:val="24"/>
        </w:rPr>
        <w:br/>
        <w:t>[5] Boyce, M.P. (2012). Gas Turbine Engineering Handbook (4th ed.). Butterworth-Heinemann.</w:t>
      </w:r>
      <w:r>
        <w:rPr>
          <w:rFonts w:ascii="Times New Roman" w:eastAsia="Times New Roman" w:hAnsi="Times New Roman" w:cs="Times New Roman"/>
          <w:color w:val="0F1115"/>
          <w:sz w:val="24"/>
          <w:szCs w:val="24"/>
        </w:rPr>
        <w:br/>
        <w:t>[6] Soares, C. (2015). Gas Turbines: A Handbook of Air, Land and Sea Applications (2nd ed.). Elsevier.</w:t>
      </w:r>
    </w:p>
    <w:p w:rsidR="00951AF0" w:rsidRDefault="00B2073A">
      <w:pPr>
        <w:rPr>
          <w:rFonts w:ascii="Times New Roman" w:eastAsia="Times New Roman" w:hAnsi="Times New Roman" w:cs="Times New Roman"/>
          <w:sz w:val="24"/>
          <w:szCs w:val="24"/>
        </w:rPr>
      </w:pPr>
      <w:r>
        <w:rPr>
          <w:rFonts w:ascii="Times New Roman" w:eastAsia="Times New Roman" w:hAnsi="Times New Roman" w:cs="Times New Roman"/>
          <w:sz w:val="24"/>
          <w:szCs w:val="24"/>
        </w:rPr>
        <w:t>[7] El-</w:t>
      </w:r>
      <w:proofErr w:type="spellStart"/>
      <w:r>
        <w:rPr>
          <w:rFonts w:ascii="Times New Roman" w:eastAsia="Times New Roman" w:hAnsi="Times New Roman" w:cs="Times New Roman"/>
          <w:sz w:val="24"/>
          <w:szCs w:val="24"/>
        </w:rPr>
        <w:t>Dessouky</w:t>
      </w:r>
      <w:proofErr w:type="spellEnd"/>
      <w:r>
        <w:rPr>
          <w:rFonts w:ascii="Times New Roman" w:eastAsia="Times New Roman" w:hAnsi="Times New Roman" w:cs="Times New Roman"/>
          <w:sz w:val="24"/>
          <w:szCs w:val="24"/>
        </w:rPr>
        <w:t xml:space="preserve">, H.T., &amp; </w:t>
      </w:r>
      <w:proofErr w:type="spellStart"/>
      <w:r>
        <w:rPr>
          <w:rFonts w:ascii="Times New Roman" w:eastAsia="Times New Roman" w:hAnsi="Times New Roman" w:cs="Times New Roman"/>
          <w:sz w:val="24"/>
          <w:szCs w:val="24"/>
        </w:rPr>
        <w:t>Ettouney</w:t>
      </w:r>
      <w:proofErr w:type="spellEnd"/>
      <w:r>
        <w:rPr>
          <w:rFonts w:ascii="Times New Roman" w:eastAsia="Times New Roman" w:hAnsi="Times New Roman" w:cs="Times New Roman"/>
          <w:sz w:val="24"/>
          <w:szCs w:val="24"/>
        </w:rPr>
        <w:t>, H.M. (2002). Chapter 4 - Multiple Effect Evaporation.</w:t>
      </w:r>
    </w:p>
    <w:p w:rsidR="00951AF0" w:rsidRDefault="00B2073A">
      <w:pPr>
        <w:spacing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 Fundamentals of Salt Water Desalination. Elsevier</w:t>
      </w:r>
      <w:r>
        <w:rPr>
          <w:rFonts w:ascii="Times New Roman" w:eastAsia="Times New Roman" w:hAnsi="Times New Roman" w:cs="Times New Roman"/>
          <w:sz w:val="24"/>
          <w:szCs w:val="24"/>
        </w:rPr>
        <w:t>. 2002, Pages 147-208</w:t>
      </w:r>
      <w:r>
        <w:rPr>
          <w:rFonts w:ascii="Times New Roman" w:eastAsia="Times New Roman" w:hAnsi="Times New Roman" w:cs="Times New Roman"/>
          <w:color w:val="0F1115"/>
          <w:sz w:val="24"/>
          <w:szCs w:val="24"/>
        </w:rPr>
        <w:br/>
        <w:t>[8] Al-</w:t>
      </w:r>
      <w:proofErr w:type="spellStart"/>
      <w:r>
        <w:rPr>
          <w:rFonts w:ascii="Times New Roman" w:eastAsia="Times New Roman" w:hAnsi="Times New Roman" w:cs="Times New Roman"/>
          <w:color w:val="0F1115"/>
          <w:sz w:val="24"/>
          <w:szCs w:val="24"/>
        </w:rPr>
        <w:t>Mutaz</w:t>
      </w:r>
      <w:proofErr w:type="spellEnd"/>
      <w:r>
        <w:rPr>
          <w:rFonts w:ascii="Times New Roman" w:eastAsia="Times New Roman" w:hAnsi="Times New Roman" w:cs="Times New Roman"/>
          <w:color w:val="0F1115"/>
          <w:sz w:val="24"/>
          <w:szCs w:val="24"/>
        </w:rPr>
        <w:t xml:space="preserve">, I.S., </w:t>
      </w:r>
      <w:proofErr w:type="spellStart"/>
      <w:r>
        <w:rPr>
          <w:rFonts w:ascii="Times New Roman" w:eastAsia="Times New Roman" w:hAnsi="Times New Roman" w:cs="Times New Roman"/>
          <w:color w:val="0F1115"/>
          <w:sz w:val="24"/>
          <w:szCs w:val="24"/>
        </w:rPr>
        <w:t>Wazeer</w:t>
      </w:r>
      <w:proofErr w:type="spellEnd"/>
      <w:r>
        <w:rPr>
          <w:rFonts w:ascii="Times New Roman" w:eastAsia="Times New Roman" w:hAnsi="Times New Roman" w:cs="Times New Roman"/>
          <w:color w:val="0F1115"/>
          <w:sz w:val="24"/>
          <w:szCs w:val="24"/>
        </w:rPr>
        <w:t>, I. (2014). Comparative performance evaluation of conventional and hybrid multi-effect desalination systems. Applied Thermal Engineering, 73(1), 1194-1203.</w:t>
      </w:r>
    </w:p>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Alireza </w:t>
      </w:r>
      <w:proofErr w:type="spellStart"/>
      <w:r>
        <w:rPr>
          <w:rFonts w:ascii="Times New Roman" w:eastAsia="Times New Roman" w:hAnsi="Times New Roman" w:cs="Times New Roman"/>
          <w:sz w:val="24"/>
          <w:szCs w:val="24"/>
        </w:rPr>
        <w:t>Javadpour</w:t>
      </w:r>
      <w:proofErr w:type="spellEnd"/>
      <w:r>
        <w:rPr>
          <w:rFonts w:ascii="Times New Roman" w:eastAsia="Times New Roman" w:hAnsi="Times New Roman" w:cs="Times New Roman"/>
          <w:sz w:val="24"/>
          <w:szCs w:val="24"/>
        </w:rPr>
        <w:t xml:space="preserve">, Ebrahim </w:t>
      </w:r>
      <w:proofErr w:type="spellStart"/>
      <w:r>
        <w:rPr>
          <w:rFonts w:ascii="Times New Roman" w:eastAsia="Times New Roman" w:hAnsi="Times New Roman" w:cs="Times New Roman"/>
          <w:sz w:val="24"/>
          <w:szCs w:val="24"/>
        </w:rPr>
        <w:t>Jahanshahi</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Javaran</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Khosro</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Lari</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Ighball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Baniasad</w:t>
      </w:r>
      <w:proofErr w:type="spellEnd"/>
      <w:r>
        <w:rPr>
          <w:rFonts w:ascii="Times New Roman" w:eastAsia="Times New Roman" w:hAnsi="Times New Roman" w:cs="Times New Roman"/>
          <w:sz w:val="24"/>
          <w:szCs w:val="24"/>
        </w:rPr>
        <w:t xml:space="preserve"> Askari. (2019). Techno-economic analysis of combined gas turbine, MED and RO desalination systems to produce electricity and drinkable water. Desalination and Water Treatment. </w:t>
      </w:r>
      <w:hyperlink r:id="rId8">
        <w:r>
          <w:rPr>
            <w:rFonts w:ascii="Times New Roman" w:eastAsia="Times New Roman" w:hAnsi="Times New Roman" w:cs="Times New Roman"/>
            <w:sz w:val="24"/>
            <w:szCs w:val="24"/>
          </w:rPr>
          <w:t>Volume 159</w:t>
        </w:r>
      </w:hyperlink>
      <w:r>
        <w:rPr>
          <w:rFonts w:ascii="Times New Roman" w:eastAsia="Times New Roman" w:hAnsi="Times New Roman" w:cs="Times New Roman"/>
          <w:sz w:val="24"/>
          <w:szCs w:val="24"/>
        </w:rPr>
        <w:t>, August 2019, Pages 232-249</w:t>
      </w:r>
    </w:p>
    <w:p w:rsidR="00951AF0" w:rsidRDefault="00B2073A">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[10] Wang, Y., &amp; </w:t>
      </w:r>
      <w:proofErr w:type="spellStart"/>
      <w:r>
        <w:rPr>
          <w:rFonts w:ascii="Times New Roman" w:eastAsia="Times New Roman" w:hAnsi="Times New Roman" w:cs="Times New Roman"/>
          <w:sz w:val="24"/>
          <w:szCs w:val="24"/>
        </w:rPr>
        <w:t>Lior</w:t>
      </w:r>
      <w:proofErr w:type="spellEnd"/>
      <w:r>
        <w:rPr>
          <w:rFonts w:ascii="Times New Roman" w:eastAsia="Times New Roman" w:hAnsi="Times New Roman" w:cs="Times New Roman"/>
          <w:sz w:val="24"/>
          <w:szCs w:val="24"/>
        </w:rPr>
        <w:t xml:space="preserve">, N. (2007). Performance analysis of combined humidified gas turbine power generation and multi-effect thermal vapor compression desalination systems: Part 2: The evaporative gas </w:t>
      </w:r>
      <w:proofErr w:type="gramStart"/>
      <w:r>
        <w:rPr>
          <w:rFonts w:ascii="Times New Roman" w:eastAsia="Times New Roman" w:hAnsi="Times New Roman" w:cs="Times New Roman"/>
          <w:sz w:val="24"/>
          <w:szCs w:val="24"/>
        </w:rPr>
        <w:t>turbine based</w:t>
      </w:r>
      <w:proofErr w:type="gramEnd"/>
      <w:r>
        <w:rPr>
          <w:rFonts w:ascii="Times New Roman" w:eastAsia="Times New Roman" w:hAnsi="Times New Roman" w:cs="Times New Roman"/>
          <w:sz w:val="24"/>
          <w:szCs w:val="24"/>
        </w:rPr>
        <w:t xml:space="preserve"> system and some discussions. Desalination, </w:t>
      </w:r>
      <w:hyperlink r:id="rId9">
        <w:r>
          <w:rPr>
            <w:rFonts w:ascii="Times New Roman" w:eastAsia="Times New Roman" w:hAnsi="Times New Roman" w:cs="Times New Roman"/>
            <w:sz w:val="24"/>
            <w:szCs w:val="24"/>
          </w:rPr>
          <w:t>Volume 207, Issues 1–3</w:t>
        </w:r>
      </w:hyperlink>
      <w:r>
        <w:rPr>
          <w:rFonts w:ascii="Times New Roman" w:eastAsia="Times New Roman" w:hAnsi="Times New Roman" w:cs="Times New Roman"/>
          <w:sz w:val="24"/>
          <w:szCs w:val="24"/>
        </w:rPr>
        <w:t>, 10 March 2007, Pages 243-256</w:t>
      </w:r>
    </w:p>
    <w:p w:rsidR="00951AF0" w:rsidRDefault="00B2073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 Ahmad Mohammad Alizadeh </w:t>
      </w:r>
      <w:proofErr w:type="spellStart"/>
      <w:r>
        <w:rPr>
          <w:rFonts w:ascii="Times New Roman" w:eastAsia="Times New Roman" w:hAnsi="Times New Roman" w:cs="Times New Roman"/>
          <w:sz w:val="24"/>
          <w:szCs w:val="24"/>
        </w:rPr>
        <w:t>Arani</w:t>
      </w:r>
      <w:proofErr w:type="spellEnd"/>
      <w:r>
        <w:rPr>
          <w:rFonts w:ascii="Times New Roman" w:eastAsia="Times New Roman" w:hAnsi="Times New Roman" w:cs="Times New Roman"/>
          <w:sz w:val="24"/>
          <w:szCs w:val="24"/>
        </w:rPr>
        <w:t>, Vahid Zamani, Ali </w:t>
      </w:r>
      <w:proofErr w:type="spellStart"/>
      <w:r>
        <w:rPr>
          <w:rFonts w:ascii="Times New Roman" w:eastAsia="Times New Roman" w:hAnsi="Times New Roman" w:cs="Times New Roman"/>
          <w:sz w:val="24"/>
          <w:szCs w:val="24"/>
        </w:rPr>
        <w:t>Behbahaninia</w:t>
      </w:r>
      <w:proofErr w:type="spellEnd"/>
      <w:r>
        <w:rPr>
          <w:rFonts w:ascii="Times New Roman" w:eastAsia="Times New Roman" w:hAnsi="Times New Roman" w:cs="Times New Roman"/>
          <w:sz w:val="24"/>
          <w:szCs w:val="24"/>
        </w:rPr>
        <w:t xml:space="preserve">. (2017). Economic analysis of a combined power and desalination plant considering availability changes due to degradation. Desalination. </w:t>
      </w:r>
      <w:hyperlink r:id="rId10">
        <w:r>
          <w:rPr>
            <w:rFonts w:ascii="Times New Roman" w:eastAsia="Times New Roman" w:hAnsi="Times New Roman" w:cs="Times New Roman"/>
            <w:sz w:val="24"/>
            <w:szCs w:val="24"/>
          </w:rPr>
          <w:t>Volume 414</w:t>
        </w:r>
      </w:hyperlink>
      <w:r>
        <w:rPr>
          <w:rFonts w:ascii="Times New Roman" w:eastAsia="Times New Roman" w:hAnsi="Times New Roman" w:cs="Times New Roman"/>
          <w:sz w:val="24"/>
          <w:szCs w:val="24"/>
        </w:rPr>
        <w:t>, 15 July 2017, Pages 1-9</w:t>
      </w:r>
    </w:p>
    <w:p w:rsidR="00951AF0" w:rsidRDefault="00B2073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Okafor, C. E., A. </w:t>
      </w:r>
      <w:proofErr w:type="spellStart"/>
      <w:r>
        <w:rPr>
          <w:rFonts w:ascii="Times New Roman" w:eastAsia="Times New Roman" w:hAnsi="Times New Roman" w:cs="Times New Roman"/>
          <w:sz w:val="24"/>
          <w:szCs w:val="24"/>
        </w:rPr>
        <w:t>Atikpakpa</w:t>
      </w:r>
      <w:proofErr w:type="spellEnd"/>
      <w:r>
        <w:rPr>
          <w:rFonts w:ascii="Times New Roman" w:eastAsia="Times New Roman" w:hAnsi="Times New Roman" w:cs="Times New Roman"/>
          <w:sz w:val="24"/>
          <w:szCs w:val="24"/>
        </w:rPr>
        <w:t xml:space="preserve">, A., &amp; Okonkwo, U. C. (2017). Availability Assessment of Steam and Gas Turbine Units of a Thermal Power Station Using Markovian Approach. Archives of Current Research International, 6(4), 1–17. </w:t>
      </w:r>
      <w:hyperlink r:id="rId11">
        <w:r>
          <w:rPr>
            <w:rFonts w:ascii="Times New Roman" w:eastAsia="Times New Roman" w:hAnsi="Times New Roman" w:cs="Times New Roman"/>
            <w:color w:val="0000FF"/>
            <w:sz w:val="24"/>
            <w:szCs w:val="24"/>
          </w:rPr>
          <w:t>https://doi.org/10.9734/ACRI/2016/30240</w:t>
        </w:r>
      </w:hyperlink>
      <w:r>
        <w:rPr>
          <w:rFonts w:ascii="Times New Roman" w:eastAsia="Times New Roman" w:hAnsi="Times New Roman" w:cs="Times New Roman"/>
          <w:sz w:val="24"/>
          <w:szCs w:val="24"/>
        </w:rPr>
        <w:t xml:space="preserve"> </w:t>
      </w:r>
    </w:p>
    <w:p w:rsidR="00951AF0" w:rsidRDefault="00B2073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 David A. Roberts, Emma L. Johnston, </w:t>
      </w:r>
      <w:bookmarkStart w:id="3" w:name="bookmark=id.9g6e6tm31grx" w:colFirst="0" w:colLast="0"/>
      <w:bookmarkEnd w:id="3"/>
      <w:r>
        <w:rPr>
          <w:rFonts w:ascii="Times New Roman" w:eastAsia="Times New Roman" w:hAnsi="Times New Roman" w:cs="Times New Roman"/>
          <w:sz w:val="24"/>
          <w:szCs w:val="24"/>
        </w:rPr>
        <w:t>Nathan A. Knott (2010). Impacts of seawater desalination brine discharge on marine environments: A critical review of published studies. Water Research Volume 44, Issue 18, October 2010, Pages 5117-5128</w:t>
      </w:r>
    </w:p>
    <w:p w:rsidR="00951AF0" w:rsidRDefault="00B207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Electric power consumption (kWh per capita). IEA Energy Statistics Data Browser, International Energy Agency (IEA), uri: iea.org/data-and-statistics/data-tools/energy-statistics-data-browser, publisher: International Energy Agency (IEA), 2023.</w:t>
      </w:r>
    </w:p>
    <w:p w:rsidR="00951AF0" w:rsidRDefault="00951AF0">
      <w:pPr>
        <w:spacing w:after="0" w:line="360" w:lineRule="auto"/>
        <w:rPr>
          <w:rFonts w:ascii="Times New Roman" w:eastAsia="Times New Roman" w:hAnsi="Times New Roman" w:cs="Times New Roman"/>
          <w:color w:val="0F1115"/>
          <w:sz w:val="24"/>
          <w:szCs w:val="24"/>
        </w:rPr>
      </w:pPr>
    </w:p>
    <w:p w:rsidR="00951AF0" w:rsidRDefault="00B2073A">
      <w:pPr>
        <w:spacing w:after="0" w:line="360" w:lineRule="auto"/>
        <w:rPr>
          <w:rFonts w:ascii="Times New Roman" w:eastAsia="Times New Roman" w:hAnsi="Times New Roman" w:cs="Times New Roman"/>
          <w:b/>
          <w:bCs/>
          <w:color w:val="0F1115"/>
          <w:sz w:val="24"/>
          <w:szCs w:val="24"/>
        </w:rPr>
      </w:pPr>
      <w:r>
        <w:br w:type="page"/>
      </w:r>
    </w:p>
    <w:p w:rsidR="00951AF0" w:rsidRDefault="00B2073A">
      <w:pPr>
        <w:spacing w:before="240"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b/>
          <w:bCs/>
          <w:color w:val="0F1115"/>
          <w:sz w:val="24"/>
          <w:szCs w:val="24"/>
        </w:rPr>
        <w:lastRenderedPageBreak/>
        <w:t>Nomenclature</w:t>
      </w:r>
    </w:p>
    <w:p w:rsidR="00951AF0" w:rsidRDefault="00B2073A">
      <w:pPr>
        <w:spacing w:before="240"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b/>
          <w:bCs/>
          <w:color w:val="0F1115"/>
          <w:sz w:val="24"/>
          <w:szCs w:val="24"/>
        </w:rPr>
        <w:t>Acronyms and Abbreviations</w:t>
      </w:r>
    </w:p>
    <w:p w:rsidR="00951AF0" w:rsidRDefault="00B2073A">
      <w:pPr>
        <w:numPr>
          <w:ilvl w:val="0"/>
          <w:numId w:val="6"/>
        </w:numPr>
        <w:spacing w:before="280" w:after="0" w:line="360" w:lineRule="auto"/>
        <w:ind w:left="66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CCGT: Combined Cycle Gas Turbine</w:t>
      </w:r>
    </w:p>
    <w:p w:rsidR="00951AF0" w:rsidRDefault="00B2073A">
      <w:pPr>
        <w:numPr>
          <w:ilvl w:val="0"/>
          <w:numId w:val="6"/>
        </w:numPr>
        <w:spacing w:after="0" w:line="360" w:lineRule="auto"/>
        <w:ind w:left="66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CHP: Combined Heat and Power</w:t>
      </w:r>
    </w:p>
    <w:p w:rsidR="00951AF0" w:rsidRDefault="00B2073A">
      <w:pPr>
        <w:numPr>
          <w:ilvl w:val="0"/>
          <w:numId w:val="6"/>
        </w:numPr>
        <w:spacing w:after="0" w:line="360" w:lineRule="auto"/>
        <w:ind w:left="66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DLE: Dry Low Emissions</w:t>
      </w:r>
    </w:p>
    <w:p w:rsidR="00951AF0" w:rsidRDefault="00B2073A">
      <w:pPr>
        <w:numPr>
          <w:ilvl w:val="0"/>
          <w:numId w:val="6"/>
        </w:numPr>
        <w:spacing w:after="0" w:line="360" w:lineRule="auto"/>
        <w:ind w:left="66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GT: Gas Turbine</w:t>
      </w:r>
    </w:p>
    <w:p w:rsidR="00951AF0" w:rsidRDefault="00B2073A">
      <w:pPr>
        <w:numPr>
          <w:ilvl w:val="0"/>
          <w:numId w:val="6"/>
        </w:numPr>
        <w:spacing w:after="0" w:line="360" w:lineRule="auto"/>
        <w:ind w:left="66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GOR: Gain Output Ratio (kg distillate / kg heating steam)</w:t>
      </w:r>
    </w:p>
    <w:p w:rsidR="00951AF0" w:rsidRDefault="00B2073A">
      <w:pPr>
        <w:numPr>
          <w:ilvl w:val="0"/>
          <w:numId w:val="6"/>
        </w:numPr>
        <w:spacing w:after="0" w:line="360" w:lineRule="auto"/>
        <w:ind w:left="66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HRSG: Heat Recovery Steam Generator</w:t>
      </w:r>
    </w:p>
    <w:p w:rsidR="00951AF0" w:rsidRDefault="00B2073A">
      <w:pPr>
        <w:numPr>
          <w:ilvl w:val="0"/>
          <w:numId w:val="6"/>
        </w:numPr>
        <w:spacing w:after="0" w:line="360" w:lineRule="auto"/>
        <w:ind w:left="66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LHV: Lower Heating Value (of fuel)</w:t>
      </w:r>
    </w:p>
    <w:p w:rsidR="00951AF0" w:rsidRDefault="00B2073A">
      <w:pPr>
        <w:numPr>
          <w:ilvl w:val="0"/>
          <w:numId w:val="6"/>
        </w:numPr>
        <w:spacing w:after="0" w:line="360" w:lineRule="auto"/>
        <w:ind w:left="66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MED: Multi-Effect Distillation</w:t>
      </w:r>
    </w:p>
    <w:p w:rsidR="00951AF0" w:rsidRDefault="00B2073A">
      <w:pPr>
        <w:numPr>
          <w:ilvl w:val="0"/>
          <w:numId w:val="6"/>
        </w:numPr>
        <w:spacing w:after="0" w:line="360" w:lineRule="auto"/>
        <w:ind w:left="66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MSF: Multi-Stage Flash</w:t>
      </w:r>
    </w:p>
    <w:p w:rsidR="00951AF0" w:rsidRDefault="00B2073A">
      <w:pPr>
        <w:numPr>
          <w:ilvl w:val="0"/>
          <w:numId w:val="6"/>
        </w:numPr>
        <w:spacing w:after="0" w:line="360" w:lineRule="auto"/>
        <w:ind w:left="660"/>
        <w:rPr>
          <w:rFonts w:ascii="Times New Roman" w:eastAsia="Times New Roman" w:hAnsi="Times New Roman" w:cs="Times New Roman"/>
          <w:color w:val="0F1115"/>
          <w:sz w:val="24"/>
          <w:szCs w:val="24"/>
        </w:rPr>
      </w:pPr>
      <w:proofErr w:type="spellStart"/>
      <w:r>
        <w:rPr>
          <w:rFonts w:ascii="Times New Roman" w:eastAsia="Times New Roman" w:hAnsi="Times New Roman" w:cs="Times New Roman"/>
          <w:color w:val="0F1115"/>
          <w:sz w:val="24"/>
          <w:szCs w:val="24"/>
        </w:rPr>
        <w:t>MWe</w:t>
      </w:r>
      <w:proofErr w:type="spellEnd"/>
      <w:r>
        <w:rPr>
          <w:rFonts w:ascii="Times New Roman" w:eastAsia="Times New Roman" w:hAnsi="Times New Roman" w:cs="Times New Roman"/>
          <w:color w:val="0F1115"/>
          <w:sz w:val="24"/>
          <w:szCs w:val="24"/>
        </w:rPr>
        <w:t>: Megawatt electrical</w:t>
      </w:r>
    </w:p>
    <w:p w:rsidR="00951AF0" w:rsidRDefault="00B2073A">
      <w:pPr>
        <w:numPr>
          <w:ilvl w:val="0"/>
          <w:numId w:val="6"/>
        </w:numPr>
        <w:spacing w:after="0" w:line="360" w:lineRule="auto"/>
        <w:ind w:left="660"/>
        <w:rPr>
          <w:rFonts w:ascii="Times New Roman" w:eastAsia="Times New Roman" w:hAnsi="Times New Roman" w:cs="Times New Roman"/>
          <w:color w:val="0F1115"/>
          <w:sz w:val="24"/>
          <w:szCs w:val="24"/>
        </w:rPr>
      </w:pPr>
      <w:proofErr w:type="spellStart"/>
      <w:r>
        <w:rPr>
          <w:rFonts w:ascii="Times New Roman" w:eastAsia="Times New Roman" w:hAnsi="Times New Roman" w:cs="Times New Roman"/>
          <w:color w:val="0F1115"/>
          <w:sz w:val="24"/>
          <w:szCs w:val="24"/>
        </w:rPr>
        <w:t>MWth</w:t>
      </w:r>
      <w:proofErr w:type="spellEnd"/>
      <w:r>
        <w:rPr>
          <w:rFonts w:ascii="Times New Roman" w:eastAsia="Times New Roman" w:hAnsi="Times New Roman" w:cs="Times New Roman"/>
          <w:color w:val="0F1115"/>
          <w:sz w:val="24"/>
          <w:szCs w:val="24"/>
        </w:rPr>
        <w:t>: Megawatt thermal</w:t>
      </w:r>
    </w:p>
    <w:p w:rsidR="00951AF0" w:rsidRDefault="00B2073A">
      <w:pPr>
        <w:numPr>
          <w:ilvl w:val="0"/>
          <w:numId w:val="6"/>
        </w:numPr>
        <w:spacing w:after="0" w:line="360" w:lineRule="auto"/>
        <w:ind w:left="66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PR: Pressure Ratio</w:t>
      </w:r>
    </w:p>
    <w:p w:rsidR="00951AF0" w:rsidRDefault="00B2073A">
      <w:pPr>
        <w:numPr>
          <w:ilvl w:val="0"/>
          <w:numId w:val="6"/>
        </w:numPr>
        <w:spacing w:after="0" w:line="360" w:lineRule="auto"/>
        <w:ind w:left="660"/>
        <w:rPr>
          <w:rFonts w:ascii="Times New Roman" w:eastAsia="Times New Roman" w:hAnsi="Times New Roman" w:cs="Times New Roman"/>
          <w:color w:val="0F1115"/>
          <w:sz w:val="24"/>
          <w:szCs w:val="24"/>
        </w:rPr>
      </w:pPr>
      <w:proofErr w:type="gramStart"/>
      <w:r>
        <w:rPr>
          <w:rFonts w:ascii="Times New Roman" w:eastAsia="Times New Roman" w:hAnsi="Times New Roman" w:cs="Times New Roman"/>
          <w:color w:val="0F1115"/>
          <w:sz w:val="24"/>
          <w:szCs w:val="24"/>
        </w:rPr>
        <w:t>TIT :</w:t>
      </w:r>
      <w:proofErr w:type="gramEnd"/>
      <w:r>
        <w:rPr>
          <w:rFonts w:ascii="Times New Roman" w:eastAsia="Times New Roman" w:hAnsi="Times New Roman" w:cs="Times New Roman"/>
          <w:color w:val="0F1115"/>
          <w:sz w:val="24"/>
          <w:szCs w:val="24"/>
        </w:rPr>
        <w:t xml:space="preserve"> Turbine Inlet Temperature</w:t>
      </w:r>
    </w:p>
    <w:p w:rsidR="00951AF0" w:rsidRDefault="00B2073A">
      <w:pPr>
        <w:spacing w:before="240" w:after="0" w:line="360" w:lineRule="auto"/>
        <w:rPr>
          <w:rFonts w:ascii="Times New Roman" w:eastAsia="Times New Roman" w:hAnsi="Times New Roman" w:cs="Times New Roman"/>
          <w:color w:val="0F1115"/>
          <w:sz w:val="24"/>
          <w:szCs w:val="24"/>
        </w:rPr>
      </w:pPr>
      <w:r>
        <w:rPr>
          <w:rFonts w:ascii="Times New Roman" w:eastAsia="Times New Roman" w:hAnsi="Times New Roman" w:cs="Times New Roman"/>
          <w:b/>
          <w:bCs/>
          <w:color w:val="0F1115"/>
          <w:sz w:val="24"/>
          <w:szCs w:val="24"/>
        </w:rPr>
        <w:t>Symbols and Units</w:t>
      </w:r>
    </w:p>
    <w:p w:rsidR="00951AF0" w:rsidRDefault="00B2073A">
      <w:pPr>
        <w:numPr>
          <w:ilvl w:val="0"/>
          <w:numId w:val="7"/>
        </w:numPr>
        <w:spacing w:before="280" w:after="0" w:line="360" w:lineRule="auto"/>
        <w:ind w:left="660"/>
        <w:rPr>
          <w:rFonts w:ascii="Times New Roman" w:eastAsia="Times New Roman" w:hAnsi="Times New Roman" w:cs="Times New Roman"/>
          <w:color w:val="0F1115"/>
          <w:sz w:val="24"/>
          <w:szCs w:val="24"/>
        </w:rPr>
      </w:pPr>
      <w:proofErr w:type="spellStart"/>
      <w:r>
        <w:rPr>
          <w:rFonts w:ascii="Times New Roman" w:eastAsia="Times New Roman" w:hAnsi="Times New Roman" w:cs="Times New Roman"/>
          <w:color w:val="0F1115"/>
          <w:sz w:val="24"/>
          <w:szCs w:val="24"/>
        </w:rPr>
        <w:t>ppmvd</w:t>
      </w:r>
      <w:proofErr w:type="spellEnd"/>
      <w:r>
        <w:rPr>
          <w:rFonts w:ascii="Times New Roman" w:eastAsia="Times New Roman" w:hAnsi="Times New Roman" w:cs="Times New Roman"/>
          <w:color w:val="0F1115"/>
          <w:sz w:val="24"/>
          <w:szCs w:val="24"/>
        </w:rPr>
        <w:t>: Parts per million by volume (dry basis)</w:t>
      </w:r>
    </w:p>
    <w:p w:rsidR="00951AF0" w:rsidRDefault="00B2073A">
      <w:pPr>
        <w:numPr>
          <w:ilvl w:val="0"/>
          <w:numId w:val="7"/>
        </w:numPr>
        <w:spacing w:after="0" w:line="360" w:lineRule="auto"/>
        <w:ind w:left="660"/>
        <w:rPr>
          <w:rFonts w:ascii="Times New Roman" w:eastAsia="Times New Roman" w:hAnsi="Times New Roman" w:cs="Times New Roman"/>
          <w:color w:val="0F1115"/>
          <w:sz w:val="24"/>
          <w:szCs w:val="24"/>
        </w:rPr>
      </w:pPr>
      <w:proofErr w:type="spellStart"/>
      <w:r>
        <w:rPr>
          <w:rFonts w:ascii="Times New Roman" w:eastAsia="Times New Roman" w:hAnsi="Times New Roman" w:cs="Times New Roman"/>
          <w:color w:val="0F1115"/>
          <w:sz w:val="24"/>
          <w:szCs w:val="24"/>
        </w:rPr>
        <w:t>η</w:t>
      </w:r>
      <w:r>
        <w:rPr>
          <w:rFonts w:ascii="Times New Roman" w:eastAsia="Times New Roman" w:hAnsi="Times New Roman" w:cs="Times New Roman"/>
          <w:color w:val="0F1115"/>
          <w:sz w:val="24"/>
          <w:szCs w:val="24"/>
          <w:vertAlign w:val="subscript"/>
        </w:rPr>
        <w:t>cogen</w:t>
      </w:r>
      <w:proofErr w:type="spellEnd"/>
      <w:r>
        <w:rPr>
          <w:rFonts w:ascii="Times New Roman" w:eastAsia="Times New Roman" w:hAnsi="Times New Roman" w:cs="Times New Roman"/>
          <w:color w:val="0F1115"/>
          <w:sz w:val="24"/>
          <w:szCs w:val="24"/>
        </w:rPr>
        <w:t>: Cogeneration Efficiency (%)</w:t>
      </w:r>
    </w:p>
    <w:p w:rsidR="00951AF0" w:rsidRDefault="00951AF0">
      <w:pPr>
        <w:spacing w:after="0" w:line="360" w:lineRule="auto"/>
        <w:rPr>
          <w:rFonts w:ascii="Times New Roman" w:eastAsia="Times New Roman" w:hAnsi="Times New Roman" w:cs="Times New Roman"/>
          <w:sz w:val="24"/>
          <w:szCs w:val="24"/>
        </w:rPr>
      </w:pPr>
    </w:p>
    <w:p w:rsidR="00951AF0" w:rsidRDefault="00B2073A">
      <w:pPr>
        <w:pStyle w:val="Heading3"/>
        <w:shd w:val="clear" w:color="auto" w:fill="FFFFFF"/>
        <w:spacing w:before="480" w:after="0" w:line="360" w:lineRule="auto"/>
        <w:rPr>
          <w:color w:val="0F1115"/>
          <w:sz w:val="24"/>
          <w:szCs w:val="24"/>
        </w:rPr>
      </w:pPr>
      <w:r>
        <w:rPr>
          <w:color w:val="0F1115"/>
          <w:sz w:val="24"/>
          <w:szCs w:val="24"/>
        </w:rPr>
        <w:t>Acknowledgements</w:t>
      </w:r>
    </w:p>
    <w:p w:rsidR="00951AF0" w:rsidRDefault="00B2073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color w:val="0F1115"/>
          <w:sz w:val="24"/>
          <w:szCs w:val="24"/>
        </w:rPr>
        <w:t>The authors gratefully acknowledge the support and resources provided by the </w:t>
      </w:r>
      <w:r>
        <w:rPr>
          <w:rFonts w:ascii="Times New Roman" w:eastAsia="Times New Roman" w:hAnsi="Times New Roman" w:cs="Times New Roman"/>
          <w:color w:val="1F1F1F"/>
          <w:sz w:val="24"/>
          <w:szCs w:val="24"/>
        </w:rPr>
        <w:t xml:space="preserve">Higher School of Engineering and Technological Studies, Arab University of Sciences </w:t>
      </w:r>
      <w:r>
        <w:rPr>
          <w:rFonts w:ascii="Times New Roman" w:eastAsia="Times New Roman" w:hAnsi="Times New Roman" w:cs="Times New Roman"/>
          <w:b/>
          <w:bCs/>
          <w:color w:val="0F1115"/>
          <w:sz w:val="24"/>
          <w:szCs w:val="24"/>
        </w:rPr>
        <w:t>(ESIET-UAS)</w:t>
      </w:r>
      <w:r>
        <w:rPr>
          <w:rFonts w:ascii="Times New Roman" w:eastAsia="Times New Roman" w:hAnsi="Times New Roman" w:cs="Times New Roman"/>
          <w:color w:val="0F1115"/>
          <w:sz w:val="24"/>
          <w:szCs w:val="24"/>
        </w:rPr>
        <w:t xml:space="preserve"> in the preparation of this work. We also extend our appreciation to the various institutions and manufacturers whose publicly available technical data and reports were invaluable for this analysis, including Siemens Energy, GE </w:t>
      </w:r>
      <w:proofErr w:type="spellStart"/>
      <w:r>
        <w:rPr>
          <w:rFonts w:ascii="Times New Roman" w:eastAsia="Times New Roman" w:hAnsi="Times New Roman" w:cs="Times New Roman"/>
          <w:color w:val="0F1115"/>
          <w:sz w:val="24"/>
          <w:szCs w:val="24"/>
        </w:rPr>
        <w:t>Vernova</w:t>
      </w:r>
      <w:proofErr w:type="spellEnd"/>
      <w:r>
        <w:rPr>
          <w:rFonts w:ascii="Times New Roman" w:eastAsia="Times New Roman" w:hAnsi="Times New Roman" w:cs="Times New Roman"/>
          <w:color w:val="0F1115"/>
          <w:sz w:val="24"/>
          <w:szCs w:val="24"/>
        </w:rPr>
        <w:t>, Solar Turbines (Caterpillar), and MAN Energy Solutions</w:t>
      </w:r>
      <w:r>
        <w:rPr>
          <w:rFonts w:ascii="Times New Roman" w:eastAsia="Times New Roman" w:hAnsi="Times New Roman" w:cs="Times New Roman"/>
          <w:b/>
          <w:bCs/>
          <w:color w:val="0F1115"/>
          <w:sz w:val="24"/>
          <w:szCs w:val="24"/>
        </w:rPr>
        <w:t>.</w:t>
      </w:r>
    </w:p>
    <w:p w:rsidR="00951AF0" w:rsidRDefault="00951AF0">
      <w:pPr>
        <w:spacing w:after="0" w:line="360" w:lineRule="auto"/>
        <w:rPr>
          <w:rFonts w:ascii="Times New Roman" w:eastAsia="Times New Roman" w:hAnsi="Times New Roman" w:cs="Times New Roman"/>
          <w:sz w:val="24"/>
          <w:szCs w:val="24"/>
        </w:rPr>
      </w:pPr>
    </w:p>
    <w:p w:rsidR="00951AF0" w:rsidRDefault="00951AF0">
      <w:pPr>
        <w:spacing w:after="0" w:line="360" w:lineRule="auto"/>
        <w:rPr>
          <w:rFonts w:ascii="Times New Roman" w:eastAsia="Times New Roman" w:hAnsi="Times New Roman" w:cs="Times New Roman"/>
          <w:sz w:val="24"/>
          <w:szCs w:val="24"/>
        </w:rPr>
      </w:pPr>
    </w:p>
    <w:p w:rsidR="00951AF0" w:rsidRDefault="00951AF0">
      <w:pPr>
        <w:spacing w:after="0" w:line="360" w:lineRule="auto"/>
        <w:rPr>
          <w:rFonts w:ascii="Times New Roman" w:eastAsia="Times New Roman" w:hAnsi="Times New Roman" w:cs="Times New Roman"/>
          <w:sz w:val="24"/>
          <w:szCs w:val="24"/>
        </w:rPr>
      </w:pPr>
    </w:p>
    <w:sectPr w:rsidR="00951AF0">
      <w:pgSz w:w="11906" w:h="16838"/>
      <w:pgMar w:top="1417" w:right="991" w:bottom="1417" w:left="1276"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FF0967B4-86D3-4DEC-A092-A8F1E36373C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793E73E-BFEA-4BF6-8737-E361D9DE0DAC}"/>
    <w:embedBold r:id="rId3" w:fontKey="{AA8BF587-FDFB-4642-A551-E3B0BBD7AD0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D20CAE31-8FCA-4F0B-8CFB-D1F012A868D3}"/>
  </w:font>
  <w:font w:name="Segoe UI">
    <w:panose1 w:val="020B0502040204020203"/>
    <w:charset w:val="00"/>
    <w:family w:val="swiss"/>
    <w:pitch w:val="variable"/>
    <w:sig w:usb0="E4002EFF" w:usb1="C000E47F" w:usb2="00000009" w:usb3="00000000" w:csb0="000001FF" w:csb1="00000000"/>
    <w:embedRegular r:id="rId5" w:fontKey="{AC7C2AA0-2192-444A-82DD-ABC9A3C55C34}"/>
  </w:font>
  <w:font w:name="Georgia">
    <w:panose1 w:val="02040502050405020303"/>
    <w:charset w:val="00"/>
    <w:family w:val="roman"/>
    <w:pitch w:val="variable"/>
    <w:sig w:usb0="00000287" w:usb1="00000000" w:usb2="00000000" w:usb3="00000000" w:csb0="0000009F" w:csb1="00000000"/>
    <w:embedItalic r:id="rId6" w:fontKey="{2AEE7F14-404B-4E73-8520-26F3FA37FC12}"/>
  </w:font>
  <w:font w:name="Helvetica Neue">
    <w:altName w:val="Arial"/>
    <w:charset w:val="00"/>
    <w:family w:val="auto"/>
    <w:pitch w:val="default"/>
    <w:embedRegular r:id="rId7" w:fontKey="{0A784054-EBA5-4B3F-839A-670E86EDD332}"/>
  </w:font>
  <w:font w:name="Cambria Math">
    <w:panose1 w:val="02040503050406030204"/>
    <w:charset w:val="00"/>
    <w:family w:val="roman"/>
    <w:pitch w:val="variable"/>
    <w:sig w:usb0="E00006FF" w:usb1="420024FF" w:usb2="02000000" w:usb3="00000000" w:csb0="0000019F" w:csb1="00000000"/>
    <w:embedRegular r:id="rId8" w:fontKey="{FD3313F7-B890-43CF-993B-AF97E402AD1F}"/>
    <w:embedBold r:id="rId9" w:fontKey="{1B084005-4C5A-4846-AA01-89362913B1B4}"/>
    <w:embedItalic r:id="rId10" w:fontKey="{0A41BD0D-AE86-4D28-9734-E5C0175C79CA}"/>
    <w:embedBoldItalic r:id="rId11" w:fontKey="{E849A044-9A46-47D1-94AA-55A04A96FF07}"/>
  </w:font>
  <w:font w:name="Quattrocento Sans">
    <w:charset w:val="00"/>
    <w:family w:val="auto"/>
    <w:pitch w:val="default"/>
    <w:embedRegular r:id="rId12" w:fontKey="{24F1066B-8868-409C-A7B2-94B3767CBB21}"/>
  </w:font>
  <w:font w:name="inherit">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763B2"/>
    <w:multiLevelType w:val="multilevel"/>
    <w:tmpl w:val="E55487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8225F7"/>
    <w:multiLevelType w:val="multilevel"/>
    <w:tmpl w:val="76B6B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7F425C8"/>
    <w:multiLevelType w:val="multilevel"/>
    <w:tmpl w:val="2E18A8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9910307"/>
    <w:multiLevelType w:val="multilevel"/>
    <w:tmpl w:val="9F84FE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1F67A9D"/>
    <w:multiLevelType w:val="multilevel"/>
    <w:tmpl w:val="3FB08F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1997153"/>
    <w:multiLevelType w:val="multilevel"/>
    <w:tmpl w:val="9A145F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CCB7A0A"/>
    <w:multiLevelType w:val="multilevel"/>
    <w:tmpl w:val="6B643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4"/>
  </w:num>
  <w:num w:numId="3">
    <w:abstractNumId w:val="1"/>
  </w:num>
  <w:num w:numId="4">
    <w:abstractNumId w:val="6"/>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AF0"/>
    <w:rsid w:val="00951AF0"/>
    <w:rsid w:val="009A032B"/>
    <w:rsid w:val="00B20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027A2"/>
  <w15:docId w15:val="{BF318476-12FA-4B7D-B53A-DFB276B8C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ds-markdown-paragraph">
    <w:name w:val="ds-markdown-paragraph"/>
    <w:basedOn w:val="Normal"/>
    <w:rsid w:val="00FF210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FF2103"/>
    <w:rPr>
      <w:b/>
      <w:bCs/>
    </w:rPr>
  </w:style>
  <w:style w:type="character" w:styleId="Emphasis">
    <w:name w:val="Emphasis"/>
    <w:basedOn w:val="DefaultParagraphFont"/>
    <w:uiPriority w:val="20"/>
    <w:qFormat/>
    <w:rsid w:val="00FF2103"/>
    <w:rPr>
      <w:i/>
      <w:iCs/>
    </w:rPr>
  </w:style>
  <w:style w:type="character" w:customStyle="1" w:styleId="d813de27">
    <w:name w:val="d813de27"/>
    <w:basedOn w:val="DefaultParagraphFont"/>
    <w:rsid w:val="00FF2103"/>
  </w:style>
  <w:style w:type="paragraph" w:styleId="HTMLPreformatted">
    <w:name w:val="HTML Preformatted"/>
    <w:basedOn w:val="Normal"/>
    <w:link w:val="HTMLPreformattedChar"/>
    <w:uiPriority w:val="99"/>
    <w:unhideWhenUsed/>
    <w:rsid w:val="00FF2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FF2103"/>
    <w:rPr>
      <w:rFonts w:ascii="Courier New" w:eastAsia="Times New Roman" w:hAnsi="Courier New" w:cs="Courier New"/>
      <w:sz w:val="20"/>
      <w:szCs w:val="20"/>
      <w:lang w:eastAsia="fr-FR"/>
    </w:rPr>
  </w:style>
  <w:style w:type="character" w:customStyle="1" w:styleId="y2iqfc">
    <w:name w:val="y2iqfc"/>
    <w:basedOn w:val="DefaultParagraphFont"/>
    <w:rsid w:val="004F586E"/>
  </w:style>
  <w:style w:type="character" w:customStyle="1" w:styleId="Titre3Car">
    <w:name w:val="Titre 3 Car"/>
    <w:basedOn w:val="DefaultParagraphFont"/>
    <w:uiPriority w:val="9"/>
    <w:rsid w:val="00F46F27"/>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F46F2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katex-mathml">
    <w:name w:val="katex-mathml"/>
    <w:basedOn w:val="DefaultParagraphFont"/>
    <w:rsid w:val="00083379"/>
  </w:style>
  <w:style w:type="character" w:customStyle="1" w:styleId="mord">
    <w:name w:val="mord"/>
    <w:basedOn w:val="DefaultParagraphFont"/>
    <w:rsid w:val="00083379"/>
  </w:style>
  <w:style w:type="character" w:customStyle="1" w:styleId="vlist-s">
    <w:name w:val="vlist-s"/>
    <w:basedOn w:val="DefaultParagraphFont"/>
    <w:rsid w:val="00083379"/>
  </w:style>
  <w:style w:type="character" w:customStyle="1" w:styleId="mspace">
    <w:name w:val="mspace"/>
    <w:basedOn w:val="DefaultParagraphFont"/>
    <w:rsid w:val="00083379"/>
  </w:style>
  <w:style w:type="character" w:customStyle="1" w:styleId="mrel">
    <w:name w:val="mrel"/>
    <w:basedOn w:val="DefaultParagraphFont"/>
    <w:rsid w:val="00083379"/>
  </w:style>
  <w:style w:type="character" w:customStyle="1" w:styleId="mpunct">
    <w:name w:val="mpunct"/>
    <w:basedOn w:val="DefaultParagraphFont"/>
    <w:rsid w:val="00173617"/>
  </w:style>
  <w:style w:type="character" w:customStyle="1" w:styleId="mbin">
    <w:name w:val="mbin"/>
    <w:basedOn w:val="DefaultParagraphFont"/>
    <w:rsid w:val="00173617"/>
  </w:style>
  <w:style w:type="character" w:customStyle="1" w:styleId="Titre1Car">
    <w:name w:val="Titre 1 Car"/>
    <w:basedOn w:val="DefaultParagraphFont"/>
    <w:uiPriority w:val="9"/>
    <w:rsid w:val="00065985"/>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941FCA"/>
    <w:rPr>
      <w:sz w:val="16"/>
      <w:szCs w:val="16"/>
    </w:rPr>
  </w:style>
  <w:style w:type="paragraph" w:styleId="CommentText">
    <w:name w:val="annotation text"/>
    <w:basedOn w:val="Normal"/>
    <w:link w:val="CommentTextChar"/>
    <w:uiPriority w:val="99"/>
    <w:semiHidden/>
    <w:unhideWhenUsed/>
    <w:rsid w:val="00941FCA"/>
    <w:pPr>
      <w:spacing w:line="240" w:lineRule="auto"/>
    </w:pPr>
    <w:rPr>
      <w:sz w:val="20"/>
      <w:szCs w:val="20"/>
    </w:rPr>
  </w:style>
  <w:style w:type="character" w:customStyle="1" w:styleId="CommentTextChar">
    <w:name w:val="Comment Text Char"/>
    <w:basedOn w:val="DefaultParagraphFont"/>
    <w:link w:val="CommentText"/>
    <w:uiPriority w:val="99"/>
    <w:semiHidden/>
    <w:rsid w:val="00941FCA"/>
    <w:rPr>
      <w:sz w:val="20"/>
      <w:szCs w:val="20"/>
    </w:rPr>
  </w:style>
  <w:style w:type="paragraph" w:styleId="CommentSubject">
    <w:name w:val="annotation subject"/>
    <w:basedOn w:val="CommentText"/>
    <w:next w:val="CommentText"/>
    <w:link w:val="CommentSubjectChar"/>
    <w:uiPriority w:val="99"/>
    <w:semiHidden/>
    <w:unhideWhenUsed/>
    <w:rsid w:val="00941FCA"/>
    <w:rPr>
      <w:b/>
      <w:bCs/>
    </w:rPr>
  </w:style>
  <w:style w:type="character" w:customStyle="1" w:styleId="CommentSubjectChar">
    <w:name w:val="Comment Subject Char"/>
    <w:basedOn w:val="CommentTextChar"/>
    <w:link w:val="CommentSubject"/>
    <w:uiPriority w:val="99"/>
    <w:semiHidden/>
    <w:rsid w:val="00941FCA"/>
    <w:rPr>
      <w:b/>
      <w:bCs/>
      <w:sz w:val="20"/>
      <w:szCs w:val="20"/>
    </w:rPr>
  </w:style>
  <w:style w:type="paragraph" w:styleId="BalloonText">
    <w:name w:val="Balloon Text"/>
    <w:basedOn w:val="Normal"/>
    <w:link w:val="BalloonTextChar"/>
    <w:uiPriority w:val="99"/>
    <w:semiHidden/>
    <w:unhideWhenUsed/>
    <w:rsid w:val="00941F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FCA"/>
    <w:rPr>
      <w:rFonts w:ascii="Segoe UI" w:hAnsi="Segoe UI" w:cs="Segoe UI"/>
      <w:sz w:val="18"/>
      <w:szCs w:val="18"/>
    </w:rPr>
  </w:style>
  <w:style w:type="character" w:styleId="Hyperlink">
    <w:name w:val="Hyperlink"/>
    <w:basedOn w:val="DefaultParagraphFont"/>
    <w:uiPriority w:val="99"/>
    <w:unhideWhenUsed/>
    <w:rsid w:val="00977C1C"/>
    <w:rPr>
      <w:color w:val="0563C1" w:themeColor="hyperlink"/>
      <w:u w:val="single"/>
    </w:rPr>
  </w:style>
  <w:style w:type="character" w:styleId="PlaceholderText">
    <w:name w:val="Placeholder Text"/>
    <w:basedOn w:val="DefaultParagraphFont"/>
    <w:uiPriority w:val="99"/>
    <w:semiHidden/>
    <w:rsid w:val="00B70E6E"/>
    <w:rPr>
      <w:color w:val="808080"/>
    </w:rPr>
  </w:style>
  <w:style w:type="character" w:customStyle="1" w:styleId="react-xocs-alternative-link">
    <w:name w:val="react-xocs-alternative-link"/>
    <w:basedOn w:val="DefaultParagraphFont"/>
    <w:rsid w:val="00705DA2"/>
  </w:style>
  <w:style w:type="character" w:customStyle="1" w:styleId="given-name">
    <w:name w:val="given-name"/>
    <w:basedOn w:val="DefaultParagraphFont"/>
    <w:rsid w:val="00705DA2"/>
  </w:style>
  <w:style w:type="character" w:customStyle="1" w:styleId="text">
    <w:name w:val="text"/>
    <w:basedOn w:val="DefaultParagraphFont"/>
    <w:rsid w:val="00705DA2"/>
  </w:style>
  <w:style w:type="character" w:customStyle="1" w:styleId="author-ref">
    <w:name w:val="author-ref"/>
    <w:basedOn w:val="DefaultParagraphFont"/>
    <w:rsid w:val="00705DA2"/>
  </w:style>
  <w:style w:type="character" w:customStyle="1" w:styleId="title-text">
    <w:name w:val="title-text"/>
    <w:basedOn w:val="DefaultParagraphFont"/>
    <w:rsid w:val="00705DA2"/>
  </w:style>
  <w:style w:type="character" w:customStyle="1" w:styleId="Titre2Car">
    <w:name w:val="Titre 2 Car"/>
    <w:basedOn w:val="DefaultParagraphFont"/>
    <w:uiPriority w:val="9"/>
    <w:rsid w:val="00705DA2"/>
    <w:rPr>
      <w:rFonts w:asciiTheme="majorHAnsi" w:eastAsiaTheme="majorEastAsia" w:hAnsiTheme="majorHAnsi" w:cstheme="majorBidi"/>
      <w:color w:val="2E74B5" w:themeColor="accent1" w:themeShade="BF"/>
      <w:sz w:val="26"/>
      <w:szCs w:val="26"/>
    </w:rPr>
  </w:style>
  <w:style w:type="character" w:customStyle="1" w:styleId="anchor-text">
    <w:name w:val="anchor-text"/>
    <w:basedOn w:val="DefaultParagraphFont"/>
    <w:rsid w:val="00705DA2"/>
  </w:style>
  <w:style w:type="character" w:customStyle="1" w:styleId="muibox-root">
    <w:name w:val="muibox-root"/>
    <w:basedOn w:val="DefaultParagraphFont"/>
    <w:rsid w:val="004C442A"/>
  </w:style>
  <w:style w:type="character" w:customStyle="1" w:styleId="extn-css-1g9q2al">
    <w:name w:val="extn-css-1g9q2al"/>
    <w:basedOn w:val="DefaultParagraphFont"/>
    <w:rsid w:val="004C442A"/>
  </w:style>
  <w:style w:type="character" w:customStyle="1" w:styleId="extn-css-1tmeul0">
    <w:name w:val="extn-css-1tmeul0"/>
    <w:basedOn w:val="DefaultParagraphFont"/>
    <w:rsid w:val="004C442A"/>
  </w:style>
  <w:style w:type="character" w:customStyle="1" w:styleId="extn-css-10o52y0">
    <w:name w:val="extn-css-10o52y0"/>
    <w:basedOn w:val="DefaultParagraphFont"/>
    <w:rsid w:val="004C442A"/>
  </w:style>
  <w:style w:type="character" w:customStyle="1" w:styleId="extn-css-h5d7i9">
    <w:name w:val="extn-css-h5d7i9"/>
    <w:basedOn w:val="DefaultParagraphFont"/>
    <w:rsid w:val="004C442A"/>
  </w:style>
  <w:style w:type="character" w:customStyle="1" w:styleId="extn-css-0">
    <w:name w:val="extn-css-0"/>
    <w:basedOn w:val="DefaultParagraphFont"/>
    <w:rsid w:val="004C442A"/>
  </w:style>
  <w:style w:type="character" w:customStyle="1" w:styleId="extn-css-lq4jk2">
    <w:name w:val="extn-css-lq4jk2"/>
    <w:basedOn w:val="DefaultParagraphFont"/>
    <w:rsid w:val="004C442A"/>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sciencedirect.com/journal/desalination-and-water-treatment/vol/159/suppl/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sciencedirect.com/journal/journal-of-cleaner-production/vol/295/suppl/C"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i.org/10.9734/BJAST/2015/19184" TargetMode="External"/><Relationship Id="rId11" Type="http://schemas.openxmlformats.org/officeDocument/2006/relationships/hyperlink" Target="https://doi.org/10.9734/ACRI/2016/30240" TargetMode="External"/><Relationship Id="rId5" Type="http://schemas.openxmlformats.org/officeDocument/2006/relationships/webSettings" Target="webSettings.xml"/><Relationship Id="rId10" Type="http://schemas.openxmlformats.org/officeDocument/2006/relationships/hyperlink" Target="https://www.sciencedirect.com/journal/desalination/vol/414/suppl/C" TargetMode="External"/><Relationship Id="rId4" Type="http://schemas.openxmlformats.org/officeDocument/2006/relationships/settings" Target="settings.xml"/><Relationship Id="rId9" Type="http://schemas.openxmlformats.org/officeDocument/2006/relationships/hyperlink" Target="https://www.sciencedirect.com/journal/desalination/vol/207/issue/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rdqT9J0zpy8ipy12VC9DiSk5sw==">CgMxLjAyDmgua2ZwdTAzcmJudzgxMg9pZC5uaW1lZHNmMGY5aG0yD2lkLjlnNmU2dG0zMWdyeDgAciExekxFZWxoTEJDTDlaVGdlZUV1bWtfWllHVE1ySGoycDY=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3363</Words>
  <Characters>19175</Characters>
  <Application>Microsoft Office Word</Application>
  <DocSecurity>0</DocSecurity>
  <Lines>159</Lines>
  <Paragraphs>44</Paragraphs>
  <ScaleCrop>false</ScaleCrop>
  <Company/>
  <LinksUpToDate>false</LinksUpToDate>
  <CharactersWithSpaces>22494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versus</dc:creator>
  <cp:lastModifiedBy>SDI 1089</cp:lastModifiedBy>
  <cp:revision>3</cp:revision>
  <dcterms:created xsi:type="dcterms:W3CDTF">2025-12-13T18:25:00Z</dcterms:created>
  <dcterms:modified xsi:type="dcterms:W3CDTF">2026-02-04T11:58:00Z</dcterms:modified>
</cp:coreProperties>
</file>