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D32B6" w14:textId="56AD87EC" w:rsid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8"/>
          <w:szCs w:val="28"/>
        </w:rPr>
        <w:t>Reinterpreting Ancient Indian Taxation Philosophy for the Modern Indian Economy</w:t>
      </w:r>
      <w:r w:rsidR="00E24D36">
        <w:rPr>
          <w:rFonts w:ascii="Times New Roman" w:hAnsi="Times New Roman" w:cs="Times New Roman"/>
          <w:b/>
          <w:bCs/>
          <w:sz w:val="28"/>
          <w:szCs w:val="28"/>
        </w:rPr>
        <w:t xml:space="preserve">: An Insights </w:t>
      </w:r>
      <w:r w:rsidR="00F60744">
        <w:rPr>
          <w:rFonts w:ascii="Times New Roman" w:hAnsi="Times New Roman" w:cs="Times New Roman"/>
          <w:b/>
          <w:bCs/>
          <w:sz w:val="28"/>
          <w:szCs w:val="28"/>
        </w:rPr>
        <w:t xml:space="preserve">through the </w:t>
      </w:r>
      <w:proofErr w:type="spellStart"/>
      <w:r w:rsidR="00F60744">
        <w:rPr>
          <w:rFonts w:ascii="Times New Roman" w:hAnsi="Times New Roman" w:cs="Times New Roman"/>
          <w:b/>
          <w:bCs/>
          <w:sz w:val="28"/>
          <w:szCs w:val="28"/>
        </w:rPr>
        <w:t>Lense</w:t>
      </w:r>
      <w:proofErr w:type="spellEnd"/>
      <w:r w:rsidR="00F60744">
        <w:rPr>
          <w:rFonts w:ascii="Times New Roman" w:hAnsi="Times New Roman" w:cs="Times New Roman"/>
          <w:b/>
          <w:bCs/>
          <w:sz w:val="28"/>
          <w:szCs w:val="28"/>
        </w:rPr>
        <w:t xml:space="preserve"> of</w:t>
      </w:r>
      <w:r w:rsidR="00E24D36">
        <w:rPr>
          <w:rFonts w:ascii="Times New Roman" w:hAnsi="Times New Roman" w:cs="Times New Roman"/>
          <w:b/>
          <w:bCs/>
          <w:sz w:val="28"/>
          <w:szCs w:val="28"/>
        </w:rPr>
        <w:t xml:space="preserve"> </w:t>
      </w:r>
      <w:proofErr w:type="spellStart"/>
      <w:r w:rsidR="00E24D36" w:rsidRPr="00827685">
        <w:rPr>
          <w:rFonts w:ascii="Times New Roman" w:hAnsi="Times New Roman" w:cs="Times New Roman"/>
          <w:b/>
          <w:bCs/>
          <w:sz w:val="28"/>
          <w:szCs w:val="28"/>
          <w:highlight w:val="yellow"/>
        </w:rPr>
        <w:t>Kautilya</w:t>
      </w:r>
      <w:r w:rsidR="00827685" w:rsidRPr="00827685">
        <w:rPr>
          <w:rFonts w:ascii="Times New Roman" w:hAnsi="Times New Roman" w:cs="Times New Roman"/>
          <w:b/>
          <w:bCs/>
          <w:sz w:val="28"/>
          <w:szCs w:val="28"/>
          <w:highlight w:val="yellow"/>
        </w:rPr>
        <w:t>’s</w:t>
      </w:r>
      <w:proofErr w:type="spellEnd"/>
      <w:r w:rsidR="00E24D36" w:rsidRPr="00827685">
        <w:rPr>
          <w:rFonts w:ascii="Times New Roman" w:hAnsi="Times New Roman" w:cs="Times New Roman"/>
          <w:b/>
          <w:bCs/>
          <w:sz w:val="28"/>
          <w:szCs w:val="28"/>
          <w:highlight w:val="yellow"/>
        </w:rPr>
        <w:t xml:space="preserve"> </w:t>
      </w:r>
      <w:proofErr w:type="spellStart"/>
      <w:r w:rsidR="00E24D36" w:rsidRPr="00827685">
        <w:rPr>
          <w:rFonts w:ascii="Times New Roman" w:hAnsi="Times New Roman" w:cs="Times New Roman"/>
          <w:b/>
          <w:bCs/>
          <w:sz w:val="28"/>
          <w:szCs w:val="28"/>
          <w:highlight w:val="yellow"/>
        </w:rPr>
        <w:t>Arthashastra</w:t>
      </w:r>
      <w:proofErr w:type="spellEnd"/>
    </w:p>
    <w:p w14:paraId="612F34C0" w14:textId="77777777" w:rsidR="00C57F47" w:rsidRDefault="00C57F47" w:rsidP="00C57F47">
      <w:pPr>
        <w:jc w:val="both"/>
        <w:rPr>
          <w:rFonts w:ascii="Times New Roman" w:hAnsi="Times New Roman" w:cs="Times New Roman"/>
          <w:sz w:val="28"/>
          <w:szCs w:val="28"/>
        </w:rPr>
      </w:pPr>
    </w:p>
    <w:p w14:paraId="6B079246" w14:textId="77777777" w:rsidR="005D2BEE" w:rsidRDefault="005D2BEE" w:rsidP="00C57F47">
      <w:pPr>
        <w:jc w:val="both"/>
        <w:rPr>
          <w:rFonts w:ascii="Times New Roman" w:hAnsi="Times New Roman" w:cs="Times New Roman"/>
          <w:sz w:val="28"/>
          <w:szCs w:val="28"/>
        </w:rPr>
      </w:pPr>
    </w:p>
    <w:p w14:paraId="1C83702F" w14:textId="77777777" w:rsidR="00D5088A" w:rsidRP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4"/>
          <w:szCs w:val="24"/>
        </w:rPr>
        <w:t>Abstract</w:t>
      </w:r>
      <w:r w:rsidR="005C5032">
        <w:rPr>
          <w:rFonts w:ascii="Times New Roman" w:hAnsi="Times New Roman" w:cs="Times New Roman"/>
          <w:b/>
          <w:bCs/>
          <w:sz w:val="24"/>
          <w:szCs w:val="24"/>
        </w:rPr>
        <w:t>:</w:t>
      </w:r>
    </w:p>
    <w:p w14:paraId="79736C26" w14:textId="77777777" w:rsidR="00DE407A" w:rsidRDefault="00DE407A" w:rsidP="00495553">
      <w:pPr>
        <w:jc w:val="both"/>
        <w:rPr>
          <w:rFonts w:ascii="Times New Roman" w:hAnsi="Times New Roman" w:cs="Times New Roman"/>
          <w:sz w:val="24"/>
          <w:szCs w:val="24"/>
        </w:rPr>
      </w:pPr>
      <w:r w:rsidRPr="00DE407A">
        <w:rPr>
          <w:rFonts w:ascii="Times New Roman" w:hAnsi="Times New Roman" w:cs="Times New Roman"/>
          <w:sz w:val="24"/>
          <w:szCs w:val="24"/>
        </w:rPr>
        <w:t xml:space="preserve">This study undertakes a comparative examination of ancient Indian taxation philosophy, as articulated in classical texts such as the </w:t>
      </w:r>
      <w:proofErr w:type="spellStart"/>
      <w:r w:rsidRPr="00DE407A">
        <w:rPr>
          <w:rFonts w:ascii="Times New Roman" w:hAnsi="Times New Roman" w:cs="Times New Roman"/>
          <w:i/>
          <w:iCs/>
          <w:sz w:val="24"/>
          <w:szCs w:val="24"/>
        </w:rPr>
        <w:t>Arthashastra</w:t>
      </w:r>
      <w:proofErr w:type="spellEnd"/>
      <w:r w:rsidRPr="00DE407A">
        <w:rPr>
          <w:rFonts w:ascii="Times New Roman" w:hAnsi="Times New Roman" w:cs="Times New Roman"/>
          <w:sz w:val="24"/>
          <w:szCs w:val="24"/>
        </w:rPr>
        <w:t xml:space="preserve"> and </w:t>
      </w:r>
      <w:proofErr w:type="spellStart"/>
      <w:r w:rsidRPr="00DE407A">
        <w:rPr>
          <w:rFonts w:ascii="Times New Roman" w:hAnsi="Times New Roman" w:cs="Times New Roman"/>
          <w:i/>
          <w:iCs/>
          <w:sz w:val="24"/>
          <w:szCs w:val="24"/>
        </w:rPr>
        <w:t>Manusmriti</w:t>
      </w:r>
      <w:proofErr w:type="spellEnd"/>
      <w:r w:rsidRPr="00DE407A">
        <w:rPr>
          <w:rFonts w:ascii="Times New Roman" w:hAnsi="Times New Roman" w:cs="Times New Roman"/>
          <w:sz w:val="24"/>
          <w:szCs w:val="24"/>
        </w:rPr>
        <w:t xml:space="preserve">, and the contemporary Indian tax system shaped by constitutional mandates and reforms such as the Goods and Services Tax (GST). Drawing on qualitative textual analysis and modern public finance theory, the research </w:t>
      </w:r>
      <w:proofErr w:type="spellStart"/>
      <w:r w:rsidRPr="00DE407A">
        <w:rPr>
          <w:rFonts w:ascii="Times New Roman" w:hAnsi="Times New Roman" w:cs="Times New Roman"/>
          <w:sz w:val="24"/>
          <w:szCs w:val="24"/>
        </w:rPr>
        <w:t>analyzes</w:t>
      </w:r>
      <w:proofErr w:type="spellEnd"/>
      <w:r w:rsidRPr="00DE407A">
        <w:rPr>
          <w:rFonts w:ascii="Times New Roman" w:hAnsi="Times New Roman" w:cs="Times New Roman"/>
          <w:sz w:val="24"/>
          <w:szCs w:val="24"/>
        </w:rPr>
        <w:t xml:space="preserve"> tax structures, revenue sources, expenditure priorities, administrative mechanisms, and ethical foundations. The findings reveal normative continuities in proportional taxation, welfare orientation, administrative accountability, and fiscal moderation, alongside significant institutional transformations driven by democratization, federalism, and digitalization. While ancient fiscal philosophy emphasized moral duty (dharma) and state responsibility, modern taxation operates within constitutional legality, technological infrastructure, and global economic integration. The study recommends integrating historically grounded ethical principles</w:t>
      </w:r>
      <w:r>
        <w:rPr>
          <w:rFonts w:ascii="Times New Roman" w:hAnsi="Times New Roman" w:cs="Times New Roman"/>
          <w:sz w:val="24"/>
          <w:szCs w:val="24"/>
        </w:rPr>
        <w:t xml:space="preserve"> </w:t>
      </w:r>
      <w:r w:rsidRPr="00DE407A">
        <w:rPr>
          <w:rFonts w:ascii="Times New Roman" w:hAnsi="Times New Roman" w:cs="Times New Roman"/>
          <w:sz w:val="24"/>
          <w:szCs w:val="24"/>
        </w:rPr>
        <w:t>such as predictability, moderation, and administrative integrity</w:t>
      </w:r>
      <w:r>
        <w:rPr>
          <w:rFonts w:ascii="Times New Roman" w:hAnsi="Times New Roman" w:cs="Times New Roman"/>
          <w:sz w:val="24"/>
          <w:szCs w:val="24"/>
        </w:rPr>
        <w:t xml:space="preserve"> </w:t>
      </w:r>
      <w:r w:rsidRPr="00DE407A">
        <w:rPr>
          <w:rFonts w:ascii="Times New Roman" w:hAnsi="Times New Roman" w:cs="Times New Roman"/>
          <w:sz w:val="24"/>
          <w:szCs w:val="24"/>
        </w:rPr>
        <w:t>into ongoing tax governance reforms. Future research should extend this comparative framework through empirical evaluation of taxpayer trust, compliance behaviour, and fiscal legitimacy in contemporary India, as well as comparative studies across other civilizational traditions. By bridging Indian Knowledge Systems and modern public finance theory, the paper contributes to interdisciplinary debates on sustainable and equitable revenue systems.</w:t>
      </w:r>
    </w:p>
    <w:p w14:paraId="5C08ED08" w14:textId="77777777" w:rsidR="00495553" w:rsidRPr="00D5088A" w:rsidRDefault="00495553" w:rsidP="00495553">
      <w:pPr>
        <w:jc w:val="both"/>
        <w:rPr>
          <w:rFonts w:ascii="Times New Roman" w:hAnsi="Times New Roman" w:cs="Times New Roman"/>
          <w:sz w:val="24"/>
          <w:szCs w:val="24"/>
        </w:rPr>
      </w:pPr>
      <w:r w:rsidRPr="00D5088A">
        <w:rPr>
          <w:rFonts w:ascii="Times New Roman" w:hAnsi="Times New Roman" w:cs="Times New Roman"/>
          <w:b/>
          <w:bCs/>
          <w:sz w:val="24"/>
          <w:szCs w:val="24"/>
        </w:rPr>
        <w:t>Keywords:</w:t>
      </w:r>
      <w:r w:rsidRPr="00D5088A">
        <w:rPr>
          <w:rFonts w:ascii="Times New Roman" w:hAnsi="Times New Roman" w:cs="Times New Roman"/>
          <w:sz w:val="24"/>
          <w:szCs w:val="24"/>
        </w:rPr>
        <w:br/>
        <w:t xml:space="preserve">Ancient Indian Taxation; </w:t>
      </w:r>
      <w:proofErr w:type="spellStart"/>
      <w:r w:rsidRPr="00D5088A">
        <w:rPr>
          <w:rFonts w:ascii="Times New Roman" w:hAnsi="Times New Roman" w:cs="Times New Roman"/>
          <w:sz w:val="24"/>
          <w:szCs w:val="24"/>
        </w:rPr>
        <w:t>Arthashastra</w:t>
      </w:r>
      <w:proofErr w:type="spellEnd"/>
      <w:r w:rsidRPr="00D5088A">
        <w:rPr>
          <w:rFonts w:ascii="Times New Roman" w:hAnsi="Times New Roman" w:cs="Times New Roman"/>
          <w:sz w:val="24"/>
          <w:szCs w:val="24"/>
        </w:rPr>
        <w:t>; Public Finance; Indian Tax System; Fiscal Policy; Comparative Economic History; Governance and Ethics, Indian Knowledge System.</w:t>
      </w:r>
    </w:p>
    <w:p w14:paraId="5D7A363A"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b/>
          <w:bCs/>
          <w:sz w:val="24"/>
          <w:szCs w:val="24"/>
        </w:rPr>
        <w:t>Introduction</w:t>
      </w:r>
      <w:r w:rsidRPr="00D5088A">
        <w:rPr>
          <w:rFonts w:ascii="Times New Roman" w:hAnsi="Times New Roman" w:cs="Times New Roman"/>
          <w:b/>
          <w:bCs/>
          <w:sz w:val="24"/>
          <w:szCs w:val="24"/>
        </w:rPr>
        <w:t>:</w:t>
      </w:r>
    </w:p>
    <w:p w14:paraId="347F459C"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Systems of taxation lie at the heart of economic governance, shaping how states finance public services, regulate economic activity, and promote social welfare. Public finance functions not merely as a technical mechanism for revenue generation but as a reflection of broader political authority a</w:t>
      </w:r>
      <w:bookmarkStart w:id="0" w:name="_GoBack"/>
      <w:bookmarkEnd w:id="0"/>
      <w:r w:rsidRPr="0013144B">
        <w:rPr>
          <w:rFonts w:ascii="Times New Roman" w:hAnsi="Times New Roman" w:cs="Times New Roman"/>
          <w:sz w:val="24"/>
          <w:szCs w:val="24"/>
        </w:rPr>
        <w:t xml:space="preserve">nd ethical responsibility. In the Indian intellectual tradition, early legal and administrative treatises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and other </w:t>
      </w:r>
      <w:proofErr w:type="spellStart"/>
      <w:r w:rsidRPr="0013144B">
        <w:rPr>
          <w:rFonts w:ascii="Times New Roman" w:hAnsi="Times New Roman" w:cs="Times New Roman"/>
          <w:sz w:val="24"/>
          <w:szCs w:val="24"/>
        </w:rPr>
        <w:t>Dharmaśāstric</w:t>
      </w:r>
      <w:proofErr w:type="spellEnd"/>
      <w:r w:rsidRPr="0013144B">
        <w:rPr>
          <w:rFonts w:ascii="Times New Roman" w:hAnsi="Times New Roman" w:cs="Times New Roman"/>
          <w:sz w:val="24"/>
          <w:szCs w:val="24"/>
        </w:rPr>
        <w:t xml:space="preserve"> texts articulated sophisticated approaches to taxation that were embedded within wider frameworks of justice, statecraft, and moral duty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xml:space="preserve">, 2004). Among these, </w:t>
      </w:r>
      <w:proofErr w:type="spellStart"/>
      <w:r w:rsidRPr="0013144B">
        <w:rPr>
          <w:rFonts w:ascii="Times New Roman" w:hAnsi="Times New Roman" w:cs="Times New Roman"/>
          <w:sz w:val="24"/>
          <w:szCs w:val="24"/>
        </w:rPr>
        <w:t>Kautilya’s</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(c. fourth century BCE) stands out for its systematic treatment of fiscal administration, detailing multiple sources of revenue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including agricultural levies, commercial taxes, customs duties, and penalties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while stressing moderation, equity, and efficiency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Rangarajan, 1992). Taxation, in this view, was not conceived solely as compulsory extraction but as an obligation of rulers governed by </w:t>
      </w:r>
      <w:r w:rsidRPr="0013144B">
        <w:rPr>
          <w:rFonts w:ascii="Times New Roman" w:hAnsi="Times New Roman" w:cs="Times New Roman"/>
          <w:i/>
          <w:iCs/>
          <w:sz w:val="24"/>
          <w:szCs w:val="24"/>
        </w:rPr>
        <w:t>dharma</w:t>
      </w:r>
      <w:r w:rsidRPr="0013144B">
        <w:rPr>
          <w:rFonts w:ascii="Times New Roman" w:hAnsi="Times New Roman" w:cs="Times New Roman"/>
          <w:sz w:val="24"/>
          <w:szCs w:val="24"/>
        </w:rPr>
        <w:t>, requiring the sovereign to balance state needs with the welfare of subjects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w:t>
      </w:r>
    </w:p>
    <w:p w14:paraId="119E32CA"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lastRenderedPageBreak/>
        <w:t>Historical scholarship indicates that ancient Indian fiscal practices were sensitive to economic conditions and productive capacity. Provisions for remissions during famine, incentives for cultivating new land, and graded tax burdens illustrate an effort to protect livelihoods while sustaining public revenues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ideas that parallel contemporary concerns about growth-oriented tax policy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Sharma, 2008). The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similarly advanced notions of proportional and ability-based taxation, emphasizing restraint in collection and ethical treatment of traders and cultivators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 Such prescriptions reveal an early awareness of the relationship between taxation, economic incentives, and social stability, predating many formal theories developed in later periods (Sen, 1999).</w:t>
      </w:r>
    </w:p>
    <w:p w14:paraId="7D0F1CF0"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In the modern era, India’s taxation framework has been reshaped through constitutional design, administrative reforms, and responses to globalization, technological change, and demographic pressures (Rao &amp; Rao, 2005). Today’s system integrates a range of direct taxes, including personal income and corporate levies, with indirect taxation mechanisms such as the Goods and Services Tax introduced in 2017 (Government of India, 2017). These arrangements aim not only to secure revenue for public expenditure but also to simplify compliance, expand the taxpayer base, and distribute fiscal burdens more equitably across a diverse federal polity (OECD, 2021; Rao, 2019).</w:t>
      </w:r>
    </w:p>
    <w:p w14:paraId="47D60DCF"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Growing interdisciplinary interest has emerged around the possible relevance of ancient fiscal ideas for present-day governance. Scholars in economic history, public finance, and Indian knowledge systems have suggested that principles emphasized in early texts</w:t>
      </w:r>
      <w:r w:rsidR="005B7698" w:rsidRPr="00D5088A">
        <w:rPr>
          <w:rFonts w:ascii="Times New Roman" w:hAnsi="Times New Roman" w:cs="Times New Roman"/>
          <w:sz w:val="24"/>
          <w:szCs w:val="24"/>
        </w:rPr>
        <w:t xml:space="preserve"> such as </w:t>
      </w:r>
      <w:r w:rsidRPr="0013144B">
        <w:rPr>
          <w:rFonts w:ascii="Times New Roman" w:hAnsi="Times New Roman" w:cs="Times New Roman"/>
          <w:sz w:val="24"/>
          <w:szCs w:val="24"/>
        </w:rPr>
        <w:t>ethical administration, proportional contribution, and concern for social welfare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may still offer conceptual guidance for modern policy design (Sharma, 2008; Rangarajan, 1992). Insights drawn from historical taxation philosophies have been linked to current efforts to streamline tax structures, improve compliance, and strengthen public accountability (OECD, 2021). Nevertheless, existing literature often treats ancient fiscal thought and contemporary tax systems in isolation. While historical studies tend to focus on qualitative reconstruction and modern analyses rely on empirical evaluation of reforms, relatively little work has systematically compared these two domains (Rao, 2019).</w:t>
      </w:r>
    </w:p>
    <w:p w14:paraId="79DCAA51" w14:textId="77777777"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 xml:space="preserve">Responding to this gap, the present study undertakes a comparative examination of ancient Indian taxation philosophy, as articulated in foundational texts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and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alongside the contemporary Indian tax regime. By </w:t>
      </w:r>
      <w:proofErr w:type="spellStart"/>
      <w:r w:rsidRPr="0013144B">
        <w:rPr>
          <w:rFonts w:ascii="Times New Roman" w:hAnsi="Times New Roman" w:cs="Times New Roman"/>
          <w:sz w:val="24"/>
          <w:szCs w:val="24"/>
        </w:rPr>
        <w:t>analyzing</w:t>
      </w:r>
      <w:proofErr w:type="spellEnd"/>
      <w:r w:rsidRPr="0013144B">
        <w:rPr>
          <w:rFonts w:ascii="Times New Roman" w:hAnsi="Times New Roman" w:cs="Times New Roman"/>
          <w:sz w:val="24"/>
          <w:szCs w:val="24"/>
        </w:rPr>
        <w:t xml:space="preserve"> dimensions such as revenue sources, tax instruments, administrative practices, and normative foundations, the research seeks to identify both continuities and transformations across time. In doing so, it aims to contribute to ongoing discussions about how historical fiscal traditions might inform present-day policy debates, enhance equity in revenue mobilization, and strengthen public finance institutions in India’s evolving economic landscape.</w:t>
      </w:r>
    </w:p>
    <w:p w14:paraId="217EE9C0"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Recent scholarship in comparative economic history has emphasized that taxation systems must be </w:t>
      </w:r>
      <w:proofErr w:type="spellStart"/>
      <w:r w:rsidRPr="00355DDB">
        <w:rPr>
          <w:rFonts w:ascii="Times New Roman" w:hAnsi="Times New Roman" w:cs="Times New Roman"/>
          <w:sz w:val="24"/>
          <w:szCs w:val="24"/>
        </w:rPr>
        <w:t>analyzed</w:t>
      </w:r>
      <w:proofErr w:type="spellEnd"/>
      <w:r w:rsidRPr="00355DDB">
        <w:rPr>
          <w:rFonts w:ascii="Times New Roman" w:hAnsi="Times New Roman" w:cs="Times New Roman"/>
          <w:sz w:val="24"/>
          <w:szCs w:val="24"/>
        </w:rPr>
        <w:t xml:space="preserve"> not merely as revenue mechanisms but as institutional expressions of state capacity, political legitimacy, and social contracts across civilizations (</w:t>
      </w:r>
      <w:proofErr w:type="spellStart"/>
      <w:r w:rsidRPr="00355DDB">
        <w:rPr>
          <w:rFonts w:ascii="Times New Roman" w:hAnsi="Times New Roman" w:cs="Times New Roman"/>
          <w:sz w:val="24"/>
          <w:szCs w:val="24"/>
        </w:rPr>
        <w:t>Besley</w:t>
      </w:r>
      <w:proofErr w:type="spellEnd"/>
      <w:r w:rsidRPr="00355DDB">
        <w:rPr>
          <w:rFonts w:ascii="Times New Roman" w:hAnsi="Times New Roman" w:cs="Times New Roman"/>
          <w:sz w:val="24"/>
          <w:szCs w:val="24"/>
        </w:rPr>
        <w:t xml:space="preserve"> &amp; Persson, 2011; Tilly, 1992). Studies examining pre-modern fiscal regimes in Asia and Europe have demonstrated that early states developed sophisticated extraction systems tied closely to agrarian productivity, commercial regulation, and bureaucratic oversight (</w:t>
      </w:r>
      <w:proofErr w:type="spellStart"/>
      <w:r w:rsidRPr="00355DDB">
        <w:rPr>
          <w:rFonts w:ascii="Times New Roman" w:hAnsi="Times New Roman" w:cs="Times New Roman"/>
          <w:sz w:val="24"/>
          <w:szCs w:val="24"/>
        </w:rPr>
        <w:t>Bardhan</w:t>
      </w:r>
      <w:proofErr w:type="spellEnd"/>
      <w:r w:rsidRPr="00355DDB">
        <w:rPr>
          <w:rFonts w:ascii="Times New Roman" w:hAnsi="Times New Roman" w:cs="Times New Roman"/>
          <w:sz w:val="24"/>
          <w:szCs w:val="24"/>
        </w:rPr>
        <w:t xml:space="preserve">, 2005; Rosenthal &amp; Wong, 2011). Within the Indian context, works by </w:t>
      </w:r>
      <w:proofErr w:type="spellStart"/>
      <w:r w:rsidRPr="00355DDB">
        <w:rPr>
          <w:rFonts w:ascii="Times New Roman" w:hAnsi="Times New Roman" w:cs="Times New Roman"/>
          <w:sz w:val="24"/>
          <w:szCs w:val="24"/>
        </w:rPr>
        <w:t>Bhaduri</w:t>
      </w:r>
      <w:proofErr w:type="spellEnd"/>
      <w:r w:rsidRPr="00355DDB">
        <w:rPr>
          <w:rFonts w:ascii="Times New Roman" w:hAnsi="Times New Roman" w:cs="Times New Roman"/>
          <w:sz w:val="24"/>
          <w:szCs w:val="24"/>
        </w:rPr>
        <w:t xml:space="preserve"> (1986) and Roy (2012) have highlighted how historical land revenue systems and colonial fiscal institutions </w:t>
      </w:r>
      <w:r w:rsidRPr="00355DDB">
        <w:rPr>
          <w:rFonts w:ascii="Times New Roman" w:hAnsi="Times New Roman" w:cs="Times New Roman"/>
          <w:sz w:val="24"/>
          <w:szCs w:val="24"/>
        </w:rPr>
        <w:lastRenderedPageBreak/>
        <w:t>shaped long-term patterns of economic governance and administrative rationality. These contributions underscore that fiscal systems evolve cumulatively through institutional layering rather than abrupt rupture, reinforcing the relevance of situating ancient Indian taxation philosophies within a longue-durée analytical framework.</w:t>
      </w:r>
    </w:p>
    <w:p w14:paraId="1CDA3C33"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Parallel advances in public finance theory further illuminate the normative foundations of taxation emphasized in classical Indian texts. Musgrave and Musgrave’s (1989) canonical formulation of equity, efficiency, and stabilization functions of fiscal systems resonates strongly with ancient prescriptions regarding proportional taxation, welfare orientation, and counter-cyclical relief during economic distress. Contemporary optimal taxation scholarship has similarly stressed fairness, compliance incentives, and administrative feasibility as central design constraints (Atkinson &amp; Stiglitz, 2015; </w:t>
      </w:r>
      <w:proofErr w:type="spellStart"/>
      <w:r w:rsidRPr="00355DDB">
        <w:rPr>
          <w:rFonts w:ascii="Times New Roman" w:hAnsi="Times New Roman" w:cs="Times New Roman"/>
          <w:sz w:val="24"/>
          <w:szCs w:val="24"/>
        </w:rPr>
        <w:t>Slemrod</w:t>
      </w:r>
      <w:proofErr w:type="spellEnd"/>
      <w:r w:rsidRPr="00355DDB">
        <w:rPr>
          <w:rFonts w:ascii="Times New Roman" w:hAnsi="Times New Roman" w:cs="Times New Roman"/>
          <w:sz w:val="24"/>
          <w:szCs w:val="24"/>
        </w:rPr>
        <w:t xml:space="preserve"> &amp; </w:t>
      </w:r>
      <w:proofErr w:type="spellStart"/>
      <w:r w:rsidRPr="00355DDB">
        <w:rPr>
          <w:rFonts w:ascii="Times New Roman" w:hAnsi="Times New Roman" w:cs="Times New Roman"/>
          <w:sz w:val="24"/>
          <w:szCs w:val="24"/>
        </w:rPr>
        <w:t>Gillitzer</w:t>
      </w:r>
      <w:proofErr w:type="spellEnd"/>
      <w:r w:rsidRPr="00355DDB">
        <w:rPr>
          <w:rFonts w:ascii="Times New Roman" w:hAnsi="Times New Roman" w:cs="Times New Roman"/>
          <w:sz w:val="24"/>
          <w:szCs w:val="24"/>
        </w:rPr>
        <w:t xml:space="preserve">, 2014). These analytical frameworks provide conceptual lenses through which </w:t>
      </w:r>
      <w:proofErr w:type="spellStart"/>
      <w:r w:rsidRPr="00355DDB">
        <w:rPr>
          <w:rFonts w:ascii="Times New Roman" w:hAnsi="Times New Roman" w:cs="Times New Roman"/>
          <w:sz w:val="24"/>
          <w:szCs w:val="24"/>
        </w:rPr>
        <w:t>Kautilya’s</w:t>
      </w:r>
      <w:proofErr w:type="spellEnd"/>
      <w:r w:rsidRPr="00355DDB">
        <w:rPr>
          <w:rFonts w:ascii="Times New Roman" w:hAnsi="Times New Roman" w:cs="Times New Roman"/>
          <w:sz w:val="24"/>
          <w:szCs w:val="24"/>
        </w:rPr>
        <w:t xml:space="preserve"> fiscal doctrines may be reinterpreted not as isolated historical curiosities but as early articulations of governance principles that continue to structure modern tax debates. However, despite the maturity of these theoretical literatures, few studies explicitly explore how indigenous fiscal philosophies intersect with contemporary public-finance paradigms in non-Western contexts.</w:t>
      </w:r>
    </w:p>
    <w:p w14:paraId="7B443502" w14:textId="77777777"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Empirical research on India’s recent tax reforms further strengthens the case for historical comparison. Evaluations of GST implementation and digital tax administration emphasize challenges related to compliance burdens, intergovernmental coordination, transparency, and taxpayer trust (Mukherjee, 2020; Purohit, 2019; Gupta &amp; Sengupta, 2021). Fiscal-federalism scholarship has likewise documented persistent tensions between revenue autonomy and harmonization in India’s constitutional framework (Rao &amp; Singh, 2005). While these studies offer rigorous assessments of modern institutions, they rarely engage with deeper historical traditions of fiscal ethics or administrative philosophy that pre-date colonial governance. This disconnect suggests a fertile analytical space for historically grounded inquiry capable of linking ancient Indian normative frameworks with contemporary reform trajectories</w:t>
      </w:r>
      <w:r w:rsidR="00D11DE4">
        <w:rPr>
          <w:rFonts w:ascii="Times New Roman" w:hAnsi="Times New Roman" w:cs="Times New Roman"/>
          <w:sz w:val="24"/>
          <w:szCs w:val="24"/>
        </w:rPr>
        <w:t xml:space="preserve"> </w:t>
      </w:r>
      <w:r w:rsidRPr="00355DDB">
        <w:rPr>
          <w:rFonts w:ascii="Times New Roman" w:hAnsi="Times New Roman" w:cs="Times New Roman"/>
          <w:sz w:val="24"/>
          <w:szCs w:val="24"/>
        </w:rPr>
        <w:t>precisely the comparative objective pursued by the present study.</w:t>
      </w:r>
    </w:p>
    <w:p w14:paraId="02B28EAF" w14:textId="77777777" w:rsidR="008C4D0E" w:rsidRPr="008C4D0E" w:rsidRDefault="008C4D0E" w:rsidP="00D5088A">
      <w:pPr>
        <w:jc w:val="both"/>
        <w:rPr>
          <w:rFonts w:ascii="Times New Roman" w:hAnsi="Times New Roman" w:cs="Times New Roman"/>
          <w:b/>
          <w:bCs/>
          <w:sz w:val="24"/>
          <w:szCs w:val="24"/>
        </w:rPr>
      </w:pPr>
      <w:r w:rsidRPr="008C4D0E">
        <w:rPr>
          <w:rFonts w:ascii="Times New Roman" w:hAnsi="Times New Roman" w:cs="Times New Roman"/>
          <w:b/>
          <w:bCs/>
          <w:sz w:val="24"/>
          <w:szCs w:val="24"/>
        </w:rPr>
        <w:t>Research Objectives</w:t>
      </w:r>
      <w:r w:rsidR="003E7803">
        <w:rPr>
          <w:rFonts w:ascii="Times New Roman" w:hAnsi="Times New Roman" w:cs="Times New Roman"/>
          <w:b/>
          <w:bCs/>
          <w:sz w:val="24"/>
          <w:szCs w:val="24"/>
        </w:rPr>
        <w:t>:</w:t>
      </w:r>
    </w:p>
    <w:p w14:paraId="171873EB"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To undertake a comparative analysis of the ancient Indian taxation system and the contemporary Indian tax regime in order to identify similarities, differences, and structural evolution.</w:t>
      </w:r>
    </w:p>
    <w:p w14:paraId="2023B586"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critically examine the tax structure and proportional tax ratios proposed by </w:t>
      </w:r>
      <w:proofErr w:type="spellStart"/>
      <w:r w:rsidRPr="008C4D0E">
        <w:rPr>
          <w:rFonts w:ascii="Times New Roman" w:hAnsi="Times New Roman" w:cs="Times New Roman"/>
          <w:sz w:val="24"/>
          <w:szCs w:val="24"/>
        </w:rPr>
        <w:t>Kautilya</w:t>
      </w:r>
      <w:proofErr w:type="spellEnd"/>
      <w:r w:rsidRPr="008C4D0E">
        <w:rPr>
          <w:rFonts w:ascii="Times New Roman" w:hAnsi="Times New Roman" w:cs="Times New Roman"/>
          <w:sz w:val="24"/>
          <w:szCs w:val="24"/>
        </w:rPr>
        <w:t xml:space="preserve">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with particular reference to equity, efficiency, and fiscal sustainability.</w:t>
      </w:r>
    </w:p>
    <w:p w14:paraId="14F7942C"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w:t>
      </w:r>
      <w:proofErr w:type="spellStart"/>
      <w:r w:rsidRPr="008C4D0E">
        <w:rPr>
          <w:rFonts w:ascii="Times New Roman" w:hAnsi="Times New Roman" w:cs="Times New Roman"/>
          <w:sz w:val="24"/>
          <w:szCs w:val="24"/>
        </w:rPr>
        <w:t>analyze</w:t>
      </w:r>
      <w:proofErr w:type="spellEnd"/>
      <w:r w:rsidRPr="008C4D0E">
        <w:rPr>
          <w:rFonts w:ascii="Times New Roman" w:hAnsi="Times New Roman" w:cs="Times New Roman"/>
          <w:sz w:val="24"/>
          <w:szCs w:val="24"/>
        </w:rPr>
        <w:t xml:space="preserve"> the principal sources of state revenue and patterns of public expenditure described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their implications for governance and economic management.</w:t>
      </w:r>
    </w:p>
    <w:p w14:paraId="78FC2230" w14:textId="77777777"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evaluate the core principles of taxation articulated in classical texts such as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w:t>
      </w:r>
      <w:proofErr w:type="spellStart"/>
      <w:r w:rsidRPr="008C4D0E">
        <w:rPr>
          <w:rFonts w:ascii="Times New Roman" w:hAnsi="Times New Roman" w:cs="Times New Roman"/>
          <w:i/>
          <w:iCs/>
          <w:sz w:val="24"/>
          <w:szCs w:val="24"/>
        </w:rPr>
        <w:t>Manusmriti</w:t>
      </w:r>
      <w:proofErr w:type="spellEnd"/>
      <w:r w:rsidRPr="008C4D0E">
        <w:rPr>
          <w:rFonts w:ascii="Times New Roman" w:hAnsi="Times New Roman" w:cs="Times New Roman"/>
          <w:sz w:val="24"/>
          <w:szCs w:val="24"/>
        </w:rPr>
        <w:t>, including ethical collection, ability-to-pay considerations, and welfare orientation, and to assess their relevance in a modern policy context.</w:t>
      </w:r>
    </w:p>
    <w:p w14:paraId="7BB89334" w14:textId="77777777" w:rsidR="001E6D82" w:rsidRPr="00D5088A" w:rsidRDefault="001E6D82" w:rsidP="00D5088A">
      <w:pPr>
        <w:jc w:val="both"/>
        <w:rPr>
          <w:rFonts w:ascii="Times New Roman" w:hAnsi="Times New Roman" w:cs="Times New Roman"/>
          <w:sz w:val="24"/>
          <w:szCs w:val="24"/>
        </w:rPr>
      </w:pPr>
    </w:p>
    <w:p w14:paraId="72F4372F" w14:textId="726F2150" w:rsidR="00433C02" w:rsidRPr="00D5088A" w:rsidRDefault="009C0FB3" w:rsidP="00D5088A">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F62F9A">
        <w:rPr>
          <w:rFonts w:ascii="Times New Roman" w:hAnsi="Times New Roman" w:cs="Times New Roman"/>
          <w:b/>
          <w:bCs/>
          <w:sz w:val="24"/>
          <w:szCs w:val="24"/>
        </w:rPr>
        <w:t xml:space="preserve"> Statement of </w:t>
      </w:r>
      <w:r w:rsidR="00DA2D21" w:rsidRPr="00D5088A">
        <w:rPr>
          <w:rFonts w:ascii="Times New Roman" w:hAnsi="Times New Roman" w:cs="Times New Roman"/>
          <w:b/>
          <w:bCs/>
          <w:sz w:val="24"/>
          <w:szCs w:val="24"/>
        </w:rPr>
        <w:t>Review of Literature</w:t>
      </w:r>
    </w:p>
    <w:tbl>
      <w:tblPr>
        <w:tblStyle w:val="TableGrid"/>
        <w:tblW w:w="0" w:type="auto"/>
        <w:tblLook w:val="04A0" w:firstRow="1" w:lastRow="0" w:firstColumn="1" w:lastColumn="0" w:noHBand="0" w:noVBand="1"/>
      </w:tblPr>
      <w:tblGrid>
        <w:gridCol w:w="1748"/>
        <w:gridCol w:w="2658"/>
        <w:gridCol w:w="2387"/>
        <w:gridCol w:w="2449"/>
      </w:tblGrid>
      <w:tr w:rsidR="00DA2D21" w:rsidRPr="00DA2D21" w14:paraId="079EF971" w14:textId="77777777" w:rsidTr="00DA2D21">
        <w:tc>
          <w:tcPr>
            <w:tcW w:w="0" w:type="auto"/>
            <w:hideMark/>
          </w:tcPr>
          <w:p w14:paraId="1DF60BAC"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Citation</w:t>
            </w:r>
          </w:p>
        </w:tc>
        <w:tc>
          <w:tcPr>
            <w:tcW w:w="0" w:type="auto"/>
            <w:hideMark/>
          </w:tcPr>
          <w:p w14:paraId="032A9A3B"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Core Focus of the Study</w:t>
            </w:r>
          </w:p>
        </w:tc>
        <w:tc>
          <w:tcPr>
            <w:tcW w:w="0" w:type="auto"/>
            <w:hideMark/>
          </w:tcPr>
          <w:p w14:paraId="146B8D9F"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Identified Research Gap</w:t>
            </w:r>
          </w:p>
        </w:tc>
        <w:tc>
          <w:tcPr>
            <w:tcW w:w="0" w:type="auto"/>
            <w:hideMark/>
          </w:tcPr>
          <w:p w14:paraId="7D24CB7A" w14:textId="77777777"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Alignment with the Present Study</w:t>
            </w:r>
          </w:p>
        </w:tc>
      </w:tr>
      <w:tr w:rsidR="00DA2D21" w:rsidRPr="00DA2D21" w14:paraId="1047BCAC" w14:textId="77777777" w:rsidTr="00DA2D21">
        <w:tc>
          <w:tcPr>
            <w:tcW w:w="0" w:type="auto"/>
            <w:hideMark/>
          </w:tcPr>
          <w:p w14:paraId="78D409BD"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Thapar (2002)</w:t>
            </w:r>
          </w:p>
        </w:tc>
        <w:tc>
          <w:tcPr>
            <w:tcW w:w="0" w:type="auto"/>
            <w:hideMark/>
          </w:tcPr>
          <w:p w14:paraId="79867F82"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Analysis of political economy and governance in ancient India, including revenue systems under early states.</w:t>
            </w:r>
          </w:p>
        </w:tc>
        <w:tc>
          <w:tcPr>
            <w:tcW w:w="0" w:type="auto"/>
            <w:hideMark/>
          </w:tcPr>
          <w:p w14:paraId="37D6952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Does not compare ancient fiscal practices with modern Indian tax structures.</w:t>
            </w:r>
          </w:p>
        </w:tc>
        <w:tc>
          <w:tcPr>
            <w:tcW w:w="0" w:type="auto"/>
            <w:hideMark/>
          </w:tcPr>
          <w:p w14:paraId="3E2443B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Provides historical grounding for ancient taxation philosophy used in comparative analysis.</w:t>
            </w:r>
          </w:p>
        </w:tc>
      </w:tr>
      <w:tr w:rsidR="00DA2D21" w:rsidRPr="00DA2D21" w14:paraId="1DEC1C1F" w14:textId="77777777" w:rsidTr="00DA2D21">
        <w:tc>
          <w:tcPr>
            <w:tcW w:w="0" w:type="auto"/>
            <w:hideMark/>
          </w:tcPr>
          <w:p w14:paraId="2B1DD47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Raychaudhuri &amp; Habib (2004)</w:t>
            </w:r>
          </w:p>
        </w:tc>
        <w:tc>
          <w:tcPr>
            <w:tcW w:w="0" w:type="auto"/>
            <w:hideMark/>
          </w:tcPr>
          <w:p w14:paraId="326DE6F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Economic institutions and state revenue systems in pre-modern India.</w:t>
            </w:r>
          </w:p>
        </w:tc>
        <w:tc>
          <w:tcPr>
            <w:tcW w:w="0" w:type="auto"/>
            <w:hideMark/>
          </w:tcPr>
          <w:p w14:paraId="3D41D7D0"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Focuses mainly on medieval period; lacks ethical or philosophical interpretation of taxation.</w:t>
            </w:r>
          </w:p>
        </w:tc>
        <w:tc>
          <w:tcPr>
            <w:tcW w:w="0" w:type="auto"/>
            <w:hideMark/>
          </w:tcPr>
          <w:p w14:paraId="220110B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historical evolution of fiscal systems examined in this study.</w:t>
            </w:r>
          </w:p>
        </w:tc>
      </w:tr>
      <w:tr w:rsidR="00DA2D21" w:rsidRPr="00DA2D21" w14:paraId="55D50206" w14:textId="77777777" w:rsidTr="00DA2D21">
        <w:tc>
          <w:tcPr>
            <w:tcW w:w="0" w:type="auto"/>
            <w:hideMark/>
          </w:tcPr>
          <w:p w14:paraId="05FF959A"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Basu</w:t>
            </w:r>
            <w:proofErr w:type="spellEnd"/>
            <w:r w:rsidRPr="00DA2D21">
              <w:rPr>
                <w:rFonts w:ascii="Times New Roman" w:hAnsi="Times New Roman" w:cs="Times New Roman"/>
                <w:sz w:val="24"/>
                <w:szCs w:val="24"/>
              </w:rPr>
              <w:t xml:space="preserve"> (2011)</w:t>
            </w:r>
          </w:p>
        </w:tc>
        <w:tc>
          <w:tcPr>
            <w:tcW w:w="0" w:type="auto"/>
            <w:hideMark/>
          </w:tcPr>
          <w:p w14:paraId="391ADB3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Examination of Indian public finance and fiscal reforms in the post-liberalization era.</w:t>
            </w:r>
          </w:p>
        </w:tc>
        <w:tc>
          <w:tcPr>
            <w:tcW w:w="0" w:type="auto"/>
            <w:hideMark/>
          </w:tcPr>
          <w:p w14:paraId="56595FAB"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Ignores historical antecedents of taxation principles.</w:t>
            </w:r>
          </w:p>
        </w:tc>
        <w:tc>
          <w:tcPr>
            <w:tcW w:w="0" w:type="auto"/>
            <w:hideMark/>
          </w:tcPr>
          <w:p w14:paraId="3DB7F8EA"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Used for modern taxation context in comparison.</w:t>
            </w:r>
          </w:p>
        </w:tc>
      </w:tr>
      <w:tr w:rsidR="00DA2D21" w:rsidRPr="00DA2D21" w14:paraId="2DC013EE" w14:textId="77777777" w:rsidTr="00DA2D21">
        <w:tc>
          <w:tcPr>
            <w:tcW w:w="0" w:type="auto"/>
            <w:hideMark/>
          </w:tcPr>
          <w:p w14:paraId="67BB71ED"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Bagchi</w:t>
            </w:r>
            <w:proofErr w:type="spellEnd"/>
            <w:r w:rsidRPr="00DA2D21">
              <w:rPr>
                <w:rFonts w:ascii="Times New Roman" w:hAnsi="Times New Roman" w:cs="Times New Roman"/>
                <w:sz w:val="24"/>
                <w:szCs w:val="24"/>
              </w:rPr>
              <w:t xml:space="preserve"> (2012)</w:t>
            </w:r>
          </w:p>
        </w:tc>
        <w:tc>
          <w:tcPr>
            <w:tcW w:w="0" w:type="auto"/>
            <w:hideMark/>
          </w:tcPr>
          <w:p w14:paraId="1D0E7175"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Fiscal federalism and taxation reforms in India.</w:t>
            </w:r>
          </w:p>
        </w:tc>
        <w:tc>
          <w:tcPr>
            <w:tcW w:w="0" w:type="auto"/>
            <w:hideMark/>
          </w:tcPr>
          <w:p w14:paraId="4E235F9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engagement with ancient Indian fiscal traditions.</w:t>
            </w:r>
          </w:p>
        </w:tc>
        <w:tc>
          <w:tcPr>
            <w:tcW w:w="0" w:type="auto"/>
            <w:hideMark/>
          </w:tcPr>
          <w:p w14:paraId="3E17AFCD"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Helps frame modern administrative tax structure.</w:t>
            </w:r>
          </w:p>
        </w:tc>
      </w:tr>
      <w:tr w:rsidR="00DA2D21" w:rsidRPr="00DA2D21" w14:paraId="63589DC5" w14:textId="77777777" w:rsidTr="00DA2D21">
        <w:tc>
          <w:tcPr>
            <w:tcW w:w="0" w:type="auto"/>
            <w:hideMark/>
          </w:tcPr>
          <w:p w14:paraId="3CC95DBD" w14:textId="77777777"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Altekar</w:t>
            </w:r>
            <w:proofErr w:type="spellEnd"/>
            <w:r w:rsidRPr="00DA2D21">
              <w:rPr>
                <w:rFonts w:ascii="Times New Roman" w:hAnsi="Times New Roman" w:cs="Times New Roman"/>
                <w:sz w:val="24"/>
                <w:szCs w:val="24"/>
              </w:rPr>
              <w:t xml:space="preserve"> (1958)</w:t>
            </w:r>
          </w:p>
        </w:tc>
        <w:tc>
          <w:tcPr>
            <w:tcW w:w="0" w:type="auto"/>
            <w:hideMark/>
          </w:tcPr>
          <w:p w14:paraId="141DF20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Social and administrative institutions in ancient India, including taxation practices.</w:t>
            </w:r>
          </w:p>
        </w:tc>
        <w:tc>
          <w:tcPr>
            <w:tcW w:w="0" w:type="auto"/>
            <w:hideMark/>
          </w:tcPr>
          <w:p w14:paraId="5BDBC71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Descriptive; does not connect ancient ideas to modern policy relevance.</w:t>
            </w:r>
          </w:p>
        </w:tc>
        <w:tc>
          <w:tcPr>
            <w:tcW w:w="0" w:type="auto"/>
            <w:hideMark/>
          </w:tcPr>
          <w:p w14:paraId="1972C768"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Supplies ancient tax mechanisms for philosophical comparison.</w:t>
            </w:r>
          </w:p>
        </w:tc>
      </w:tr>
      <w:tr w:rsidR="00DA2D21" w:rsidRPr="00DA2D21" w14:paraId="54D4DF39" w14:textId="77777777" w:rsidTr="00DA2D21">
        <w:tc>
          <w:tcPr>
            <w:tcW w:w="0" w:type="auto"/>
            <w:hideMark/>
          </w:tcPr>
          <w:p w14:paraId="59A98939"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Sen (1982)</w:t>
            </w:r>
          </w:p>
        </w:tc>
        <w:tc>
          <w:tcPr>
            <w:tcW w:w="0" w:type="auto"/>
            <w:hideMark/>
          </w:tcPr>
          <w:p w14:paraId="580236C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Welfare orientation in economic thought and state responsibility.</w:t>
            </w:r>
          </w:p>
        </w:tc>
        <w:tc>
          <w:tcPr>
            <w:tcW w:w="0" w:type="auto"/>
            <w:hideMark/>
          </w:tcPr>
          <w:p w14:paraId="67FD7AA3"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Not focused specifically on taxation systems or India’s historical experience.</w:t>
            </w:r>
          </w:p>
        </w:tc>
        <w:tc>
          <w:tcPr>
            <w:tcW w:w="0" w:type="auto"/>
            <w:hideMark/>
          </w:tcPr>
          <w:p w14:paraId="0256BE72"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welfare-based interpretation of fiscal philosophy.</w:t>
            </w:r>
          </w:p>
        </w:tc>
      </w:tr>
      <w:tr w:rsidR="00DA2D21" w:rsidRPr="00DA2D21" w14:paraId="4CE015F0" w14:textId="77777777" w:rsidTr="00DA2D21">
        <w:tc>
          <w:tcPr>
            <w:tcW w:w="0" w:type="auto"/>
            <w:hideMark/>
          </w:tcPr>
          <w:p w14:paraId="05847650"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Mukherjee (1979)</w:t>
            </w:r>
          </w:p>
        </w:tc>
        <w:tc>
          <w:tcPr>
            <w:tcW w:w="0" w:type="auto"/>
            <w:hideMark/>
          </w:tcPr>
          <w:p w14:paraId="45BB950F"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Mauryan administration and economic regulation.</w:t>
            </w:r>
          </w:p>
        </w:tc>
        <w:tc>
          <w:tcPr>
            <w:tcW w:w="0" w:type="auto"/>
            <w:hideMark/>
          </w:tcPr>
          <w:p w14:paraId="48522A8E"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Lacks comparative temporal perspective.</w:t>
            </w:r>
          </w:p>
        </w:tc>
        <w:tc>
          <w:tcPr>
            <w:tcW w:w="0" w:type="auto"/>
            <w:hideMark/>
          </w:tcPr>
          <w:p w14:paraId="133755B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Provides empirical base for </w:t>
            </w:r>
            <w:proofErr w:type="spellStart"/>
            <w:r w:rsidRPr="00DA2D21">
              <w:rPr>
                <w:rFonts w:ascii="Times New Roman" w:hAnsi="Times New Roman" w:cs="Times New Roman"/>
                <w:sz w:val="24"/>
                <w:szCs w:val="24"/>
              </w:rPr>
              <w:t>Arthashastra</w:t>
            </w:r>
            <w:proofErr w:type="spellEnd"/>
            <w:r w:rsidRPr="00DA2D21">
              <w:rPr>
                <w:rFonts w:ascii="Times New Roman" w:hAnsi="Times New Roman" w:cs="Times New Roman"/>
                <w:sz w:val="24"/>
                <w:szCs w:val="24"/>
              </w:rPr>
              <w:t>-era revenue systems.</w:t>
            </w:r>
          </w:p>
        </w:tc>
      </w:tr>
      <w:tr w:rsidR="00DA2D21" w:rsidRPr="00DA2D21" w14:paraId="14CFF1A1" w14:textId="77777777" w:rsidTr="00DA2D21">
        <w:tc>
          <w:tcPr>
            <w:tcW w:w="0" w:type="auto"/>
            <w:hideMark/>
          </w:tcPr>
          <w:p w14:paraId="4BB66477"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Kelkar &amp; Shah (2020)</w:t>
            </w:r>
          </w:p>
        </w:tc>
        <w:tc>
          <w:tcPr>
            <w:tcW w:w="0" w:type="auto"/>
            <w:hideMark/>
          </w:tcPr>
          <w:p w14:paraId="2F38FFA0"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Evaluation of GST and tax simplification in India.</w:t>
            </w:r>
          </w:p>
        </w:tc>
        <w:tc>
          <w:tcPr>
            <w:tcW w:w="0" w:type="auto"/>
            <w:hideMark/>
          </w:tcPr>
          <w:p w14:paraId="38B36129"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reference to ancient fiscal traditions.</w:t>
            </w:r>
          </w:p>
        </w:tc>
        <w:tc>
          <w:tcPr>
            <w:tcW w:w="0" w:type="auto"/>
            <w:hideMark/>
          </w:tcPr>
          <w:p w14:paraId="54A33909"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Represents modern reforms contrasted with ancient principles.</w:t>
            </w:r>
          </w:p>
        </w:tc>
      </w:tr>
      <w:tr w:rsidR="00DA2D21" w:rsidRPr="00DA2D21" w14:paraId="1A0D9832" w14:textId="77777777" w:rsidTr="00DA2D21">
        <w:tc>
          <w:tcPr>
            <w:tcW w:w="0" w:type="auto"/>
            <w:hideMark/>
          </w:tcPr>
          <w:p w14:paraId="08755B6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Chakrabarti &amp; Singh (2015)</w:t>
            </w:r>
          </w:p>
        </w:tc>
        <w:tc>
          <w:tcPr>
            <w:tcW w:w="0" w:type="auto"/>
            <w:hideMark/>
          </w:tcPr>
          <w:p w14:paraId="1940FEFA"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Governance and public accountability in Indian </w:t>
            </w:r>
            <w:r w:rsidRPr="00DA2D21">
              <w:rPr>
                <w:rFonts w:ascii="Times New Roman" w:hAnsi="Times New Roman" w:cs="Times New Roman"/>
                <w:sz w:val="24"/>
                <w:szCs w:val="24"/>
              </w:rPr>
              <w:lastRenderedPageBreak/>
              <w:t>fiscal institutions.</w:t>
            </w:r>
          </w:p>
        </w:tc>
        <w:tc>
          <w:tcPr>
            <w:tcW w:w="0" w:type="auto"/>
            <w:hideMark/>
          </w:tcPr>
          <w:p w14:paraId="6D826DE5"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lastRenderedPageBreak/>
              <w:t>Does not integrate historical frameworks.</w:t>
            </w:r>
          </w:p>
        </w:tc>
        <w:tc>
          <w:tcPr>
            <w:tcW w:w="0" w:type="auto"/>
            <w:hideMark/>
          </w:tcPr>
          <w:p w14:paraId="3FBEE96C" w14:textId="77777777"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Links ethical governance debates to classical tax </w:t>
            </w:r>
            <w:r w:rsidRPr="00DA2D21">
              <w:rPr>
                <w:rFonts w:ascii="Times New Roman" w:hAnsi="Times New Roman" w:cs="Times New Roman"/>
                <w:sz w:val="24"/>
                <w:szCs w:val="24"/>
              </w:rPr>
              <w:lastRenderedPageBreak/>
              <w:t>philosophy.</w:t>
            </w:r>
          </w:p>
        </w:tc>
      </w:tr>
    </w:tbl>
    <w:p w14:paraId="16948657" w14:textId="77777777" w:rsidR="00DA2D21" w:rsidRDefault="00DA2D21" w:rsidP="00D5088A">
      <w:pPr>
        <w:jc w:val="both"/>
        <w:rPr>
          <w:rFonts w:ascii="Times New Roman" w:hAnsi="Times New Roman" w:cs="Times New Roman"/>
          <w:sz w:val="24"/>
          <w:szCs w:val="24"/>
        </w:rPr>
      </w:pPr>
    </w:p>
    <w:p w14:paraId="5AF278B8" w14:textId="77777777" w:rsidR="0007170F" w:rsidRPr="0007170F" w:rsidRDefault="0007170F" w:rsidP="0007170F">
      <w:pPr>
        <w:jc w:val="both"/>
        <w:rPr>
          <w:rFonts w:ascii="Times New Roman" w:hAnsi="Times New Roman" w:cs="Times New Roman"/>
          <w:b/>
          <w:bCs/>
          <w:sz w:val="24"/>
          <w:szCs w:val="24"/>
        </w:rPr>
      </w:pPr>
      <w:r w:rsidRPr="0007170F">
        <w:rPr>
          <w:rFonts w:ascii="Times New Roman" w:hAnsi="Times New Roman" w:cs="Times New Roman"/>
          <w:b/>
          <w:bCs/>
          <w:sz w:val="24"/>
          <w:szCs w:val="24"/>
        </w:rPr>
        <w:t>Contemporary Theoretical and Empirical Alignment</w:t>
      </w:r>
    </w:p>
    <w:p w14:paraId="230DFEC4" w14:textId="77777777" w:rsidR="0007170F" w:rsidRPr="0007170F" w:rsidRDefault="0007170F" w:rsidP="0007170F">
      <w:pPr>
        <w:jc w:val="both"/>
        <w:rPr>
          <w:rFonts w:ascii="Times New Roman" w:hAnsi="Times New Roman" w:cs="Times New Roman"/>
          <w:sz w:val="24"/>
          <w:szCs w:val="24"/>
        </w:rPr>
      </w:pPr>
      <w:r w:rsidRPr="0007170F">
        <w:rPr>
          <w:rFonts w:ascii="Times New Roman" w:hAnsi="Times New Roman" w:cs="Times New Roman"/>
          <w:sz w:val="24"/>
          <w:szCs w:val="24"/>
        </w:rPr>
        <w:t>To address the evolution of fiscal scholarship, this study aligns ancient fiscal philosophy with recent theoretical developments in state capacity, tax morale, and digital governance.</w:t>
      </w:r>
      <w:r>
        <w:rPr>
          <w:rFonts w:ascii="Times New Roman" w:hAnsi="Times New Roman" w:cs="Times New Roman"/>
          <w:sz w:val="24"/>
          <w:szCs w:val="24"/>
        </w:rPr>
        <w:t xml:space="preserve"> </w:t>
      </w:r>
      <w:r w:rsidRPr="0007170F">
        <w:rPr>
          <w:rFonts w:ascii="Times New Roman" w:hAnsi="Times New Roman" w:cs="Times New Roman"/>
          <w:sz w:val="24"/>
          <w:szCs w:val="24"/>
        </w:rPr>
        <w:t xml:space="preserve">Recent research emphasizes the relationship between taxation and state legitimacy (Moore, 2015; Prichard, 2015), digital compliance systems (Mascagni et al., 2022), and </w:t>
      </w:r>
      <w:r w:rsidR="009A4235" w:rsidRPr="0007170F">
        <w:rPr>
          <w:rFonts w:ascii="Times New Roman" w:hAnsi="Times New Roman" w:cs="Times New Roman"/>
          <w:sz w:val="24"/>
          <w:szCs w:val="24"/>
        </w:rPr>
        <w:t>behavioural</w:t>
      </w:r>
      <w:r w:rsidRPr="0007170F">
        <w:rPr>
          <w:rFonts w:ascii="Times New Roman" w:hAnsi="Times New Roman" w:cs="Times New Roman"/>
          <w:sz w:val="24"/>
          <w:szCs w:val="24"/>
        </w:rPr>
        <w:t xml:space="preserve"> approaches to tax morale (</w:t>
      </w:r>
      <w:proofErr w:type="spellStart"/>
      <w:r w:rsidRPr="0007170F">
        <w:rPr>
          <w:rFonts w:ascii="Times New Roman" w:hAnsi="Times New Roman" w:cs="Times New Roman"/>
          <w:sz w:val="24"/>
          <w:szCs w:val="24"/>
        </w:rPr>
        <w:t>Luttmer</w:t>
      </w:r>
      <w:proofErr w:type="spellEnd"/>
      <w:r w:rsidRPr="0007170F">
        <w:rPr>
          <w:rFonts w:ascii="Times New Roman" w:hAnsi="Times New Roman" w:cs="Times New Roman"/>
          <w:sz w:val="24"/>
          <w:szCs w:val="24"/>
        </w:rPr>
        <w:t xml:space="preserve"> &amp; Singhal, 2014). These frameworks provide modern analytical tools to reinterpret </w:t>
      </w:r>
      <w:proofErr w:type="spellStart"/>
      <w:r w:rsidRPr="0007170F">
        <w:rPr>
          <w:rFonts w:ascii="Times New Roman" w:hAnsi="Times New Roman" w:cs="Times New Roman"/>
          <w:sz w:val="24"/>
          <w:szCs w:val="24"/>
        </w:rPr>
        <w:t>Kautilya’s</w:t>
      </w:r>
      <w:proofErr w:type="spellEnd"/>
      <w:r w:rsidRPr="0007170F">
        <w:rPr>
          <w:rFonts w:ascii="Times New Roman" w:hAnsi="Times New Roman" w:cs="Times New Roman"/>
          <w:sz w:val="24"/>
          <w:szCs w:val="24"/>
        </w:rPr>
        <w:t xml:space="preserve"> emphasis on predictability, fairness, and administrative oversight.</w:t>
      </w:r>
      <w:r>
        <w:rPr>
          <w:rFonts w:ascii="Times New Roman" w:hAnsi="Times New Roman" w:cs="Times New Roman"/>
          <w:sz w:val="24"/>
          <w:szCs w:val="24"/>
        </w:rPr>
        <w:t xml:space="preserve"> </w:t>
      </w:r>
      <w:r w:rsidRPr="0007170F">
        <w:rPr>
          <w:rFonts w:ascii="Times New Roman" w:hAnsi="Times New Roman" w:cs="Times New Roman"/>
          <w:sz w:val="24"/>
          <w:szCs w:val="24"/>
        </w:rPr>
        <w:t>Furthermore, emerging scholarship on digital public finance and platform governance (Gupta &amp; Sengupta, 2021; OECD, 2021) highlights how technological mediation reshapes compliance and enforcement. By situating ancient fiscal thought within these contemporary debates, the study bridges historical analysis with current research frontiers in fiscal governance and institutional economics.</w:t>
      </w:r>
    </w:p>
    <w:p w14:paraId="6AF36976" w14:textId="77777777" w:rsidR="0007170F" w:rsidRPr="00D5088A" w:rsidRDefault="0007170F" w:rsidP="00D5088A">
      <w:pPr>
        <w:jc w:val="both"/>
        <w:rPr>
          <w:rFonts w:ascii="Times New Roman" w:hAnsi="Times New Roman" w:cs="Times New Roman"/>
          <w:sz w:val="24"/>
          <w:szCs w:val="24"/>
        </w:rPr>
      </w:pPr>
    </w:p>
    <w:p w14:paraId="1721BFEB" w14:textId="77777777" w:rsidR="007C582C" w:rsidRPr="007C582C" w:rsidRDefault="007C582C" w:rsidP="007C582C">
      <w:pPr>
        <w:jc w:val="both"/>
        <w:rPr>
          <w:rFonts w:ascii="Times New Roman" w:hAnsi="Times New Roman" w:cs="Times New Roman"/>
          <w:b/>
          <w:bCs/>
          <w:sz w:val="24"/>
          <w:szCs w:val="24"/>
        </w:rPr>
      </w:pPr>
      <w:r w:rsidRPr="007C582C">
        <w:rPr>
          <w:rFonts w:ascii="Times New Roman" w:hAnsi="Times New Roman" w:cs="Times New Roman"/>
          <w:b/>
          <w:bCs/>
          <w:sz w:val="24"/>
          <w:szCs w:val="24"/>
        </w:rPr>
        <w:t>Research Methodology</w:t>
      </w:r>
      <w:r>
        <w:rPr>
          <w:rFonts w:ascii="Times New Roman" w:hAnsi="Times New Roman" w:cs="Times New Roman"/>
          <w:b/>
          <w:bCs/>
          <w:sz w:val="24"/>
          <w:szCs w:val="24"/>
        </w:rPr>
        <w:t>:</w:t>
      </w:r>
    </w:p>
    <w:p w14:paraId="04CC4B27" w14:textId="77777777" w:rsidR="007C582C" w:rsidRDefault="007C582C" w:rsidP="007C582C">
      <w:pPr>
        <w:jc w:val="both"/>
        <w:rPr>
          <w:rFonts w:ascii="Times New Roman" w:hAnsi="Times New Roman" w:cs="Times New Roman"/>
          <w:sz w:val="24"/>
          <w:szCs w:val="24"/>
        </w:rPr>
      </w:pPr>
      <w:r w:rsidRPr="007C582C">
        <w:rPr>
          <w:rFonts w:ascii="Times New Roman" w:hAnsi="Times New Roman" w:cs="Times New Roman"/>
          <w:b/>
          <w:bCs/>
          <w:sz w:val="24"/>
          <w:szCs w:val="24"/>
        </w:rPr>
        <w:t>Research Design:</w:t>
      </w:r>
      <w:r w:rsidRPr="007C582C">
        <w:rPr>
          <w:rFonts w:ascii="Times New Roman" w:hAnsi="Times New Roman" w:cs="Times New Roman"/>
          <w:sz w:val="24"/>
          <w:szCs w:val="24"/>
        </w:rPr>
        <w:t xml:space="preserve"> The study adopts a qualitative, interpretive, and comparative research design to examine continuities and transformations between ancient Indian taxation philosophy and the contemporary Indian tax system. Given the historically grounded and concept-driven nature of the inquiry, the research relies on documentary analysis and conceptual comparison rather than primary empirical surveys. This design is appropriate for investigating normative frameworks, institutional principles, and governance philosophies embedded in classical treatises and modern fiscal regimes</w:t>
      </w:r>
      <w:r w:rsidR="00E27246">
        <w:rPr>
          <w:rFonts w:ascii="Times New Roman" w:hAnsi="Times New Roman" w:cs="Times New Roman"/>
          <w:sz w:val="24"/>
          <w:szCs w:val="24"/>
        </w:rPr>
        <w:t xml:space="preserve">. </w:t>
      </w:r>
      <w:r w:rsidR="00E27246" w:rsidRPr="00E27246">
        <w:rPr>
          <w:rFonts w:ascii="Times New Roman" w:hAnsi="Times New Roman" w:cs="Times New Roman"/>
          <w:sz w:val="24"/>
          <w:szCs w:val="24"/>
        </w:rPr>
        <w:t>The methodological orientation draws from traditions in comparative economic history and public-finance theory, enabling systematic juxtaposition of fiscal ideas across temporal and institutional contexts.</w:t>
      </w:r>
    </w:p>
    <w:p w14:paraId="2C6BD429" w14:textId="77777777" w:rsidR="008530C4" w:rsidRPr="008530C4" w:rsidRDefault="008530C4" w:rsidP="008530C4">
      <w:pPr>
        <w:jc w:val="both"/>
        <w:rPr>
          <w:rFonts w:ascii="Times New Roman" w:hAnsi="Times New Roman" w:cs="Times New Roman"/>
          <w:sz w:val="24"/>
          <w:szCs w:val="24"/>
        </w:rPr>
      </w:pPr>
      <w:r w:rsidRPr="008530C4">
        <w:rPr>
          <w:rFonts w:ascii="Times New Roman" w:hAnsi="Times New Roman" w:cs="Times New Roman"/>
          <w:b/>
          <w:bCs/>
          <w:sz w:val="24"/>
          <w:szCs w:val="24"/>
        </w:rPr>
        <w:t>Sources of Data:</w:t>
      </w:r>
      <w:r>
        <w:rPr>
          <w:rFonts w:ascii="Times New Roman" w:hAnsi="Times New Roman" w:cs="Times New Roman"/>
          <w:b/>
          <w:bCs/>
          <w:sz w:val="24"/>
          <w:szCs w:val="24"/>
        </w:rPr>
        <w:t xml:space="preserve"> </w:t>
      </w:r>
      <w:r w:rsidRPr="008530C4">
        <w:rPr>
          <w:rFonts w:ascii="Times New Roman" w:hAnsi="Times New Roman" w:cs="Times New Roman"/>
          <w:sz w:val="24"/>
          <w:szCs w:val="24"/>
        </w:rPr>
        <w:t xml:space="preserve">The present study relies exclusively on secondary data drawn from authoritative academic and institutional sources to ensure analytical rigor, conceptual depth, and historical accuracy. Classical textual materials constitute the first major category of evidence and include critical editions and scholarly translations of </w:t>
      </w:r>
      <w:proofErr w:type="spellStart"/>
      <w:r w:rsidRPr="008530C4">
        <w:rPr>
          <w:rFonts w:ascii="Times New Roman" w:hAnsi="Times New Roman" w:cs="Times New Roman"/>
          <w:sz w:val="24"/>
          <w:szCs w:val="24"/>
        </w:rPr>
        <w:t>Kautilya’s</w:t>
      </w:r>
      <w:proofErr w:type="spellEnd"/>
      <w:r w:rsidRPr="008530C4">
        <w:rPr>
          <w:rFonts w:ascii="Times New Roman" w:hAnsi="Times New Roman" w:cs="Times New Roman"/>
          <w:sz w:val="24"/>
          <w:szCs w:val="24"/>
        </w:rPr>
        <w:t xml:space="preserve"> </w:t>
      </w:r>
      <w:proofErr w:type="spellStart"/>
      <w:r w:rsidRPr="008530C4">
        <w:rPr>
          <w:rFonts w:ascii="Times New Roman" w:hAnsi="Times New Roman" w:cs="Times New Roman"/>
          <w:i/>
          <w:iCs/>
          <w:sz w:val="24"/>
          <w:szCs w:val="24"/>
        </w:rPr>
        <w:t>Arthashastra</w:t>
      </w:r>
      <w:proofErr w:type="spellEnd"/>
      <w:r w:rsidRPr="008530C4">
        <w:rPr>
          <w:rFonts w:ascii="Times New Roman" w:hAnsi="Times New Roman" w:cs="Times New Roman"/>
          <w:sz w:val="24"/>
          <w:szCs w:val="24"/>
        </w:rPr>
        <w:t xml:space="preserve">, interpretative studies of the </w:t>
      </w:r>
      <w:proofErr w:type="spellStart"/>
      <w:r w:rsidRPr="008530C4">
        <w:rPr>
          <w:rFonts w:ascii="Times New Roman" w:hAnsi="Times New Roman" w:cs="Times New Roman"/>
          <w:i/>
          <w:iCs/>
          <w:sz w:val="24"/>
          <w:szCs w:val="24"/>
        </w:rPr>
        <w:t>Manusmriti</w:t>
      </w:r>
      <w:proofErr w:type="spellEnd"/>
      <w:r w:rsidRPr="008530C4">
        <w:rPr>
          <w:rFonts w:ascii="Times New Roman" w:hAnsi="Times New Roman" w:cs="Times New Roman"/>
          <w:sz w:val="24"/>
          <w:szCs w:val="24"/>
        </w:rPr>
        <w:t xml:space="preserve"> and related </w:t>
      </w:r>
      <w:proofErr w:type="spellStart"/>
      <w:r w:rsidRPr="008530C4">
        <w:rPr>
          <w:rFonts w:ascii="Times New Roman" w:hAnsi="Times New Roman" w:cs="Times New Roman"/>
          <w:i/>
          <w:iCs/>
          <w:sz w:val="24"/>
          <w:szCs w:val="24"/>
        </w:rPr>
        <w:t>Dharmashastric</w:t>
      </w:r>
      <w:proofErr w:type="spellEnd"/>
      <w:r w:rsidRPr="008530C4">
        <w:rPr>
          <w:rFonts w:ascii="Times New Roman" w:hAnsi="Times New Roman" w:cs="Times New Roman"/>
          <w:sz w:val="24"/>
          <w:szCs w:val="24"/>
        </w:rPr>
        <w:t xml:space="preserve"> literature, and historically grounded commentaries on Mauryan administration and ancient Indian political economy. These works provide the normative and administrative foundations necessary to reconstruct early Indian fiscal philosophy and governance structures. To maintain scholarly reliability, preference was given to peer-reviewed editions, well-established historiographical analyses, and publications by recognized Indologists and economic historians.</w:t>
      </w:r>
    </w:p>
    <w:p w14:paraId="3FB6FD30" w14:textId="77777777" w:rsidR="008530C4" w:rsidRDefault="008530C4" w:rsidP="008530C4">
      <w:pPr>
        <w:jc w:val="both"/>
        <w:rPr>
          <w:rFonts w:ascii="Times New Roman" w:hAnsi="Times New Roman" w:cs="Times New Roman"/>
          <w:sz w:val="24"/>
          <w:szCs w:val="24"/>
        </w:rPr>
      </w:pPr>
      <w:r w:rsidRPr="008530C4">
        <w:rPr>
          <w:rFonts w:ascii="Times New Roman" w:hAnsi="Times New Roman" w:cs="Times New Roman"/>
          <w:sz w:val="24"/>
          <w:szCs w:val="24"/>
        </w:rPr>
        <w:t>The second and third categories of sources comprise modern fiscal and policy literature alongside theoretical and comparative scholarship. Contemporary materials include academic monographs and journal articles on Indian public finance, fiscal federalism, tax reforms, and studies on Goods and Services Tax (GST), digital taxation, and administrative modernization, supplemented by official reports issued by the Government of India and international bodies such as the OECD. These are integrated with canonical public-finance frameworks addressing equity, efficiency, stabilization, and governance, as well as comparative political-</w:t>
      </w:r>
      <w:r w:rsidRPr="008530C4">
        <w:rPr>
          <w:rFonts w:ascii="Times New Roman" w:hAnsi="Times New Roman" w:cs="Times New Roman"/>
          <w:sz w:val="24"/>
          <w:szCs w:val="24"/>
        </w:rPr>
        <w:lastRenderedPageBreak/>
        <w:t>economy research examining taxation systems across civilizations and historical epochs. Only reputable academic publications, official policy documents, and institutional reports were incorporated, thereby ensuring consistency, credibility, and methodological robustness in the comparative analysis undertaken in this study.</w:t>
      </w:r>
    </w:p>
    <w:p w14:paraId="6A1C0189" w14:textId="77777777" w:rsidR="007D0711" w:rsidRPr="008530C4" w:rsidRDefault="007D0711" w:rsidP="008530C4">
      <w:pPr>
        <w:jc w:val="both"/>
        <w:rPr>
          <w:rFonts w:ascii="Times New Roman" w:hAnsi="Times New Roman" w:cs="Times New Roman"/>
          <w:sz w:val="24"/>
          <w:szCs w:val="24"/>
        </w:rPr>
      </w:pPr>
      <w:r w:rsidRPr="007D0711">
        <w:rPr>
          <w:rFonts w:ascii="Times New Roman" w:hAnsi="Times New Roman" w:cs="Times New Roman"/>
          <w:b/>
          <w:bCs/>
          <w:sz w:val="24"/>
          <w:szCs w:val="24"/>
        </w:rPr>
        <w:t>Analytical Framework:</w:t>
      </w:r>
      <w:r>
        <w:rPr>
          <w:rFonts w:ascii="Times New Roman" w:hAnsi="Times New Roman" w:cs="Times New Roman"/>
          <w:sz w:val="24"/>
          <w:szCs w:val="24"/>
        </w:rPr>
        <w:t xml:space="preserve"> </w:t>
      </w:r>
      <w:r w:rsidRPr="007D0711">
        <w:rPr>
          <w:rFonts w:ascii="Times New Roman" w:hAnsi="Times New Roman" w:cs="Times New Roman"/>
          <w:sz w:val="24"/>
          <w:szCs w:val="24"/>
        </w:rPr>
        <w:t xml:space="preserve">A thematic–comparative analytical framework was adopted to systematically examine continuities and divergences between ancient Indian taxation philosophies and contemporary fiscal systems. Integrating prescriptions from classical sources with modern public-finance theory, the study operationalized five interrelated analytical dimensions: tax structure and instruments; sources of state revenue; public expenditure priorities; administrative mechanisms and compliance systems; and normative and ethical foundations. The first dimension evaluates the forms of taxation, proportionality, rate differentiation, and sectoral coverage across periods, while the second contrasts revenue bases such as agricultural levies, trade taxes, state monopolies, and penalties in ancient regimes with present-day direct and indirect taxes. Public expenditure priorities are assessed through a comparative lens focusing on defence, infrastructure, welfare provision, calamity relief, and administrative costs. Administrative capacity and compliance are examined by juxtaposing historical practices of record-keeping, audits, official accountability, and enforcement with contemporary digital platforms, regulatory institutions, and technology-enabled compliance systems. Finally, the normative and ethical foundations underlying fiscal systems are </w:t>
      </w:r>
      <w:proofErr w:type="spellStart"/>
      <w:r w:rsidRPr="007D0711">
        <w:rPr>
          <w:rFonts w:ascii="Times New Roman" w:hAnsi="Times New Roman" w:cs="Times New Roman"/>
          <w:sz w:val="24"/>
          <w:szCs w:val="24"/>
        </w:rPr>
        <w:t>analyzed</w:t>
      </w:r>
      <w:proofErr w:type="spellEnd"/>
      <w:r w:rsidRPr="007D0711">
        <w:rPr>
          <w:rFonts w:ascii="Times New Roman" w:hAnsi="Times New Roman" w:cs="Times New Roman"/>
          <w:sz w:val="24"/>
          <w:szCs w:val="24"/>
        </w:rPr>
        <w:t xml:space="preserve"> by contrasting concepts such as </w:t>
      </w:r>
      <w:r w:rsidRPr="007D0711">
        <w:rPr>
          <w:rFonts w:ascii="Times New Roman" w:hAnsi="Times New Roman" w:cs="Times New Roman"/>
          <w:i/>
          <w:iCs/>
          <w:sz w:val="24"/>
          <w:szCs w:val="24"/>
        </w:rPr>
        <w:t>dharma</w:t>
      </w:r>
      <w:r w:rsidRPr="007D0711">
        <w:rPr>
          <w:rFonts w:ascii="Times New Roman" w:hAnsi="Times New Roman" w:cs="Times New Roman"/>
          <w:sz w:val="24"/>
          <w:szCs w:val="24"/>
        </w:rPr>
        <w:t>, moderation, welfare orientation, and humane tax collection with modern constitutional principles, rule of law, and democratic accountability. Collectively, these dimensions guided the construction of the study’s conceptual model and provided a coherent structure for comparative interpretation and theoretical synthesis.</w:t>
      </w:r>
    </w:p>
    <w:p w14:paraId="4F73E293" w14:textId="77777777" w:rsidR="00204D3E" w:rsidRDefault="00204D3E" w:rsidP="00F663D3">
      <w:pPr>
        <w:jc w:val="both"/>
        <w:rPr>
          <w:rFonts w:ascii="Times New Roman" w:hAnsi="Times New Roman" w:cs="Times New Roman"/>
          <w:b/>
          <w:bCs/>
          <w:sz w:val="24"/>
          <w:szCs w:val="24"/>
        </w:rPr>
      </w:pPr>
    </w:p>
    <w:p w14:paraId="2BC7FA45" w14:textId="77777777" w:rsidR="00F663D3" w:rsidRPr="00F663D3" w:rsidRDefault="00F663D3" w:rsidP="00F663D3">
      <w:pPr>
        <w:jc w:val="both"/>
        <w:rPr>
          <w:rFonts w:ascii="Times New Roman" w:hAnsi="Times New Roman" w:cs="Times New Roman"/>
          <w:b/>
          <w:bCs/>
          <w:sz w:val="24"/>
          <w:szCs w:val="24"/>
        </w:rPr>
      </w:pPr>
      <w:r w:rsidRPr="00F663D3">
        <w:rPr>
          <w:rFonts w:ascii="Times New Roman" w:hAnsi="Times New Roman" w:cs="Times New Roman"/>
          <w:b/>
          <w:bCs/>
          <w:sz w:val="24"/>
          <w:szCs w:val="24"/>
        </w:rPr>
        <w:t>Method of Analysis</w:t>
      </w:r>
      <w:r w:rsidR="00204D3E">
        <w:rPr>
          <w:rFonts w:ascii="Times New Roman" w:hAnsi="Times New Roman" w:cs="Times New Roman"/>
          <w:b/>
          <w:bCs/>
          <w:sz w:val="24"/>
          <w:szCs w:val="24"/>
        </w:rPr>
        <w:t>:</w:t>
      </w:r>
    </w:p>
    <w:p w14:paraId="31D8ECE1" w14:textId="77777777" w:rsidR="00F663D3" w:rsidRPr="00F663D3" w:rsidRDefault="00F663D3" w:rsidP="00F663D3">
      <w:pPr>
        <w:jc w:val="both"/>
        <w:rPr>
          <w:rFonts w:ascii="Times New Roman" w:hAnsi="Times New Roman" w:cs="Times New Roman"/>
          <w:sz w:val="24"/>
          <w:szCs w:val="24"/>
        </w:rPr>
      </w:pPr>
      <w:r w:rsidRPr="00F663D3">
        <w:rPr>
          <w:rFonts w:ascii="Times New Roman" w:hAnsi="Times New Roman" w:cs="Times New Roman"/>
          <w:sz w:val="24"/>
          <w:szCs w:val="24"/>
        </w:rPr>
        <w:t>The research proceeded through four sequential analytical stages:</w:t>
      </w:r>
    </w:p>
    <w:p w14:paraId="6A0435F9" w14:textId="77777777"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Textual Interpretation</w:t>
      </w:r>
      <w:r>
        <w:rPr>
          <w:rFonts w:ascii="Times New Roman" w:hAnsi="Times New Roman" w:cs="Times New Roman"/>
          <w:sz w:val="24"/>
          <w:szCs w:val="24"/>
        </w:rPr>
        <w:t xml:space="preserve">: </w:t>
      </w:r>
      <w:r w:rsidRPr="00F663D3">
        <w:rPr>
          <w:rFonts w:ascii="Times New Roman" w:hAnsi="Times New Roman" w:cs="Times New Roman"/>
          <w:sz w:val="24"/>
          <w:szCs w:val="24"/>
        </w:rPr>
        <w:t>Classical texts were subjected to close reading to extract fiscal principles, administrative prescriptions, and ethical doctrines. Particular attention was paid to passages dealing with tax rates, revenue diversification, remission policies, and official conduct.</w:t>
      </w:r>
    </w:p>
    <w:p w14:paraId="3E97812D" w14:textId="77777777"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Thematic Coding and Categorization</w:t>
      </w:r>
      <w:r>
        <w:rPr>
          <w:rFonts w:ascii="Times New Roman" w:hAnsi="Times New Roman" w:cs="Times New Roman"/>
          <w:sz w:val="24"/>
          <w:szCs w:val="24"/>
        </w:rPr>
        <w:t xml:space="preserve">: </w:t>
      </w:r>
      <w:r w:rsidRPr="00F663D3">
        <w:rPr>
          <w:rFonts w:ascii="Times New Roman" w:hAnsi="Times New Roman" w:cs="Times New Roman"/>
          <w:sz w:val="24"/>
          <w:szCs w:val="24"/>
        </w:rPr>
        <w:t>Extracted ideas were coded into thematic clusters corresponding to the analytical dimensions outlined above.</w:t>
      </w:r>
    </w:p>
    <w:p w14:paraId="55436E84" w14:textId="77777777" w:rsidR="00F663D3" w:rsidRPr="00F663D3" w:rsidRDefault="00F663D3" w:rsidP="00B6092B">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Comparative Mapping</w:t>
      </w:r>
      <w:r w:rsidR="00B6092B">
        <w:rPr>
          <w:rFonts w:ascii="Times New Roman" w:hAnsi="Times New Roman" w:cs="Times New Roman"/>
          <w:sz w:val="24"/>
          <w:szCs w:val="24"/>
        </w:rPr>
        <w:t xml:space="preserve">: </w:t>
      </w:r>
      <w:r w:rsidRPr="00F663D3">
        <w:rPr>
          <w:rFonts w:ascii="Times New Roman" w:hAnsi="Times New Roman" w:cs="Times New Roman"/>
          <w:sz w:val="24"/>
          <w:szCs w:val="24"/>
        </w:rPr>
        <w:t>Each thematic cluster from the ancient corpus was systematically compared with contemporary Indian fiscal arrangements as described in modern scholarship and policy literature.</w:t>
      </w:r>
    </w:p>
    <w:p w14:paraId="16F3AF9F" w14:textId="77777777" w:rsidR="00F663D3" w:rsidRPr="00F663D3" w:rsidRDefault="00F663D3" w:rsidP="00C756B6">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Conceptual Synthesis</w:t>
      </w:r>
      <w:r w:rsidR="00C756B6">
        <w:rPr>
          <w:rFonts w:ascii="Times New Roman" w:hAnsi="Times New Roman" w:cs="Times New Roman"/>
          <w:sz w:val="24"/>
          <w:szCs w:val="24"/>
        </w:rPr>
        <w:t xml:space="preserve">: </w:t>
      </w:r>
      <w:r w:rsidRPr="00F663D3">
        <w:rPr>
          <w:rFonts w:ascii="Times New Roman" w:hAnsi="Times New Roman" w:cs="Times New Roman"/>
          <w:sz w:val="24"/>
          <w:szCs w:val="24"/>
        </w:rPr>
        <w:t>The final stage involved synthesizing convergences and divergences into broader interpretive insights regarding institutional evolution, governance logic, and policy relevance.</w:t>
      </w:r>
    </w:p>
    <w:p w14:paraId="1DA52F4B" w14:textId="77777777" w:rsidR="00E27246" w:rsidRPr="008530C4" w:rsidRDefault="00E27246" w:rsidP="007C582C">
      <w:pPr>
        <w:jc w:val="both"/>
        <w:rPr>
          <w:rFonts w:ascii="Times New Roman" w:hAnsi="Times New Roman" w:cs="Times New Roman"/>
          <w:sz w:val="24"/>
          <w:szCs w:val="24"/>
        </w:rPr>
      </w:pPr>
    </w:p>
    <w:p w14:paraId="6514237D" w14:textId="77777777" w:rsidR="00BE79A5" w:rsidRPr="00BE79A5" w:rsidRDefault="00695811" w:rsidP="00D5088A">
      <w:pPr>
        <w:jc w:val="both"/>
        <w:rPr>
          <w:rFonts w:ascii="Times New Roman" w:hAnsi="Times New Roman" w:cs="Times New Roman"/>
          <w:b/>
          <w:bCs/>
          <w:sz w:val="24"/>
          <w:szCs w:val="24"/>
        </w:rPr>
      </w:pPr>
      <w:r>
        <w:rPr>
          <w:rFonts w:ascii="Times New Roman" w:hAnsi="Times New Roman" w:cs="Times New Roman"/>
          <w:b/>
          <w:bCs/>
          <w:sz w:val="24"/>
          <w:szCs w:val="24"/>
        </w:rPr>
        <w:t>Results</w:t>
      </w:r>
      <w:r w:rsidR="00234300">
        <w:rPr>
          <w:rFonts w:ascii="Times New Roman" w:hAnsi="Times New Roman" w:cs="Times New Roman"/>
          <w:b/>
          <w:bCs/>
          <w:sz w:val="24"/>
          <w:szCs w:val="24"/>
        </w:rPr>
        <w:t>:</w:t>
      </w:r>
    </w:p>
    <w:p w14:paraId="50A26B0B"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lastRenderedPageBreak/>
        <w:t xml:space="preserve">The comparative examination of ancient Indian taxation philosophy and the modern Indian tax system reveals both striking continuities in normative intent and significant departures in institutional design and administrative complexity. Classical texts such as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and </w:t>
      </w:r>
      <w:proofErr w:type="spellStart"/>
      <w:r w:rsidRPr="00BE79A5">
        <w:rPr>
          <w:rFonts w:ascii="Times New Roman" w:hAnsi="Times New Roman" w:cs="Times New Roman"/>
          <w:i/>
          <w:iCs/>
          <w:sz w:val="24"/>
          <w:szCs w:val="24"/>
        </w:rPr>
        <w:t>Manusmriti</w:t>
      </w:r>
      <w:proofErr w:type="spellEnd"/>
      <w:r w:rsidRPr="00BE79A5">
        <w:rPr>
          <w:rFonts w:ascii="Times New Roman" w:hAnsi="Times New Roman" w:cs="Times New Roman"/>
          <w:sz w:val="24"/>
          <w:szCs w:val="24"/>
        </w:rPr>
        <w:t xml:space="preserve"> conceptualized taxation as an essential instrument of governance anchored in </w:t>
      </w:r>
      <w:r w:rsidRPr="00BE79A5">
        <w:rPr>
          <w:rFonts w:ascii="Times New Roman" w:hAnsi="Times New Roman" w:cs="Times New Roman"/>
          <w:i/>
          <w:iCs/>
          <w:sz w:val="24"/>
          <w:szCs w:val="24"/>
        </w:rPr>
        <w:t>dharma</w:t>
      </w:r>
      <w:r w:rsidRPr="00BE79A5">
        <w:rPr>
          <w:rFonts w:ascii="Times New Roman" w:hAnsi="Times New Roman" w:cs="Times New Roman"/>
          <w:sz w:val="24"/>
          <w:szCs w:val="24"/>
        </w:rPr>
        <w:t>, emphasizing the ruler’s moral responsibility to levy taxes in a manner that preserved economic vitality and social harmony. In contrast, contemporary Indian taxation operates within a constitutional democracy characterized by legal codification, federal fiscal arrangements, and technologically mediated compliance mechanisms. Despite these structural differences, both systems exhibit a shared concern with balancing revenue mobilization against broader socioeconomic objectives.</w:t>
      </w:r>
    </w:p>
    <w:p w14:paraId="01F16FC6"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One of the most notable areas of continuity lies in the principle of proportionality.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advocacy of moderate and differentiated tax rates based on occupation, productivity, and regional conditions mirrors modern doctrines of vertical equity and ability-to-pay that underpin income taxation and progressive rate structures. Although the instruments differ</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land revenue and trade levies in ancient times versus personal income tax and corporate taxation today</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the underlying logic of aligning tax burdens with economic capacity persists. This suggests that concerns regarding fairness and sustainability in revenue extraction are not exclusively modern innovations but were embedded in early Indian fiscal thought.</w:t>
      </w:r>
    </w:p>
    <w:p w14:paraId="2659AC30"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The analysis of revenue sources further highlights both adaptation and expansion over time.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enumerated a diverse fiscal base, including agricultural taxes, customs duties, fines, and state monopolies, reflecting an effort to diversify income streams and reduce reliance on any single sector. Modern India similarly relies on a multi-pronged tax structure combining direct and indirect taxes, with the Goods and Services Tax representing a major attempt to integrate fragmented markets and improve efficiency. However, contemporary taxation is distinguished by far greater scale, formalization, and integration into global economic systems, which necessitate sophisticated regulatory frameworks and enforcement technologies absent in ancient administrations.</w:t>
      </w:r>
    </w:p>
    <w:p w14:paraId="592F7C30"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Expenditure patterns described in classical texts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 xml:space="preserve">such as allocations for </w:t>
      </w:r>
      <w:r w:rsidRPr="00D5088A">
        <w:rPr>
          <w:rFonts w:ascii="Times New Roman" w:hAnsi="Times New Roman" w:cs="Times New Roman"/>
          <w:sz w:val="24"/>
          <w:szCs w:val="24"/>
        </w:rPr>
        <w:t>defence</w:t>
      </w:r>
      <w:r w:rsidRPr="00BE79A5">
        <w:rPr>
          <w:rFonts w:ascii="Times New Roman" w:hAnsi="Times New Roman" w:cs="Times New Roman"/>
          <w:sz w:val="24"/>
          <w:szCs w:val="24"/>
        </w:rPr>
        <w:t>, infrastructure, relief during calamities, and administrative maintenance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bear conceptual resemblance to present-day public spending priorities on national security, public works, welfare schemes, and bureaucratic apparatus. This continuity reinforces the view that fiscal systems have long served as instruments for stabilizing societies and fostering economic development. Nevertheless, modern public finance operates within a rights-based welfare state model and democratic accountability structures that differ markedly from monarchic governance, reshaping how expenditure decisions are legitimized and scrutinized.</w:t>
      </w:r>
    </w:p>
    <w:p w14:paraId="0DBC2A9D"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Ethical considerations constitute another important axis of comparison. Ancient prescriptions regarding humane collection practices, tax remissions during famine, and protection of cultivators resonate with current policy tools such as disaster relief packages, agricultural subsidies, and countercyclical fiscal measures. Yet, while classical texts grounded these measures in moral duty and royal benevolence, modern systems justify them through constitutional mandates, legislative oversight, and empirical economic analysis. The shift from normative moral reasoning to rule-based institutional frameworks </w:t>
      </w:r>
      <w:r w:rsidRPr="00D5088A">
        <w:rPr>
          <w:rFonts w:ascii="Times New Roman" w:hAnsi="Times New Roman" w:cs="Times New Roman"/>
          <w:sz w:val="24"/>
          <w:szCs w:val="24"/>
        </w:rPr>
        <w:t>underscore</w:t>
      </w:r>
      <w:r w:rsidRPr="00BE79A5">
        <w:rPr>
          <w:rFonts w:ascii="Times New Roman" w:hAnsi="Times New Roman" w:cs="Times New Roman"/>
          <w:sz w:val="24"/>
          <w:szCs w:val="24"/>
        </w:rPr>
        <w:t xml:space="preserve"> a fundamental transformation in the sources of fiscal authority, even as similar objectives endure.</w:t>
      </w:r>
    </w:p>
    <w:p w14:paraId="06BB6F1A"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lastRenderedPageBreak/>
        <w:t>The findings also illuminate key divergences that caution against overly romanticized interpretations of historical practices. Ancient taxation operated within relatively limited territorial jurisdictions, agrarian economies, and stratified social orders, which shaped both the scope and distributional consequences of fiscal policies. Contemporary India’s diverse industrial and service sectors, digital economy, and federal polity introduce complexities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such as interstate tax harmonization, international trade obligations, and data-driven compliance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that have no direct historical analogues. Consequently, while ancient principles may offer conceptual guidance, they cannot be transplanted wholesale into modern policy contexts.</w:t>
      </w:r>
    </w:p>
    <w:p w14:paraId="5FA1F669" w14:textId="77777777" w:rsid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From a policy perspective, the study suggests that revisiting classical fiscal philosophies can enrich present-day debates on transparency, moderation, and citizen trust in tax systems.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emphasis on predictable rates, administrative integrity, and accountability of tax officials parallels modern concerns about tax morale, compliance costs, and corruption. These insights reinforce calls for governance reforms that prioritize simplicity, fairness, and institutional credibility. At the same time, contemporary policymakers must adapt such ideas within constitutional and technological realities rather than treating them as prescriptive templates.</w:t>
      </w:r>
    </w:p>
    <w:p w14:paraId="6376FC4C" w14:textId="77777777"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 xml:space="preserve">An additional dimension emerging from the comparison concerns administrative rationality and information systems underlying taxation in both eras. </w:t>
      </w:r>
      <w:proofErr w:type="spellStart"/>
      <w:r w:rsidRPr="002E6199">
        <w:rPr>
          <w:rFonts w:ascii="Times New Roman" w:hAnsi="Times New Roman" w:cs="Times New Roman"/>
          <w:sz w:val="24"/>
          <w:szCs w:val="24"/>
        </w:rPr>
        <w:t>Kautilya</w:t>
      </w:r>
      <w:proofErr w:type="spellEnd"/>
      <w:r w:rsidRPr="002E6199">
        <w:rPr>
          <w:rFonts w:ascii="Times New Roman" w:hAnsi="Times New Roman" w:cs="Times New Roman"/>
          <w:sz w:val="24"/>
          <w:szCs w:val="24"/>
        </w:rPr>
        <w:t xml:space="preserve"> devoted considerable attention to record-keeping, auditing, and surveillance of revenue officials, prescribing detailed procedures for maintaining accounts, detecting embezzlement, and rotating officers to prevent collusion. These early mechanisms reflect a proto-bureaucratic consciousness oriented toward minimizing leakage and ensuring state solvency. In contemporary India, similar objectives are pursued through digitized databases, real-time transaction tracking, e-filing platforms, and analytics-driven enforcement under regimes such as GST Network and income-tax information systems. Although the technological infrastructures differ radically, the enduring emphasis on information asymmetry, compliance monitoring, and administrative transparency suggests a deep continuity in fiscal governance challenges.</w:t>
      </w:r>
    </w:p>
    <w:p w14:paraId="66B9EDDD" w14:textId="77777777"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Furthermore, the political economy of taxation reveals contrasting yet instructive dynamics. Ancient fiscal systems operated through hierarchical authority structures where compliance was enforced through royal sanction, while modern taxation relies on legislative legitimacy, judicial review, and electoral accountability. This transition has expanded the normative basis of taxation from ruler-subject relationships to citizen-state contracts, transforming taxation into both a fiscal instrument and a democratic obligation. Public consent, grievance-redressal mechanisms, and institutional checks now play central roles in shaping revenue policy, introducing participatory dimensions absent in monarchic systems.</w:t>
      </w:r>
      <w:r>
        <w:rPr>
          <w:rFonts w:ascii="Times New Roman" w:hAnsi="Times New Roman" w:cs="Times New Roman"/>
          <w:sz w:val="24"/>
          <w:szCs w:val="24"/>
        </w:rPr>
        <w:t xml:space="preserve"> </w:t>
      </w:r>
      <w:r w:rsidRPr="002E6199">
        <w:rPr>
          <w:rFonts w:ascii="Times New Roman" w:hAnsi="Times New Roman" w:cs="Times New Roman"/>
          <w:sz w:val="24"/>
          <w:szCs w:val="24"/>
        </w:rPr>
        <w:t>The comparative analysis thus highlights not only evolving fiscal instruments but also a transformation in governance logics</w:t>
      </w:r>
      <w:r>
        <w:rPr>
          <w:rFonts w:ascii="Times New Roman" w:hAnsi="Times New Roman" w:cs="Times New Roman"/>
          <w:sz w:val="24"/>
          <w:szCs w:val="24"/>
        </w:rPr>
        <w:t xml:space="preserve"> </w:t>
      </w:r>
      <w:r w:rsidRPr="002E6199">
        <w:rPr>
          <w:rFonts w:ascii="Times New Roman" w:hAnsi="Times New Roman" w:cs="Times New Roman"/>
          <w:sz w:val="24"/>
          <w:szCs w:val="24"/>
        </w:rPr>
        <w:t>from personalized authority to impersonal, rule-bound institutions</w:t>
      </w:r>
      <w:r>
        <w:rPr>
          <w:rFonts w:ascii="Times New Roman" w:hAnsi="Times New Roman" w:cs="Times New Roman"/>
          <w:sz w:val="24"/>
          <w:szCs w:val="24"/>
        </w:rPr>
        <w:t xml:space="preserve"> </w:t>
      </w:r>
      <w:r w:rsidRPr="002E6199">
        <w:rPr>
          <w:rFonts w:ascii="Times New Roman" w:hAnsi="Times New Roman" w:cs="Times New Roman"/>
          <w:sz w:val="24"/>
          <w:szCs w:val="24"/>
        </w:rPr>
        <w:t>underscoring the broader constitutionalizing of economic management in India.</w:t>
      </w:r>
    </w:p>
    <w:p w14:paraId="05E7139A" w14:textId="77777777"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Overall, the discussion underscores that India’s fiscal traditions reflect a long-standing engagement with questions of equity, efficiency, and social welfare. By juxtaposing ancient prescriptions with modern institutional arrangements, the study contributes to bridging historical scholarship and contemporary public finance research. It demonstrates that while the tools and contexts of taxation have evolved dramatically, many foundational concerns </w:t>
      </w:r>
      <w:r w:rsidRPr="00BE79A5">
        <w:rPr>
          <w:rFonts w:ascii="Times New Roman" w:hAnsi="Times New Roman" w:cs="Times New Roman"/>
          <w:sz w:val="24"/>
          <w:szCs w:val="24"/>
        </w:rPr>
        <w:lastRenderedPageBreak/>
        <w:t>remain remarkably persistent, offering fertile ground for further interdisciplinary inquiry into the historical roots of economic governance in India.</w:t>
      </w:r>
    </w:p>
    <w:p w14:paraId="0CE7A608" w14:textId="77777777" w:rsidR="00BE79A5" w:rsidRPr="00D5088A" w:rsidRDefault="00B72835" w:rsidP="00D5088A">
      <w:pPr>
        <w:jc w:val="both"/>
        <w:rPr>
          <w:rFonts w:ascii="Times New Roman" w:hAnsi="Times New Roman" w:cs="Times New Roman"/>
          <w:sz w:val="24"/>
          <w:szCs w:val="24"/>
        </w:rPr>
      </w:pPr>
      <w:r w:rsidRPr="00D5088A">
        <w:rPr>
          <w:rFonts w:ascii="Times New Roman" w:hAnsi="Times New Roman" w:cs="Times New Roman"/>
          <w:noProof/>
          <w:sz w:val="24"/>
          <w:szCs w:val="24"/>
        </w:rPr>
        <w:drawing>
          <wp:inline distT="0" distB="0" distL="0" distR="0" wp14:anchorId="7CC582F2" wp14:editId="403D85FC">
            <wp:extent cx="5731510" cy="3820795"/>
            <wp:effectExtent l="0" t="0" r="2540" b="8255"/>
            <wp:docPr id="72810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2DD94564" w14:textId="77777777" w:rsidR="00B72835" w:rsidRPr="00D5088A" w:rsidRDefault="003B68C6" w:rsidP="003B68C6">
      <w:pPr>
        <w:jc w:val="center"/>
        <w:rPr>
          <w:rFonts w:ascii="Times New Roman" w:hAnsi="Times New Roman" w:cs="Times New Roman"/>
          <w:i/>
          <w:iCs/>
          <w:sz w:val="24"/>
          <w:szCs w:val="24"/>
        </w:rPr>
      </w:pPr>
      <w:r w:rsidRPr="003B68C6">
        <w:rPr>
          <w:rFonts w:ascii="Times New Roman" w:hAnsi="Times New Roman" w:cs="Times New Roman"/>
          <w:b/>
          <w:bCs/>
          <w:i/>
          <w:iCs/>
          <w:sz w:val="24"/>
          <w:szCs w:val="24"/>
        </w:rPr>
        <w:t>Figure 1:</w:t>
      </w:r>
      <w:r>
        <w:rPr>
          <w:rFonts w:ascii="Times New Roman" w:hAnsi="Times New Roman" w:cs="Times New Roman"/>
          <w:i/>
          <w:iCs/>
          <w:sz w:val="24"/>
          <w:szCs w:val="24"/>
        </w:rPr>
        <w:t xml:space="preserve"> </w:t>
      </w:r>
      <w:r w:rsidR="00B72835" w:rsidRPr="00D5088A">
        <w:rPr>
          <w:rFonts w:ascii="Times New Roman" w:hAnsi="Times New Roman" w:cs="Times New Roman"/>
          <w:i/>
          <w:iCs/>
          <w:sz w:val="24"/>
          <w:szCs w:val="24"/>
        </w:rPr>
        <w:t>Conceptual Model Prepare by Researcher.</w:t>
      </w:r>
    </w:p>
    <w:p w14:paraId="0347E7EC" w14:textId="77777777" w:rsidR="00B72835" w:rsidRPr="00D5088A" w:rsidRDefault="00B72835" w:rsidP="00D5088A">
      <w:pPr>
        <w:jc w:val="both"/>
        <w:rPr>
          <w:rFonts w:ascii="Times New Roman" w:hAnsi="Times New Roman" w:cs="Times New Roman"/>
          <w:sz w:val="24"/>
          <w:szCs w:val="24"/>
        </w:rPr>
      </w:pPr>
    </w:p>
    <w:p w14:paraId="7898ECFF" w14:textId="77777777" w:rsidR="0082699D" w:rsidRPr="0082699D" w:rsidRDefault="00695811" w:rsidP="0082699D">
      <w:pPr>
        <w:jc w:val="both"/>
        <w:rPr>
          <w:rFonts w:ascii="Times New Roman" w:hAnsi="Times New Roman" w:cs="Times New Roman"/>
          <w:b/>
          <w:bCs/>
          <w:sz w:val="24"/>
          <w:szCs w:val="24"/>
        </w:rPr>
      </w:pPr>
      <w:r>
        <w:rPr>
          <w:rFonts w:ascii="Times New Roman" w:hAnsi="Times New Roman" w:cs="Times New Roman"/>
          <w:b/>
          <w:bCs/>
          <w:sz w:val="24"/>
          <w:szCs w:val="24"/>
        </w:rPr>
        <w:t>Discussion of f</w:t>
      </w:r>
      <w:r w:rsidR="0082699D" w:rsidRPr="0082699D">
        <w:rPr>
          <w:rFonts w:ascii="Times New Roman" w:hAnsi="Times New Roman" w:cs="Times New Roman"/>
          <w:b/>
          <w:bCs/>
          <w:sz w:val="24"/>
          <w:szCs w:val="24"/>
        </w:rPr>
        <w:t>indings</w:t>
      </w:r>
      <w:r w:rsidR="0082699D">
        <w:rPr>
          <w:rFonts w:ascii="Times New Roman" w:hAnsi="Times New Roman" w:cs="Times New Roman"/>
          <w:b/>
          <w:bCs/>
          <w:sz w:val="24"/>
          <w:szCs w:val="24"/>
        </w:rPr>
        <w:t>:</w:t>
      </w:r>
    </w:p>
    <w:p w14:paraId="1DC8EF8C" w14:textId="77777777" w:rsidR="0082699D" w:rsidRPr="0082699D" w:rsidRDefault="0082699D" w:rsidP="0082699D">
      <w:pPr>
        <w:jc w:val="both"/>
        <w:rPr>
          <w:rFonts w:ascii="Times New Roman" w:hAnsi="Times New Roman" w:cs="Times New Roman"/>
          <w:sz w:val="24"/>
          <w:szCs w:val="24"/>
        </w:rPr>
      </w:pPr>
      <w:r w:rsidRPr="0082699D">
        <w:rPr>
          <w:rFonts w:ascii="Times New Roman" w:hAnsi="Times New Roman" w:cs="Times New Roman"/>
          <w:sz w:val="24"/>
          <w:szCs w:val="24"/>
        </w:rPr>
        <w:t>The findings are organized according to the five analytical dimensions developed in the methodological framework. Each finding is explicitly grounded in documented textual and modern policy sources.</w:t>
      </w:r>
    </w:p>
    <w:p w14:paraId="409A9079" w14:textId="77777777" w:rsidR="0082699D" w:rsidRPr="0082699D" w:rsidRDefault="0082699D" w:rsidP="0082699D">
      <w:pPr>
        <w:jc w:val="both"/>
        <w:rPr>
          <w:rFonts w:ascii="Times New Roman" w:hAnsi="Times New Roman" w:cs="Times New Roman"/>
          <w:b/>
          <w:bCs/>
          <w:sz w:val="24"/>
          <w:szCs w:val="24"/>
        </w:rPr>
      </w:pPr>
      <w:r w:rsidRPr="0082699D">
        <w:rPr>
          <w:rFonts w:ascii="Times New Roman" w:hAnsi="Times New Roman" w:cs="Times New Roman"/>
          <w:b/>
          <w:bCs/>
          <w:sz w:val="24"/>
          <w:szCs w:val="24"/>
        </w:rPr>
        <w:t>Tax Structure and Proportionality</w:t>
      </w:r>
      <w:r>
        <w:rPr>
          <w:rFonts w:ascii="Times New Roman" w:hAnsi="Times New Roman" w:cs="Times New Roman"/>
          <w:b/>
          <w:bCs/>
          <w:sz w:val="24"/>
          <w:szCs w:val="24"/>
        </w:rPr>
        <w:t xml:space="preserve">: </w:t>
      </w:r>
      <w:r w:rsidRPr="0082699D">
        <w:rPr>
          <w:rFonts w:ascii="Times New Roman" w:hAnsi="Times New Roman" w:cs="Times New Roman"/>
          <w:sz w:val="24"/>
          <w:szCs w:val="24"/>
        </w:rPr>
        <w:t xml:space="preserve">Evidence from the </w:t>
      </w:r>
      <w:proofErr w:type="spellStart"/>
      <w:r w:rsidRPr="0082699D">
        <w:rPr>
          <w:rFonts w:ascii="Times New Roman" w:hAnsi="Times New Roman" w:cs="Times New Roman"/>
          <w:sz w:val="24"/>
          <w:szCs w:val="24"/>
        </w:rPr>
        <w:t>Arthashastra</w:t>
      </w:r>
      <w:proofErr w:type="spellEnd"/>
      <w:r w:rsidRPr="0082699D">
        <w:rPr>
          <w:rFonts w:ascii="Times New Roman" w:hAnsi="Times New Roman" w:cs="Times New Roman"/>
          <w:sz w:val="24"/>
          <w:szCs w:val="24"/>
        </w:rPr>
        <w:t xml:space="preserve"> (</w:t>
      </w:r>
      <w:proofErr w:type="spellStart"/>
      <w:r w:rsidRPr="0082699D">
        <w:rPr>
          <w:rFonts w:ascii="Times New Roman" w:hAnsi="Times New Roman" w:cs="Times New Roman"/>
          <w:sz w:val="24"/>
          <w:szCs w:val="24"/>
        </w:rPr>
        <w:t>Kangle</w:t>
      </w:r>
      <w:proofErr w:type="spellEnd"/>
      <w:r w:rsidRPr="0082699D">
        <w:rPr>
          <w:rFonts w:ascii="Times New Roman" w:hAnsi="Times New Roman" w:cs="Times New Roman"/>
          <w:sz w:val="24"/>
          <w:szCs w:val="24"/>
        </w:rPr>
        <w:t xml:space="preserve">, 1960; Rangarajan, 1992) demonstrates the use of differentiated tax rates based on occupation, productivity, and regional variation. The land revenue </w:t>
      </w:r>
      <w:proofErr w:type="gramStart"/>
      <w:r w:rsidRPr="0082699D">
        <w:rPr>
          <w:rFonts w:ascii="Times New Roman" w:hAnsi="Times New Roman" w:cs="Times New Roman"/>
          <w:sz w:val="24"/>
          <w:szCs w:val="24"/>
        </w:rPr>
        <w:t>share</w:t>
      </w:r>
      <w:proofErr w:type="gramEnd"/>
      <w:r w:rsidRPr="0082699D">
        <w:rPr>
          <w:rFonts w:ascii="Times New Roman" w:hAnsi="Times New Roman" w:cs="Times New Roman"/>
          <w:sz w:val="24"/>
          <w:szCs w:val="24"/>
        </w:rPr>
        <w:t xml:space="preserve"> commonly ranged around one-sixth of produce, reflecting proportional extraction aligned with productive capacity. Similarly, passages in the </w:t>
      </w:r>
      <w:proofErr w:type="spellStart"/>
      <w:r w:rsidRPr="0082699D">
        <w:rPr>
          <w:rFonts w:ascii="Times New Roman" w:hAnsi="Times New Roman" w:cs="Times New Roman"/>
          <w:sz w:val="24"/>
          <w:szCs w:val="24"/>
        </w:rPr>
        <w:t>Manusmriti</w:t>
      </w:r>
      <w:proofErr w:type="spellEnd"/>
      <w:r w:rsidRPr="0082699D">
        <w:rPr>
          <w:rFonts w:ascii="Times New Roman" w:hAnsi="Times New Roman" w:cs="Times New Roman"/>
          <w:sz w:val="24"/>
          <w:szCs w:val="24"/>
        </w:rPr>
        <w:t xml:space="preserve"> (</w:t>
      </w:r>
      <w:proofErr w:type="spellStart"/>
      <w:r w:rsidRPr="0082699D">
        <w:rPr>
          <w:rFonts w:ascii="Times New Roman" w:hAnsi="Times New Roman" w:cs="Times New Roman"/>
          <w:sz w:val="24"/>
          <w:szCs w:val="24"/>
        </w:rPr>
        <w:t>Olivelle</w:t>
      </w:r>
      <w:proofErr w:type="spellEnd"/>
      <w:r w:rsidRPr="0082699D">
        <w:rPr>
          <w:rFonts w:ascii="Times New Roman" w:hAnsi="Times New Roman" w:cs="Times New Roman"/>
          <w:sz w:val="24"/>
          <w:szCs w:val="24"/>
        </w:rPr>
        <w:t>, 2004) indicate graded taxation based on social and economic classification.</w:t>
      </w:r>
    </w:p>
    <w:p w14:paraId="04A537CB" w14:textId="77777777" w:rsidR="0082699D" w:rsidRPr="0082699D" w:rsidRDefault="0082699D" w:rsidP="0082699D">
      <w:pPr>
        <w:jc w:val="both"/>
        <w:rPr>
          <w:rFonts w:ascii="Times New Roman" w:hAnsi="Times New Roman" w:cs="Times New Roman"/>
          <w:sz w:val="24"/>
          <w:szCs w:val="24"/>
        </w:rPr>
      </w:pPr>
      <w:r w:rsidRPr="0082699D">
        <w:rPr>
          <w:rFonts w:ascii="Times New Roman" w:hAnsi="Times New Roman" w:cs="Times New Roman"/>
          <w:sz w:val="24"/>
          <w:szCs w:val="24"/>
        </w:rPr>
        <w:t>Modern Indian taxation, as codified under the Constitution and post-2017 GST reforms (Government of India, 2017), reflects vertical equity through progressive income taxation and harmonized indirect tax structures.</w:t>
      </w:r>
    </w:p>
    <w:p w14:paraId="515A254F" w14:textId="77777777" w:rsidR="0082699D" w:rsidRPr="0082699D" w:rsidRDefault="0082699D" w:rsidP="0082699D">
      <w:pPr>
        <w:jc w:val="both"/>
        <w:rPr>
          <w:rFonts w:ascii="Times New Roman" w:hAnsi="Times New Roman" w:cs="Times New Roman"/>
          <w:sz w:val="24"/>
          <w:szCs w:val="24"/>
        </w:rPr>
      </w:pPr>
      <w:r w:rsidRPr="0082699D">
        <w:rPr>
          <w:rFonts w:ascii="Times New Roman" w:hAnsi="Times New Roman" w:cs="Times New Roman"/>
          <w:b/>
          <w:bCs/>
          <w:sz w:val="24"/>
          <w:szCs w:val="24"/>
        </w:rPr>
        <w:t>Finding 1:</w:t>
      </w:r>
      <w:r w:rsidRPr="0082699D">
        <w:rPr>
          <w:rFonts w:ascii="Times New Roman" w:hAnsi="Times New Roman" w:cs="Times New Roman"/>
          <w:sz w:val="24"/>
          <w:szCs w:val="24"/>
        </w:rPr>
        <w:t xml:space="preserve"> Both systems exhibit proportional logic, though institutional mechanisms differ substantially.</w:t>
      </w:r>
    </w:p>
    <w:p w14:paraId="0A563B3E" w14:textId="77777777" w:rsidR="0082699D" w:rsidRPr="0082699D" w:rsidRDefault="0082699D" w:rsidP="0082699D">
      <w:pPr>
        <w:jc w:val="both"/>
        <w:rPr>
          <w:rFonts w:ascii="Times New Roman" w:hAnsi="Times New Roman" w:cs="Times New Roman"/>
          <w:b/>
          <w:bCs/>
          <w:sz w:val="24"/>
          <w:szCs w:val="24"/>
        </w:rPr>
      </w:pPr>
      <w:r w:rsidRPr="0082699D">
        <w:rPr>
          <w:rFonts w:ascii="Times New Roman" w:hAnsi="Times New Roman" w:cs="Times New Roman"/>
          <w:b/>
          <w:bCs/>
          <w:sz w:val="24"/>
          <w:szCs w:val="24"/>
        </w:rPr>
        <w:lastRenderedPageBreak/>
        <w:t>Diversification of Revenue Sources</w:t>
      </w:r>
      <w:r>
        <w:rPr>
          <w:rFonts w:ascii="Times New Roman" w:hAnsi="Times New Roman" w:cs="Times New Roman"/>
          <w:b/>
          <w:bCs/>
          <w:sz w:val="24"/>
          <w:szCs w:val="24"/>
        </w:rPr>
        <w:t xml:space="preserve">: </w:t>
      </w:r>
      <w:r w:rsidRPr="0082699D">
        <w:rPr>
          <w:rFonts w:ascii="Times New Roman" w:hAnsi="Times New Roman" w:cs="Times New Roman"/>
          <w:sz w:val="24"/>
          <w:szCs w:val="24"/>
        </w:rPr>
        <w:t xml:space="preserve">The </w:t>
      </w:r>
      <w:proofErr w:type="spellStart"/>
      <w:r w:rsidRPr="0082699D">
        <w:rPr>
          <w:rFonts w:ascii="Times New Roman" w:hAnsi="Times New Roman" w:cs="Times New Roman"/>
          <w:i/>
          <w:iCs/>
          <w:sz w:val="24"/>
          <w:szCs w:val="24"/>
        </w:rPr>
        <w:t>Arthashastra</w:t>
      </w:r>
      <w:proofErr w:type="spellEnd"/>
      <w:r w:rsidRPr="0082699D">
        <w:rPr>
          <w:rFonts w:ascii="Times New Roman" w:hAnsi="Times New Roman" w:cs="Times New Roman"/>
          <w:sz w:val="24"/>
          <w:szCs w:val="24"/>
        </w:rPr>
        <w:t xml:space="preserve"> details multiple revenue streams including agriculture, customs, fines, forest produce, mines, and state monopolies (Mukherjee, 1979). This diversified fiscal base reduced dependency on a single source.</w:t>
      </w:r>
    </w:p>
    <w:p w14:paraId="292B7073" w14:textId="77777777" w:rsidR="0082699D" w:rsidRPr="0082699D" w:rsidRDefault="0082699D" w:rsidP="0082699D">
      <w:pPr>
        <w:jc w:val="both"/>
        <w:rPr>
          <w:rFonts w:ascii="Times New Roman" w:hAnsi="Times New Roman" w:cs="Times New Roman"/>
          <w:sz w:val="24"/>
          <w:szCs w:val="24"/>
        </w:rPr>
      </w:pPr>
      <w:r w:rsidRPr="0082699D">
        <w:rPr>
          <w:rFonts w:ascii="Times New Roman" w:hAnsi="Times New Roman" w:cs="Times New Roman"/>
          <w:sz w:val="24"/>
          <w:szCs w:val="24"/>
        </w:rPr>
        <w:t>Modern India similarly employs diversified direct and indirect taxes, including corporate tax, personal income tax, customs duties, and GST (OECD, 2021; Rao, 2019).</w:t>
      </w:r>
    </w:p>
    <w:p w14:paraId="0285A4BA" w14:textId="77777777" w:rsidR="0082699D" w:rsidRPr="0082699D" w:rsidRDefault="0082699D" w:rsidP="0082699D">
      <w:pPr>
        <w:jc w:val="both"/>
        <w:rPr>
          <w:rFonts w:ascii="Times New Roman" w:hAnsi="Times New Roman" w:cs="Times New Roman"/>
          <w:sz w:val="24"/>
          <w:szCs w:val="24"/>
        </w:rPr>
      </w:pPr>
      <w:r w:rsidRPr="0082699D">
        <w:rPr>
          <w:rFonts w:ascii="Times New Roman" w:hAnsi="Times New Roman" w:cs="Times New Roman"/>
          <w:b/>
          <w:bCs/>
          <w:sz w:val="24"/>
          <w:szCs w:val="24"/>
        </w:rPr>
        <w:t>Finding 2:</w:t>
      </w:r>
      <w:r w:rsidRPr="0082699D">
        <w:rPr>
          <w:rFonts w:ascii="Times New Roman" w:hAnsi="Times New Roman" w:cs="Times New Roman"/>
          <w:sz w:val="24"/>
          <w:szCs w:val="24"/>
        </w:rPr>
        <w:t xml:space="preserve"> Revenue diversification is a persistent structural feature across ancient and modern fiscal systems.</w:t>
      </w:r>
    </w:p>
    <w:p w14:paraId="5C0D28D8" w14:textId="77777777" w:rsidR="00975B0F" w:rsidRPr="00975B0F" w:rsidRDefault="00975B0F" w:rsidP="00975B0F">
      <w:pPr>
        <w:jc w:val="both"/>
        <w:rPr>
          <w:rFonts w:ascii="Times New Roman" w:hAnsi="Times New Roman" w:cs="Times New Roman"/>
          <w:b/>
          <w:bCs/>
          <w:sz w:val="24"/>
          <w:szCs w:val="24"/>
        </w:rPr>
      </w:pPr>
      <w:r w:rsidRPr="00975B0F">
        <w:rPr>
          <w:rFonts w:ascii="Times New Roman" w:hAnsi="Times New Roman" w:cs="Times New Roman"/>
          <w:b/>
          <w:bCs/>
          <w:sz w:val="24"/>
          <w:szCs w:val="24"/>
        </w:rPr>
        <w:t>Welfare Orientation and Countercyclical Relief</w:t>
      </w:r>
      <w:r>
        <w:rPr>
          <w:rFonts w:ascii="Times New Roman" w:hAnsi="Times New Roman" w:cs="Times New Roman"/>
          <w:b/>
          <w:bCs/>
          <w:sz w:val="24"/>
          <w:szCs w:val="24"/>
        </w:rPr>
        <w:t xml:space="preserve">: </w:t>
      </w:r>
      <w:r w:rsidRPr="00975B0F">
        <w:rPr>
          <w:rFonts w:ascii="Times New Roman" w:hAnsi="Times New Roman" w:cs="Times New Roman"/>
          <w:sz w:val="24"/>
          <w:szCs w:val="24"/>
        </w:rPr>
        <w:t xml:space="preserve">Classical prescriptions in the </w:t>
      </w:r>
      <w:proofErr w:type="spellStart"/>
      <w:r w:rsidRPr="00975B0F">
        <w:rPr>
          <w:rFonts w:ascii="Times New Roman" w:hAnsi="Times New Roman" w:cs="Times New Roman"/>
          <w:i/>
          <w:iCs/>
          <w:sz w:val="24"/>
          <w:szCs w:val="24"/>
        </w:rPr>
        <w:t>Arthashastra</w:t>
      </w:r>
      <w:proofErr w:type="spellEnd"/>
      <w:r w:rsidRPr="00975B0F">
        <w:rPr>
          <w:rFonts w:ascii="Times New Roman" w:hAnsi="Times New Roman" w:cs="Times New Roman"/>
          <w:sz w:val="24"/>
          <w:szCs w:val="24"/>
        </w:rPr>
        <w:t xml:space="preserve"> advocate tax remissions during famine and support for cultivators during distress (</w:t>
      </w:r>
      <w:proofErr w:type="spellStart"/>
      <w:r w:rsidRPr="00975B0F">
        <w:rPr>
          <w:rFonts w:ascii="Times New Roman" w:hAnsi="Times New Roman" w:cs="Times New Roman"/>
          <w:sz w:val="24"/>
          <w:szCs w:val="24"/>
        </w:rPr>
        <w:t>Kangle</w:t>
      </w:r>
      <w:proofErr w:type="spellEnd"/>
      <w:r w:rsidRPr="00975B0F">
        <w:rPr>
          <w:rFonts w:ascii="Times New Roman" w:hAnsi="Times New Roman" w:cs="Times New Roman"/>
          <w:sz w:val="24"/>
          <w:szCs w:val="24"/>
        </w:rPr>
        <w:t>, 1960).</w:t>
      </w:r>
      <w:r>
        <w:rPr>
          <w:rFonts w:ascii="Times New Roman" w:hAnsi="Times New Roman" w:cs="Times New Roman"/>
          <w:sz w:val="24"/>
          <w:szCs w:val="24"/>
        </w:rPr>
        <w:t xml:space="preserve"> </w:t>
      </w:r>
      <w:r w:rsidRPr="00975B0F">
        <w:rPr>
          <w:rFonts w:ascii="Times New Roman" w:hAnsi="Times New Roman" w:cs="Times New Roman"/>
          <w:sz w:val="24"/>
          <w:szCs w:val="24"/>
        </w:rPr>
        <w:t>Contemporary India deploys fiscal stimulus, agricultural subsidies, and relief packages during crises (Mukherjee, 2020; Purohit, 2019).</w:t>
      </w:r>
    </w:p>
    <w:p w14:paraId="7FE4C5ED" w14:textId="77777777" w:rsidR="00975B0F" w:rsidRPr="00975B0F" w:rsidRDefault="00975B0F" w:rsidP="00975B0F">
      <w:pPr>
        <w:jc w:val="both"/>
        <w:rPr>
          <w:rFonts w:ascii="Times New Roman" w:hAnsi="Times New Roman" w:cs="Times New Roman"/>
          <w:sz w:val="24"/>
          <w:szCs w:val="24"/>
        </w:rPr>
      </w:pPr>
      <w:r w:rsidRPr="00975B0F">
        <w:rPr>
          <w:rFonts w:ascii="Times New Roman" w:hAnsi="Times New Roman" w:cs="Times New Roman"/>
          <w:b/>
          <w:bCs/>
          <w:sz w:val="24"/>
          <w:szCs w:val="24"/>
        </w:rPr>
        <w:t>Finding 3:</w:t>
      </w:r>
      <w:r w:rsidRPr="00975B0F">
        <w:rPr>
          <w:rFonts w:ascii="Times New Roman" w:hAnsi="Times New Roman" w:cs="Times New Roman"/>
          <w:sz w:val="24"/>
          <w:szCs w:val="24"/>
        </w:rPr>
        <w:t xml:space="preserve"> Crisis-responsive taxation reflects continuity in welfare-oriented fiscal governance.</w:t>
      </w:r>
    </w:p>
    <w:p w14:paraId="068A15AE" w14:textId="77777777" w:rsidR="006270C1" w:rsidRPr="006270C1" w:rsidRDefault="006270C1" w:rsidP="006270C1">
      <w:pPr>
        <w:jc w:val="both"/>
        <w:rPr>
          <w:rFonts w:ascii="Times New Roman" w:hAnsi="Times New Roman" w:cs="Times New Roman"/>
          <w:b/>
          <w:bCs/>
          <w:sz w:val="24"/>
          <w:szCs w:val="24"/>
        </w:rPr>
      </w:pPr>
      <w:r w:rsidRPr="006270C1">
        <w:rPr>
          <w:rFonts w:ascii="Times New Roman" w:hAnsi="Times New Roman" w:cs="Times New Roman"/>
          <w:b/>
          <w:bCs/>
          <w:sz w:val="24"/>
          <w:szCs w:val="24"/>
        </w:rPr>
        <w:t>Administrative Accountability</w:t>
      </w:r>
      <w:r>
        <w:rPr>
          <w:rFonts w:ascii="Times New Roman" w:hAnsi="Times New Roman" w:cs="Times New Roman"/>
          <w:b/>
          <w:bCs/>
          <w:sz w:val="24"/>
          <w:szCs w:val="24"/>
        </w:rPr>
        <w:t xml:space="preserve">: </w:t>
      </w:r>
      <w:proofErr w:type="spellStart"/>
      <w:r w:rsidRPr="006270C1">
        <w:rPr>
          <w:rFonts w:ascii="Times New Roman" w:hAnsi="Times New Roman" w:cs="Times New Roman"/>
          <w:sz w:val="24"/>
          <w:szCs w:val="24"/>
        </w:rPr>
        <w:t>Kautilya</w:t>
      </w:r>
      <w:proofErr w:type="spellEnd"/>
      <w:r w:rsidRPr="006270C1">
        <w:rPr>
          <w:rFonts w:ascii="Times New Roman" w:hAnsi="Times New Roman" w:cs="Times New Roman"/>
          <w:sz w:val="24"/>
          <w:szCs w:val="24"/>
        </w:rPr>
        <w:t xml:space="preserve"> prescribed auditing, rotation of officers, and penalties for corruption in revenue administration (</w:t>
      </w:r>
      <w:proofErr w:type="spellStart"/>
      <w:r w:rsidRPr="006270C1">
        <w:rPr>
          <w:rFonts w:ascii="Times New Roman" w:hAnsi="Times New Roman" w:cs="Times New Roman"/>
          <w:sz w:val="24"/>
          <w:szCs w:val="24"/>
        </w:rPr>
        <w:t>Kangle</w:t>
      </w:r>
      <w:proofErr w:type="spellEnd"/>
      <w:r w:rsidRPr="006270C1">
        <w:rPr>
          <w:rFonts w:ascii="Times New Roman" w:hAnsi="Times New Roman" w:cs="Times New Roman"/>
          <w:sz w:val="24"/>
          <w:szCs w:val="24"/>
        </w:rPr>
        <w:t>, 1960).</w:t>
      </w:r>
      <w:r>
        <w:rPr>
          <w:rFonts w:ascii="Times New Roman" w:hAnsi="Times New Roman" w:cs="Times New Roman"/>
          <w:sz w:val="24"/>
          <w:szCs w:val="24"/>
        </w:rPr>
        <w:t xml:space="preserve"> </w:t>
      </w:r>
      <w:r w:rsidRPr="006270C1">
        <w:rPr>
          <w:rFonts w:ascii="Times New Roman" w:hAnsi="Times New Roman" w:cs="Times New Roman"/>
          <w:sz w:val="24"/>
          <w:szCs w:val="24"/>
        </w:rPr>
        <w:t>Modern systems rely on digital compliance systems, GST Network, audit trails, and institutional oversight (Gupta &amp; Sengupta, 2021).</w:t>
      </w:r>
    </w:p>
    <w:p w14:paraId="7A6E5BFF" w14:textId="77777777" w:rsidR="006270C1" w:rsidRPr="006270C1" w:rsidRDefault="006270C1" w:rsidP="006270C1">
      <w:pPr>
        <w:jc w:val="both"/>
        <w:rPr>
          <w:rFonts w:ascii="Times New Roman" w:hAnsi="Times New Roman" w:cs="Times New Roman"/>
          <w:sz w:val="24"/>
          <w:szCs w:val="24"/>
        </w:rPr>
      </w:pPr>
      <w:r w:rsidRPr="006270C1">
        <w:rPr>
          <w:rFonts w:ascii="Times New Roman" w:hAnsi="Times New Roman" w:cs="Times New Roman"/>
          <w:b/>
          <w:bCs/>
          <w:sz w:val="24"/>
          <w:szCs w:val="24"/>
        </w:rPr>
        <w:t>Finding 4:</w:t>
      </w:r>
      <w:r w:rsidRPr="006270C1">
        <w:rPr>
          <w:rFonts w:ascii="Times New Roman" w:hAnsi="Times New Roman" w:cs="Times New Roman"/>
          <w:sz w:val="24"/>
          <w:szCs w:val="24"/>
        </w:rPr>
        <w:t xml:space="preserve"> Administrative vigilance and anti-corruption mechanisms remain central, though technologically transformed.</w:t>
      </w:r>
    </w:p>
    <w:p w14:paraId="76CC30C8" w14:textId="77777777" w:rsidR="009D2E09" w:rsidRPr="009D2E09" w:rsidRDefault="009D2E09" w:rsidP="009D2E09">
      <w:pPr>
        <w:jc w:val="both"/>
        <w:rPr>
          <w:rFonts w:ascii="Times New Roman" w:hAnsi="Times New Roman" w:cs="Times New Roman"/>
          <w:b/>
          <w:bCs/>
          <w:sz w:val="24"/>
          <w:szCs w:val="24"/>
        </w:rPr>
      </w:pPr>
      <w:r w:rsidRPr="009D2E09">
        <w:rPr>
          <w:rFonts w:ascii="Times New Roman" w:hAnsi="Times New Roman" w:cs="Times New Roman"/>
          <w:b/>
          <w:bCs/>
          <w:sz w:val="24"/>
          <w:szCs w:val="24"/>
        </w:rPr>
        <w:t>Ethical Foundations of Taxation</w:t>
      </w:r>
      <w:r>
        <w:rPr>
          <w:rFonts w:ascii="Times New Roman" w:hAnsi="Times New Roman" w:cs="Times New Roman"/>
          <w:b/>
          <w:bCs/>
          <w:sz w:val="24"/>
          <w:szCs w:val="24"/>
        </w:rPr>
        <w:t xml:space="preserve">: </w:t>
      </w:r>
      <w:r w:rsidRPr="009D2E09">
        <w:rPr>
          <w:rFonts w:ascii="Times New Roman" w:hAnsi="Times New Roman" w:cs="Times New Roman"/>
          <w:sz w:val="24"/>
          <w:szCs w:val="24"/>
        </w:rPr>
        <w:t>Ancient fiscal philosophy grounded taxation in dharma and moral obligation of rulers (</w:t>
      </w:r>
      <w:proofErr w:type="spellStart"/>
      <w:r w:rsidRPr="009D2E09">
        <w:rPr>
          <w:rFonts w:ascii="Times New Roman" w:hAnsi="Times New Roman" w:cs="Times New Roman"/>
          <w:sz w:val="24"/>
          <w:szCs w:val="24"/>
        </w:rPr>
        <w:t>Olivelle</w:t>
      </w:r>
      <w:proofErr w:type="spellEnd"/>
      <w:r w:rsidRPr="009D2E09">
        <w:rPr>
          <w:rFonts w:ascii="Times New Roman" w:hAnsi="Times New Roman" w:cs="Times New Roman"/>
          <w:sz w:val="24"/>
          <w:szCs w:val="24"/>
        </w:rPr>
        <w:t>, 2004).</w:t>
      </w:r>
      <w:r>
        <w:rPr>
          <w:rFonts w:ascii="Times New Roman" w:hAnsi="Times New Roman" w:cs="Times New Roman"/>
          <w:sz w:val="24"/>
          <w:szCs w:val="24"/>
        </w:rPr>
        <w:t xml:space="preserve"> </w:t>
      </w:r>
      <w:r w:rsidRPr="009D2E09">
        <w:rPr>
          <w:rFonts w:ascii="Times New Roman" w:hAnsi="Times New Roman" w:cs="Times New Roman"/>
          <w:sz w:val="24"/>
          <w:szCs w:val="24"/>
        </w:rPr>
        <w:t>Modern taxation derives legitimacy from constitutional authority, democratic accountability, and rule of law (Rao &amp; Rao, 2005).</w:t>
      </w:r>
    </w:p>
    <w:p w14:paraId="12785F45" w14:textId="77777777" w:rsidR="009D2E09" w:rsidRPr="009D2E09" w:rsidRDefault="009D2E09" w:rsidP="009D2E09">
      <w:pPr>
        <w:jc w:val="both"/>
        <w:rPr>
          <w:rFonts w:ascii="Times New Roman" w:hAnsi="Times New Roman" w:cs="Times New Roman"/>
          <w:sz w:val="24"/>
          <w:szCs w:val="24"/>
        </w:rPr>
      </w:pPr>
      <w:r w:rsidRPr="009D2E09">
        <w:rPr>
          <w:rFonts w:ascii="Times New Roman" w:hAnsi="Times New Roman" w:cs="Times New Roman"/>
          <w:b/>
          <w:bCs/>
          <w:sz w:val="24"/>
          <w:szCs w:val="24"/>
        </w:rPr>
        <w:t>Finding 5:</w:t>
      </w:r>
      <w:r w:rsidRPr="009D2E09">
        <w:rPr>
          <w:rFonts w:ascii="Times New Roman" w:hAnsi="Times New Roman" w:cs="Times New Roman"/>
          <w:sz w:val="24"/>
          <w:szCs w:val="24"/>
        </w:rPr>
        <w:t xml:space="preserve"> The source of fiscal legitimacy has shifted from moral monarchy to constitutional democracy, while the normative aim of fairness persists.</w:t>
      </w:r>
    </w:p>
    <w:p w14:paraId="2EEBA239" w14:textId="77777777" w:rsidR="0082699D" w:rsidRDefault="0082699D" w:rsidP="00D5088A">
      <w:pPr>
        <w:jc w:val="both"/>
        <w:rPr>
          <w:rFonts w:ascii="Times New Roman" w:hAnsi="Times New Roman" w:cs="Times New Roman"/>
          <w:b/>
          <w:bCs/>
          <w:sz w:val="24"/>
          <w:szCs w:val="24"/>
        </w:rPr>
      </w:pPr>
    </w:p>
    <w:p w14:paraId="20BB3B7A" w14:textId="77777777" w:rsidR="009C25EE" w:rsidRPr="009C25EE" w:rsidRDefault="009C25EE" w:rsidP="00D5088A">
      <w:pPr>
        <w:jc w:val="both"/>
        <w:rPr>
          <w:rFonts w:ascii="Times New Roman" w:hAnsi="Times New Roman" w:cs="Times New Roman"/>
          <w:b/>
          <w:bCs/>
          <w:sz w:val="24"/>
          <w:szCs w:val="24"/>
        </w:rPr>
      </w:pPr>
      <w:r w:rsidRPr="009C25EE">
        <w:rPr>
          <w:rFonts w:ascii="Times New Roman" w:hAnsi="Times New Roman" w:cs="Times New Roman"/>
          <w:b/>
          <w:bCs/>
          <w:sz w:val="24"/>
          <w:szCs w:val="24"/>
        </w:rPr>
        <w:t>Implications</w:t>
      </w:r>
      <w:r w:rsidR="00CF01ED">
        <w:rPr>
          <w:rFonts w:ascii="Times New Roman" w:hAnsi="Times New Roman" w:cs="Times New Roman"/>
          <w:b/>
          <w:bCs/>
          <w:sz w:val="24"/>
          <w:szCs w:val="24"/>
        </w:rPr>
        <w:t>:</w:t>
      </w:r>
    </w:p>
    <w:p w14:paraId="49E577D5"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Repositioning Ancient Indian Fiscal Thought within Contemporary Public Finance Discourse</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 xml:space="preserve">The study demonstrates that classical Indian texts such as the </w:t>
      </w:r>
      <w:proofErr w:type="spellStart"/>
      <w:r w:rsidRPr="009C25EE">
        <w:rPr>
          <w:rFonts w:ascii="Times New Roman" w:hAnsi="Times New Roman" w:cs="Times New Roman"/>
          <w:i/>
          <w:iCs/>
          <w:sz w:val="24"/>
          <w:szCs w:val="24"/>
        </w:rPr>
        <w:t>Arthashastra</w:t>
      </w:r>
      <w:proofErr w:type="spellEnd"/>
      <w:r w:rsidRPr="009C25EE">
        <w:rPr>
          <w:rFonts w:ascii="Times New Roman" w:hAnsi="Times New Roman" w:cs="Times New Roman"/>
          <w:sz w:val="24"/>
          <w:szCs w:val="24"/>
        </w:rPr>
        <w:t xml:space="preserve"> and </w:t>
      </w:r>
      <w:proofErr w:type="spellStart"/>
      <w:r w:rsidRPr="009C25EE">
        <w:rPr>
          <w:rFonts w:ascii="Times New Roman" w:hAnsi="Times New Roman" w:cs="Times New Roman"/>
          <w:i/>
          <w:iCs/>
          <w:sz w:val="24"/>
          <w:szCs w:val="24"/>
        </w:rPr>
        <w:t>Manusmriti</w:t>
      </w:r>
      <w:proofErr w:type="spellEnd"/>
      <w:r w:rsidRPr="009C25EE">
        <w:rPr>
          <w:rFonts w:ascii="Times New Roman" w:hAnsi="Times New Roman" w:cs="Times New Roman"/>
          <w:sz w:val="24"/>
          <w:szCs w:val="24"/>
        </w:rPr>
        <w:t xml:space="preserve"> contain systematic fiscal reasoning that aligns closely with modern public finance principles, including equity, efficiency, welfare orientation, and sustainability. By analytically linking these ancient prescriptions with contemporary taxation frameworks, the research broadens theoretical debates in economic governance and challenges the perception that sophisticated tax theory is exclusively a modern development. This repositioning encourages scholars to incorporate Indian Knowledge Systems into mainstream fiscal theory, enriching global comparative public finance literature and opening new avenues for interdisciplinary inquiry.</w:t>
      </w:r>
    </w:p>
    <w:p w14:paraId="03330F48"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Strengthening Ethical and Governance-Oriented Approaches to Tax Administration</w:t>
      </w:r>
      <w:r w:rsidR="00CF01ED" w:rsidRPr="00504DBB">
        <w:rPr>
          <w:rFonts w:ascii="Times New Roman" w:hAnsi="Times New Roman" w:cs="Times New Roman"/>
          <w:sz w:val="24"/>
          <w:szCs w:val="24"/>
        </w:rPr>
        <w:t>:</w:t>
      </w:r>
      <w:r w:rsidR="00CF01ED">
        <w:rPr>
          <w:rFonts w:ascii="Times New Roman" w:hAnsi="Times New Roman" w:cs="Times New Roman"/>
          <w:b/>
          <w:bCs/>
          <w:sz w:val="24"/>
          <w:szCs w:val="24"/>
        </w:rPr>
        <w:t xml:space="preserve"> </w:t>
      </w:r>
      <w:r w:rsidRPr="009C25EE">
        <w:rPr>
          <w:rFonts w:ascii="Times New Roman" w:hAnsi="Times New Roman" w:cs="Times New Roman"/>
          <w:sz w:val="24"/>
          <w:szCs w:val="24"/>
        </w:rPr>
        <w:t>The emphasis placed in ancient sources on humane collection practices, administrative accountability, and moral responsibility of rulers offers valuable conceptual guidance for present-day governance reforms. When translated into contemporary institutional contexts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lastRenderedPageBreak/>
        <w:t>through transparency initiatives, service-oriented tax administration, and digital compliance platforms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t>these ethical principles can enhance taxpayer trust and voluntary compliance. The research thus highlights how historically grounded governance philosophies may complement legal and technological mechanisms in improving the legitimacy and effectiveness of modern revenue systems.</w:t>
      </w:r>
    </w:p>
    <w:p w14:paraId="58DDFC05"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Informing Policy Design for Sustainable and Inclusive Tax Systems</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The comparative findings underscore the enduring relevance of moderation in tax rates, diversification of revenue sources, and responsiveness to economic conditions, such as tax relief during crises. These insights can inform present policy debates on designing resilient tax regimes capable of supporting growth while protecting vulnerable populations. By situating current reforms within a longer historical continuum, the study provides policymakers with a broader perspective on sustainability and inclusiveness in public finance, emphasizing that adaptive and welfare-oriented fiscal strategies have deep intellectual roots.</w:t>
      </w:r>
    </w:p>
    <w:p w14:paraId="571A34DE" w14:textId="77777777"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Advancing Comparative Methodologies in Fiscal and Governance Research</w:t>
      </w:r>
      <w:r w:rsidR="00CF01ED" w:rsidRPr="00504DBB">
        <w:rPr>
          <w:rFonts w:ascii="Times New Roman" w:hAnsi="Times New Roman" w:cs="Times New Roman"/>
          <w:sz w:val="24"/>
          <w:szCs w:val="24"/>
        </w:rPr>
        <w:t>:</w:t>
      </w:r>
      <w:r w:rsidR="00504DBB">
        <w:rPr>
          <w:rFonts w:ascii="Times New Roman" w:hAnsi="Times New Roman" w:cs="Times New Roman"/>
          <w:sz w:val="24"/>
          <w:szCs w:val="24"/>
        </w:rPr>
        <w:t xml:space="preserve"> </w:t>
      </w:r>
      <w:r w:rsidRPr="009C25EE">
        <w:rPr>
          <w:rFonts w:ascii="Times New Roman" w:hAnsi="Times New Roman" w:cs="Times New Roman"/>
          <w:sz w:val="24"/>
          <w:szCs w:val="24"/>
        </w:rPr>
        <w:t>Methodologically, the research illustrates the value of systematic historical–contemporary comparison for understanding institutional evolution and policy innovation. The conceptual framework developed in this study offers a transferable model for examining how normative philosophies interact with administrative structures across time and political systems. This approach can be extended to other regions or historical traditions, thereby contributing to the refinement of comparative economic history and governance studies while encouraging future empirical and conceptual research at the intersection of tradition and modernity.</w:t>
      </w:r>
    </w:p>
    <w:p w14:paraId="236B0C74" w14:textId="77777777" w:rsidR="00993AA3" w:rsidRPr="00993AA3" w:rsidRDefault="00993AA3" w:rsidP="00993AA3">
      <w:pPr>
        <w:jc w:val="both"/>
        <w:rPr>
          <w:rFonts w:ascii="Times New Roman" w:hAnsi="Times New Roman" w:cs="Times New Roman"/>
          <w:b/>
          <w:bCs/>
          <w:sz w:val="24"/>
          <w:szCs w:val="24"/>
        </w:rPr>
      </w:pPr>
      <w:r w:rsidRPr="00993AA3">
        <w:rPr>
          <w:rFonts w:ascii="Times New Roman" w:hAnsi="Times New Roman" w:cs="Times New Roman"/>
          <w:b/>
          <w:bCs/>
          <w:sz w:val="24"/>
          <w:szCs w:val="24"/>
        </w:rPr>
        <w:t>Policy Recommendations</w:t>
      </w:r>
      <w:r>
        <w:rPr>
          <w:rFonts w:ascii="Times New Roman" w:hAnsi="Times New Roman" w:cs="Times New Roman"/>
          <w:b/>
          <w:bCs/>
          <w:sz w:val="24"/>
          <w:szCs w:val="24"/>
        </w:rPr>
        <w:t>:</w:t>
      </w:r>
    </w:p>
    <w:p w14:paraId="5CC995E1" w14:textId="77777777" w:rsidR="00993AA3" w:rsidRPr="00993AA3" w:rsidRDefault="00993AA3" w:rsidP="00993AA3">
      <w:pPr>
        <w:jc w:val="both"/>
        <w:rPr>
          <w:rFonts w:ascii="Times New Roman" w:hAnsi="Times New Roman" w:cs="Times New Roman"/>
          <w:b/>
          <w:bCs/>
          <w:sz w:val="24"/>
          <w:szCs w:val="24"/>
        </w:rPr>
      </w:pPr>
      <w:r w:rsidRPr="00993AA3">
        <w:rPr>
          <w:rFonts w:ascii="Times New Roman" w:hAnsi="Times New Roman" w:cs="Times New Roman"/>
          <w:b/>
          <w:bCs/>
          <w:sz w:val="24"/>
          <w:szCs w:val="24"/>
        </w:rPr>
        <w:t>Institutionalising Predictability</w:t>
      </w:r>
      <w:r>
        <w:rPr>
          <w:rFonts w:ascii="Times New Roman" w:hAnsi="Times New Roman" w:cs="Times New Roman"/>
          <w:b/>
          <w:bCs/>
          <w:sz w:val="24"/>
          <w:szCs w:val="24"/>
        </w:rPr>
        <w:t xml:space="preserve">: </w:t>
      </w:r>
      <w:r w:rsidRPr="00993AA3">
        <w:rPr>
          <w:rFonts w:ascii="Times New Roman" w:hAnsi="Times New Roman" w:cs="Times New Roman"/>
          <w:sz w:val="24"/>
          <w:szCs w:val="24"/>
        </w:rPr>
        <w:t xml:space="preserve">Drawing inspiration from the stability advocated in the </w:t>
      </w:r>
      <w:proofErr w:type="spellStart"/>
      <w:r w:rsidRPr="00993AA3">
        <w:rPr>
          <w:rFonts w:ascii="Times New Roman" w:hAnsi="Times New Roman" w:cs="Times New Roman"/>
          <w:sz w:val="24"/>
          <w:szCs w:val="24"/>
        </w:rPr>
        <w:t>Arthashastra</w:t>
      </w:r>
      <w:proofErr w:type="spellEnd"/>
      <w:r w:rsidRPr="00993AA3">
        <w:rPr>
          <w:rFonts w:ascii="Times New Roman" w:hAnsi="Times New Roman" w:cs="Times New Roman"/>
          <w:sz w:val="24"/>
          <w:szCs w:val="24"/>
        </w:rPr>
        <w:t>, modern tax regimes should minimise frequent rate revisions and retrospective amendments. Predictable tax policies reduce uncertainty for businesses, improve long-term investment planning, and enhance voluntary compliance. Clear legislative drafting and advance tax rulings can further strengthen credibility. Stability in taxation fosters economic confidence and strengthens fiscal legitimacy.</w:t>
      </w:r>
    </w:p>
    <w:p w14:paraId="3C87CD7A" w14:textId="77777777" w:rsidR="00993AA3" w:rsidRPr="00993AA3" w:rsidRDefault="00993AA3" w:rsidP="00993AA3">
      <w:pPr>
        <w:jc w:val="both"/>
        <w:rPr>
          <w:rFonts w:ascii="Times New Roman" w:hAnsi="Times New Roman" w:cs="Times New Roman"/>
          <w:b/>
          <w:bCs/>
          <w:sz w:val="24"/>
          <w:szCs w:val="24"/>
        </w:rPr>
      </w:pPr>
      <w:r w:rsidRPr="00993AA3">
        <w:rPr>
          <w:rFonts w:ascii="Times New Roman" w:hAnsi="Times New Roman" w:cs="Times New Roman"/>
          <w:b/>
          <w:bCs/>
          <w:sz w:val="24"/>
          <w:szCs w:val="24"/>
        </w:rPr>
        <w:t>Strengthening Ethical Governance</w:t>
      </w:r>
      <w:r>
        <w:rPr>
          <w:rFonts w:ascii="Times New Roman" w:hAnsi="Times New Roman" w:cs="Times New Roman"/>
          <w:b/>
          <w:bCs/>
          <w:sz w:val="24"/>
          <w:szCs w:val="24"/>
        </w:rPr>
        <w:t xml:space="preserve">: </w:t>
      </w:r>
      <w:r w:rsidRPr="00993AA3">
        <w:rPr>
          <w:rFonts w:ascii="Times New Roman" w:hAnsi="Times New Roman" w:cs="Times New Roman"/>
          <w:sz w:val="24"/>
          <w:szCs w:val="24"/>
        </w:rPr>
        <w:t>Ancient fiscal philosophy emphasised humane collection and administrative integrity; similarly, modern systems should prioritise taxpayer-centric service delivery. Transparent grievance redressal mechanisms, time-bound dispute resolution, and accountability frameworks can increase trust in revenue authorities. Digital interfaces must be complemented by ethical conduct standards for officials. Ethical governance enhances tax morale and reduces adversarial state–citizen relations.</w:t>
      </w:r>
    </w:p>
    <w:p w14:paraId="40E29B02" w14:textId="77777777" w:rsidR="00993AA3" w:rsidRPr="00993AA3" w:rsidRDefault="00993AA3" w:rsidP="00993AA3">
      <w:pPr>
        <w:jc w:val="both"/>
        <w:rPr>
          <w:rFonts w:ascii="Times New Roman" w:hAnsi="Times New Roman" w:cs="Times New Roman"/>
          <w:b/>
          <w:bCs/>
          <w:sz w:val="24"/>
          <w:szCs w:val="24"/>
        </w:rPr>
      </w:pPr>
      <w:r w:rsidRPr="00993AA3">
        <w:rPr>
          <w:rFonts w:ascii="Times New Roman" w:hAnsi="Times New Roman" w:cs="Times New Roman"/>
          <w:b/>
          <w:bCs/>
          <w:sz w:val="24"/>
          <w:szCs w:val="24"/>
        </w:rPr>
        <w:t xml:space="preserve"> Diversified Revenue Strategy</w:t>
      </w:r>
      <w:r>
        <w:rPr>
          <w:rFonts w:ascii="Times New Roman" w:hAnsi="Times New Roman" w:cs="Times New Roman"/>
          <w:b/>
          <w:bCs/>
          <w:sz w:val="24"/>
          <w:szCs w:val="24"/>
        </w:rPr>
        <w:t xml:space="preserve">: </w:t>
      </w:r>
      <w:proofErr w:type="spellStart"/>
      <w:r w:rsidRPr="00993AA3">
        <w:rPr>
          <w:rFonts w:ascii="Times New Roman" w:hAnsi="Times New Roman" w:cs="Times New Roman"/>
          <w:sz w:val="24"/>
          <w:szCs w:val="24"/>
        </w:rPr>
        <w:t>Kautilya’s</w:t>
      </w:r>
      <w:proofErr w:type="spellEnd"/>
      <w:r w:rsidRPr="00993AA3">
        <w:rPr>
          <w:rFonts w:ascii="Times New Roman" w:hAnsi="Times New Roman" w:cs="Times New Roman"/>
          <w:sz w:val="24"/>
          <w:szCs w:val="24"/>
        </w:rPr>
        <w:t xml:space="preserve"> diversified revenue base highlights the importance of reducing overdependence on a single sector. Contemporary fiscal systems should balance direct and indirect taxation while exploring emerging domains such as digital economy taxation and environmental levies. Diversification mitigates vulnerability to cyclical downturns in specific industries. A broader base enhances fiscal resilience and long-term sustainability.</w:t>
      </w:r>
    </w:p>
    <w:p w14:paraId="506185D3" w14:textId="77777777" w:rsidR="00993AA3" w:rsidRPr="00993AA3" w:rsidRDefault="00993AA3" w:rsidP="00993AA3">
      <w:pPr>
        <w:jc w:val="both"/>
        <w:rPr>
          <w:rFonts w:ascii="Times New Roman" w:hAnsi="Times New Roman" w:cs="Times New Roman"/>
          <w:b/>
          <w:bCs/>
          <w:sz w:val="24"/>
          <w:szCs w:val="24"/>
        </w:rPr>
      </w:pPr>
      <w:r w:rsidRPr="00993AA3">
        <w:rPr>
          <w:rFonts w:ascii="Times New Roman" w:hAnsi="Times New Roman" w:cs="Times New Roman"/>
          <w:b/>
          <w:bCs/>
          <w:sz w:val="24"/>
          <w:szCs w:val="24"/>
        </w:rPr>
        <w:t xml:space="preserve"> Crisis-Responsive Fiscal Mechanisms</w:t>
      </w:r>
      <w:r>
        <w:rPr>
          <w:rFonts w:ascii="Times New Roman" w:hAnsi="Times New Roman" w:cs="Times New Roman"/>
          <w:b/>
          <w:bCs/>
          <w:sz w:val="24"/>
          <w:szCs w:val="24"/>
        </w:rPr>
        <w:t xml:space="preserve">: </w:t>
      </w:r>
      <w:r w:rsidRPr="00993AA3">
        <w:rPr>
          <w:rFonts w:ascii="Times New Roman" w:hAnsi="Times New Roman" w:cs="Times New Roman"/>
          <w:sz w:val="24"/>
          <w:szCs w:val="24"/>
        </w:rPr>
        <w:t>The remission principles found in classical texts suggest flexibility during economic distress. Modern governments should institutionalise automatic stabilisers</w:t>
      </w:r>
      <w:r>
        <w:rPr>
          <w:rFonts w:ascii="Times New Roman" w:hAnsi="Times New Roman" w:cs="Times New Roman"/>
          <w:sz w:val="24"/>
          <w:szCs w:val="24"/>
        </w:rPr>
        <w:t xml:space="preserve"> </w:t>
      </w:r>
      <w:r w:rsidRPr="00993AA3">
        <w:rPr>
          <w:rFonts w:ascii="Times New Roman" w:hAnsi="Times New Roman" w:cs="Times New Roman"/>
          <w:sz w:val="24"/>
          <w:szCs w:val="24"/>
        </w:rPr>
        <w:t>such as temporary tax reliefs, deferred payments, or targeted subsidies</w:t>
      </w:r>
      <w:r>
        <w:rPr>
          <w:rFonts w:ascii="Times New Roman" w:hAnsi="Times New Roman" w:cs="Times New Roman"/>
          <w:sz w:val="24"/>
          <w:szCs w:val="24"/>
        </w:rPr>
        <w:t xml:space="preserve"> </w:t>
      </w:r>
      <w:r w:rsidRPr="00993AA3">
        <w:rPr>
          <w:rFonts w:ascii="Times New Roman" w:hAnsi="Times New Roman" w:cs="Times New Roman"/>
          <w:sz w:val="24"/>
          <w:szCs w:val="24"/>
        </w:rPr>
        <w:lastRenderedPageBreak/>
        <w:t>that activate during downturns. Embedding such mechanisms within fiscal rules ensures timely intervention without ad hoc policymaking. Responsive taxation safeguards livelihoods while maintaining macroeconomic stability.</w:t>
      </w:r>
    </w:p>
    <w:p w14:paraId="4857D149" w14:textId="77777777" w:rsidR="00B72835" w:rsidRDefault="00C6081F" w:rsidP="00D5088A">
      <w:pPr>
        <w:jc w:val="both"/>
        <w:rPr>
          <w:rFonts w:ascii="Times New Roman" w:hAnsi="Times New Roman" w:cs="Times New Roman"/>
          <w:b/>
          <w:bCs/>
          <w:sz w:val="24"/>
          <w:szCs w:val="24"/>
        </w:rPr>
      </w:pPr>
      <w:r w:rsidRPr="00C6081F">
        <w:rPr>
          <w:rFonts w:ascii="Times New Roman" w:hAnsi="Times New Roman" w:cs="Times New Roman"/>
          <w:b/>
          <w:bCs/>
          <w:sz w:val="24"/>
          <w:szCs w:val="24"/>
        </w:rPr>
        <w:t>Future Research Directions:</w:t>
      </w:r>
    </w:p>
    <w:p w14:paraId="6C04AAFE" w14:textId="77777777" w:rsidR="00C6081F" w:rsidRDefault="00C6081F" w:rsidP="00D5088A">
      <w:pPr>
        <w:jc w:val="both"/>
        <w:rPr>
          <w:rFonts w:ascii="Times New Roman" w:hAnsi="Times New Roman" w:cs="Times New Roman"/>
          <w:sz w:val="24"/>
          <w:szCs w:val="24"/>
        </w:rPr>
      </w:pPr>
      <w:r w:rsidRPr="00C6081F">
        <w:rPr>
          <w:rFonts w:ascii="Times New Roman" w:hAnsi="Times New Roman" w:cs="Times New Roman"/>
          <w:b/>
          <w:bCs/>
          <w:sz w:val="24"/>
          <w:szCs w:val="24"/>
        </w:rPr>
        <w:t>Empirical Testing of Tax Morale</w:t>
      </w:r>
      <w:r>
        <w:rPr>
          <w:rFonts w:ascii="Times New Roman" w:hAnsi="Times New Roman" w:cs="Times New Roman"/>
          <w:b/>
          <w:bCs/>
          <w:sz w:val="24"/>
          <w:szCs w:val="24"/>
        </w:rPr>
        <w:t xml:space="preserve">: </w:t>
      </w:r>
      <w:r w:rsidRPr="00C6081F">
        <w:rPr>
          <w:rFonts w:ascii="Times New Roman" w:hAnsi="Times New Roman" w:cs="Times New Roman"/>
          <w:sz w:val="24"/>
          <w:szCs w:val="24"/>
        </w:rPr>
        <w:t xml:space="preserve">Future quantitative studies may investigate whether references to ethical principles found in the </w:t>
      </w:r>
      <w:proofErr w:type="spellStart"/>
      <w:r w:rsidRPr="00C6081F">
        <w:rPr>
          <w:rFonts w:ascii="Times New Roman" w:hAnsi="Times New Roman" w:cs="Times New Roman"/>
          <w:i/>
          <w:iCs/>
          <w:sz w:val="24"/>
          <w:szCs w:val="24"/>
        </w:rPr>
        <w:t>Arthashastra</w:t>
      </w:r>
      <w:proofErr w:type="spellEnd"/>
      <w:r w:rsidRPr="00C6081F">
        <w:rPr>
          <w:rFonts w:ascii="Times New Roman" w:hAnsi="Times New Roman" w:cs="Times New Roman"/>
          <w:sz w:val="24"/>
          <w:szCs w:val="24"/>
        </w:rPr>
        <w:t xml:space="preserve"> and </w:t>
      </w:r>
      <w:proofErr w:type="spellStart"/>
      <w:r w:rsidRPr="00C6081F">
        <w:rPr>
          <w:rFonts w:ascii="Times New Roman" w:hAnsi="Times New Roman" w:cs="Times New Roman"/>
          <w:i/>
          <w:iCs/>
          <w:sz w:val="24"/>
          <w:szCs w:val="24"/>
        </w:rPr>
        <w:t>Manusmriti</w:t>
      </w:r>
      <w:proofErr w:type="spellEnd"/>
      <w:r w:rsidRPr="00C6081F">
        <w:rPr>
          <w:rFonts w:ascii="Times New Roman" w:hAnsi="Times New Roman" w:cs="Times New Roman"/>
          <w:i/>
          <w:iCs/>
          <w:sz w:val="24"/>
          <w:szCs w:val="24"/>
        </w:rPr>
        <w:t xml:space="preserve"> </w:t>
      </w:r>
      <w:r w:rsidRPr="00C6081F">
        <w:rPr>
          <w:rFonts w:ascii="Times New Roman" w:hAnsi="Times New Roman" w:cs="Times New Roman"/>
          <w:sz w:val="24"/>
          <w:szCs w:val="24"/>
        </w:rPr>
        <w:t>influence contemporary taxpayer attitudes and compliance behaviour in India. Survey-based or experimental designs could measure the relationship between cultural-historical awareness and voluntary tax compliance.</w:t>
      </w:r>
    </w:p>
    <w:p w14:paraId="0A20CB70" w14:textId="77777777" w:rsidR="00C6081F" w:rsidRDefault="00C6081F" w:rsidP="00D5088A">
      <w:pPr>
        <w:jc w:val="both"/>
        <w:rPr>
          <w:rFonts w:ascii="Times New Roman" w:hAnsi="Times New Roman" w:cs="Times New Roman"/>
          <w:sz w:val="24"/>
          <w:szCs w:val="24"/>
        </w:rPr>
      </w:pPr>
      <w:r w:rsidRPr="00C6081F">
        <w:rPr>
          <w:rFonts w:ascii="Times New Roman" w:hAnsi="Times New Roman" w:cs="Times New Roman"/>
          <w:b/>
          <w:bCs/>
          <w:sz w:val="24"/>
          <w:szCs w:val="24"/>
        </w:rPr>
        <w:t xml:space="preserve">Comparative </w:t>
      </w:r>
      <w:proofErr w:type="spellStart"/>
      <w:r w:rsidRPr="00C6081F">
        <w:rPr>
          <w:rFonts w:ascii="Times New Roman" w:hAnsi="Times New Roman" w:cs="Times New Roman"/>
          <w:b/>
          <w:bCs/>
          <w:sz w:val="24"/>
          <w:szCs w:val="24"/>
        </w:rPr>
        <w:t>Civilisational</w:t>
      </w:r>
      <w:proofErr w:type="spellEnd"/>
      <w:r w:rsidRPr="00C6081F">
        <w:rPr>
          <w:rFonts w:ascii="Times New Roman" w:hAnsi="Times New Roman" w:cs="Times New Roman"/>
          <w:b/>
          <w:bCs/>
          <w:sz w:val="24"/>
          <w:szCs w:val="24"/>
        </w:rPr>
        <w:t xml:space="preserve"> Analysis</w:t>
      </w:r>
      <w:r>
        <w:rPr>
          <w:rFonts w:ascii="Times New Roman" w:hAnsi="Times New Roman" w:cs="Times New Roman"/>
          <w:b/>
          <w:bCs/>
          <w:sz w:val="24"/>
          <w:szCs w:val="24"/>
        </w:rPr>
        <w:t xml:space="preserve">: </w:t>
      </w:r>
      <w:r w:rsidRPr="00C6081F">
        <w:rPr>
          <w:rFonts w:ascii="Times New Roman" w:hAnsi="Times New Roman" w:cs="Times New Roman"/>
          <w:sz w:val="24"/>
          <w:szCs w:val="24"/>
        </w:rPr>
        <w:t xml:space="preserve">The analytical framework developed in this study can be extended to other </w:t>
      </w:r>
      <w:proofErr w:type="spellStart"/>
      <w:r w:rsidRPr="00C6081F">
        <w:rPr>
          <w:rFonts w:ascii="Times New Roman" w:hAnsi="Times New Roman" w:cs="Times New Roman"/>
          <w:sz w:val="24"/>
          <w:szCs w:val="24"/>
        </w:rPr>
        <w:t>civilisational</w:t>
      </w:r>
      <w:proofErr w:type="spellEnd"/>
      <w:r w:rsidRPr="00C6081F">
        <w:rPr>
          <w:rFonts w:ascii="Times New Roman" w:hAnsi="Times New Roman" w:cs="Times New Roman"/>
          <w:sz w:val="24"/>
          <w:szCs w:val="24"/>
        </w:rPr>
        <w:t xml:space="preserve"> fiscal traditions, such as Confucian statecraft in China, Greco-Roman taxation practices, or Islamic fiscal jurisprudence. Such cross-</w:t>
      </w:r>
      <w:proofErr w:type="spellStart"/>
      <w:r w:rsidRPr="00C6081F">
        <w:rPr>
          <w:rFonts w:ascii="Times New Roman" w:hAnsi="Times New Roman" w:cs="Times New Roman"/>
          <w:sz w:val="24"/>
          <w:szCs w:val="24"/>
        </w:rPr>
        <w:t>civilisational</w:t>
      </w:r>
      <w:proofErr w:type="spellEnd"/>
      <w:r w:rsidRPr="00C6081F">
        <w:rPr>
          <w:rFonts w:ascii="Times New Roman" w:hAnsi="Times New Roman" w:cs="Times New Roman"/>
          <w:sz w:val="24"/>
          <w:szCs w:val="24"/>
        </w:rPr>
        <w:t xml:space="preserve"> comparisons may reveal whether proportionality, welfare orientation, and administrative ethics represent universal fiscal principles or context-specific developments.</w:t>
      </w:r>
    </w:p>
    <w:p w14:paraId="2729303A" w14:textId="77777777" w:rsidR="00251259" w:rsidRDefault="00251259" w:rsidP="00D5088A">
      <w:pPr>
        <w:jc w:val="both"/>
        <w:rPr>
          <w:rFonts w:ascii="Times New Roman" w:hAnsi="Times New Roman" w:cs="Times New Roman"/>
          <w:sz w:val="24"/>
          <w:szCs w:val="24"/>
        </w:rPr>
      </w:pPr>
      <w:r w:rsidRPr="00251259">
        <w:rPr>
          <w:rFonts w:ascii="Times New Roman" w:hAnsi="Times New Roman" w:cs="Times New Roman"/>
          <w:b/>
          <w:bCs/>
          <w:sz w:val="24"/>
          <w:szCs w:val="24"/>
        </w:rPr>
        <w:t>Digital Governance Studies</w:t>
      </w:r>
      <w:r>
        <w:rPr>
          <w:rFonts w:ascii="Times New Roman" w:hAnsi="Times New Roman" w:cs="Times New Roman"/>
          <w:b/>
          <w:bCs/>
          <w:sz w:val="24"/>
          <w:szCs w:val="24"/>
        </w:rPr>
        <w:t xml:space="preserve">: </w:t>
      </w:r>
      <w:r w:rsidRPr="00251259">
        <w:rPr>
          <w:rFonts w:ascii="Times New Roman" w:hAnsi="Times New Roman" w:cs="Times New Roman"/>
          <w:sz w:val="24"/>
          <w:szCs w:val="24"/>
        </w:rPr>
        <w:t>Future research may examine how AI-driven compliance systems, data analytics, and digital tax platforms reshape accountability structures compared to historical auditing and surveillance mechanisms described in classical texts. This line of inquiry could integrate public administration, information systems, and fiscal governance perspectives.</w:t>
      </w:r>
    </w:p>
    <w:p w14:paraId="722BDECF" w14:textId="77777777" w:rsidR="00CE3366" w:rsidRPr="00251259" w:rsidRDefault="00CE3366" w:rsidP="00D5088A">
      <w:pPr>
        <w:jc w:val="both"/>
        <w:rPr>
          <w:rFonts w:ascii="Times New Roman" w:hAnsi="Times New Roman" w:cs="Times New Roman"/>
          <w:b/>
          <w:bCs/>
          <w:sz w:val="24"/>
          <w:szCs w:val="24"/>
        </w:rPr>
      </w:pPr>
    </w:p>
    <w:p w14:paraId="277E2DFB" w14:textId="77777777" w:rsidR="00622242" w:rsidRPr="00622242" w:rsidRDefault="00622242" w:rsidP="00D5088A">
      <w:pPr>
        <w:jc w:val="both"/>
        <w:rPr>
          <w:rFonts w:ascii="Times New Roman" w:hAnsi="Times New Roman" w:cs="Times New Roman"/>
          <w:b/>
          <w:bCs/>
          <w:sz w:val="24"/>
          <w:szCs w:val="24"/>
          <w:highlight w:val="cyan"/>
        </w:rPr>
      </w:pPr>
      <w:r w:rsidRPr="00622242">
        <w:rPr>
          <w:rFonts w:ascii="Times New Roman" w:hAnsi="Times New Roman" w:cs="Times New Roman"/>
          <w:b/>
          <w:bCs/>
          <w:sz w:val="24"/>
          <w:szCs w:val="24"/>
          <w:highlight w:val="cyan"/>
        </w:rPr>
        <w:t>Limits of comparability</w:t>
      </w:r>
    </w:p>
    <w:p w14:paraId="67CB1070" w14:textId="30B8400E" w:rsidR="00622242" w:rsidRPr="00622242" w:rsidRDefault="00622242" w:rsidP="00D5088A">
      <w:pPr>
        <w:jc w:val="both"/>
        <w:rPr>
          <w:rFonts w:ascii="Times New Roman" w:hAnsi="Times New Roman" w:cs="Times New Roman"/>
          <w:sz w:val="24"/>
          <w:szCs w:val="24"/>
          <w:highlight w:val="cyan"/>
        </w:rPr>
      </w:pPr>
      <w:r w:rsidRPr="00622242">
        <w:rPr>
          <w:rFonts w:ascii="Times New Roman" w:hAnsi="Times New Roman" w:cs="Times New Roman"/>
          <w:sz w:val="24"/>
          <w:szCs w:val="24"/>
          <w:highlight w:val="cyan"/>
        </w:rPr>
        <w:t xml:space="preserve">This study’s comparative reading of ancient fiscal prescriptions and contemporary Indian tax governance has important limits of comparability. First, texts such as the </w:t>
      </w:r>
      <w:proofErr w:type="spellStart"/>
      <w:r w:rsidRPr="00622242">
        <w:rPr>
          <w:rFonts w:ascii="Times New Roman" w:hAnsi="Times New Roman" w:cs="Times New Roman"/>
          <w:sz w:val="24"/>
          <w:szCs w:val="24"/>
          <w:highlight w:val="cyan"/>
        </w:rPr>
        <w:t>Arthashastra</w:t>
      </w:r>
      <w:proofErr w:type="spellEnd"/>
      <w:r w:rsidRPr="00622242">
        <w:rPr>
          <w:rFonts w:ascii="Times New Roman" w:hAnsi="Times New Roman" w:cs="Times New Roman"/>
          <w:sz w:val="24"/>
          <w:szCs w:val="24"/>
          <w:highlight w:val="cyan"/>
        </w:rPr>
        <w:t xml:space="preserve"> and </w:t>
      </w:r>
      <w:proofErr w:type="spellStart"/>
      <w:r w:rsidRPr="00622242">
        <w:rPr>
          <w:rFonts w:ascii="Times New Roman" w:hAnsi="Times New Roman" w:cs="Times New Roman"/>
          <w:sz w:val="24"/>
          <w:szCs w:val="24"/>
          <w:highlight w:val="cyan"/>
        </w:rPr>
        <w:t>Manusmriti</w:t>
      </w:r>
      <w:proofErr w:type="spellEnd"/>
      <w:r w:rsidRPr="00622242">
        <w:rPr>
          <w:rFonts w:ascii="Times New Roman" w:hAnsi="Times New Roman" w:cs="Times New Roman"/>
          <w:sz w:val="24"/>
          <w:szCs w:val="24"/>
          <w:highlight w:val="cyan"/>
        </w:rPr>
        <w:t xml:space="preserve"> are normative and context-bound, reflecting monarchical statecraft, social hierarchy, and administrative capacities that differ fundamentally from a constitutional, rights-based, federal democracy. Second, the institutional environment has changed: modern taxation is mediated by parliamentary processes, judicial review, fiscal federalism, and digital infrastructures (e.g., GST systems), which have no direct equivalent in pre-modern polities. Third, coercive power, information flows, record-keeping, and compliance technologies have transformed the feasibility and meaning of enforcement, audits, and accountability. Fourth, concepts such as “equity” and “tax morale” cannot be assumed to map one-to-one across eras without risking anachronism or implicit endorsement of socially contested hierarchies associated with certain classical texts. Accordingly, the paper treats ancient principles as analytical lenses rather than policy templates, emphasizing interpretive caution and the need for triangulation with historical scholarship and modern empirical evidence.</w:t>
      </w:r>
    </w:p>
    <w:p w14:paraId="35F98227" w14:textId="77777777" w:rsidR="00622242" w:rsidRPr="00622242" w:rsidRDefault="00622242" w:rsidP="00D5088A">
      <w:pPr>
        <w:jc w:val="both"/>
        <w:rPr>
          <w:rFonts w:ascii="Times New Roman" w:hAnsi="Times New Roman" w:cs="Times New Roman"/>
          <w:b/>
          <w:bCs/>
          <w:sz w:val="24"/>
          <w:szCs w:val="24"/>
          <w:highlight w:val="cyan"/>
        </w:rPr>
      </w:pPr>
    </w:p>
    <w:p w14:paraId="2F6F6EC6" w14:textId="2AC10200" w:rsidR="00622242" w:rsidRPr="00622242" w:rsidRDefault="00622242" w:rsidP="00D5088A">
      <w:pPr>
        <w:jc w:val="both"/>
        <w:rPr>
          <w:rFonts w:ascii="Times New Roman" w:hAnsi="Times New Roman" w:cs="Times New Roman"/>
          <w:b/>
          <w:bCs/>
          <w:sz w:val="24"/>
          <w:szCs w:val="24"/>
          <w:highlight w:val="cyan"/>
        </w:rPr>
      </w:pPr>
      <w:r w:rsidRPr="00622242">
        <w:rPr>
          <w:rFonts w:ascii="Times New Roman" w:hAnsi="Times New Roman" w:cs="Times New Roman"/>
          <w:b/>
          <w:bCs/>
          <w:sz w:val="24"/>
          <w:szCs w:val="24"/>
          <w:highlight w:val="cyan"/>
        </w:rPr>
        <w:t>Risk of anachronism</w:t>
      </w:r>
    </w:p>
    <w:p w14:paraId="01B4EFD9" w14:textId="4AAA09BF" w:rsidR="00622242" w:rsidRPr="00622242" w:rsidRDefault="00622242" w:rsidP="00D5088A">
      <w:pPr>
        <w:jc w:val="both"/>
        <w:rPr>
          <w:rFonts w:ascii="Times New Roman" w:hAnsi="Times New Roman" w:cs="Times New Roman"/>
          <w:sz w:val="24"/>
          <w:szCs w:val="24"/>
        </w:rPr>
      </w:pPr>
      <w:r w:rsidRPr="00622242">
        <w:rPr>
          <w:rFonts w:ascii="Times New Roman" w:hAnsi="Times New Roman" w:cs="Times New Roman"/>
          <w:sz w:val="24"/>
          <w:szCs w:val="24"/>
          <w:highlight w:val="cyan"/>
        </w:rPr>
        <w:t xml:space="preserve">Risk of anachronism is a central methodological concern in this study. Concepts such as “equity,” “tax morale,” “public accountability,” and “administrative efficiency” are modern analytical categories shaped by constitutionalism, individual rights, and quantified fiscal measurement; projecting them directly onto classical Sanskrit normative texts can distort </w:t>
      </w:r>
      <w:r w:rsidRPr="00622242">
        <w:rPr>
          <w:rFonts w:ascii="Times New Roman" w:hAnsi="Times New Roman" w:cs="Times New Roman"/>
          <w:sz w:val="24"/>
          <w:szCs w:val="24"/>
          <w:highlight w:val="cyan"/>
        </w:rPr>
        <w:lastRenderedPageBreak/>
        <w:t xml:space="preserve">what those texts intended and how historical polities actually functioned. Likewise, institutional terms that appear superficially similar (e.g., “officials,” “audits,” “penalties,” “welfare”) may refer to different social relations, coercive capacities, and informational constraints in pre-modern settings. To reduce this risk, the paper treats </w:t>
      </w:r>
      <w:proofErr w:type="spellStart"/>
      <w:r w:rsidRPr="00622242">
        <w:rPr>
          <w:rFonts w:ascii="Times New Roman" w:hAnsi="Times New Roman" w:cs="Times New Roman"/>
          <w:sz w:val="24"/>
          <w:szCs w:val="24"/>
          <w:highlight w:val="cyan"/>
        </w:rPr>
        <w:t>Arthashastra</w:t>
      </w:r>
      <w:proofErr w:type="spellEnd"/>
      <w:r w:rsidRPr="00622242">
        <w:rPr>
          <w:rFonts w:ascii="Times New Roman" w:hAnsi="Times New Roman" w:cs="Times New Roman"/>
          <w:sz w:val="24"/>
          <w:szCs w:val="24"/>
          <w:highlight w:val="cyan"/>
        </w:rPr>
        <w:t xml:space="preserve"> and </w:t>
      </w:r>
      <w:proofErr w:type="spellStart"/>
      <w:r w:rsidRPr="00622242">
        <w:rPr>
          <w:rFonts w:ascii="Times New Roman" w:hAnsi="Times New Roman" w:cs="Times New Roman"/>
          <w:sz w:val="24"/>
          <w:szCs w:val="24"/>
          <w:highlight w:val="cyan"/>
        </w:rPr>
        <w:t>Manusmriti</w:t>
      </w:r>
      <w:proofErr w:type="spellEnd"/>
      <w:r w:rsidRPr="00622242">
        <w:rPr>
          <w:rFonts w:ascii="Times New Roman" w:hAnsi="Times New Roman" w:cs="Times New Roman"/>
          <w:sz w:val="24"/>
          <w:szCs w:val="24"/>
          <w:highlight w:val="cyan"/>
        </w:rPr>
        <w:t xml:space="preserve"> as prescriptive genres, interprets claims within their political-theological context, and limits comparisons to clearly defined functional analogies rather than asserted equivalences. Where contested social hierarchies are implicated, the analysis avoids endorsement and foregrounds interpretive controversy. Accordingly, the argument is offered as a historically informed lens for reflection, not as a direct blueprint for contemporary tax policy, for policy debates.</w:t>
      </w:r>
    </w:p>
    <w:p w14:paraId="4F878A8F" w14:textId="77777777" w:rsidR="00622242" w:rsidRDefault="00622242" w:rsidP="00D5088A">
      <w:pPr>
        <w:jc w:val="both"/>
        <w:rPr>
          <w:rFonts w:ascii="Times New Roman" w:hAnsi="Times New Roman" w:cs="Times New Roman"/>
          <w:b/>
          <w:bCs/>
          <w:sz w:val="24"/>
          <w:szCs w:val="24"/>
        </w:rPr>
      </w:pPr>
    </w:p>
    <w:p w14:paraId="180F9ED1" w14:textId="74427E70" w:rsidR="00200D86" w:rsidRPr="00200D86" w:rsidRDefault="00200D86" w:rsidP="00D5088A">
      <w:pPr>
        <w:jc w:val="both"/>
        <w:rPr>
          <w:rFonts w:ascii="Times New Roman" w:hAnsi="Times New Roman" w:cs="Times New Roman"/>
          <w:b/>
          <w:bCs/>
          <w:sz w:val="24"/>
          <w:szCs w:val="24"/>
        </w:rPr>
      </w:pPr>
      <w:r w:rsidRPr="00200D86">
        <w:rPr>
          <w:rFonts w:ascii="Times New Roman" w:hAnsi="Times New Roman" w:cs="Times New Roman"/>
          <w:b/>
          <w:bCs/>
          <w:sz w:val="24"/>
          <w:szCs w:val="24"/>
        </w:rPr>
        <w:t>Conclusion</w:t>
      </w:r>
      <w:r w:rsidR="00CF01ED">
        <w:rPr>
          <w:rFonts w:ascii="Times New Roman" w:hAnsi="Times New Roman" w:cs="Times New Roman"/>
          <w:b/>
          <w:bCs/>
          <w:sz w:val="24"/>
          <w:szCs w:val="24"/>
        </w:rPr>
        <w:t>:</w:t>
      </w:r>
    </w:p>
    <w:p w14:paraId="2A4C75E5" w14:textId="77777777"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This study set out to comparatively examine ancient Indian taxation philosophy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primarily as articulated in the </w:t>
      </w:r>
      <w:proofErr w:type="spellStart"/>
      <w:r w:rsidRPr="00200D86">
        <w:rPr>
          <w:rFonts w:ascii="Times New Roman" w:hAnsi="Times New Roman" w:cs="Times New Roman"/>
          <w:i/>
          <w:iCs/>
          <w:sz w:val="24"/>
          <w:szCs w:val="24"/>
        </w:rPr>
        <w:t>Arthashastra</w:t>
      </w:r>
      <w:proofErr w:type="spellEnd"/>
      <w:r w:rsidRPr="00200D86">
        <w:rPr>
          <w:rFonts w:ascii="Times New Roman" w:hAnsi="Times New Roman" w:cs="Times New Roman"/>
          <w:sz w:val="24"/>
          <w:szCs w:val="24"/>
        </w:rPr>
        <w:t xml:space="preserve"> and </w:t>
      </w:r>
      <w:proofErr w:type="spellStart"/>
      <w:r w:rsidRPr="00200D86">
        <w:rPr>
          <w:rFonts w:ascii="Times New Roman" w:hAnsi="Times New Roman" w:cs="Times New Roman"/>
          <w:i/>
          <w:iCs/>
          <w:sz w:val="24"/>
          <w:szCs w:val="24"/>
        </w:rPr>
        <w:t>Manusmriti</w:t>
      </w:r>
      <w:proofErr w:type="spellEnd"/>
      <w:r w:rsidRPr="00D5088A">
        <w:rPr>
          <w:rFonts w:ascii="Times New Roman" w:hAnsi="Times New Roman" w:cs="Times New Roman"/>
          <w:sz w:val="24"/>
          <w:szCs w:val="24"/>
        </w:rPr>
        <w:t xml:space="preserve"> </w:t>
      </w:r>
      <w:r w:rsidRPr="00200D86">
        <w:rPr>
          <w:rFonts w:ascii="Times New Roman" w:hAnsi="Times New Roman" w:cs="Times New Roman"/>
          <w:sz w:val="24"/>
          <w:szCs w:val="24"/>
        </w:rPr>
        <w:t>and the contemporary Indian tax system, with the objective of identifying continuities, transformations, and policy-relevant insights across time. The analysis reveals that while the institutional forms, administrative technologies, and constitutional foundations of taxation have changed profoundly, several foundational concerns have remained remarkably consistent. Principles such as proportional contribution, welfare orientation, moderation in tax burdens, and ethical governance, which were emphasized in classical texts, continue to resonate within modern public finance objectives of equity, efficiency, transparency, and sustainability.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The findings indicate that </w:t>
      </w:r>
      <w:proofErr w:type="spellStart"/>
      <w:r w:rsidRPr="00200D86">
        <w:rPr>
          <w:rFonts w:ascii="Times New Roman" w:hAnsi="Times New Roman" w:cs="Times New Roman"/>
          <w:sz w:val="24"/>
          <w:szCs w:val="24"/>
        </w:rPr>
        <w:t>Kautilya’s</w:t>
      </w:r>
      <w:proofErr w:type="spellEnd"/>
      <w:r w:rsidRPr="00200D86">
        <w:rPr>
          <w:rFonts w:ascii="Times New Roman" w:hAnsi="Times New Roman" w:cs="Times New Roman"/>
          <w:sz w:val="24"/>
          <w:szCs w:val="24"/>
        </w:rPr>
        <w:t xml:space="preserve"> carefully differentiated tax structures and diversified revenue sources reflect an early appreciation of fiscal stability and economic incentives, ideas that parallel contemporary efforts to broaden tax bases and rationalize tax regimes through reforms such as the Goods and Services Tax. Similarly, ancient prescriptions for tax remissions during crises and humane collection practices anticipate modern countercyclical policies and welfare-oriented interventions, albeit now embedded within democratic institutions and rule-based regulatory systems rather than monarchic authority.</w:t>
      </w:r>
    </w:p>
    <w:p w14:paraId="52538DFC" w14:textId="77777777"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At the same time, the study underscores important discontinuities. Modern taxation operates within a complex federal polity, a highly diversified economy, and a digitalized administrative environment that bears little resemblance to the agrarian and centralized contexts of ancient states. These differences caution against direct transplantation of historical practices into present policy frameworks and instead support a selective, interpretive engagement with ancient ideas at the level of guiding principles rather than operational templates.</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Overall, the research contributes to bridging historical scholarship and contemporary fiscal analysis by demonstrating how long-standing traditions of economic governance can inform present-day debates on fairness, compliance, and sustainability. By situating modern tax policy within a broader civilizational perspective, the study encourages further interdisciplinary research into the intellectual roots of public finance and highlights the potential value of historically grounded insights for strengthening India’s evolving fiscal architecture.</w:t>
      </w:r>
    </w:p>
    <w:p w14:paraId="50443672" w14:textId="77777777" w:rsidR="005D2BEE" w:rsidRDefault="005D2BEE" w:rsidP="007E1353">
      <w:pPr>
        <w:jc w:val="both"/>
        <w:rPr>
          <w:rFonts w:ascii="Times New Roman" w:hAnsi="Times New Roman" w:cs="Times New Roman"/>
          <w:b/>
          <w:bCs/>
          <w:sz w:val="24"/>
          <w:szCs w:val="24"/>
        </w:rPr>
      </w:pPr>
    </w:p>
    <w:p w14:paraId="0DCFC938" w14:textId="77777777" w:rsidR="00F62F9A" w:rsidRDefault="00F62F9A" w:rsidP="0009791E">
      <w:pPr>
        <w:keepNext/>
        <w:keepLines/>
        <w:spacing w:before="120" w:after="120" w:line="360" w:lineRule="auto"/>
        <w:jc w:val="both"/>
        <w:outlineLvl w:val="1"/>
        <w:rPr>
          <w:rFonts w:ascii="Times New Roman" w:hAnsi="Times New Roman" w:cs="Times New Roman"/>
          <w:b/>
          <w:bCs/>
          <w:sz w:val="24"/>
          <w:szCs w:val="24"/>
        </w:rPr>
      </w:pPr>
      <w:bookmarkStart w:id="1" w:name="_Hlk218867759"/>
      <w:bookmarkStart w:id="2" w:name="_Hlk219125673"/>
      <w:r w:rsidRPr="00F62F9A">
        <w:rPr>
          <w:rFonts w:ascii="Times New Roman" w:hAnsi="Times New Roman" w:cs="Times New Roman"/>
          <w:b/>
          <w:bCs/>
          <w:sz w:val="24"/>
          <w:szCs w:val="24"/>
        </w:rPr>
        <w:lastRenderedPageBreak/>
        <w:t>Disclaimer (Artificial intelligence)</w:t>
      </w:r>
      <w:r>
        <w:rPr>
          <w:rFonts w:ascii="Times New Roman" w:hAnsi="Times New Roman" w:cs="Times New Roman"/>
          <w:b/>
          <w:bCs/>
          <w:sz w:val="24"/>
          <w:szCs w:val="24"/>
        </w:rPr>
        <w:t>:</w:t>
      </w:r>
    </w:p>
    <w:p w14:paraId="162AC9F2" w14:textId="47E741B0" w:rsidR="0009791E" w:rsidRPr="00DC2453" w:rsidRDefault="0009791E" w:rsidP="0009791E">
      <w:pPr>
        <w:keepNext/>
        <w:keepLines/>
        <w:spacing w:before="120" w:after="120" w:line="360" w:lineRule="auto"/>
        <w:jc w:val="both"/>
        <w:outlineLvl w:val="1"/>
        <w:rPr>
          <w:rFonts w:ascii="Times New Roman" w:hAnsi="Times New Roman" w:cs="Times New Roman"/>
          <w:sz w:val="24"/>
          <w:szCs w:val="24"/>
        </w:rPr>
      </w:pPr>
      <w:r w:rsidRPr="00DC2453">
        <w:rPr>
          <w:rFonts w:ascii="Times New Roman" w:hAnsi="Times New Roman" w:cs="Times New Roman"/>
          <w:sz w:val="24"/>
          <w:szCs w:val="24"/>
        </w:rPr>
        <w:t xml:space="preserve">Author(s) hereby </w:t>
      </w:r>
      <w:r w:rsidR="00DC2453" w:rsidRPr="00DC2453">
        <w:rPr>
          <w:rFonts w:ascii="Times New Roman" w:hAnsi="Times New Roman" w:cs="Times New Roman"/>
          <w:sz w:val="24"/>
          <w:szCs w:val="24"/>
        </w:rPr>
        <w:t>declares</w:t>
      </w:r>
      <w:r w:rsidRPr="00DC2453">
        <w:rPr>
          <w:rFonts w:ascii="Times New Roman" w:hAnsi="Times New Roman" w:cs="Times New Roman"/>
          <w:sz w:val="24"/>
          <w:szCs w:val="24"/>
        </w:rPr>
        <w:t xml:space="preserve"> that NO generative AI technologies such as Large Language Models (</w:t>
      </w:r>
      <w:proofErr w:type="spellStart"/>
      <w:r w:rsidRPr="00DC2453">
        <w:rPr>
          <w:rFonts w:ascii="Times New Roman" w:hAnsi="Times New Roman" w:cs="Times New Roman"/>
          <w:sz w:val="24"/>
          <w:szCs w:val="24"/>
        </w:rPr>
        <w:t>ChatGPT</w:t>
      </w:r>
      <w:proofErr w:type="spellEnd"/>
      <w:r w:rsidRPr="00DC2453">
        <w:rPr>
          <w:rFonts w:ascii="Times New Roman" w:hAnsi="Times New Roman" w:cs="Times New Roman"/>
          <w:sz w:val="24"/>
          <w:szCs w:val="24"/>
        </w:rPr>
        <w:t xml:space="preserve">, COPILOT, etc.) and text-to-image generators have been used during the writing or editing of this manuscript. </w:t>
      </w:r>
    </w:p>
    <w:bookmarkEnd w:id="1"/>
    <w:bookmarkEnd w:id="2"/>
    <w:p w14:paraId="029206BC" w14:textId="77777777" w:rsidR="009829D9" w:rsidRDefault="009829D9" w:rsidP="00D5088A">
      <w:pPr>
        <w:jc w:val="both"/>
        <w:rPr>
          <w:rFonts w:ascii="Times New Roman" w:hAnsi="Times New Roman" w:cs="Times New Roman"/>
          <w:b/>
          <w:bCs/>
          <w:sz w:val="24"/>
          <w:szCs w:val="24"/>
        </w:rPr>
      </w:pPr>
    </w:p>
    <w:p w14:paraId="37190827" w14:textId="77777777" w:rsidR="002861DB" w:rsidRDefault="002861DB" w:rsidP="00D5088A">
      <w:pPr>
        <w:jc w:val="both"/>
        <w:rPr>
          <w:rFonts w:ascii="Times New Roman" w:hAnsi="Times New Roman" w:cs="Times New Roman"/>
          <w:b/>
          <w:bCs/>
          <w:sz w:val="24"/>
          <w:szCs w:val="24"/>
        </w:rPr>
      </w:pPr>
      <w:r w:rsidRPr="002861DB">
        <w:rPr>
          <w:rFonts w:ascii="Times New Roman" w:hAnsi="Times New Roman" w:cs="Times New Roman"/>
          <w:b/>
          <w:bCs/>
          <w:sz w:val="24"/>
          <w:szCs w:val="24"/>
        </w:rPr>
        <w:t>References</w:t>
      </w:r>
      <w:r w:rsidRPr="00D5088A">
        <w:rPr>
          <w:rFonts w:ascii="Times New Roman" w:hAnsi="Times New Roman" w:cs="Times New Roman"/>
          <w:b/>
          <w:bCs/>
          <w:sz w:val="24"/>
          <w:szCs w:val="24"/>
        </w:rPr>
        <w:t>:</w:t>
      </w:r>
    </w:p>
    <w:p w14:paraId="565AA04D" w14:textId="77777777" w:rsidR="00F854A3" w:rsidRPr="009C0FB3" w:rsidRDefault="00F854A3"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Mukherjee, S. (2020). GST and cooperative federalism in India. </w:t>
      </w:r>
      <w:r w:rsidRPr="009C0FB3">
        <w:rPr>
          <w:rFonts w:ascii="Times New Roman" w:hAnsi="Times New Roman" w:cs="Times New Roman"/>
          <w:i/>
          <w:iCs/>
          <w:sz w:val="24"/>
          <w:szCs w:val="24"/>
        </w:rPr>
        <w:t>National Institute of Public Finance and Policy Working Paper</w:t>
      </w:r>
      <w:r w:rsidRPr="009C0FB3">
        <w:rPr>
          <w:rFonts w:ascii="Times New Roman" w:hAnsi="Times New Roman" w:cs="Times New Roman"/>
          <w:sz w:val="24"/>
          <w:szCs w:val="24"/>
        </w:rPr>
        <w:t>.</w:t>
      </w:r>
    </w:p>
    <w:p w14:paraId="6DC49C89" w14:textId="77777777" w:rsidR="007D1155" w:rsidRPr="009C0FB3" w:rsidRDefault="007D1155"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Atkinson, A. B., &amp; Stiglitz, J. E. (2015). </w:t>
      </w:r>
      <w:r w:rsidRPr="009C0FB3">
        <w:rPr>
          <w:rFonts w:ascii="Times New Roman" w:hAnsi="Times New Roman" w:cs="Times New Roman"/>
          <w:i/>
          <w:iCs/>
          <w:sz w:val="24"/>
          <w:szCs w:val="24"/>
        </w:rPr>
        <w:t>Lectures on public economics</w:t>
      </w:r>
      <w:r w:rsidRPr="009C0FB3">
        <w:rPr>
          <w:rFonts w:ascii="Times New Roman" w:hAnsi="Times New Roman" w:cs="Times New Roman"/>
          <w:sz w:val="24"/>
          <w:szCs w:val="24"/>
        </w:rPr>
        <w:t>. Princeton University Press.</w:t>
      </w:r>
    </w:p>
    <w:p w14:paraId="2AB6298F" w14:textId="77777777" w:rsidR="00F854A3" w:rsidRPr="009C0FB3" w:rsidRDefault="00F854A3"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Musgrave, R. A., &amp; Musgrave, P. B. (1989). </w:t>
      </w:r>
      <w:r w:rsidRPr="009C0FB3">
        <w:rPr>
          <w:rFonts w:ascii="Times New Roman" w:hAnsi="Times New Roman" w:cs="Times New Roman"/>
          <w:i/>
          <w:iCs/>
          <w:sz w:val="24"/>
          <w:szCs w:val="24"/>
        </w:rPr>
        <w:t>Public finance in theory and practice</w:t>
      </w:r>
      <w:r w:rsidRPr="009C0FB3">
        <w:rPr>
          <w:rFonts w:ascii="Times New Roman" w:hAnsi="Times New Roman" w:cs="Times New Roman"/>
          <w:sz w:val="24"/>
          <w:szCs w:val="24"/>
        </w:rPr>
        <w:t xml:space="preserve"> (5th ed.). McGraw-Hill.</w:t>
      </w:r>
    </w:p>
    <w:p w14:paraId="29651B1B" w14:textId="77777777" w:rsidR="00F854A3" w:rsidRPr="009C0FB3" w:rsidRDefault="00F854A3"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Purohit, M. C. (2019). Goods and Services Tax in India: Progress and challenges. </w:t>
      </w:r>
      <w:r w:rsidRPr="009C0FB3">
        <w:rPr>
          <w:rFonts w:ascii="Times New Roman" w:hAnsi="Times New Roman" w:cs="Times New Roman"/>
          <w:i/>
          <w:iCs/>
          <w:sz w:val="24"/>
          <w:szCs w:val="24"/>
        </w:rPr>
        <w:t>Asia-Pacific Tax Bulletin, 25</w:t>
      </w:r>
      <w:r w:rsidRPr="009C0FB3">
        <w:rPr>
          <w:rFonts w:ascii="Times New Roman" w:hAnsi="Times New Roman" w:cs="Times New Roman"/>
          <w:sz w:val="24"/>
          <w:szCs w:val="24"/>
        </w:rPr>
        <w:t>(4), 198–210.</w:t>
      </w:r>
    </w:p>
    <w:p w14:paraId="26CDB194"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Altekar</w:t>
      </w:r>
      <w:proofErr w:type="spellEnd"/>
      <w:r w:rsidRPr="009C0FB3">
        <w:rPr>
          <w:rFonts w:ascii="Times New Roman" w:hAnsi="Times New Roman" w:cs="Times New Roman"/>
          <w:sz w:val="24"/>
          <w:szCs w:val="24"/>
        </w:rPr>
        <w:t xml:space="preserve">, A. S. (1958). </w:t>
      </w:r>
      <w:r w:rsidRPr="009C0FB3">
        <w:rPr>
          <w:rFonts w:ascii="Times New Roman" w:hAnsi="Times New Roman" w:cs="Times New Roman"/>
          <w:i/>
          <w:iCs/>
          <w:sz w:val="24"/>
          <w:szCs w:val="24"/>
        </w:rPr>
        <w:t>State and government in ancient India</w:t>
      </w:r>
      <w:r w:rsidRPr="009C0FB3">
        <w:rPr>
          <w:rFonts w:ascii="Times New Roman" w:hAnsi="Times New Roman" w:cs="Times New Roman"/>
          <w:sz w:val="24"/>
          <w:szCs w:val="24"/>
        </w:rPr>
        <w:t xml:space="preserve"> (2nd ed.). Banaras Hindu University Press.</w:t>
      </w:r>
    </w:p>
    <w:p w14:paraId="3C223B48"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Basu</w:t>
      </w:r>
      <w:proofErr w:type="spellEnd"/>
      <w:r w:rsidRPr="009C0FB3">
        <w:rPr>
          <w:rFonts w:ascii="Times New Roman" w:hAnsi="Times New Roman" w:cs="Times New Roman"/>
          <w:sz w:val="24"/>
          <w:szCs w:val="24"/>
        </w:rPr>
        <w:t xml:space="preserve">, S. (2011). </w:t>
      </w:r>
      <w:r w:rsidRPr="009C0FB3">
        <w:rPr>
          <w:rFonts w:ascii="Times New Roman" w:hAnsi="Times New Roman" w:cs="Times New Roman"/>
          <w:i/>
          <w:iCs/>
          <w:sz w:val="24"/>
          <w:szCs w:val="24"/>
        </w:rPr>
        <w:t>Public finance in India: Theory and practice</w:t>
      </w:r>
      <w:r w:rsidRPr="009C0FB3">
        <w:rPr>
          <w:rFonts w:ascii="Times New Roman" w:hAnsi="Times New Roman" w:cs="Times New Roman"/>
          <w:sz w:val="24"/>
          <w:szCs w:val="24"/>
        </w:rPr>
        <w:t xml:space="preserve"> (22nd ed.). Pearson Education.</w:t>
      </w:r>
    </w:p>
    <w:p w14:paraId="0848FBB2"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Bagchi</w:t>
      </w:r>
      <w:proofErr w:type="spellEnd"/>
      <w:r w:rsidRPr="009C0FB3">
        <w:rPr>
          <w:rFonts w:ascii="Times New Roman" w:hAnsi="Times New Roman" w:cs="Times New Roman"/>
          <w:sz w:val="24"/>
          <w:szCs w:val="24"/>
        </w:rPr>
        <w:t xml:space="preserve">, A. K. (2012). </w:t>
      </w:r>
      <w:r w:rsidRPr="009C0FB3">
        <w:rPr>
          <w:rFonts w:ascii="Times New Roman" w:hAnsi="Times New Roman" w:cs="Times New Roman"/>
          <w:i/>
          <w:iCs/>
          <w:sz w:val="24"/>
          <w:szCs w:val="24"/>
        </w:rPr>
        <w:t>Fiscal federalism in India: Theory and practice</w:t>
      </w:r>
      <w:r w:rsidRPr="009C0FB3">
        <w:rPr>
          <w:rFonts w:ascii="Times New Roman" w:hAnsi="Times New Roman" w:cs="Times New Roman"/>
          <w:sz w:val="24"/>
          <w:szCs w:val="24"/>
        </w:rPr>
        <w:t>. Oxford University Press.</w:t>
      </w:r>
    </w:p>
    <w:p w14:paraId="72EC9A87"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Chakrabarti, R., &amp; Singh, S. (2015). Governance and public accountability in Indian fiscal institutions. </w:t>
      </w:r>
      <w:r w:rsidRPr="009C0FB3">
        <w:rPr>
          <w:rFonts w:ascii="Times New Roman" w:hAnsi="Times New Roman" w:cs="Times New Roman"/>
          <w:i/>
          <w:iCs/>
          <w:sz w:val="24"/>
          <w:szCs w:val="24"/>
        </w:rPr>
        <w:t>Journal of Indian Public Administration, 61</w:t>
      </w:r>
      <w:r w:rsidRPr="009C0FB3">
        <w:rPr>
          <w:rFonts w:ascii="Times New Roman" w:hAnsi="Times New Roman" w:cs="Times New Roman"/>
          <w:sz w:val="24"/>
          <w:szCs w:val="24"/>
        </w:rPr>
        <w:t>(3), 345–362.</w:t>
      </w:r>
    </w:p>
    <w:p w14:paraId="79F11617"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Government of India. (2017). </w:t>
      </w:r>
      <w:r w:rsidRPr="009C0FB3">
        <w:rPr>
          <w:rFonts w:ascii="Times New Roman" w:hAnsi="Times New Roman" w:cs="Times New Roman"/>
          <w:i/>
          <w:iCs/>
          <w:sz w:val="24"/>
          <w:szCs w:val="24"/>
        </w:rPr>
        <w:t>The Constitution (One Hundred and First Amendment) Act, 2016 and Goods and Services Tax framework</w:t>
      </w:r>
      <w:r w:rsidRPr="009C0FB3">
        <w:rPr>
          <w:rFonts w:ascii="Times New Roman" w:hAnsi="Times New Roman" w:cs="Times New Roman"/>
          <w:sz w:val="24"/>
          <w:szCs w:val="24"/>
        </w:rPr>
        <w:t>. Ministry of Finance.</w:t>
      </w:r>
    </w:p>
    <w:p w14:paraId="30E963AC"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Kelkar, V., &amp; Shah, A. (2020). </w:t>
      </w:r>
      <w:r w:rsidRPr="009C0FB3">
        <w:rPr>
          <w:rFonts w:ascii="Times New Roman" w:hAnsi="Times New Roman" w:cs="Times New Roman"/>
          <w:i/>
          <w:iCs/>
          <w:sz w:val="24"/>
          <w:szCs w:val="24"/>
        </w:rPr>
        <w:t>Evaluation of Goods and Services Tax implementation in India: Impacts and challenges</w:t>
      </w:r>
      <w:r w:rsidRPr="009C0FB3">
        <w:rPr>
          <w:rFonts w:ascii="Times New Roman" w:hAnsi="Times New Roman" w:cs="Times New Roman"/>
          <w:sz w:val="24"/>
          <w:szCs w:val="24"/>
        </w:rPr>
        <w:t>. National Institute of Public Finance and Policy.</w:t>
      </w:r>
    </w:p>
    <w:p w14:paraId="04A185F2"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Kangle</w:t>
      </w:r>
      <w:proofErr w:type="spellEnd"/>
      <w:r w:rsidRPr="009C0FB3">
        <w:rPr>
          <w:rFonts w:ascii="Times New Roman" w:hAnsi="Times New Roman" w:cs="Times New Roman"/>
          <w:sz w:val="24"/>
          <w:szCs w:val="24"/>
        </w:rPr>
        <w:t xml:space="preserve">, R. P. (1960). </w:t>
      </w:r>
      <w:r w:rsidRPr="009C0FB3">
        <w:rPr>
          <w:rFonts w:ascii="Times New Roman" w:hAnsi="Times New Roman" w:cs="Times New Roman"/>
          <w:i/>
          <w:iCs/>
          <w:sz w:val="24"/>
          <w:szCs w:val="24"/>
        </w:rPr>
        <w:t xml:space="preserve">The </w:t>
      </w:r>
      <w:proofErr w:type="spellStart"/>
      <w:r w:rsidRPr="009C0FB3">
        <w:rPr>
          <w:rFonts w:ascii="Times New Roman" w:hAnsi="Times New Roman" w:cs="Times New Roman"/>
          <w:i/>
          <w:iCs/>
          <w:sz w:val="24"/>
          <w:szCs w:val="24"/>
        </w:rPr>
        <w:t>Kautilya</w:t>
      </w:r>
      <w:proofErr w:type="spellEnd"/>
      <w:r w:rsidRPr="009C0FB3">
        <w:rPr>
          <w:rFonts w:ascii="Times New Roman" w:hAnsi="Times New Roman" w:cs="Times New Roman"/>
          <w:i/>
          <w:iCs/>
          <w:sz w:val="24"/>
          <w:szCs w:val="24"/>
        </w:rPr>
        <w:t xml:space="preserve"> </w:t>
      </w:r>
      <w:proofErr w:type="spellStart"/>
      <w:r w:rsidRPr="009C0FB3">
        <w:rPr>
          <w:rFonts w:ascii="Times New Roman" w:hAnsi="Times New Roman" w:cs="Times New Roman"/>
          <w:i/>
          <w:iCs/>
          <w:sz w:val="24"/>
          <w:szCs w:val="24"/>
        </w:rPr>
        <w:t>Arthashastra</w:t>
      </w:r>
      <w:proofErr w:type="spellEnd"/>
      <w:r w:rsidRPr="009C0FB3">
        <w:rPr>
          <w:rFonts w:ascii="Times New Roman" w:hAnsi="Times New Roman" w:cs="Times New Roman"/>
          <w:sz w:val="24"/>
          <w:szCs w:val="24"/>
        </w:rPr>
        <w:t xml:space="preserve"> (Vol. 1). University of Mumbai Press.</w:t>
      </w:r>
    </w:p>
    <w:p w14:paraId="439C3AD4"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Mukherjee, R. (1979). </w:t>
      </w:r>
      <w:r w:rsidRPr="009C0FB3">
        <w:rPr>
          <w:rFonts w:ascii="Times New Roman" w:hAnsi="Times New Roman" w:cs="Times New Roman"/>
          <w:i/>
          <w:iCs/>
          <w:sz w:val="24"/>
          <w:szCs w:val="24"/>
        </w:rPr>
        <w:t>Mauryan administration and economic regulation</w:t>
      </w:r>
      <w:r w:rsidRPr="009C0FB3">
        <w:rPr>
          <w:rFonts w:ascii="Times New Roman" w:hAnsi="Times New Roman" w:cs="Times New Roman"/>
          <w:sz w:val="24"/>
          <w:szCs w:val="24"/>
        </w:rPr>
        <w:t>. Indian Historical Review, 5(1), 23–48.</w:t>
      </w:r>
    </w:p>
    <w:p w14:paraId="5B89AD68"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Olivelle</w:t>
      </w:r>
      <w:proofErr w:type="spellEnd"/>
      <w:r w:rsidRPr="009C0FB3">
        <w:rPr>
          <w:rFonts w:ascii="Times New Roman" w:hAnsi="Times New Roman" w:cs="Times New Roman"/>
          <w:sz w:val="24"/>
          <w:szCs w:val="24"/>
        </w:rPr>
        <w:t xml:space="preserve">, P. (2004). </w:t>
      </w:r>
      <w:r w:rsidRPr="009C0FB3">
        <w:rPr>
          <w:rFonts w:ascii="Times New Roman" w:hAnsi="Times New Roman" w:cs="Times New Roman"/>
          <w:i/>
          <w:iCs/>
          <w:sz w:val="24"/>
          <w:szCs w:val="24"/>
        </w:rPr>
        <w:t xml:space="preserve">The </w:t>
      </w:r>
      <w:proofErr w:type="spellStart"/>
      <w:r w:rsidRPr="009C0FB3">
        <w:rPr>
          <w:rFonts w:ascii="Times New Roman" w:hAnsi="Times New Roman" w:cs="Times New Roman"/>
          <w:i/>
          <w:iCs/>
          <w:sz w:val="24"/>
          <w:szCs w:val="24"/>
        </w:rPr>
        <w:t>Arthashastra</w:t>
      </w:r>
      <w:proofErr w:type="spellEnd"/>
      <w:r w:rsidRPr="009C0FB3">
        <w:rPr>
          <w:rFonts w:ascii="Times New Roman" w:hAnsi="Times New Roman" w:cs="Times New Roman"/>
          <w:i/>
          <w:iCs/>
          <w:sz w:val="24"/>
          <w:szCs w:val="24"/>
        </w:rPr>
        <w:t>: An annotated translation</w:t>
      </w:r>
      <w:r w:rsidRPr="009C0FB3">
        <w:rPr>
          <w:rFonts w:ascii="Times New Roman" w:hAnsi="Times New Roman" w:cs="Times New Roman"/>
          <w:sz w:val="24"/>
          <w:szCs w:val="24"/>
        </w:rPr>
        <w:t>. Oxford University Press.</w:t>
      </w:r>
    </w:p>
    <w:p w14:paraId="4BCE592E"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OECD. (2021). </w:t>
      </w:r>
      <w:r w:rsidRPr="009C0FB3">
        <w:rPr>
          <w:rFonts w:ascii="Times New Roman" w:hAnsi="Times New Roman" w:cs="Times New Roman"/>
          <w:i/>
          <w:iCs/>
          <w:sz w:val="24"/>
          <w:szCs w:val="24"/>
        </w:rPr>
        <w:t>Revenue statistics in Asia and the Pacific 2021</w:t>
      </w:r>
      <w:r w:rsidRPr="009C0FB3">
        <w:rPr>
          <w:rFonts w:ascii="Times New Roman" w:hAnsi="Times New Roman" w:cs="Times New Roman"/>
          <w:sz w:val="24"/>
          <w:szCs w:val="24"/>
        </w:rPr>
        <w:t>. OECD Publishing.</w:t>
      </w:r>
    </w:p>
    <w:p w14:paraId="464010DA"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Rangarajan, L. N. (1992). </w:t>
      </w:r>
      <w:proofErr w:type="spellStart"/>
      <w:r w:rsidRPr="009C0FB3">
        <w:rPr>
          <w:rFonts w:ascii="Times New Roman" w:hAnsi="Times New Roman" w:cs="Times New Roman"/>
          <w:i/>
          <w:iCs/>
          <w:sz w:val="24"/>
          <w:szCs w:val="24"/>
        </w:rPr>
        <w:t>Kautilya</w:t>
      </w:r>
      <w:proofErr w:type="spellEnd"/>
      <w:r w:rsidRPr="009C0FB3">
        <w:rPr>
          <w:rFonts w:ascii="Times New Roman" w:hAnsi="Times New Roman" w:cs="Times New Roman"/>
          <w:i/>
          <w:iCs/>
          <w:sz w:val="24"/>
          <w:szCs w:val="24"/>
        </w:rPr>
        <w:t xml:space="preserve">: The </w:t>
      </w:r>
      <w:proofErr w:type="spellStart"/>
      <w:r w:rsidRPr="009C0FB3">
        <w:rPr>
          <w:rFonts w:ascii="Times New Roman" w:hAnsi="Times New Roman" w:cs="Times New Roman"/>
          <w:i/>
          <w:iCs/>
          <w:sz w:val="24"/>
          <w:szCs w:val="24"/>
        </w:rPr>
        <w:t>Arthashastra</w:t>
      </w:r>
      <w:proofErr w:type="spellEnd"/>
      <w:r w:rsidRPr="009C0FB3">
        <w:rPr>
          <w:rFonts w:ascii="Times New Roman" w:hAnsi="Times New Roman" w:cs="Times New Roman"/>
          <w:sz w:val="24"/>
          <w:szCs w:val="24"/>
        </w:rPr>
        <w:t xml:space="preserve"> (reprint ed.). Penguin Books India.</w:t>
      </w:r>
    </w:p>
    <w:p w14:paraId="22D35E8D"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Rao, M. G. (2019). </w:t>
      </w:r>
      <w:r w:rsidRPr="009C0FB3">
        <w:rPr>
          <w:rFonts w:ascii="Times New Roman" w:hAnsi="Times New Roman" w:cs="Times New Roman"/>
          <w:i/>
          <w:iCs/>
          <w:sz w:val="24"/>
          <w:szCs w:val="24"/>
        </w:rPr>
        <w:t>Indian public finance and fiscal policy</w:t>
      </w:r>
      <w:r w:rsidRPr="009C0FB3">
        <w:rPr>
          <w:rFonts w:ascii="Times New Roman" w:hAnsi="Times New Roman" w:cs="Times New Roman"/>
          <w:sz w:val="24"/>
          <w:szCs w:val="24"/>
        </w:rPr>
        <w:t>. Cambridge University Press.</w:t>
      </w:r>
    </w:p>
    <w:p w14:paraId="21DF1B85"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Rao, M. G., &amp; Rao, H. (2005). </w:t>
      </w:r>
      <w:r w:rsidRPr="009C0FB3">
        <w:rPr>
          <w:rFonts w:ascii="Times New Roman" w:hAnsi="Times New Roman" w:cs="Times New Roman"/>
          <w:i/>
          <w:iCs/>
          <w:sz w:val="24"/>
          <w:szCs w:val="24"/>
        </w:rPr>
        <w:t>Fiscal federalism in India</w:t>
      </w:r>
      <w:r w:rsidRPr="009C0FB3">
        <w:rPr>
          <w:rFonts w:ascii="Times New Roman" w:hAnsi="Times New Roman" w:cs="Times New Roman"/>
          <w:sz w:val="24"/>
          <w:szCs w:val="24"/>
        </w:rPr>
        <w:t xml:space="preserve"> (2nd ed.). Oxford University Press.</w:t>
      </w:r>
    </w:p>
    <w:p w14:paraId="072F7E0F"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Raychaudhuri, T., &amp; Habib, I. (2004). </w:t>
      </w:r>
      <w:r w:rsidRPr="009C0FB3">
        <w:rPr>
          <w:rFonts w:ascii="Times New Roman" w:hAnsi="Times New Roman" w:cs="Times New Roman"/>
          <w:i/>
          <w:iCs/>
          <w:sz w:val="24"/>
          <w:szCs w:val="24"/>
        </w:rPr>
        <w:t>The Cambridge economic history of India</w:t>
      </w:r>
      <w:r w:rsidRPr="009C0FB3">
        <w:rPr>
          <w:rFonts w:ascii="Times New Roman" w:hAnsi="Times New Roman" w:cs="Times New Roman"/>
          <w:sz w:val="24"/>
          <w:szCs w:val="24"/>
        </w:rPr>
        <w:t xml:space="preserve"> (Vol. 1). Cambridge University Press.</w:t>
      </w:r>
    </w:p>
    <w:p w14:paraId="4403B687" w14:textId="77777777" w:rsidR="00D80BFE" w:rsidRPr="009C0FB3" w:rsidRDefault="00D80BFE"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Fonseca Corona, F. J. (2024). Tax morale: A global scoping review from the cultural approach to economics. </w:t>
      </w:r>
      <w:r w:rsidRPr="009C0FB3">
        <w:rPr>
          <w:rFonts w:ascii="Times New Roman" w:hAnsi="Times New Roman" w:cs="Times New Roman"/>
          <w:i/>
          <w:iCs/>
          <w:sz w:val="24"/>
          <w:szCs w:val="24"/>
        </w:rPr>
        <w:t>International Advances in Economic Research, 30</w:t>
      </w:r>
      <w:r w:rsidRPr="009C0FB3">
        <w:rPr>
          <w:rFonts w:ascii="Times New Roman" w:hAnsi="Times New Roman" w:cs="Times New Roman"/>
          <w:sz w:val="24"/>
          <w:szCs w:val="24"/>
        </w:rPr>
        <w:t xml:space="preserve">(1), 45–62. </w:t>
      </w:r>
    </w:p>
    <w:p w14:paraId="5D7E31E8" w14:textId="77777777" w:rsidR="00D80BFE" w:rsidRPr="009C0FB3" w:rsidRDefault="00D80BFE"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lastRenderedPageBreak/>
        <w:t xml:space="preserve">Kothari, S., &amp; Dubey, S. (2026). GST fairness, e-tax attitude and compliance: A governance-based analysis with religiosity as moderator. </w:t>
      </w:r>
      <w:r w:rsidRPr="009C0FB3">
        <w:rPr>
          <w:rFonts w:ascii="Times New Roman" w:hAnsi="Times New Roman" w:cs="Times New Roman"/>
          <w:i/>
          <w:iCs/>
          <w:sz w:val="24"/>
          <w:szCs w:val="24"/>
        </w:rPr>
        <w:t>International Journal of Law and Social Sciences, 8</w:t>
      </w:r>
      <w:r w:rsidRPr="009C0FB3">
        <w:rPr>
          <w:rFonts w:ascii="Times New Roman" w:hAnsi="Times New Roman" w:cs="Times New Roman"/>
          <w:sz w:val="24"/>
          <w:szCs w:val="24"/>
        </w:rPr>
        <w:t>(2), 112–130.</w:t>
      </w:r>
    </w:p>
    <w:p w14:paraId="4D4D7B74" w14:textId="77777777" w:rsidR="00D80BFE" w:rsidRPr="009C0FB3" w:rsidRDefault="00D80BFE"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Kaushik, P., Brahmi, M., </w:t>
      </w:r>
      <w:proofErr w:type="spellStart"/>
      <w:r w:rsidRPr="009C0FB3">
        <w:rPr>
          <w:rFonts w:ascii="Times New Roman" w:hAnsi="Times New Roman" w:cs="Times New Roman"/>
          <w:sz w:val="24"/>
          <w:szCs w:val="24"/>
        </w:rPr>
        <w:t>Kakran</w:t>
      </w:r>
      <w:proofErr w:type="spellEnd"/>
      <w:r w:rsidRPr="009C0FB3">
        <w:rPr>
          <w:rFonts w:ascii="Times New Roman" w:hAnsi="Times New Roman" w:cs="Times New Roman"/>
          <w:sz w:val="24"/>
          <w:szCs w:val="24"/>
        </w:rPr>
        <w:t xml:space="preserve">, S., &amp; </w:t>
      </w:r>
      <w:proofErr w:type="spellStart"/>
      <w:r w:rsidRPr="009C0FB3">
        <w:rPr>
          <w:rFonts w:ascii="Times New Roman" w:hAnsi="Times New Roman" w:cs="Times New Roman"/>
          <w:sz w:val="24"/>
          <w:szCs w:val="24"/>
        </w:rPr>
        <w:t>Kansra</w:t>
      </w:r>
      <w:proofErr w:type="spellEnd"/>
      <w:r w:rsidRPr="009C0FB3">
        <w:rPr>
          <w:rFonts w:ascii="Times New Roman" w:hAnsi="Times New Roman" w:cs="Times New Roman"/>
          <w:sz w:val="24"/>
          <w:szCs w:val="24"/>
        </w:rPr>
        <w:t xml:space="preserve">, P. (2024). The predictive grey forecasting approach for measuring tax collection efficiency in India. </w:t>
      </w:r>
      <w:r w:rsidRPr="009C0FB3">
        <w:rPr>
          <w:rFonts w:ascii="Times New Roman" w:hAnsi="Times New Roman" w:cs="Times New Roman"/>
          <w:i/>
          <w:iCs/>
          <w:sz w:val="24"/>
          <w:szCs w:val="24"/>
        </w:rPr>
        <w:t>Journal of Risk and Financial Management, 17</w:t>
      </w:r>
      <w:r w:rsidRPr="009C0FB3">
        <w:rPr>
          <w:rFonts w:ascii="Times New Roman" w:hAnsi="Times New Roman" w:cs="Times New Roman"/>
          <w:sz w:val="24"/>
          <w:szCs w:val="24"/>
        </w:rPr>
        <w:t xml:space="preserve">(12), 558. </w:t>
      </w:r>
    </w:p>
    <w:p w14:paraId="3085F9BE" w14:textId="77777777" w:rsidR="00D80BFE" w:rsidRPr="009C0FB3" w:rsidRDefault="00D80BFE"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Methei</w:t>
      </w:r>
      <w:proofErr w:type="spellEnd"/>
      <w:r w:rsidRPr="009C0FB3">
        <w:rPr>
          <w:rFonts w:ascii="Times New Roman" w:hAnsi="Times New Roman" w:cs="Times New Roman"/>
          <w:sz w:val="24"/>
          <w:szCs w:val="24"/>
        </w:rPr>
        <w:t xml:space="preserve">, A. (2024). A perspective on the impact of digitalization of tax administration: Transparency, compliance and governance implications. </w:t>
      </w:r>
      <w:r w:rsidRPr="009C0FB3">
        <w:rPr>
          <w:rFonts w:ascii="Times New Roman" w:hAnsi="Times New Roman" w:cs="Times New Roman"/>
          <w:i/>
          <w:iCs/>
          <w:sz w:val="24"/>
          <w:szCs w:val="24"/>
        </w:rPr>
        <w:t>Journal of Sustainable Development and Compliance, 6</w:t>
      </w:r>
      <w:r w:rsidRPr="009C0FB3">
        <w:rPr>
          <w:rFonts w:ascii="Times New Roman" w:hAnsi="Times New Roman" w:cs="Times New Roman"/>
          <w:sz w:val="24"/>
          <w:szCs w:val="24"/>
        </w:rPr>
        <w:t>(1), 21–34.</w:t>
      </w:r>
    </w:p>
    <w:p w14:paraId="1ECAB761" w14:textId="77777777" w:rsidR="00D80BFE" w:rsidRPr="009C0FB3" w:rsidRDefault="00D80BFE"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Verma, R. (2025). Recent tax reforms in India: Policy implications and financial market impact. </w:t>
      </w:r>
      <w:r w:rsidRPr="009C0FB3">
        <w:rPr>
          <w:rFonts w:ascii="Times New Roman" w:hAnsi="Times New Roman" w:cs="Times New Roman"/>
          <w:i/>
          <w:iCs/>
          <w:sz w:val="24"/>
          <w:szCs w:val="24"/>
        </w:rPr>
        <w:t>International Journal of Research in Commerce and Management Studies, 13</w:t>
      </w:r>
      <w:r w:rsidRPr="009C0FB3">
        <w:rPr>
          <w:rFonts w:ascii="Times New Roman" w:hAnsi="Times New Roman" w:cs="Times New Roman"/>
          <w:sz w:val="24"/>
          <w:szCs w:val="24"/>
        </w:rPr>
        <w:t>(3), 1–15.</w:t>
      </w:r>
    </w:p>
    <w:p w14:paraId="61E9D768"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Sen, A. (1982). </w:t>
      </w:r>
      <w:r w:rsidRPr="009C0FB3">
        <w:rPr>
          <w:rFonts w:ascii="Times New Roman" w:hAnsi="Times New Roman" w:cs="Times New Roman"/>
          <w:i/>
          <w:iCs/>
          <w:sz w:val="24"/>
          <w:szCs w:val="24"/>
        </w:rPr>
        <w:t>Choice, welfare and measurement</w:t>
      </w:r>
      <w:r w:rsidRPr="009C0FB3">
        <w:rPr>
          <w:rFonts w:ascii="Times New Roman" w:hAnsi="Times New Roman" w:cs="Times New Roman"/>
          <w:sz w:val="24"/>
          <w:szCs w:val="24"/>
        </w:rPr>
        <w:t>. Basil Blackwell.</w:t>
      </w:r>
    </w:p>
    <w:p w14:paraId="62F9A272"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Sen, A. (1999). </w:t>
      </w:r>
      <w:r w:rsidRPr="009C0FB3">
        <w:rPr>
          <w:rFonts w:ascii="Times New Roman" w:hAnsi="Times New Roman" w:cs="Times New Roman"/>
          <w:i/>
          <w:iCs/>
          <w:sz w:val="24"/>
          <w:szCs w:val="24"/>
        </w:rPr>
        <w:t>Development as freedom</w:t>
      </w:r>
      <w:r w:rsidRPr="009C0FB3">
        <w:rPr>
          <w:rFonts w:ascii="Times New Roman" w:hAnsi="Times New Roman" w:cs="Times New Roman"/>
          <w:sz w:val="24"/>
          <w:szCs w:val="24"/>
        </w:rPr>
        <w:t>. Oxford University Press.</w:t>
      </w:r>
    </w:p>
    <w:p w14:paraId="1DD9DE4F" w14:textId="77777777" w:rsidR="002861D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Sharma, R. S. (2008). </w:t>
      </w:r>
      <w:r w:rsidRPr="009C0FB3">
        <w:rPr>
          <w:rFonts w:ascii="Times New Roman" w:hAnsi="Times New Roman" w:cs="Times New Roman"/>
          <w:i/>
          <w:iCs/>
          <w:sz w:val="24"/>
          <w:szCs w:val="24"/>
        </w:rPr>
        <w:t>Indian feudalism: An enquiry</w:t>
      </w:r>
      <w:r w:rsidRPr="009C0FB3">
        <w:rPr>
          <w:rFonts w:ascii="Times New Roman" w:hAnsi="Times New Roman" w:cs="Times New Roman"/>
          <w:sz w:val="24"/>
          <w:szCs w:val="24"/>
        </w:rPr>
        <w:t>. Macmillan.</w:t>
      </w:r>
    </w:p>
    <w:p w14:paraId="4A324FF2" w14:textId="77777777" w:rsidR="005D3FBB" w:rsidRPr="009C0FB3" w:rsidRDefault="002861D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Thapar, R. (2002). </w:t>
      </w:r>
      <w:r w:rsidRPr="009C0FB3">
        <w:rPr>
          <w:rFonts w:ascii="Times New Roman" w:hAnsi="Times New Roman" w:cs="Times New Roman"/>
          <w:i/>
          <w:iCs/>
          <w:sz w:val="24"/>
          <w:szCs w:val="24"/>
        </w:rPr>
        <w:t>Early India: From the origins to AD 1300</w:t>
      </w:r>
      <w:r w:rsidRPr="009C0FB3">
        <w:rPr>
          <w:rFonts w:ascii="Times New Roman" w:hAnsi="Times New Roman" w:cs="Times New Roman"/>
          <w:sz w:val="24"/>
          <w:szCs w:val="24"/>
        </w:rPr>
        <w:t xml:space="preserve"> (Expanded ed.). University of California Press.</w:t>
      </w:r>
    </w:p>
    <w:p w14:paraId="0731C930" w14:textId="77777777" w:rsidR="005D3FBB" w:rsidRPr="009C0FB3" w:rsidRDefault="005D3FB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Bardhan</w:t>
      </w:r>
      <w:proofErr w:type="spellEnd"/>
      <w:r w:rsidRPr="009C0FB3">
        <w:rPr>
          <w:rFonts w:ascii="Times New Roman" w:hAnsi="Times New Roman" w:cs="Times New Roman"/>
          <w:sz w:val="24"/>
          <w:szCs w:val="24"/>
        </w:rPr>
        <w:t xml:space="preserve">, P. (2005). </w:t>
      </w:r>
      <w:r w:rsidRPr="009C0FB3">
        <w:rPr>
          <w:rFonts w:ascii="Times New Roman" w:hAnsi="Times New Roman" w:cs="Times New Roman"/>
          <w:i/>
          <w:iCs/>
          <w:sz w:val="24"/>
          <w:szCs w:val="24"/>
        </w:rPr>
        <w:t>Scarcity, conflicts, and cooperation: Essays in the political and institutional economics of development</w:t>
      </w:r>
      <w:r w:rsidRPr="009C0FB3">
        <w:rPr>
          <w:rFonts w:ascii="Times New Roman" w:hAnsi="Times New Roman" w:cs="Times New Roman"/>
          <w:sz w:val="24"/>
          <w:szCs w:val="24"/>
        </w:rPr>
        <w:t>. MIT Press.</w:t>
      </w:r>
    </w:p>
    <w:p w14:paraId="1BFFFAD9" w14:textId="77777777" w:rsidR="005D3FBB" w:rsidRPr="009C0FB3" w:rsidRDefault="005D3FB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Besley</w:t>
      </w:r>
      <w:proofErr w:type="spellEnd"/>
      <w:r w:rsidRPr="009C0FB3">
        <w:rPr>
          <w:rFonts w:ascii="Times New Roman" w:hAnsi="Times New Roman" w:cs="Times New Roman"/>
          <w:sz w:val="24"/>
          <w:szCs w:val="24"/>
        </w:rPr>
        <w:t xml:space="preserve">, T., &amp; Persson, T. (2011). </w:t>
      </w:r>
      <w:r w:rsidRPr="009C0FB3">
        <w:rPr>
          <w:rFonts w:ascii="Times New Roman" w:hAnsi="Times New Roman" w:cs="Times New Roman"/>
          <w:i/>
          <w:iCs/>
          <w:sz w:val="24"/>
          <w:szCs w:val="24"/>
        </w:rPr>
        <w:t>Pillars of prosperity: The political economics of development clusters</w:t>
      </w:r>
      <w:r w:rsidRPr="009C0FB3">
        <w:rPr>
          <w:rFonts w:ascii="Times New Roman" w:hAnsi="Times New Roman" w:cs="Times New Roman"/>
          <w:sz w:val="24"/>
          <w:szCs w:val="24"/>
        </w:rPr>
        <w:t>. Princeton University Press.</w:t>
      </w:r>
    </w:p>
    <w:p w14:paraId="46472A74" w14:textId="77777777" w:rsidR="005D3FBB" w:rsidRPr="009C0FB3" w:rsidRDefault="005D3FBB" w:rsidP="009C0FB3">
      <w:pPr>
        <w:pStyle w:val="ListParagraph"/>
        <w:numPr>
          <w:ilvl w:val="0"/>
          <w:numId w:val="6"/>
        </w:numPr>
        <w:jc w:val="both"/>
        <w:rPr>
          <w:rFonts w:ascii="Times New Roman" w:hAnsi="Times New Roman" w:cs="Times New Roman"/>
          <w:sz w:val="24"/>
          <w:szCs w:val="24"/>
        </w:rPr>
      </w:pPr>
      <w:proofErr w:type="spellStart"/>
      <w:r w:rsidRPr="009C0FB3">
        <w:rPr>
          <w:rFonts w:ascii="Times New Roman" w:hAnsi="Times New Roman" w:cs="Times New Roman"/>
          <w:sz w:val="24"/>
          <w:szCs w:val="24"/>
        </w:rPr>
        <w:t>Bhaduri</w:t>
      </w:r>
      <w:proofErr w:type="spellEnd"/>
      <w:r w:rsidRPr="009C0FB3">
        <w:rPr>
          <w:rFonts w:ascii="Times New Roman" w:hAnsi="Times New Roman" w:cs="Times New Roman"/>
          <w:sz w:val="24"/>
          <w:szCs w:val="24"/>
        </w:rPr>
        <w:t xml:space="preserve">, A. (1986). </w:t>
      </w:r>
      <w:r w:rsidRPr="009C0FB3">
        <w:rPr>
          <w:rFonts w:ascii="Times New Roman" w:hAnsi="Times New Roman" w:cs="Times New Roman"/>
          <w:i/>
          <w:iCs/>
          <w:sz w:val="24"/>
          <w:szCs w:val="24"/>
        </w:rPr>
        <w:t>The evolution of land relations in India</w:t>
      </w:r>
      <w:r w:rsidRPr="009C0FB3">
        <w:rPr>
          <w:rFonts w:ascii="Times New Roman" w:hAnsi="Times New Roman" w:cs="Times New Roman"/>
          <w:sz w:val="24"/>
          <w:szCs w:val="24"/>
        </w:rPr>
        <w:t>. Oxford University Press.</w:t>
      </w:r>
    </w:p>
    <w:p w14:paraId="333472E4" w14:textId="77777777" w:rsidR="005D3FBB" w:rsidRPr="009C0FB3" w:rsidRDefault="005D3FB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Gupta, S., &amp; Sengupta, A. (2021). Digital taxation and GST compliance in India. </w:t>
      </w:r>
      <w:r w:rsidRPr="009C0FB3">
        <w:rPr>
          <w:rFonts w:ascii="Times New Roman" w:hAnsi="Times New Roman" w:cs="Times New Roman"/>
          <w:i/>
          <w:iCs/>
          <w:sz w:val="24"/>
          <w:szCs w:val="24"/>
        </w:rPr>
        <w:t>Economic and Political Weekly, 56</w:t>
      </w:r>
      <w:r w:rsidRPr="009C0FB3">
        <w:rPr>
          <w:rFonts w:ascii="Times New Roman" w:hAnsi="Times New Roman" w:cs="Times New Roman"/>
          <w:sz w:val="24"/>
          <w:szCs w:val="24"/>
        </w:rPr>
        <w:t>(18), 45–53.</w:t>
      </w:r>
    </w:p>
    <w:p w14:paraId="7E286AFE" w14:textId="77777777" w:rsidR="005D3FBB" w:rsidRPr="009C0FB3" w:rsidRDefault="005D3FBB" w:rsidP="009C0FB3">
      <w:pPr>
        <w:pStyle w:val="ListParagraph"/>
        <w:numPr>
          <w:ilvl w:val="0"/>
          <w:numId w:val="6"/>
        </w:numPr>
        <w:jc w:val="both"/>
        <w:rPr>
          <w:rFonts w:ascii="Times New Roman" w:hAnsi="Times New Roman" w:cs="Times New Roman"/>
          <w:sz w:val="24"/>
          <w:szCs w:val="24"/>
        </w:rPr>
      </w:pPr>
      <w:r w:rsidRPr="009C0FB3">
        <w:rPr>
          <w:rFonts w:ascii="Times New Roman" w:hAnsi="Times New Roman" w:cs="Times New Roman"/>
          <w:sz w:val="24"/>
          <w:szCs w:val="24"/>
        </w:rPr>
        <w:t xml:space="preserve">Rosenthal, J.-L., &amp; Wong, R. B. (2011). </w:t>
      </w:r>
      <w:r w:rsidRPr="009C0FB3">
        <w:rPr>
          <w:rFonts w:ascii="Times New Roman" w:hAnsi="Times New Roman" w:cs="Times New Roman"/>
          <w:i/>
          <w:iCs/>
          <w:sz w:val="24"/>
          <w:szCs w:val="24"/>
        </w:rPr>
        <w:t>Before and beyond divergence: The politics of economic change in China and Europe</w:t>
      </w:r>
      <w:r w:rsidRPr="009C0FB3">
        <w:rPr>
          <w:rFonts w:ascii="Times New Roman" w:hAnsi="Times New Roman" w:cs="Times New Roman"/>
          <w:sz w:val="24"/>
          <w:szCs w:val="24"/>
        </w:rPr>
        <w:t>. Harvard University Press.</w:t>
      </w:r>
    </w:p>
    <w:p w14:paraId="6F9D8E21" w14:textId="77777777" w:rsidR="00200D86" w:rsidRDefault="00200D86" w:rsidP="00D5088A">
      <w:pPr>
        <w:jc w:val="both"/>
        <w:rPr>
          <w:rFonts w:ascii="Times New Roman" w:hAnsi="Times New Roman" w:cs="Times New Roman"/>
          <w:sz w:val="24"/>
          <w:szCs w:val="24"/>
        </w:rPr>
      </w:pPr>
    </w:p>
    <w:p w14:paraId="0A626B92" w14:textId="77777777" w:rsidR="004C5449" w:rsidRPr="00D5088A" w:rsidRDefault="004C5449" w:rsidP="00D5088A">
      <w:pPr>
        <w:jc w:val="both"/>
        <w:rPr>
          <w:rFonts w:ascii="Times New Roman" w:hAnsi="Times New Roman" w:cs="Times New Roman"/>
          <w:sz w:val="24"/>
          <w:szCs w:val="24"/>
        </w:rPr>
      </w:pPr>
    </w:p>
    <w:sectPr w:rsidR="004C5449" w:rsidRPr="00D508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68EE" w14:textId="77777777" w:rsidR="008172A1" w:rsidRDefault="008172A1" w:rsidP="005D2BEE">
      <w:pPr>
        <w:spacing w:after="0" w:line="240" w:lineRule="auto"/>
      </w:pPr>
      <w:r>
        <w:separator/>
      </w:r>
    </w:p>
  </w:endnote>
  <w:endnote w:type="continuationSeparator" w:id="0">
    <w:p w14:paraId="3DE386A6" w14:textId="77777777" w:rsidR="008172A1" w:rsidRDefault="008172A1" w:rsidP="005D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33AEE" w14:textId="77777777" w:rsidR="005D2BEE" w:rsidRDefault="005D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2871" w14:textId="77777777" w:rsidR="005D2BEE" w:rsidRDefault="005D2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3CA0" w14:textId="77777777" w:rsidR="005D2BEE" w:rsidRDefault="005D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9F6A" w14:textId="77777777" w:rsidR="008172A1" w:rsidRDefault="008172A1" w:rsidP="005D2BEE">
      <w:pPr>
        <w:spacing w:after="0" w:line="240" w:lineRule="auto"/>
      </w:pPr>
      <w:r>
        <w:separator/>
      </w:r>
    </w:p>
  </w:footnote>
  <w:footnote w:type="continuationSeparator" w:id="0">
    <w:p w14:paraId="467E5CB5" w14:textId="77777777" w:rsidR="008172A1" w:rsidRDefault="008172A1" w:rsidP="005D2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00C8" w14:textId="77777777" w:rsidR="005D2BEE" w:rsidRDefault="008172A1">
    <w:pPr>
      <w:pStyle w:val="Header"/>
    </w:pPr>
    <w:r>
      <w:rPr>
        <w:noProof/>
      </w:rPr>
      <w:pict w14:anchorId="4E1D9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51A2" w14:textId="77777777" w:rsidR="005D2BEE" w:rsidRDefault="008172A1">
    <w:pPr>
      <w:pStyle w:val="Header"/>
    </w:pPr>
    <w:r>
      <w:rPr>
        <w:noProof/>
      </w:rPr>
      <w:pict w14:anchorId="60037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E39" w14:textId="77777777" w:rsidR="005D2BEE" w:rsidRDefault="008172A1">
    <w:pPr>
      <w:pStyle w:val="Header"/>
    </w:pPr>
    <w:r>
      <w:rPr>
        <w:noProof/>
      </w:rPr>
      <w:pict w14:anchorId="00B97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76F7"/>
    <w:multiLevelType w:val="multilevel"/>
    <w:tmpl w:val="515A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D6CA6"/>
    <w:multiLevelType w:val="multilevel"/>
    <w:tmpl w:val="CC62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0563F"/>
    <w:multiLevelType w:val="multilevel"/>
    <w:tmpl w:val="D4A4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03329"/>
    <w:multiLevelType w:val="hybridMultilevel"/>
    <w:tmpl w:val="DDA6B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FA6AD1"/>
    <w:multiLevelType w:val="hybridMultilevel"/>
    <w:tmpl w:val="075ED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7A3FFD"/>
    <w:multiLevelType w:val="hybridMultilevel"/>
    <w:tmpl w:val="2D6CF3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1MbA0NDQ1tDQyMzBX0lEKTi0uzszPAykwqgUAQ2+ujywAAAA="/>
  </w:docVars>
  <w:rsids>
    <w:rsidRoot w:val="001E6D82"/>
    <w:rsid w:val="00046DA4"/>
    <w:rsid w:val="0007170F"/>
    <w:rsid w:val="0009791E"/>
    <w:rsid w:val="000C4492"/>
    <w:rsid w:val="0012393F"/>
    <w:rsid w:val="0013144B"/>
    <w:rsid w:val="001619B4"/>
    <w:rsid w:val="00163D2B"/>
    <w:rsid w:val="00172C60"/>
    <w:rsid w:val="001E6D82"/>
    <w:rsid w:val="00200D86"/>
    <w:rsid w:val="00204D3E"/>
    <w:rsid w:val="00221FEA"/>
    <w:rsid w:val="00234300"/>
    <w:rsid w:val="00234C69"/>
    <w:rsid w:val="00251259"/>
    <w:rsid w:val="00281630"/>
    <w:rsid w:val="002861DB"/>
    <w:rsid w:val="002B78F3"/>
    <w:rsid w:val="002C1FC8"/>
    <w:rsid w:val="002E6199"/>
    <w:rsid w:val="00355DDB"/>
    <w:rsid w:val="0035781A"/>
    <w:rsid w:val="003B68C6"/>
    <w:rsid w:val="003E7803"/>
    <w:rsid w:val="00410BE7"/>
    <w:rsid w:val="00427E94"/>
    <w:rsid w:val="00433C02"/>
    <w:rsid w:val="004418FA"/>
    <w:rsid w:val="00495553"/>
    <w:rsid w:val="004A1460"/>
    <w:rsid w:val="004C5449"/>
    <w:rsid w:val="004D5A08"/>
    <w:rsid w:val="004D5D13"/>
    <w:rsid w:val="00503F1D"/>
    <w:rsid w:val="00504DBB"/>
    <w:rsid w:val="00505A73"/>
    <w:rsid w:val="00510A61"/>
    <w:rsid w:val="005A309F"/>
    <w:rsid w:val="005B7698"/>
    <w:rsid w:val="005C5032"/>
    <w:rsid w:val="005C53AC"/>
    <w:rsid w:val="005D1C93"/>
    <w:rsid w:val="005D2BEE"/>
    <w:rsid w:val="005D3FBB"/>
    <w:rsid w:val="005F0A5A"/>
    <w:rsid w:val="00601A6D"/>
    <w:rsid w:val="00622242"/>
    <w:rsid w:val="006270C1"/>
    <w:rsid w:val="00695811"/>
    <w:rsid w:val="006B6006"/>
    <w:rsid w:val="006B6D76"/>
    <w:rsid w:val="006D486F"/>
    <w:rsid w:val="006D5217"/>
    <w:rsid w:val="007916DB"/>
    <w:rsid w:val="007C582C"/>
    <w:rsid w:val="007D0711"/>
    <w:rsid w:val="007D1155"/>
    <w:rsid w:val="007E1353"/>
    <w:rsid w:val="008172A1"/>
    <w:rsid w:val="0082699D"/>
    <w:rsid w:val="00827685"/>
    <w:rsid w:val="00847E63"/>
    <w:rsid w:val="008530C4"/>
    <w:rsid w:val="008A388F"/>
    <w:rsid w:val="008C4D0E"/>
    <w:rsid w:val="00955B11"/>
    <w:rsid w:val="00975B0F"/>
    <w:rsid w:val="009829D9"/>
    <w:rsid w:val="0098320F"/>
    <w:rsid w:val="00992D90"/>
    <w:rsid w:val="00993AA3"/>
    <w:rsid w:val="009A1AA6"/>
    <w:rsid w:val="009A4235"/>
    <w:rsid w:val="009C0FB3"/>
    <w:rsid w:val="009C25EE"/>
    <w:rsid w:val="009D2E09"/>
    <w:rsid w:val="00A00A79"/>
    <w:rsid w:val="00A10424"/>
    <w:rsid w:val="00A438D8"/>
    <w:rsid w:val="00A4677C"/>
    <w:rsid w:val="00A668B1"/>
    <w:rsid w:val="00AE4B09"/>
    <w:rsid w:val="00B5238A"/>
    <w:rsid w:val="00B6092B"/>
    <w:rsid w:val="00B6191D"/>
    <w:rsid w:val="00B72835"/>
    <w:rsid w:val="00BE79A5"/>
    <w:rsid w:val="00BF3785"/>
    <w:rsid w:val="00C1219F"/>
    <w:rsid w:val="00C13F65"/>
    <w:rsid w:val="00C237A7"/>
    <w:rsid w:val="00C52680"/>
    <w:rsid w:val="00C57F47"/>
    <w:rsid w:val="00C6081F"/>
    <w:rsid w:val="00C756B6"/>
    <w:rsid w:val="00CB2839"/>
    <w:rsid w:val="00CD574C"/>
    <w:rsid w:val="00CE3366"/>
    <w:rsid w:val="00CF01ED"/>
    <w:rsid w:val="00CF05FA"/>
    <w:rsid w:val="00D11DE4"/>
    <w:rsid w:val="00D5088A"/>
    <w:rsid w:val="00D76B4E"/>
    <w:rsid w:val="00D80BFE"/>
    <w:rsid w:val="00DA2D21"/>
    <w:rsid w:val="00DC2453"/>
    <w:rsid w:val="00DE407A"/>
    <w:rsid w:val="00E10FCC"/>
    <w:rsid w:val="00E24D36"/>
    <w:rsid w:val="00E27246"/>
    <w:rsid w:val="00EA1D47"/>
    <w:rsid w:val="00ED49EA"/>
    <w:rsid w:val="00F04144"/>
    <w:rsid w:val="00F43EB2"/>
    <w:rsid w:val="00F60744"/>
    <w:rsid w:val="00F62F9A"/>
    <w:rsid w:val="00F663D3"/>
    <w:rsid w:val="00F77BC6"/>
    <w:rsid w:val="00F854A3"/>
    <w:rsid w:val="00FB29A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F40EA9"/>
  <w15:docId w15:val="{DA5E5A22-28E0-4D02-942C-D0F2100B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81A"/>
    <w:pPr>
      <w:ind w:left="720"/>
      <w:contextualSpacing/>
    </w:pPr>
  </w:style>
  <w:style w:type="table" w:styleId="TableGrid">
    <w:name w:val="Table Grid"/>
    <w:basedOn w:val="TableNormal"/>
    <w:uiPriority w:val="39"/>
    <w:rsid w:val="00DA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F47"/>
    <w:rPr>
      <w:color w:val="0563C1" w:themeColor="hyperlink"/>
      <w:u w:val="single"/>
    </w:rPr>
  </w:style>
  <w:style w:type="character" w:styleId="UnresolvedMention">
    <w:name w:val="Unresolved Mention"/>
    <w:basedOn w:val="DefaultParagraphFont"/>
    <w:uiPriority w:val="99"/>
    <w:semiHidden/>
    <w:unhideWhenUsed/>
    <w:rsid w:val="00C57F47"/>
    <w:rPr>
      <w:color w:val="605E5C"/>
      <w:shd w:val="clear" w:color="auto" w:fill="E1DFDD"/>
    </w:rPr>
  </w:style>
  <w:style w:type="paragraph" w:styleId="NormalWeb">
    <w:name w:val="Normal (Web)"/>
    <w:basedOn w:val="Normal"/>
    <w:uiPriority w:val="99"/>
    <w:semiHidden/>
    <w:unhideWhenUsed/>
    <w:rsid w:val="008530C4"/>
    <w:rPr>
      <w:rFonts w:ascii="Times New Roman" w:hAnsi="Times New Roman" w:cs="Times New Roman"/>
      <w:sz w:val="24"/>
      <w:szCs w:val="24"/>
    </w:rPr>
  </w:style>
  <w:style w:type="paragraph" w:styleId="Header">
    <w:name w:val="header"/>
    <w:basedOn w:val="Normal"/>
    <w:link w:val="HeaderChar"/>
    <w:uiPriority w:val="99"/>
    <w:unhideWhenUsed/>
    <w:rsid w:val="005D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BEE"/>
  </w:style>
  <w:style w:type="paragraph" w:styleId="Footer">
    <w:name w:val="footer"/>
    <w:basedOn w:val="Normal"/>
    <w:link w:val="FooterChar"/>
    <w:uiPriority w:val="99"/>
    <w:unhideWhenUsed/>
    <w:rsid w:val="005D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1396">
      <w:bodyDiv w:val="1"/>
      <w:marLeft w:val="0"/>
      <w:marRight w:val="0"/>
      <w:marTop w:val="0"/>
      <w:marBottom w:val="0"/>
      <w:divBdr>
        <w:top w:val="none" w:sz="0" w:space="0" w:color="auto"/>
        <w:left w:val="none" w:sz="0" w:space="0" w:color="auto"/>
        <w:bottom w:val="none" w:sz="0" w:space="0" w:color="auto"/>
        <w:right w:val="none" w:sz="0" w:space="0" w:color="auto"/>
      </w:divBdr>
    </w:div>
    <w:div w:id="455150163">
      <w:bodyDiv w:val="1"/>
      <w:marLeft w:val="0"/>
      <w:marRight w:val="0"/>
      <w:marTop w:val="0"/>
      <w:marBottom w:val="0"/>
      <w:divBdr>
        <w:top w:val="none" w:sz="0" w:space="0" w:color="auto"/>
        <w:left w:val="none" w:sz="0" w:space="0" w:color="auto"/>
        <w:bottom w:val="none" w:sz="0" w:space="0" w:color="auto"/>
        <w:right w:val="none" w:sz="0" w:space="0" w:color="auto"/>
      </w:divBdr>
    </w:div>
    <w:div w:id="624700089">
      <w:bodyDiv w:val="1"/>
      <w:marLeft w:val="0"/>
      <w:marRight w:val="0"/>
      <w:marTop w:val="0"/>
      <w:marBottom w:val="0"/>
      <w:divBdr>
        <w:top w:val="none" w:sz="0" w:space="0" w:color="auto"/>
        <w:left w:val="none" w:sz="0" w:space="0" w:color="auto"/>
        <w:bottom w:val="none" w:sz="0" w:space="0" w:color="auto"/>
        <w:right w:val="none" w:sz="0" w:space="0" w:color="auto"/>
      </w:divBdr>
    </w:div>
    <w:div w:id="1083572254">
      <w:bodyDiv w:val="1"/>
      <w:marLeft w:val="0"/>
      <w:marRight w:val="0"/>
      <w:marTop w:val="0"/>
      <w:marBottom w:val="0"/>
      <w:divBdr>
        <w:top w:val="none" w:sz="0" w:space="0" w:color="auto"/>
        <w:left w:val="none" w:sz="0" w:space="0" w:color="auto"/>
        <w:bottom w:val="none" w:sz="0" w:space="0" w:color="auto"/>
        <w:right w:val="none" w:sz="0" w:space="0" w:color="auto"/>
      </w:divBdr>
    </w:div>
    <w:div w:id="1122844545">
      <w:bodyDiv w:val="1"/>
      <w:marLeft w:val="0"/>
      <w:marRight w:val="0"/>
      <w:marTop w:val="0"/>
      <w:marBottom w:val="0"/>
      <w:divBdr>
        <w:top w:val="none" w:sz="0" w:space="0" w:color="auto"/>
        <w:left w:val="none" w:sz="0" w:space="0" w:color="auto"/>
        <w:bottom w:val="none" w:sz="0" w:space="0" w:color="auto"/>
        <w:right w:val="none" w:sz="0" w:space="0" w:color="auto"/>
      </w:divBdr>
    </w:div>
    <w:div w:id="1718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15</Pages>
  <Words>6632</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100</cp:revision>
  <dcterms:created xsi:type="dcterms:W3CDTF">2026-01-16T06:00:00Z</dcterms:created>
  <dcterms:modified xsi:type="dcterms:W3CDTF">2026-02-18T08:00:00Z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47d9527d-b08b-4427-b9b4-059565728516</vt:lpwstr>
  </property>
</Properties>
</file>