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29C0" w14:textId="77777777" w:rsidR="00920035" w:rsidRDefault="00920035">
      <w:pPr>
        <w:spacing w:line="360" w:lineRule="auto"/>
        <w:jc w:val="both"/>
        <w:rPr>
          <w:rFonts w:ascii="Times New Roman" w:hAnsi="Times New Roman" w:cs="Times New Roman"/>
          <w:b/>
          <w:i/>
          <w:sz w:val="24"/>
          <w:szCs w:val="24"/>
        </w:rPr>
      </w:pPr>
    </w:p>
    <w:p w14:paraId="46A68D95" w14:textId="77777777" w:rsidR="00920035" w:rsidRDefault="002601FA">
      <w:pPr>
        <w:jc w:val="center"/>
        <w:rPr>
          <w:rFonts w:ascii="Times New Roman" w:hAnsi="Times New Roman"/>
          <w:b/>
          <w:sz w:val="40"/>
          <w:szCs w:val="40"/>
        </w:rPr>
      </w:pPr>
      <w:r>
        <w:rPr>
          <w:rFonts w:ascii="Times New Roman" w:hAnsi="Times New Roman"/>
          <w:b/>
          <w:sz w:val="40"/>
          <w:szCs w:val="40"/>
        </w:rPr>
        <w:t>Public Debt and Economic Growth in Nigeria: Domestic vs. External Contributions</w:t>
      </w:r>
    </w:p>
    <w:p w14:paraId="7E925701" w14:textId="77777777" w:rsidR="00920035" w:rsidRDefault="00920035">
      <w:pPr>
        <w:jc w:val="center"/>
        <w:rPr>
          <w:rFonts w:ascii="Times New Roman" w:hAnsi="Times New Roman"/>
          <w:b/>
          <w:sz w:val="40"/>
          <w:szCs w:val="40"/>
        </w:rPr>
      </w:pPr>
    </w:p>
    <w:p w14:paraId="4F20C550" w14:textId="77777777" w:rsidR="00920035" w:rsidRDefault="00920035">
      <w:pPr>
        <w:spacing w:line="360" w:lineRule="auto"/>
        <w:jc w:val="both"/>
        <w:rPr>
          <w:rFonts w:ascii="Times New Roman" w:hAnsi="Times New Roman" w:cs="Times New Roman"/>
          <w:b/>
          <w:i/>
          <w:sz w:val="24"/>
          <w:szCs w:val="24"/>
        </w:rPr>
      </w:pPr>
    </w:p>
    <w:p w14:paraId="373E62F5" w14:textId="77777777" w:rsidR="00920035" w:rsidRDefault="002601FA">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43353ECD" w14:textId="287E257C" w:rsidR="00920035" w:rsidRPr="00CB28AC" w:rsidRDefault="00C8014D" w:rsidP="00C8014D">
      <w:pPr>
        <w:spacing w:line="360" w:lineRule="auto"/>
        <w:jc w:val="both"/>
        <w:rPr>
          <w:rFonts w:ascii="Times New Roman" w:hAnsi="Times New Roman" w:cs="Times New Roman"/>
          <w:sz w:val="24"/>
          <w:szCs w:val="24"/>
          <w:highlight w:val="cyan"/>
        </w:rPr>
      </w:pPr>
      <w:r w:rsidRPr="00CB28AC">
        <w:rPr>
          <w:rFonts w:ascii="Times New Roman" w:hAnsi="Times New Roman" w:cs="Times New Roman"/>
          <w:sz w:val="24"/>
          <w:szCs w:val="24"/>
          <w:highlight w:val="cyan"/>
        </w:rPr>
        <w:t xml:space="preserve">This study examines the relationship between public debt and economic growth in Nigeria using annual time-series data covering 1990–2023. The analysis distinguishes between domestic and external public debt to assess whether debt composition matters for long-run growth performance. After testing for stationarity using the Augmented Dickey–Fuller procedure, the study applies the Autoregressive Distributed Lag (ARDL) bounds-testing approach to investigate cointegration and to estimate both long-run and short-run dynamics within an error-correction framework. The bounds test indicates the presence of a long-run relationship among real output and the debt variables, alongside selected macroeconomic controls. The long-run estimates suggest that domestic debt is positively and statistically significantly associated with real GDP, implying that domestic borrowing may support economic performance when managed within a sustainable fiscal framework and directed toward productive uses. In contrast, external debt is statistically insignificant in the long run, indicating limited evidence of robust growth gains from foreign borrowing over the sample period. The control variables show mixed effects, with results suggesting that structural and productivity constraints may weaken the capacity of </w:t>
      </w:r>
      <w:proofErr w:type="spellStart"/>
      <w:r w:rsidRPr="00CB28AC">
        <w:rPr>
          <w:rFonts w:ascii="Times New Roman" w:hAnsi="Times New Roman" w:cs="Times New Roman"/>
          <w:sz w:val="24"/>
          <w:szCs w:val="24"/>
          <w:highlight w:val="cyan"/>
        </w:rPr>
        <w:t>labour</w:t>
      </w:r>
      <w:proofErr w:type="spellEnd"/>
      <w:r w:rsidRPr="00CB28AC">
        <w:rPr>
          <w:rFonts w:ascii="Times New Roman" w:hAnsi="Times New Roman" w:cs="Times New Roman"/>
          <w:sz w:val="24"/>
          <w:szCs w:val="24"/>
          <w:highlight w:val="cyan"/>
        </w:rPr>
        <w:t>-force expansion and public spending to translate into higher output. In the short run, the adjustment coefficient is negative, indicating convergence toward long-run equilibrium, although the speed of adjustment is modest. Overall, the findings underscore the importance of debt composition and the need for prudent debt management to support sustainable growth in Nigeria.</w:t>
      </w:r>
    </w:p>
    <w:p w14:paraId="16E042EC" w14:textId="77777777" w:rsidR="00920035" w:rsidRPr="00CB28AC" w:rsidRDefault="00920035">
      <w:pPr>
        <w:rPr>
          <w:highlight w:val="cyan"/>
        </w:rPr>
      </w:pPr>
    </w:p>
    <w:p w14:paraId="6420D9CD" w14:textId="365F19BD" w:rsidR="00920035" w:rsidRPr="00C8014D" w:rsidRDefault="00C8014D" w:rsidP="00C8014D">
      <w:pPr>
        <w:spacing w:line="360" w:lineRule="auto"/>
        <w:jc w:val="both"/>
        <w:rPr>
          <w:rFonts w:ascii="Times New Roman" w:hAnsi="Times New Roman" w:cs="Times New Roman"/>
          <w:sz w:val="24"/>
          <w:szCs w:val="24"/>
        </w:rPr>
      </w:pPr>
      <w:r w:rsidRPr="00CB28AC">
        <w:rPr>
          <w:rFonts w:ascii="Times New Roman" w:hAnsi="Times New Roman" w:cs="Times New Roman"/>
          <w:sz w:val="24"/>
          <w:szCs w:val="24"/>
          <w:highlight w:val="cyan"/>
        </w:rPr>
        <w:t>Keywords: Public debt, Domestic debt, External debt, Economic growth, ARDL bounds testing, Nigeria</w:t>
      </w:r>
    </w:p>
    <w:p w14:paraId="5B508C06" w14:textId="77777777" w:rsidR="00920035" w:rsidRDefault="00920035"/>
    <w:p w14:paraId="1BB2691D" w14:textId="77777777" w:rsidR="00920035" w:rsidRDefault="00920035"/>
    <w:p w14:paraId="26774385" w14:textId="77777777" w:rsidR="00920035" w:rsidRDefault="002601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86611D1"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Public debt is a major policy challenge in emerging economies, particularly resource-rich countries like Nigeria. It is a crucial tool for funding infrastructure, promoting growth, and closing budgetary shortfalls. Excessive debt accumulation, on the other hand, might discourage private investment, raise debt service costs, and </w:t>
      </w:r>
      <w:proofErr w:type="spellStart"/>
      <w:r>
        <w:rPr>
          <w:rFonts w:ascii="Times New Roman" w:hAnsi="Times New Roman" w:cs="Times New Roman"/>
          <w:sz w:val="24"/>
          <w:szCs w:val="24"/>
        </w:rPr>
        <w:t>destabilise</w:t>
      </w:r>
      <w:proofErr w:type="spellEnd"/>
      <w:r>
        <w:rPr>
          <w:rFonts w:ascii="Times New Roman" w:hAnsi="Times New Roman" w:cs="Times New Roman"/>
          <w:sz w:val="24"/>
          <w:szCs w:val="24"/>
        </w:rPr>
        <w:t xml:space="preserve"> macroeconomic performance. Public debt refers to the liabilities accumulated by the government through borrowing, which includes all outstanding bonds and obligations that have yet to be fulfilled (</w:t>
      </w:r>
      <w:proofErr w:type="spellStart"/>
      <w:r>
        <w:rPr>
          <w:rFonts w:ascii="Times New Roman" w:hAnsi="Times New Roman" w:cs="Times New Roman"/>
          <w:sz w:val="24"/>
          <w:szCs w:val="24"/>
        </w:rPr>
        <w:t>Nymphas</w:t>
      </w:r>
      <w:proofErr w:type="spellEnd"/>
      <w:r>
        <w:rPr>
          <w:rFonts w:ascii="Times New Roman" w:hAnsi="Times New Roman" w:cs="Times New Roman"/>
          <w:sz w:val="24"/>
          <w:szCs w:val="24"/>
        </w:rPr>
        <w:t xml:space="preserve"> et al., 2023). Fiscal shortages, which arise when revenue fails to meet expenditure obligations, typically prompt governments to borrow. The primary goal of such borrowing is to finance critical infrastructure and development projects, particularly in environments with low domestic savings (</w:t>
      </w:r>
      <w:proofErr w:type="spellStart"/>
      <w:r>
        <w:rPr>
          <w:rFonts w:ascii="Times New Roman" w:hAnsi="Times New Roman" w:cs="Times New Roman"/>
          <w:sz w:val="24"/>
          <w:szCs w:val="24"/>
        </w:rPr>
        <w:t>Ikwuo</w:t>
      </w:r>
      <w:proofErr w:type="spellEnd"/>
      <w:r>
        <w:rPr>
          <w:rFonts w:ascii="Times New Roman" w:hAnsi="Times New Roman" w:cs="Times New Roman"/>
          <w:sz w:val="24"/>
          <w:szCs w:val="24"/>
        </w:rPr>
        <w:t xml:space="preserve"> et al., 2024). Borrowing can occur domestically or externally; domestic debt refers to cash obtained inside the national economy, whereas external debt comes from other nations and international financial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w:t>
      </w:r>
    </w:p>
    <w:p w14:paraId="0EC66A3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Nigeria's strong reliance on crude oil as its principal income source, combined with a chronically low revenue-to-GDP ratio, has made regular borrowing an important budgetary strategy (Kenneth, 2022).  The country's susceptibility to oil price volatility underscores the critical need to diversify its income source.  Government development initiatives and policies place significant financial demands (Sani &amp; </w:t>
      </w:r>
      <w:proofErr w:type="spellStart"/>
      <w:r>
        <w:rPr>
          <w:rFonts w:ascii="Times New Roman" w:hAnsi="Times New Roman" w:cs="Times New Roman"/>
          <w:sz w:val="24"/>
          <w:szCs w:val="24"/>
        </w:rPr>
        <w:t>Nwite</w:t>
      </w:r>
      <w:proofErr w:type="spellEnd"/>
      <w:r>
        <w:rPr>
          <w:rFonts w:ascii="Times New Roman" w:hAnsi="Times New Roman" w:cs="Times New Roman"/>
          <w:sz w:val="24"/>
          <w:szCs w:val="24"/>
        </w:rPr>
        <w:t>, 2021), and the buildup of public debt has a direct impact on fiscal sustainability and macroeconomic credibility (Central Bank of Nigeria [CBN], 2022). In recent years, debt payment has absorbed an alarming amount of Nigeria's earnings, reaching 96% in 2023 (National Bureau of Statistics [NBS], 2024). Persistent fiscal deficits, infrastructure funding requirements, and external shocks have increased governmental debt (Adeola &amp; Evans, 2018).  Excessive borrowing, if not handled well, can cause debt hardship and macroeconomic instability.  Key indices of debt sustainability include the debt-to-GDP ratio, debt service-to-revenue ratio, and external obligation structure (</w:t>
      </w:r>
      <w:proofErr w:type="spellStart"/>
      <w:r>
        <w:rPr>
          <w:rFonts w:ascii="Times New Roman" w:hAnsi="Times New Roman" w:cs="Times New Roman"/>
          <w:sz w:val="24"/>
          <w:szCs w:val="24"/>
        </w:rPr>
        <w:t>Ighodaro</w:t>
      </w:r>
      <w:proofErr w:type="spellEnd"/>
      <w:r>
        <w:rPr>
          <w:rFonts w:ascii="Times New Roman" w:hAnsi="Times New Roman" w:cs="Times New Roman"/>
          <w:sz w:val="24"/>
          <w:szCs w:val="24"/>
        </w:rPr>
        <w:t>, 2019).  While well-managed debt may spur growth, excessive amounts frequently need fiscal retrenchment to ensure stability.</w:t>
      </w:r>
    </w:p>
    <w:p w14:paraId="6CE5EAB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Nigeria's state debt has increased dramatically over the last three decades, owing to persistent fiscal deficits, volatile oil prices, and foreign economic disturbances.  Despite the debt reduction gained by the Paris Club Agreement in 2005 and 2006, debt levels have continued to rise due to growing domestic and external borrowing.  This expansion has taken place under fluctuating economic performance, currency rate volatility, and inflationary pressures.  Nigeria's external debt increased from </w:t>
      </w:r>
      <w:r>
        <w:rPr>
          <w:rFonts w:ascii="Times New Roman" w:hAnsi="Times New Roman" w:cs="Times New Roman"/>
          <w:sz w:val="24"/>
          <w:szCs w:val="24"/>
        </w:rPr>
        <w:lastRenderedPageBreak/>
        <w:t xml:space="preserve">₦2.33 billion in 1981 to ₦53.2 trillion in 2023, leading to a total national debt of ₦91.4 trillion, up from ₦40.9 trillion in 2022.  The debt portfolio comprises both internal instruments like as Treasury bills, FGN bonds, Sukuk, and green bonds, as well as external loans from multilateral and bilateral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including International Monetary Fund (IMF), World Bank, African Development Bank (AfDB), and the Paris Club (CBN, 2023).</w:t>
      </w:r>
    </w:p>
    <w:p w14:paraId="4B6B534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Fiscal policies at the federal and provincial levels have also fueled debt growth.  According to </w:t>
      </w:r>
      <w:proofErr w:type="spellStart"/>
      <w:r>
        <w:rPr>
          <w:rFonts w:ascii="Times New Roman" w:hAnsi="Times New Roman" w:cs="Times New Roman"/>
          <w:sz w:val="24"/>
          <w:szCs w:val="24"/>
        </w:rPr>
        <w:t>Oniha</w:t>
      </w:r>
      <w:proofErr w:type="spellEnd"/>
      <w:r>
        <w:rPr>
          <w:rFonts w:ascii="Times New Roman" w:hAnsi="Times New Roman" w:cs="Times New Roman"/>
          <w:sz w:val="24"/>
          <w:szCs w:val="24"/>
        </w:rPr>
        <w:t xml:space="preserve"> (2022), the state debt increased from ₦39.56 trillion in December 2021 to ₦41.60 trillion in early 2022. This was mostly due to fresh domestic borrowings to pay the budget deficit, Eurobond issuances, and loans from overseas creditors.  Weak income </w:t>
      </w:r>
      <w:proofErr w:type="spellStart"/>
      <w:r>
        <w:rPr>
          <w:rFonts w:ascii="Times New Roman" w:hAnsi="Times New Roman" w:cs="Times New Roman"/>
          <w:sz w:val="24"/>
          <w:szCs w:val="24"/>
        </w:rPr>
        <w:t>mobilisation</w:t>
      </w:r>
      <w:proofErr w:type="spellEnd"/>
      <w:r>
        <w:rPr>
          <w:rFonts w:ascii="Times New Roman" w:hAnsi="Times New Roman" w:cs="Times New Roman"/>
          <w:sz w:val="24"/>
          <w:szCs w:val="24"/>
        </w:rPr>
        <w:t xml:space="preserve"> and recurring budget deficits have exacerbated the situation.  Although Nigeria's debt-to-GDP ratio is still relatively modest by worldwide standards, the high debt-service-to-revenue ratio creates a severe sustainability issue (CBN, 2021; World Bank, 2022). The country's low tax-to-GDP ratio further limits income collection, making borrowing a common part of fiscal management.  Unless changes in spending efficiency, revenue diversification, and fiscal discipline are enacted, state debt will continue to endanger Nigeria's macroeconomic stability (</w:t>
      </w:r>
      <w:proofErr w:type="spellStart"/>
      <w:r>
        <w:rPr>
          <w:rFonts w:ascii="Times New Roman" w:hAnsi="Times New Roman" w:cs="Times New Roman"/>
          <w:sz w:val="24"/>
          <w:szCs w:val="24"/>
        </w:rPr>
        <w:t>Ejinkonye</w:t>
      </w:r>
      <w:proofErr w:type="spellEnd"/>
      <w:r>
        <w:rPr>
          <w:rFonts w:ascii="Times New Roman" w:hAnsi="Times New Roman" w:cs="Times New Roman"/>
          <w:sz w:val="24"/>
          <w:szCs w:val="24"/>
        </w:rPr>
        <w:t>, et al., 2025)</w:t>
      </w:r>
    </w:p>
    <w:p w14:paraId="6F6716D2"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responsibly handled, government borrowing may encourage economic growth by funding vital areas such as infrastructure, healthcare, and education, therefore generating jobs and increasing productivity (Kobayashi, 2015).  Borrowing in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conditions or at high interest rates, on the other hand, can be unproductive, resulting in rising debt-service costs and crowding out productive spending.  Despite a substantial dependence on borrowing to spur development in Nigeria, economic growth has been slow, and debt levels have risen above sustainable levels.  The government continues to spend a disproportionate share of its revenue to debt payment, leaving insufficient budgetary flexibility for necessary expenditures in infrastructure like as transport networks, hospitals, and power generation (</w:t>
      </w:r>
      <w:proofErr w:type="spellStart"/>
      <w:r>
        <w:rPr>
          <w:rFonts w:ascii="Times New Roman" w:hAnsi="Times New Roman" w:cs="Times New Roman"/>
          <w:sz w:val="24"/>
          <w:szCs w:val="24"/>
        </w:rPr>
        <w:t>Akabueze</w:t>
      </w:r>
      <w:proofErr w:type="spellEnd"/>
      <w:r>
        <w:rPr>
          <w:rFonts w:ascii="Times New Roman" w:hAnsi="Times New Roman" w:cs="Times New Roman"/>
          <w:sz w:val="24"/>
          <w:szCs w:val="24"/>
        </w:rPr>
        <w:t xml:space="preserve">, 2018). This outcome reflects inefficiencies in debt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and undermines the developmental intent of borrowing.</w:t>
      </w:r>
    </w:p>
    <w:p w14:paraId="60E3676E" w14:textId="4CB027EC"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External shocks, revenue volatility, and institutional flaws all add to Nigeria's macroeconomic difficulties.  In Q4 2023, the total public debt was ₦87.91 trillion (about $114.35 billion) according to the NBS (2024).  The COVID-19 pandemic worsened fiscal pressures, as increased government spending on healthcare and social </w:t>
      </w:r>
      <w:r>
        <w:rPr>
          <w:rFonts w:ascii="Times New Roman" w:hAnsi="Times New Roman" w:cs="Times New Roman"/>
          <w:sz w:val="24"/>
          <w:szCs w:val="24"/>
        </w:rPr>
        <w:lastRenderedPageBreak/>
        <w:t>protection expanded the debt burden (World Bank, 2020).</w:t>
      </w:r>
      <w:r w:rsidR="001F4E72">
        <w:rPr>
          <w:rFonts w:ascii="Times New Roman" w:hAnsi="Times New Roman" w:cs="Times New Roman"/>
          <w:sz w:val="24"/>
          <w:szCs w:val="24"/>
        </w:rPr>
        <w:t xml:space="preserve"> </w:t>
      </w:r>
      <w:r w:rsidR="001F4E72" w:rsidRPr="001F4E72">
        <w:rPr>
          <w:rFonts w:ascii="Times New Roman" w:hAnsi="Times New Roman" w:cs="Times New Roman"/>
          <w:sz w:val="24"/>
          <w:szCs w:val="24"/>
          <w:highlight w:val="cyan"/>
        </w:rPr>
        <w:t>Recent Nigeria-focused evidence indicates that the debt–growth relationship can be nonlinear, with threshold levels beyond which public debt becomes growth-reducing (</w:t>
      </w:r>
      <w:proofErr w:type="spellStart"/>
      <w:r w:rsidR="001F4E72" w:rsidRPr="001F4E72">
        <w:rPr>
          <w:rFonts w:ascii="Times New Roman" w:hAnsi="Times New Roman" w:cs="Times New Roman"/>
          <w:sz w:val="24"/>
          <w:szCs w:val="24"/>
          <w:highlight w:val="cyan"/>
        </w:rPr>
        <w:t>Ekong</w:t>
      </w:r>
      <w:proofErr w:type="spellEnd"/>
      <w:r w:rsidR="001F4E72" w:rsidRPr="001F4E72">
        <w:rPr>
          <w:rFonts w:ascii="Times New Roman" w:hAnsi="Times New Roman" w:cs="Times New Roman"/>
          <w:sz w:val="24"/>
          <w:szCs w:val="24"/>
          <w:highlight w:val="cyan"/>
        </w:rPr>
        <w:t xml:space="preserve"> et al., 2025).</w:t>
      </w:r>
    </w:p>
    <w:p w14:paraId="384DAF2F" w14:textId="6F446547" w:rsidR="00A43F27"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Nigeria's expanding public debt profile, a fundamental policy question is whether public borrowing promotes macroeconomic growth or has become a restraint on development.  Understanding the macroeconomic implications of the rising debt burden is critical for evidence-based policymaking and the development of long-term fiscal solutions.  Effective debt management is critical not just for preserving fiscal stability and investor confidence, but also for ensuring that borrowing promotes inclusive and long-term growth. </w:t>
      </w:r>
      <w:r w:rsidR="00A43F27" w:rsidRPr="00A43F27">
        <w:rPr>
          <w:rFonts w:ascii="Times New Roman" w:hAnsi="Times New Roman" w:cs="Times New Roman"/>
          <w:sz w:val="24"/>
          <w:szCs w:val="24"/>
          <w:highlight w:val="cyan"/>
        </w:rPr>
        <w:t>This distinction is important because domestic and external debt influence growth through different macro-financial channels.</w:t>
      </w:r>
      <w:r w:rsidR="00A43F27">
        <w:rPr>
          <w:rFonts w:ascii="Times New Roman" w:hAnsi="Times New Roman" w:cs="Times New Roman"/>
          <w:sz w:val="24"/>
          <w:szCs w:val="24"/>
        </w:rPr>
        <w:t xml:space="preserve"> </w:t>
      </w:r>
      <w:r w:rsidR="00A43F27" w:rsidRPr="00A43F27">
        <w:rPr>
          <w:rFonts w:ascii="Times New Roman" w:hAnsi="Times New Roman" w:cs="Times New Roman"/>
          <w:sz w:val="24"/>
          <w:szCs w:val="24"/>
          <w:highlight w:val="cyan"/>
        </w:rPr>
        <w:t xml:space="preserve">Public debt influences growth not only through its level but also through its composition (Gómez-Puig et al., 2022). Domestic debt issued in local currency and held largely by residents can be growth-enhancing when it deepens financial markets: government securities help </w:t>
      </w:r>
      <w:proofErr w:type="gramStart"/>
      <w:r w:rsidR="00A43F27" w:rsidRPr="00A43F27">
        <w:rPr>
          <w:rFonts w:ascii="Times New Roman" w:hAnsi="Times New Roman" w:cs="Times New Roman"/>
          <w:sz w:val="24"/>
          <w:szCs w:val="24"/>
          <w:highlight w:val="cyan"/>
        </w:rPr>
        <w:t>create</w:t>
      </w:r>
      <w:proofErr w:type="gramEnd"/>
      <w:r w:rsidR="00A43F27" w:rsidRPr="00A43F27">
        <w:rPr>
          <w:rFonts w:ascii="Times New Roman" w:hAnsi="Times New Roman" w:cs="Times New Roman"/>
          <w:sz w:val="24"/>
          <w:szCs w:val="24"/>
          <w:highlight w:val="cyan"/>
        </w:rPr>
        <w:t xml:space="preserve"> a benchmark yield curve, improve monetary-policy transmission, and mobilize domestic savings for intermediation (Abbas &amp; Christensen, 2010; </w:t>
      </w:r>
      <w:proofErr w:type="spellStart"/>
      <w:r w:rsidR="00A43F27" w:rsidRPr="00A43F27">
        <w:rPr>
          <w:rFonts w:ascii="Times New Roman" w:hAnsi="Times New Roman" w:cs="Times New Roman"/>
          <w:sz w:val="24"/>
          <w:szCs w:val="24"/>
          <w:highlight w:val="cyan"/>
        </w:rPr>
        <w:t>Ottonello</w:t>
      </w:r>
      <w:proofErr w:type="spellEnd"/>
      <w:r w:rsidR="00A43F27" w:rsidRPr="00A43F27">
        <w:rPr>
          <w:rFonts w:ascii="Times New Roman" w:hAnsi="Times New Roman" w:cs="Times New Roman"/>
          <w:sz w:val="24"/>
          <w:szCs w:val="24"/>
          <w:highlight w:val="cyan"/>
        </w:rPr>
        <w:t xml:space="preserve"> &amp; Perez, 2019). These benefits weaken when domestic borrowing crowds out private credit or raises rollover risk. External debt can be neutral or harmful when it generates debt overhang—expectations of heavier future debt service that reduce private investment incentives (Krugman, 1988). External liabilities also heighten vulnerability to shocks and debt distress, particularly when policy and institutional buffers are weak (Du &amp; Schreger, 2022; Keyser &amp; </w:t>
      </w:r>
      <w:proofErr w:type="spellStart"/>
      <w:r w:rsidR="00A43F27" w:rsidRPr="00A43F27">
        <w:rPr>
          <w:rFonts w:ascii="Times New Roman" w:hAnsi="Times New Roman" w:cs="Times New Roman"/>
          <w:sz w:val="24"/>
          <w:szCs w:val="24"/>
          <w:highlight w:val="cyan"/>
        </w:rPr>
        <w:t>Paczos</w:t>
      </w:r>
      <w:proofErr w:type="spellEnd"/>
      <w:r w:rsidR="00A43F27" w:rsidRPr="00A43F27">
        <w:rPr>
          <w:rFonts w:ascii="Times New Roman" w:hAnsi="Times New Roman" w:cs="Times New Roman"/>
          <w:sz w:val="24"/>
          <w:szCs w:val="24"/>
          <w:highlight w:val="cyan"/>
        </w:rPr>
        <w:t xml:space="preserve">, 2023; </w:t>
      </w:r>
      <w:proofErr w:type="spellStart"/>
      <w:r w:rsidR="00A43F27" w:rsidRPr="00A43F27">
        <w:rPr>
          <w:rFonts w:ascii="Times New Roman" w:hAnsi="Times New Roman" w:cs="Times New Roman"/>
          <w:sz w:val="24"/>
          <w:szCs w:val="24"/>
          <w:highlight w:val="cyan"/>
        </w:rPr>
        <w:t>Kraay</w:t>
      </w:r>
      <w:proofErr w:type="spellEnd"/>
      <w:r w:rsidR="00A43F27" w:rsidRPr="00A43F27">
        <w:rPr>
          <w:rFonts w:ascii="Times New Roman" w:hAnsi="Times New Roman" w:cs="Times New Roman"/>
          <w:sz w:val="24"/>
          <w:szCs w:val="24"/>
          <w:highlight w:val="cyan"/>
        </w:rPr>
        <w:t xml:space="preserve"> &amp; Nehru, 2006). Cross-country evidence further suggests that the debt–growth link is sensitive to endogeneity and valuation effects from exchange-rate movements, which can mask causal impacts in reduced-form regressions (</w:t>
      </w:r>
      <w:proofErr w:type="spellStart"/>
      <w:r w:rsidR="00A43F27" w:rsidRPr="00A43F27">
        <w:rPr>
          <w:rFonts w:ascii="Times New Roman" w:hAnsi="Times New Roman" w:cs="Times New Roman"/>
          <w:sz w:val="24"/>
          <w:szCs w:val="24"/>
          <w:highlight w:val="cyan"/>
        </w:rPr>
        <w:t>Fujii</w:t>
      </w:r>
      <w:proofErr w:type="spellEnd"/>
      <w:r w:rsidR="00A43F27" w:rsidRPr="00A43F27">
        <w:rPr>
          <w:rFonts w:ascii="Times New Roman" w:hAnsi="Times New Roman" w:cs="Times New Roman"/>
          <w:sz w:val="24"/>
          <w:szCs w:val="24"/>
          <w:highlight w:val="cyan"/>
        </w:rPr>
        <w:t xml:space="preserve">, 2024; Panizza &amp; </w:t>
      </w:r>
      <w:proofErr w:type="spellStart"/>
      <w:r w:rsidR="00A43F27" w:rsidRPr="00A43F27">
        <w:rPr>
          <w:rFonts w:ascii="Times New Roman" w:hAnsi="Times New Roman" w:cs="Times New Roman"/>
          <w:sz w:val="24"/>
          <w:szCs w:val="24"/>
          <w:highlight w:val="cyan"/>
        </w:rPr>
        <w:t>Presbitero</w:t>
      </w:r>
      <w:proofErr w:type="spellEnd"/>
      <w:r w:rsidR="00A43F27" w:rsidRPr="00A43F27">
        <w:rPr>
          <w:rFonts w:ascii="Times New Roman" w:hAnsi="Times New Roman" w:cs="Times New Roman"/>
          <w:sz w:val="24"/>
          <w:szCs w:val="24"/>
          <w:highlight w:val="cyan"/>
        </w:rPr>
        <w:t>, 2014). Consistent with this, high debt can affect growth through channels such as lower public investment and weaker productivity, implying that composition and macro-financial context matter for outcomes (</w:t>
      </w:r>
      <w:proofErr w:type="spellStart"/>
      <w:r w:rsidR="00A43F27" w:rsidRPr="00A43F27">
        <w:rPr>
          <w:rFonts w:ascii="Times New Roman" w:hAnsi="Times New Roman" w:cs="Times New Roman"/>
          <w:sz w:val="24"/>
          <w:szCs w:val="24"/>
          <w:highlight w:val="cyan"/>
        </w:rPr>
        <w:t>Checherita</w:t>
      </w:r>
      <w:proofErr w:type="spellEnd"/>
      <w:r w:rsidR="00A43F27" w:rsidRPr="00A43F27">
        <w:rPr>
          <w:rFonts w:ascii="Times New Roman" w:hAnsi="Times New Roman" w:cs="Times New Roman"/>
          <w:sz w:val="24"/>
          <w:szCs w:val="24"/>
          <w:highlight w:val="cyan"/>
        </w:rPr>
        <w:t>-Westphal &amp; Rother, 2012).</w:t>
      </w:r>
      <w:r w:rsidR="00A43F27">
        <w:rPr>
          <w:rFonts w:ascii="Times New Roman" w:hAnsi="Times New Roman" w:cs="Times New Roman"/>
          <w:sz w:val="24"/>
          <w:szCs w:val="24"/>
        </w:rPr>
        <w:t xml:space="preserve"> </w:t>
      </w:r>
      <w:r w:rsidR="00A43F27" w:rsidRPr="00A43F27">
        <w:rPr>
          <w:rFonts w:ascii="Times New Roman" w:hAnsi="Times New Roman" w:cs="Times New Roman"/>
          <w:sz w:val="24"/>
          <w:szCs w:val="24"/>
          <w:highlight w:val="cyan"/>
        </w:rPr>
        <w:t>Motivated by these channels, this study estimates the growth effects of domestic and external debt for Nigeria over 1990–2023 using an ARDL framework.</w:t>
      </w:r>
      <w:r w:rsidR="001F4E72">
        <w:rPr>
          <w:rFonts w:ascii="Times New Roman" w:hAnsi="Times New Roman" w:cs="Times New Roman"/>
          <w:sz w:val="24"/>
          <w:szCs w:val="24"/>
        </w:rPr>
        <w:t xml:space="preserve"> </w:t>
      </w:r>
    </w:p>
    <w:p w14:paraId="1FA6378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the purpose of this study is to empirically investigate the short-run and long-run effects of public debt on economic growth, and to assess the relative impact of external and domestic debt on economic growth. To achieve these objectives the study relied on Autoregressive Distributed Lag Model (ARDL) given its capability to </w:t>
      </w:r>
      <w:r>
        <w:rPr>
          <w:rFonts w:ascii="Times New Roman" w:hAnsi="Times New Roman" w:cs="Times New Roman"/>
          <w:sz w:val="24"/>
          <w:szCs w:val="24"/>
        </w:rPr>
        <w:lastRenderedPageBreak/>
        <w:t>estimates short-run and long-run impact effectively. The rest of the paper is divided into four Sections. The next Section contains the Literature Review, and this is followed in Section 3 by Methodology, while Section 4 contains the results, and finally the concluding section.</w:t>
      </w:r>
    </w:p>
    <w:p w14:paraId="46ACD716" w14:textId="77777777" w:rsidR="00920035" w:rsidRDefault="002601F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Hypothesis</w:t>
      </w:r>
    </w:p>
    <w:p w14:paraId="6FC444CD" w14:textId="77777777" w:rsidR="00920035" w:rsidRDefault="002601FA">
      <w:pPr>
        <w:spacing w:line="36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Public debts in the short-run and long-run have no effects on economic growth.</w:t>
      </w:r>
    </w:p>
    <w:p w14:paraId="57905632" w14:textId="77777777" w:rsidR="00920035" w:rsidRDefault="002601FA">
      <w:pPr>
        <w:spacing w:line="360" w:lineRule="auto"/>
        <w:rPr>
          <w:rFonts w:ascii="Times New Roman" w:hAnsi="Times New Roman" w:cs="Times New Roman"/>
          <w:sz w:val="24"/>
          <w:szCs w:val="24"/>
        </w:rPr>
      </w:pPr>
      <w:r>
        <w:rPr>
          <w:rFonts w:ascii="Times New Roman" w:hAnsi="Times New Roman" w:cs="Times New Roman"/>
          <w:sz w:val="24"/>
          <w:szCs w:val="24"/>
        </w:rPr>
        <w:t>H1</w:t>
      </w:r>
      <w:r>
        <w:rPr>
          <w:rFonts w:ascii="Times New Roman" w:hAnsi="Times New Roman" w:cs="Times New Roman"/>
          <w:sz w:val="24"/>
          <w:szCs w:val="24"/>
          <w:vertAlign w:val="subscript"/>
        </w:rPr>
        <w:t>1</w:t>
      </w:r>
      <w:r>
        <w:rPr>
          <w:rFonts w:ascii="Times New Roman" w:hAnsi="Times New Roman" w:cs="Times New Roman"/>
          <w:sz w:val="24"/>
          <w:szCs w:val="24"/>
        </w:rPr>
        <w:t>: Public debts in the short-run and long-run have effects on economic growth.</w:t>
      </w:r>
    </w:p>
    <w:p w14:paraId="5747A164" w14:textId="77777777" w:rsidR="00920035" w:rsidRDefault="002601FA">
      <w:pPr>
        <w:spacing w:line="36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External and domestic debts have no relative impact on economic growth.</w:t>
      </w:r>
    </w:p>
    <w:p w14:paraId="72076260" w14:textId="77777777" w:rsidR="00920035" w:rsidRDefault="002601FA">
      <w:pPr>
        <w:spacing w:line="360" w:lineRule="auto"/>
        <w:rPr>
          <w:rFonts w:ascii="Times New Roman" w:hAnsi="Times New Roman" w:cs="Times New Roman"/>
          <w:sz w:val="24"/>
          <w:szCs w:val="24"/>
        </w:rPr>
      </w:pPr>
      <w:r>
        <w:rPr>
          <w:rFonts w:ascii="Times New Roman" w:hAnsi="Times New Roman" w:cs="Times New Roman"/>
          <w:sz w:val="24"/>
          <w:szCs w:val="24"/>
        </w:rPr>
        <w:t>H1</w:t>
      </w:r>
      <w:r>
        <w:rPr>
          <w:rFonts w:ascii="Times New Roman" w:hAnsi="Times New Roman" w:cs="Times New Roman"/>
          <w:sz w:val="24"/>
          <w:szCs w:val="24"/>
          <w:vertAlign w:val="subscript"/>
        </w:rPr>
        <w:t>2</w:t>
      </w:r>
      <w:r>
        <w:rPr>
          <w:rFonts w:ascii="Times New Roman" w:hAnsi="Times New Roman" w:cs="Times New Roman"/>
          <w:sz w:val="24"/>
          <w:szCs w:val="24"/>
        </w:rPr>
        <w:t>: External and domestic debts have relative impact on economic growth.</w:t>
      </w:r>
    </w:p>
    <w:p w14:paraId="2055F00B" w14:textId="77777777" w:rsidR="00920035" w:rsidRDefault="00920035"/>
    <w:p w14:paraId="1BE69085" w14:textId="77777777" w:rsidR="00920035" w:rsidRDefault="00920035"/>
    <w:p w14:paraId="7742EC78" w14:textId="77777777" w:rsidR="00920035" w:rsidRDefault="00920035"/>
    <w:p w14:paraId="5D76B399" w14:textId="77777777" w:rsidR="00920035" w:rsidRDefault="00920035"/>
    <w:p w14:paraId="2DD4E61A" w14:textId="77777777" w:rsidR="00920035" w:rsidRDefault="00920035"/>
    <w:p w14:paraId="5B8C2E0A" w14:textId="77777777" w:rsidR="00920035" w:rsidRDefault="00920035"/>
    <w:p w14:paraId="2BCF111F" w14:textId="77777777" w:rsidR="00920035" w:rsidRDefault="00920035"/>
    <w:p w14:paraId="41D0A3C9" w14:textId="77777777" w:rsidR="00920035" w:rsidRDefault="00920035"/>
    <w:p w14:paraId="7C282178" w14:textId="77777777" w:rsidR="00920035" w:rsidRDefault="00920035"/>
    <w:p w14:paraId="2A98F56D" w14:textId="77777777" w:rsidR="00920035" w:rsidRDefault="00920035"/>
    <w:p w14:paraId="490C21C0" w14:textId="77777777" w:rsidR="00920035" w:rsidRDefault="00920035"/>
    <w:p w14:paraId="7177A3B4" w14:textId="77777777" w:rsidR="00920035" w:rsidRDefault="00920035"/>
    <w:p w14:paraId="15D0323F" w14:textId="77777777" w:rsidR="00920035" w:rsidRDefault="00920035"/>
    <w:p w14:paraId="6F24461E" w14:textId="77777777" w:rsidR="00920035" w:rsidRDefault="00920035"/>
    <w:p w14:paraId="5DA2E5AE" w14:textId="77777777" w:rsidR="00920035" w:rsidRDefault="00920035"/>
    <w:p w14:paraId="4D523CEC" w14:textId="77777777" w:rsidR="00920035" w:rsidRDefault="00920035"/>
    <w:p w14:paraId="66F7F51C" w14:textId="77777777" w:rsidR="00920035" w:rsidRDefault="00920035"/>
    <w:p w14:paraId="51832909" w14:textId="77777777" w:rsidR="00920035" w:rsidRDefault="00920035"/>
    <w:p w14:paraId="2FCA0D65" w14:textId="77777777" w:rsidR="00920035" w:rsidRDefault="00920035"/>
    <w:p w14:paraId="7570AE56" w14:textId="77777777" w:rsidR="00920035" w:rsidRDefault="002601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EDD007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empirical evidence on the relationship between public debt and economic growth in Nigeria is complicated and often contradictory.  Most studies agree that the influence of public debt on growth is determined on its composition, whether domestic or external, as well as the efficiency with which borrowed funds are used.  For example, </w:t>
      </w:r>
      <w:proofErr w:type="spellStart"/>
      <w:r>
        <w:rPr>
          <w:rFonts w:ascii="Times New Roman" w:hAnsi="Times New Roman" w:cs="Times New Roman"/>
          <w:sz w:val="24"/>
          <w:szCs w:val="24"/>
        </w:rPr>
        <w:t>Alagba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Eferakeya</w:t>
      </w:r>
      <w:proofErr w:type="spellEnd"/>
      <w:r>
        <w:rPr>
          <w:rFonts w:ascii="Times New Roman" w:hAnsi="Times New Roman" w:cs="Times New Roman"/>
          <w:sz w:val="24"/>
          <w:szCs w:val="24"/>
        </w:rPr>
        <w:t xml:space="preserve"> (2019) discovered that local debt considerably boosts economic growth, but international debt has a lesser or insignificant influence.  Similarly, Ajayi and </w:t>
      </w:r>
      <w:proofErr w:type="spellStart"/>
      <w:r>
        <w:rPr>
          <w:rFonts w:ascii="Times New Roman" w:hAnsi="Times New Roman" w:cs="Times New Roman"/>
          <w:sz w:val="24"/>
          <w:szCs w:val="24"/>
        </w:rPr>
        <w:t>Adewusi</w:t>
      </w:r>
      <w:proofErr w:type="spellEnd"/>
      <w:r>
        <w:rPr>
          <w:rFonts w:ascii="Times New Roman" w:hAnsi="Times New Roman" w:cs="Times New Roman"/>
          <w:sz w:val="24"/>
          <w:szCs w:val="24"/>
        </w:rPr>
        <w:t xml:space="preserve"> (2020) and </w:t>
      </w:r>
      <w:proofErr w:type="spellStart"/>
      <w:r>
        <w:rPr>
          <w:rFonts w:ascii="Times New Roman" w:hAnsi="Times New Roman" w:cs="Times New Roman"/>
          <w:sz w:val="24"/>
          <w:szCs w:val="24"/>
        </w:rPr>
        <w:t>Ejinkonye</w:t>
      </w:r>
      <w:proofErr w:type="spellEnd"/>
      <w:r>
        <w:rPr>
          <w:rFonts w:ascii="Times New Roman" w:hAnsi="Times New Roman" w:cs="Times New Roman"/>
          <w:sz w:val="24"/>
          <w:szCs w:val="24"/>
        </w:rPr>
        <w:t xml:space="preserve"> et al. (2025) found that domestic debt has a positive effect on GDP but external debt has a negative effect, </w:t>
      </w:r>
      <w:proofErr w:type="spellStart"/>
      <w:r>
        <w:rPr>
          <w:rFonts w:ascii="Times New Roman" w:hAnsi="Times New Roman" w:cs="Times New Roman"/>
          <w:sz w:val="24"/>
          <w:szCs w:val="24"/>
        </w:rPr>
        <w:t>emphasising</w:t>
      </w:r>
      <w:proofErr w:type="spellEnd"/>
      <w:r>
        <w:rPr>
          <w:rFonts w:ascii="Times New Roman" w:hAnsi="Times New Roman" w:cs="Times New Roman"/>
          <w:sz w:val="24"/>
          <w:szCs w:val="24"/>
        </w:rPr>
        <w:t xml:space="preserve"> the necessity of wise management of foreign loans. </w:t>
      </w:r>
      <w:proofErr w:type="spellStart"/>
      <w:r>
        <w:rPr>
          <w:rFonts w:ascii="Times New Roman" w:hAnsi="Times New Roman" w:cs="Times New Roman"/>
          <w:sz w:val="24"/>
          <w:szCs w:val="24"/>
        </w:rPr>
        <w:t>Nymphas</w:t>
      </w:r>
      <w:proofErr w:type="spellEnd"/>
      <w:r>
        <w:rPr>
          <w:rFonts w:ascii="Times New Roman" w:hAnsi="Times New Roman" w:cs="Times New Roman"/>
          <w:sz w:val="24"/>
          <w:szCs w:val="24"/>
        </w:rPr>
        <w:t xml:space="preserve"> et al. (2023) also found that when fiscal management is effective, both foreign and domestic loans may boost GDP, implying that debt's impact is primarily determined by its productive use. </w:t>
      </w:r>
    </w:p>
    <w:p w14:paraId="7F68C74C"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Several studies have found that excessive debt buildup might stifle growth due to debt overhang and crowding-out effects. Okorie and </w:t>
      </w:r>
      <w:proofErr w:type="spellStart"/>
      <w:r>
        <w:rPr>
          <w:rFonts w:ascii="Times New Roman" w:hAnsi="Times New Roman" w:cs="Times New Roman"/>
          <w:sz w:val="24"/>
          <w:szCs w:val="24"/>
        </w:rPr>
        <w:t>Cookey</w:t>
      </w:r>
      <w:proofErr w:type="spellEnd"/>
      <w:r>
        <w:rPr>
          <w:rFonts w:ascii="Times New Roman" w:hAnsi="Times New Roman" w:cs="Times New Roman"/>
          <w:sz w:val="24"/>
          <w:szCs w:val="24"/>
        </w:rPr>
        <w:t xml:space="preserve"> (2020) discovered that development stocks had a negative but large influence on growth, whereas Treasury bonds had a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but small effect. Similarly, </w:t>
      </w:r>
      <w:proofErr w:type="spellStart"/>
      <w:r>
        <w:rPr>
          <w:rFonts w:ascii="Times New Roman" w:hAnsi="Times New Roman" w:cs="Times New Roman"/>
          <w:sz w:val="24"/>
          <w:szCs w:val="24"/>
        </w:rPr>
        <w:t>Ekperiware</w:t>
      </w:r>
      <w:proofErr w:type="spellEnd"/>
      <w:r>
        <w:rPr>
          <w:rFonts w:ascii="Times New Roman" w:hAnsi="Times New Roman" w:cs="Times New Roman"/>
          <w:sz w:val="24"/>
          <w:szCs w:val="24"/>
        </w:rPr>
        <w:t xml:space="preserve"> et al. (2022) and </w:t>
      </w:r>
      <w:proofErr w:type="spellStart"/>
      <w:r>
        <w:rPr>
          <w:rFonts w:ascii="Times New Roman" w:hAnsi="Times New Roman" w:cs="Times New Roman"/>
          <w:sz w:val="24"/>
          <w:szCs w:val="24"/>
        </w:rPr>
        <w:t>Abdulmumin</w:t>
      </w:r>
      <w:proofErr w:type="spellEnd"/>
      <w:r>
        <w:rPr>
          <w:rFonts w:ascii="Times New Roman" w:hAnsi="Times New Roman" w:cs="Times New Roman"/>
          <w:sz w:val="24"/>
          <w:szCs w:val="24"/>
        </w:rPr>
        <w:t xml:space="preserve"> (2022) discovered conflicting results, with domestic debt having both bad and positive consequences over time, and external debt limiting or supporting growth depending on management </w:t>
      </w:r>
      <w:proofErr w:type="spellStart"/>
      <w:proofErr w:type="gramStart"/>
      <w:r>
        <w:rPr>
          <w:rFonts w:ascii="Times New Roman" w:hAnsi="Times New Roman" w:cs="Times New Roman"/>
          <w:sz w:val="24"/>
          <w:szCs w:val="24"/>
        </w:rPr>
        <w:t>quality.Elom</w:t>
      </w:r>
      <w:proofErr w:type="spellEnd"/>
      <w:proofErr w:type="gramEnd"/>
      <w:r>
        <w:rPr>
          <w:rFonts w:ascii="Times New Roman" w:hAnsi="Times New Roman" w:cs="Times New Roman"/>
          <w:sz w:val="24"/>
          <w:szCs w:val="24"/>
        </w:rPr>
        <w:t xml:space="preserve">-Obed et al. (2017) and Eke and </w:t>
      </w:r>
      <w:proofErr w:type="spellStart"/>
      <w:r>
        <w:rPr>
          <w:rFonts w:ascii="Times New Roman" w:hAnsi="Times New Roman" w:cs="Times New Roman"/>
          <w:sz w:val="24"/>
          <w:szCs w:val="24"/>
        </w:rPr>
        <w:t>Akujuobi</w:t>
      </w:r>
      <w:proofErr w:type="spellEnd"/>
      <w:r>
        <w:rPr>
          <w:rFonts w:ascii="Times New Roman" w:hAnsi="Times New Roman" w:cs="Times New Roman"/>
          <w:sz w:val="24"/>
          <w:szCs w:val="24"/>
        </w:rPr>
        <w:t xml:space="preserve"> (2020) found that both domestic and overseas loans have a detrimental impact on economic growth due to corruption, misuse of money, and ineffective debt management. Veronica (2021) and </w:t>
      </w:r>
      <w:proofErr w:type="spellStart"/>
      <w:r>
        <w:rPr>
          <w:rFonts w:ascii="Times New Roman" w:hAnsi="Times New Roman" w:cs="Times New Roman"/>
          <w:sz w:val="24"/>
          <w:szCs w:val="24"/>
        </w:rPr>
        <w:t>Abdulkarim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Saidatulakmal</w:t>
      </w:r>
      <w:proofErr w:type="spellEnd"/>
      <w:r>
        <w:rPr>
          <w:rFonts w:ascii="Times New Roman" w:hAnsi="Times New Roman" w:cs="Times New Roman"/>
          <w:sz w:val="24"/>
          <w:szCs w:val="24"/>
        </w:rPr>
        <w:t xml:space="preserve"> (2021) confirmed that high debt servicing ratios significantly reduce growth, implying a debt overhang problem, and advised Nigeria to diversify its revenue base and strengthen public institutions to ensure better use of borrowed funds. </w:t>
      </w:r>
    </w:p>
    <w:p w14:paraId="71B2B39B" w14:textId="77777777" w:rsidR="00920035" w:rsidRDefault="002601FA">
      <w:pPr>
        <w:spacing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Further data from </w:t>
      </w:r>
      <w:proofErr w:type="spellStart"/>
      <w:r>
        <w:rPr>
          <w:rFonts w:ascii="Times New Roman" w:hAnsi="Times New Roman" w:cs="Times New Roman"/>
          <w:sz w:val="24"/>
          <w:szCs w:val="24"/>
        </w:rPr>
        <w:t>Gobna</w:t>
      </w:r>
      <w:proofErr w:type="spellEnd"/>
      <w:r>
        <w:rPr>
          <w:rFonts w:ascii="Times New Roman" w:hAnsi="Times New Roman" w:cs="Times New Roman"/>
          <w:sz w:val="24"/>
          <w:szCs w:val="24"/>
        </w:rPr>
        <w:t xml:space="preserve"> et al. (2022) shown that debt sustainability is critical in deciding growth outcomes; whereas public debt-to-oil revenue ratios have a negative effect, debt-to-non-oil revenue ratios can </w:t>
      </w:r>
      <w:proofErr w:type="spellStart"/>
      <w:r>
        <w:rPr>
          <w:rFonts w:ascii="Times New Roman" w:hAnsi="Times New Roman" w:cs="Times New Roman"/>
          <w:sz w:val="24"/>
          <w:szCs w:val="24"/>
        </w:rPr>
        <w:t>favourably</w:t>
      </w:r>
      <w:proofErr w:type="spellEnd"/>
      <w:r>
        <w:rPr>
          <w:rFonts w:ascii="Times New Roman" w:hAnsi="Times New Roman" w:cs="Times New Roman"/>
          <w:sz w:val="24"/>
          <w:szCs w:val="24"/>
        </w:rPr>
        <w:t xml:space="preserve"> influence growth in the long </w:t>
      </w:r>
      <w:proofErr w:type="spellStart"/>
      <w:proofErr w:type="gramStart"/>
      <w:r>
        <w:rPr>
          <w:rFonts w:ascii="Times New Roman" w:hAnsi="Times New Roman" w:cs="Times New Roman"/>
          <w:sz w:val="24"/>
          <w:szCs w:val="24"/>
        </w:rPr>
        <w:t>run.Oladotun</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Olanipekun</w:t>
      </w:r>
      <w:proofErr w:type="spellEnd"/>
      <w:r>
        <w:rPr>
          <w:rFonts w:ascii="Times New Roman" w:hAnsi="Times New Roman" w:cs="Times New Roman"/>
          <w:sz w:val="24"/>
          <w:szCs w:val="24"/>
        </w:rPr>
        <w:t xml:space="preserve"> (2024) expanded on this point, demonstrating that while domestic debt boosts private consumption, it also decreases production, whereas external debt may promote investment if well managed. </w:t>
      </w:r>
      <w:proofErr w:type="spellStart"/>
      <w:r>
        <w:rPr>
          <w:rFonts w:ascii="Times New Roman" w:hAnsi="Times New Roman" w:cs="Times New Roman"/>
          <w:sz w:val="24"/>
          <w:szCs w:val="24"/>
        </w:rPr>
        <w:t>Egbetunde</w:t>
      </w:r>
      <w:proofErr w:type="spellEnd"/>
      <w:r>
        <w:rPr>
          <w:rFonts w:ascii="Times New Roman" w:hAnsi="Times New Roman" w:cs="Times New Roman"/>
          <w:sz w:val="24"/>
          <w:szCs w:val="24"/>
        </w:rPr>
        <w:t xml:space="preserve"> (2012) demonstrated a bidirectional causal link between debt and growth, implying that responsible borrowing and transparency may transform public debt into an economic development instrument.</w:t>
      </w:r>
    </w:p>
    <w:p w14:paraId="6FA12B08" w14:textId="77777777" w:rsidR="00920035" w:rsidRDefault="002601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empirical research on public debt and economic development in Nigeria indicates a number of gaps that require more examination.  While most research (</w:t>
      </w:r>
      <w:proofErr w:type="spellStart"/>
      <w:r>
        <w:rPr>
          <w:rFonts w:ascii="Times New Roman" w:eastAsia="Calibri" w:hAnsi="Times New Roman" w:cs="Times New Roman"/>
          <w:sz w:val="24"/>
          <w:szCs w:val="24"/>
        </w:rPr>
        <w:t>Alagba</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Eferakeya</w:t>
      </w:r>
      <w:proofErr w:type="spellEnd"/>
      <w:r>
        <w:rPr>
          <w:rFonts w:ascii="Times New Roman" w:eastAsia="Calibri" w:hAnsi="Times New Roman" w:cs="Times New Roman"/>
          <w:sz w:val="24"/>
          <w:szCs w:val="24"/>
        </w:rPr>
        <w:t xml:space="preserve">, 2019; Ajayi &amp; </w:t>
      </w:r>
      <w:proofErr w:type="spellStart"/>
      <w:r>
        <w:rPr>
          <w:rFonts w:ascii="Times New Roman" w:eastAsia="Calibri" w:hAnsi="Times New Roman" w:cs="Times New Roman"/>
          <w:sz w:val="24"/>
          <w:szCs w:val="24"/>
        </w:rPr>
        <w:t>Edewusi</w:t>
      </w:r>
      <w:proofErr w:type="spellEnd"/>
      <w:r>
        <w:rPr>
          <w:rFonts w:ascii="Times New Roman" w:eastAsia="Calibri" w:hAnsi="Times New Roman" w:cs="Times New Roman"/>
          <w:sz w:val="24"/>
          <w:szCs w:val="24"/>
        </w:rPr>
        <w:t xml:space="preserve">, 2020; </w:t>
      </w:r>
      <w:proofErr w:type="spellStart"/>
      <w:r>
        <w:rPr>
          <w:rFonts w:ascii="Times New Roman" w:eastAsia="Calibri" w:hAnsi="Times New Roman" w:cs="Times New Roman"/>
          <w:sz w:val="24"/>
          <w:szCs w:val="24"/>
        </w:rPr>
        <w:t>Ejinkonye</w:t>
      </w:r>
      <w:proofErr w:type="spellEnd"/>
      <w:r>
        <w:rPr>
          <w:rFonts w:ascii="Times New Roman" w:eastAsia="Calibri" w:hAnsi="Times New Roman" w:cs="Times New Roman"/>
          <w:sz w:val="24"/>
          <w:szCs w:val="24"/>
        </w:rPr>
        <w:t xml:space="preserve"> et al., 2025) agree that the impact of debt on growth varies by loan type (domestic or external), their conclusions are inconsistent.  Some argue that domestic debt promotes growth but external debt is detrimental (Ajayi &amp; </w:t>
      </w:r>
      <w:proofErr w:type="spellStart"/>
      <w:r>
        <w:rPr>
          <w:rFonts w:ascii="Times New Roman" w:eastAsia="Calibri" w:hAnsi="Times New Roman" w:cs="Times New Roman"/>
          <w:sz w:val="24"/>
          <w:szCs w:val="24"/>
        </w:rPr>
        <w:t>Edewusi</w:t>
      </w:r>
      <w:proofErr w:type="spellEnd"/>
      <w:r>
        <w:rPr>
          <w:rFonts w:ascii="Times New Roman" w:eastAsia="Calibri" w:hAnsi="Times New Roman" w:cs="Times New Roman"/>
          <w:sz w:val="24"/>
          <w:szCs w:val="24"/>
        </w:rPr>
        <w:t xml:space="preserve">, 2020; </w:t>
      </w:r>
      <w:proofErr w:type="spellStart"/>
      <w:r>
        <w:rPr>
          <w:rFonts w:ascii="Times New Roman" w:eastAsia="Calibri" w:hAnsi="Times New Roman" w:cs="Times New Roman"/>
          <w:sz w:val="24"/>
          <w:szCs w:val="24"/>
        </w:rPr>
        <w:t>Alagba</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Eferakeya</w:t>
      </w:r>
      <w:proofErr w:type="spellEnd"/>
      <w:r>
        <w:rPr>
          <w:rFonts w:ascii="Times New Roman" w:eastAsia="Calibri" w:hAnsi="Times New Roman" w:cs="Times New Roman"/>
          <w:sz w:val="24"/>
          <w:szCs w:val="24"/>
        </w:rPr>
        <w:t>, 2019), while others (</w:t>
      </w:r>
      <w:proofErr w:type="spellStart"/>
      <w:r>
        <w:rPr>
          <w:rFonts w:ascii="Times New Roman" w:eastAsia="Calibri" w:hAnsi="Times New Roman" w:cs="Times New Roman"/>
          <w:sz w:val="24"/>
          <w:szCs w:val="24"/>
        </w:rPr>
        <w:t>Ikwuo</w:t>
      </w:r>
      <w:proofErr w:type="spellEnd"/>
      <w:r>
        <w:rPr>
          <w:rFonts w:ascii="Times New Roman" w:eastAsia="Calibri" w:hAnsi="Times New Roman" w:cs="Times New Roman"/>
          <w:sz w:val="24"/>
          <w:szCs w:val="24"/>
        </w:rPr>
        <w:t xml:space="preserve"> et al., 2024;</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rPr>
        <w:t>AbdulMumin</w:t>
      </w:r>
      <w:proofErr w:type="spellEnd"/>
      <w:r>
        <w:rPr>
          <w:rFonts w:ascii="Times New Roman" w:eastAsia="Calibri" w:hAnsi="Times New Roman" w:cs="Times New Roman"/>
          <w:sz w:val="24"/>
          <w:szCs w:val="24"/>
        </w:rPr>
        <w:t>, 2022) believe the opposite.  This mismatch shows a lack of agreement on the direction and scale of debt impacts, which might be attributable to discrepancies in data periods, estimating methodology, or long-term structural changes in the Nigerian economy.</w:t>
      </w:r>
    </w:p>
    <w:p w14:paraId="14FCB723" w14:textId="77777777" w:rsidR="00920035" w:rsidRDefault="002601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Furthermore, few recent studies (e.g., </w:t>
      </w:r>
      <w:proofErr w:type="spellStart"/>
      <w:r>
        <w:rPr>
          <w:rFonts w:ascii="Times New Roman" w:eastAsia="Calibri" w:hAnsi="Times New Roman" w:cs="Times New Roman"/>
          <w:sz w:val="24"/>
          <w:szCs w:val="24"/>
        </w:rPr>
        <w:t>Ejinkonye</w:t>
      </w:r>
      <w:proofErr w:type="spellEnd"/>
      <w:r>
        <w:rPr>
          <w:rFonts w:ascii="Times New Roman" w:eastAsia="Calibri" w:hAnsi="Times New Roman" w:cs="Times New Roman"/>
          <w:sz w:val="24"/>
          <w:szCs w:val="24"/>
        </w:rPr>
        <w:t xml:space="preserve"> et al., 2025) have extended their research beyond 2020, leaving the post-COVID-19 debt dynamics and the </w:t>
      </w:r>
      <w:r>
        <w:rPr>
          <w:rFonts w:ascii="Times New Roman" w:eastAsia="Calibri" w:hAnsi="Times New Roman" w:cs="Times New Roman"/>
          <w:sz w:val="24"/>
          <w:szCs w:val="24"/>
        </w:rPr>
        <w:lastRenderedPageBreak/>
        <w:t xml:space="preserve">consequences of recent borrowing increases on Nigeria's fiscal sustainability unexplored.  As a result, evaluating the current trajectory of public debt is hampered by shifting macroeconomic realities such as inflation, </w:t>
      </w:r>
      <w:r>
        <w:rPr>
          <w:rFonts w:ascii="Times New Roman" w:eastAsia="Calibri" w:hAnsi="Times New Roman" w:cs="Times New Roman"/>
          <w:sz w:val="24"/>
          <w:szCs w:val="24"/>
          <w:lang w:val="en-GB"/>
        </w:rPr>
        <w:t>capital formation and government expenditure</w:t>
      </w:r>
      <w:r>
        <w:rPr>
          <w:rFonts w:ascii="Times New Roman" w:eastAsia="Calibri" w:hAnsi="Times New Roman" w:cs="Times New Roman"/>
          <w:sz w:val="24"/>
          <w:szCs w:val="24"/>
        </w:rPr>
        <w:t>.  As a result, the study aims to fill these gaps by looking at the short-</w:t>
      </w:r>
      <w:r>
        <w:rPr>
          <w:rFonts w:ascii="Times New Roman" w:eastAsia="Calibri" w:hAnsi="Times New Roman" w:cs="Times New Roman"/>
          <w:sz w:val="24"/>
          <w:szCs w:val="24"/>
          <w:lang w:val="en-GB"/>
        </w:rPr>
        <w:t>run</w:t>
      </w:r>
      <w:r>
        <w:rPr>
          <w:rFonts w:ascii="Times New Roman" w:eastAsia="Calibri" w:hAnsi="Times New Roman" w:cs="Times New Roman"/>
          <w:sz w:val="24"/>
          <w:szCs w:val="24"/>
        </w:rPr>
        <w:t xml:space="preserve"> and long-run impacts of public debt on economic</w:t>
      </w:r>
      <w:r>
        <w:rPr>
          <w:rFonts w:ascii="Times New Roman" w:eastAsia="Calibri" w:hAnsi="Times New Roman" w:cs="Times New Roman"/>
          <w:sz w:val="24"/>
          <w:szCs w:val="24"/>
          <w:lang w:val="en-GB"/>
        </w:rPr>
        <w:t xml:space="preserve"> growth</w:t>
      </w:r>
      <w:r>
        <w:rPr>
          <w:rFonts w:ascii="Times New Roman" w:eastAsia="Calibri" w:hAnsi="Times New Roman" w:cs="Times New Roman"/>
          <w:sz w:val="24"/>
          <w:szCs w:val="24"/>
        </w:rPr>
        <w:t>, as well as comparing the influence of external and domestic debt on economic growth.</w:t>
      </w:r>
    </w:p>
    <w:p w14:paraId="3E0A7C7A" w14:textId="77777777" w:rsidR="00920035" w:rsidRDefault="00920035">
      <w:pPr>
        <w:spacing w:line="360" w:lineRule="auto"/>
        <w:jc w:val="both"/>
        <w:rPr>
          <w:rFonts w:ascii="Times New Roman" w:hAnsi="Times New Roman" w:cs="Times New Roman"/>
          <w:sz w:val="24"/>
          <w:szCs w:val="24"/>
        </w:rPr>
      </w:pPr>
    </w:p>
    <w:p w14:paraId="33562817" w14:textId="77777777" w:rsidR="00920035" w:rsidRDefault="00920035">
      <w:pPr>
        <w:spacing w:line="360" w:lineRule="auto"/>
        <w:jc w:val="both"/>
        <w:rPr>
          <w:rFonts w:ascii="Times New Roman" w:hAnsi="Times New Roman" w:cs="Times New Roman"/>
          <w:sz w:val="24"/>
          <w:szCs w:val="24"/>
        </w:rPr>
      </w:pPr>
    </w:p>
    <w:p w14:paraId="0B4CD70C" w14:textId="77777777" w:rsidR="00920035" w:rsidRDefault="00920035">
      <w:pPr>
        <w:spacing w:line="360" w:lineRule="auto"/>
        <w:jc w:val="both"/>
        <w:rPr>
          <w:rFonts w:ascii="Times New Roman" w:hAnsi="Times New Roman" w:cs="Times New Roman"/>
          <w:sz w:val="24"/>
          <w:szCs w:val="24"/>
        </w:rPr>
      </w:pPr>
    </w:p>
    <w:p w14:paraId="1DE28EED" w14:textId="77777777" w:rsidR="00920035" w:rsidRDefault="002601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1791C9FB"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14:paraId="4EFE584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is based on the Debt Overhang Theory, which is supported by the Keynesian and Neoclassical Growth Theories. These theories describe the dynamic link between public debt and economic growth in both the short and long run.</w:t>
      </w:r>
    </w:p>
    <w:p w14:paraId="0E8DA18B"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Krugman (1988) and Sachs (1989) created the Debt Overhang Theory, which states that when a country's debt load grows too high, the expected cost of future debt payment serves as a tax on investment.  High debt levels deter both local and international investors since some of the additional output created will be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to repay creditors rather than benefiting the economy.  As a result, debt buildup over a certain level can stifle long-term growth by diminishing investment efficiency and productivity. This idea directly supports the study's primary purpose, which is to investigate the short- and long-term consequences of public debt on economic development.  In the short run, modest borrowing can boost growth by funding productive spending, but in the long run, excessive debt can create a debt overhang, limiting economic performance.</w:t>
      </w:r>
    </w:p>
    <w:p w14:paraId="6A7B0DBC"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theory also lays the groundwork for determining the relative influence of external and domestic debt on economic development.  External debt is frequently linked with higher repayment and exchange-rate risks, making it more likely to result in a negative debt-overhang impact than domestic debt, which can be serviced in local currency and is less vulnerable to foreign exchange volatility. Thus, the Debt Overhang framework explains why the growth effects of external and domestic borrowing may differ, satisfying the second objective of the study.</w:t>
      </w:r>
    </w:p>
    <w:p w14:paraId="0DCAE700"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this viewpoint, the Keynesian Theory of Public Debt claims that government borrowing may promote aggregate demand, production, and employment </w:t>
      </w:r>
      <w:r>
        <w:rPr>
          <w:rFonts w:ascii="Times New Roman" w:hAnsi="Times New Roman" w:cs="Times New Roman"/>
          <w:sz w:val="24"/>
          <w:szCs w:val="24"/>
        </w:rPr>
        <w:lastRenderedPageBreak/>
        <w:t xml:space="preserve">when resources are </w:t>
      </w:r>
      <w:proofErr w:type="spellStart"/>
      <w:r>
        <w:rPr>
          <w:rFonts w:ascii="Times New Roman" w:hAnsi="Times New Roman" w:cs="Times New Roman"/>
          <w:sz w:val="24"/>
          <w:szCs w:val="24"/>
        </w:rPr>
        <w:t>underutilised</w:t>
      </w:r>
      <w:proofErr w:type="spellEnd"/>
      <w:r>
        <w:rPr>
          <w:rFonts w:ascii="Times New Roman" w:hAnsi="Times New Roman" w:cs="Times New Roman"/>
          <w:sz w:val="24"/>
          <w:szCs w:val="24"/>
        </w:rPr>
        <w:t xml:space="preserve"> (Keynes, 1936).  Borrowing to finance productive investment may thus have a positive short-term impact on GDP, consistent with expansionary fiscal policy.  In contrast, the Neoclassical Growth Theory (Solow, 1956) </w:t>
      </w:r>
      <w:proofErr w:type="spellStart"/>
      <w:r>
        <w:rPr>
          <w:rFonts w:ascii="Times New Roman" w:hAnsi="Times New Roman" w:cs="Times New Roman"/>
          <w:sz w:val="24"/>
          <w:szCs w:val="24"/>
        </w:rPr>
        <w:t>emphasises</w:t>
      </w:r>
      <w:proofErr w:type="spellEnd"/>
      <w:r>
        <w:rPr>
          <w:rFonts w:ascii="Times New Roman" w:hAnsi="Times New Roman" w:cs="Times New Roman"/>
          <w:sz w:val="24"/>
          <w:szCs w:val="24"/>
        </w:rPr>
        <w:t xml:space="preserve"> capital accumulation and productivity as the primary drivers of long-term growth.  According to this viewpoint, chronic or excessive debt discourages private investment and lowers capital creation, resulting in a slowdown in long-term economic growth.</w:t>
      </w:r>
    </w:p>
    <w:p w14:paraId="3C0CAE9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summarise</w:t>
      </w:r>
      <w:proofErr w:type="spellEnd"/>
      <w:r>
        <w:rPr>
          <w:rFonts w:ascii="Times New Roman" w:hAnsi="Times New Roman" w:cs="Times New Roman"/>
          <w:sz w:val="24"/>
          <w:szCs w:val="24"/>
        </w:rPr>
        <w:t xml:space="preserve">, these theories explain the dual nature of the public debt's impact on economic performance.  While Keynesian principles support the possible short-run benefits of borrowing for productive spending, the Debt Overhang and Neoclassical frameworks </w:t>
      </w:r>
      <w:proofErr w:type="spellStart"/>
      <w:r>
        <w:rPr>
          <w:rFonts w:ascii="Times New Roman" w:hAnsi="Times New Roman" w:cs="Times New Roman"/>
          <w:sz w:val="24"/>
          <w:szCs w:val="24"/>
        </w:rPr>
        <w:t>emphasise</w:t>
      </w:r>
      <w:proofErr w:type="spellEnd"/>
      <w:r>
        <w:rPr>
          <w:rFonts w:ascii="Times New Roman" w:hAnsi="Times New Roman" w:cs="Times New Roman"/>
          <w:sz w:val="24"/>
          <w:szCs w:val="24"/>
        </w:rPr>
        <w:t xml:space="preserve"> the hazards of excessive indebtedness on long-run growth sustainability.  This comprehensive theoretical framework provides a solid platform for examining both the temporal (short- and long-run) and structural (external vs domestic) features of public debt's influence on Nigerian economic growth.</w:t>
      </w:r>
    </w:p>
    <w:p w14:paraId="4D928430"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growth-debt model derived the Neoclassical growth framework, augmented with the Debt overhang and </w:t>
      </w:r>
      <w:proofErr w:type="spellStart"/>
      <w:r>
        <w:rPr>
          <w:rFonts w:ascii="Times New Roman" w:hAnsi="Times New Roman" w:cs="Times New Roman"/>
          <w:sz w:val="24"/>
          <w:szCs w:val="24"/>
        </w:rPr>
        <w:t>keynesian</w:t>
      </w:r>
      <w:proofErr w:type="spellEnd"/>
      <w:r>
        <w:rPr>
          <w:rFonts w:ascii="Times New Roman" w:hAnsi="Times New Roman" w:cs="Times New Roman"/>
          <w:sz w:val="24"/>
          <w:szCs w:val="24"/>
        </w:rPr>
        <w:t xml:space="preserve"> theories is given as:</w:t>
      </w:r>
    </w:p>
    <w:p w14:paraId="08E5FB2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Y = f (</w:t>
      </w:r>
      <w:proofErr w:type="gramStart"/>
      <w:r>
        <w:rPr>
          <w:rFonts w:ascii="Times New Roman" w:hAnsi="Times New Roman" w:cs="Times New Roman"/>
          <w:sz w:val="24"/>
          <w:szCs w:val="24"/>
        </w:rPr>
        <w:t>K,L</w:t>
      </w:r>
      <w:proofErr w:type="gramEnd"/>
      <w:r>
        <w:rPr>
          <w:rFonts w:ascii="Times New Roman" w:hAnsi="Times New Roman" w:cs="Times New Roman"/>
          <w:sz w:val="24"/>
          <w:szCs w:val="24"/>
        </w:rPr>
        <w:t>,D)</w:t>
      </w:r>
      <w:r>
        <w:rPr>
          <w:rFonts w:ascii="Times New Roman" w:hAnsi="Times New Roman" w:cs="Times New Roman"/>
          <w:sz w:val="24"/>
          <w:szCs w:val="24"/>
          <w:lang w:val="en-GB"/>
        </w:rPr>
        <w:t xml:space="preserve">                                                                                        </w:t>
      </w:r>
      <w:r>
        <w:rPr>
          <w:rFonts w:ascii="Times New Roman" w:hAnsi="Times New Roman" w:cs="Times New Roman"/>
          <w:sz w:val="24"/>
          <w:szCs w:val="24"/>
        </w:rPr>
        <w:t>(1)</w:t>
      </w:r>
    </w:p>
    <w:p w14:paraId="79E0FF93"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7B9A6A2"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Y - Economic Growth</w:t>
      </w:r>
    </w:p>
    <w:p w14:paraId="383A74FC"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f - Function</w:t>
      </w:r>
    </w:p>
    <w:p w14:paraId="35A6C31C"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K - Capital stock</w:t>
      </w:r>
    </w:p>
    <w:p w14:paraId="5997E1A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 -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w:t>
      </w:r>
    </w:p>
    <w:p w14:paraId="32B8FE1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 Public debt  </w:t>
      </w:r>
    </w:p>
    <w:p w14:paraId="7DF88F32" w14:textId="77777777" w:rsidR="00920035" w:rsidRDefault="00920035">
      <w:pPr>
        <w:spacing w:line="360" w:lineRule="auto"/>
        <w:jc w:val="both"/>
        <w:rPr>
          <w:rFonts w:ascii="Times New Roman" w:hAnsi="Times New Roman" w:cs="Times New Roman"/>
          <w:sz w:val="24"/>
          <w:szCs w:val="24"/>
        </w:rPr>
      </w:pPr>
    </w:p>
    <w:p w14:paraId="439A5F02"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Model Specification</w:t>
      </w:r>
    </w:p>
    <w:p w14:paraId="143BB4A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shown in the theoretical framework above, the empirical model of this study arose from the theoretical assumption. The study's model is adapted from the works of </w:t>
      </w:r>
      <w:proofErr w:type="spellStart"/>
      <w:r>
        <w:rPr>
          <w:rFonts w:ascii="Times New Roman" w:hAnsi="Times New Roman" w:cs="Times New Roman"/>
          <w:sz w:val="24"/>
          <w:szCs w:val="24"/>
        </w:rPr>
        <w:t>Abdulkarim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Saidatulakmal</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Abdulmumin</w:t>
      </w:r>
      <w:proofErr w:type="spellEnd"/>
      <w:r>
        <w:rPr>
          <w:rFonts w:ascii="Times New Roman" w:hAnsi="Times New Roman" w:cs="Times New Roman"/>
          <w:sz w:val="24"/>
          <w:szCs w:val="24"/>
        </w:rPr>
        <w:t xml:space="preserve"> (2022). From equation</w:t>
      </w:r>
      <w:r>
        <w:rPr>
          <w:rFonts w:ascii="Times New Roman" w:hAnsi="Times New Roman" w:cs="Times New Roman"/>
          <w:sz w:val="24"/>
          <w:szCs w:val="24"/>
          <w:lang w:val="en-GB"/>
        </w:rPr>
        <w:t xml:space="preserve"> </w:t>
      </w:r>
      <w:r>
        <w:rPr>
          <w:rFonts w:ascii="Times New Roman" w:hAnsi="Times New Roman" w:cs="Times New Roman"/>
          <w:sz w:val="24"/>
          <w:szCs w:val="24"/>
        </w:rPr>
        <w:t>1, the below model is specified to achieve the objectives of the study:</w:t>
      </w:r>
    </w:p>
    <w:p w14:paraId="518E5E35"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GD = f (ED, DD, LF, </w:t>
      </w:r>
      <w:proofErr w:type="gramStart"/>
      <w:r>
        <w:rPr>
          <w:rFonts w:ascii="Times New Roman" w:hAnsi="Times New Roman" w:cs="Times New Roman"/>
          <w:sz w:val="24"/>
          <w:szCs w:val="24"/>
        </w:rPr>
        <w:t xml:space="preserve">GF) </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 (2)</w:t>
      </w:r>
    </w:p>
    <w:p w14:paraId="5DC0F48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Augmenting the model to accommodate other control variables, equation 3.2 becomes:</w:t>
      </w:r>
    </w:p>
    <w:p w14:paraId="4E723171"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GD = f (ED, DD, LF, GF, GE, EX, </w:t>
      </w:r>
      <w:proofErr w:type="gramStart"/>
      <w:r>
        <w:rPr>
          <w:rFonts w:ascii="Times New Roman" w:hAnsi="Times New Roman" w:cs="Times New Roman"/>
          <w:sz w:val="24"/>
          <w:szCs w:val="24"/>
        </w:rPr>
        <w:t xml:space="preserve">IN)  </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rPr>
        <w:t>(3)</w:t>
      </w:r>
    </w:p>
    <w:p w14:paraId="0DDF97B1"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in its econometrics form becomes:</w:t>
      </w:r>
    </w:p>
    <w:p w14:paraId="55CB1A65" w14:textId="77777777" w:rsidR="00920035" w:rsidRDefault="002601FA">
      <w:pPr>
        <w:spacing w:line="360" w:lineRule="auto"/>
        <w:ind w:left="6840" w:hangingChars="2850" w:hanging="68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lnGD</w:t>
      </w:r>
      <w:r>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 ∞</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Pr>
          <w:rFonts w:ascii="Times New Roman" w:hAnsi="Times New Roman" w:cs="Times New Roman"/>
          <w:sz w:val="24"/>
          <w:szCs w:val="24"/>
          <w:vertAlign w:val="subscript"/>
        </w:rPr>
        <w:t>1</w:t>
      </w:r>
      <w:r>
        <w:rPr>
          <w:rFonts w:ascii="Times New Roman" w:hAnsi="Times New Roman" w:cs="Times New Roman"/>
          <w:sz w:val="24"/>
          <w:szCs w:val="24"/>
        </w:rPr>
        <w:t>lnED</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Times New Roman" w:hAnsi="Times New Roman" w:cs="Times New Roman"/>
          <w:sz w:val="24"/>
          <w:szCs w:val="24"/>
          <w:vertAlign w:val="subscript"/>
        </w:rPr>
        <w:t>2</w:t>
      </w:r>
      <w:r>
        <w:rPr>
          <w:rFonts w:ascii="Times New Roman" w:hAnsi="Times New Roman" w:cs="Times New Roman"/>
          <w:sz w:val="24"/>
          <w:szCs w:val="24"/>
        </w:rPr>
        <w:t>lnDD</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Times New Roman" w:hAnsi="Times New Roman" w:cs="Times New Roman"/>
          <w:sz w:val="24"/>
          <w:szCs w:val="24"/>
          <w:vertAlign w:val="subscript"/>
        </w:rPr>
        <w:t>3</w:t>
      </w:r>
      <w:r>
        <w:rPr>
          <w:rFonts w:ascii="Times New Roman" w:hAnsi="Times New Roman" w:cs="Times New Roman"/>
          <w:sz w:val="24"/>
          <w:szCs w:val="24"/>
        </w:rPr>
        <w:t>LF</w:t>
      </w:r>
      <w:r>
        <w:rPr>
          <w:rFonts w:ascii="Times New Roman" w:hAnsi="Times New Roman" w:cs="Times New Roman"/>
          <w:sz w:val="24"/>
          <w:szCs w:val="24"/>
          <w:vertAlign w:val="subscript"/>
        </w:rPr>
        <w:t>t</w:t>
      </w:r>
      <w:r>
        <w:rPr>
          <w:rFonts w:ascii="Times New Roman" w:hAnsi="Times New Roman" w:cs="Times New Roman"/>
          <w:sz w:val="24"/>
          <w:szCs w:val="24"/>
          <w:lang w:val="en-GB"/>
        </w:rPr>
        <w:t xml:space="preserve"> </w:t>
      </w:r>
      <w:r>
        <w:rPr>
          <w:rFonts w:ascii="Times New Roman" w:hAnsi="Times New Roman" w:cs="Times New Roman"/>
          <w:sz w:val="24"/>
          <w:szCs w:val="24"/>
        </w:rPr>
        <w:t>+ ∞</w:t>
      </w:r>
      <w:r>
        <w:rPr>
          <w:rFonts w:ascii="Times New Roman" w:hAnsi="Times New Roman" w:cs="Times New Roman"/>
          <w:sz w:val="24"/>
          <w:szCs w:val="24"/>
          <w:vertAlign w:val="subscript"/>
        </w:rPr>
        <w:t>4</w:t>
      </w:r>
      <w:r>
        <w:rPr>
          <w:rFonts w:ascii="Times New Roman" w:hAnsi="Times New Roman" w:cs="Times New Roman"/>
          <w:sz w:val="24"/>
          <w:szCs w:val="24"/>
        </w:rPr>
        <w:t>lnGF</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Times New Roman" w:hAnsi="Times New Roman" w:cs="Times New Roman"/>
          <w:sz w:val="24"/>
          <w:szCs w:val="24"/>
          <w:vertAlign w:val="subscript"/>
        </w:rPr>
        <w:t>5</w:t>
      </w:r>
      <w:r>
        <w:rPr>
          <w:rFonts w:ascii="Times New Roman" w:hAnsi="Times New Roman" w:cs="Times New Roman"/>
          <w:sz w:val="24"/>
          <w:szCs w:val="24"/>
        </w:rPr>
        <w:t>lnGE</w:t>
      </w:r>
      <w:r>
        <w:rPr>
          <w:rFonts w:ascii="Times New Roman" w:hAnsi="Times New Roman" w:cs="Times New Roman"/>
          <w:sz w:val="24"/>
          <w:szCs w:val="24"/>
          <w:vertAlign w:val="subscript"/>
        </w:rPr>
        <w:t>t</w:t>
      </w:r>
      <w:r>
        <w:rPr>
          <w:rFonts w:ascii="Times New Roman" w:hAnsi="Times New Roman" w:cs="Times New Roman"/>
          <w:sz w:val="24"/>
          <w:szCs w:val="24"/>
          <w:lang w:val="en-GB"/>
        </w:rPr>
        <w:t xml:space="preserve"> </w:t>
      </w:r>
      <w:r>
        <w:rPr>
          <w:rFonts w:ascii="Times New Roman" w:hAnsi="Times New Roman" w:cs="Times New Roman"/>
          <w:sz w:val="24"/>
          <w:szCs w:val="24"/>
        </w:rPr>
        <w:t>+ ∞</w:t>
      </w:r>
      <w:r>
        <w:rPr>
          <w:rFonts w:ascii="Times New Roman" w:hAnsi="Times New Roman" w:cs="Times New Roman"/>
          <w:sz w:val="24"/>
          <w:szCs w:val="24"/>
          <w:vertAlign w:val="subscript"/>
        </w:rPr>
        <w:t>6</w:t>
      </w:r>
      <w:r>
        <w:rPr>
          <w:rFonts w:ascii="Times New Roman" w:hAnsi="Times New Roman" w:cs="Times New Roman"/>
          <w:sz w:val="24"/>
          <w:szCs w:val="24"/>
        </w:rPr>
        <w:t>lnEX</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Times New Roman" w:hAnsi="Times New Roman" w:cs="Times New Roman"/>
          <w:sz w:val="24"/>
          <w:szCs w:val="24"/>
          <w:vertAlign w:val="subscript"/>
        </w:rPr>
        <w:t>7</w:t>
      </w:r>
      <w:r>
        <w:rPr>
          <w:rFonts w:ascii="Times New Roman" w:hAnsi="Times New Roman" w:cs="Times New Roman"/>
          <w:sz w:val="24"/>
          <w:szCs w:val="24"/>
        </w:rPr>
        <w:t>IN</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Times New Roman" w:hAnsi="Times New Roman" w:cs="Times New Roman"/>
          <w:sz w:val="24"/>
          <w:szCs w:val="24"/>
          <w:lang w:val="en-GB"/>
        </w:rPr>
        <w:t>U</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4) </w:t>
      </w:r>
    </w:p>
    <w:p w14:paraId="6BC07E43"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Transforming equation 3.4 into Autoregressive Distributed Lag (ARDL) model, equation 3.4 becomes:</w:t>
      </w:r>
    </w:p>
    <w:p w14:paraId="52B8CDEB" w14:textId="77777777" w:rsidR="00920035" w:rsidRDefault="002601FA">
      <w:pPr>
        <w:spacing w:line="360" w:lineRule="auto"/>
        <w:jc w:val="both"/>
        <w:rPr>
          <w:rFonts w:ascii="Times New Roman" w:hAnsi="Times New Roman" w:cs="Times New Roman"/>
          <w:sz w:val="24"/>
          <w:szCs w:val="24"/>
          <w:lang w:val="en-GB"/>
        </w:rPr>
      </w:pPr>
      <m:oMath>
        <m:r>
          <w:rPr>
            <w:rFonts w:ascii="Cambria Math" w:hAnsi="Cambria Math" w:cs="Times New Roman"/>
            <w:sz w:val="24"/>
            <w:szCs w:val="24"/>
            <w:lang w:val="en-GB"/>
          </w:rPr>
          <m:t>∆GD=</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0</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1</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2</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ED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3</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DD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4</m:t>
                </m:r>
              </m:sub>
            </m:sSub>
          </m:e>
        </m:nary>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LF</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5</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GF</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6</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GE</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7</m:t>
                </m:r>
              </m:sub>
            </m:sSub>
          </m:e>
        </m:nary>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IN</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8</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EX</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1</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2</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ED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3</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DD</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4</m:t>
                </m:r>
              </m:sub>
            </m:sSub>
          </m:e>
        </m:nary>
        <m:sSub>
          <m:sSubPr>
            <m:ctrlPr>
              <w:rPr>
                <w:rFonts w:ascii="Cambria Math" w:hAnsi="Cambria Math" w:cs="Times New Roman"/>
                <w:sz w:val="24"/>
                <w:szCs w:val="24"/>
                <w:lang w:val="en-GB"/>
              </w:rPr>
            </m:ctrlPr>
          </m:sSubPr>
          <m:e>
            <m:r>
              <w:rPr>
                <w:rFonts w:ascii="Cambria Math" w:hAnsi="Cambria Math" w:cs="Times New Roman"/>
                <w:sz w:val="24"/>
                <w:szCs w:val="24"/>
                <w:lang w:val="en-GB"/>
              </w:rPr>
              <m:t>LF</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5</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GF</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6</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GE</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7</m:t>
                </m:r>
              </m:sub>
            </m:sSub>
          </m:e>
        </m:nary>
        <m:sSub>
          <m:sSubPr>
            <m:ctrlPr>
              <w:rPr>
                <w:rFonts w:ascii="Cambria Math" w:hAnsi="Cambria Math" w:cs="Times New Roman"/>
                <w:sz w:val="24"/>
                <w:szCs w:val="24"/>
                <w:lang w:val="en-GB"/>
              </w:rPr>
            </m:ctrlPr>
          </m:sSubPr>
          <m:e>
            <m:r>
              <w:rPr>
                <w:rFonts w:ascii="Cambria Math" w:hAnsi="Cambria Math" w:cs="Times New Roman"/>
                <w:sz w:val="24"/>
                <w:szCs w:val="24"/>
                <w:lang w:val="en-GB"/>
              </w:rPr>
              <m:t>IN</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nary>
          <m:naryPr>
            <m:chr m:val="∑"/>
            <m:ctrlPr>
              <w:rPr>
                <w:rFonts w:ascii="Cambria Math" w:hAnsi="Cambria Math" w:cs="Times New Roman"/>
                <w:i/>
                <w:sz w:val="24"/>
                <w:szCs w:val="24"/>
                <w:lang w:val="en-GB"/>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lang w:val="en-GB"/>
                  </w:rPr>
                </m:ctrlPr>
              </m:sSubPr>
              <m:e>
                <m:r>
                  <w:rPr>
                    <w:rFonts w:ascii="Cambria Math" w:hAnsi="Cambria Math" w:cs="Times New Roman"/>
                    <w:sz w:val="24"/>
                    <w:szCs w:val="24"/>
                    <w:lang w:val="en-GB"/>
                  </w:rPr>
                  <m:t>B</m:t>
                </m:r>
              </m:e>
              <m:sub>
                <m:r>
                  <w:rPr>
                    <w:rFonts w:ascii="Cambria Math" w:hAnsi="Cambria Math" w:cs="Times New Roman"/>
                    <w:sz w:val="24"/>
                    <w:szCs w:val="24"/>
                    <w:lang w:val="en-GB"/>
                  </w:rPr>
                  <m:t>8</m:t>
                </m:r>
              </m:sub>
            </m:sSub>
          </m:e>
        </m:nary>
        <m:r>
          <w:rPr>
            <w:rFonts w:ascii="Cambria Math" w:hAnsi="Cambria Math" w:cs="Times New Roman"/>
            <w:sz w:val="24"/>
            <w:szCs w:val="24"/>
            <w:lang w:val="en-GB"/>
          </w:rPr>
          <m:t>ln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EX</m:t>
            </m:r>
          </m:e>
          <m:sub>
            <m:r>
              <w:rPr>
                <w:rFonts w:ascii="Cambria Math" w:hAnsi="Cambria Math" w:cs="Times New Roman"/>
                <w:sz w:val="24"/>
                <w:szCs w:val="24"/>
                <w:lang w:val="en-GB"/>
              </w:rPr>
              <m:t>t-i</m:t>
            </m:r>
          </m:sub>
        </m:sSub>
        <m: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t</m:t>
            </m:r>
          </m:sub>
        </m:sSub>
      </m:oMath>
      <w:r>
        <w:rPr>
          <w:rFonts w:ascii="Times New Roman" w:hAnsi="Times New Roman" w:cs="Times New Roman"/>
          <w:position w:val="-10"/>
          <w:sz w:val="24"/>
          <w:szCs w:val="24"/>
          <w:lang w:val="en-GB"/>
        </w:rPr>
        <w:object w:dxaOrig="175" w:dyaOrig="326" w14:anchorId="72382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6.05pt" o:ole="">
            <v:imagedata r:id="rId8" o:title=""/>
          </v:shape>
          <o:OLEObject Type="Embed" ProgID="Equation.3" ShapeID="_x0000_i1025" DrawAspect="Content" ObjectID="_1831298550" r:id="rId9"/>
        </w:object>
      </w:r>
      <w:r>
        <w:rPr>
          <w:rFonts w:ascii="Times New Roman" w:hAnsi="Times New Roman" w:cs="Times New Roman"/>
          <w:sz w:val="24"/>
          <w:szCs w:val="24"/>
          <w:lang w:val="en-GB"/>
        </w:rPr>
        <w:t xml:space="preserve">                                                                    </w:t>
      </w:r>
      <w:r>
        <w:rPr>
          <w:rFonts w:ascii="Times New Roman" w:eastAsia="SimSun" w:hAnsi="Times New Roman"/>
          <w:sz w:val="24"/>
          <w:szCs w:val="24"/>
        </w:rPr>
        <w:t>(5)</w:t>
      </w:r>
    </w:p>
    <w:p w14:paraId="16C09AB2" w14:textId="77777777" w:rsidR="00920035" w:rsidRDefault="00920035">
      <w:pPr>
        <w:spacing w:line="360" w:lineRule="auto"/>
        <w:jc w:val="both"/>
        <w:rPr>
          <w:rFonts w:ascii="Times New Roman" w:hAnsi="Times New Roman" w:cs="Times New Roman"/>
          <w:sz w:val="24"/>
          <w:szCs w:val="24"/>
          <w:lang w:val="en-GB"/>
        </w:rPr>
      </w:pPr>
    </w:p>
    <w:p w14:paraId="75FB6ED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9D7EF3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GD - Real GDP</w:t>
      </w:r>
    </w:p>
    <w:p w14:paraId="7C010B5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DD - Domestic debt </w:t>
      </w:r>
    </w:p>
    <w:p w14:paraId="4F1CD3D5"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ED - External debt</w:t>
      </w:r>
    </w:p>
    <w:p w14:paraId="1FF77A4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LF - Labour force</w:t>
      </w:r>
    </w:p>
    <w:p w14:paraId="741BD9B3"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GF - Gross fixed capital formation</w:t>
      </w:r>
    </w:p>
    <w:p w14:paraId="6B7BA04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GE - Government expenditure</w:t>
      </w:r>
    </w:p>
    <w:p w14:paraId="00C0FEE5"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EX - Exchange rate</w:t>
      </w:r>
    </w:p>
    <w:p w14:paraId="06FF39B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IN - Inflation rate</w:t>
      </w:r>
    </w:p>
    <w:p w14:paraId="0856B10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vertAlign w:val="subscript"/>
        </w:rPr>
        <w:t>t</w:t>
      </w:r>
      <w:r>
        <w:rPr>
          <w:rFonts w:ascii="Times New Roman" w:hAnsi="Times New Roman" w:cs="Times New Roman"/>
          <w:sz w:val="24"/>
          <w:szCs w:val="24"/>
        </w:rPr>
        <w:t xml:space="preserve"> - Error term</w:t>
      </w:r>
    </w:p>
    <w:p w14:paraId="00D1FC5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a and B - are the parameters to be estimated</w:t>
      </w:r>
    </w:p>
    <w:p w14:paraId="12CAB744"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Ln- Natural logarithm </w:t>
      </w:r>
    </w:p>
    <w:p w14:paraId="05E56E22"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is the first difference operator and is the drift component. </w:t>
      </w:r>
    </w:p>
    <w:p w14:paraId="4DBEBB15"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expression with summation sign (a</w:t>
      </w:r>
      <w:r>
        <w:rPr>
          <w:rFonts w:ascii="Times New Roman" w:hAnsi="Times New Roman" w:cs="Times New Roman"/>
          <w:sz w:val="24"/>
          <w:szCs w:val="24"/>
          <w:vertAlign w:val="subscript"/>
        </w:rPr>
        <w:t>1</w:t>
      </w:r>
      <w:r>
        <w:rPr>
          <w:rFonts w:ascii="Times New Roman" w:hAnsi="Times New Roman" w:cs="Times New Roman"/>
          <w:sz w:val="24"/>
          <w:szCs w:val="24"/>
        </w:rPr>
        <w:t xml:space="preserve"> - a</w:t>
      </w:r>
      <w:r>
        <w:rPr>
          <w:rFonts w:ascii="Times New Roman" w:hAnsi="Times New Roman" w:cs="Times New Roman"/>
          <w:sz w:val="24"/>
          <w:szCs w:val="24"/>
          <w:vertAlign w:val="subscript"/>
        </w:rPr>
        <w:t>8</w:t>
      </w:r>
      <w:r>
        <w:rPr>
          <w:rFonts w:ascii="Times New Roman" w:hAnsi="Times New Roman" w:cs="Times New Roman"/>
          <w:sz w:val="24"/>
          <w:szCs w:val="24"/>
        </w:rPr>
        <w:t>) represents the short-run dynamics of the model, while the coefficients (B</w:t>
      </w:r>
      <w:r>
        <w:rPr>
          <w:rFonts w:ascii="Times New Roman" w:hAnsi="Times New Roman" w:cs="Times New Roman"/>
          <w:sz w:val="24"/>
          <w:szCs w:val="24"/>
          <w:vertAlign w:val="subscript"/>
        </w:rPr>
        <w:t>1</w:t>
      </w:r>
      <w:r>
        <w:rPr>
          <w:rFonts w:ascii="Times New Roman" w:hAnsi="Times New Roman" w:cs="Times New Roman"/>
          <w:sz w:val="24"/>
          <w:szCs w:val="24"/>
        </w:rPr>
        <w:t xml:space="preserve"> - B</w:t>
      </w:r>
      <w:r>
        <w:rPr>
          <w:rFonts w:ascii="Times New Roman" w:hAnsi="Times New Roman" w:cs="Times New Roman"/>
          <w:sz w:val="24"/>
          <w:szCs w:val="24"/>
          <w:vertAlign w:val="subscript"/>
        </w:rPr>
        <w:t>8</w:t>
      </w:r>
      <w:r>
        <w:rPr>
          <w:rFonts w:ascii="Times New Roman" w:hAnsi="Times New Roman" w:cs="Times New Roman"/>
          <w:sz w:val="24"/>
          <w:szCs w:val="24"/>
        </w:rPr>
        <w:t>) represent long-run relationship.</w:t>
      </w:r>
    </w:p>
    <w:p w14:paraId="291BFF54" w14:textId="77777777" w:rsidR="00920035" w:rsidRDefault="002601F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rPr>
        <w:t>Estimation Technique</w:t>
      </w:r>
      <w:r>
        <w:rPr>
          <w:rFonts w:ascii="Times New Roman" w:hAnsi="Times New Roman" w:cs="Times New Roman"/>
          <w:b/>
          <w:sz w:val="24"/>
          <w:szCs w:val="24"/>
          <w:lang w:val="en-GB"/>
        </w:rPr>
        <w:t xml:space="preserve"> and Data</w:t>
      </w:r>
    </w:p>
    <w:p w14:paraId="321F062B"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achieve objectives of the study, the study used the ARDL bounds testing approach developed by Pesaran &amp; Shin, (1999) and Pesaran, Shin, &amp; Smith, (2001) as an estimating technique. This method was chosen because of its adaptability in a small sample research and its usefulness for variables of varying order of integration, whether integrated as I(0), I(1), or mutually cointegrated. Furthermore, the ARDL </w:t>
      </w:r>
      <w:r>
        <w:rPr>
          <w:rFonts w:ascii="Times New Roman" w:hAnsi="Times New Roman" w:cs="Times New Roman"/>
          <w:sz w:val="24"/>
          <w:szCs w:val="24"/>
        </w:rPr>
        <w:lastRenderedPageBreak/>
        <w:t>estimates the long run and short run simultaneously without losing long run information, and it does not suffer from endogeneity (Pesaran, Shin, &amp; Smith, 2001).</w:t>
      </w:r>
    </w:p>
    <w:p w14:paraId="6B3C727D" w14:textId="77777777" w:rsidR="00920035" w:rsidRDefault="002601FA">
      <w:pPr>
        <w:spacing w:line="360" w:lineRule="auto"/>
        <w:jc w:val="both"/>
        <w:rPr>
          <w:rFonts w:ascii="Times New Roman" w:hAnsi="Times New Roman" w:cs="Times New Roman"/>
          <w:sz w:val="24"/>
          <w:szCs w:val="24"/>
        </w:rPr>
      </w:pPr>
      <w:r>
        <w:rPr>
          <w:rFonts w:ascii="Times New Roman" w:hAnsi="Times New Roman"/>
          <w:sz w:val="24"/>
          <w:szCs w:val="24"/>
        </w:rPr>
        <w:t xml:space="preserve">The study focuses on Nigeria’s public debt and its impact on economic growth between 1990 and 2023, employing GDP growth rate, public debt, domestic debt, external debt, gross fixed capital formation, government expenditure, labour force, exchange rate, and inflation. </w:t>
      </w:r>
      <w:r>
        <w:rPr>
          <w:rFonts w:ascii="Times New Roman" w:hAnsi="Times New Roman" w:cs="Times New Roman"/>
          <w:sz w:val="24"/>
          <w:szCs w:val="24"/>
        </w:rPr>
        <w:t xml:space="preserve">The data are sourced from CBN Statistical Bulletin, Debt Management Office (DMO), NBS, and World Bank. The ED, DD, and GE are captured in billions of Naira, while the GF is captured in United State of America (US) Dollar. The IN, EX, and LF are captured in percentages, while GD is captured in millions of US Dollar. </w:t>
      </w:r>
    </w:p>
    <w:p w14:paraId="09012192" w14:textId="77777777" w:rsidR="00920035" w:rsidRDefault="002601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0B7190C5"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Descriptive Analysis</w:t>
      </w:r>
    </w:p>
    <w:p w14:paraId="1ECB87EC"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graph showing changes in the variables of the study over time is shown as part of the trend analysis. It shows a link between the public debt and economic growth in Nigeria. </w:t>
      </w:r>
    </w:p>
    <w:p w14:paraId="012A1E9D"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Trend Analysis of the Variables</w:t>
      </w:r>
    </w:p>
    <w:p w14:paraId="47E5112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GROSS DOMESTIC PRODUCT                            EXTERNAL DEBT</w:t>
      </w:r>
    </w:p>
    <w:p w14:paraId="39CFCDC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7031D4A7" wp14:editId="42B7F298">
            <wp:extent cx="2032000" cy="26225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32000" cy="2622550"/>
                    </a:xfrm>
                    <a:prstGeom prst="rect">
                      <a:avLst/>
                    </a:prstGeom>
                  </pic:spPr>
                </pic:pic>
              </a:graphicData>
            </a:graphic>
          </wp:inline>
        </w:drawing>
      </w:r>
      <w:r>
        <w:rPr>
          <w:rFonts w:ascii="Times New Roman" w:hAnsi="Times New Roman" w:cs="Times New Roman"/>
          <w:noProof/>
          <w:sz w:val="24"/>
          <w:szCs w:val="24"/>
          <w:lang w:val="en-GB" w:eastAsia="en-GB"/>
        </w:rPr>
        <w:drawing>
          <wp:inline distT="0" distB="0" distL="0" distR="0" wp14:anchorId="25E288A9" wp14:editId="7EA19442">
            <wp:extent cx="2089150" cy="2609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89150" cy="2609850"/>
                    </a:xfrm>
                    <a:prstGeom prst="rect">
                      <a:avLst/>
                    </a:prstGeom>
                  </pic:spPr>
                </pic:pic>
              </a:graphicData>
            </a:graphic>
          </wp:inline>
        </w:drawing>
      </w:r>
    </w:p>
    <w:p w14:paraId="74160A9B" w14:textId="77777777" w:rsidR="00920035" w:rsidRDefault="00920035">
      <w:pPr>
        <w:spacing w:line="360" w:lineRule="auto"/>
        <w:jc w:val="both"/>
        <w:rPr>
          <w:rFonts w:ascii="Times New Roman" w:hAnsi="Times New Roman" w:cs="Times New Roman"/>
          <w:sz w:val="24"/>
          <w:szCs w:val="24"/>
        </w:rPr>
      </w:pPr>
    </w:p>
    <w:p w14:paraId="0CA1C8C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DOMESTIC DEBT                                       GOVERNMENT EXPENDITURE</w:t>
      </w:r>
    </w:p>
    <w:p w14:paraId="35A1614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14:anchorId="17C19227" wp14:editId="7810A47A">
            <wp:extent cx="1987550" cy="2311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87550" cy="2311400"/>
                    </a:xfrm>
                    <a:prstGeom prst="rect">
                      <a:avLst/>
                    </a:prstGeom>
                  </pic:spPr>
                </pic:pic>
              </a:graphicData>
            </a:graphic>
          </wp:inline>
        </w:drawing>
      </w:r>
      <w:r>
        <w:rPr>
          <w:rFonts w:ascii="Times New Roman" w:hAnsi="Times New Roman" w:cs="Times New Roman"/>
          <w:noProof/>
          <w:sz w:val="24"/>
          <w:szCs w:val="24"/>
          <w:lang w:val="en-GB" w:eastAsia="en-GB"/>
        </w:rPr>
        <w:drawing>
          <wp:inline distT="0" distB="0" distL="0" distR="0" wp14:anchorId="3182D302" wp14:editId="02E5C2C8">
            <wp:extent cx="2070100" cy="2279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70100" cy="2279650"/>
                    </a:xfrm>
                    <a:prstGeom prst="rect">
                      <a:avLst/>
                    </a:prstGeom>
                  </pic:spPr>
                </pic:pic>
              </a:graphicData>
            </a:graphic>
          </wp:inline>
        </w:drawing>
      </w:r>
    </w:p>
    <w:p w14:paraId="0B1D9D7D" w14:textId="77777777" w:rsidR="00920035" w:rsidRDefault="00920035">
      <w:pPr>
        <w:spacing w:line="360" w:lineRule="auto"/>
        <w:jc w:val="both"/>
        <w:rPr>
          <w:rFonts w:ascii="Times New Roman" w:hAnsi="Times New Roman" w:cs="Times New Roman"/>
          <w:sz w:val="24"/>
          <w:szCs w:val="24"/>
        </w:rPr>
      </w:pPr>
    </w:p>
    <w:p w14:paraId="0A2F7CD6" w14:textId="77777777" w:rsidR="00920035" w:rsidRDefault="00920035">
      <w:pPr>
        <w:spacing w:line="360" w:lineRule="auto"/>
        <w:jc w:val="both"/>
        <w:rPr>
          <w:rFonts w:ascii="Times New Roman" w:hAnsi="Times New Roman" w:cs="Times New Roman"/>
          <w:sz w:val="24"/>
          <w:szCs w:val="24"/>
        </w:rPr>
      </w:pPr>
    </w:p>
    <w:p w14:paraId="5AD4C89A" w14:textId="77777777" w:rsidR="00920035" w:rsidRDefault="00920035">
      <w:pPr>
        <w:spacing w:line="360" w:lineRule="auto"/>
        <w:jc w:val="both"/>
        <w:rPr>
          <w:rFonts w:ascii="Times New Roman" w:hAnsi="Times New Roman" w:cs="Times New Roman"/>
          <w:sz w:val="24"/>
          <w:szCs w:val="24"/>
        </w:rPr>
      </w:pPr>
    </w:p>
    <w:p w14:paraId="302091E4" w14:textId="77777777" w:rsidR="00920035" w:rsidRDefault="00920035">
      <w:pPr>
        <w:spacing w:line="360" w:lineRule="auto"/>
        <w:jc w:val="both"/>
        <w:rPr>
          <w:rFonts w:ascii="Times New Roman" w:hAnsi="Times New Roman" w:cs="Times New Roman"/>
          <w:sz w:val="24"/>
          <w:szCs w:val="24"/>
        </w:rPr>
      </w:pPr>
    </w:p>
    <w:p w14:paraId="6C89986A" w14:textId="77777777" w:rsidR="00920035" w:rsidRDefault="00920035">
      <w:pPr>
        <w:spacing w:line="360" w:lineRule="auto"/>
        <w:jc w:val="both"/>
        <w:rPr>
          <w:rFonts w:ascii="Times New Roman" w:hAnsi="Times New Roman" w:cs="Times New Roman"/>
          <w:sz w:val="24"/>
          <w:szCs w:val="24"/>
        </w:rPr>
      </w:pPr>
    </w:p>
    <w:p w14:paraId="75A90A5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GROSS FIXED CAPITAL FORMATION                   INFLATION RATE</w:t>
      </w:r>
    </w:p>
    <w:p w14:paraId="70FFE60E"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436E17F8" wp14:editId="719A7077">
            <wp:extent cx="1993900" cy="2114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93900" cy="211455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GB" w:eastAsia="en-GB"/>
        </w:rPr>
        <w:drawing>
          <wp:inline distT="0" distB="0" distL="0" distR="0" wp14:anchorId="4CD9813D" wp14:editId="4F3FCC50">
            <wp:extent cx="2082800" cy="21082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82800" cy="2108200"/>
                    </a:xfrm>
                    <a:prstGeom prst="rect">
                      <a:avLst/>
                    </a:prstGeom>
                  </pic:spPr>
                </pic:pic>
              </a:graphicData>
            </a:graphic>
          </wp:inline>
        </w:drawing>
      </w:r>
    </w:p>
    <w:p w14:paraId="2429978E"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LABOUR FORCE                                        EXCHANGE RATE</w:t>
      </w:r>
    </w:p>
    <w:p w14:paraId="6AA7EEC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5D8DFA05" wp14:editId="2ABD6D4E">
            <wp:extent cx="1943100" cy="2127250"/>
            <wp:effectExtent l="0" t="0" r="0" b="6350"/>
            <wp:docPr id="9" name="Picture 9" descr="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ABOUR FORCE"/>
                    <pic:cNvPicPr>
                      <a:picLocks noChangeAspect="1"/>
                    </pic:cNvPicPr>
                  </pic:nvPicPr>
                  <pic:blipFill>
                    <a:blip r:embed="rId16"/>
                    <a:stretch>
                      <a:fillRect/>
                    </a:stretch>
                  </pic:blipFill>
                  <pic:spPr>
                    <a:xfrm>
                      <a:off x="0" y="0"/>
                      <a:ext cx="1943100" cy="2127250"/>
                    </a:xfrm>
                    <a:prstGeom prst="rect">
                      <a:avLst/>
                    </a:prstGeom>
                  </pic:spPr>
                </pic:pic>
              </a:graphicData>
            </a:graphic>
          </wp:inline>
        </w:drawing>
      </w:r>
      <w:r>
        <w:rPr>
          <w:rFonts w:ascii="Times New Roman" w:hAnsi="Times New Roman" w:cs="Times New Roman"/>
          <w:noProof/>
          <w:sz w:val="24"/>
          <w:szCs w:val="24"/>
          <w:lang w:val="en-GB" w:eastAsia="en-GB"/>
        </w:rPr>
        <w:drawing>
          <wp:inline distT="0" distB="0" distL="0" distR="0" wp14:anchorId="40171ADC" wp14:editId="516E3560">
            <wp:extent cx="2203450" cy="2152650"/>
            <wp:effectExtent l="0" t="0" r="6350" b="0"/>
            <wp:docPr id="10" name="Picture 10" descr="EXCHANGE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CHANGE RATE"/>
                    <pic:cNvPicPr>
                      <a:picLocks noChangeAspect="1"/>
                    </pic:cNvPicPr>
                  </pic:nvPicPr>
                  <pic:blipFill>
                    <a:blip r:embed="rId17"/>
                    <a:stretch>
                      <a:fillRect/>
                    </a:stretch>
                  </pic:blipFill>
                  <pic:spPr>
                    <a:xfrm>
                      <a:off x="0" y="0"/>
                      <a:ext cx="2203450" cy="2152650"/>
                    </a:xfrm>
                    <a:prstGeom prst="rect">
                      <a:avLst/>
                    </a:prstGeom>
                  </pic:spPr>
                </pic:pic>
              </a:graphicData>
            </a:graphic>
          </wp:inline>
        </w:drawing>
      </w:r>
    </w:p>
    <w:p w14:paraId="47808AC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graph based on the data employed</w:t>
      </w:r>
    </w:p>
    <w:p w14:paraId="2959EF5B" w14:textId="77777777" w:rsidR="00920035" w:rsidRDefault="00920035">
      <w:pPr>
        <w:spacing w:line="360" w:lineRule="auto"/>
        <w:jc w:val="both"/>
        <w:rPr>
          <w:rFonts w:ascii="Times New Roman" w:hAnsi="Times New Roman" w:cs="Times New Roman"/>
          <w:sz w:val="24"/>
          <w:szCs w:val="24"/>
        </w:rPr>
      </w:pPr>
    </w:p>
    <w:p w14:paraId="7A404CD3"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growth proxied by real GDP seems to increase steadily over time. It started at around 21,680 million dollars  in 1990 and increased to approximately  77, 936 millon dollars by 2023. This indicates consistent growth in GDP over the years. External shows an upward trend from 1990 to 2005, then fall sharply around 2007 and also continue to increase from around 2008 to 2023. This suggests a growing external debt stock by the government. The domestic debt and government expenditure showed an upward trends, suggesting that bulk of government expenditure have been financed through debt. On the other hand, the gross fixed capital formation showed an irregular trend with is not good for the economy as capital formation is expected to grow to steadily to influence economic growth. However, inflation showed a downward trend after it peaked around 1995 to 2019. Then it continued rising from 2020. This trend implies that price are not stable in the country which affect investors’ confidence. Labour force participation rate continued to decline around 2001 to  2015, then started rising. This trend suggest a high rate of unemployment in the country. Meanwhile the exchange rate had continue to increase since 1990. This trend shows that the country is an import dependent economy. </w:t>
      </w:r>
    </w:p>
    <w:p w14:paraId="0FD02188" w14:textId="77777777" w:rsidR="00920035" w:rsidRDefault="00920035">
      <w:pPr>
        <w:spacing w:line="360" w:lineRule="auto"/>
        <w:jc w:val="both"/>
        <w:rPr>
          <w:rFonts w:ascii="Times New Roman" w:hAnsi="Times New Roman" w:cs="Times New Roman"/>
          <w:sz w:val="24"/>
          <w:szCs w:val="24"/>
        </w:rPr>
      </w:pPr>
    </w:p>
    <w:p w14:paraId="3EA32105"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Correlation Analysis</w:t>
      </w:r>
    </w:p>
    <w:p w14:paraId="133682A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Table 1 extends to assess the level of association among the variables used for measurement. We shall look at the correlation between dependent variables and explanatory factors in this context.</w:t>
      </w:r>
    </w:p>
    <w:p w14:paraId="2D3EFF3C"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The Correlation Matrix</w:t>
      </w:r>
    </w:p>
    <w:tbl>
      <w:tblPr>
        <w:tblW w:w="5835" w:type="dxa"/>
        <w:tblInd w:w="93" w:type="dxa"/>
        <w:tblLook w:val="04A0" w:firstRow="1" w:lastRow="0" w:firstColumn="1" w:lastColumn="0" w:noHBand="0" w:noVBand="1"/>
      </w:tblPr>
      <w:tblGrid>
        <w:gridCol w:w="986"/>
        <w:gridCol w:w="895"/>
        <w:gridCol w:w="986"/>
        <w:gridCol w:w="895"/>
        <w:gridCol w:w="895"/>
        <w:gridCol w:w="895"/>
        <w:gridCol w:w="821"/>
        <w:gridCol w:w="632"/>
      </w:tblGrid>
      <w:tr w:rsidR="00920035" w14:paraId="383AB91B" w14:textId="77777777">
        <w:trPr>
          <w:trHeight w:val="315"/>
        </w:trPr>
        <w:tc>
          <w:tcPr>
            <w:tcW w:w="810" w:type="dxa"/>
            <w:tcBorders>
              <w:top w:val="single" w:sz="8" w:space="0" w:color="000000"/>
              <w:left w:val="single" w:sz="8" w:space="0" w:color="000000"/>
              <w:bottom w:val="single" w:sz="4" w:space="0" w:color="000000"/>
              <w:right w:val="single" w:sz="4" w:space="0" w:color="000000"/>
            </w:tcBorders>
            <w:noWrap/>
            <w:vAlign w:val="center"/>
          </w:tcPr>
          <w:p w14:paraId="64D26DF9" w14:textId="77777777" w:rsidR="00920035" w:rsidRDefault="00920035">
            <w:pPr>
              <w:rPr>
                <w:rFonts w:ascii="Times New Roman" w:hAnsi="Times New Roman" w:cs="Times New Roman"/>
                <w:color w:val="000000"/>
                <w:sz w:val="22"/>
                <w:szCs w:val="22"/>
              </w:rPr>
            </w:pPr>
          </w:p>
        </w:tc>
        <w:tc>
          <w:tcPr>
            <w:tcW w:w="780" w:type="dxa"/>
            <w:tcBorders>
              <w:top w:val="single" w:sz="8" w:space="0" w:color="000000"/>
              <w:left w:val="single" w:sz="4" w:space="0" w:color="000000"/>
              <w:bottom w:val="single" w:sz="4" w:space="0" w:color="000000"/>
              <w:right w:val="single" w:sz="4" w:space="0" w:color="000000"/>
            </w:tcBorders>
            <w:noWrap/>
            <w:vAlign w:val="center"/>
          </w:tcPr>
          <w:p w14:paraId="77D1C6BD"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LGED</w:t>
            </w:r>
          </w:p>
        </w:tc>
        <w:tc>
          <w:tcPr>
            <w:tcW w:w="765" w:type="dxa"/>
            <w:tcBorders>
              <w:top w:val="single" w:sz="8" w:space="0" w:color="000000"/>
              <w:left w:val="single" w:sz="4" w:space="0" w:color="000000"/>
              <w:bottom w:val="single" w:sz="4" w:space="0" w:color="000000"/>
              <w:right w:val="single" w:sz="4" w:space="0" w:color="000000"/>
            </w:tcBorders>
            <w:noWrap/>
            <w:vAlign w:val="center"/>
          </w:tcPr>
          <w:p w14:paraId="45C24655"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DLGDD</w:t>
            </w:r>
          </w:p>
        </w:tc>
        <w:tc>
          <w:tcPr>
            <w:tcW w:w="720" w:type="dxa"/>
            <w:tcBorders>
              <w:top w:val="single" w:sz="8" w:space="0" w:color="000000"/>
              <w:left w:val="single" w:sz="4" w:space="0" w:color="000000"/>
              <w:bottom w:val="single" w:sz="4" w:space="0" w:color="000000"/>
              <w:right w:val="single" w:sz="4" w:space="0" w:color="000000"/>
            </w:tcBorders>
            <w:noWrap/>
            <w:vAlign w:val="center"/>
          </w:tcPr>
          <w:p w14:paraId="49110684"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LGGE</w:t>
            </w:r>
          </w:p>
        </w:tc>
        <w:tc>
          <w:tcPr>
            <w:tcW w:w="705" w:type="dxa"/>
            <w:tcBorders>
              <w:top w:val="single" w:sz="8" w:space="0" w:color="000000"/>
              <w:left w:val="single" w:sz="4" w:space="0" w:color="000000"/>
              <w:bottom w:val="single" w:sz="4" w:space="0" w:color="000000"/>
              <w:right w:val="single" w:sz="4" w:space="0" w:color="000000"/>
            </w:tcBorders>
            <w:noWrap/>
            <w:vAlign w:val="center"/>
          </w:tcPr>
          <w:p w14:paraId="2D33D56A"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LGGF</w:t>
            </w:r>
          </w:p>
        </w:tc>
        <w:tc>
          <w:tcPr>
            <w:tcW w:w="855" w:type="dxa"/>
            <w:tcBorders>
              <w:top w:val="single" w:sz="8" w:space="0" w:color="000000"/>
              <w:left w:val="single" w:sz="4" w:space="0" w:color="000000"/>
              <w:bottom w:val="single" w:sz="4" w:space="0" w:color="000000"/>
              <w:right w:val="single" w:sz="4" w:space="0" w:color="000000"/>
            </w:tcBorders>
            <w:noWrap/>
            <w:vAlign w:val="center"/>
          </w:tcPr>
          <w:p w14:paraId="388F06B8"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IN</w:t>
            </w:r>
          </w:p>
        </w:tc>
        <w:tc>
          <w:tcPr>
            <w:tcW w:w="705" w:type="dxa"/>
            <w:tcBorders>
              <w:top w:val="single" w:sz="8" w:space="0" w:color="000000"/>
              <w:left w:val="single" w:sz="4" w:space="0" w:color="000000"/>
              <w:bottom w:val="single" w:sz="4" w:space="0" w:color="000000"/>
              <w:right w:val="single" w:sz="4" w:space="0" w:color="000000"/>
            </w:tcBorders>
            <w:noWrap/>
            <w:vAlign w:val="center"/>
          </w:tcPr>
          <w:p w14:paraId="6201980F"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LGEX</w:t>
            </w:r>
          </w:p>
        </w:tc>
        <w:tc>
          <w:tcPr>
            <w:tcW w:w="495" w:type="dxa"/>
            <w:tcBorders>
              <w:top w:val="single" w:sz="8" w:space="0" w:color="000000"/>
              <w:left w:val="single" w:sz="4" w:space="0" w:color="000000"/>
              <w:bottom w:val="single" w:sz="4" w:space="0" w:color="000000"/>
              <w:right w:val="single" w:sz="8" w:space="0" w:color="000000"/>
            </w:tcBorders>
            <w:noWrap/>
            <w:vAlign w:val="center"/>
          </w:tcPr>
          <w:p w14:paraId="723361C5"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DLF</w:t>
            </w:r>
          </w:p>
        </w:tc>
      </w:tr>
      <w:tr w:rsidR="00920035" w14:paraId="3D096C0B"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3FDC0212"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LGED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84E64"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45B12"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56AE6A"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6DC911"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73944"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ECA000"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6C2DF9D" w14:textId="77777777" w:rsidR="00920035" w:rsidRDefault="00920035">
            <w:pPr>
              <w:rPr>
                <w:rFonts w:ascii="Times New Roman" w:hAnsi="Times New Roman" w:cs="Times New Roman"/>
                <w:color w:val="000000"/>
                <w:sz w:val="22"/>
                <w:szCs w:val="22"/>
              </w:rPr>
            </w:pPr>
          </w:p>
        </w:tc>
      </w:tr>
      <w:tr w:rsidR="00920035" w14:paraId="69837912"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2D82ABF4"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DLGDD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B6DD6"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0.0679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815514"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9ABCA"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30682E"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199A09"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6FF46"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3EBD627" w14:textId="77777777" w:rsidR="00920035" w:rsidRDefault="00920035">
            <w:pPr>
              <w:rPr>
                <w:rFonts w:ascii="Times New Roman" w:hAnsi="Times New Roman" w:cs="Times New Roman"/>
                <w:color w:val="000000"/>
                <w:sz w:val="22"/>
                <w:szCs w:val="22"/>
              </w:rPr>
            </w:pPr>
          </w:p>
        </w:tc>
      </w:tr>
      <w:tr w:rsidR="00920035" w14:paraId="396F3EE0"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73C89EBF"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LGGE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F0536"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0.6591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7E454"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-0.0659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F19CB"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8D7230"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627594"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575F2"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6CAB42E" w14:textId="77777777" w:rsidR="00920035" w:rsidRDefault="00920035">
            <w:pPr>
              <w:rPr>
                <w:rFonts w:ascii="Times New Roman" w:hAnsi="Times New Roman" w:cs="Times New Roman"/>
                <w:color w:val="000000"/>
                <w:sz w:val="22"/>
                <w:szCs w:val="22"/>
              </w:rPr>
            </w:pPr>
          </w:p>
        </w:tc>
      </w:tr>
      <w:tr w:rsidR="00920035" w14:paraId="6E559761"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7BCBDC02"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LGGF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42140"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0.5649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3C7D13"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0.0622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972029"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0.7879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B9B211"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F1029B"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FDB247"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9AD0996" w14:textId="77777777" w:rsidR="00920035" w:rsidRDefault="00920035">
            <w:pPr>
              <w:rPr>
                <w:rFonts w:ascii="Times New Roman" w:hAnsi="Times New Roman" w:cs="Times New Roman"/>
                <w:color w:val="000000"/>
                <w:sz w:val="22"/>
                <w:szCs w:val="22"/>
              </w:rPr>
            </w:pPr>
          </w:p>
        </w:tc>
      </w:tr>
      <w:tr w:rsidR="00920035" w14:paraId="4008E6E5"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649D66E9"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IN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81F075"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-0.1853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27CFD"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0.3039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B1D080"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-0.5108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988921"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-0.4054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D18D87"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2F6C60" w14:textId="77777777" w:rsidR="00920035" w:rsidRDefault="00920035">
            <w:pPr>
              <w:rPr>
                <w:rFonts w:ascii="Times New Roman" w:hAnsi="Times New Roman" w:cs="Times New Roman"/>
                <w:color w:val="000000"/>
                <w:sz w:val="22"/>
                <w:szCs w:val="22"/>
              </w:rPr>
            </w:pP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B5D9424" w14:textId="77777777" w:rsidR="00920035" w:rsidRDefault="00920035">
            <w:pPr>
              <w:rPr>
                <w:rFonts w:ascii="Times New Roman" w:hAnsi="Times New Roman" w:cs="Times New Roman"/>
                <w:color w:val="000000"/>
                <w:sz w:val="22"/>
                <w:szCs w:val="22"/>
              </w:rPr>
            </w:pPr>
          </w:p>
        </w:tc>
      </w:tr>
      <w:tr w:rsidR="00920035" w14:paraId="1D49156F"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308EB369"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LGEX</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85A346"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0.7584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5B65B"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-0.0215</w:t>
            </w:r>
          </w:p>
        </w:tc>
        <w:tc>
          <w:tcPr>
            <w:tcW w:w="0" w:type="auto"/>
            <w:tcBorders>
              <w:top w:val="single" w:sz="4" w:space="0" w:color="000000"/>
              <w:left w:val="single" w:sz="4" w:space="0" w:color="000000"/>
              <w:bottom w:val="single" w:sz="4" w:space="0" w:color="000000"/>
              <w:right w:val="single" w:sz="4" w:space="0" w:color="000000"/>
            </w:tcBorders>
            <w:shd w:val="clear" w:color="auto" w:fill="FF0000"/>
            <w:noWrap/>
            <w:vAlign w:val="center"/>
          </w:tcPr>
          <w:p w14:paraId="33C199B3"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0.9601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23D4C"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0.7465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665B36"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-0.4896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C5EED9"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C68D891" w14:textId="77777777" w:rsidR="00920035" w:rsidRDefault="00920035">
            <w:pPr>
              <w:rPr>
                <w:rFonts w:ascii="Times New Roman" w:hAnsi="Times New Roman" w:cs="Times New Roman"/>
                <w:color w:val="000000"/>
                <w:sz w:val="22"/>
                <w:szCs w:val="22"/>
              </w:rPr>
            </w:pPr>
          </w:p>
        </w:tc>
      </w:tr>
      <w:tr w:rsidR="00920035" w14:paraId="1E76209D" w14:textId="77777777">
        <w:trPr>
          <w:trHeight w:val="330"/>
        </w:trPr>
        <w:tc>
          <w:tcPr>
            <w:tcW w:w="0" w:type="auto"/>
            <w:tcBorders>
              <w:top w:val="single" w:sz="4" w:space="0" w:color="000000"/>
              <w:left w:val="single" w:sz="8" w:space="0" w:color="000000"/>
              <w:bottom w:val="single" w:sz="8" w:space="0" w:color="000000"/>
              <w:right w:val="single" w:sz="4" w:space="0" w:color="000000"/>
            </w:tcBorders>
            <w:noWrap/>
            <w:vAlign w:val="center"/>
          </w:tcPr>
          <w:p w14:paraId="17C8063D"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DLF</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6FA40D80"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0.3728</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03A6E250"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0.6926</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3444BF73"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0.1537</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4C7174F2"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0.3085</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37A03D68"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0.2807</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1960A24A" w14:textId="77777777" w:rsidR="00920035" w:rsidRDefault="002601FA">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0.1416</w:t>
            </w:r>
          </w:p>
        </w:tc>
        <w:tc>
          <w:tcPr>
            <w:tcW w:w="0" w:type="auto"/>
            <w:tcBorders>
              <w:top w:val="single" w:sz="4" w:space="0" w:color="000000"/>
              <w:left w:val="single" w:sz="4" w:space="0" w:color="000000"/>
              <w:bottom w:val="single" w:sz="8" w:space="0" w:color="000000"/>
              <w:right w:val="single" w:sz="8" w:space="0" w:color="000000"/>
            </w:tcBorders>
            <w:noWrap/>
            <w:vAlign w:val="center"/>
          </w:tcPr>
          <w:p w14:paraId="2B3EACC1" w14:textId="77777777" w:rsidR="00920035" w:rsidRDefault="002601FA">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r>
    </w:tbl>
    <w:p w14:paraId="34CDD8D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5805681B" w14:textId="77777777" w:rsidR="00920035" w:rsidRDefault="00920035">
      <w:pPr>
        <w:spacing w:line="360" w:lineRule="auto"/>
        <w:jc w:val="both"/>
        <w:rPr>
          <w:rFonts w:ascii="Times New Roman" w:hAnsi="Times New Roman" w:cs="Times New Roman"/>
          <w:sz w:val="24"/>
          <w:szCs w:val="24"/>
        </w:rPr>
      </w:pPr>
    </w:p>
    <w:p w14:paraId="6277BB22"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strong correlation exists between variables GE and EX, as the correlation matrix is greater than 0.8, indicating potential multicollinearity. Consequently, a further diagnostic method, the Variance Inflation Factor (VIF), was employed.</w:t>
      </w:r>
    </w:p>
    <w:p w14:paraId="2652F3B3" w14:textId="77777777" w:rsidR="00920035" w:rsidRDefault="00920035">
      <w:pPr>
        <w:spacing w:line="360" w:lineRule="auto"/>
        <w:jc w:val="both"/>
        <w:rPr>
          <w:rFonts w:ascii="Times New Roman" w:hAnsi="Times New Roman" w:cs="Times New Roman"/>
          <w:sz w:val="24"/>
          <w:szCs w:val="24"/>
        </w:rPr>
      </w:pPr>
    </w:p>
    <w:p w14:paraId="575BE687"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The Variance Inflation Factor</w:t>
      </w:r>
    </w:p>
    <w:tbl>
      <w:tblPr>
        <w:tblW w:w="3901" w:type="dxa"/>
        <w:tblInd w:w="93" w:type="dxa"/>
        <w:tblLook w:val="04A0" w:firstRow="1" w:lastRow="0" w:firstColumn="1" w:lastColumn="0" w:noHBand="0" w:noVBand="1"/>
      </w:tblPr>
      <w:tblGrid>
        <w:gridCol w:w="1110"/>
        <w:gridCol w:w="1470"/>
        <w:gridCol w:w="1470"/>
      </w:tblGrid>
      <w:tr w:rsidR="00920035" w14:paraId="1071D935" w14:textId="77777777">
        <w:trPr>
          <w:trHeight w:val="315"/>
        </w:trPr>
        <w:tc>
          <w:tcPr>
            <w:tcW w:w="960" w:type="dxa"/>
            <w:tcBorders>
              <w:top w:val="single" w:sz="8" w:space="0" w:color="000000"/>
              <w:left w:val="single" w:sz="8" w:space="0" w:color="000000"/>
              <w:bottom w:val="single" w:sz="4" w:space="0" w:color="000000"/>
              <w:right w:val="single" w:sz="4" w:space="0" w:color="000000"/>
            </w:tcBorders>
            <w:noWrap/>
            <w:vAlign w:val="center"/>
          </w:tcPr>
          <w:p w14:paraId="7BA7B456" w14:textId="77777777" w:rsidR="00920035" w:rsidRDefault="002601FA">
            <w:pPr>
              <w:spacing w:line="360" w:lineRule="auto"/>
              <w:jc w:val="both"/>
              <w:textAlignment w:val="center"/>
              <w:rPr>
                <w:rFonts w:ascii="Times New Roman" w:hAnsi="Times New Roman" w:cs="Times New Roman"/>
                <w:b/>
                <w:bCs/>
                <w:color w:val="000000"/>
                <w:sz w:val="24"/>
                <w:szCs w:val="24"/>
                <w:lang w:val="en-GB" w:eastAsia="en-GB"/>
              </w:rPr>
            </w:pPr>
            <w:r>
              <w:rPr>
                <w:rFonts w:ascii="Times New Roman" w:eastAsia="SimSun" w:hAnsi="Times New Roman" w:cs="Times New Roman"/>
                <w:b/>
                <w:bCs/>
                <w:color w:val="000000"/>
                <w:sz w:val="24"/>
                <w:szCs w:val="24"/>
              </w:rPr>
              <w:t>Variable</w:t>
            </w:r>
          </w:p>
        </w:tc>
        <w:tc>
          <w:tcPr>
            <w:tcW w:w="1470" w:type="dxa"/>
            <w:tcBorders>
              <w:top w:val="single" w:sz="8" w:space="0" w:color="000000"/>
              <w:left w:val="nil"/>
              <w:bottom w:val="single" w:sz="4" w:space="0" w:color="000000"/>
              <w:right w:val="single" w:sz="4" w:space="0" w:color="000000"/>
            </w:tcBorders>
            <w:noWrap/>
            <w:vAlign w:val="center"/>
          </w:tcPr>
          <w:p w14:paraId="6BBE4BA3" w14:textId="77777777" w:rsidR="00920035" w:rsidRDefault="002601FA">
            <w:pPr>
              <w:spacing w:line="360" w:lineRule="auto"/>
              <w:jc w:val="both"/>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Coefficient</w:t>
            </w:r>
          </w:p>
        </w:tc>
        <w:tc>
          <w:tcPr>
            <w:tcW w:w="1470" w:type="dxa"/>
            <w:tcBorders>
              <w:top w:val="single" w:sz="8" w:space="0" w:color="000000"/>
              <w:left w:val="nil"/>
              <w:bottom w:val="single" w:sz="4" w:space="0" w:color="000000"/>
              <w:right w:val="single" w:sz="8" w:space="0" w:color="000000"/>
            </w:tcBorders>
            <w:noWrap/>
            <w:vAlign w:val="center"/>
          </w:tcPr>
          <w:p w14:paraId="7E68AAEA" w14:textId="77777777" w:rsidR="00920035" w:rsidRDefault="002601FA">
            <w:pPr>
              <w:spacing w:line="360" w:lineRule="auto"/>
              <w:jc w:val="both"/>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VIF</w:t>
            </w:r>
          </w:p>
        </w:tc>
      </w:tr>
      <w:tr w:rsidR="00920035" w14:paraId="0091D540"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7AA68604"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LGED</w:t>
            </w:r>
          </w:p>
        </w:tc>
        <w:tc>
          <w:tcPr>
            <w:tcW w:w="0" w:type="auto"/>
            <w:tcBorders>
              <w:top w:val="single" w:sz="4" w:space="0" w:color="000000"/>
              <w:left w:val="nil"/>
              <w:bottom w:val="single" w:sz="4" w:space="0" w:color="000000"/>
              <w:right w:val="single" w:sz="4" w:space="0" w:color="000000"/>
            </w:tcBorders>
            <w:noWrap/>
            <w:vAlign w:val="center"/>
          </w:tcPr>
          <w:p w14:paraId="61703765"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0.0019</w:t>
            </w:r>
          </w:p>
        </w:tc>
        <w:tc>
          <w:tcPr>
            <w:tcW w:w="0" w:type="auto"/>
            <w:tcBorders>
              <w:top w:val="single" w:sz="4" w:space="0" w:color="000000"/>
              <w:left w:val="nil"/>
              <w:bottom w:val="single" w:sz="4" w:space="0" w:color="000000"/>
              <w:right w:val="single" w:sz="8" w:space="0" w:color="000000"/>
            </w:tcBorders>
            <w:noWrap/>
            <w:vAlign w:val="center"/>
          </w:tcPr>
          <w:p w14:paraId="290A05EB"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4.4583</w:t>
            </w:r>
          </w:p>
        </w:tc>
      </w:tr>
      <w:tr w:rsidR="00920035" w14:paraId="423AD808"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75AEB9A9"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DLGDD</w:t>
            </w:r>
          </w:p>
        </w:tc>
        <w:tc>
          <w:tcPr>
            <w:tcW w:w="0" w:type="auto"/>
            <w:tcBorders>
              <w:top w:val="single" w:sz="4" w:space="0" w:color="000000"/>
              <w:left w:val="nil"/>
              <w:bottom w:val="single" w:sz="4" w:space="0" w:color="000000"/>
              <w:right w:val="single" w:sz="4" w:space="0" w:color="000000"/>
            </w:tcBorders>
            <w:noWrap/>
            <w:vAlign w:val="center"/>
          </w:tcPr>
          <w:p w14:paraId="4B157830"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0.0061</w:t>
            </w:r>
          </w:p>
        </w:tc>
        <w:tc>
          <w:tcPr>
            <w:tcW w:w="0" w:type="auto"/>
            <w:tcBorders>
              <w:top w:val="single" w:sz="4" w:space="0" w:color="000000"/>
              <w:left w:val="nil"/>
              <w:bottom w:val="single" w:sz="4" w:space="0" w:color="000000"/>
              <w:right w:val="single" w:sz="8" w:space="0" w:color="000000"/>
            </w:tcBorders>
            <w:noWrap/>
            <w:vAlign w:val="center"/>
          </w:tcPr>
          <w:p w14:paraId="11B0AF1E"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2.6935</w:t>
            </w:r>
          </w:p>
        </w:tc>
      </w:tr>
      <w:tr w:rsidR="00920035" w14:paraId="262A8CF4"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667E8558"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LGGE</w:t>
            </w:r>
          </w:p>
        </w:tc>
        <w:tc>
          <w:tcPr>
            <w:tcW w:w="0" w:type="auto"/>
            <w:tcBorders>
              <w:top w:val="single" w:sz="4" w:space="0" w:color="000000"/>
              <w:left w:val="nil"/>
              <w:bottom w:val="single" w:sz="4" w:space="0" w:color="000000"/>
              <w:right w:val="single" w:sz="4" w:space="0" w:color="000000"/>
            </w:tcBorders>
            <w:noWrap/>
            <w:vAlign w:val="center"/>
          </w:tcPr>
          <w:p w14:paraId="1ECE6407"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0.0066</w:t>
            </w:r>
          </w:p>
        </w:tc>
        <w:tc>
          <w:tcPr>
            <w:tcW w:w="0" w:type="auto"/>
            <w:tcBorders>
              <w:top w:val="single" w:sz="4" w:space="0" w:color="000000"/>
              <w:left w:val="nil"/>
              <w:bottom w:val="single" w:sz="4" w:space="0" w:color="000000"/>
              <w:right w:val="single" w:sz="8" w:space="0" w:color="000000"/>
            </w:tcBorders>
            <w:noWrap/>
            <w:vAlign w:val="center"/>
          </w:tcPr>
          <w:p w14:paraId="6EE018F6"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22.5037</w:t>
            </w:r>
          </w:p>
        </w:tc>
      </w:tr>
      <w:tr w:rsidR="00920035" w14:paraId="1C456976"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496E4295"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LGGF</w:t>
            </w:r>
          </w:p>
        </w:tc>
        <w:tc>
          <w:tcPr>
            <w:tcW w:w="0" w:type="auto"/>
            <w:tcBorders>
              <w:top w:val="single" w:sz="4" w:space="0" w:color="000000"/>
              <w:left w:val="nil"/>
              <w:bottom w:val="single" w:sz="4" w:space="0" w:color="000000"/>
              <w:right w:val="single" w:sz="4" w:space="0" w:color="000000"/>
            </w:tcBorders>
            <w:noWrap/>
            <w:vAlign w:val="center"/>
          </w:tcPr>
          <w:p w14:paraId="25FD3515"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0.0929</w:t>
            </w:r>
          </w:p>
        </w:tc>
        <w:tc>
          <w:tcPr>
            <w:tcW w:w="0" w:type="auto"/>
            <w:tcBorders>
              <w:top w:val="single" w:sz="4" w:space="0" w:color="000000"/>
              <w:left w:val="nil"/>
              <w:bottom w:val="single" w:sz="4" w:space="0" w:color="000000"/>
              <w:right w:val="single" w:sz="8" w:space="0" w:color="000000"/>
            </w:tcBorders>
            <w:noWrap/>
            <w:vAlign w:val="center"/>
          </w:tcPr>
          <w:p w14:paraId="7DEA3021"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3.0025</w:t>
            </w:r>
          </w:p>
        </w:tc>
      </w:tr>
      <w:tr w:rsidR="00920035" w14:paraId="190CCA7F"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2DEB96EE"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IN</w:t>
            </w:r>
          </w:p>
        </w:tc>
        <w:tc>
          <w:tcPr>
            <w:tcW w:w="0" w:type="auto"/>
            <w:tcBorders>
              <w:top w:val="single" w:sz="4" w:space="0" w:color="000000"/>
              <w:left w:val="nil"/>
              <w:bottom w:val="single" w:sz="4" w:space="0" w:color="000000"/>
              <w:right w:val="single" w:sz="4" w:space="0" w:color="000000"/>
            </w:tcBorders>
            <w:noWrap/>
            <w:vAlign w:val="center"/>
          </w:tcPr>
          <w:p w14:paraId="4209F1BE"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4.5600 </w:t>
            </w:r>
          </w:p>
        </w:tc>
        <w:tc>
          <w:tcPr>
            <w:tcW w:w="0" w:type="auto"/>
            <w:tcBorders>
              <w:top w:val="single" w:sz="4" w:space="0" w:color="000000"/>
              <w:left w:val="nil"/>
              <w:bottom w:val="single" w:sz="4" w:space="0" w:color="000000"/>
              <w:right w:val="single" w:sz="8" w:space="0" w:color="000000"/>
            </w:tcBorders>
            <w:noWrap/>
            <w:vAlign w:val="center"/>
          </w:tcPr>
          <w:p w14:paraId="128BD23B"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1.7226</w:t>
            </w:r>
          </w:p>
        </w:tc>
      </w:tr>
      <w:tr w:rsidR="00920035" w14:paraId="0DC2EFA2"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1AC1324C"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LGEX</w:t>
            </w:r>
          </w:p>
        </w:tc>
        <w:tc>
          <w:tcPr>
            <w:tcW w:w="0" w:type="auto"/>
            <w:tcBorders>
              <w:top w:val="single" w:sz="4" w:space="0" w:color="000000"/>
              <w:left w:val="nil"/>
              <w:bottom w:val="single" w:sz="4" w:space="0" w:color="000000"/>
              <w:right w:val="single" w:sz="4" w:space="0" w:color="000000"/>
            </w:tcBorders>
            <w:noWrap/>
            <w:vAlign w:val="center"/>
          </w:tcPr>
          <w:p w14:paraId="00B33E04"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0.01638</w:t>
            </w:r>
          </w:p>
        </w:tc>
        <w:tc>
          <w:tcPr>
            <w:tcW w:w="0" w:type="auto"/>
            <w:tcBorders>
              <w:top w:val="single" w:sz="4" w:space="0" w:color="000000"/>
              <w:left w:val="nil"/>
              <w:bottom w:val="single" w:sz="4" w:space="0" w:color="000000"/>
              <w:right w:val="single" w:sz="8" w:space="0" w:color="000000"/>
            </w:tcBorders>
            <w:noWrap/>
            <w:vAlign w:val="center"/>
          </w:tcPr>
          <w:p w14:paraId="775EDFF7"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28.4627</w:t>
            </w:r>
          </w:p>
        </w:tc>
      </w:tr>
      <w:tr w:rsidR="00920035" w14:paraId="0039BC4B" w14:textId="77777777">
        <w:trPr>
          <w:trHeight w:val="330"/>
        </w:trPr>
        <w:tc>
          <w:tcPr>
            <w:tcW w:w="0" w:type="auto"/>
            <w:tcBorders>
              <w:top w:val="single" w:sz="4" w:space="0" w:color="000000"/>
              <w:left w:val="single" w:sz="8" w:space="0" w:color="000000"/>
              <w:bottom w:val="single" w:sz="8" w:space="0" w:color="000000"/>
              <w:right w:val="single" w:sz="4" w:space="0" w:color="000000"/>
            </w:tcBorders>
            <w:noWrap/>
            <w:vAlign w:val="center"/>
          </w:tcPr>
          <w:p w14:paraId="0A6FE442"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DLF</w:t>
            </w:r>
          </w:p>
        </w:tc>
        <w:tc>
          <w:tcPr>
            <w:tcW w:w="0" w:type="auto"/>
            <w:tcBorders>
              <w:top w:val="single" w:sz="4" w:space="0" w:color="000000"/>
              <w:left w:val="nil"/>
              <w:bottom w:val="single" w:sz="8" w:space="0" w:color="000000"/>
              <w:right w:val="single" w:sz="4" w:space="0" w:color="000000"/>
            </w:tcBorders>
            <w:noWrap/>
            <w:vAlign w:val="center"/>
          </w:tcPr>
          <w:p w14:paraId="0194799E"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0.034</w:t>
            </w:r>
          </w:p>
        </w:tc>
        <w:tc>
          <w:tcPr>
            <w:tcW w:w="0" w:type="auto"/>
            <w:tcBorders>
              <w:top w:val="single" w:sz="4" w:space="0" w:color="000000"/>
              <w:left w:val="nil"/>
              <w:bottom w:val="single" w:sz="8" w:space="0" w:color="000000"/>
              <w:right w:val="single" w:sz="8" w:space="0" w:color="000000"/>
            </w:tcBorders>
            <w:noWrap/>
            <w:vAlign w:val="center"/>
          </w:tcPr>
          <w:p w14:paraId="380A5A5F"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3.6774</w:t>
            </w:r>
          </w:p>
        </w:tc>
      </w:tr>
    </w:tbl>
    <w:p w14:paraId="41F936A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10B2815C" w14:textId="77777777" w:rsidR="00920035" w:rsidRDefault="00920035">
      <w:pPr>
        <w:spacing w:line="360" w:lineRule="auto"/>
        <w:jc w:val="both"/>
        <w:rPr>
          <w:rFonts w:ascii="Times New Roman" w:hAnsi="Times New Roman" w:cs="Times New Roman"/>
          <w:sz w:val="24"/>
          <w:szCs w:val="24"/>
        </w:rPr>
      </w:pPr>
    </w:p>
    <w:p w14:paraId="2B195C5F" w14:textId="77777777" w:rsidR="00920035" w:rsidRDefault="00920035">
      <w:pPr>
        <w:spacing w:line="360" w:lineRule="auto"/>
        <w:jc w:val="both"/>
        <w:rPr>
          <w:rFonts w:ascii="Times New Roman" w:hAnsi="Times New Roman" w:cs="Times New Roman"/>
          <w:sz w:val="24"/>
          <w:szCs w:val="24"/>
        </w:rPr>
      </w:pPr>
    </w:p>
    <w:p w14:paraId="06F979F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VIF results indicated severe multicollinearity between variables GE and EX, as the VIF is greater than 5 for both. Consequently, the exchange rate was excluded to mitigate multicollinearity while preserving theoretical consistency. Although EX may influence GD through external sector channels, GE is retained in the model due to its direct fiscal linkage with public debt and its central role in growth theory. </w:t>
      </w:r>
    </w:p>
    <w:p w14:paraId="2BC896DA" w14:textId="77777777" w:rsidR="00920035" w:rsidRDefault="00920035">
      <w:pPr>
        <w:spacing w:line="360" w:lineRule="auto"/>
        <w:jc w:val="both"/>
        <w:rPr>
          <w:rFonts w:ascii="Times New Roman" w:hAnsi="Times New Roman" w:cs="Times New Roman"/>
          <w:sz w:val="24"/>
          <w:szCs w:val="24"/>
        </w:rPr>
      </w:pPr>
    </w:p>
    <w:p w14:paraId="495003C9"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Testing for Stationarity</w:t>
      </w:r>
    </w:p>
    <w:p w14:paraId="1DAE00A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analysis of the data's characteristics must be crucial prior to entering into a cointegration analysis. It is important to examine stationarity in economic time series data, given that traditional econometric methodologies presume such a consistency even if it is often not the case. Consequently, standard statistical tests may not be appropriate, and the conclusions drawn could be flawed and misleading. </w:t>
      </w:r>
    </w:p>
    <w:p w14:paraId="375BB6D9"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The Results of Unit Roots Test </w:t>
      </w:r>
    </w:p>
    <w:tbl>
      <w:tblPr>
        <w:tblW w:w="6150" w:type="dxa"/>
        <w:tblInd w:w="93" w:type="dxa"/>
        <w:tblLook w:val="04A0" w:firstRow="1" w:lastRow="0" w:firstColumn="1" w:lastColumn="0" w:noHBand="0" w:noVBand="1"/>
      </w:tblPr>
      <w:tblGrid>
        <w:gridCol w:w="910"/>
        <w:gridCol w:w="985"/>
        <w:gridCol w:w="1797"/>
        <w:gridCol w:w="666"/>
        <w:gridCol w:w="985"/>
        <w:gridCol w:w="1797"/>
        <w:gridCol w:w="597"/>
        <w:gridCol w:w="692"/>
      </w:tblGrid>
      <w:tr w:rsidR="00920035" w14:paraId="2BC7D1BD" w14:textId="77777777">
        <w:trPr>
          <w:trHeight w:val="315"/>
        </w:trPr>
        <w:tc>
          <w:tcPr>
            <w:tcW w:w="6150" w:type="dxa"/>
            <w:gridSpan w:val="8"/>
            <w:tcBorders>
              <w:top w:val="single" w:sz="8" w:space="0" w:color="000000"/>
              <w:left w:val="single" w:sz="8" w:space="0" w:color="000000"/>
              <w:bottom w:val="single" w:sz="4" w:space="0" w:color="000000"/>
              <w:right w:val="single" w:sz="4" w:space="0" w:color="000000"/>
            </w:tcBorders>
            <w:noWrap/>
            <w:vAlign w:val="center"/>
          </w:tcPr>
          <w:p w14:paraId="548274CD" w14:textId="77777777" w:rsidR="00920035" w:rsidRDefault="002601FA">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AUGMENTED DICKEY FULLER TEST</w:t>
            </w:r>
          </w:p>
        </w:tc>
      </w:tr>
      <w:tr w:rsidR="00920035" w14:paraId="24AE3F11" w14:textId="77777777">
        <w:trPr>
          <w:trHeight w:val="315"/>
        </w:trPr>
        <w:tc>
          <w:tcPr>
            <w:tcW w:w="0" w:type="auto"/>
            <w:gridSpan w:val="4"/>
            <w:tcBorders>
              <w:top w:val="single" w:sz="4" w:space="0" w:color="000000"/>
              <w:left w:val="single" w:sz="8" w:space="0" w:color="000000"/>
              <w:bottom w:val="single" w:sz="4" w:space="0" w:color="000000"/>
              <w:right w:val="single" w:sz="4" w:space="0" w:color="000000"/>
            </w:tcBorders>
            <w:noWrap/>
            <w:vAlign w:val="center"/>
          </w:tcPr>
          <w:p w14:paraId="2BC5FD67" w14:textId="77777777" w:rsidR="00920035" w:rsidRDefault="002601FA">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LEVEL </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659725AB" w14:textId="77777777" w:rsidR="00920035" w:rsidRDefault="002601FA">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FIRST DIFFERENCE</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28CF55F" w14:textId="77777777" w:rsidR="00920035" w:rsidRDefault="00920035">
            <w:pPr>
              <w:rPr>
                <w:rFonts w:ascii="Times New Roman" w:hAnsi="Times New Roman" w:cs="Times New Roman"/>
                <w:b/>
                <w:bCs/>
                <w:color w:val="000000"/>
                <w:sz w:val="24"/>
                <w:szCs w:val="24"/>
              </w:rPr>
            </w:pPr>
          </w:p>
        </w:tc>
      </w:tr>
      <w:tr w:rsidR="00920035" w14:paraId="58C56563"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4BB624E6"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VARIABLE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B26E76"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INTERCEPT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4475B7"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INTERCEPT AND TREND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64C6F1"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NONE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31071B"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INTERCEPT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A84CE"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INTERCEPT AND TREND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59F31"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NONE</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2E8D1CD" w14:textId="77777777" w:rsidR="00920035" w:rsidRDefault="002601FA">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ORDER</w:t>
            </w:r>
          </w:p>
        </w:tc>
      </w:tr>
      <w:tr w:rsidR="00920035" w14:paraId="1782A240"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27CF5E7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LGGD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687484"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-0.7115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AD202"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-1.5601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675957"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2.21</w:t>
            </w:r>
            <w:r>
              <w:rPr>
                <w:rFonts w:ascii="Times New Roman" w:eastAsia="SimSun" w:hAnsi="Times New Roman" w:cs="Times New Roman"/>
                <w:color w:val="000000"/>
                <w:sz w:val="24"/>
                <w:szCs w:val="24"/>
                <w:lang w:bidi="ar"/>
              </w:rPr>
              <w:lastRenderedPageBreak/>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DB2471"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-2.9571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11C19D"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D9794"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AECBFB0"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I(1)</w:t>
            </w:r>
          </w:p>
        </w:tc>
      </w:tr>
      <w:tr w:rsidR="00920035" w14:paraId="1075588D"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09972687"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DC224"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(0.8298)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FDA24A"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(0.7863)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47C819"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(0.9922)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D45168"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3D2F5"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00C21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823CCD1" w14:textId="77777777" w:rsidR="00920035" w:rsidRDefault="00920035">
            <w:pPr>
              <w:rPr>
                <w:rFonts w:ascii="Times New Roman" w:hAnsi="Times New Roman" w:cs="Times New Roman"/>
                <w:color w:val="000000"/>
                <w:sz w:val="24"/>
                <w:szCs w:val="24"/>
              </w:rPr>
            </w:pPr>
          </w:p>
        </w:tc>
      </w:tr>
      <w:tr w:rsidR="00920035" w14:paraId="4BBC197E"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00D2DEF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LGED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C12125"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-0.1183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159BD"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-1.5606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7C9013"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1.7735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FF40F"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-3.8529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329E0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5E77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2EE5192"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I(1)</w:t>
            </w:r>
          </w:p>
        </w:tc>
      </w:tr>
      <w:tr w:rsidR="00920035" w14:paraId="343D0A43"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0A2ACD3F"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08E87"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(0.9392)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8A410"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(0.7861)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FADD8B"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(0.9794)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11EE46"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(0.0061)*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E9F90"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6C30A0"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79257BF" w14:textId="77777777" w:rsidR="00920035" w:rsidRDefault="00920035">
            <w:pPr>
              <w:rPr>
                <w:rFonts w:ascii="Times New Roman" w:hAnsi="Times New Roman" w:cs="Times New Roman"/>
                <w:color w:val="000000"/>
                <w:sz w:val="24"/>
                <w:szCs w:val="24"/>
              </w:rPr>
            </w:pPr>
          </w:p>
        </w:tc>
      </w:tr>
      <w:tr w:rsidR="00920035" w14:paraId="385323DC" w14:textId="77777777">
        <w:trPr>
          <w:trHeight w:val="330"/>
        </w:trPr>
        <w:tc>
          <w:tcPr>
            <w:tcW w:w="0" w:type="auto"/>
            <w:tcBorders>
              <w:top w:val="single" w:sz="4" w:space="0" w:color="000000"/>
              <w:left w:val="single" w:sz="8" w:space="0" w:color="000000"/>
              <w:bottom w:val="single" w:sz="4" w:space="0" w:color="000000"/>
              <w:right w:val="single" w:sz="4" w:space="0" w:color="000000"/>
            </w:tcBorders>
            <w:noWrap/>
            <w:vAlign w:val="center"/>
          </w:tcPr>
          <w:p w14:paraId="24BF77F2"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DLGDD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693CF4"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-2.5719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5445C4"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-2.1658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543F8"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-0.9481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0D8424"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-5.269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934D7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EC556"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25B5538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I(1)</w:t>
            </w:r>
          </w:p>
        </w:tc>
      </w:tr>
      <w:tr w:rsidR="00920035" w14:paraId="00D3424F"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68938E61"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CA08CF"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(0.1091)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0EAC8"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(0.4915)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BBE9D"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(0.2988)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CC8393"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(0.0002)*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E05FAA"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C2DE9D"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6BE30F6A" w14:textId="77777777" w:rsidR="00920035" w:rsidRDefault="00920035">
            <w:pPr>
              <w:rPr>
                <w:rFonts w:ascii="Times New Roman" w:hAnsi="Times New Roman" w:cs="Times New Roman"/>
                <w:color w:val="000000"/>
                <w:sz w:val="24"/>
                <w:szCs w:val="24"/>
              </w:rPr>
            </w:pPr>
          </w:p>
        </w:tc>
      </w:tr>
      <w:tr w:rsidR="00920035" w14:paraId="549F26BF"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43A37A49"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LGGE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71517"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-3.1242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0FF1A"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176A14"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4D4EBD"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2A1D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96C43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5F1498B"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I(0)</w:t>
            </w:r>
          </w:p>
        </w:tc>
      </w:tr>
      <w:tr w:rsidR="00920035" w14:paraId="1CC448DD" w14:textId="77777777">
        <w:trPr>
          <w:trHeight w:val="330"/>
        </w:trPr>
        <w:tc>
          <w:tcPr>
            <w:tcW w:w="0" w:type="auto"/>
            <w:tcBorders>
              <w:top w:val="single" w:sz="4" w:space="0" w:color="000000"/>
              <w:left w:val="single" w:sz="8" w:space="0" w:color="000000"/>
              <w:bottom w:val="single" w:sz="4" w:space="0" w:color="000000"/>
              <w:right w:val="single" w:sz="4" w:space="0" w:color="000000"/>
            </w:tcBorders>
            <w:noWrap/>
            <w:vAlign w:val="center"/>
          </w:tcPr>
          <w:p w14:paraId="789E51A3"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AEDBC3"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(0.0347)**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31CA4B"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A5BD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13051A"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B78BCA"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A99F4"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E70E9C1" w14:textId="77777777" w:rsidR="00920035" w:rsidRDefault="00920035">
            <w:pPr>
              <w:rPr>
                <w:rFonts w:ascii="Times New Roman" w:hAnsi="Times New Roman" w:cs="Times New Roman"/>
                <w:color w:val="000000"/>
                <w:sz w:val="24"/>
                <w:szCs w:val="24"/>
              </w:rPr>
            </w:pPr>
          </w:p>
        </w:tc>
      </w:tr>
      <w:tr w:rsidR="00920035" w14:paraId="09C1447D"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312BFF28"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LGGF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87632"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-0.5367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0B661C"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-6.1446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90316"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D81E56"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109DB0"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E379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3428513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I(0)</w:t>
            </w:r>
          </w:p>
        </w:tc>
      </w:tr>
      <w:tr w:rsidR="00920035" w14:paraId="22C70751"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566D3325"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FF413"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(0.8706)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534A6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(0.0001)*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93E08"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DAE18"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CABDB"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59C1EF"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0B71AB58" w14:textId="77777777" w:rsidR="00920035" w:rsidRDefault="00920035">
            <w:pPr>
              <w:rPr>
                <w:rFonts w:ascii="Times New Roman" w:hAnsi="Times New Roman" w:cs="Times New Roman"/>
                <w:color w:val="000000"/>
                <w:sz w:val="24"/>
                <w:szCs w:val="24"/>
              </w:rPr>
            </w:pPr>
          </w:p>
        </w:tc>
      </w:tr>
      <w:tr w:rsidR="00920035" w14:paraId="433F7172"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487078A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28547"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-2.1783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FB502"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DFDAC0"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-1.1866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D7ED77"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-4.6448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BDAF7F"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256A2"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7CC240D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I(1)</w:t>
            </w:r>
          </w:p>
        </w:tc>
      </w:tr>
      <w:tr w:rsidR="00920035" w14:paraId="4CAB4473"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73EFF25C"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31AC5B"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(0.2175)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DFF7E"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(0.3352)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2F55D8"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(0.2103)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FD2DD8"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(0.0008)*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D459F0"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8B14F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51AF49B3" w14:textId="77777777" w:rsidR="00920035" w:rsidRDefault="00920035">
            <w:pPr>
              <w:rPr>
                <w:rFonts w:ascii="Times New Roman" w:hAnsi="Times New Roman" w:cs="Times New Roman"/>
                <w:color w:val="000000"/>
                <w:sz w:val="24"/>
                <w:szCs w:val="24"/>
              </w:rPr>
            </w:pPr>
          </w:p>
        </w:tc>
      </w:tr>
      <w:tr w:rsidR="00920035" w14:paraId="6E289E45" w14:textId="77777777">
        <w:trPr>
          <w:trHeight w:val="315"/>
        </w:trPr>
        <w:tc>
          <w:tcPr>
            <w:tcW w:w="0" w:type="auto"/>
            <w:tcBorders>
              <w:top w:val="single" w:sz="4" w:space="0" w:color="000000"/>
              <w:left w:val="single" w:sz="8" w:space="0" w:color="000000"/>
              <w:bottom w:val="single" w:sz="4" w:space="0" w:color="000000"/>
              <w:right w:val="single" w:sz="4" w:space="0" w:color="000000"/>
            </w:tcBorders>
            <w:noWrap/>
            <w:vAlign w:val="center"/>
          </w:tcPr>
          <w:p w14:paraId="616DC33F"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DLF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E82F10"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-1.3027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25739"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B8FA73"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-1.5157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CF853"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-3.7536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F6D61"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940B5D"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4" w:space="0" w:color="000000"/>
              <w:right w:val="single" w:sz="8" w:space="0" w:color="000000"/>
            </w:tcBorders>
            <w:noWrap/>
            <w:vAlign w:val="center"/>
          </w:tcPr>
          <w:p w14:paraId="4684C28E"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I(1)</w:t>
            </w:r>
          </w:p>
        </w:tc>
      </w:tr>
      <w:tr w:rsidR="00920035" w14:paraId="6B4A4AF6" w14:textId="77777777">
        <w:trPr>
          <w:trHeight w:val="330"/>
        </w:trPr>
        <w:tc>
          <w:tcPr>
            <w:tcW w:w="0" w:type="auto"/>
            <w:tcBorders>
              <w:top w:val="single" w:sz="4" w:space="0" w:color="000000"/>
              <w:left w:val="single" w:sz="8" w:space="0" w:color="000000"/>
              <w:bottom w:val="single" w:sz="8" w:space="0" w:color="000000"/>
              <w:right w:val="single" w:sz="4" w:space="0" w:color="000000"/>
            </w:tcBorders>
            <w:noWrap/>
            <w:vAlign w:val="center"/>
          </w:tcPr>
          <w:p w14:paraId="274CB15B" w14:textId="77777777" w:rsidR="00920035" w:rsidRDefault="00920035">
            <w:pP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noWrap/>
            <w:vAlign w:val="center"/>
          </w:tcPr>
          <w:p w14:paraId="443CC64D"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(0.6161)</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6A90546F"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(0.8741)</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3E0405B5" w14:textId="77777777" w:rsidR="00920035" w:rsidRDefault="002601FA">
            <w:pPr>
              <w:jc w:val="right"/>
              <w:textAlignment w:val="center"/>
              <w:rPr>
                <w:rFonts w:ascii="Times New Roman" w:hAnsi="Times New Roman" w:cs="Times New Roman"/>
                <w:color w:val="000000"/>
                <w:sz w:val="24"/>
                <w:szCs w:val="24"/>
              </w:rPr>
            </w:pPr>
            <w:r>
              <w:rPr>
                <w:rFonts w:ascii="Times New Roman" w:eastAsia="SimSun" w:hAnsi="Times New Roman" w:cs="Times New Roman"/>
                <w:color w:val="FF0000"/>
                <w:sz w:val="24"/>
                <w:szCs w:val="24"/>
                <w:lang w:bidi="ar"/>
              </w:rPr>
              <w:t>(0.1195)</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3B5BD35C"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(0.008)*</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4CC84BC2"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8" w:space="0" w:color="000000"/>
              <w:right w:val="single" w:sz="4" w:space="0" w:color="000000"/>
            </w:tcBorders>
            <w:noWrap/>
            <w:vAlign w:val="center"/>
          </w:tcPr>
          <w:p w14:paraId="3B0F3B6D" w14:textId="77777777" w:rsidR="00920035" w:rsidRDefault="002601FA">
            <w:pP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t>
            </w:r>
          </w:p>
        </w:tc>
        <w:tc>
          <w:tcPr>
            <w:tcW w:w="0" w:type="auto"/>
            <w:tcBorders>
              <w:top w:val="single" w:sz="4" w:space="0" w:color="000000"/>
              <w:left w:val="single" w:sz="4" w:space="0" w:color="000000"/>
              <w:bottom w:val="single" w:sz="8" w:space="0" w:color="000000"/>
              <w:right w:val="single" w:sz="8" w:space="0" w:color="000000"/>
            </w:tcBorders>
            <w:noWrap/>
            <w:vAlign w:val="center"/>
          </w:tcPr>
          <w:p w14:paraId="5267984B" w14:textId="77777777" w:rsidR="00920035" w:rsidRDefault="00920035">
            <w:pPr>
              <w:rPr>
                <w:rFonts w:ascii="Times New Roman" w:hAnsi="Times New Roman" w:cs="Times New Roman"/>
                <w:color w:val="000000"/>
                <w:sz w:val="24"/>
                <w:szCs w:val="24"/>
              </w:rPr>
            </w:pPr>
          </w:p>
        </w:tc>
      </w:tr>
    </w:tbl>
    <w:p w14:paraId="1C2AB7C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2DD9233D"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Where: “*” indicates significance at 1% and “**” indicates significance at 5%.</w:t>
      </w:r>
    </w:p>
    <w:p w14:paraId="7E299BB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Using the Augmented Dickey-Fuller (ADF) test, the trends of all variables were utilised to run unit root tests to determine the stationarity of the variables. Table 3 displays the results of the unit root testing. According to the results of the stationarity test, only two variables (GE and GF), were stationary at a level, and all other variables became stationary at a first difference.</w:t>
      </w:r>
    </w:p>
    <w:p w14:paraId="1D48DE42" w14:textId="77777777" w:rsidR="00920035" w:rsidRDefault="00920035">
      <w:pPr>
        <w:spacing w:line="360" w:lineRule="auto"/>
        <w:jc w:val="both"/>
        <w:rPr>
          <w:rFonts w:ascii="Times New Roman" w:hAnsi="Times New Roman" w:cs="Times New Roman"/>
          <w:sz w:val="24"/>
          <w:szCs w:val="24"/>
        </w:rPr>
      </w:pPr>
    </w:p>
    <w:p w14:paraId="0F8344CC" w14:textId="77777777" w:rsidR="00920035" w:rsidRDefault="00920035">
      <w:pPr>
        <w:spacing w:line="360" w:lineRule="auto"/>
        <w:jc w:val="both"/>
        <w:rPr>
          <w:rFonts w:ascii="Times New Roman" w:hAnsi="Times New Roman" w:cs="Times New Roman"/>
          <w:sz w:val="24"/>
          <w:szCs w:val="24"/>
        </w:rPr>
      </w:pPr>
    </w:p>
    <w:p w14:paraId="39F31024" w14:textId="77777777" w:rsidR="00920035" w:rsidRDefault="00920035">
      <w:pPr>
        <w:spacing w:line="360" w:lineRule="auto"/>
        <w:jc w:val="both"/>
        <w:rPr>
          <w:rFonts w:ascii="Times New Roman" w:hAnsi="Times New Roman" w:cs="Times New Roman"/>
          <w:sz w:val="24"/>
          <w:szCs w:val="24"/>
        </w:rPr>
      </w:pPr>
    </w:p>
    <w:p w14:paraId="3CBEFA3D" w14:textId="77777777" w:rsidR="00920035" w:rsidRDefault="00920035">
      <w:pPr>
        <w:spacing w:line="360" w:lineRule="auto"/>
        <w:jc w:val="both"/>
        <w:rPr>
          <w:rFonts w:ascii="Times New Roman" w:hAnsi="Times New Roman" w:cs="Times New Roman"/>
          <w:sz w:val="24"/>
          <w:szCs w:val="24"/>
          <w:lang w:val="en-GB"/>
        </w:rPr>
      </w:pPr>
    </w:p>
    <w:p w14:paraId="0592C2BE" w14:textId="77777777" w:rsidR="00920035" w:rsidRDefault="00920035">
      <w:pPr>
        <w:spacing w:line="360" w:lineRule="auto"/>
        <w:jc w:val="both"/>
        <w:rPr>
          <w:rFonts w:ascii="Times New Roman" w:hAnsi="Times New Roman" w:cs="Times New Roman"/>
          <w:sz w:val="24"/>
          <w:szCs w:val="24"/>
        </w:rPr>
      </w:pPr>
    </w:p>
    <w:p w14:paraId="6A45988F"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ARDL Bound Test</w:t>
      </w:r>
    </w:p>
    <w:p w14:paraId="0AFAA63B"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Null Hypothesis: No Long-run Relationships among the Variables</w:t>
      </w:r>
    </w:p>
    <w:tbl>
      <w:tblPr>
        <w:tblW w:w="4230" w:type="dxa"/>
        <w:tblInd w:w="108" w:type="dxa"/>
        <w:tblLook w:val="04A0" w:firstRow="1" w:lastRow="0" w:firstColumn="1" w:lastColumn="0" w:noHBand="0" w:noVBand="1"/>
      </w:tblPr>
      <w:tblGrid>
        <w:gridCol w:w="2413"/>
        <w:gridCol w:w="960"/>
        <w:gridCol w:w="857"/>
      </w:tblGrid>
      <w:tr w:rsidR="00920035" w14:paraId="76D07CE7" w14:textId="77777777">
        <w:trPr>
          <w:trHeight w:val="645"/>
        </w:trPr>
        <w:tc>
          <w:tcPr>
            <w:tcW w:w="2595" w:type="dxa"/>
            <w:tcBorders>
              <w:top w:val="single" w:sz="8" w:space="0" w:color="000000"/>
              <w:left w:val="single" w:sz="8" w:space="0" w:color="000000"/>
              <w:bottom w:val="single" w:sz="4" w:space="0" w:color="000000"/>
              <w:right w:val="single" w:sz="4" w:space="0" w:color="000000"/>
            </w:tcBorders>
            <w:vAlign w:val="center"/>
          </w:tcPr>
          <w:p w14:paraId="4CC7D7B6"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Test Statistic</w:t>
            </w:r>
          </w:p>
        </w:tc>
        <w:tc>
          <w:tcPr>
            <w:tcW w:w="960" w:type="dxa"/>
            <w:tcBorders>
              <w:top w:val="single" w:sz="8" w:space="0" w:color="000000"/>
              <w:left w:val="single" w:sz="4" w:space="0" w:color="000000"/>
              <w:bottom w:val="single" w:sz="4" w:space="0" w:color="000000"/>
              <w:right w:val="single" w:sz="4" w:space="0" w:color="000000"/>
            </w:tcBorders>
            <w:vAlign w:val="center"/>
          </w:tcPr>
          <w:p w14:paraId="29AB3663"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Value</w:t>
            </w:r>
          </w:p>
        </w:tc>
        <w:tc>
          <w:tcPr>
            <w:tcW w:w="675" w:type="dxa"/>
            <w:tcBorders>
              <w:top w:val="single" w:sz="8" w:space="0" w:color="000000"/>
              <w:left w:val="single" w:sz="4" w:space="0" w:color="000000"/>
              <w:bottom w:val="single" w:sz="4" w:space="0" w:color="000000"/>
              <w:right w:val="single" w:sz="8" w:space="0" w:color="000000"/>
            </w:tcBorders>
            <w:vAlign w:val="center"/>
          </w:tcPr>
          <w:p w14:paraId="28524291"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K</w:t>
            </w:r>
          </w:p>
        </w:tc>
      </w:tr>
      <w:tr w:rsidR="00920035" w14:paraId="55107AA4" w14:textId="77777777">
        <w:trPr>
          <w:trHeight w:val="645"/>
        </w:trPr>
        <w:tc>
          <w:tcPr>
            <w:tcW w:w="2595" w:type="dxa"/>
            <w:tcBorders>
              <w:top w:val="single" w:sz="4" w:space="0" w:color="000000"/>
              <w:left w:val="single" w:sz="8" w:space="0" w:color="000000"/>
              <w:bottom w:val="single" w:sz="4" w:space="0" w:color="000000"/>
              <w:right w:val="single" w:sz="4" w:space="0" w:color="000000"/>
            </w:tcBorders>
            <w:vAlign w:val="center"/>
          </w:tcPr>
          <w:p w14:paraId="3754AE04"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F-statistic</w:t>
            </w:r>
          </w:p>
        </w:tc>
        <w:tc>
          <w:tcPr>
            <w:tcW w:w="960" w:type="dxa"/>
            <w:tcBorders>
              <w:top w:val="single" w:sz="4" w:space="0" w:color="000000"/>
              <w:left w:val="single" w:sz="4" w:space="0" w:color="000000"/>
              <w:bottom w:val="single" w:sz="4" w:space="0" w:color="000000"/>
              <w:right w:val="single" w:sz="4" w:space="0" w:color="000000"/>
            </w:tcBorders>
            <w:noWrap/>
            <w:vAlign w:val="center"/>
          </w:tcPr>
          <w:p w14:paraId="46A4B249"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7.1164</w:t>
            </w:r>
          </w:p>
        </w:tc>
        <w:tc>
          <w:tcPr>
            <w:tcW w:w="675" w:type="dxa"/>
            <w:tcBorders>
              <w:top w:val="single" w:sz="4" w:space="0" w:color="000000"/>
              <w:left w:val="single" w:sz="4" w:space="0" w:color="000000"/>
              <w:bottom w:val="single" w:sz="4" w:space="0" w:color="000000"/>
              <w:right w:val="single" w:sz="8" w:space="0" w:color="000000"/>
            </w:tcBorders>
            <w:vAlign w:val="center"/>
          </w:tcPr>
          <w:p w14:paraId="37586466"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920035" w14:paraId="7F24A634" w14:textId="77777777">
        <w:trPr>
          <w:trHeight w:val="645"/>
        </w:trPr>
        <w:tc>
          <w:tcPr>
            <w:tcW w:w="4230" w:type="dxa"/>
            <w:gridSpan w:val="3"/>
            <w:tcBorders>
              <w:top w:val="single" w:sz="4" w:space="0" w:color="000000"/>
              <w:left w:val="single" w:sz="8" w:space="0" w:color="000000"/>
              <w:bottom w:val="single" w:sz="4" w:space="0" w:color="000000"/>
              <w:right w:val="single" w:sz="4" w:space="0" w:color="000000"/>
            </w:tcBorders>
            <w:vAlign w:val="center"/>
          </w:tcPr>
          <w:p w14:paraId="743DBA65"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Critical Value Bounds</w:t>
            </w:r>
          </w:p>
        </w:tc>
      </w:tr>
      <w:tr w:rsidR="00920035" w14:paraId="17A1F66E" w14:textId="77777777">
        <w:trPr>
          <w:trHeight w:val="645"/>
        </w:trPr>
        <w:tc>
          <w:tcPr>
            <w:tcW w:w="2595" w:type="dxa"/>
            <w:tcBorders>
              <w:top w:val="single" w:sz="4" w:space="0" w:color="000000"/>
              <w:left w:val="single" w:sz="8" w:space="0" w:color="000000"/>
              <w:bottom w:val="single" w:sz="4" w:space="0" w:color="000000"/>
              <w:right w:val="single" w:sz="4" w:space="0" w:color="000000"/>
            </w:tcBorders>
            <w:vAlign w:val="center"/>
          </w:tcPr>
          <w:p w14:paraId="3C092049"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Significance</w:t>
            </w:r>
          </w:p>
        </w:tc>
        <w:tc>
          <w:tcPr>
            <w:tcW w:w="960" w:type="dxa"/>
            <w:tcBorders>
              <w:top w:val="single" w:sz="4" w:space="0" w:color="000000"/>
              <w:left w:val="single" w:sz="4" w:space="0" w:color="000000"/>
              <w:bottom w:val="single" w:sz="4" w:space="0" w:color="000000"/>
              <w:right w:val="single" w:sz="4" w:space="0" w:color="000000"/>
            </w:tcBorders>
            <w:vAlign w:val="center"/>
          </w:tcPr>
          <w:p w14:paraId="4528730D"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I(0) Bound</w:t>
            </w:r>
          </w:p>
        </w:tc>
        <w:tc>
          <w:tcPr>
            <w:tcW w:w="675" w:type="dxa"/>
            <w:tcBorders>
              <w:top w:val="single" w:sz="4" w:space="0" w:color="000000"/>
              <w:left w:val="single" w:sz="4" w:space="0" w:color="000000"/>
              <w:bottom w:val="single" w:sz="4" w:space="0" w:color="000000"/>
              <w:right w:val="single" w:sz="8" w:space="0" w:color="000000"/>
            </w:tcBorders>
            <w:vAlign w:val="center"/>
          </w:tcPr>
          <w:p w14:paraId="3BD28E18"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I(1) Bound</w:t>
            </w:r>
          </w:p>
        </w:tc>
      </w:tr>
      <w:tr w:rsidR="00920035" w14:paraId="1A633D4D" w14:textId="77777777">
        <w:trPr>
          <w:trHeight w:val="645"/>
        </w:trPr>
        <w:tc>
          <w:tcPr>
            <w:tcW w:w="2595" w:type="dxa"/>
            <w:tcBorders>
              <w:top w:val="single" w:sz="4" w:space="0" w:color="000000"/>
              <w:left w:val="single" w:sz="8" w:space="0" w:color="000000"/>
              <w:bottom w:val="single" w:sz="4" w:space="0" w:color="000000"/>
              <w:right w:val="single" w:sz="4" w:space="0" w:color="000000"/>
            </w:tcBorders>
            <w:vAlign w:val="center"/>
          </w:tcPr>
          <w:p w14:paraId="3B7786EB"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960" w:type="dxa"/>
            <w:tcBorders>
              <w:top w:val="single" w:sz="4" w:space="0" w:color="000000"/>
              <w:left w:val="single" w:sz="4" w:space="0" w:color="000000"/>
              <w:bottom w:val="single" w:sz="4" w:space="0" w:color="000000"/>
              <w:right w:val="single" w:sz="4" w:space="0" w:color="000000"/>
            </w:tcBorders>
            <w:noWrap/>
            <w:vAlign w:val="center"/>
          </w:tcPr>
          <w:p w14:paraId="737FBE9C"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2.12</w:t>
            </w:r>
          </w:p>
        </w:tc>
        <w:tc>
          <w:tcPr>
            <w:tcW w:w="675" w:type="dxa"/>
            <w:tcBorders>
              <w:top w:val="single" w:sz="4" w:space="0" w:color="000000"/>
              <w:left w:val="single" w:sz="4" w:space="0" w:color="000000"/>
              <w:bottom w:val="single" w:sz="4" w:space="0" w:color="000000"/>
              <w:right w:val="single" w:sz="8" w:space="0" w:color="000000"/>
            </w:tcBorders>
            <w:noWrap/>
            <w:vAlign w:val="center"/>
          </w:tcPr>
          <w:p w14:paraId="06C04D54"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3.23</w:t>
            </w:r>
          </w:p>
        </w:tc>
      </w:tr>
      <w:tr w:rsidR="00920035" w14:paraId="525521E4" w14:textId="77777777">
        <w:trPr>
          <w:trHeight w:val="645"/>
        </w:trPr>
        <w:tc>
          <w:tcPr>
            <w:tcW w:w="2595" w:type="dxa"/>
            <w:tcBorders>
              <w:top w:val="single" w:sz="4" w:space="0" w:color="000000"/>
              <w:left w:val="single" w:sz="8" w:space="0" w:color="000000"/>
              <w:bottom w:val="single" w:sz="4" w:space="0" w:color="000000"/>
              <w:right w:val="single" w:sz="4" w:space="0" w:color="000000"/>
            </w:tcBorders>
            <w:vAlign w:val="center"/>
          </w:tcPr>
          <w:p w14:paraId="6C3365C6"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960" w:type="dxa"/>
            <w:tcBorders>
              <w:top w:val="single" w:sz="4" w:space="0" w:color="000000"/>
              <w:left w:val="single" w:sz="4" w:space="0" w:color="000000"/>
              <w:bottom w:val="single" w:sz="4" w:space="0" w:color="000000"/>
              <w:right w:val="single" w:sz="4" w:space="0" w:color="000000"/>
            </w:tcBorders>
            <w:noWrap/>
            <w:vAlign w:val="center"/>
          </w:tcPr>
          <w:p w14:paraId="0AD43C9E"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2.45</w:t>
            </w:r>
          </w:p>
        </w:tc>
        <w:tc>
          <w:tcPr>
            <w:tcW w:w="675" w:type="dxa"/>
            <w:tcBorders>
              <w:top w:val="single" w:sz="4" w:space="0" w:color="000000"/>
              <w:left w:val="single" w:sz="4" w:space="0" w:color="000000"/>
              <w:bottom w:val="single" w:sz="4" w:space="0" w:color="000000"/>
              <w:right w:val="single" w:sz="8" w:space="0" w:color="000000"/>
            </w:tcBorders>
            <w:noWrap/>
            <w:vAlign w:val="center"/>
          </w:tcPr>
          <w:p w14:paraId="0B262B3B"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3.61</w:t>
            </w:r>
          </w:p>
        </w:tc>
      </w:tr>
      <w:tr w:rsidR="00920035" w14:paraId="601E4070" w14:textId="77777777">
        <w:trPr>
          <w:trHeight w:val="330"/>
        </w:trPr>
        <w:tc>
          <w:tcPr>
            <w:tcW w:w="2595" w:type="dxa"/>
            <w:tcBorders>
              <w:top w:val="single" w:sz="4" w:space="0" w:color="000000"/>
              <w:left w:val="single" w:sz="8" w:space="0" w:color="000000"/>
              <w:bottom w:val="single" w:sz="8" w:space="0" w:color="000000"/>
              <w:right w:val="single" w:sz="4" w:space="0" w:color="000000"/>
            </w:tcBorders>
            <w:vAlign w:val="center"/>
          </w:tcPr>
          <w:p w14:paraId="27020F28"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960" w:type="dxa"/>
            <w:tcBorders>
              <w:top w:val="single" w:sz="4" w:space="0" w:color="000000"/>
              <w:left w:val="single" w:sz="4" w:space="0" w:color="000000"/>
              <w:bottom w:val="single" w:sz="8" w:space="0" w:color="000000"/>
              <w:right w:val="single" w:sz="4" w:space="0" w:color="000000"/>
            </w:tcBorders>
            <w:noWrap/>
            <w:vAlign w:val="center"/>
          </w:tcPr>
          <w:p w14:paraId="150C3784"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3.15</w:t>
            </w:r>
          </w:p>
        </w:tc>
        <w:tc>
          <w:tcPr>
            <w:tcW w:w="675" w:type="dxa"/>
            <w:tcBorders>
              <w:top w:val="single" w:sz="4" w:space="0" w:color="000000"/>
              <w:left w:val="single" w:sz="4" w:space="0" w:color="000000"/>
              <w:bottom w:val="single" w:sz="8" w:space="0" w:color="000000"/>
              <w:right w:val="single" w:sz="8" w:space="0" w:color="000000"/>
            </w:tcBorders>
            <w:noWrap/>
            <w:vAlign w:val="center"/>
          </w:tcPr>
          <w:p w14:paraId="10BA8F75" w14:textId="77777777" w:rsidR="00920035" w:rsidRDefault="002601FA">
            <w:pPr>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4.43</w:t>
            </w:r>
          </w:p>
        </w:tc>
      </w:tr>
    </w:tbl>
    <w:p w14:paraId="039AE6B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68921F78" w14:textId="77777777" w:rsidR="00920035" w:rsidRDefault="00920035">
      <w:pPr>
        <w:spacing w:line="360" w:lineRule="auto"/>
        <w:jc w:val="both"/>
        <w:rPr>
          <w:rFonts w:ascii="Times New Roman" w:hAnsi="Times New Roman" w:cs="Times New Roman"/>
          <w:sz w:val="24"/>
          <w:szCs w:val="24"/>
        </w:rPr>
      </w:pPr>
    </w:p>
    <w:p w14:paraId="48CE3DB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the bound test are shown on the table above. From equation (3.4), the F-statistic of the cointegration test was 7.1164. The result exceeds both the lower and upper critical bounds at the 10% , 5%, and 1% levels of significance, respectively. It shows there is a cointegration between the variables, which means they can be associated with an ongoing relationship. Thus, the explanatory variables employed will have an impact on economic growth in the long run.</w:t>
      </w:r>
    </w:p>
    <w:p w14:paraId="2B23AB98" w14:textId="77777777" w:rsidR="00920035" w:rsidRDefault="00920035">
      <w:pPr>
        <w:spacing w:line="360" w:lineRule="auto"/>
        <w:jc w:val="both"/>
        <w:rPr>
          <w:rFonts w:ascii="Times New Roman" w:hAnsi="Times New Roman" w:cs="Times New Roman"/>
          <w:b/>
          <w:sz w:val="24"/>
          <w:szCs w:val="24"/>
        </w:rPr>
      </w:pPr>
    </w:p>
    <w:p w14:paraId="127AAC94"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Estimated Long-Run and Short-Run Results</w:t>
      </w:r>
    </w:p>
    <w:p w14:paraId="073B72C0"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 Estimated Long-Run Coefficients Using the ARDL Approach (2,0,0,0,1,0,2,0)</w:t>
      </w:r>
    </w:p>
    <w:p w14:paraId="0EADE015" w14:textId="77777777" w:rsidR="00920035" w:rsidRDefault="00920035">
      <w:pPr>
        <w:spacing w:line="360" w:lineRule="auto"/>
        <w:jc w:val="both"/>
        <w:rPr>
          <w:rFonts w:ascii="Times New Roman" w:hAnsi="Times New Roman" w:cs="Times New Roman"/>
          <w:sz w:val="24"/>
          <w:szCs w:val="24"/>
        </w:rPr>
      </w:pPr>
    </w:p>
    <w:tbl>
      <w:tblPr>
        <w:tblW w:w="8745" w:type="dxa"/>
        <w:tblInd w:w="108" w:type="dxa"/>
        <w:tblLook w:val="04A0" w:firstRow="1" w:lastRow="0" w:firstColumn="1" w:lastColumn="0" w:noHBand="0" w:noVBand="1"/>
      </w:tblPr>
      <w:tblGrid>
        <w:gridCol w:w="4845"/>
        <w:gridCol w:w="1336"/>
        <w:gridCol w:w="1005"/>
        <w:gridCol w:w="1043"/>
        <w:gridCol w:w="1396"/>
      </w:tblGrid>
      <w:tr w:rsidR="00920035" w14:paraId="772AB25D" w14:textId="77777777">
        <w:trPr>
          <w:trHeight w:val="630"/>
        </w:trPr>
        <w:tc>
          <w:tcPr>
            <w:tcW w:w="4845" w:type="dxa"/>
            <w:tcBorders>
              <w:top w:val="single" w:sz="8" w:space="0" w:color="000000"/>
              <w:left w:val="single" w:sz="8" w:space="0" w:color="000000"/>
              <w:bottom w:val="single" w:sz="4" w:space="0" w:color="000000"/>
              <w:right w:val="single" w:sz="4" w:space="0" w:color="000000"/>
            </w:tcBorders>
            <w:vAlign w:val="center"/>
          </w:tcPr>
          <w:p w14:paraId="3F7A3F2D" w14:textId="77777777" w:rsidR="00920035" w:rsidRDefault="002601FA">
            <w:pPr>
              <w:spacing w:line="36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Variable</w:t>
            </w:r>
          </w:p>
        </w:tc>
        <w:tc>
          <w:tcPr>
            <w:tcW w:w="1005" w:type="dxa"/>
            <w:tcBorders>
              <w:top w:val="single" w:sz="8" w:space="0" w:color="000000"/>
              <w:left w:val="single" w:sz="4" w:space="0" w:color="000000"/>
              <w:bottom w:val="single" w:sz="4" w:space="0" w:color="000000"/>
              <w:right w:val="single" w:sz="4" w:space="0" w:color="000000"/>
            </w:tcBorders>
            <w:vAlign w:val="center"/>
          </w:tcPr>
          <w:p w14:paraId="4FD66801" w14:textId="77777777" w:rsidR="00920035" w:rsidRDefault="002601FA">
            <w:pPr>
              <w:spacing w:line="36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Coefficient</w:t>
            </w:r>
          </w:p>
        </w:tc>
        <w:tc>
          <w:tcPr>
            <w:tcW w:w="1005" w:type="dxa"/>
            <w:tcBorders>
              <w:top w:val="single" w:sz="8" w:space="0" w:color="000000"/>
              <w:left w:val="single" w:sz="4" w:space="0" w:color="000000"/>
              <w:bottom w:val="single" w:sz="4" w:space="0" w:color="000000"/>
              <w:right w:val="single" w:sz="4" w:space="0" w:color="000000"/>
            </w:tcBorders>
            <w:vAlign w:val="center"/>
          </w:tcPr>
          <w:p w14:paraId="6F60D337" w14:textId="77777777" w:rsidR="00920035" w:rsidRDefault="002601FA">
            <w:pPr>
              <w:spacing w:line="36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Std. Error</w:t>
            </w:r>
          </w:p>
        </w:tc>
        <w:tc>
          <w:tcPr>
            <w:tcW w:w="1005" w:type="dxa"/>
            <w:tcBorders>
              <w:top w:val="single" w:sz="8" w:space="0" w:color="000000"/>
              <w:left w:val="single" w:sz="4" w:space="0" w:color="000000"/>
              <w:bottom w:val="single" w:sz="4" w:space="0" w:color="000000"/>
              <w:right w:val="single" w:sz="4" w:space="0" w:color="000000"/>
            </w:tcBorders>
            <w:vAlign w:val="center"/>
          </w:tcPr>
          <w:p w14:paraId="7093D18D" w14:textId="77777777" w:rsidR="00920035" w:rsidRDefault="002601FA">
            <w:pPr>
              <w:spacing w:line="36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t-Statistic</w:t>
            </w:r>
          </w:p>
        </w:tc>
        <w:tc>
          <w:tcPr>
            <w:tcW w:w="885" w:type="dxa"/>
            <w:tcBorders>
              <w:top w:val="single" w:sz="8" w:space="0" w:color="000000"/>
              <w:left w:val="single" w:sz="4" w:space="0" w:color="000000"/>
              <w:bottom w:val="single" w:sz="4" w:space="0" w:color="000000"/>
              <w:right w:val="single" w:sz="8" w:space="0" w:color="000000"/>
            </w:tcBorders>
            <w:vAlign w:val="center"/>
          </w:tcPr>
          <w:p w14:paraId="71DAEFB4" w14:textId="77777777" w:rsidR="00920035" w:rsidRDefault="002601FA">
            <w:pPr>
              <w:spacing w:line="36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 xml:space="preserve">Prob.   </w:t>
            </w:r>
          </w:p>
        </w:tc>
      </w:tr>
      <w:tr w:rsidR="00920035" w14:paraId="58A1826E" w14:textId="77777777">
        <w:trPr>
          <w:trHeight w:val="345"/>
        </w:trPr>
        <w:tc>
          <w:tcPr>
            <w:tcW w:w="8745" w:type="dxa"/>
            <w:gridSpan w:val="5"/>
            <w:tcBorders>
              <w:top w:val="single" w:sz="4" w:space="0" w:color="000000"/>
              <w:left w:val="single" w:sz="8" w:space="0" w:color="000000"/>
              <w:bottom w:val="single" w:sz="4" w:space="0" w:color="000000"/>
              <w:right w:val="single" w:sz="4" w:space="0" w:color="000000"/>
            </w:tcBorders>
            <w:noWrap/>
            <w:vAlign w:val="bottom"/>
          </w:tcPr>
          <w:p w14:paraId="3C09A23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Lag of dependent variable</w:t>
            </w:r>
          </w:p>
        </w:tc>
      </w:tr>
      <w:tr w:rsidR="00920035" w14:paraId="7C8FEFDA"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47159D5D"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LGGD(-1)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342C5BD"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0.9617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53A8AC0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0.0423</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8DCE74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22.7629</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1DA275D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(0.0000)*</w:t>
            </w:r>
          </w:p>
        </w:tc>
      </w:tr>
      <w:tr w:rsidR="00920035" w14:paraId="23AA7F75" w14:textId="77777777">
        <w:trPr>
          <w:trHeight w:val="345"/>
        </w:trPr>
        <w:tc>
          <w:tcPr>
            <w:tcW w:w="8745" w:type="dxa"/>
            <w:gridSpan w:val="5"/>
            <w:tcBorders>
              <w:top w:val="single" w:sz="4" w:space="0" w:color="000000"/>
              <w:left w:val="single" w:sz="8" w:space="0" w:color="000000"/>
              <w:bottom w:val="single" w:sz="4" w:space="0" w:color="000000"/>
              <w:right w:val="single" w:sz="4" w:space="0" w:color="000000"/>
            </w:tcBorders>
            <w:noWrap/>
            <w:vAlign w:val="bottom"/>
          </w:tcPr>
          <w:p w14:paraId="38F17F39"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Independent</w:t>
            </w:r>
          </w:p>
        </w:tc>
      </w:tr>
      <w:tr w:rsidR="00920035" w14:paraId="4496F43C" w14:textId="77777777">
        <w:trPr>
          <w:trHeight w:val="315"/>
        </w:trPr>
        <w:tc>
          <w:tcPr>
            <w:tcW w:w="4845" w:type="dxa"/>
            <w:tcBorders>
              <w:top w:val="single" w:sz="4" w:space="0" w:color="000000"/>
              <w:left w:val="single" w:sz="8" w:space="0" w:color="000000"/>
              <w:bottom w:val="single" w:sz="4" w:space="0" w:color="000000"/>
              <w:right w:val="single" w:sz="4" w:space="0" w:color="000000"/>
            </w:tcBorders>
            <w:vAlign w:val="bottom"/>
          </w:tcPr>
          <w:p w14:paraId="5EE8657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LGED</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48AA99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0.0062</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6996B7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0.0053</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6BB7024"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1.1553</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3FCA07B8"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0.2623</w:t>
            </w:r>
          </w:p>
        </w:tc>
      </w:tr>
      <w:tr w:rsidR="00920035" w14:paraId="0F4C3170"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bottom"/>
          </w:tcPr>
          <w:p w14:paraId="6E248C3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DLGDD</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B23314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0.1152</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02760C4"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0.0443</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1B81A7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2.6022</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6EDC2A3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(0.0175)**</w:t>
            </w:r>
          </w:p>
        </w:tc>
      </w:tr>
      <w:tr w:rsidR="00920035" w14:paraId="17447AE9"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bottom"/>
          </w:tcPr>
          <w:p w14:paraId="791144A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DLF</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68429B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-0.0891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7402F9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0.0301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46D6CF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-2.9557</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64FB49A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(0.0081)*</w:t>
            </w:r>
          </w:p>
        </w:tc>
      </w:tr>
      <w:tr w:rsidR="00920035" w14:paraId="51D36E56" w14:textId="77777777">
        <w:trPr>
          <w:trHeight w:val="315"/>
        </w:trPr>
        <w:tc>
          <w:tcPr>
            <w:tcW w:w="4845" w:type="dxa"/>
            <w:tcBorders>
              <w:top w:val="single" w:sz="4" w:space="0" w:color="000000"/>
              <w:left w:val="single" w:sz="8" w:space="0" w:color="000000"/>
              <w:bottom w:val="single" w:sz="4" w:space="0" w:color="000000"/>
              <w:right w:val="single" w:sz="4" w:space="0" w:color="000000"/>
            </w:tcBorders>
            <w:vAlign w:val="bottom"/>
          </w:tcPr>
          <w:p w14:paraId="392BF2D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DLF(-1)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60F224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-0.0401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DA2DC4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0.035</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BE96B8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-1.1581</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64CE1A4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0.2612</w:t>
            </w:r>
          </w:p>
        </w:tc>
      </w:tr>
      <w:tr w:rsidR="00920035" w14:paraId="255B5441" w14:textId="77777777">
        <w:trPr>
          <w:trHeight w:val="315"/>
        </w:trPr>
        <w:tc>
          <w:tcPr>
            <w:tcW w:w="4845" w:type="dxa"/>
            <w:tcBorders>
              <w:top w:val="single" w:sz="4" w:space="0" w:color="000000"/>
              <w:left w:val="single" w:sz="8" w:space="0" w:color="000000"/>
              <w:bottom w:val="single" w:sz="4" w:space="0" w:color="000000"/>
              <w:right w:val="single" w:sz="4" w:space="0" w:color="000000"/>
            </w:tcBorders>
            <w:vAlign w:val="bottom"/>
          </w:tcPr>
          <w:p w14:paraId="373CB0D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E58C22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-0.0008</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E1E40A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9A2BCE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-1.2563</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4336B8C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0.2243</w:t>
            </w:r>
          </w:p>
        </w:tc>
      </w:tr>
      <w:tr w:rsidR="00920035" w14:paraId="31FCECDE" w14:textId="77777777">
        <w:trPr>
          <w:trHeight w:val="315"/>
        </w:trPr>
        <w:tc>
          <w:tcPr>
            <w:tcW w:w="4845" w:type="dxa"/>
            <w:tcBorders>
              <w:top w:val="single" w:sz="4" w:space="0" w:color="000000"/>
              <w:left w:val="single" w:sz="8" w:space="0" w:color="000000"/>
              <w:bottom w:val="single" w:sz="4" w:space="0" w:color="000000"/>
              <w:right w:val="single" w:sz="4" w:space="0" w:color="000000"/>
            </w:tcBorders>
            <w:noWrap/>
            <w:vAlign w:val="bottom"/>
          </w:tcPr>
          <w:p w14:paraId="3BBC10A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8D8157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54BB2EB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0.0006</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BFB47A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1.2669</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61F93F44"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0.2205</w:t>
            </w:r>
          </w:p>
        </w:tc>
      </w:tr>
      <w:tr w:rsidR="00920035" w14:paraId="68036981" w14:textId="77777777">
        <w:trPr>
          <w:trHeight w:val="315"/>
        </w:trPr>
        <w:tc>
          <w:tcPr>
            <w:tcW w:w="4845" w:type="dxa"/>
            <w:tcBorders>
              <w:top w:val="single" w:sz="4" w:space="0" w:color="000000"/>
              <w:left w:val="single" w:sz="8" w:space="0" w:color="000000"/>
              <w:bottom w:val="single" w:sz="4" w:space="0" w:color="000000"/>
              <w:right w:val="single" w:sz="4" w:space="0" w:color="000000"/>
            </w:tcBorders>
            <w:noWrap/>
            <w:vAlign w:val="bottom"/>
          </w:tcPr>
          <w:p w14:paraId="4F17E05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LGGE</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205F4F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-0.0408</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994A57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0.0294</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69D97D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-1.3891</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16D79888"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0.1809</w:t>
            </w:r>
          </w:p>
        </w:tc>
      </w:tr>
      <w:tr w:rsidR="00920035" w14:paraId="34FDE552"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center"/>
          </w:tcPr>
          <w:p w14:paraId="65F35A5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LGGE(-1)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43DEC68D"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0.0137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5473F978"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0.0274</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036602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0.5023</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4113F07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0.6212</w:t>
            </w:r>
          </w:p>
        </w:tc>
      </w:tr>
      <w:tr w:rsidR="00920035" w14:paraId="16859B83"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center"/>
          </w:tcPr>
          <w:p w14:paraId="0B5350F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LGGE(-2)</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6559C8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0.0478</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D6197A4"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0.0305</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540350C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1.5679</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1E3FF423"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0.1334</w:t>
            </w:r>
          </w:p>
        </w:tc>
      </w:tr>
      <w:tr w:rsidR="00920035" w14:paraId="1F1CCE00" w14:textId="77777777">
        <w:trPr>
          <w:trHeight w:val="315"/>
        </w:trPr>
        <w:tc>
          <w:tcPr>
            <w:tcW w:w="4845" w:type="dxa"/>
            <w:tcBorders>
              <w:top w:val="single" w:sz="4" w:space="0" w:color="000000"/>
              <w:left w:val="single" w:sz="8" w:space="0" w:color="000000"/>
              <w:bottom w:val="single" w:sz="4" w:space="0" w:color="000000"/>
              <w:right w:val="single" w:sz="4" w:space="0" w:color="000000"/>
            </w:tcBorders>
            <w:vAlign w:val="center"/>
          </w:tcPr>
          <w:p w14:paraId="1EABBE4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LGGF</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DB0049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-0.067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24ACB0F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0.054</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00D5EE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-1.2422</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6BFE8AB9"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0.2293</w:t>
            </w:r>
          </w:p>
        </w:tc>
      </w:tr>
      <w:tr w:rsidR="00920035" w14:paraId="41F469ED"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center"/>
          </w:tcPr>
          <w:p w14:paraId="2F1793F8"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LGGF(-1)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6944CE3"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-0.0952</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256785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0.05606</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A54175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-1.6989</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071168F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0.1057</w:t>
            </w:r>
          </w:p>
        </w:tc>
      </w:tr>
      <w:tr w:rsidR="00920035" w14:paraId="0B9258B5"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center"/>
          </w:tcPr>
          <w:p w14:paraId="58908AA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C24158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4.2677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4F5B260D"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1.8756</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6CF8F2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2.2754</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13B46BA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(0.0347)**</w:t>
            </w:r>
          </w:p>
        </w:tc>
      </w:tr>
      <w:tr w:rsidR="00920035" w14:paraId="2E0E61F5" w14:textId="77777777">
        <w:trPr>
          <w:trHeight w:val="345"/>
        </w:trPr>
        <w:tc>
          <w:tcPr>
            <w:tcW w:w="8745" w:type="dxa"/>
            <w:gridSpan w:val="5"/>
            <w:tcBorders>
              <w:top w:val="single" w:sz="4" w:space="0" w:color="000000"/>
              <w:left w:val="single" w:sz="8" w:space="0" w:color="000000"/>
              <w:bottom w:val="single" w:sz="4" w:space="0" w:color="000000"/>
              <w:right w:val="single" w:sz="4" w:space="0" w:color="000000"/>
            </w:tcBorders>
            <w:vAlign w:val="center"/>
          </w:tcPr>
          <w:p w14:paraId="0861E15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Short run Run Coefficients</w:t>
            </w:r>
          </w:p>
        </w:tc>
      </w:tr>
      <w:tr w:rsidR="00920035" w14:paraId="38D01832" w14:textId="77777777">
        <w:trPr>
          <w:trHeight w:val="630"/>
        </w:trPr>
        <w:tc>
          <w:tcPr>
            <w:tcW w:w="4845" w:type="dxa"/>
            <w:tcBorders>
              <w:top w:val="single" w:sz="4" w:space="0" w:color="000000"/>
              <w:left w:val="single" w:sz="8" w:space="0" w:color="000000"/>
              <w:bottom w:val="single" w:sz="4" w:space="0" w:color="000000"/>
              <w:right w:val="single" w:sz="4" w:space="0" w:color="000000"/>
            </w:tcBorders>
            <w:vAlign w:val="center"/>
          </w:tcPr>
          <w:p w14:paraId="78D0B2F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Variable</w:t>
            </w:r>
          </w:p>
        </w:tc>
        <w:tc>
          <w:tcPr>
            <w:tcW w:w="1005" w:type="dxa"/>
            <w:tcBorders>
              <w:top w:val="single" w:sz="4" w:space="0" w:color="000000"/>
              <w:left w:val="single" w:sz="4" w:space="0" w:color="000000"/>
              <w:bottom w:val="single" w:sz="4" w:space="0" w:color="000000"/>
              <w:right w:val="single" w:sz="4" w:space="0" w:color="000000"/>
            </w:tcBorders>
            <w:vAlign w:val="center"/>
          </w:tcPr>
          <w:p w14:paraId="796DB79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Coefficient</w:t>
            </w:r>
          </w:p>
        </w:tc>
        <w:tc>
          <w:tcPr>
            <w:tcW w:w="1005" w:type="dxa"/>
            <w:tcBorders>
              <w:top w:val="single" w:sz="4" w:space="0" w:color="000000"/>
              <w:left w:val="single" w:sz="4" w:space="0" w:color="000000"/>
              <w:bottom w:val="single" w:sz="4" w:space="0" w:color="000000"/>
              <w:right w:val="single" w:sz="4" w:space="0" w:color="000000"/>
            </w:tcBorders>
            <w:vAlign w:val="center"/>
          </w:tcPr>
          <w:p w14:paraId="012824CC"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Std. Error</w:t>
            </w:r>
          </w:p>
        </w:tc>
        <w:tc>
          <w:tcPr>
            <w:tcW w:w="1005" w:type="dxa"/>
            <w:tcBorders>
              <w:top w:val="single" w:sz="4" w:space="0" w:color="000000"/>
              <w:left w:val="single" w:sz="4" w:space="0" w:color="000000"/>
              <w:bottom w:val="single" w:sz="4" w:space="0" w:color="000000"/>
              <w:right w:val="single" w:sz="4" w:space="0" w:color="000000"/>
            </w:tcBorders>
            <w:vAlign w:val="center"/>
          </w:tcPr>
          <w:p w14:paraId="7C1867F8"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t-Statistic</w:t>
            </w:r>
          </w:p>
        </w:tc>
        <w:tc>
          <w:tcPr>
            <w:tcW w:w="885" w:type="dxa"/>
            <w:tcBorders>
              <w:top w:val="single" w:sz="4" w:space="0" w:color="000000"/>
              <w:left w:val="single" w:sz="4" w:space="0" w:color="000000"/>
              <w:bottom w:val="single" w:sz="4" w:space="0" w:color="000000"/>
              <w:right w:val="single" w:sz="8" w:space="0" w:color="000000"/>
            </w:tcBorders>
            <w:vAlign w:val="center"/>
          </w:tcPr>
          <w:p w14:paraId="4F59885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Prob.   </w:t>
            </w:r>
          </w:p>
        </w:tc>
      </w:tr>
      <w:tr w:rsidR="00920035" w14:paraId="243F9CE2"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223CFE8C"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D(DLF)</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8FE062C"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-0.0891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43F7A2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0.0151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23D545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5.9008</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35DAC18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(0.0000)*</w:t>
            </w:r>
          </w:p>
        </w:tc>
      </w:tr>
      <w:tr w:rsidR="00920035" w14:paraId="20B06408"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37724419"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D(IN)</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5AB3D3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-0.0008</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557269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0.0003</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B6F512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-2.5494</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788851A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(0.0196)**</w:t>
            </w:r>
          </w:p>
        </w:tc>
      </w:tr>
      <w:tr w:rsidR="00920035" w14:paraId="707A9B8E"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29FA58F4"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D(LGGE)</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4335E83"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-0.0408</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41BD813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0.0186</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E12C23F"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-2.4274</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50B2A54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(0.0416)**</w:t>
            </w:r>
          </w:p>
        </w:tc>
      </w:tr>
      <w:tr w:rsidR="00920035" w14:paraId="2B3BBA47"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2AAE9AD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D(LGGE(-1))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0776CE2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-0.0479</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3CF497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0.0197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7241526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-2.4274</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4F026DD1"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(0.0253)**</w:t>
            </w:r>
          </w:p>
        </w:tc>
      </w:tr>
      <w:tr w:rsidR="00920035" w14:paraId="0F0649A3"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2D65F6F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D(LGGF)</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BC0D61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-0.0671</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FE1570A"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0.0329</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32D5070E"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-2.0377</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317C77A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(0.0558)***</w:t>
            </w:r>
          </w:p>
        </w:tc>
      </w:tr>
      <w:tr w:rsidR="00920035" w14:paraId="1E5DE74F" w14:textId="77777777">
        <w:trPr>
          <w:trHeight w:val="630"/>
        </w:trPr>
        <w:tc>
          <w:tcPr>
            <w:tcW w:w="4845" w:type="dxa"/>
            <w:tcBorders>
              <w:top w:val="single" w:sz="4" w:space="0" w:color="000000"/>
              <w:left w:val="single" w:sz="8" w:space="0" w:color="000000"/>
              <w:bottom w:val="single" w:sz="4" w:space="0" w:color="000000"/>
              <w:right w:val="single" w:sz="4" w:space="0" w:color="000000"/>
            </w:tcBorders>
            <w:noWrap/>
            <w:vAlign w:val="bottom"/>
          </w:tcPr>
          <w:p w14:paraId="7F43A623"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COINTEQ</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61498832"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-0.0382</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5CFACD30"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0.0047</w:t>
            </w:r>
          </w:p>
        </w:tc>
        <w:tc>
          <w:tcPr>
            <w:tcW w:w="1005" w:type="dxa"/>
            <w:tcBorders>
              <w:top w:val="single" w:sz="4" w:space="0" w:color="000000"/>
              <w:left w:val="single" w:sz="4" w:space="0" w:color="000000"/>
              <w:bottom w:val="single" w:sz="4" w:space="0" w:color="000000"/>
              <w:right w:val="single" w:sz="4" w:space="0" w:color="000000"/>
            </w:tcBorders>
            <w:noWrap/>
            <w:vAlign w:val="bottom"/>
          </w:tcPr>
          <w:p w14:paraId="1C9EA14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-8.096</w:t>
            </w:r>
          </w:p>
        </w:tc>
        <w:tc>
          <w:tcPr>
            <w:tcW w:w="885" w:type="dxa"/>
            <w:tcBorders>
              <w:top w:val="single" w:sz="4" w:space="0" w:color="000000"/>
              <w:left w:val="single" w:sz="4" w:space="0" w:color="000000"/>
              <w:bottom w:val="single" w:sz="4" w:space="0" w:color="000000"/>
              <w:right w:val="single" w:sz="8" w:space="0" w:color="000000"/>
            </w:tcBorders>
            <w:noWrap/>
            <w:vAlign w:val="bottom"/>
          </w:tcPr>
          <w:p w14:paraId="0C9DD76B"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(0.0000)*</w:t>
            </w:r>
          </w:p>
        </w:tc>
      </w:tr>
      <w:tr w:rsidR="00920035" w14:paraId="2719B388" w14:textId="77777777">
        <w:trPr>
          <w:trHeight w:val="330"/>
        </w:trPr>
        <w:tc>
          <w:tcPr>
            <w:tcW w:w="5850" w:type="dxa"/>
            <w:gridSpan w:val="2"/>
            <w:tcBorders>
              <w:top w:val="single" w:sz="4" w:space="0" w:color="000000"/>
              <w:left w:val="single" w:sz="8" w:space="0" w:color="000000"/>
              <w:bottom w:val="single" w:sz="4" w:space="0" w:color="000000"/>
              <w:right w:val="single" w:sz="4" w:space="0" w:color="000000"/>
            </w:tcBorders>
            <w:noWrap/>
            <w:vAlign w:val="center"/>
          </w:tcPr>
          <w:p w14:paraId="137F8776"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R-Squared 0.9986</w:t>
            </w:r>
          </w:p>
        </w:tc>
        <w:tc>
          <w:tcPr>
            <w:tcW w:w="2895" w:type="dxa"/>
            <w:gridSpan w:val="3"/>
            <w:tcBorders>
              <w:top w:val="single" w:sz="4" w:space="0" w:color="000000"/>
              <w:left w:val="single" w:sz="4" w:space="0" w:color="000000"/>
              <w:bottom w:val="single" w:sz="4" w:space="0" w:color="000000"/>
              <w:right w:val="single" w:sz="4" w:space="0" w:color="000000"/>
            </w:tcBorders>
            <w:noWrap/>
            <w:vAlign w:val="center"/>
          </w:tcPr>
          <w:p w14:paraId="1E7C7177"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Adjusted R-squared 0.9978</w:t>
            </w:r>
          </w:p>
        </w:tc>
      </w:tr>
      <w:tr w:rsidR="00920035" w14:paraId="177640D7" w14:textId="77777777">
        <w:trPr>
          <w:trHeight w:val="330"/>
        </w:trPr>
        <w:tc>
          <w:tcPr>
            <w:tcW w:w="5850" w:type="dxa"/>
            <w:gridSpan w:val="2"/>
            <w:tcBorders>
              <w:top w:val="single" w:sz="4" w:space="0" w:color="000000"/>
              <w:left w:val="single" w:sz="8" w:space="0" w:color="000000"/>
              <w:bottom w:val="single" w:sz="8" w:space="0" w:color="000000"/>
              <w:right w:val="single" w:sz="4" w:space="0" w:color="000000"/>
            </w:tcBorders>
            <w:noWrap/>
            <w:vAlign w:val="center"/>
          </w:tcPr>
          <w:p w14:paraId="20091EF5"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F-statistic 1209.694</w:t>
            </w:r>
          </w:p>
        </w:tc>
        <w:tc>
          <w:tcPr>
            <w:tcW w:w="2895" w:type="dxa"/>
            <w:gridSpan w:val="3"/>
            <w:tcBorders>
              <w:top w:val="single" w:sz="4" w:space="0" w:color="000000"/>
              <w:left w:val="single" w:sz="4" w:space="0" w:color="000000"/>
              <w:bottom w:val="single" w:sz="8" w:space="0" w:color="000000"/>
              <w:right w:val="single" w:sz="4" w:space="0" w:color="000000"/>
            </w:tcBorders>
            <w:noWrap/>
            <w:vAlign w:val="center"/>
          </w:tcPr>
          <w:p w14:paraId="18F55979" w14:textId="77777777" w:rsidR="00920035" w:rsidRDefault="002601FA">
            <w:pPr>
              <w:spacing w:line="36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Prob(F-statistic) 0.000000</w:t>
            </w:r>
          </w:p>
        </w:tc>
      </w:tr>
    </w:tbl>
    <w:p w14:paraId="2EA22F54"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1EFE7E56"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Where: “*” indicates significance at 1%, “**” indicates significance at 5% and “***” indicates significance at 10%.</w:t>
      </w:r>
    </w:p>
    <w:p w14:paraId="24417466" w14:textId="77777777" w:rsidR="00920035" w:rsidRDefault="00920035">
      <w:pPr>
        <w:spacing w:line="360" w:lineRule="auto"/>
        <w:jc w:val="both"/>
        <w:rPr>
          <w:rFonts w:ascii="Times New Roman" w:hAnsi="Times New Roman" w:cs="Times New Roman"/>
          <w:sz w:val="24"/>
          <w:szCs w:val="24"/>
        </w:rPr>
      </w:pPr>
    </w:p>
    <w:p w14:paraId="7E1B27A5"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Post Estimation Tests</w:t>
      </w:r>
    </w:p>
    <w:tbl>
      <w:tblPr>
        <w:tblW w:w="2821" w:type="dxa"/>
        <w:tblInd w:w="93" w:type="dxa"/>
        <w:tblLook w:val="04A0" w:firstRow="1" w:lastRow="0" w:firstColumn="1" w:lastColumn="0" w:noHBand="0" w:noVBand="1"/>
      </w:tblPr>
      <w:tblGrid>
        <w:gridCol w:w="2003"/>
        <w:gridCol w:w="1377"/>
      </w:tblGrid>
      <w:tr w:rsidR="00920035" w14:paraId="678BC176" w14:textId="77777777">
        <w:trPr>
          <w:trHeight w:val="315"/>
        </w:trPr>
        <w:tc>
          <w:tcPr>
            <w:tcW w:w="1665" w:type="dxa"/>
            <w:tcBorders>
              <w:top w:val="single" w:sz="8" w:space="0" w:color="000000"/>
              <w:left w:val="single" w:sz="8" w:space="0" w:color="000000"/>
              <w:bottom w:val="single" w:sz="8" w:space="0" w:color="000000"/>
              <w:right w:val="single" w:sz="8" w:space="0" w:color="000000"/>
            </w:tcBorders>
            <w:vAlign w:val="center"/>
          </w:tcPr>
          <w:p w14:paraId="72CCE6CA" w14:textId="77777777" w:rsidR="00920035" w:rsidRDefault="002601FA">
            <w:pPr>
              <w:spacing w:line="360" w:lineRule="auto"/>
              <w:jc w:val="both"/>
              <w:textAlignment w:val="center"/>
              <w:rPr>
                <w:rFonts w:ascii="Times New Roman" w:hAnsi="Times New Roman" w:cs="Times New Roman"/>
                <w:b/>
                <w:bCs/>
                <w:color w:val="000000"/>
                <w:sz w:val="24"/>
                <w:szCs w:val="24"/>
                <w:lang w:val="en-GB" w:eastAsia="en-GB"/>
              </w:rPr>
            </w:pPr>
            <w:r>
              <w:rPr>
                <w:rFonts w:ascii="Times New Roman" w:eastAsia="SimSun" w:hAnsi="Times New Roman" w:cs="Times New Roman"/>
                <w:b/>
                <w:bCs/>
                <w:color w:val="000000"/>
                <w:sz w:val="24"/>
                <w:szCs w:val="24"/>
              </w:rPr>
              <w:t>Test</w:t>
            </w:r>
          </w:p>
        </w:tc>
        <w:tc>
          <w:tcPr>
            <w:tcW w:w="1155" w:type="dxa"/>
            <w:tcBorders>
              <w:top w:val="single" w:sz="8" w:space="0" w:color="000000"/>
              <w:left w:val="nil"/>
              <w:bottom w:val="single" w:sz="8" w:space="0" w:color="000000"/>
              <w:right w:val="single" w:sz="8" w:space="0" w:color="000000"/>
            </w:tcBorders>
            <w:vAlign w:val="center"/>
          </w:tcPr>
          <w:p w14:paraId="39BECB58" w14:textId="77777777" w:rsidR="00920035" w:rsidRDefault="002601FA">
            <w:pPr>
              <w:spacing w:line="360" w:lineRule="auto"/>
              <w:jc w:val="both"/>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Probability</w:t>
            </w:r>
          </w:p>
        </w:tc>
      </w:tr>
      <w:tr w:rsidR="00920035" w14:paraId="04302BDA" w14:textId="77777777">
        <w:trPr>
          <w:trHeight w:val="315"/>
        </w:trPr>
        <w:tc>
          <w:tcPr>
            <w:tcW w:w="1665" w:type="dxa"/>
            <w:tcBorders>
              <w:top w:val="nil"/>
              <w:left w:val="single" w:sz="8" w:space="0" w:color="000000"/>
              <w:bottom w:val="single" w:sz="8" w:space="0" w:color="000000"/>
              <w:right w:val="single" w:sz="8" w:space="0" w:color="000000"/>
            </w:tcBorders>
            <w:vAlign w:val="center"/>
          </w:tcPr>
          <w:p w14:paraId="7789CB8B"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Normality</w:t>
            </w:r>
          </w:p>
        </w:tc>
        <w:tc>
          <w:tcPr>
            <w:tcW w:w="1155" w:type="dxa"/>
            <w:tcBorders>
              <w:top w:val="nil"/>
              <w:left w:val="nil"/>
              <w:bottom w:val="single" w:sz="8" w:space="0" w:color="000000"/>
              <w:right w:val="single" w:sz="8" w:space="0" w:color="000000"/>
            </w:tcBorders>
            <w:vAlign w:val="center"/>
          </w:tcPr>
          <w:p w14:paraId="7C52811D"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1.1295</w:t>
            </w:r>
          </w:p>
        </w:tc>
      </w:tr>
      <w:tr w:rsidR="00920035" w14:paraId="76CDFF6A" w14:textId="77777777">
        <w:trPr>
          <w:trHeight w:val="315"/>
        </w:trPr>
        <w:tc>
          <w:tcPr>
            <w:tcW w:w="1665" w:type="dxa"/>
            <w:tcBorders>
              <w:top w:val="nil"/>
              <w:left w:val="single" w:sz="8" w:space="0" w:color="000000"/>
              <w:bottom w:val="single" w:sz="8" w:space="0" w:color="000000"/>
              <w:right w:val="single" w:sz="8" w:space="0" w:color="000000"/>
            </w:tcBorders>
            <w:vAlign w:val="center"/>
          </w:tcPr>
          <w:p w14:paraId="470EF67A"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lastRenderedPageBreak/>
              <w:t>Serial Correlation</w:t>
            </w:r>
          </w:p>
        </w:tc>
        <w:tc>
          <w:tcPr>
            <w:tcW w:w="1155" w:type="dxa"/>
            <w:tcBorders>
              <w:top w:val="nil"/>
              <w:left w:val="nil"/>
              <w:bottom w:val="single" w:sz="8" w:space="0" w:color="000000"/>
              <w:right w:val="single" w:sz="8" w:space="0" w:color="000000"/>
            </w:tcBorders>
            <w:vAlign w:val="center"/>
          </w:tcPr>
          <w:p w14:paraId="24128D93"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0.2607</w:t>
            </w:r>
          </w:p>
        </w:tc>
      </w:tr>
      <w:tr w:rsidR="00920035" w14:paraId="19160639" w14:textId="77777777">
        <w:trPr>
          <w:trHeight w:val="315"/>
        </w:trPr>
        <w:tc>
          <w:tcPr>
            <w:tcW w:w="1665" w:type="dxa"/>
            <w:tcBorders>
              <w:top w:val="nil"/>
              <w:left w:val="single" w:sz="8" w:space="0" w:color="000000"/>
              <w:bottom w:val="single" w:sz="8" w:space="0" w:color="000000"/>
              <w:right w:val="single" w:sz="8" w:space="0" w:color="000000"/>
            </w:tcBorders>
            <w:vAlign w:val="center"/>
          </w:tcPr>
          <w:p w14:paraId="57CC7C7E"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Linearity</w:t>
            </w:r>
          </w:p>
        </w:tc>
        <w:tc>
          <w:tcPr>
            <w:tcW w:w="1155" w:type="dxa"/>
            <w:tcBorders>
              <w:top w:val="nil"/>
              <w:left w:val="nil"/>
              <w:bottom w:val="single" w:sz="8" w:space="0" w:color="000000"/>
              <w:right w:val="single" w:sz="8" w:space="0" w:color="000000"/>
            </w:tcBorders>
            <w:vAlign w:val="center"/>
          </w:tcPr>
          <w:p w14:paraId="5AD0D8B2"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0.3816</w:t>
            </w:r>
          </w:p>
        </w:tc>
      </w:tr>
      <w:tr w:rsidR="00920035" w14:paraId="26774102" w14:textId="77777777">
        <w:trPr>
          <w:trHeight w:val="660"/>
        </w:trPr>
        <w:tc>
          <w:tcPr>
            <w:tcW w:w="0" w:type="auto"/>
            <w:tcBorders>
              <w:top w:val="nil"/>
              <w:left w:val="single" w:sz="8" w:space="0" w:color="000000"/>
              <w:bottom w:val="single" w:sz="8" w:space="0" w:color="000000"/>
              <w:right w:val="single" w:sz="8" w:space="0" w:color="000000"/>
            </w:tcBorders>
            <w:noWrap/>
            <w:vAlign w:val="bottom"/>
          </w:tcPr>
          <w:p w14:paraId="7CF97F36" w14:textId="77777777" w:rsidR="00920035" w:rsidRDefault="002601FA">
            <w:pPr>
              <w:spacing w:line="360" w:lineRule="auto"/>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rPr>
              <w:t>Heteroskedasticity</w:t>
            </w:r>
          </w:p>
        </w:tc>
        <w:tc>
          <w:tcPr>
            <w:tcW w:w="1155" w:type="dxa"/>
            <w:tcBorders>
              <w:top w:val="nil"/>
              <w:left w:val="nil"/>
              <w:bottom w:val="single" w:sz="8" w:space="0" w:color="000000"/>
              <w:right w:val="single" w:sz="8" w:space="0" w:color="000000"/>
            </w:tcBorders>
            <w:vAlign w:val="center"/>
          </w:tcPr>
          <w:p w14:paraId="0A9237E7"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0.1255</w:t>
            </w:r>
          </w:p>
        </w:tc>
      </w:tr>
      <w:tr w:rsidR="00920035" w14:paraId="082002C2" w14:textId="77777777">
        <w:trPr>
          <w:trHeight w:val="660"/>
        </w:trPr>
        <w:tc>
          <w:tcPr>
            <w:tcW w:w="1665" w:type="dxa"/>
            <w:tcBorders>
              <w:top w:val="nil"/>
              <w:left w:val="single" w:sz="8" w:space="0" w:color="000000"/>
              <w:bottom w:val="single" w:sz="8" w:space="0" w:color="000000"/>
              <w:right w:val="single" w:sz="8" w:space="0" w:color="000000"/>
            </w:tcBorders>
            <w:vAlign w:val="center"/>
          </w:tcPr>
          <w:p w14:paraId="4805A405"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CUSUM</w:t>
            </w:r>
          </w:p>
        </w:tc>
        <w:tc>
          <w:tcPr>
            <w:tcW w:w="1155" w:type="dxa"/>
            <w:tcBorders>
              <w:top w:val="nil"/>
              <w:left w:val="nil"/>
              <w:bottom w:val="single" w:sz="8" w:space="0" w:color="000000"/>
              <w:right w:val="single" w:sz="8" w:space="0" w:color="000000"/>
            </w:tcBorders>
            <w:vAlign w:val="center"/>
          </w:tcPr>
          <w:p w14:paraId="1B7239CC"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Stable</w:t>
            </w:r>
          </w:p>
        </w:tc>
      </w:tr>
      <w:tr w:rsidR="00920035" w14:paraId="73B276A1" w14:textId="77777777">
        <w:trPr>
          <w:trHeight w:val="345"/>
        </w:trPr>
        <w:tc>
          <w:tcPr>
            <w:tcW w:w="0" w:type="auto"/>
            <w:tcBorders>
              <w:top w:val="nil"/>
              <w:left w:val="single" w:sz="8" w:space="0" w:color="000000"/>
              <w:bottom w:val="single" w:sz="8" w:space="0" w:color="000000"/>
              <w:right w:val="single" w:sz="8" w:space="0" w:color="000000"/>
            </w:tcBorders>
            <w:noWrap/>
            <w:vAlign w:val="bottom"/>
          </w:tcPr>
          <w:p w14:paraId="4F167011" w14:textId="77777777" w:rsidR="00920035" w:rsidRDefault="002601FA">
            <w:pPr>
              <w:spacing w:line="360" w:lineRule="auto"/>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rPr>
              <w:t>CUSUMQ</w:t>
            </w:r>
          </w:p>
        </w:tc>
        <w:tc>
          <w:tcPr>
            <w:tcW w:w="1155" w:type="dxa"/>
            <w:tcBorders>
              <w:top w:val="nil"/>
              <w:left w:val="nil"/>
              <w:bottom w:val="single" w:sz="8" w:space="0" w:color="000000"/>
              <w:right w:val="single" w:sz="8" w:space="0" w:color="000000"/>
            </w:tcBorders>
            <w:vAlign w:val="center"/>
          </w:tcPr>
          <w:p w14:paraId="2AD620BB" w14:textId="77777777" w:rsidR="00920035" w:rsidRDefault="002601FA">
            <w:pPr>
              <w:spacing w:line="360" w:lineRule="auto"/>
              <w:jc w:val="both"/>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Unstable</w:t>
            </w:r>
          </w:p>
        </w:tc>
      </w:tr>
    </w:tbl>
    <w:p w14:paraId="207DF062"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computation</w:t>
      </w:r>
    </w:p>
    <w:p w14:paraId="1A7B96AD" w14:textId="77777777" w:rsidR="00920035" w:rsidRDefault="00920035">
      <w:pPr>
        <w:spacing w:line="360" w:lineRule="auto"/>
        <w:jc w:val="both"/>
        <w:rPr>
          <w:rFonts w:ascii="Times New Roman" w:hAnsi="Times New Roman" w:cs="Times New Roman"/>
          <w:sz w:val="24"/>
          <w:szCs w:val="24"/>
        </w:rPr>
      </w:pPr>
    </w:p>
    <w:p w14:paraId="2990A655" w14:textId="77777777" w:rsidR="00920035" w:rsidRDefault="002601FA">
      <w:pPr>
        <w:spacing w:line="360" w:lineRule="auto"/>
        <w:jc w:val="both"/>
      </w:pPr>
      <w:bookmarkStart w:id="0" w:name="_GoBack"/>
      <w:bookmarkEnd w:id="0"/>
      <w:r>
        <w:rPr>
          <w:rFonts w:ascii="Times New Roman" w:hAnsi="Times New Roman" w:cs="Times New Roman"/>
          <w:sz w:val="24"/>
          <w:szCs w:val="24"/>
        </w:rPr>
        <w:t>The results of this statistical analysis have significant implications for Nigeria's economic growth, particularly in the context of the country's public debt. The research employs a meticulous approach, incorporating rigorous methods such as unit root assessments, cointegration examinations, multicollinearity test and the utilisation of the Autoregressive Distributed Lag (ARDL) model. These approaches contribute to the trustworthiness of the results and provide a thorough understanding of the associations under consideration. The investigation discerns the existence of an enduring connection among the variables under scrutiny.</w:t>
      </w:r>
    </w:p>
    <w:p w14:paraId="2D49C4B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In the short run, the gross fixed capital formation has a negative and significant effect on the real value of GDP in Nigeria. This finding is not consistent with the a priori expectation of the study. The negativity may reflect that capital is being employed for non-productive activities in the country, which will impede growth. This result was corroborated with the findings of Abdulmumin (2022).</w:t>
      </w:r>
    </w:p>
    <w:p w14:paraId="020CCFBE"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labour force has a negative and significant effect on the real value of GDP in Nigeria.  This finding is not consistent with the a priori expectation of the study. This implies that in the short run, labour exerts less effort in production as they seek alternative jobs to augment their low pay. This result was corroborated by the findings of Abdulmumin (2022).</w:t>
      </w:r>
    </w:p>
    <w:p w14:paraId="408A5A0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the inflation rate has a negative and significant effect on GDP. This is in tandem with the a priori expectation. This implies the inflation rate discourages savings and investment, which in turn impedes economic growth. The finding is not in line with the result of Veronica (2021), which found that the inflation rate had a positive and significant impact on economic growth in the short run.</w:t>
      </w:r>
    </w:p>
    <w:p w14:paraId="16ACAC9E"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government expenditure has a negative and significant effect on GDP. This is not in tandem with the a priori expectation. This may imply that government expenditure is not channelled towards productive activities.</w:t>
      </w:r>
    </w:p>
    <w:p w14:paraId="7966ED5B"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Also the lag of government expenditure has a negative and significant effect on GDP. This is not in tandem with the a priori expectation. This may imply that government expenditure in the past period was not channelled towards productive activities.</w:t>
      </w:r>
    </w:p>
    <w:p w14:paraId="7CACB297"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In the long run, the lag of the dependent variable has a positive and significant effect on the real value of GDP in Nigeria. The positive sign reflects that output in the previous period is being utilised well in the production process in the country, which will improve economic growth in the current period. This result was corroborated with the findings of Elom-Obed et al. (2017).</w:t>
      </w:r>
    </w:p>
    <w:p w14:paraId="084C58D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external debt has a positive and insignificant effect on the real value of GDP in Nigeria. This finding is not consistent with the a priori expectation of the study. The Debt Overhang Theory suggests that when external debt becomes excessive, it discourages investment and reduces long-run economic growth due to heavy debt servicing and exchange rate pressures. Thus, the insignificant effect implies that external debt has no effect on economic growth in Nigeria. This result was not corroborated by the findings of Abdulmumin (2022) and Ikwuo et al. (2024), which found that the effect was positive and significant.</w:t>
      </w:r>
    </w:p>
    <w:p w14:paraId="73F93866"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domestic debt has a positive and significant effect on the real value of GDP in Nigeria. This finding is consistent with the a priori expectation of the study. Keynes posits that domestic debt is generally less risky because it is serviced in local currency and does not expose the economy to foreign exchange volatility. Therefore, the positive effect implies that when domestic debts are being put into good use, they improve economic growth.  This result was corroborated with the results of Abdulkarim and Saidatulakmal (2021), Ejinkoye et al. (2025), and Ajayi and Adewusi (2020).</w:t>
      </w:r>
    </w:p>
    <w:p w14:paraId="3AF58A68"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inflation rate has a negative and insignificant effect on the real value of GDP in Nigeria. The insignificant effect means inflation has no effect on economic growth in Nigeria in the long run. This result was corroborated with the results of Eke and Akujuobi (2021).</w:t>
      </w:r>
    </w:p>
    <w:p w14:paraId="78CB7A3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lag of the inflation rate has a positive and insignificant effect on the real value of GDP in Nigeria. The insignificant effect means the lag of inflation has no effect on economic growth in Nigeria in the long run. This result negates the findings of </w:t>
      </w:r>
      <w:r>
        <w:rPr>
          <w:rFonts w:ascii="Times New Roman" w:hAnsi="Times New Roman" w:cs="Times New Roman"/>
          <w:sz w:val="24"/>
          <w:szCs w:val="24"/>
        </w:rPr>
        <w:lastRenderedPageBreak/>
        <w:t>Veronica (2021), which found that the lag of the inflation rate had a negative and significant effect on economic growth.</w:t>
      </w:r>
    </w:p>
    <w:p w14:paraId="311D7AC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government expenditure has a negative and insignificant effect on the real value of GDP in Nigeria. The insignificant effect means government expenditure has no effect on economic growth in Nigeria. This might be due to large government spending on unproductive activities.</w:t>
      </w:r>
    </w:p>
    <w:p w14:paraId="52FC37FA"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lag of government expenditure has a positive and insignificant effect on the real value of GDP in Nigeria. The insignificant effect means the lag of government expenditure has no effect on economic growth in Nigeria. This might be due to previous government spending on unproductive activities.</w:t>
      </w:r>
    </w:p>
    <w:p w14:paraId="30FC4C2F"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The second lag of government expenditure has a positive and insignificant effect on the real value of GDP in Nigeria. The insignificant effect means the second lag of government expenditure has no effect on economic growth in Nigeria. This might be due to previous government spending on unproductive activities.</w:t>
      </w:r>
    </w:p>
    <w:p w14:paraId="5A038329"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gross fixed capital formation has a negative and insignificant effect on the real value of GDP in Nigeria. The insignificant effect means the gross fixed capital formation has no effect on economic growth in Nigeria. The result may be due to capital being employed for non-productive activities in the country. This result negates the findings of Abdulkarim and Saidatulakmal (2021), which found that gross fixed capital formation had a positive and significant impact on economic growth.</w:t>
      </w:r>
    </w:p>
    <w:p w14:paraId="53CB9ECD" w14:textId="77777777" w:rsidR="00920035" w:rsidRDefault="002601FA">
      <w:pPr>
        <w:spacing w:line="360" w:lineRule="auto"/>
        <w:jc w:val="both"/>
        <w:rPr>
          <w:rFonts w:ascii="Times New Roman" w:hAnsi="Times New Roman" w:cs="Times New Roman"/>
          <w:sz w:val="24"/>
          <w:szCs w:val="24"/>
        </w:rPr>
      </w:pPr>
      <w:r>
        <w:rPr>
          <w:rFonts w:ascii="Times New Roman" w:hAnsi="Times New Roman" w:cs="Times New Roman"/>
          <w:sz w:val="24"/>
          <w:szCs w:val="24"/>
        </w:rPr>
        <w:t>Also the lag of gross fixed capital formation has a negative and insignificant effect on the real value of GDP in Nigeria. The insignificant effect means the gross fixed capital formation has no effect on economic growth in Nigeria. The result may be due to previous capital being employed for non-productive activities in the country.</w:t>
      </w:r>
    </w:p>
    <w:p w14:paraId="4597EF52" w14:textId="77777777" w:rsidR="00920035" w:rsidRDefault="00920035">
      <w:pPr>
        <w:spacing w:line="360" w:lineRule="auto"/>
        <w:rPr>
          <w:sz w:val="24"/>
          <w:szCs w:val="24"/>
        </w:rPr>
      </w:pPr>
    </w:p>
    <w:p w14:paraId="5B54DCF9" w14:textId="50399459" w:rsidR="00642ABC" w:rsidRPr="00642ABC" w:rsidRDefault="00642ABC">
      <w:pPr>
        <w:spacing w:line="360" w:lineRule="auto"/>
        <w:rPr>
          <w:rFonts w:ascii="Times New Roman" w:hAnsi="Times New Roman" w:cs="Times New Roman"/>
          <w:sz w:val="24"/>
          <w:szCs w:val="24"/>
          <w:highlight w:val="cyan"/>
        </w:rPr>
      </w:pPr>
      <w:r w:rsidRPr="00642ABC">
        <w:rPr>
          <w:rFonts w:ascii="Times New Roman" w:hAnsi="Times New Roman" w:cs="Times New Roman"/>
          <w:b/>
          <w:bCs/>
          <w:sz w:val="24"/>
          <w:szCs w:val="24"/>
          <w:highlight w:val="cyan"/>
        </w:rPr>
        <w:t>Limitations</w:t>
      </w:r>
    </w:p>
    <w:p w14:paraId="7AB07EED" w14:textId="5F0097F9" w:rsidR="00920035" w:rsidRDefault="00642ABC" w:rsidP="002B2C97">
      <w:pPr>
        <w:spacing w:line="360" w:lineRule="auto"/>
      </w:pPr>
      <w:r w:rsidRPr="00642ABC">
        <w:rPr>
          <w:rFonts w:ascii="Times New Roman" w:hAnsi="Times New Roman" w:cs="Times New Roman"/>
          <w:sz w:val="24"/>
          <w:szCs w:val="24"/>
          <w:highlight w:val="cyan"/>
        </w:rPr>
        <w:t xml:space="preserve">This study has several limitations. First, it relies on annual macroeconomic data for Nigeria (1990–2023), limiting degrees of freedom and potentially obscuring short-run adjustments that higher-frequency data could reveal. Second, measurement choices—currency conversion, deflation/base year, and logging decisions—may influence coefficient magnitudes and the interpretation of elasticities across debt components. Third, while the ARDL framework accommodates mixed integration orders, it does not fully resolve endogeneity arising from reverse causality between growth and </w:t>
      </w:r>
      <w:r w:rsidRPr="00642ABC">
        <w:rPr>
          <w:rFonts w:ascii="Times New Roman" w:hAnsi="Times New Roman" w:cs="Times New Roman"/>
          <w:sz w:val="24"/>
          <w:szCs w:val="24"/>
          <w:highlight w:val="cyan"/>
        </w:rPr>
        <w:lastRenderedPageBreak/>
        <w:t>borrowing or from omitted policy and institutional factors. Fourth, excluding highly collinear variables (e.g., exchange rate) can reduce variance inflation but may introduce omitted-variable bias if the dropped channel is economically relevant. Fifth, parameter instability and potential structural breaks (oil-price shocks, regime changes, COVID-19) may affect cointegration and long-run estimates. Data revisions and proxy gaps may affect reliability, especially for debt-service and fiscal series. Finally, results are country- and period-specific, so generalization to other contexts should be made cautiously.</w:t>
      </w:r>
    </w:p>
    <w:p w14:paraId="600230AC" w14:textId="77777777" w:rsidR="00920035" w:rsidRDefault="00920035"/>
    <w:p w14:paraId="4F1229F3" w14:textId="77777777" w:rsidR="00920035" w:rsidRDefault="00920035"/>
    <w:p w14:paraId="06E02599" w14:textId="77777777" w:rsidR="00920035" w:rsidRDefault="002601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RECOMMENDATIONS</w:t>
      </w:r>
    </w:p>
    <w:p w14:paraId="600F1BA6"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3F47F2D" w14:textId="77777777" w:rsidR="002B2C97" w:rsidRPr="002B2C97" w:rsidRDefault="002B2C97" w:rsidP="002B2C97">
      <w:pPr>
        <w:spacing w:line="360" w:lineRule="auto"/>
        <w:jc w:val="both"/>
        <w:rPr>
          <w:rFonts w:ascii="Times New Roman" w:hAnsi="Times New Roman" w:cs="Times New Roman"/>
          <w:sz w:val="24"/>
          <w:szCs w:val="24"/>
          <w:highlight w:val="cyan"/>
        </w:rPr>
      </w:pPr>
      <w:r w:rsidRPr="002B2C97">
        <w:rPr>
          <w:rFonts w:ascii="Times New Roman" w:hAnsi="Times New Roman" w:cs="Times New Roman"/>
          <w:sz w:val="24"/>
          <w:szCs w:val="24"/>
          <w:highlight w:val="cyan"/>
        </w:rPr>
        <w:t>This study examined the impact of public debt on Nigeria’s economic growth using annual time-series data from 1990 to 2023 and the ARDL bounds-testing approach. The evidence indicates a long-run relationship among the variables, suggesting that debt and key macroeconomic controls move together with output over time.</w:t>
      </w:r>
    </w:p>
    <w:p w14:paraId="45BFAAA1" w14:textId="77777777" w:rsidR="002B2C97" w:rsidRPr="002B2C97" w:rsidRDefault="002B2C97" w:rsidP="002B2C97">
      <w:pPr>
        <w:spacing w:line="360" w:lineRule="auto"/>
        <w:jc w:val="both"/>
        <w:rPr>
          <w:rFonts w:ascii="Times New Roman" w:hAnsi="Times New Roman" w:cs="Times New Roman"/>
          <w:sz w:val="24"/>
          <w:szCs w:val="24"/>
          <w:highlight w:val="cyan"/>
        </w:rPr>
      </w:pPr>
    </w:p>
    <w:p w14:paraId="0C978BBA" w14:textId="1D381C3F" w:rsidR="002B2C97" w:rsidRPr="002B2C97" w:rsidRDefault="002B2C97" w:rsidP="002B2C97">
      <w:pPr>
        <w:spacing w:line="360" w:lineRule="auto"/>
        <w:jc w:val="both"/>
        <w:rPr>
          <w:rFonts w:ascii="Times New Roman" w:hAnsi="Times New Roman" w:cs="Times New Roman"/>
          <w:sz w:val="24"/>
          <w:szCs w:val="24"/>
          <w:highlight w:val="cyan"/>
        </w:rPr>
      </w:pPr>
      <w:r w:rsidRPr="002B2C97">
        <w:rPr>
          <w:rFonts w:ascii="Times New Roman" w:hAnsi="Times New Roman" w:cs="Times New Roman"/>
          <w:sz w:val="24"/>
          <w:szCs w:val="24"/>
          <w:highlight w:val="cyan"/>
        </w:rPr>
        <w:t>In the long run, domestic debt is associated with a positive and statistically significant effect on real GDP, implying that domestic borrowing can support economic performance when channelled into productive uses and managed within a credible fiscal framework. In contrast, external debt is statistically insignificant, indicating that foreign borrowing, as captured in this specification and period, does not provide robust long-run growth gains. This finding is consistent with concerns that external debt may be less growth-enhancing when servicing obligations, risk premia, and macroeconomic vulnerabilities weaken the investment channel.</w:t>
      </w:r>
    </w:p>
    <w:p w14:paraId="1C8A70C7" w14:textId="154BEFB8" w:rsidR="00920035" w:rsidRDefault="002B2C97" w:rsidP="002B2C97">
      <w:pPr>
        <w:spacing w:line="360" w:lineRule="auto"/>
        <w:jc w:val="both"/>
        <w:rPr>
          <w:rFonts w:ascii="Times New Roman" w:hAnsi="Times New Roman" w:cs="Times New Roman"/>
          <w:sz w:val="24"/>
          <w:szCs w:val="24"/>
        </w:rPr>
      </w:pPr>
      <w:r w:rsidRPr="002B2C97">
        <w:rPr>
          <w:rFonts w:ascii="Times New Roman" w:hAnsi="Times New Roman" w:cs="Times New Roman"/>
          <w:sz w:val="24"/>
          <w:szCs w:val="24"/>
          <w:highlight w:val="cyan"/>
        </w:rPr>
        <w:t>Several control variables exhibit negative effects in the long run, with the labour-force coefficient in particular suggesting that increases in labour supply have not translated proportionately into higher output. Rather than attributing this to behavioural assumptions, the result more plausibly reflects structural and productivity constraints—including skills mismatches, underemployment, and limited absorptive capacity of the economy.</w:t>
      </w:r>
      <w:r>
        <w:rPr>
          <w:rFonts w:ascii="Times New Roman" w:hAnsi="Times New Roman" w:cs="Times New Roman"/>
          <w:sz w:val="24"/>
          <w:szCs w:val="24"/>
          <w:highlight w:val="cyan"/>
        </w:rPr>
        <w:t xml:space="preserve"> </w:t>
      </w:r>
      <w:r w:rsidRPr="002B2C97">
        <w:rPr>
          <w:rFonts w:ascii="Times New Roman" w:hAnsi="Times New Roman" w:cs="Times New Roman"/>
          <w:sz w:val="24"/>
          <w:szCs w:val="24"/>
          <w:highlight w:val="cyan"/>
        </w:rPr>
        <w:t xml:space="preserve">In the short run, the estimated dynamics show adverse effects for key variables, and the error-correction term is negative but small, implying slow adjustment toward long-run equilibrium after shocks. Given indications of parameter instability in post-estimation diagnostics, the long-run inferences should be </w:t>
      </w:r>
      <w:r w:rsidRPr="002B2C97">
        <w:rPr>
          <w:rFonts w:ascii="Times New Roman" w:hAnsi="Times New Roman" w:cs="Times New Roman"/>
          <w:sz w:val="24"/>
          <w:szCs w:val="24"/>
          <w:highlight w:val="cyan"/>
        </w:rPr>
        <w:lastRenderedPageBreak/>
        <w:t>interpreted with caution and considered alongside additional robustness checks in future work.</w:t>
      </w:r>
    </w:p>
    <w:p w14:paraId="06154522" w14:textId="77777777" w:rsidR="00920035" w:rsidRDefault="002601F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1163D6DF" w14:textId="5384DFB6" w:rsidR="002B2C97" w:rsidRPr="002B2C97" w:rsidRDefault="002B2C97" w:rsidP="002B2C97">
      <w:pPr>
        <w:spacing w:line="360" w:lineRule="auto"/>
        <w:jc w:val="both"/>
        <w:rPr>
          <w:rFonts w:ascii="Times New Roman" w:hAnsi="Times New Roman" w:cs="Times New Roman"/>
          <w:sz w:val="24"/>
          <w:szCs w:val="24"/>
          <w:highlight w:val="cyan"/>
        </w:rPr>
      </w:pPr>
      <w:r w:rsidRPr="002B2C97">
        <w:rPr>
          <w:rFonts w:ascii="Times New Roman" w:hAnsi="Times New Roman" w:cs="Times New Roman"/>
          <w:sz w:val="24"/>
          <w:szCs w:val="24"/>
          <w:highlight w:val="cyan"/>
        </w:rPr>
        <w:t>Based on the empirical results, several policy recommendations are suggested. First, since domestic debt is associated with a positive long-run relationship with output, government should strengthen the quality of domestic borrowing by prioritising productive and growth-enhancing expenditure, especially infrastructure, human capital, and programmes that raise total factor productivity. Domestic borrowing should be guided by transparent fiscal rules and medium-term debt strategies to ensure that the debt stock remains sustainable and does not unduly elevate rollover risk or crowd out private investment.</w:t>
      </w:r>
    </w:p>
    <w:p w14:paraId="5AE06BA1" w14:textId="268289BF" w:rsidR="002B2C97" w:rsidRPr="002B2C97" w:rsidRDefault="002B2C97" w:rsidP="002B2C97">
      <w:pPr>
        <w:spacing w:line="360" w:lineRule="auto"/>
        <w:jc w:val="both"/>
        <w:rPr>
          <w:rFonts w:ascii="Times New Roman" w:hAnsi="Times New Roman" w:cs="Times New Roman"/>
          <w:sz w:val="24"/>
          <w:szCs w:val="24"/>
          <w:highlight w:val="cyan"/>
        </w:rPr>
      </w:pPr>
      <w:r w:rsidRPr="002B2C97">
        <w:rPr>
          <w:rFonts w:ascii="Times New Roman" w:hAnsi="Times New Roman" w:cs="Times New Roman"/>
          <w:sz w:val="24"/>
          <w:szCs w:val="24"/>
          <w:highlight w:val="cyan"/>
        </w:rPr>
        <w:t>Second, given the statistically weak contribution of external debt in the estimated model, external borrowing should be approached cautiously and should be more selectively targeted toward projects with clear economic returns, credible implementation plans, and measurable performance indicators. Preference should be given to concessional and longer-maturity instruments where possible, while strengthening debt-management capacity to reduce refinancing risk and minimise vulnerability to shifts in global financial conditions.</w:t>
      </w:r>
    </w:p>
    <w:p w14:paraId="5788C721" w14:textId="5F3C4727" w:rsidR="002B2C97" w:rsidRPr="002B2C97" w:rsidRDefault="002B2C97" w:rsidP="002B2C97">
      <w:pPr>
        <w:spacing w:line="360" w:lineRule="auto"/>
        <w:jc w:val="both"/>
        <w:rPr>
          <w:rFonts w:ascii="Times New Roman" w:hAnsi="Times New Roman" w:cs="Times New Roman"/>
          <w:sz w:val="24"/>
          <w:szCs w:val="24"/>
          <w:highlight w:val="cyan"/>
        </w:rPr>
      </w:pPr>
      <w:r w:rsidRPr="002B2C97">
        <w:rPr>
          <w:rFonts w:ascii="Times New Roman" w:hAnsi="Times New Roman" w:cs="Times New Roman"/>
          <w:sz w:val="24"/>
          <w:szCs w:val="24"/>
          <w:highlight w:val="cyan"/>
        </w:rPr>
        <w:t>Third, the negative coefficient on labour force suggests that increasing labour supply alone may not be sufficient to raise output unless accompanied by improvements in labour productivity and absorption capacity. Policy should therefore focus on skills development, job creation in higher-productivity sectors, and reforms that improve the business environment—so that a growing workforce translates into higher employment and output.</w:t>
      </w:r>
    </w:p>
    <w:p w14:paraId="71D37EDB" w14:textId="77777777" w:rsidR="002B2C97" w:rsidRDefault="002B2C97" w:rsidP="002B2C97">
      <w:pPr>
        <w:spacing w:line="360" w:lineRule="auto"/>
        <w:jc w:val="both"/>
        <w:rPr>
          <w:rFonts w:ascii="Times New Roman" w:hAnsi="Times New Roman" w:cs="Times New Roman"/>
          <w:sz w:val="24"/>
          <w:szCs w:val="24"/>
        </w:rPr>
      </w:pPr>
      <w:r w:rsidRPr="002B2C97">
        <w:rPr>
          <w:rFonts w:ascii="Times New Roman" w:hAnsi="Times New Roman" w:cs="Times New Roman"/>
          <w:sz w:val="24"/>
          <w:szCs w:val="24"/>
          <w:highlight w:val="cyan"/>
        </w:rPr>
        <w:t>Finally, macroeconomic stability remains essential. Authorities should maintain policies that support low and predictable inflation, efficient revenue mobilisation, and prudent public financial management. These measures can improve investor confidence, reduce borrowing costs, and ensure that both domestic and external debt contribute more effectively to sustainable economic growth.</w:t>
      </w:r>
    </w:p>
    <w:p w14:paraId="493A1001" w14:textId="77777777" w:rsidR="002B2C97" w:rsidRDefault="002B2C97" w:rsidP="002B2C97">
      <w:pPr>
        <w:spacing w:line="360" w:lineRule="auto"/>
        <w:jc w:val="both"/>
        <w:rPr>
          <w:rFonts w:ascii="Times New Roman" w:hAnsi="Times New Roman" w:cs="Times New Roman"/>
          <w:sz w:val="24"/>
          <w:szCs w:val="24"/>
        </w:rPr>
      </w:pPr>
    </w:p>
    <w:p w14:paraId="002546E4" w14:textId="77777777" w:rsidR="00920035" w:rsidRDefault="00920035">
      <w:pPr>
        <w:spacing w:line="360" w:lineRule="auto"/>
        <w:jc w:val="both"/>
        <w:rPr>
          <w:rFonts w:ascii="Times New Roman" w:hAnsi="Times New Roman" w:cs="Times New Roman"/>
          <w:sz w:val="24"/>
          <w:szCs w:val="24"/>
          <w:highlight w:val="yellow"/>
        </w:rPr>
      </w:pPr>
    </w:p>
    <w:p w14:paraId="3476C211" w14:textId="77777777" w:rsidR="00920035" w:rsidRDefault="00920035">
      <w:pPr>
        <w:spacing w:line="360" w:lineRule="auto"/>
        <w:jc w:val="both"/>
        <w:rPr>
          <w:rFonts w:ascii="Times New Roman" w:hAnsi="Times New Roman" w:cs="Times New Roman"/>
          <w:sz w:val="24"/>
          <w:szCs w:val="24"/>
          <w:highlight w:val="yellow"/>
        </w:rPr>
      </w:pPr>
    </w:p>
    <w:p w14:paraId="4AFFD11B" w14:textId="77777777" w:rsidR="00920035" w:rsidRPr="004C4378" w:rsidRDefault="002601FA">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1" w:name="_Hlk218867759"/>
      <w:r w:rsidRPr="004C4378">
        <w:rPr>
          <w:rFonts w:ascii="Times New Roman" w:eastAsia="Times New Roman" w:hAnsi="Times New Roman" w:cs="Times New Roman"/>
          <w:b/>
          <w:bCs/>
          <w:sz w:val="24"/>
          <w:szCs w:val="24"/>
          <w:highlight w:val="yellow"/>
          <w:lang w:val="en-GB" w:eastAsia="en-IN"/>
        </w:rPr>
        <w:lastRenderedPageBreak/>
        <w:t>Disclaimer (Artificial intelligence)</w:t>
      </w:r>
    </w:p>
    <w:p w14:paraId="5305C4DC" w14:textId="77777777" w:rsidR="00920035" w:rsidRDefault="002601FA">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r>
        <w:rPr>
          <w:rFonts w:ascii="Times New Roman" w:eastAsia="Times New Roman" w:hAnsi="Times New Roman" w:cs="Times New Roman"/>
          <w:bCs/>
          <w:sz w:val="24"/>
          <w:szCs w:val="24"/>
          <w:highlight w:val="yellow"/>
          <w:lang w:val="en-GB" w:eastAsia="en-IN"/>
        </w:rPr>
        <w:t xml:space="preserve">Author(s) hereby declare that NO generative AI technologies such as Large Language Models (ChatGPT, COPILOT, etc.) and text-to-image generators have been used during the writing or editing of this manuscript. </w:t>
      </w:r>
    </w:p>
    <w:bookmarkEnd w:id="1"/>
    <w:p w14:paraId="2EDE6812" w14:textId="77777777" w:rsidR="00920035" w:rsidRDefault="00920035"/>
    <w:p w14:paraId="254B37AF" w14:textId="77777777" w:rsidR="00920035" w:rsidRDefault="00920035"/>
    <w:p w14:paraId="042B94D9" w14:textId="77777777" w:rsidR="00920035" w:rsidRDefault="002601FA">
      <w:pPr>
        <w:jc w:val="both"/>
        <w:rPr>
          <w:rFonts w:ascii="Times New Roman" w:hAnsi="Times New Roman" w:cs="Times New Roman"/>
          <w:b/>
          <w:sz w:val="24"/>
          <w:szCs w:val="24"/>
        </w:rPr>
      </w:pPr>
      <w:r>
        <w:rPr>
          <w:rFonts w:ascii="Times New Roman" w:hAnsi="Times New Roman" w:cs="Times New Roman"/>
          <w:b/>
          <w:sz w:val="24"/>
          <w:szCs w:val="24"/>
        </w:rPr>
        <w:t>References</w:t>
      </w:r>
    </w:p>
    <w:p w14:paraId="16F9EDD9" w14:textId="77777777" w:rsidR="00920035" w:rsidRDefault="00920035">
      <w:pPr>
        <w:jc w:val="both"/>
        <w:rPr>
          <w:rFonts w:ascii="Times New Roman" w:hAnsi="Times New Roman" w:cs="Times New Roman"/>
          <w:b/>
          <w:sz w:val="24"/>
          <w:szCs w:val="24"/>
        </w:rPr>
      </w:pPr>
    </w:p>
    <w:p w14:paraId="0D266D56"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Abdulkarim, A., &amp; Saidatulakmal, M. (2021). Effect of public debt on economic growth in Nigeria. International Journal of Economics and Financial Management, 10(1), 30–40. https://doi.org/10.56201/ijefm.v10.no1.2025.pg30.40</w:t>
      </w:r>
    </w:p>
    <w:p w14:paraId="163D2502" w14:textId="77777777" w:rsidR="00920035" w:rsidRDefault="00920035">
      <w:pPr>
        <w:jc w:val="both"/>
        <w:rPr>
          <w:rFonts w:ascii="Times New Roman" w:hAnsi="Times New Roman" w:cs="Times New Roman"/>
          <w:sz w:val="24"/>
          <w:szCs w:val="24"/>
        </w:rPr>
      </w:pPr>
    </w:p>
    <w:p w14:paraId="42C16A02"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Abdulmumin, A. (2022). Public debt and national development: A fiscal sustainability perspective. Fiscal Policy Institute.</w:t>
      </w:r>
    </w:p>
    <w:p w14:paraId="110CB5FB" w14:textId="77777777" w:rsidR="00920035" w:rsidRDefault="00920035">
      <w:pPr>
        <w:jc w:val="both"/>
        <w:rPr>
          <w:rFonts w:ascii="Times New Roman" w:hAnsi="Times New Roman" w:cs="Times New Roman"/>
          <w:sz w:val="24"/>
          <w:szCs w:val="24"/>
        </w:rPr>
      </w:pPr>
    </w:p>
    <w:p w14:paraId="2FAE1D33"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Adeola, A., &amp; Evans, O. (2018). Public debt, economic growth, and institutional quality in Africa: A panel analysis. Journal of Economic Studies, 45(5), 878–897.</w:t>
      </w:r>
    </w:p>
    <w:p w14:paraId="45A2FE26" w14:textId="77777777" w:rsidR="00920035" w:rsidRDefault="00920035">
      <w:pPr>
        <w:jc w:val="both"/>
        <w:rPr>
          <w:rFonts w:ascii="Times New Roman" w:hAnsi="Times New Roman" w:cs="Times New Roman"/>
          <w:sz w:val="24"/>
          <w:szCs w:val="24"/>
        </w:rPr>
      </w:pPr>
    </w:p>
    <w:p w14:paraId="18FCE2BB"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Ajayi, O. T., &amp; Adewusi, D. G. (2020). Impact of public debt on economic growth in Nigeria. International Journal of Economics and Financial Management, 5(3), 45–56.</w:t>
      </w:r>
    </w:p>
    <w:p w14:paraId="3892DB21" w14:textId="77777777" w:rsidR="00920035" w:rsidRDefault="00920035">
      <w:pPr>
        <w:jc w:val="both"/>
        <w:rPr>
          <w:rFonts w:ascii="Times New Roman" w:hAnsi="Times New Roman" w:cs="Times New Roman"/>
          <w:sz w:val="24"/>
          <w:szCs w:val="24"/>
        </w:rPr>
      </w:pPr>
    </w:p>
    <w:p w14:paraId="74ED477E"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Alagba, G., &amp; Eferakeya, I. (2019). The impact of domestic and external debt on Nigeria’s economic growth. Asian Journal of Economics and Empirical Research, 6(2), 67–74.</w:t>
      </w:r>
    </w:p>
    <w:p w14:paraId="4DDCAA0E" w14:textId="77777777" w:rsidR="00920035" w:rsidRDefault="00920035">
      <w:pPr>
        <w:jc w:val="both"/>
        <w:rPr>
          <w:rFonts w:ascii="Times New Roman" w:hAnsi="Times New Roman" w:cs="Times New Roman"/>
          <w:sz w:val="24"/>
          <w:szCs w:val="24"/>
        </w:rPr>
      </w:pPr>
    </w:p>
    <w:p w14:paraId="2574A98A"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Akabueze, B. (2018). Nigeria’s public debt management and fiscal sustainability. Budget Office of the Federation.</w:t>
      </w:r>
    </w:p>
    <w:p w14:paraId="0798CD6E" w14:textId="77777777" w:rsidR="00920035" w:rsidRDefault="00920035">
      <w:pPr>
        <w:jc w:val="both"/>
        <w:rPr>
          <w:rFonts w:ascii="Times New Roman" w:hAnsi="Times New Roman" w:cs="Times New Roman"/>
          <w:sz w:val="24"/>
          <w:szCs w:val="24"/>
        </w:rPr>
      </w:pPr>
    </w:p>
    <w:p w14:paraId="0C0DB494"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Central Bank of Nigeria. (2021). Annual statistical bulletin 2020. Author.</w:t>
      </w:r>
    </w:p>
    <w:p w14:paraId="04D54D6A" w14:textId="77777777" w:rsidR="00920035" w:rsidRDefault="00920035">
      <w:pPr>
        <w:jc w:val="both"/>
        <w:rPr>
          <w:rFonts w:ascii="Times New Roman" w:hAnsi="Times New Roman" w:cs="Times New Roman"/>
          <w:sz w:val="24"/>
          <w:szCs w:val="24"/>
        </w:rPr>
      </w:pPr>
    </w:p>
    <w:p w14:paraId="06077F1A"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Central Bank of Nigeria. (2022). Annual economic report 2021. Author.</w:t>
      </w:r>
    </w:p>
    <w:p w14:paraId="68A3C6A2" w14:textId="77777777" w:rsidR="00920035" w:rsidRDefault="00920035">
      <w:pPr>
        <w:jc w:val="both"/>
        <w:rPr>
          <w:rFonts w:ascii="Times New Roman" w:hAnsi="Times New Roman" w:cs="Times New Roman"/>
          <w:sz w:val="24"/>
          <w:szCs w:val="24"/>
        </w:rPr>
      </w:pPr>
    </w:p>
    <w:p w14:paraId="6E082BE9"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Central Bank of Nigeria. (2023). Statistical bulletin: Public finance statistics 2023. Author.</w:t>
      </w:r>
    </w:p>
    <w:p w14:paraId="4A897B89" w14:textId="77777777" w:rsidR="00920035" w:rsidRDefault="00920035">
      <w:pPr>
        <w:jc w:val="both"/>
        <w:rPr>
          <w:rFonts w:ascii="Times New Roman" w:hAnsi="Times New Roman" w:cs="Times New Roman"/>
          <w:sz w:val="24"/>
          <w:szCs w:val="24"/>
        </w:rPr>
      </w:pPr>
    </w:p>
    <w:p w14:paraId="17551435" w14:textId="77777777" w:rsidR="00920035" w:rsidRPr="004C4378" w:rsidRDefault="002601FA" w:rsidP="004C4378">
      <w:pPr>
        <w:pStyle w:val="ListParagraph"/>
        <w:numPr>
          <w:ilvl w:val="0"/>
          <w:numId w:val="2"/>
        </w:numPr>
        <w:jc w:val="both"/>
        <w:rPr>
          <w:rFonts w:ascii="Times New Roman" w:hAnsi="Times New Roman"/>
          <w:sz w:val="24"/>
          <w:szCs w:val="24"/>
        </w:rPr>
      </w:pPr>
      <w:r w:rsidRPr="004C4378">
        <w:rPr>
          <w:rFonts w:ascii="Times New Roman" w:hAnsi="Times New Roman"/>
          <w:sz w:val="24"/>
          <w:szCs w:val="24"/>
        </w:rPr>
        <w:t xml:space="preserve">Central Bank of Nigeria. (2025). Data </w:t>
      </w:r>
      <w:r w:rsidRPr="004C4378">
        <w:rPr>
          <w:rFonts w:ascii="Times New Roman" w:hAnsi="Times New Roman"/>
          <w:sz w:val="24"/>
          <w:szCs w:val="24"/>
          <w:lang w:val="en-GB"/>
        </w:rPr>
        <w:t xml:space="preserve">&amp; </w:t>
      </w:r>
      <w:r w:rsidRPr="004C4378">
        <w:rPr>
          <w:rFonts w:ascii="Times New Roman" w:hAnsi="Times New Roman"/>
          <w:sz w:val="24"/>
          <w:szCs w:val="24"/>
        </w:rPr>
        <w:t xml:space="preserve">statistics. </w:t>
      </w:r>
      <w:hyperlink r:id="rId18" w:history="1">
        <w:r w:rsidRPr="004C4378">
          <w:rPr>
            <w:rStyle w:val="Hyperlink"/>
            <w:rFonts w:ascii="Times New Roman" w:hAnsi="Times New Roman"/>
            <w:sz w:val="24"/>
            <w:szCs w:val="24"/>
          </w:rPr>
          <w:t>https://www.cbn.gov.ng/rates/</w:t>
        </w:r>
      </w:hyperlink>
    </w:p>
    <w:p w14:paraId="35F4FC23" w14:textId="77777777" w:rsidR="00920035" w:rsidRPr="004C4378" w:rsidRDefault="002601FA" w:rsidP="004C4378">
      <w:pPr>
        <w:pStyle w:val="ListParagraph"/>
        <w:numPr>
          <w:ilvl w:val="0"/>
          <w:numId w:val="2"/>
        </w:numPr>
        <w:jc w:val="both"/>
        <w:rPr>
          <w:rFonts w:ascii="Times New Roman" w:hAnsi="Times New Roman"/>
          <w:sz w:val="24"/>
          <w:szCs w:val="24"/>
        </w:rPr>
      </w:pPr>
      <w:r w:rsidRPr="004C4378">
        <w:rPr>
          <w:rFonts w:ascii="Times New Roman" w:hAnsi="Times New Roman"/>
          <w:sz w:val="24"/>
          <w:szCs w:val="24"/>
        </w:rPr>
        <w:t xml:space="preserve">Debt Management Office. (2025). Nigeria’s total public debts. </w:t>
      </w:r>
      <w:hyperlink r:id="rId19" w:history="1">
        <w:r w:rsidRPr="004C4378">
          <w:rPr>
            <w:rStyle w:val="Hyperlink"/>
            <w:rFonts w:ascii="Times New Roman" w:hAnsi="Times New Roman"/>
            <w:sz w:val="24"/>
            <w:szCs w:val="24"/>
          </w:rPr>
          <w:t>https://www.dmo.gov.ng/debt-profile/total-public-debt</w:t>
        </w:r>
      </w:hyperlink>
    </w:p>
    <w:p w14:paraId="12799E1D" w14:textId="77777777" w:rsidR="00920035" w:rsidRDefault="00920035">
      <w:pPr>
        <w:jc w:val="both"/>
        <w:rPr>
          <w:rFonts w:ascii="Times New Roman" w:hAnsi="Times New Roman"/>
          <w:sz w:val="24"/>
          <w:szCs w:val="24"/>
        </w:rPr>
      </w:pPr>
    </w:p>
    <w:p w14:paraId="5EB37861"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Egbetunde, T. (2012). Public debt and economic growth in Nigeria: Evidence from Granger causality. Journal of Economics and Sustainable Development, 3(9), 1–9.</w:t>
      </w:r>
    </w:p>
    <w:p w14:paraId="261E03C5" w14:textId="77777777" w:rsidR="00920035" w:rsidRDefault="00920035">
      <w:pPr>
        <w:jc w:val="both"/>
        <w:rPr>
          <w:rFonts w:ascii="Times New Roman" w:hAnsi="Times New Roman" w:cs="Times New Roman"/>
          <w:sz w:val="24"/>
          <w:szCs w:val="24"/>
        </w:rPr>
      </w:pPr>
    </w:p>
    <w:p w14:paraId="688370EF"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lastRenderedPageBreak/>
        <w:t>Eke, C. I., &amp; Akujuobi, A. B. C. (2020). Public debt and economic growth in Nigeria. International Journal of Academic Research in Economics and Management Sciences, 9(2), 43–56.</w:t>
      </w:r>
    </w:p>
    <w:p w14:paraId="15906EE6" w14:textId="77777777" w:rsidR="00920035" w:rsidRDefault="00920035">
      <w:pPr>
        <w:jc w:val="both"/>
        <w:rPr>
          <w:rFonts w:ascii="Times New Roman" w:hAnsi="Times New Roman" w:cs="Times New Roman"/>
          <w:sz w:val="24"/>
          <w:szCs w:val="24"/>
        </w:rPr>
      </w:pPr>
    </w:p>
    <w:p w14:paraId="60FB1A83"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Eke, C. I., &amp; Akujuobi, A. B. C. (2021). Inflation, public debt, and economic growth in Nigeria. Journal of Economics and Finance, 12(1), 15–27.</w:t>
      </w:r>
    </w:p>
    <w:p w14:paraId="1C34ECD5" w14:textId="77777777" w:rsidR="00920035" w:rsidRDefault="00920035">
      <w:pPr>
        <w:jc w:val="both"/>
        <w:rPr>
          <w:rFonts w:ascii="Times New Roman" w:hAnsi="Times New Roman" w:cs="Times New Roman"/>
          <w:sz w:val="24"/>
          <w:szCs w:val="24"/>
        </w:rPr>
      </w:pPr>
    </w:p>
    <w:p w14:paraId="356E67AB"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Ejinkonye, R. C., Madubuike, K. O., Adiga, D. L., &amp; Mazeli, E. N. (2025). Effect of public debt on economic growth in Nigeria. International Journal of Economics and Financial</w:t>
      </w:r>
      <w:r w:rsidRPr="004C4378">
        <w:rPr>
          <w:rFonts w:ascii="Times New Roman" w:hAnsi="Times New Roman" w:cs="Times New Roman"/>
          <w:sz w:val="24"/>
          <w:szCs w:val="24"/>
          <w:lang w:val="en-GB"/>
        </w:rPr>
        <w:t xml:space="preserve"> </w:t>
      </w:r>
      <w:r w:rsidRPr="004C4378">
        <w:rPr>
          <w:rFonts w:ascii="Times New Roman" w:hAnsi="Times New Roman" w:cs="Times New Roman"/>
          <w:sz w:val="24"/>
          <w:szCs w:val="24"/>
        </w:rPr>
        <w:t>Management, 10(1), 30–40. https://doi.org/10.56201/ijefm.v10.no1.2025.pg30.40</w:t>
      </w:r>
    </w:p>
    <w:p w14:paraId="678BDF1D" w14:textId="77777777" w:rsidR="00920035" w:rsidRDefault="00920035">
      <w:pPr>
        <w:jc w:val="both"/>
        <w:rPr>
          <w:rFonts w:ascii="Times New Roman" w:hAnsi="Times New Roman" w:cs="Times New Roman"/>
          <w:sz w:val="24"/>
          <w:szCs w:val="24"/>
        </w:rPr>
      </w:pPr>
    </w:p>
    <w:p w14:paraId="7BFB4D20"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Ekperiware, M. C., Okorie, N. O., &amp; Afolabi, T. A. (2022). Domestic and external debt and their impact on economic growth in Nigeria. Cogent Economics &amp; Finance, 10(1), 210–227.</w:t>
      </w:r>
    </w:p>
    <w:p w14:paraId="72CAAC8C" w14:textId="77777777" w:rsidR="00920035" w:rsidRDefault="00920035">
      <w:pPr>
        <w:jc w:val="both"/>
        <w:rPr>
          <w:rFonts w:ascii="Times New Roman" w:hAnsi="Times New Roman" w:cs="Times New Roman"/>
          <w:sz w:val="24"/>
          <w:szCs w:val="24"/>
        </w:rPr>
      </w:pPr>
    </w:p>
    <w:p w14:paraId="644A74A9"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Elom-Obed, O. F., Odo, S. I., &amp; Ojei, O. (2017). Public debt and economic growth in Nigeria. Journal of Economics and Sustainable Development, 8(20), 45–56.</w:t>
      </w:r>
    </w:p>
    <w:p w14:paraId="176A76B3" w14:textId="77777777" w:rsidR="00920035" w:rsidRDefault="00920035">
      <w:pPr>
        <w:jc w:val="both"/>
        <w:rPr>
          <w:rFonts w:ascii="Times New Roman" w:hAnsi="Times New Roman" w:cs="Times New Roman"/>
          <w:sz w:val="24"/>
          <w:szCs w:val="24"/>
        </w:rPr>
      </w:pPr>
    </w:p>
    <w:p w14:paraId="6A587BCE"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Gobna, J. E., Yakubu, M., &amp; Danladi, J. D. (2022). Debt sustainability and economic growth in Nigeria. African Development Review, 34(1), 88–101.</w:t>
      </w:r>
    </w:p>
    <w:p w14:paraId="5F927250" w14:textId="77777777" w:rsidR="00920035" w:rsidRDefault="00920035">
      <w:pPr>
        <w:jc w:val="both"/>
        <w:rPr>
          <w:rFonts w:ascii="Times New Roman" w:hAnsi="Times New Roman" w:cs="Times New Roman"/>
          <w:sz w:val="24"/>
          <w:szCs w:val="24"/>
        </w:rPr>
      </w:pPr>
    </w:p>
    <w:p w14:paraId="10385729"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Ighodaro, C. A. U. (2019). Public debt and debt sustainability indicators in Nigeria. Journal of Economics and Sustainable Development, 10(12), 34–45.</w:t>
      </w:r>
    </w:p>
    <w:p w14:paraId="5C74692E" w14:textId="77777777" w:rsidR="00920035" w:rsidRDefault="00920035">
      <w:pPr>
        <w:jc w:val="both"/>
        <w:rPr>
          <w:rFonts w:ascii="Times New Roman" w:hAnsi="Times New Roman" w:cs="Times New Roman"/>
          <w:sz w:val="24"/>
          <w:szCs w:val="24"/>
        </w:rPr>
      </w:pPr>
    </w:p>
    <w:p w14:paraId="78F3E6C5"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 xml:space="preserve">Ikwuo, A., Josiah, F. O., Abagha, J. U., Okoegwu, E., &amp; Nkwagu, L. C. (2024). Public debt and economic growth in Nigeria. IOSR Journal of Humanities and Social Science, 29(4), 50–57. </w:t>
      </w:r>
      <w:hyperlink r:id="rId20" w:history="1">
        <w:r w:rsidRPr="004C4378">
          <w:rPr>
            <w:rStyle w:val="Hyperlink"/>
            <w:rFonts w:ascii="Times New Roman" w:hAnsi="Times New Roman" w:cs="Times New Roman"/>
            <w:sz w:val="24"/>
            <w:szCs w:val="24"/>
          </w:rPr>
          <w:t>https://doi.org/10.9790/0837-2904025057</w:t>
        </w:r>
      </w:hyperlink>
      <w:r w:rsidRPr="004C4378">
        <w:rPr>
          <w:rFonts w:ascii="Times New Roman" w:hAnsi="Times New Roman" w:cs="Times New Roman"/>
          <w:sz w:val="24"/>
          <w:szCs w:val="24"/>
        </w:rPr>
        <w:t>.</w:t>
      </w:r>
    </w:p>
    <w:p w14:paraId="3FE90455" w14:textId="77777777" w:rsidR="00920035" w:rsidRDefault="00920035">
      <w:pPr>
        <w:jc w:val="both"/>
        <w:rPr>
          <w:rFonts w:ascii="Times New Roman" w:hAnsi="Times New Roman" w:cs="Times New Roman"/>
          <w:sz w:val="24"/>
          <w:szCs w:val="24"/>
        </w:rPr>
      </w:pPr>
    </w:p>
    <w:p w14:paraId="695818F4"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Ikwuo, O. U., Akpobasa, G., &amp; Ede, C. (2024). Public debt servicing and economic growth in Nigeria. Journal of Economics and Policy Studies, 11(2), 34–49.</w:t>
      </w:r>
    </w:p>
    <w:p w14:paraId="73C22DF1" w14:textId="77777777" w:rsidR="00920035" w:rsidRDefault="00920035">
      <w:pPr>
        <w:jc w:val="both"/>
        <w:rPr>
          <w:rFonts w:ascii="Times New Roman" w:hAnsi="Times New Roman" w:cs="Times New Roman"/>
          <w:sz w:val="24"/>
          <w:szCs w:val="24"/>
        </w:rPr>
      </w:pPr>
    </w:p>
    <w:p w14:paraId="7B696691"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Kenneth, O. E. (2022). Fiscal dependence and public debt in Nigeria. International Journal of Development Finance, 7(2), 102–116.</w:t>
      </w:r>
    </w:p>
    <w:p w14:paraId="1590B7CC" w14:textId="77777777" w:rsidR="00920035" w:rsidRDefault="00920035">
      <w:pPr>
        <w:jc w:val="both"/>
        <w:rPr>
          <w:rFonts w:ascii="Times New Roman" w:hAnsi="Times New Roman" w:cs="Times New Roman"/>
          <w:sz w:val="24"/>
          <w:szCs w:val="24"/>
        </w:rPr>
      </w:pPr>
    </w:p>
    <w:p w14:paraId="6BE7CEF8"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Keynes, J. M. (1936). The general theory of employment, interest and money. Macmillan.</w:t>
      </w:r>
    </w:p>
    <w:p w14:paraId="36FBF356" w14:textId="77777777" w:rsidR="00920035" w:rsidRDefault="00920035">
      <w:pPr>
        <w:jc w:val="both"/>
        <w:rPr>
          <w:rFonts w:ascii="Times New Roman" w:hAnsi="Times New Roman" w:cs="Times New Roman"/>
          <w:sz w:val="24"/>
          <w:szCs w:val="24"/>
        </w:rPr>
      </w:pPr>
    </w:p>
    <w:p w14:paraId="7AB2EBCD"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Kobayashi, K. (2015). Public debt overhang and economic growth: A theoretical perspective. Journal of Economic Dynamics and Control, 51, 250–264.</w:t>
      </w:r>
    </w:p>
    <w:p w14:paraId="3D0D1534" w14:textId="77777777" w:rsidR="00920035" w:rsidRDefault="00920035">
      <w:pPr>
        <w:jc w:val="both"/>
        <w:rPr>
          <w:rFonts w:ascii="Times New Roman" w:hAnsi="Times New Roman" w:cs="Times New Roman"/>
          <w:sz w:val="24"/>
          <w:szCs w:val="24"/>
        </w:rPr>
      </w:pPr>
    </w:p>
    <w:p w14:paraId="39F33DF0"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Krugman, P. (1988). Financing vs. forgiving a debt overhang. Journal of Development Economics, 29(3), 253–268.</w:t>
      </w:r>
    </w:p>
    <w:p w14:paraId="439BF60E" w14:textId="77777777" w:rsidR="00920035" w:rsidRDefault="00920035">
      <w:pPr>
        <w:jc w:val="both"/>
        <w:rPr>
          <w:rFonts w:ascii="Times New Roman" w:hAnsi="Times New Roman" w:cs="Times New Roman"/>
          <w:sz w:val="24"/>
          <w:szCs w:val="24"/>
        </w:rPr>
      </w:pPr>
    </w:p>
    <w:p w14:paraId="513B5711"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National Bureau of Statistics. (2024). Nigerian public debt report, Q4 2023. Author.</w:t>
      </w:r>
    </w:p>
    <w:p w14:paraId="6C881B2A" w14:textId="77777777" w:rsidR="00920035" w:rsidRDefault="00920035">
      <w:pPr>
        <w:jc w:val="both"/>
        <w:rPr>
          <w:rFonts w:ascii="Times New Roman" w:hAnsi="Times New Roman" w:cs="Times New Roman"/>
          <w:sz w:val="24"/>
          <w:szCs w:val="24"/>
        </w:rPr>
      </w:pPr>
    </w:p>
    <w:p w14:paraId="3C86FAFE" w14:textId="77777777" w:rsidR="00920035" w:rsidRDefault="00920035">
      <w:pPr>
        <w:jc w:val="both"/>
        <w:rPr>
          <w:rFonts w:ascii="Times New Roman" w:hAnsi="Times New Roman" w:cs="Times New Roman"/>
          <w:sz w:val="24"/>
          <w:szCs w:val="24"/>
        </w:rPr>
      </w:pPr>
    </w:p>
    <w:p w14:paraId="2157A8EF" w14:textId="77777777" w:rsidR="00920035" w:rsidRPr="004C4378" w:rsidRDefault="002601FA" w:rsidP="004C4378">
      <w:pPr>
        <w:pStyle w:val="ListParagraph"/>
        <w:numPr>
          <w:ilvl w:val="0"/>
          <w:numId w:val="2"/>
        </w:numPr>
        <w:jc w:val="both"/>
        <w:rPr>
          <w:rFonts w:ascii="Times New Roman" w:hAnsi="Times New Roman"/>
          <w:sz w:val="24"/>
          <w:szCs w:val="24"/>
        </w:rPr>
      </w:pPr>
      <w:r w:rsidRPr="004C4378">
        <w:rPr>
          <w:rFonts w:ascii="Times New Roman" w:hAnsi="Times New Roman"/>
          <w:sz w:val="24"/>
          <w:szCs w:val="24"/>
        </w:rPr>
        <w:t>National Bureau of Statistics. (</w:t>
      </w:r>
      <w:r w:rsidRPr="004C4378">
        <w:rPr>
          <w:rFonts w:ascii="Times New Roman" w:hAnsi="Times New Roman"/>
          <w:sz w:val="24"/>
          <w:szCs w:val="24"/>
          <w:lang w:val="en-GB"/>
        </w:rPr>
        <w:t>2025</w:t>
      </w:r>
      <w:r w:rsidRPr="004C4378">
        <w:rPr>
          <w:rFonts w:ascii="Times New Roman" w:hAnsi="Times New Roman"/>
          <w:sz w:val="24"/>
          <w:szCs w:val="24"/>
        </w:rPr>
        <w:t xml:space="preserve">). Nigerian domestic and foreign debt. </w:t>
      </w:r>
      <w:hyperlink r:id="rId21" w:history="1">
        <w:r w:rsidRPr="004C4378">
          <w:rPr>
            <w:rStyle w:val="Hyperlink"/>
            <w:rFonts w:ascii="Times New Roman" w:hAnsi="Times New Roman"/>
            <w:sz w:val="24"/>
            <w:szCs w:val="24"/>
          </w:rPr>
          <w:t>https://microdata.nigerianstat.gov.ng/index.php/catalog/172</w:t>
        </w:r>
      </w:hyperlink>
    </w:p>
    <w:p w14:paraId="3AF89751" w14:textId="77777777" w:rsidR="00920035" w:rsidRDefault="00920035">
      <w:pPr>
        <w:jc w:val="both"/>
        <w:rPr>
          <w:rFonts w:ascii="Times New Roman" w:hAnsi="Times New Roman"/>
          <w:sz w:val="24"/>
          <w:szCs w:val="24"/>
        </w:rPr>
      </w:pPr>
    </w:p>
    <w:p w14:paraId="6DD1C4A2"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Nymphas, C., Adegboye, A., &amp; Yusuf, S. (2023). Fiscal sustainability and debt dynamics in African economies. Journal of Development Economics and Policy, 15(2), 44–63.</w:t>
      </w:r>
    </w:p>
    <w:p w14:paraId="23715C43" w14:textId="77777777" w:rsidR="00920035" w:rsidRDefault="00920035">
      <w:pPr>
        <w:jc w:val="both"/>
        <w:rPr>
          <w:rFonts w:ascii="Times New Roman" w:hAnsi="Times New Roman" w:cs="Times New Roman"/>
          <w:sz w:val="24"/>
          <w:szCs w:val="24"/>
        </w:rPr>
      </w:pPr>
    </w:p>
    <w:p w14:paraId="4EED2EE9"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Okorie, G. C., &amp; Cookey, A. E. (2020). The impact of public debt on Nigeria’s economic performance. IOSR Journal of Economics and Finance, 11(1), 22–31.</w:t>
      </w:r>
    </w:p>
    <w:p w14:paraId="7C2D7FCD" w14:textId="77777777" w:rsidR="00920035" w:rsidRDefault="00920035">
      <w:pPr>
        <w:jc w:val="both"/>
        <w:rPr>
          <w:rFonts w:ascii="Times New Roman" w:hAnsi="Times New Roman" w:cs="Times New Roman"/>
          <w:sz w:val="24"/>
          <w:szCs w:val="24"/>
        </w:rPr>
      </w:pPr>
    </w:p>
    <w:p w14:paraId="788CCF89"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Oladotun, O. M., &amp; Olanipekun, D. B. (2024). Public debt, consumption, and investment dynamics in Nigeria. Journal of African Macroeconomic Studies, 6(1), 1–18.</w:t>
      </w:r>
    </w:p>
    <w:p w14:paraId="4D02A28B" w14:textId="77777777" w:rsidR="00920035" w:rsidRDefault="00920035">
      <w:pPr>
        <w:jc w:val="both"/>
        <w:rPr>
          <w:rFonts w:ascii="Times New Roman" w:hAnsi="Times New Roman" w:cs="Times New Roman"/>
          <w:sz w:val="24"/>
          <w:szCs w:val="24"/>
        </w:rPr>
      </w:pPr>
    </w:p>
    <w:p w14:paraId="79229E5C"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Oniha, P. (2022). Nigeria’s public debt management strategy and recent developments. Debt Management Office.</w:t>
      </w:r>
    </w:p>
    <w:p w14:paraId="402236E4" w14:textId="77777777" w:rsidR="00920035" w:rsidRDefault="00920035">
      <w:pPr>
        <w:jc w:val="both"/>
        <w:rPr>
          <w:rFonts w:ascii="Times New Roman" w:hAnsi="Times New Roman" w:cs="Times New Roman"/>
          <w:sz w:val="24"/>
          <w:szCs w:val="24"/>
        </w:rPr>
      </w:pPr>
    </w:p>
    <w:p w14:paraId="7BA0B240"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Pesaran, M. H., &amp; Shin, Y. (1999). An autoregressive distributed-lag modelling approach to cointegration analysis. Econometrics and Economic Theory in the 20th Century, 371–413.</w:t>
      </w:r>
    </w:p>
    <w:p w14:paraId="5EE330E4" w14:textId="77777777" w:rsidR="00920035" w:rsidRDefault="00920035">
      <w:pPr>
        <w:jc w:val="both"/>
        <w:rPr>
          <w:rFonts w:ascii="Times New Roman" w:hAnsi="Times New Roman" w:cs="Times New Roman"/>
          <w:sz w:val="24"/>
          <w:szCs w:val="24"/>
        </w:rPr>
      </w:pPr>
    </w:p>
    <w:p w14:paraId="4CD78D8B"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Pesaran, M. H., Shin, Y., &amp; Smith, R. J. (2001). Bounds testing approaches to the analysis of level relationships. Journal of Applied Econometrics, 16(3), 289–326.</w:t>
      </w:r>
    </w:p>
    <w:p w14:paraId="045DEADC" w14:textId="77777777" w:rsidR="00920035" w:rsidRDefault="00920035">
      <w:pPr>
        <w:jc w:val="both"/>
        <w:rPr>
          <w:rFonts w:ascii="Times New Roman" w:hAnsi="Times New Roman" w:cs="Times New Roman"/>
          <w:sz w:val="24"/>
          <w:szCs w:val="24"/>
        </w:rPr>
      </w:pPr>
    </w:p>
    <w:p w14:paraId="2207B9D6"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Sachs, J. D. (1989). The debt overhang of developing countries. In G. Calvo et al. (Eds.), Debt, stabilization and development (pp. 80–102). Basil Blackwell.</w:t>
      </w:r>
    </w:p>
    <w:p w14:paraId="1D711E43" w14:textId="77777777" w:rsidR="00920035" w:rsidRDefault="00920035">
      <w:pPr>
        <w:jc w:val="both"/>
        <w:rPr>
          <w:rFonts w:ascii="Times New Roman" w:hAnsi="Times New Roman" w:cs="Times New Roman"/>
          <w:sz w:val="24"/>
          <w:szCs w:val="24"/>
        </w:rPr>
      </w:pPr>
    </w:p>
    <w:p w14:paraId="17A2A9D0"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Sani, U., &amp; Nwite, B. O. (2021). Government expenditure, debt servicing, and fiscal sustainability in Nigeria. African Journal of Economic Policy, 28(2), 67–84.</w:t>
      </w:r>
    </w:p>
    <w:p w14:paraId="56595040" w14:textId="77777777" w:rsidR="00920035" w:rsidRDefault="00920035">
      <w:pPr>
        <w:jc w:val="both"/>
        <w:rPr>
          <w:rFonts w:ascii="Times New Roman" w:hAnsi="Times New Roman" w:cs="Times New Roman"/>
          <w:sz w:val="24"/>
          <w:szCs w:val="24"/>
        </w:rPr>
      </w:pPr>
    </w:p>
    <w:p w14:paraId="3B68903A"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Solow, R. M. (1956). A contribution to the theory of economic growth. Quarterly Journal of Economics, 70(1), 65–94.</w:t>
      </w:r>
    </w:p>
    <w:p w14:paraId="3571C6E8" w14:textId="77777777" w:rsidR="00920035" w:rsidRDefault="00920035">
      <w:pPr>
        <w:jc w:val="both"/>
        <w:rPr>
          <w:rFonts w:ascii="Times New Roman" w:hAnsi="Times New Roman" w:cs="Times New Roman"/>
          <w:sz w:val="24"/>
          <w:szCs w:val="24"/>
        </w:rPr>
      </w:pPr>
    </w:p>
    <w:p w14:paraId="68E870D8"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Veronica, B. E. (2021). Impact of public debt on economic growth in Nigeria (1990–2019). Advances in Economics and Business, 9(1), 1–10. https://doi.org/10.13189/aeb.2021.090101</w:t>
      </w:r>
    </w:p>
    <w:p w14:paraId="383E0202" w14:textId="77777777" w:rsidR="00920035" w:rsidRDefault="00920035">
      <w:pPr>
        <w:jc w:val="both"/>
        <w:rPr>
          <w:rFonts w:ascii="Times New Roman" w:hAnsi="Times New Roman" w:cs="Times New Roman"/>
          <w:sz w:val="24"/>
          <w:szCs w:val="24"/>
        </w:rPr>
      </w:pPr>
    </w:p>
    <w:p w14:paraId="3DDFE403"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World Bank. (2020). Nigeria economic update: Rising to the challenge. World Bank Group.</w:t>
      </w:r>
    </w:p>
    <w:p w14:paraId="513B2666" w14:textId="77777777" w:rsidR="00920035" w:rsidRDefault="00920035">
      <w:pPr>
        <w:jc w:val="both"/>
        <w:rPr>
          <w:rFonts w:ascii="Times New Roman" w:hAnsi="Times New Roman" w:cs="Times New Roman"/>
          <w:sz w:val="24"/>
          <w:szCs w:val="24"/>
        </w:rPr>
      </w:pPr>
    </w:p>
    <w:p w14:paraId="653CF2B1" w14:textId="77777777" w:rsidR="00920035" w:rsidRPr="004C4378" w:rsidRDefault="002601FA"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rPr>
        <w:t>World Bank. (2022). Nigeria public finance review: Fiscal adjustment for better and sustained results. World Bank Group.</w:t>
      </w:r>
    </w:p>
    <w:p w14:paraId="6E374FC2" w14:textId="77777777" w:rsidR="00920035" w:rsidRDefault="00920035">
      <w:pPr>
        <w:jc w:val="both"/>
        <w:rPr>
          <w:rFonts w:ascii="Times New Roman" w:hAnsi="Times New Roman" w:cs="Times New Roman"/>
          <w:sz w:val="24"/>
          <w:szCs w:val="24"/>
        </w:rPr>
      </w:pPr>
    </w:p>
    <w:p w14:paraId="5AFBAF0D" w14:textId="77777777" w:rsidR="00920035" w:rsidRDefault="002601FA" w:rsidP="004C4378">
      <w:pPr>
        <w:pStyle w:val="NormalWeb"/>
        <w:numPr>
          <w:ilvl w:val="0"/>
          <w:numId w:val="2"/>
        </w:numPr>
        <w:jc w:val="both"/>
        <w:rPr>
          <w:rFonts w:cs="Times New Roman"/>
        </w:rPr>
      </w:pPr>
      <w:r>
        <w:rPr>
          <w:rFonts w:cs="Times New Roman"/>
        </w:rPr>
        <w:lastRenderedPageBreak/>
        <w:t>World Bank. (202</w:t>
      </w:r>
      <w:r>
        <w:rPr>
          <w:rFonts w:cs="Times New Roman"/>
          <w:lang w:val="en-GB"/>
        </w:rPr>
        <w:t>5</w:t>
      </w:r>
      <w:r>
        <w:rPr>
          <w:rFonts w:cs="Times New Roman"/>
        </w:rPr>
        <w:t xml:space="preserve">). </w:t>
      </w:r>
      <w:r>
        <w:rPr>
          <w:rStyle w:val="Emphasis"/>
          <w:rFonts w:cs="Times New Roman"/>
        </w:rPr>
        <w:t>World development indicators (WDI).</w:t>
      </w:r>
      <w:r>
        <w:rPr>
          <w:rFonts w:cs="Times New Roman"/>
        </w:rPr>
        <w:t xml:space="preserve"> Retrieved from </w:t>
      </w:r>
      <w:hyperlink r:id="rId22" w:tgtFrame="_new" w:history="1">
        <w:r>
          <w:rPr>
            <w:rStyle w:val="Hyperlink"/>
            <w:rFonts w:cs="Times New Roman"/>
          </w:rPr>
          <w:t>https://databank.worldbank.org/source/world-development-indicators</w:t>
        </w:r>
      </w:hyperlink>
    </w:p>
    <w:p w14:paraId="77A3C97E" w14:textId="36EEA5C2"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Du, W., &amp; Schreger, J. (2022). Sovereign risk, currency risk, and corporate balance sheets. The Review of Financial Studies, 35(10), 4587–4629. </w:t>
      </w:r>
      <w:hyperlink r:id="rId23" w:history="1">
        <w:r w:rsidRPr="004C4378">
          <w:rPr>
            <w:rStyle w:val="Hyperlink"/>
            <w:rFonts w:ascii="Times New Roman" w:hAnsi="Times New Roman" w:cs="Times New Roman"/>
            <w:sz w:val="24"/>
            <w:szCs w:val="24"/>
            <w:highlight w:val="cyan"/>
          </w:rPr>
          <w:t>https://doi.org/10.1093/rfs/hhac001</w:t>
        </w:r>
      </w:hyperlink>
      <w:r w:rsidRPr="004C4378">
        <w:rPr>
          <w:rFonts w:ascii="Times New Roman" w:hAnsi="Times New Roman" w:cs="Times New Roman"/>
          <w:sz w:val="24"/>
          <w:szCs w:val="24"/>
          <w:highlight w:val="cyan"/>
        </w:rPr>
        <w:t xml:space="preserve"> </w:t>
      </w:r>
    </w:p>
    <w:p w14:paraId="6175D24B" w14:textId="77777777" w:rsidR="00A43F27" w:rsidRPr="00A43F27" w:rsidRDefault="00A43F27" w:rsidP="004C4378">
      <w:pPr>
        <w:jc w:val="both"/>
        <w:rPr>
          <w:rFonts w:ascii="Times New Roman" w:hAnsi="Times New Roman" w:cs="Times New Roman"/>
          <w:sz w:val="24"/>
          <w:szCs w:val="24"/>
          <w:highlight w:val="cyan"/>
        </w:rPr>
      </w:pPr>
    </w:p>
    <w:p w14:paraId="00117A44" w14:textId="1A195012"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Eijffinger, S. C. W., &amp; Karataş, B. (2023). Three sisters: The interlinkage between sovereign debt, currency, and banking crises. Journal of International Money and Finance, 131, 102798. </w:t>
      </w:r>
      <w:hyperlink r:id="rId24" w:history="1">
        <w:r w:rsidRPr="004C4378">
          <w:rPr>
            <w:rStyle w:val="Hyperlink"/>
            <w:rFonts w:ascii="Times New Roman" w:hAnsi="Times New Roman" w:cs="Times New Roman"/>
            <w:sz w:val="24"/>
            <w:szCs w:val="24"/>
            <w:highlight w:val="cyan"/>
          </w:rPr>
          <w:t>https://doi.org/10.1016/j.jimonfin.2022.102798</w:t>
        </w:r>
      </w:hyperlink>
      <w:r w:rsidRPr="004C4378">
        <w:rPr>
          <w:rFonts w:ascii="Times New Roman" w:hAnsi="Times New Roman" w:cs="Times New Roman"/>
          <w:sz w:val="24"/>
          <w:szCs w:val="24"/>
          <w:highlight w:val="cyan"/>
        </w:rPr>
        <w:t xml:space="preserve"> </w:t>
      </w:r>
    </w:p>
    <w:p w14:paraId="398C2F36" w14:textId="77777777" w:rsidR="00A43F27" w:rsidRPr="00A43F27" w:rsidRDefault="00A43F27" w:rsidP="004C4378">
      <w:pPr>
        <w:jc w:val="both"/>
        <w:rPr>
          <w:rFonts w:ascii="Times New Roman" w:hAnsi="Times New Roman" w:cs="Times New Roman"/>
          <w:sz w:val="24"/>
          <w:szCs w:val="24"/>
          <w:highlight w:val="cyan"/>
        </w:rPr>
      </w:pPr>
    </w:p>
    <w:p w14:paraId="51FC0069" w14:textId="2041C657"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Fujii, E. (2024). Currency concentration in sovereign debt, exchange rate cyclicality, and volatility in consumption. Review of World Economics, 160, 169–192. </w:t>
      </w:r>
      <w:hyperlink r:id="rId25" w:history="1">
        <w:r w:rsidRPr="004C4378">
          <w:rPr>
            <w:rStyle w:val="Hyperlink"/>
            <w:rFonts w:ascii="Times New Roman" w:hAnsi="Times New Roman" w:cs="Times New Roman"/>
            <w:sz w:val="24"/>
            <w:szCs w:val="24"/>
            <w:highlight w:val="cyan"/>
          </w:rPr>
          <w:t>https://doi.org/10.1007/s10290-023-00493-6</w:t>
        </w:r>
      </w:hyperlink>
      <w:r w:rsidRPr="004C4378">
        <w:rPr>
          <w:rFonts w:ascii="Times New Roman" w:hAnsi="Times New Roman" w:cs="Times New Roman"/>
          <w:sz w:val="24"/>
          <w:szCs w:val="24"/>
          <w:highlight w:val="cyan"/>
        </w:rPr>
        <w:t xml:space="preserve"> </w:t>
      </w:r>
    </w:p>
    <w:p w14:paraId="4BA8A2CC" w14:textId="77777777" w:rsidR="00A43F27" w:rsidRPr="00A43F27" w:rsidRDefault="00A43F27" w:rsidP="004C4378">
      <w:pPr>
        <w:jc w:val="both"/>
        <w:rPr>
          <w:rFonts w:ascii="Times New Roman" w:hAnsi="Times New Roman" w:cs="Times New Roman"/>
          <w:sz w:val="24"/>
          <w:szCs w:val="24"/>
          <w:highlight w:val="cyan"/>
        </w:rPr>
      </w:pPr>
    </w:p>
    <w:p w14:paraId="1F7A401B" w14:textId="067B3AAE"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Gómez-Puig, M., Sosvilla-Rivero, S., &amp; Martínez-Zarzoso, I. (2022). On the heterogeneous link between public debt and economic growth. Journal of International Financial Markets, Institutions and Money, 77, 101528. </w:t>
      </w:r>
      <w:hyperlink r:id="rId26" w:history="1">
        <w:r w:rsidRPr="004C4378">
          <w:rPr>
            <w:rStyle w:val="Hyperlink"/>
            <w:rFonts w:ascii="Times New Roman" w:hAnsi="Times New Roman" w:cs="Times New Roman"/>
            <w:sz w:val="24"/>
            <w:szCs w:val="24"/>
            <w:highlight w:val="cyan"/>
          </w:rPr>
          <w:t>https://doi.org/10.1016/j.intfin.2022.101528</w:t>
        </w:r>
      </w:hyperlink>
      <w:r w:rsidRPr="004C4378">
        <w:rPr>
          <w:rFonts w:ascii="Times New Roman" w:hAnsi="Times New Roman" w:cs="Times New Roman"/>
          <w:sz w:val="24"/>
          <w:szCs w:val="24"/>
          <w:highlight w:val="cyan"/>
        </w:rPr>
        <w:t xml:space="preserve"> </w:t>
      </w:r>
    </w:p>
    <w:p w14:paraId="2FFA170A" w14:textId="77777777" w:rsidR="00A43F27" w:rsidRPr="00A43F27" w:rsidRDefault="00A43F27" w:rsidP="004C4378">
      <w:pPr>
        <w:jc w:val="both"/>
        <w:rPr>
          <w:rFonts w:ascii="Times New Roman" w:hAnsi="Times New Roman" w:cs="Times New Roman"/>
          <w:sz w:val="24"/>
          <w:szCs w:val="24"/>
          <w:highlight w:val="cyan"/>
        </w:rPr>
      </w:pPr>
    </w:p>
    <w:p w14:paraId="28529C32" w14:textId="00D74105"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Keyser, A., &amp; Paczos, W. (2023). Sovereign risk, debt composition and exchange rate regimes. Finance Research Letters, 58(Part B), 104396. </w:t>
      </w:r>
      <w:hyperlink r:id="rId27" w:history="1">
        <w:r w:rsidRPr="004C4378">
          <w:rPr>
            <w:rStyle w:val="Hyperlink"/>
            <w:rFonts w:ascii="Times New Roman" w:hAnsi="Times New Roman" w:cs="Times New Roman"/>
            <w:sz w:val="24"/>
            <w:szCs w:val="24"/>
            <w:highlight w:val="cyan"/>
          </w:rPr>
          <w:t>https://doi.org/10.1016/j.frl.2023.104396</w:t>
        </w:r>
      </w:hyperlink>
      <w:r w:rsidRPr="004C4378">
        <w:rPr>
          <w:rFonts w:ascii="Times New Roman" w:hAnsi="Times New Roman" w:cs="Times New Roman"/>
          <w:sz w:val="24"/>
          <w:szCs w:val="24"/>
          <w:highlight w:val="cyan"/>
        </w:rPr>
        <w:t xml:space="preserve"> </w:t>
      </w:r>
    </w:p>
    <w:p w14:paraId="043F0189" w14:textId="77777777" w:rsidR="00A43F27" w:rsidRPr="00A43F27" w:rsidRDefault="00A43F27" w:rsidP="004C4378">
      <w:pPr>
        <w:jc w:val="both"/>
        <w:rPr>
          <w:rFonts w:ascii="Times New Roman" w:hAnsi="Times New Roman" w:cs="Times New Roman"/>
          <w:sz w:val="24"/>
          <w:szCs w:val="24"/>
          <w:highlight w:val="cyan"/>
        </w:rPr>
      </w:pPr>
    </w:p>
    <w:p w14:paraId="04775D05" w14:textId="5F882CC8" w:rsidR="00920035"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Ottonello, P., &amp; Perez, D. J. (2019). The currency composition of sovereign debt. American Economic Journal: Macroeconomics, 11(3), 174–208. </w:t>
      </w:r>
      <w:hyperlink r:id="rId28" w:history="1">
        <w:r w:rsidRPr="004C4378">
          <w:rPr>
            <w:rStyle w:val="Hyperlink"/>
            <w:rFonts w:ascii="Times New Roman" w:hAnsi="Times New Roman" w:cs="Times New Roman"/>
            <w:sz w:val="24"/>
            <w:szCs w:val="24"/>
            <w:highlight w:val="cyan"/>
          </w:rPr>
          <w:t>https://doi.org/10.1257/mac.20180019</w:t>
        </w:r>
      </w:hyperlink>
    </w:p>
    <w:p w14:paraId="51D289A2" w14:textId="77777777" w:rsidR="00C92F9B" w:rsidRPr="00A43F27" w:rsidRDefault="00C92F9B" w:rsidP="004C4378">
      <w:pPr>
        <w:jc w:val="both"/>
        <w:rPr>
          <w:rFonts w:ascii="Times New Roman" w:hAnsi="Times New Roman" w:cs="Times New Roman"/>
          <w:sz w:val="24"/>
          <w:szCs w:val="24"/>
          <w:highlight w:val="cyan"/>
        </w:rPr>
      </w:pPr>
    </w:p>
    <w:p w14:paraId="089F3A47" w14:textId="290A710B"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Abbas, S. M. A., &amp; Christensen, J. E. (2010). The role of domestic debt markets in economic growth: An empirical investigation for low-income countries and emerging markets. IMF Economic Review, 57, 209–255. </w:t>
      </w:r>
      <w:hyperlink r:id="rId29" w:history="1">
        <w:r w:rsidRPr="004C4378">
          <w:rPr>
            <w:rStyle w:val="Hyperlink"/>
            <w:rFonts w:ascii="Times New Roman" w:hAnsi="Times New Roman" w:cs="Times New Roman"/>
            <w:sz w:val="24"/>
            <w:szCs w:val="24"/>
            <w:highlight w:val="cyan"/>
          </w:rPr>
          <w:t>https://doi.org/10.1057/imfsp.2009.24</w:t>
        </w:r>
      </w:hyperlink>
      <w:r w:rsidRPr="004C4378">
        <w:rPr>
          <w:rFonts w:ascii="Times New Roman" w:hAnsi="Times New Roman" w:cs="Times New Roman"/>
          <w:sz w:val="24"/>
          <w:szCs w:val="24"/>
          <w:highlight w:val="cyan"/>
        </w:rPr>
        <w:t xml:space="preserve"> </w:t>
      </w:r>
    </w:p>
    <w:p w14:paraId="5F8B642C" w14:textId="77777777" w:rsidR="00A43F27" w:rsidRPr="00A43F27" w:rsidRDefault="00A43F27" w:rsidP="004C4378">
      <w:pPr>
        <w:jc w:val="both"/>
        <w:rPr>
          <w:rFonts w:ascii="Times New Roman" w:hAnsi="Times New Roman" w:cs="Times New Roman"/>
          <w:sz w:val="24"/>
          <w:szCs w:val="24"/>
          <w:highlight w:val="cyan"/>
        </w:rPr>
      </w:pPr>
    </w:p>
    <w:p w14:paraId="018ED689" w14:textId="5693D0FD"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Checherita-Westphal, C., &amp; Rother, P. (2012). The impact of high government debt on economic growth and its channels: An empirical investigation for the euro area. European Economic Review, 56(7), 1392–1405. </w:t>
      </w:r>
      <w:hyperlink r:id="rId30" w:history="1">
        <w:r w:rsidRPr="004C4378">
          <w:rPr>
            <w:rStyle w:val="Hyperlink"/>
            <w:rFonts w:ascii="Times New Roman" w:hAnsi="Times New Roman" w:cs="Times New Roman"/>
            <w:sz w:val="24"/>
            <w:szCs w:val="24"/>
            <w:highlight w:val="cyan"/>
          </w:rPr>
          <w:t>https://doi.org/10.1016/j.euroecorev.2012.06.007</w:t>
        </w:r>
      </w:hyperlink>
      <w:r w:rsidRPr="004C4378">
        <w:rPr>
          <w:rFonts w:ascii="Times New Roman" w:hAnsi="Times New Roman" w:cs="Times New Roman"/>
          <w:sz w:val="24"/>
          <w:szCs w:val="24"/>
          <w:highlight w:val="cyan"/>
        </w:rPr>
        <w:t xml:space="preserve"> </w:t>
      </w:r>
    </w:p>
    <w:p w14:paraId="5FC9047C" w14:textId="77777777" w:rsidR="00A43F27" w:rsidRPr="00A43F27" w:rsidRDefault="00A43F27" w:rsidP="004C4378">
      <w:pPr>
        <w:jc w:val="both"/>
        <w:rPr>
          <w:rFonts w:ascii="Times New Roman" w:hAnsi="Times New Roman" w:cs="Times New Roman"/>
          <w:sz w:val="24"/>
          <w:szCs w:val="24"/>
          <w:highlight w:val="cyan"/>
        </w:rPr>
      </w:pPr>
    </w:p>
    <w:p w14:paraId="3DBDE429" w14:textId="6B0CD169"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Kraay, A., &amp; Nehru, V. (2006). When is external debt sustainable? The World Bank Economic Review, 20(3), 341–365. </w:t>
      </w:r>
      <w:hyperlink r:id="rId31" w:history="1">
        <w:r w:rsidRPr="004C4378">
          <w:rPr>
            <w:rStyle w:val="Hyperlink"/>
            <w:rFonts w:ascii="Times New Roman" w:hAnsi="Times New Roman" w:cs="Times New Roman"/>
            <w:sz w:val="24"/>
            <w:szCs w:val="24"/>
            <w:highlight w:val="cyan"/>
          </w:rPr>
          <w:t>https://doi.org/10.1093/wber/lhl006</w:t>
        </w:r>
      </w:hyperlink>
      <w:r w:rsidRPr="004C4378">
        <w:rPr>
          <w:rFonts w:ascii="Times New Roman" w:hAnsi="Times New Roman" w:cs="Times New Roman"/>
          <w:sz w:val="24"/>
          <w:szCs w:val="24"/>
          <w:highlight w:val="cyan"/>
        </w:rPr>
        <w:t xml:space="preserve"> </w:t>
      </w:r>
    </w:p>
    <w:p w14:paraId="38E6D967" w14:textId="77777777" w:rsidR="00A43F27" w:rsidRPr="00A43F27" w:rsidRDefault="00A43F27" w:rsidP="004C4378">
      <w:pPr>
        <w:jc w:val="both"/>
        <w:rPr>
          <w:rFonts w:ascii="Times New Roman" w:hAnsi="Times New Roman" w:cs="Times New Roman"/>
          <w:sz w:val="24"/>
          <w:szCs w:val="24"/>
          <w:highlight w:val="cyan"/>
        </w:rPr>
      </w:pPr>
    </w:p>
    <w:p w14:paraId="0B2F1C76" w14:textId="25FECAE8" w:rsidR="00A43F27" w:rsidRPr="004C4378" w:rsidRDefault="00A43F27" w:rsidP="004C4378">
      <w:pPr>
        <w:pStyle w:val="ListParagraph"/>
        <w:numPr>
          <w:ilvl w:val="0"/>
          <w:numId w:val="2"/>
        </w:numPr>
        <w:jc w:val="both"/>
        <w:rPr>
          <w:rFonts w:ascii="Times New Roman" w:hAnsi="Times New Roman" w:cs="Times New Roman"/>
          <w:sz w:val="24"/>
          <w:szCs w:val="24"/>
          <w:highlight w:val="cyan"/>
        </w:rPr>
      </w:pPr>
      <w:r w:rsidRPr="004C4378">
        <w:rPr>
          <w:rFonts w:ascii="Times New Roman" w:hAnsi="Times New Roman" w:cs="Times New Roman"/>
          <w:sz w:val="24"/>
          <w:szCs w:val="24"/>
          <w:highlight w:val="cyan"/>
        </w:rPr>
        <w:t xml:space="preserve">Krugman, P. (1988). Financing vs. forgiving a debt overhang. Journal of Development Economics, 29(3), 253–268. </w:t>
      </w:r>
      <w:hyperlink r:id="rId32" w:history="1">
        <w:r w:rsidRPr="004C4378">
          <w:rPr>
            <w:rStyle w:val="Hyperlink"/>
            <w:rFonts w:ascii="Times New Roman" w:hAnsi="Times New Roman" w:cs="Times New Roman"/>
            <w:sz w:val="24"/>
            <w:szCs w:val="24"/>
            <w:highlight w:val="cyan"/>
          </w:rPr>
          <w:t>https://doi.org/10.1016/0304-3878(88)90044-2</w:t>
        </w:r>
      </w:hyperlink>
      <w:r w:rsidRPr="004C4378">
        <w:rPr>
          <w:rFonts w:ascii="Times New Roman" w:hAnsi="Times New Roman" w:cs="Times New Roman"/>
          <w:sz w:val="24"/>
          <w:szCs w:val="24"/>
          <w:highlight w:val="cyan"/>
        </w:rPr>
        <w:t xml:space="preserve"> </w:t>
      </w:r>
    </w:p>
    <w:p w14:paraId="29639EC1" w14:textId="77777777" w:rsidR="00A43F27" w:rsidRPr="00A43F27" w:rsidRDefault="00A43F27" w:rsidP="004C4378">
      <w:pPr>
        <w:jc w:val="both"/>
        <w:rPr>
          <w:rFonts w:ascii="Times New Roman" w:hAnsi="Times New Roman" w:cs="Times New Roman"/>
          <w:sz w:val="24"/>
          <w:szCs w:val="24"/>
          <w:highlight w:val="cyan"/>
        </w:rPr>
      </w:pPr>
    </w:p>
    <w:p w14:paraId="1F32011C" w14:textId="77777777" w:rsidR="001F4E72" w:rsidRPr="004C4378" w:rsidRDefault="00A43F27"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highlight w:val="cyan"/>
        </w:rPr>
        <w:t xml:space="preserve">Panizza, U., &amp; Presbitero, A. F. (2014). Public debt and economic growth: </w:t>
      </w:r>
      <w:proofErr w:type="gramStart"/>
      <w:r w:rsidRPr="004C4378">
        <w:rPr>
          <w:rFonts w:ascii="Times New Roman" w:hAnsi="Times New Roman" w:cs="Times New Roman"/>
          <w:sz w:val="24"/>
          <w:szCs w:val="24"/>
          <w:highlight w:val="cyan"/>
        </w:rPr>
        <w:t>Is</w:t>
      </w:r>
      <w:proofErr w:type="gramEnd"/>
      <w:r w:rsidRPr="004C4378">
        <w:rPr>
          <w:rFonts w:ascii="Times New Roman" w:hAnsi="Times New Roman" w:cs="Times New Roman"/>
          <w:sz w:val="24"/>
          <w:szCs w:val="24"/>
          <w:highlight w:val="cyan"/>
        </w:rPr>
        <w:t xml:space="preserve"> there a causal effect? Journal of Macroeconomics, 41, 21–41. </w:t>
      </w:r>
      <w:hyperlink r:id="rId33" w:history="1">
        <w:r w:rsidRPr="004C4378">
          <w:rPr>
            <w:rStyle w:val="Hyperlink"/>
            <w:rFonts w:ascii="Times New Roman" w:hAnsi="Times New Roman" w:cs="Times New Roman"/>
            <w:sz w:val="24"/>
            <w:szCs w:val="24"/>
            <w:highlight w:val="cyan"/>
          </w:rPr>
          <w:t>https://doi.org/10.1016/j.jmacro.2014.03.009</w:t>
        </w:r>
      </w:hyperlink>
    </w:p>
    <w:p w14:paraId="525177DB" w14:textId="77777777" w:rsidR="00C92F9B" w:rsidRDefault="00C92F9B" w:rsidP="004C4378">
      <w:pPr>
        <w:jc w:val="both"/>
        <w:rPr>
          <w:rFonts w:ascii="Times New Roman" w:hAnsi="Times New Roman" w:cs="Times New Roman"/>
          <w:sz w:val="24"/>
          <w:szCs w:val="24"/>
        </w:rPr>
      </w:pPr>
    </w:p>
    <w:p w14:paraId="26960D30" w14:textId="2C097C59" w:rsidR="00A43F27" w:rsidRPr="004C4378" w:rsidRDefault="001F4E72" w:rsidP="004C4378">
      <w:pPr>
        <w:pStyle w:val="ListParagraph"/>
        <w:numPr>
          <w:ilvl w:val="0"/>
          <w:numId w:val="2"/>
        </w:numPr>
        <w:jc w:val="both"/>
        <w:rPr>
          <w:rFonts w:ascii="Times New Roman" w:hAnsi="Times New Roman" w:cs="Times New Roman"/>
          <w:sz w:val="24"/>
          <w:szCs w:val="24"/>
        </w:rPr>
      </w:pPr>
      <w:r w:rsidRPr="004C4378">
        <w:rPr>
          <w:rFonts w:ascii="Times New Roman" w:hAnsi="Times New Roman" w:cs="Times New Roman"/>
          <w:sz w:val="24"/>
          <w:szCs w:val="24"/>
          <w:highlight w:val="cyan"/>
        </w:rPr>
        <w:lastRenderedPageBreak/>
        <w:t xml:space="preserve">Ekong, C. N., Umoh, O. J., &amp; Akpan, O. M. (2025). Public debt and economic growth in Nigeria: Nonlinear dynamics and optimal threshold analysis. South Asian Journal of Social Studies and Economics, 22(7), 229–252. </w:t>
      </w:r>
      <w:hyperlink r:id="rId34" w:history="1">
        <w:r w:rsidRPr="004C4378">
          <w:rPr>
            <w:rStyle w:val="Hyperlink"/>
            <w:rFonts w:ascii="Times New Roman" w:hAnsi="Times New Roman" w:cs="Times New Roman"/>
            <w:sz w:val="24"/>
            <w:szCs w:val="24"/>
            <w:highlight w:val="cyan"/>
          </w:rPr>
          <w:t>https://doi.org/10.9734/sajsse/2025/v22i71075</w:t>
        </w:r>
      </w:hyperlink>
      <w:r w:rsidRPr="004C4378">
        <w:rPr>
          <w:rFonts w:ascii="Times New Roman" w:hAnsi="Times New Roman" w:cs="Times New Roman"/>
          <w:sz w:val="24"/>
          <w:szCs w:val="24"/>
        </w:rPr>
        <w:t xml:space="preserve"> </w:t>
      </w:r>
      <w:r w:rsidR="00A43F27" w:rsidRPr="004C4378">
        <w:rPr>
          <w:rFonts w:ascii="Times New Roman" w:hAnsi="Times New Roman" w:cs="Times New Roman"/>
          <w:sz w:val="24"/>
          <w:szCs w:val="24"/>
        </w:rPr>
        <w:t xml:space="preserve"> </w:t>
      </w:r>
    </w:p>
    <w:sectPr w:rsidR="00A43F27" w:rsidRPr="004C4378">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14C3" w14:textId="77777777" w:rsidR="00E85913" w:rsidRDefault="00E85913">
      <w:r>
        <w:separator/>
      </w:r>
    </w:p>
  </w:endnote>
  <w:endnote w:type="continuationSeparator" w:id="0">
    <w:p w14:paraId="6F3B4217" w14:textId="77777777" w:rsidR="00E85913" w:rsidRDefault="00E8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258A" w14:textId="77777777" w:rsidR="00920035" w:rsidRDefault="00920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3632" w14:textId="77777777" w:rsidR="00920035" w:rsidRDefault="00920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C907" w14:textId="77777777" w:rsidR="00920035" w:rsidRDefault="0092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79E9" w14:textId="77777777" w:rsidR="00E85913" w:rsidRDefault="00E85913">
      <w:r>
        <w:separator/>
      </w:r>
    </w:p>
  </w:footnote>
  <w:footnote w:type="continuationSeparator" w:id="0">
    <w:p w14:paraId="33ECFD46" w14:textId="77777777" w:rsidR="00E85913" w:rsidRDefault="00E8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27BC" w14:textId="77777777" w:rsidR="00920035" w:rsidRDefault="00E85913">
    <w:pPr>
      <w:pStyle w:val="Header"/>
    </w:pPr>
    <w:r>
      <w:pict w14:anchorId="37DA1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60954" o:spid="_x0000_s3075"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B2CD" w14:textId="77777777" w:rsidR="00920035" w:rsidRDefault="00E85913">
    <w:pPr>
      <w:pStyle w:val="Header"/>
    </w:pPr>
    <w:r>
      <w:pict w14:anchorId="4437A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60955" o:spid="_x0000_s3074"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DCD2" w14:textId="77777777" w:rsidR="00920035" w:rsidRDefault="00E85913">
    <w:pPr>
      <w:pStyle w:val="Header"/>
    </w:pPr>
    <w:r>
      <w:pict w14:anchorId="25D11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60953" o:spid="_x0000_s3073"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15E"/>
    <w:multiLevelType w:val="hybridMultilevel"/>
    <w:tmpl w:val="83FE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35421"/>
    <w:multiLevelType w:val="hybridMultilevel"/>
    <w:tmpl w:val="7182E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tLQwMDYytrQ0MLNU0lEKTi0uzszPAykwrgUA1Q9t0CwAAAA="/>
  </w:docVars>
  <w:rsids>
    <w:rsidRoot w:val="494D2C40"/>
    <w:rsid w:val="00004C93"/>
    <w:rsid w:val="000166DB"/>
    <w:rsid w:val="00017DF2"/>
    <w:rsid w:val="0004544A"/>
    <w:rsid w:val="00067DB3"/>
    <w:rsid w:val="000B15F9"/>
    <w:rsid w:val="0013278A"/>
    <w:rsid w:val="00134A55"/>
    <w:rsid w:val="001463FF"/>
    <w:rsid w:val="001A77DB"/>
    <w:rsid w:val="001C5C29"/>
    <w:rsid w:val="001F4E72"/>
    <w:rsid w:val="00202EC6"/>
    <w:rsid w:val="00222F17"/>
    <w:rsid w:val="002601FA"/>
    <w:rsid w:val="00265EDD"/>
    <w:rsid w:val="0029308D"/>
    <w:rsid w:val="002B2C97"/>
    <w:rsid w:val="002D59C9"/>
    <w:rsid w:val="00307A14"/>
    <w:rsid w:val="00330437"/>
    <w:rsid w:val="003730CC"/>
    <w:rsid w:val="003946B2"/>
    <w:rsid w:val="0040680E"/>
    <w:rsid w:val="0043319F"/>
    <w:rsid w:val="004627D4"/>
    <w:rsid w:val="004770DE"/>
    <w:rsid w:val="00492A6F"/>
    <w:rsid w:val="004A4738"/>
    <w:rsid w:val="004C4378"/>
    <w:rsid w:val="00546F61"/>
    <w:rsid w:val="0055345C"/>
    <w:rsid w:val="00574F6E"/>
    <w:rsid w:val="005E4E07"/>
    <w:rsid w:val="00610069"/>
    <w:rsid w:val="00624142"/>
    <w:rsid w:val="00642ABC"/>
    <w:rsid w:val="0064701F"/>
    <w:rsid w:val="006523DC"/>
    <w:rsid w:val="006C644F"/>
    <w:rsid w:val="006E2936"/>
    <w:rsid w:val="006E4AB7"/>
    <w:rsid w:val="006F21D0"/>
    <w:rsid w:val="0074217F"/>
    <w:rsid w:val="0074747D"/>
    <w:rsid w:val="00804A07"/>
    <w:rsid w:val="00837ACE"/>
    <w:rsid w:val="00856DC0"/>
    <w:rsid w:val="0087089D"/>
    <w:rsid w:val="0088464E"/>
    <w:rsid w:val="0089787C"/>
    <w:rsid w:val="008C51B6"/>
    <w:rsid w:val="008C5B1A"/>
    <w:rsid w:val="008D240A"/>
    <w:rsid w:val="008D49D1"/>
    <w:rsid w:val="008F209A"/>
    <w:rsid w:val="00912117"/>
    <w:rsid w:val="00920035"/>
    <w:rsid w:val="009331E7"/>
    <w:rsid w:val="00945187"/>
    <w:rsid w:val="00950861"/>
    <w:rsid w:val="00975F79"/>
    <w:rsid w:val="009C6D0A"/>
    <w:rsid w:val="009C7CB5"/>
    <w:rsid w:val="009E1A36"/>
    <w:rsid w:val="00A25AC4"/>
    <w:rsid w:val="00A31846"/>
    <w:rsid w:val="00A43F27"/>
    <w:rsid w:val="00A65AE7"/>
    <w:rsid w:val="00B57079"/>
    <w:rsid w:val="00B7065A"/>
    <w:rsid w:val="00B83FA6"/>
    <w:rsid w:val="00BB756C"/>
    <w:rsid w:val="00BD30E0"/>
    <w:rsid w:val="00C70D67"/>
    <w:rsid w:val="00C8014D"/>
    <w:rsid w:val="00C92F9B"/>
    <w:rsid w:val="00CB28AC"/>
    <w:rsid w:val="00CE1AEF"/>
    <w:rsid w:val="00DA2BC6"/>
    <w:rsid w:val="00DB30EA"/>
    <w:rsid w:val="00DC627E"/>
    <w:rsid w:val="00E5229C"/>
    <w:rsid w:val="00E85913"/>
    <w:rsid w:val="00EA41D0"/>
    <w:rsid w:val="00EB5471"/>
    <w:rsid w:val="00F243B4"/>
    <w:rsid w:val="00FB6CEF"/>
    <w:rsid w:val="00FC4FA0"/>
    <w:rsid w:val="04CE4253"/>
    <w:rsid w:val="05445A31"/>
    <w:rsid w:val="073C7CBD"/>
    <w:rsid w:val="07E62B0D"/>
    <w:rsid w:val="080C13C2"/>
    <w:rsid w:val="0842189C"/>
    <w:rsid w:val="0A3259F5"/>
    <w:rsid w:val="0D7B752A"/>
    <w:rsid w:val="0F5735B8"/>
    <w:rsid w:val="17266E48"/>
    <w:rsid w:val="18DF2B75"/>
    <w:rsid w:val="18F83704"/>
    <w:rsid w:val="1DA453B1"/>
    <w:rsid w:val="1DB66501"/>
    <w:rsid w:val="1DD3180C"/>
    <w:rsid w:val="211D4F58"/>
    <w:rsid w:val="24341072"/>
    <w:rsid w:val="28E02805"/>
    <w:rsid w:val="28EA7DAC"/>
    <w:rsid w:val="2BE46810"/>
    <w:rsid w:val="2E005886"/>
    <w:rsid w:val="2F3B61C9"/>
    <w:rsid w:val="30CC121C"/>
    <w:rsid w:val="34C907A7"/>
    <w:rsid w:val="35045109"/>
    <w:rsid w:val="37F479DA"/>
    <w:rsid w:val="39343400"/>
    <w:rsid w:val="39BC4DC8"/>
    <w:rsid w:val="3ADC741E"/>
    <w:rsid w:val="3BAA2073"/>
    <w:rsid w:val="41B44B58"/>
    <w:rsid w:val="45811396"/>
    <w:rsid w:val="46875242"/>
    <w:rsid w:val="475A449F"/>
    <w:rsid w:val="494D2C40"/>
    <w:rsid w:val="4C152C15"/>
    <w:rsid w:val="4D5869F3"/>
    <w:rsid w:val="4FC11ABC"/>
    <w:rsid w:val="517A4EB9"/>
    <w:rsid w:val="53561028"/>
    <w:rsid w:val="55031F07"/>
    <w:rsid w:val="56AE57C6"/>
    <w:rsid w:val="56D63107"/>
    <w:rsid w:val="57D63986"/>
    <w:rsid w:val="58FC325E"/>
    <w:rsid w:val="59B6573E"/>
    <w:rsid w:val="5AA0313D"/>
    <w:rsid w:val="5AAC6F50"/>
    <w:rsid w:val="5BD25946"/>
    <w:rsid w:val="5C4437EE"/>
    <w:rsid w:val="5C9522F3"/>
    <w:rsid w:val="5CD34356"/>
    <w:rsid w:val="5FB95FD9"/>
    <w:rsid w:val="5FE46ADC"/>
    <w:rsid w:val="60E2278C"/>
    <w:rsid w:val="64F17BAA"/>
    <w:rsid w:val="690A73FD"/>
    <w:rsid w:val="6C107C57"/>
    <w:rsid w:val="6E6223CB"/>
    <w:rsid w:val="71597D80"/>
    <w:rsid w:val="78CE0040"/>
    <w:rsid w:val="78D7094F"/>
    <w:rsid w:val="7E52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FD6D63F"/>
  <w15:docId w15:val="{A933DA0A-544E-4C17-A1BF-9D1E7E69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qFormat/>
    <w:rPr>
      <w:color w:val="808080"/>
    </w:rPr>
  </w:style>
  <w:style w:type="character" w:customStyle="1" w:styleId="font21">
    <w:name w:val="font21"/>
    <w:basedOn w:val="DefaultParagraphFont"/>
    <w:qFormat/>
    <w:rPr>
      <w:rFonts w:ascii="Times New Roman" w:hAnsi="Times New Roman" w:cs="Times New Roman" w:hint="default"/>
      <w:color w:val="000000"/>
      <w:sz w:val="24"/>
      <w:szCs w:val="24"/>
      <w:u w: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lang w:val="en-US" w:eastAsia="zh-CN"/>
    </w:rPr>
  </w:style>
  <w:style w:type="character" w:customStyle="1" w:styleId="FooterChar">
    <w:name w:val="Footer Char"/>
    <w:basedOn w:val="DefaultParagraphFont"/>
    <w:link w:val="Footer"/>
    <w:uiPriority w:val="99"/>
    <w:qFormat/>
    <w:rPr>
      <w:lang w:val="en-US" w:eastAsia="zh-CN"/>
    </w:rPr>
  </w:style>
  <w:style w:type="character" w:styleId="UnresolvedMention">
    <w:name w:val="Unresolved Mention"/>
    <w:basedOn w:val="DefaultParagraphFont"/>
    <w:uiPriority w:val="99"/>
    <w:semiHidden/>
    <w:unhideWhenUsed/>
    <w:rsid w:val="00A43F27"/>
    <w:rPr>
      <w:color w:val="605E5C"/>
      <w:shd w:val="clear" w:color="auto" w:fill="E1DFDD"/>
    </w:rPr>
  </w:style>
  <w:style w:type="paragraph" w:styleId="ListParagraph">
    <w:name w:val="List Paragraph"/>
    <w:basedOn w:val="Normal"/>
    <w:uiPriority w:val="99"/>
    <w:rsid w:val="004C4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bn.gov.ng/rates/" TargetMode="External"/><Relationship Id="rId26" Type="http://schemas.openxmlformats.org/officeDocument/2006/relationships/hyperlink" Target="https://doi.org/10.1016/j.intfin.2022.101528" TargetMode="External"/><Relationship Id="rId39" Type="http://schemas.openxmlformats.org/officeDocument/2006/relationships/header" Target="header3.xml"/><Relationship Id="rId21" Type="http://schemas.openxmlformats.org/officeDocument/2006/relationships/hyperlink" Target="https://microdata.nigerianstat.gov.ng/index.php/catalog/172" TargetMode="External"/><Relationship Id="rId34" Type="http://schemas.openxmlformats.org/officeDocument/2006/relationships/hyperlink" Target="https://doi.org/10.9734/sajsse/2025/v22i7107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9790/0837-2904025057" TargetMode="External"/><Relationship Id="rId29" Type="http://schemas.openxmlformats.org/officeDocument/2006/relationships/hyperlink" Target="https://doi.org/10.1057/imfsp.2009.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imonfin.2022.102798" TargetMode="External"/><Relationship Id="rId32" Type="http://schemas.openxmlformats.org/officeDocument/2006/relationships/hyperlink" Target="https://doi.org/10.1016/0304-3878(88)90044-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93/rfs/hhac001" TargetMode="External"/><Relationship Id="rId28" Type="http://schemas.openxmlformats.org/officeDocument/2006/relationships/hyperlink" Target="https://doi.org/10.1257/mac.20180019"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dmo.gov.ng/debt-profile/total-public-debt" TargetMode="External"/><Relationship Id="rId31" Type="http://schemas.openxmlformats.org/officeDocument/2006/relationships/hyperlink" Target="https://doi.org/10.1093/wber/lhl00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hyperlink" Target="https://databank.worldbank.org/source/world-development-indicators" TargetMode="External"/><Relationship Id="rId27" Type="http://schemas.openxmlformats.org/officeDocument/2006/relationships/hyperlink" Target="https://doi.org/10.1016/j.frl.2023.104396" TargetMode="External"/><Relationship Id="rId30" Type="http://schemas.openxmlformats.org/officeDocument/2006/relationships/hyperlink" Target="https://doi.org/10.1016/j.euroecorev.2012.06.007" TargetMode="External"/><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07/s10290-023-00493-6" TargetMode="External"/><Relationship Id="rId33" Type="http://schemas.openxmlformats.org/officeDocument/2006/relationships/hyperlink" Target="https://doi.org/10.1016/j.jmacro.2014.03.009" TargetMode="External"/><Relationship Id="rId3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7376</Words>
  <Characters>42046</Characters>
  <Application>Microsoft Office Word</Application>
  <DocSecurity>0</DocSecurity>
  <Lines>350</Lines>
  <Paragraphs>98</Paragraphs>
  <ScaleCrop>false</ScaleCrop>
  <Company>HP</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GERRARD</dc:creator>
  <cp:lastModifiedBy>Editor-1183</cp:lastModifiedBy>
  <cp:revision>72</cp:revision>
  <dcterms:created xsi:type="dcterms:W3CDTF">2026-01-04T11:05:00Z</dcterms:created>
  <dcterms:modified xsi:type="dcterms:W3CDTF">2026-01-30T11:42:00Z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985CDAF0CC424F40BEDC2D67AE7A5503_11</vt:lpwstr>
  </property>
  <property fmtid="{D5CDD505-2E9C-101B-9397-08002B2CF9AE}" pid="4" name="GrammarlyDocumentId">
    <vt:lpwstr>96122fda-4d96-4854-bd46-ac5c752b994d</vt:lpwstr>
  </property>
</Properties>
</file>