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3C397" w14:textId="77777777" w:rsidR="00F474AA" w:rsidRPr="00B46A46" w:rsidRDefault="00F474AA" w:rsidP="00F47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r w:rsidRPr="00B46A46">
        <w:rPr>
          <w:rFonts w:ascii="Arial" w:hAnsi="Arial" w:cs="Arial"/>
          <w:bCs/>
          <w:sz w:val="36"/>
          <w:szCs w:val="36"/>
        </w:rPr>
        <w:t>Effect of Stocking Density on the Growth Performance of Guinea Pigs (</w:t>
      </w:r>
      <w:r w:rsidRPr="00B46A46">
        <w:rPr>
          <w:rStyle w:val="Emphasis"/>
          <w:rFonts w:ascii="Arial" w:hAnsi="Arial" w:cs="Arial"/>
          <w:bCs/>
          <w:sz w:val="36"/>
          <w:szCs w:val="36"/>
        </w:rPr>
        <w:t>Cavia porcellus</w:t>
      </w:r>
      <w:r w:rsidRPr="00B46A46">
        <w:rPr>
          <w:rFonts w:ascii="Arial" w:hAnsi="Arial" w:cs="Arial"/>
          <w:bCs/>
          <w:sz w:val="36"/>
          <w:szCs w:val="36"/>
        </w:rPr>
        <w:t>): An Experimental Study</w:t>
      </w:r>
    </w:p>
    <w:p w14:paraId="290C52CD" w14:textId="77777777" w:rsidR="00F474AA" w:rsidRPr="00B227A3" w:rsidRDefault="00F474AA" w:rsidP="00F474AA">
      <w:pPr>
        <w:spacing w:after="0" w:line="240" w:lineRule="auto"/>
        <w:jc w:val="right"/>
        <w:rPr>
          <w:rFonts w:ascii="Arial" w:hAnsi="Arial" w:cs="Arial"/>
          <w:sz w:val="20"/>
          <w:szCs w:val="20"/>
        </w:rPr>
      </w:pPr>
    </w:p>
    <w:p w14:paraId="58D1398B" w14:textId="77777777" w:rsidR="00F474AA" w:rsidRDefault="00F474AA" w:rsidP="00F474AA">
      <w:pPr>
        <w:spacing w:line="240" w:lineRule="auto"/>
        <w:jc w:val="both"/>
        <w:rPr>
          <w:rFonts w:ascii="Times New Roman" w:hAnsi="Times New Roman" w:cs="Times New Roman"/>
          <w:b/>
          <w:caps/>
        </w:rPr>
      </w:pPr>
      <w:r w:rsidRPr="00B227A3">
        <w:rPr>
          <w:rFonts w:ascii="Arial" w:hAnsi="Arial" w:cs="Arial"/>
          <w:b/>
          <w:caps/>
        </w:rPr>
        <w:t>Abstract</w:t>
      </w:r>
    </w:p>
    <w:p w14:paraId="6D9976BD" w14:textId="726D8745" w:rsidR="00F474AA" w:rsidRPr="00E4491B" w:rsidRDefault="0006136D" w:rsidP="00F474AA">
      <w:pPr>
        <w:pStyle w:val="NoSpacing"/>
        <w:spacing w:before="120"/>
        <w:jc w:val="both"/>
        <w:rPr>
          <w:rFonts w:ascii="Arial" w:hAnsi="Arial" w:cs="Arial"/>
          <w:sz w:val="20"/>
          <w:szCs w:val="20"/>
        </w:rPr>
      </w:pPr>
      <w:r w:rsidRPr="0006136D">
        <w:rPr>
          <w:rFonts w:ascii="Arial" w:hAnsi="Arial" w:cs="Arial"/>
          <w:sz w:val="20"/>
          <w:szCs w:val="20"/>
        </w:rPr>
        <w:t>The small herbivorous rodents known as guinea pigs (</w:t>
      </w:r>
      <w:proofErr w:type="spellStart"/>
      <w:r w:rsidRPr="0006136D">
        <w:rPr>
          <w:rFonts w:ascii="Arial" w:hAnsi="Arial" w:cs="Arial"/>
          <w:sz w:val="20"/>
          <w:szCs w:val="20"/>
        </w:rPr>
        <w:t>Cavia</w:t>
      </w:r>
      <w:proofErr w:type="spellEnd"/>
      <w:r w:rsidRPr="0006136D">
        <w:rPr>
          <w:rFonts w:ascii="Arial" w:hAnsi="Arial" w:cs="Arial"/>
          <w:sz w:val="20"/>
          <w:szCs w:val="20"/>
        </w:rPr>
        <w:t xml:space="preserve"> </w:t>
      </w:r>
      <w:proofErr w:type="spellStart"/>
      <w:r w:rsidRPr="0006136D">
        <w:rPr>
          <w:rFonts w:ascii="Arial" w:hAnsi="Arial" w:cs="Arial"/>
          <w:sz w:val="20"/>
          <w:szCs w:val="20"/>
        </w:rPr>
        <w:t>porcellus</w:t>
      </w:r>
      <w:proofErr w:type="spellEnd"/>
      <w:r w:rsidRPr="0006136D">
        <w:rPr>
          <w:rFonts w:ascii="Arial" w:hAnsi="Arial" w:cs="Arial"/>
          <w:sz w:val="20"/>
          <w:szCs w:val="20"/>
        </w:rPr>
        <w:t xml:space="preserve">) were domesticated in the Andes and are now being recognized as viable micro-livestock for the production of meat. </w:t>
      </w:r>
      <w:r w:rsidR="00F474AA" w:rsidRPr="007222CC">
        <w:rPr>
          <w:rFonts w:ascii="Arial" w:hAnsi="Arial" w:cs="Arial"/>
          <w:sz w:val="20"/>
          <w:szCs w:val="20"/>
        </w:rPr>
        <w:t>A study was conducted to evaluate the effect of different stocking densities on the growth, reproductive performance, and economic viability of guinea pigs (</w:t>
      </w:r>
      <w:r w:rsidR="00F474AA" w:rsidRPr="007222CC">
        <w:rPr>
          <w:rFonts w:ascii="Arial" w:hAnsi="Arial" w:cs="Arial"/>
          <w:i/>
          <w:iCs/>
          <w:sz w:val="20"/>
          <w:szCs w:val="20"/>
        </w:rPr>
        <w:t>Cavia porcellus</w:t>
      </w:r>
      <w:r w:rsidR="00F474AA" w:rsidRPr="007222CC">
        <w:rPr>
          <w:rFonts w:ascii="Arial" w:hAnsi="Arial" w:cs="Arial"/>
          <w:sz w:val="20"/>
          <w:szCs w:val="20"/>
        </w:rPr>
        <w:t>) reared under intensive housing. Forty-eight Dunkin–Hartley weaned guinea pigs (four weeks old) were divided into two treatments: T1 (five animals per replicate; four females and one male) and T2 (seven animals per replicate; six females and one male), each with four replicates. The animals were maintained under standard feeding and management conditions at the Veterinary College, Hassan, Karnataka. Growth performance, feed consumption, feed conversion ratio (FCR), total dry matter intake (TDMI) w</w:t>
      </w:r>
      <w:r w:rsidR="00F474AA">
        <w:rPr>
          <w:rFonts w:ascii="Arial" w:hAnsi="Arial" w:cs="Arial"/>
          <w:sz w:val="20"/>
          <w:szCs w:val="20"/>
        </w:rPr>
        <w:t>as</w:t>
      </w:r>
      <w:r w:rsidR="00F474AA" w:rsidRPr="007222CC">
        <w:rPr>
          <w:rFonts w:ascii="Arial" w:hAnsi="Arial" w:cs="Arial"/>
          <w:sz w:val="20"/>
          <w:szCs w:val="20"/>
        </w:rPr>
        <w:t xml:space="preserve"> recorded and statistically analysed. Results revealed no significant differences (</w:t>
      </w:r>
      <w:r w:rsidR="00F474AA" w:rsidRPr="007222CC">
        <w:rPr>
          <w:rFonts w:ascii="Arial" w:hAnsi="Arial" w:cs="Arial"/>
          <w:i/>
          <w:iCs/>
          <w:sz w:val="20"/>
          <w:szCs w:val="20"/>
        </w:rPr>
        <w:t>p&gt;0.05</w:t>
      </w:r>
      <w:r w:rsidR="00F474AA" w:rsidRPr="007222CC">
        <w:rPr>
          <w:rFonts w:ascii="Arial" w:hAnsi="Arial" w:cs="Arial"/>
          <w:sz w:val="20"/>
          <w:szCs w:val="20"/>
        </w:rPr>
        <w:t>) in weekly body weight, average daily gain (ADG), FCR. However, TDMI was significantly higher (</w:t>
      </w:r>
      <w:r w:rsidR="00F474AA" w:rsidRPr="007222CC">
        <w:rPr>
          <w:rFonts w:ascii="Arial" w:hAnsi="Arial" w:cs="Arial"/>
          <w:i/>
          <w:iCs/>
          <w:sz w:val="20"/>
          <w:szCs w:val="20"/>
        </w:rPr>
        <w:t>p&lt;0.01</w:t>
      </w:r>
      <w:r w:rsidR="00F474AA" w:rsidRPr="007222CC">
        <w:rPr>
          <w:rFonts w:ascii="Arial" w:hAnsi="Arial" w:cs="Arial"/>
          <w:sz w:val="20"/>
          <w:szCs w:val="20"/>
        </w:rPr>
        <w:t xml:space="preserve">) in T2 compared to T1. The findings suggest that guinea pigs can be successfully reared at both stocking densities without compromising performance.  </w:t>
      </w:r>
    </w:p>
    <w:p w14:paraId="336D2A6B" w14:textId="77777777" w:rsidR="00F474AA" w:rsidRPr="00E4491B" w:rsidRDefault="00F474AA" w:rsidP="00F47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Arial" w:eastAsia="Times New Roman" w:hAnsi="Arial" w:cs="Arial"/>
          <w:i/>
          <w:iCs/>
          <w:sz w:val="20"/>
          <w:szCs w:val="20"/>
        </w:rPr>
      </w:pPr>
      <w:r w:rsidRPr="00E4491B">
        <w:rPr>
          <w:rFonts w:ascii="Arial" w:eastAsia="Times New Roman" w:hAnsi="Arial" w:cs="Arial"/>
          <w:bCs/>
          <w:i/>
          <w:iCs/>
          <w:sz w:val="20"/>
          <w:szCs w:val="20"/>
        </w:rPr>
        <w:t>Keywords:</w:t>
      </w:r>
      <w:r w:rsidRPr="00E4491B">
        <w:rPr>
          <w:rFonts w:ascii="Arial" w:eastAsia="Times New Roman" w:hAnsi="Arial" w:cs="Arial"/>
          <w:i/>
          <w:iCs/>
          <w:sz w:val="20"/>
          <w:szCs w:val="20"/>
        </w:rPr>
        <w:t xml:space="preserve"> Guinea pig, stocking density, growth performance,</w:t>
      </w:r>
      <w:r>
        <w:rPr>
          <w:rFonts w:ascii="Arial" w:eastAsia="Times New Roman" w:hAnsi="Arial" w:cs="Arial"/>
          <w:i/>
          <w:iCs/>
          <w:sz w:val="20"/>
          <w:szCs w:val="20"/>
        </w:rPr>
        <w:t xml:space="preserve"> </w:t>
      </w:r>
      <w:r w:rsidRPr="00E4491B">
        <w:rPr>
          <w:rFonts w:ascii="Arial" w:eastAsia="Times New Roman" w:hAnsi="Arial" w:cs="Arial"/>
          <w:i/>
          <w:iCs/>
          <w:sz w:val="20"/>
          <w:szCs w:val="20"/>
        </w:rPr>
        <w:t>micro-livestock</w:t>
      </w:r>
      <w:r>
        <w:rPr>
          <w:rFonts w:ascii="Arial" w:eastAsia="Times New Roman" w:hAnsi="Arial" w:cs="Arial"/>
          <w:i/>
          <w:iCs/>
          <w:sz w:val="20"/>
          <w:szCs w:val="20"/>
        </w:rPr>
        <w:t xml:space="preserve"> </w:t>
      </w:r>
      <w:r w:rsidRPr="00E4491B">
        <w:rPr>
          <w:rFonts w:ascii="Arial" w:eastAsia="Times New Roman" w:hAnsi="Arial" w:cs="Arial"/>
          <w:i/>
          <w:iCs/>
          <w:sz w:val="20"/>
          <w:szCs w:val="20"/>
        </w:rPr>
        <w:t xml:space="preserve">economics  </w:t>
      </w:r>
    </w:p>
    <w:p w14:paraId="7E012B27" w14:textId="77777777" w:rsidR="00F474AA" w:rsidRDefault="00F474AA" w:rsidP="00F474AA">
      <w:pPr>
        <w:pStyle w:val="NormalWeb"/>
        <w:jc w:val="both"/>
        <w:rPr>
          <w:rStyle w:val="Strong"/>
          <w:rFonts w:ascii="Arial" w:eastAsiaTheme="majorEastAsia" w:hAnsi="Arial" w:cs="Arial"/>
          <w:caps/>
          <w:sz w:val="22"/>
          <w:szCs w:val="22"/>
        </w:rPr>
      </w:pPr>
      <w:r>
        <w:rPr>
          <w:rStyle w:val="Strong"/>
          <w:rFonts w:eastAsiaTheme="majorEastAsia"/>
          <w:caps/>
          <w:sz w:val="22"/>
          <w:szCs w:val="22"/>
        </w:rPr>
        <w:t xml:space="preserve">1. </w:t>
      </w:r>
      <w:r w:rsidRPr="009B7D73">
        <w:rPr>
          <w:rStyle w:val="Strong"/>
          <w:rFonts w:ascii="Arial" w:eastAsiaTheme="majorEastAsia" w:hAnsi="Arial" w:cs="Arial"/>
          <w:caps/>
          <w:sz w:val="22"/>
          <w:szCs w:val="22"/>
        </w:rPr>
        <w:t>Introduction</w:t>
      </w:r>
    </w:p>
    <w:p w14:paraId="0DE160AC" w14:textId="77777777" w:rsidR="00F474AA" w:rsidRDefault="00F474AA" w:rsidP="00F474AA">
      <w:pPr>
        <w:jc w:val="both"/>
        <w:rPr>
          <w:rFonts w:ascii="Arial" w:hAnsi="Arial" w:cs="Arial"/>
          <w:sz w:val="20"/>
          <w:szCs w:val="20"/>
        </w:rPr>
      </w:pPr>
      <w:r w:rsidRPr="00BD37B0">
        <w:rPr>
          <w:rFonts w:ascii="Arial" w:hAnsi="Arial" w:cs="Arial"/>
          <w:sz w:val="20"/>
          <w:szCs w:val="20"/>
        </w:rPr>
        <w:t>Guinea pigs (</w:t>
      </w:r>
      <w:r w:rsidRPr="00BD37B0">
        <w:rPr>
          <w:rFonts w:ascii="Arial" w:hAnsi="Arial" w:cs="Arial"/>
          <w:i/>
          <w:iCs/>
          <w:sz w:val="20"/>
          <w:szCs w:val="20"/>
        </w:rPr>
        <w:t>Cavia porcellus</w:t>
      </w:r>
      <w:r w:rsidRPr="00BD37B0">
        <w:rPr>
          <w:rFonts w:ascii="Arial" w:hAnsi="Arial" w:cs="Arial"/>
          <w:sz w:val="20"/>
          <w:szCs w:val="20"/>
        </w:rPr>
        <w:t xml:space="preserve">) are small herbivorous rodents domesticated in the Andes and now increasingly recognized as potential micro-livestock for meat production. In developing countries like India, where per capita animal protein intake remains below FAO recommendations, guinea pigs offer a promising alternative due to their rapid reproduction, low space requirements, and high feed conversion efficiency. Guinea pig meat is high in protein (~21%) and low in fat and cholesterol, comparable to rabbit and chicken.  </w:t>
      </w:r>
    </w:p>
    <w:p w14:paraId="1A46505F" w14:textId="77777777" w:rsidR="00F474AA" w:rsidRDefault="00F474AA" w:rsidP="00F474AA">
      <w:pPr>
        <w:pStyle w:val="NoSpacing"/>
        <w:rPr>
          <w:rFonts w:ascii="Arial" w:hAnsi="Arial" w:cs="Arial"/>
          <w:sz w:val="20"/>
          <w:szCs w:val="20"/>
        </w:rPr>
      </w:pPr>
      <w:r w:rsidRPr="00CA21BD">
        <w:rPr>
          <w:rFonts w:ascii="Arial" w:hAnsi="Arial" w:cs="Arial"/>
          <w:sz w:val="20"/>
          <w:szCs w:val="20"/>
        </w:rPr>
        <w:t xml:space="preserve">Protein deficiency could be alleviated through alternative animal protein sources. However, meat from conventional livestock is often priced beyond the reach of low-income, especially rural, populations (UNUP, 1990). In this context, micro-livestock such as guinea pigs can play an important role (Young </w:t>
      </w:r>
      <w:r w:rsidRPr="00CA21BD">
        <w:rPr>
          <w:rFonts w:ascii="Arial" w:hAnsi="Arial" w:cs="Arial"/>
          <w:i/>
          <w:iCs/>
          <w:sz w:val="20"/>
          <w:szCs w:val="20"/>
        </w:rPr>
        <w:t>et al</w:t>
      </w:r>
      <w:r w:rsidRPr="00CA21BD">
        <w:rPr>
          <w:rFonts w:ascii="Arial" w:hAnsi="Arial" w:cs="Arial"/>
          <w:sz w:val="20"/>
          <w:szCs w:val="20"/>
        </w:rPr>
        <w:t>., 1984). Their usefulness as meat producers and income sources in both peri-urban (</w:t>
      </w:r>
      <w:proofErr w:type="spellStart"/>
      <w:r w:rsidRPr="00CA21BD">
        <w:rPr>
          <w:rFonts w:ascii="Arial" w:hAnsi="Arial" w:cs="Arial"/>
          <w:sz w:val="20"/>
          <w:szCs w:val="20"/>
        </w:rPr>
        <w:t>Ngou</w:t>
      </w:r>
      <w:proofErr w:type="spellEnd"/>
      <w:r w:rsidRPr="00CA21BD">
        <w:rPr>
          <w:rFonts w:ascii="Arial" w:hAnsi="Arial" w:cs="Arial"/>
          <w:sz w:val="20"/>
          <w:szCs w:val="20"/>
        </w:rPr>
        <w:t xml:space="preserve"> </w:t>
      </w:r>
      <w:proofErr w:type="spellStart"/>
      <w:r w:rsidRPr="00CA21BD">
        <w:rPr>
          <w:rFonts w:ascii="Arial" w:hAnsi="Arial" w:cs="Arial"/>
          <w:sz w:val="20"/>
          <w:szCs w:val="20"/>
        </w:rPr>
        <w:t>Ngoupayou</w:t>
      </w:r>
      <w:proofErr w:type="spellEnd"/>
      <w:r w:rsidRPr="00CA21BD">
        <w:rPr>
          <w:rFonts w:ascii="Arial" w:hAnsi="Arial" w:cs="Arial"/>
          <w:sz w:val="20"/>
          <w:szCs w:val="20"/>
        </w:rPr>
        <w:t xml:space="preserve"> </w:t>
      </w:r>
      <w:r w:rsidRPr="00CA21BD">
        <w:rPr>
          <w:rFonts w:ascii="Arial" w:hAnsi="Arial" w:cs="Arial"/>
          <w:i/>
          <w:iCs/>
          <w:sz w:val="20"/>
          <w:szCs w:val="20"/>
        </w:rPr>
        <w:t>et al</w:t>
      </w:r>
      <w:r w:rsidRPr="00CA21BD">
        <w:rPr>
          <w:rFonts w:ascii="Arial" w:hAnsi="Arial" w:cs="Arial"/>
          <w:sz w:val="20"/>
          <w:szCs w:val="20"/>
        </w:rPr>
        <w:t>., 1995) and rural settings (</w:t>
      </w:r>
      <w:proofErr w:type="spellStart"/>
      <w:r w:rsidRPr="00CA21BD">
        <w:rPr>
          <w:rFonts w:ascii="Arial" w:hAnsi="Arial" w:cs="Arial"/>
          <w:sz w:val="20"/>
          <w:szCs w:val="20"/>
        </w:rPr>
        <w:t>Nuwanyakpa</w:t>
      </w:r>
      <w:proofErr w:type="spellEnd"/>
      <w:r w:rsidRPr="00CA21BD">
        <w:rPr>
          <w:rFonts w:ascii="Arial" w:hAnsi="Arial" w:cs="Arial"/>
          <w:sz w:val="20"/>
          <w:szCs w:val="20"/>
        </w:rPr>
        <w:t>, 1993) has been well documented. Guinea pigs provide an alternative to chicken or wild-caught small animals. They are easier to prepare since they are skinned rather than plucked and require less cooking time, thereby reducing fuel consumption. They need less space than conventional livestock, reproduce rapidly, and are a more profitable source of meat and income compared to pigs or cattle (</w:t>
      </w:r>
      <w:proofErr w:type="spellStart"/>
      <w:r w:rsidRPr="00CA21BD">
        <w:rPr>
          <w:rFonts w:ascii="Arial" w:hAnsi="Arial" w:cs="Arial"/>
          <w:sz w:val="20"/>
          <w:szCs w:val="20"/>
        </w:rPr>
        <w:t>Nuwanyakpa</w:t>
      </w:r>
      <w:proofErr w:type="spellEnd"/>
      <w:r w:rsidRPr="00CA21BD">
        <w:rPr>
          <w:rFonts w:ascii="Arial" w:hAnsi="Arial" w:cs="Arial"/>
          <w:sz w:val="20"/>
          <w:szCs w:val="20"/>
        </w:rPr>
        <w:t xml:space="preserve"> </w:t>
      </w:r>
      <w:r w:rsidRPr="00CA21BD">
        <w:rPr>
          <w:rFonts w:ascii="Arial" w:hAnsi="Arial" w:cs="Arial"/>
          <w:i/>
          <w:iCs/>
          <w:sz w:val="20"/>
          <w:szCs w:val="20"/>
        </w:rPr>
        <w:t>et al</w:t>
      </w:r>
      <w:r w:rsidRPr="00CA21BD">
        <w:rPr>
          <w:rFonts w:ascii="Arial" w:hAnsi="Arial" w:cs="Arial"/>
          <w:sz w:val="20"/>
          <w:szCs w:val="20"/>
        </w:rPr>
        <w:t>., 1997). Furthermore, they can be raised in urban households. Both rural and urban families rear guinea pigs for supplementary income, and they are traded in local markets and large fairs.</w:t>
      </w:r>
    </w:p>
    <w:p w14:paraId="16861498" w14:textId="77777777" w:rsidR="00F474AA" w:rsidRPr="00CA21BD" w:rsidRDefault="00F474AA" w:rsidP="00F474AA">
      <w:pPr>
        <w:pStyle w:val="NoSpacing"/>
        <w:rPr>
          <w:rFonts w:ascii="Arial" w:hAnsi="Arial" w:cs="Arial"/>
          <w:sz w:val="20"/>
          <w:szCs w:val="20"/>
        </w:rPr>
      </w:pPr>
    </w:p>
    <w:p w14:paraId="30D0DB05" w14:textId="77777777" w:rsidR="00F474AA" w:rsidRPr="00CF02B9" w:rsidRDefault="00F474AA" w:rsidP="00F474AA">
      <w:pPr>
        <w:jc w:val="both"/>
        <w:rPr>
          <w:rFonts w:ascii="Arial" w:hAnsi="Arial" w:cs="Arial"/>
          <w:sz w:val="20"/>
          <w:szCs w:val="20"/>
        </w:rPr>
      </w:pPr>
      <w:r w:rsidRPr="00CF02B9">
        <w:rPr>
          <w:rFonts w:ascii="Arial" w:hAnsi="Arial" w:cs="Arial"/>
          <w:sz w:val="20"/>
          <w:szCs w:val="20"/>
        </w:rPr>
        <w:t xml:space="preserve">Despite their potential, guinea pig production remains underdeveloped in India, with limited research on management and housing systems. </w:t>
      </w:r>
      <w:r w:rsidRPr="00CF02B9">
        <w:rPr>
          <w:rFonts w:ascii="Arial" w:hAnsi="Arial" w:cs="Arial"/>
          <w:color w:val="000000" w:themeColor="text1"/>
          <w:sz w:val="20"/>
          <w:szCs w:val="20"/>
        </w:rPr>
        <w:t>Their contribution is often overlooked by researchers, policymakers, and extension workers, particularly in India. A recent growing trend among the farmers has shown that, a special interest towards rearing Guinea Pigs especially by the young farmers is observed. Considering these micro livestock species as more remunerative compared to traditional livestock species like Sheep, Goat, Cattle and Pigs. But, the knowledge on their upkeep and husbandry practices is very primitive and production losses are frequently encountered.</w:t>
      </w:r>
      <w:r w:rsidRPr="00CF02B9">
        <w:rPr>
          <w:rFonts w:ascii="Arial" w:hAnsi="Arial" w:cs="Arial"/>
          <w:sz w:val="20"/>
          <w:szCs w:val="20"/>
        </w:rPr>
        <w:t xml:space="preserve"> Stocking density - a crucial welfare and productivity factor - affects growth, feed utilization, and reproduction. Optimal space allocation can maximize productivity while maintaining welfare. This study evaluated the growth performance of guinea pigs under two different stocking densities.  </w:t>
      </w:r>
    </w:p>
    <w:p w14:paraId="576F1373" w14:textId="77777777" w:rsidR="00F474AA" w:rsidRPr="00D03203" w:rsidRDefault="00F474AA" w:rsidP="00F474AA">
      <w:pPr>
        <w:pStyle w:val="NormalWeb"/>
        <w:jc w:val="both"/>
        <w:rPr>
          <w:rFonts w:ascii="Arial" w:hAnsi="Arial" w:cs="Arial"/>
          <w:b/>
          <w:caps/>
          <w:sz w:val="22"/>
          <w:szCs w:val="22"/>
        </w:rPr>
      </w:pPr>
      <w:r w:rsidRPr="005D00AA">
        <w:rPr>
          <w:rFonts w:ascii="Arial" w:hAnsi="Arial" w:cs="Arial"/>
          <w:b/>
          <w:caps/>
          <w:sz w:val="22"/>
          <w:szCs w:val="22"/>
        </w:rPr>
        <w:t>2. Material and methods</w:t>
      </w:r>
    </w:p>
    <w:p w14:paraId="5B4A0B4D" w14:textId="77777777" w:rsidR="00F474AA" w:rsidRPr="00DA426E" w:rsidRDefault="00F474AA" w:rsidP="00F474AA">
      <w:pPr>
        <w:rPr>
          <w:rFonts w:ascii="Arial" w:hAnsi="Arial" w:cs="Arial"/>
          <w:bCs/>
          <w:sz w:val="20"/>
          <w:szCs w:val="20"/>
        </w:rPr>
      </w:pPr>
      <w:r w:rsidRPr="00DA426E">
        <w:rPr>
          <w:rFonts w:ascii="Arial" w:hAnsi="Arial" w:cs="Arial"/>
          <w:sz w:val="20"/>
          <w:szCs w:val="20"/>
        </w:rPr>
        <w:t xml:space="preserve">The experiment was conducted at the Small Animal House, Veterinary College, Hassan (KVAFSU, Bidar). Forty-eight weaned guinea pigs (Dunkin–Hartley strain) were randomly assigned to:  T1- five </w:t>
      </w:r>
      <w:r w:rsidRPr="00DA426E">
        <w:rPr>
          <w:rFonts w:ascii="Arial" w:hAnsi="Arial" w:cs="Arial"/>
          <w:sz w:val="20"/>
          <w:szCs w:val="20"/>
        </w:rPr>
        <w:lastRenderedPageBreak/>
        <w:t xml:space="preserve">animals/replicate (four females, one male), T2- seven animals/replicate (six females, one male). Each had four replicates. </w:t>
      </w:r>
      <w:r w:rsidRPr="00DA426E">
        <w:rPr>
          <w:rFonts w:ascii="Arial" w:eastAsia="Times New Roman" w:hAnsi="Arial" w:cs="Arial"/>
          <w:sz w:val="20"/>
          <w:szCs w:val="20"/>
          <w:lang w:val="en"/>
        </w:rPr>
        <w:t xml:space="preserve">The animals were housed conventionally </w:t>
      </w:r>
      <w:r w:rsidRPr="00DA426E">
        <w:rPr>
          <w:rFonts w:ascii="Arial" w:eastAsia="Times New Roman" w:hAnsi="Arial" w:cs="Arial"/>
          <w:sz w:val="20"/>
          <w:szCs w:val="20"/>
          <w:lang w:eastAsia="en-IN" w:bidi="kn-IN"/>
        </w:rPr>
        <w:t xml:space="preserve">in Galvanized Iron (GI) wired cages with the specified floor space </w:t>
      </w:r>
      <w:proofErr w:type="spellStart"/>
      <w:r w:rsidRPr="00DA426E">
        <w:rPr>
          <w:rFonts w:ascii="Arial" w:eastAsia="Times New Roman" w:hAnsi="Arial" w:cs="Arial"/>
          <w:i/>
          <w:iCs/>
          <w:sz w:val="20"/>
          <w:szCs w:val="20"/>
          <w:lang w:eastAsia="en-IN" w:bidi="kn-IN"/>
        </w:rPr>
        <w:t>i.e</w:t>
      </w:r>
      <w:proofErr w:type="spellEnd"/>
      <w:r w:rsidRPr="00DA426E">
        <w:rPr>
          <w:rFonts w:ascii="Arial" w:eastAsia="Times New Roman" w:hAnsi="Arial" w:cs="Arial"/>
          <w:sz w:val="20"/>
          <w:szCs w:val="20"/>
          <w:lang w:eastAsia="en-IN" w:bidi="kn-IN"/>
        </w:rPr>
        <w:t xml:space="preserve"> 0.42 square feet to each guinea pig weighing less than 350gm body weight and 0.7 square feet to each guinea pig with body weight more than 350gms in normal room temperature with optimum ventilation</w:t>
      </w:r>
      <w:r w:rsidRPr="00DA426E">
        <w:rPr>
          <w:rFonts w:ascii="Arial" w:eastAsia="Times New Roman" w:hAnsi="Arial" w:cs="Arial"/>
          <w:sz w:val="20"/>
          <w:szCs w:val="20"/>
          <w:lang w:val="en"/>
        </w:rPr>
        <w:t xml:space="preserve"> under RCC roof. The animals were reared under intensive</w:t>
      </w:r>
      <w:r w:rsidRPr="00DA426E">
        <w:rPr>
          <w:rFonts w:ascii="Arial" w:eastAsia="Times New Roman" w:hAnsi="Arial" w:cs="Arial"/>
          <w:sz w:val="20"/>
          <w:szCs w:val="20"/>
        </w:rPr>
        <w:t xml:space="preserve"> feeding </w:t>
      </w:r>
      <w:r w:rsidRPr="00DA426E">
        <w:rPr>
          <w:rFonts w:ascii="Arial" w:eastAsia="Times New Roman" w:hAnsi="Arial" w:cs="Arial"/>
          <w:sz w:val="20"/>
          <w:szCs w:val="20"/>
          <w:lang w:val="en"/>
        </w:rPr>
        <w:t>system</w:t>
      </w:r>
      <w:r w:rsidRPr="00DA426E">
        <w:rPr>
          <w:rFonts w:ascii="Arial" w:eastAsia="Times New Roman" w:hAnsi="Arial" w:cs="Arial"/>
          <w:sz w:val="20"/>
          <w:szCs w:val="20"/>
        </w:rPr>
        <w:t xml:space="preserve">. </w:t>
      </w:r>
      <w:r w:rsidRPr="00DA426E">
        <w:rPr>
          <w:rFonts w:ascii="Arial" w:eastAsia="Times New Roman" w:hAnsi="Arial" w:cs="Arial"/>
          <w:sz w:val="20"/>
          <w:szCs w:val="20"/>
          <w:lang w:val="en"/>
        </w:rPr>
        <w:t xml:space="preserve">Standard </w:t>
      </w:r>
      <w:r w:rsidRPr="00DA426E">
        <w:rPr>
          <w:rFonts w:ascii="Arial" w:eastAsia="Times New Roman" w:hAnsi="Arial" w:cs="Arial"/>
          <w:sz w:val="20"/>
          <w:szCs w:val="20"/>
        </w:rPr>
        <w:t>management</w:t>
      </w:r>
      <w:r w:rsidRPr="00DA426E">
        <w:rPr>
          <w:rFonts w:ascii="Arial" w:eastAsia="Times New Roman" w:hAnsi="Arial" w:cs="Arial"/>
          <w:sz w:val="20"/>
          <w:szCs w:val="20"/>
          <w:lang w:val="en"/>
        </w:rPr>
        <w:t xml:space="preserve"> practices like sanitation, hygiene, deworming </w:t>
      </w:r>
      <w:r w:rsidRPr="00DA426E">
        <w:rPr>
          <w:rFonts w:ascii="Arial" w:eastAsia="Times New Roman" w:hAnsi="Arial" w:cs="Arial"/>
          <w:sz w:val="20"/>
          <w:szCs w:val="20"/>
        </w:rPr>
        <w:t>were</w:t>
      </w:r>
      <w:r w:rsidRPr="00DA426E">
        <w:rPr>
          <w:rFonts w:ascii="Arial" w:eastAsia="Times New Roman" w:hAnsi="Arial" w:cs="Arial"/>
          <w:sz w:val="20"/>
          <w:szCs w:val="20"/>
          <w:lang w:val="en"/>
        </w:rPr>
        <w:t xml:space="preserve"> followed throughout the study period. Prior to the start of experiment deworming done using Ivermectin at the rate of 0.2mg/kg body weight.</w:t>
      </w:r>
      <w:r w:rsidRPr="00DA426E">
        <w:rPr>
          <w:rFonts w:ascii="Arial" w:hAnsi="Arial" w:cs="Arial"/>
          <w:sz w:val="20"/>
          <w:szCs w:val="20"/>
        </w:rPr>
        <w:t xml:space="preserve"> Basal diet comprised green maize fodder and concentrate feed mixture (CFM) of 50% commercial pellets, 30% wheat bran, and 20% Bengal gram husk. The CFM was soaked and fed at 6 g/100 g body weight daily, supplemented with calcium (50 mg/kg BW twice weekly) and vitamin C (5 mg/100 g BW, five days weekly). Water was available ad libitum. Body weights were measured weekly to calculate growth and average daily gain (ADG). </w:t>
      </w:r>
      <w:r w:rsidRPr="00DA426E">
        <w:rPr>
          <w:rFonts w:ascii="Arial" w:hAnsi="Arial" w:cs="Arial"/>
          <w:bCs/>
          <w:sz w:val="20"/>
          <w:szCs w:val="20"/>
        </w:rPr>
        <w:t>The duration of the experiment elapsed from weaning (approximately 28 days) up to their first furrowing followed by weaning of F1 generation pups</w:t>
      </w:r>
      <w:r>
        <w:rPr>
          <w:rFonts w:ascii="Arial" w:hAnsi="Arial" w:cs="Arial"/>
          <w:bCs/>
          <w:sz w:val="20"/>
          <w:szCs w:val="20"/>
        </w:rPr>
        <w:t>.</w:t>
      </w:r>
    </w:p>
    <w:p w14:paraId="42A071B9" w14:textId="77777777" w:rsidR="00F474AA" w:rsidRPr="005D00AA" w:rsidRDefault="00F474AA" w:rsidP="00F474AA">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 xml:space="preserve">3. </w:t>
      </w:r>
      <w:bookmarkStart w:id="0" w:name="_GoBack"/>
      <w:r w:rsidRPr="005D00AA">
        <w:rPr>
          <w:rFonts w:ascii="Arial" w:eastAsia="Times New Roman" w:hAnsi="Arial" w:cs="Arial"/>
          <w:b/>
          <w:bCs/>
          <w:caps/>
          <w:lang w:eastAsia="en-IN"/>
        </w:rPr>
        <w:t>Result</w:t>
      </w:r>
      <w:bookmarkEnd w:id="0"/>
      <w:r w:rsidRPr="005D00AA">
        <w:rPr>
          <w:rFonts w:ascii="Arial" w:eastAsia="Times New Roman" w:hAnsi="Arial" w:cs="Arial"/>
          <w:b/>
          <w:bCs/>
          <w:caps/>
          <w:lang w:eastAsia="en-IN"/>
        </w:rPr>
        <w:t>s and discussion</w:t>
      </w:r>
    </w:p>
    <w:p w14:paraId="20379D80" w14:textId="77777777" w:rsidR="00F474AA" w:rsidRDefault="00F474AA" w:rsidP="00F474AA">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 xml:space="preserve">3.1 </w:t>
      </w:r>
      <w:r>
        <w:rPr>
          <w:rFonts w:ascii="Arial" w:eastAsia="Times New Roman" w:hAnsi="Arial" w:cs="Arial"/>
          <w:b/>
          <w:bCs/>
          <w:lang w:eastAsia="en-IN"/>
        </w:rPr>
        <w:t>BODY WEIGHT OF SOWS</w:t>
      </w:r>
    </w:p>
    <w:p w14:paraId="10A2026E" w14:textId="77777777" w:rsidR="00F474AA" w:rsidRPr="00731F1F" w:rsidRDefault="00F474AA" w:rsidP="00F474AA">
      <w:pPr>
        <w:rPr>
          <w:rFonts w:ascii="Arial" w:eastAsia="Times New Roman" w:hAnsi="Arial" w:cs="Arial"/>
          <w:b/>
          <w:bCs/>
          <w:sz w:val="20"/>
          <w:szCs w:val="20"/>
          <w:lang w:eastAsia="en-IN"/>
        </w:rPr>
      </w:pPr>
      <w:r w:rsidRPr="00731F1F">
        <w:rPr>
          <w:rFonts w:ascii="Arial" w:hAnsi="Arial" w:cs="Arial"/>
          <w:sz w:val="20"/>
          <w:szCs w:val="20"/>
        </w:rPr>
        <w:t xml:space="preserve">The mean (±SE) body weight (g) values of guinea pigs in two treatment groups (T-1 and T-2) recorded at weekly intervals throughout the experimental period are presented in Table 1. The initial body weights of sows in both groups were statistically comparable (184.40 ± 7.809 g in T-1 and 183.80 ± 7.971 g in T-2) with no significant difference </w:t>
      </w:r>
      <w:r w:rsidRPr="00731F1F">
        <w:rPr>
          <w:rFonts w:ascii="Arial" w:hAnsi="Arial" w:cs="Arial"/>
          <w:i/>
          <w:iCs/>
          <w:sz w:val="20"/>
          <w:szCs w:val="20"/>
        </w:rPr>
        <w:t>(P &gt; 0.05).</w:t>
      </w:r>
      <w:r w:rsidRPr="00731F1F">
        <w:rPr>
          <w:rFonts w:ascii="Arial" w:hAnsi="Arial" w:cs="Arial"/>
          <w:sz w:val="20"/>
          <w:szCs w:val="20"/>
        </w:rPr>
        <w:t xml:space="preserve"> A gradual and consistent increase in body weight was observed in both groups from week I up to week XVIII.  By the tenth week, the mean body weight had increased to 425.20 ± 9.163 g in T-1 and 428.10 ± 9.037 g in T-2. The body weight gain continued steadily thereafter, reaching peak values of 696.90 ± 23.290 g in T1 and 673.20 ± 31.420 g in T2 at the eighteenth week. A slight decline in mean body weight was noted during weeks XIX and XX, likely due to parturition and associated physiological changes.   Postpartum recovery and stabilization of body weight were evident from week XXI onwards, with values of 556.00 ± 10.260 g (T1) and 559.60 ± 20.210 g (T2), which further increased slightly towards the end of the study (week XXIII: 595.30 ± 8.543 g in T</w:t>
      </w:r>
      <w:r w:rsidRPr="00731F1F">
        <w:rPr>
          <w:rFonts w:ascii="Cambria Math" w:hAnsi="Cambria Math" w:cs="Cambria Math"/>
          <w:sz w:val="20"/>
          <w:szCs w:val="20"/>
        </w:rPr>
        <w:t>₁</w:t>
      </w:r>
      <w:r w:rsidRPr="00731F1F">
        <w:rPr>
          <w:rFonts w:ascii="Arial" w:hAnsi="Arial" w:cs="Arial"/>
          <w:sz w:val="20"/>
          <w:szCs w:val="20"/>
        </w:rPr>
        <w:t xml:space="preserve"> and 601.90 ± 11.740 g in T</w:t>
      </w:r>
      <w:r w:rsidRPr="00731F1F">
        <w:rPr>
          <w:rFonts w:ascii="Cambria Math" w:hAnsi="Cambria Math" w:cs="Cambria Math"/>
          <w:sz w:val="20"/>
          <w:szCs w:val="20"/>
        </w:rPr>
        <w:t>₂</w:t>
      </w:r>
      <w:r w:rsidRPr="00731F1F">
        <w:rPr>
          <w:rFonts w:ascii="Arial" w:hAnsi="Arial" w:cs="Arial"/>
          <w:sz w:val="20"/>
          <w:szCs w:val="20"/>
        </w:rPr>
        <w:t>).  Statistical analysis revealed no significant differences (</w:t>
      </w:r>
      <w:r w:rsidRPr="00731F1F">
        <w:rPr>
          <w:rFonts w:ascii="Arial" w:hAnsi="Arial" w:cs="Arial"/>
          <w:i/>
          <w:iCs/>
          <w:sz w:val="20"/>
          <w:szCs w:val="20"/>
        </w:rPr>
        <w:t>P &gt; 0.05</w:t>
      </w:r>
      <w:r w:rsidRPr="00731F1F">
        <w:rPr>
          <w:rFonts w:ascii="Arial" w:hAnsi="Arial" w:cs="Arial"/>
          <w:sz w:val="20"/>
          <w:szCs w:val="20"/>
        </w:rPr>
        <w:t>) in mean weekly body weight between the two groups throughout the experimental period.</w:t>
      </w:r>
    </w:p>
    <w:p w14:paraId="32440204" w14:textId="77777777" w:rsidR="00F474AA" w:rsidRPr="00220BE0" w:rsidRDefault="00F474AA" w:rsidP="00F474AA">
      <w:pPr>
        <w:jc w:val="both"/>
        <w:rPr>
          <w:rFonts w:ascii="Arial" w:hAnsi="Arial" w:cs="Arial"/>
          <w:sz w:val="20"/>
          <w:szCs w:val="20"/>
        </w:rPr>
      </w:pPr>
      <w:r w:rsidRPr="00220BE0">
        <w:rPr>
          <w:rFonts w:ascii="Arial" w:hAnsi="Arial" w:cs="Arial"/>
          <w:sz w:val="20"/>
          <w:szCs w:val="20"/>
        </w:rPr>
        <w:t xml:space="preserve">The growth trend observed aligns with previous studies reporting a continuous weight gain pattern in guinea pigs during gestation due to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development, increased maternal tissue deposition, and elevated metabolic activity (Castro </w:t>
      </w:r>
      <w:proofErr w:type="spellStart"/>
      <w:r w:rsidRPr="00220BE0">
        <w:rPr>
          <w:rFonts w:ascii="Arial" w:hAnsi="Arial" w:cs="Arial"/>
          <w:sz w:val="20"/>
          <w:szCs w:val="20"/>
        </w:rPr>
        <w:t>Bedrinana</w:t>
      </w:r>
      <w:proofErr w:type="spellEnd"/>
      <w:r w:rsidRPr="00220BE0">
        <w:rPr>
          <w:rFonts w:ascii="Arial" w:hAnsi="Arial" w:cs="Arial"/>
          <w:sz w:val="20"/>
          <w:szCs w:val="20"/>
        </w:rPr>
        <w:t xml:space="preserve"> and Chirinos </w:t>
      </w:r>
      <w:proofErr w:type="spellStart"/>
      <w:r w:rsidRPr="00220BE0">
        <w:rPr>
          <w:rFonts w:ascii="Arial" w:hAnsi="Arial" w:cs="Arial"/>
          <w:sz w:val="20"/>
          <w:szCs w:val="20"/>
        </w:rPr>
        <w:t>Peinado</w:t>
      </w:r>
      <w:proofErr w:type="spellEnd"/>
      <w:r w:rsidRPr="00220BE0">
        <w:rPr>
          <w:rFonts w:ascii="Arial" w:hAnsi="Arial" w:cs="Arial"/>
          <w:sz w:val="20"/>
          <w:szCs w:val="20"/>
        </w:rPr>
        <w:t xml:space="preserve">, 2021). According to Harkness and Wagner (2010), weight gain in guinea pigs is most pronounced during mid to late gestation, corresponding to rapid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growth and mammary tissue development</w:t>
      </w:r>
      <w:r>
        <w:rPr>
          <w:rFonts w:ascii="Arial" w:hAnsi="Arial" w:cs="Arial"/>
          <w:sz w:val="20"/>
          <w:szCs w:val="20"/>
        </w:rPr>
        <w:t>.</w:t>
      </w:r>
      <w:r w:rsidRPr="00220BE0">
        <w:rPr>
          <w:rFonts w:ascii="Arial" w:hAnsi="Arial" w:cs="Arial"/>
          <w:sz w:val="20"/>
          <w:szCs w:val="20"/>
        </w:rPr>
        <w:t xml:space="preserve"> Several studies have reported that when stocking density remains within the recommended welfare limits, guinea pigs maintain normal growth patterns and exhibit no significant differences in performance traits (Arias </w:t>
      </w:r>
      <w:r w:rsidRPr="00220BE0">
        <w:rPr>
          <w:rFonts w:ascii="Arial" w:hAnsi="Arial" w:cs="Arial"/>
          <w:i/>
          <w:iCs/>
          <w:sz w:val="20"/>
          <w:szCs w:val="20"/>
        </w:rPr>
        <w:t>et al</w:t>
      </w:r>
      <w:r w:rsidRPr="00220BE0">
        <w:rPr>
          <w:rFonts w:ascii="Arial" w:hAnsi="Arial" w:cs="Arial"/>
          <w:sz w:val="20"/>
          <w:szCs w:val="20"/>
        </w:rPr>
        <w:t>., 2015).</w:t>
      </w:r>
    </w:p>
    <w:p w14:paraId="760E14F0" w14:textId="77777777" w:rsidR="00F474AA" w:rsidRPr="00220BE0" w:rsidRDefault="00F474AA" w:rsidP="00F474AA">
      <w:pPr>
        <w:jc w:val="both"/>
        <w:rPr>
          <w:rFonts w:ascii="Arial" w:hAnsi="Arial" w:cs="Arial"/>
          <w:sz w:val="20"/>
          <w:szCs w:val="20"/>
        </w:rPr>
      </w:pPr>
      <w:r w:rsidRPr="00220BE0">
        <w:rPr>
          <w:rFonts w:ascii="Arial" w:hAnsi="Arial" w:cs="Arial"/>
          <w:sz w:val="20"/>
          <w:szCs w:val="20"/>
        </w:rPr>
        <w:t xml:space="preserve"> Additionally, body weight progression serves as a valuable indirect indicator of welfare status. According to the European Food Safety Authority (EFSA, 2017), stable and consistent growth patterns indicate the absence of chronic stress and adequate adaptation to environmental conditions. The steady weight gain in both groups in our study suggests that the housing environment, feed quality, and management practices were sufficient to meet the animal physiological needs.</w:t>
      </w:r>
    </w:p>
    <w:p w14:paraId="154631F4" w14:textId="77777777" w:rsidR="00F474AA" w:rsidRDefault="00F474AA" w:rsidP="00F474AA">
      <w:pPr>
        <w:spacing w:before="280" w:after="0" w:line="480" w:lineRule="auto"/>
        <w:ind w:firstLine="720"/>
        <w:rPr>
          <w:rFonts w:ascii="Arial" w:hAnsi="Arial" w:cs="Arial"/>
          <w:b/>
          <w:bCs/>
          <w:sz w:val="20"/>
          <w:szCs w:val="20"/>
          <w:lang w:val="en-US"/>
        </w:rPr>
      </w:pPr>
      <w:r>
        <w:rPr>
          <w:rFonts w:ascii="Arial" w:hAnsi="Arial" w:cs="Arial"/>
          <w:b/>
          <w:bCs/>
          <w:sz w:val="20"/>
          <w:szCs w:val="20"/>
          <w:lang w:val="en-US"/>
        </w:rPr>
        <w:t xml:space="preserve">                      </w:t>
      </w:r>
      <w:r w:rsidRPr="005D00AA">
        <w:rPr>
          <w:rFonts w:ascii="Arial" w:hAnsi="Arial" w:cs="Arial"/>
          <w:b/>
          <w:bCs/>
          <w:sz w:val="20"/>
          <w:szCs w:val="20"/>
          <w:lang w:val="en-US"/>
        </w:rPr>
        <w:t xml:space="preserve">Table 1: </w:t>
      </w:r>
      <w:r>
        <w:rPr>
          <w:rFonts w:ascii="Arial" w:hAnsi="Arial" w:cs="Arial"/>
          <w:b/>
          <w:bCs/>
          <w:sz w:val="20"/>
          <w:szCs w:val="20"/>
          <w:lang w:val="en-US"/>
        </w:rPr>
        <w:t xml:space="preserve">Weekly body weight (g) of sows </w:t>
      </w:r>
    </w:p>
    <w:tbl>
      <w:tblPr>
        <w:tblW w:w="9062" w:type="dxa"/>
        <w:tblLook w:val="04A0" w:firstRow="1" w:lastRow="0" w:firstColumn="1" w:lastColumn="0" w:noHBand="0" w:noVBand="1"/>
      </w:tblPr>
      <w:tblGrid>
        <w:gridCol w:w="1124"/>
        <w:gridCol w:w="1418"/>
        <w:gridCol w:w="2268"/>
        <w:gridCol w:w="2268"/>
        <w:gridCol w:w="1984"/>
      </w:tblGrid>
      <w:tr w:rsidR="00F474AA" w:rsidRPr="00B50A5C" w14:paraId="0F13C489" w14:textId="77777777" w:rsidTr="008A1E83">
        <w:trPr>
          <w:trHeight w:val="330"/>
        </w:trPr>
        <w:tc>
          <w:tcPr>
            <w:tcW w:w="1124" w:type="dxa"/>
            <w:tcBorders>
              <w:top w:val="single" w:sz="8" w:space="0" w:color="auto"/>
              <w:left w:val="single" w:sz="8" w:space="0" w:color="auto"/>
              <w:bottom w:val="single" w:sz="8" w:space="0" w:color="auto"/>
              <w:right w:val="single" w:sz="8" w:space="0" w:color="auto"/>
            </w:tcBorders>
            <w:vAlign w:val="center"/>
            <w:hideMark/>
          </w:tcPr>
          <w:p w14:paraId="40F70D5F" w14:textId="77777777" w:rsidR="00F474AA" w:rsidRPr="00B50A5C" w:rsidRDefault="00F474AA" w:rsidP="008A1E83">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Sl. No.</w:t>
            </w:r>
          </w:p>
        </w:tc>
        <w:tc>
          <w:tcPr>
            <w:tcW w:w="1418" w:type="dxa"/>
            <w:tcBorders>
              <w:top w:val="single" w:sz="8" w:space="0" w:color="auto"/>
              <w:left w:val="nil"/>
              <w:bottom w:val="single" w:sz="8" w:space="0" w:color="auto"/>
              <w:right w:val="single" w:sz="8" w:space="0" w:color="auto"/>
            </w:tcBorders>
            <w:vAlign w:val="center"/>
            <w:hideMark/>
          </w:tcPr>
          <w:p w14:paraId="60C8C409" w14:textId="77777777" w:rsidR="00F474AA" w:rsidRPr="00B50A5C" w:rsidRDefault="00F474AA" w:rsidP="008A1E83">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111574E6" w14:textId="77777777" w:rsidR="00F474AA" w:rsidRPr="00B50A5C" w:rsidRDefault="00F474AA" w:rsidP="008A1E83">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T-1</w:t>
            </w:r>
          </w:p>
        </w:tc>
        <w:tc>
          <w:tcPr>
            <w:tcW w:w="2268" w:type="dxa"/>
            <w:tcBorders>
              <w:top w:val="single" w:sz="8" w:space="0" w:color="auto"/>
              <w:left w:val="nil"/>
              <w:bottom w:val="single" w:sz="8" w:space="0" w:color="auto"/>
              <w:right w:val="single" w:sz="8" w:space="0" w:color="auto"/>
            </w:tcBorders>
            <w:vAlign w:val="center"/>
            <w:hideMark/>
          </w:tcPr>
          <w:p w14:paraId="7F32570B" w14:textId="77777777" w:rsidR="00F474AA" w:rsidRPr="00B50A5C" w:rsidRDefault="00F474AA" w:rsidP="008A1E83">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T-2</w:t>
            </w:r>
          </w:p>
        </w:tc>
        <w:tc>
          <w:tcPr>
            <w:tcW w:w="1984" w:type="dxa"/>
            <w:tcBorders>
              <w:top w:val="single" w:sz="8" w:space="0" w:color="auto"/>
              <w:left w:val="nil"/>
              <w:bottom w:val="single" w:sz="8" w:space="0" w:color="auto"/>
              <w:right w:val="single" w:sz="8" w:space="0" w:color="auto"/>
            </w:tcBorders>
            <w:vAlign w:val="center"/>
            <w:hideMark/>
          </w:tcPr>
          <w:p w14:paraId="494249BD" w14:textId="77777777" w:rsidR="00F474AA" w:rsidRPr="00B50A5C" w:rsidRDefault="00F474AA" w:rsidP="008A1E83">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Significance</w:t>
            </w:r>
          </w:p>
        </w:tc>
      </w:tr>
      <w:tr w:rsidR="00F474AA" w:rsidRPr="00B50A5C" w14:paraId="7B0E04F9"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04676C5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w:t>
            </w:r>
          </w:p>
        </w:tc>
        <w:tc>
          <w:tcPr>
            <w:tcW w:w="1418" w:type="dxa"/>
            <w:tcBorders>
              <w:top w:val="nil"/>
              <w:left w:val="nil"/>
              <w:bottom w:val="single" w:sz="8" w:space="0" w:color="auto"/>
              <w:right w:val="single" w:sz="8" w:space="0" w:color="auto"/>
            </w:tcBorders>
            <w:vAlign w:val="center"/>
          </w:tcPr>
          <w:p w14:paraId="0EB37A9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1673469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184.40 ± 7.809</w:t>
            </w:r>
          </w:p>
        </w:tc>
        <w:tc>
          <w:tcPr>
            <w:tcW w:w="2268" w:type="dxa"/>
            <w:tcBorders>
              <w:top w:val="nil"/>
              <w:left w:val="nil"/>
              <w:bottom w:val="single" w:sz="8" w:space="0" w:color="auto"/>
              <w:right w:val="single" w:sz="8" w:space="0" w:color="auto"/>
            </w:tcBorders>
            <w:vAlign w:val="center"/>
            <w:hideMark/>
          </w:tcPr>
          <w:p w14:paraId="5F6867EC"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183.80 ± 7.971</w:t>
            </w:r>
          </w:p>
        </w:tc>
        <w:tc>
          <w:tcPr>
            <w:tcW w:w="1984" w:type="dxa"/>
            <w:vMerge w:val="restart"/>
            <w:tcBorders>
              <w:top w:val="single" w:sz="8" w:space="0" w:color="auto"/>
              <w:left w:val="single" w:sz="8" w:space="0" w:color="auto"/>
              <w:bottom w:val="single" w:sz="4" w:space="0" w:color="auto"/>
              <w:right w:val="single" w:sz="8" w:space="0" w:color="auto"/>
            </w:tcBorders>
            <w:vAlign w:val="center"/>
            <w:hideMark/>
          </w:tcPr>
          <w:p w14:paraId="4367AAB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roofErr w:type="spellStart"/>
            <w:proofErr w:type="gramStart"/>
            <w:r w:rsidRPr="00B50A5C">
              <w:rPr>
                <w:rFonts w:ascii="Arial" w:eastAsia="Times New Roman" w:hAnsi="Arial" w:cs="Arial"/>
                <w:color w:val="000000"/>
                <w:sz w:val="20"/>
                <w:szCs w:val="20"/>
                <w:lang w:eastAsia="en-IN"/>
              </w:rPr>
              <w:t>N</w:t>
            </w:r>
            <w:r>
              <w:rPr>
                <w:rFonts w:ascii="Arial" w:eastAsia="Times New Roman" w:hAnsi="Arial" w:cs="Arial"/>
                <w:color w:val="000000"/>
                <w:sz w:val="20"/>
                <w:szCs w:val="20"/>
                <w:lang w:eastAsia="en-IN"/>
              </w:rPr>
              <w:t xml:space="preserve">on </w:t>
            </w:r>
            <w:r w:rsidRPr="00B50A5C">
              <w:rPr>
                <w:rFonts w:ascii="Arial" w:eastAsia="Times New Roman" w:hAnsi="Arial" w:cs="Arial"/>
                <w:color w:val="000000"/>
                <w:sz w:val="20"/>
                <w:szCs w:val="20"/>
                <w:lang w:eastAsia="en-IN"/>
              </w:rPr>
              <w:t>S</w:t>
            </w:r>
            <w:r>
              <w:rPr>
                <w:rFonts w:ascii="Arial" w:eastAsia="Times New Roman" w:hAnsi="Arial" w:cs="Arial"/>
                <w:color w:val="000000"/>
                <w:sz w:val="20"/>
                <w:szCs w:val="20"/>
                <w:lang w:eastAsia="en-IN"/>
              </w:rPr>
              <w:t>ignificant</w:t>
            </w:r>
            <w:proofErr w:type="spellEnd"/>
            <w:proofErr w:type="gramEnd"/>
          </w:p>
        </w:tc>
      </w:tr>
      <w:tr w:rsidR="00F474AA" w:rsidRPr="00B50A5C" w14:paraId="340A2FD2"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63E1CF5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w:t>
            </w:r>
          </w:p>
        </w:tc>
        <w:tc>
          <w:tcPr>
            <w:tcW w:w="1418" w:type="dxa"/>
            <w:tcBorders>
              <w:top w:val="nil"/>
              <w:left w:val="nil"/>
              <w:bottom w:val="single" w:sz="8" w:space="0" w:color="auto"/>
              <w:right w:val="single" w:sz="8" w:space="0" w:color="auto"/>
            </w:tcBorders>
            <w:vAlign w:val="center"/>
          </w:tcPr>
          <w:p w14:paraId="68DD66B8"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10BAA0AD"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209.30 ± 7.719</w:t>
            </w:r>
          </w:p>
        </w:tc>
        <w:tc>
          <w:tcPr>
            <w:tcW w:w="2268" w:type="dxa"/>
            <w:tcBorders>
              <w:top w:val="nil"/>
              <w:left w:val="nil"/>
              <w:bottom w:val="single" w:sz="8" w:space="0" w:color="auto"/>
              <w:right w:val="single" w:sz="8" w:space="0" w:color="auto"/>
            </w:tcBorders>
            <w:vAlign w:val="center"/>
            <w:hideMark/>
          </w:tcPr>
          <w:p w14:paraId="62B2BBAD"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207.10 ± 7.082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7DD6C9D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20369841"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05D968B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w:t>
            </w:r>
          </w:p>
        </w:tc>
        <w:tc>
          <w:tcPr>
            <w:tcW w:w="1418" w:type="dxa"/>
            <w:tcBorders>
              <w:top w:val="nil"/>
              <w:left w:val="nil"/>
              <w:bottom w:val="single" w:sz="8" w:space="0" w:color="auto"/>
              <w:right w:val="single" w:sz="8" w:space="0" w:color="auto"/>
            </w:tcBorders>
            <w:vAlign w:val="center"/>
          </w:tcPr>
          <w:p w14:paraId="00936E7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33012B89"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226.70 ± 7.704</w:t>
            </w:r>
          </w:p>
        </w:tc>
        <w:tc>
          <w:tcPr>
            <w:tcW w:w="2268" w:type="dxa"/>
            <w:tcBorders>
              <w:top w:val="nil"/>
              <w:left w:val="nil"/>
              <w:bottom w:val="single" w:sz="8" w:space="0" w:color="auto"/>
              <w:right w:val="single" w:sz="8" w:space="0" w:color="auto"/>
            </w:tcBorders>
            <w:vAlign w:val="center"/>
            <w:hideMark/>
          </w:tcPr>
          <w:p w14:paraId="4EF006F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225.60 ± 7.085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94892D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440962DD"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697BAE08"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lastRenderedPageBreak/>
              <w:t>4</w:t>
            </w:r>
          </w:p>
        </w:tc>
        <w:tc>
          <w:tcPr>
            <w:tcW w:w="1418" w:type="dxa"/>
            <w:tcBorders>
              <w:top w:val="nil"/>
              <w:left w:val="nil"/>
              <w:bottom w:val="single" w:sz="8" w:space="0" w:color="auto"/>
              <w:right w:val="single" w:sz="8" w:space="0" w:color="auto"/>
            </w:tcBorders>
            <w:vAlign w:val="center"/>
          </w:tcPr>
          <w:p w14:paraId="48D0607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7D1297B6"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246.20 ± 7.322</w:t>
            </w:r>
          </w:p>
        </w:tc>
        <w:tc>
          <w:tcPr>
            <w:tcW w:w="2268" w:type="dxa"/>
            <w:tcBorders>
              <w:top w:val="nil"/>
              <w:left w:val="nil"/>
              <w:bottom w:val="single" w:sz="8" w:space="0" w:color="auto"/>
              <w:right w:val="single" w:sz="8" w:space="0" w:color="auto"/>
            </w:tcBorders>
            <w:vAlign w:val="center"/>
            <w:hideMark/>
          </w:tcPr>
          <w:p w14:paraId="4D532E6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245.30 ± 6.985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B2921F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74927076"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37229978"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w:t>
            </w:r>
          </w:p>
        </w:tc>
        <w:tc>
          <w:tcPr>
            <w:tcW w:w="1418" w:type="dxa"/>
            <w:tcBorders>
              <w:top w:val="nil"/>
              <w:left w:val="nil"/>
              <w:bottom w:val="single" w:sz="8" w:space="0" w:color="auto"/>
              <w:right w:val="single" w:sz="8" w:space="0" w:color="auto"/>
            </w:tcBorders>
            <w:vAlign w:val="center"/>
          </w:tcPr>
          <w:p w14:paraId="45665A9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02AF714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278.30 ± 8.056</w:t>
            </w:r>
          </w:p>
        </w:tc>
        <w:tc>
          <w:tcPr>
            <w:tcW w:w="2268" w:type="dxa"/>
            <w:tcBorders>
              <w:top w:val="nil"/>
              <w:left w:val="nil"/>
              <w:bottom w:val="single" w:sz="8" w:space="0" w:color="auto"/>
              <w:right w:val="single" w:sz="8" w:space="0" w:color="auto"/>
            </w:tcBorders>
            <w:vAlign w:val="center"/>
            <w:hideMark/>
          </w:tcPr>
          <w:p w14:paraId="1F99CA19"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278.80 ± 7.857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9EAECFC"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6D661139"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30F154C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w:t>
            </w:r>
          </w:p>
        </w:tc>
        <w:tc>
          <w:tcPr>
            <w:tcW w:w="1418" w:type="dxa"/>
            <w:tcBorders>
              <w:top w:val="nil"/>
              <w:left w:val="nil"/>
              <w:bottom w:val="single" w:sz="8" w:space="0" w:color="auto"/>
              <w:right w:val="single" w:sz="8" w:space="0" w:color="auto"/>
            </w:tcBorders>
            <w:vAlign w:val="center"/>
          </w:tcPr>
          <w:p w14:paraId="354F391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3B4D90B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312.30 ± 9.277</w:t>
            </w:r>
          </w:p>
        </w:tc>
        <w:tc>
          <w:tcPr>
            <w:tcW w:w="2268" w:type="dxa"/>
            <w:tcBorders>
              <w:top w:val="nil"/>
              <w:left w:val="nil"/>
              <w:bottom w:val="single" w:sz="8" w:space="0" w:color="auto"/>
              <w:right w:val="single" w:sz="8" w:space="0" w:color="auto"/>
            </w:tcBorders>
            <w:vAlign w:val="center"/>
            <w:hideMark/>
          </w:tcPr>
          <w:p w14:paraId="29B60EF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311.00 ± 9.028</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4868893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5960B370"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7FAFA1A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7</w:t>
            </w:r>
          </w:p>
        </w:tc>
        <w:tc>
          <w:tcPr>
            <w:tcW w:w="1418" w:type="dxa"/>
            <w:tcBorders>
              <w:top w:val="nil"/>
              <w:left w:val="nil"/>
              <w:bottom w:val="single" w:sz="8" w:space="0" w:color="auto"/>
              <w:right w:val="single" w:sz="8" w:space="0" w:color="auto"/>
            </w:tcBorders>
            <w:vAlign w:val="center"/>
          </w:tcPr>
          <w:p w14:paraId="0FD97DE1"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25BEDE1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343.80 ± 9.059</w:t>
            </w:r>
          </w:p>
        </w:tc>
        <w:tc>
          <w:tcPr>
            <w:tcW w:w="2268" w:type="dxa"/>
            <w:tcBorders>
              <w:top w:val="nil"/>
              <w:left w:val="nil"/>
              <w:bottom w:val="single" w:sz="8" w:space="0" w:color="auto"/>
              <w:right w:val="single" w:sz="8" w:space="0" w:color="auto"/>
            </w:tcBorders>
            <w:vAlign w:val="center"/>
            <w:hideMark/>
          </w:tcPr>
          <w:p w14:paraId="265B829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342.30± 9.040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FAD60A1"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6320F487"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6DD0BD4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8</w:t>
            </w:r>
          </w:p>
        </w:tc>
        <w:tc>
          <w:tcPr>
            <w:tcW w:w="1418" w:type="dxa"/>
            <w:tcBorders>
              <w:top w:val="nil"/>
              <w:left w:val="nil"/>
              <w:bottom w:val="single" w:sz="8" w:space="0" w:color="auto"/>
              <w:right w:val="single" w:sz="8" w:space="0" w:color="auto"/>
            </w:tcBorders>
            <w:vAlign w:val="center"/>
          </w:tcPr>
          <w:p w14:paraId="7BFB4F92"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r>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7328862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372.80 ± 8.693</w:t>
            </w:r>
          </w:p>
        </w:tc>
        <w:tc>
          <w:tcPr>
            <w:tcW w:w="2268" w:type="dxa"/>
            <w:tcBorders>
              <w:top w:val="nil"/>
              <w:left w:val="nil"/>
              <w:bottom w:val="single" w:sz="8" w:space="0" w:color="auto"/>
              <w:right w:val="single" w:sz="8" w:space="0" w:color="auto"/>
            </w:tcBorders>
            <w:vAlign w:val="center"/>
            <w:hideMark/>
          </w:tcPr>
          <w:p w14:paraId="74AF789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371.50 ± 9.682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AB1D40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23A5ACE2"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0251B7E9"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9</w:t>
            </w:r>
          </w:p>
        </w:tc>
        <w:tc>
          <w:tcPr>
            <w:tcW w:w="1418" w:type="dxa"/>
            <w:tcBorders>
              <w:top w:val="nil"/>
              <w:left w:val="nil"/>
              <w:bottom w:val="single" w:sz="8" w:space="0" w:color="auto"/>
              <w:right w:val="single" w:sz="8" w:space="0" w:color="auto"/>
            </w:tcBorders>
            <w:vAlign w:val="center"/>
            <w:hideMark/>
          </w:tcPr>
          <w:p w14:paraId="1409297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3E882FB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394.20 ± 8.721</w:t>
            </w:r>
          </w:p>
        </w:tc>
        <w:tc>
          <w:tcPr>
            <w:tcW w:w="2268" w:type="dxa"/>
            <w:tcBorders>
              <w:top w:val="nil"/>
              <w:left w:val="nil"/>
              <w:bottom w:val="single" w:sz="8" w:space="0" w:color="auto"/>
              <w:right w:val="single" w:sz="8" w:space="0" w:color="auto"/>
            </w:tcBorders>
            <w:vAlign w:val="center"/>
            <w:hideMark/>
          </w:tcPr>
          <w:p w14:paraId="099C6C63"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392.80 ± 9.760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0F6B5B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63C064D2"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25E6228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10</w:t>
            </w:r>
          </w:p>
        </w:tc>
        <w:tc>
          <w:tcPr>
            <w:tcW w:w="1418" w:type="dxa"/>
            <w:tcBorders>
              <w:top w:val="nil"/>
              <w:left w:val="nil"/>
              <w:bottom w:val="single" w:sz="8" w:space="0" w:color="auto"/>
              <w:right w:val="single" w:sz="8" w:space="0" w:color="auto"/>
            </w:tcBorders>
            <w:vAlign w:val="center"/>
            <w:hideMark/>
          </w:tcPr>
          <w:p w14:paraId="08C8943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11EB4B7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425.20 ± 9.163</w:t>
            </w:r>
          </w:p>
        </w:tc>
        <w:tc>
          <w:tcPr>
            <w:tcW w:w="2268" w:type="dxa"/>
            <w:tcBorders>
              <w:top w:val="nil"/>
              <w:left w:val="nil"/>
              <w:bottom w:val="single" w:sz="8" w:space="0" w:color="auto"/>
              <w:right w:val="single" w:sz="8" w:space="0" w:color="auto"/>
            </w:tcBorders>
            <w:vAlign w:val="center"/>
            <w:hideMark/>
          </w:tcPr>
          <w:p w14:paraId="0ABAD84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428.10 ± 9.037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D077FD8"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27227694"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66E8C6F2"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11</w:t>
            </w:r>
          </w:p>
        </w:tc>
        <w:tc>
          <w:tcPr>
            <w:tcW w:w="1418" w:type="dxa"/>
            <w:tcBorders>
              <w:top w:val="nil"/>
              <w:left w:val="nil"/>
              <w:bottom w:val="single" w:sz="8" w:space="0" w:color="auto"/>
              <w:right w:val="single" w:sz="8" w:space="0" w:color="auto"/>
            </w:tcBorders>
            <w:vAlign w:val="center"/>
            <w:hideMark/>
          </w:tcPr>
          <w:p w14:paraId="0B25190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293D85E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458.00 ± 8.554</w:t>
            </w:r>
          </w:p>
        </w:tc>
        <w:tc>
          <w:tcPr>
            <w:tcW w:w="2268" w:type="dxa"/>
            <w:tcBorders>
              <w:top w:val="nil"/>
              <w:left w:val="nil"/>
              <w:bottom w:val="single" w:sz="8" w:space="0" w:color="auto"/>
              <w:right w:val="single" w:sz="8" w:space="0" w:color="auto"/>
            </w:tcBorders>
            <w:vAlign w:val="center"/>
            <w:hideMark/>
          </w:tcPr>
          <w:p w14:paraId="38467B0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460.60 ± 13.540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2EBB243"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1B447092"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702BD51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12</w:t>
            </w:r>
          </w:p>
        </w:tc>
        <w:tc>
          <w:tcPr>
            <w:tcW w:w="1418" w:type="dxa"/>
            <w:tcBorders>
              <w:top w:val="nil"/>
              <w:left w:val="nil"/>
              <w:bottom w:val="single" w:sz="8" w:space="0" w:color="auto"/>
              <w:right w:val="single" w:sz="8" w:space="0" w:color="auto"/>
            </w:tcBorders>
            <w:vAlign w:val="center"/>
            <w:hideMark/>
          </w:tcPr>
          <w:p w14:paraId="5C9BF06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6563BAF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489.40 ± 10.170</w:t>
            </w:r>
          </w:p>
        </w:tc>
        <w:tc>
          <w:tcPr>
            <w:tcW w:w="2268" w:type="dxa"/>
            <w:tcBorders>
              <w:top w:val="nil"/>
              <w:left w:val="nil"/>
              <w:bottom w:val="single" w:sz="8" w:space="0" w:color="auto"/>
              <w:right w:val="single" w:sz="8" w:space="0" w:color="auto"/>
            </w:tcBorders>
            <w:vAlign w:val="center"/>
            <w:hideMark/>
          </w:tcPr>
          <w:p w14:paraId="3E09BF53"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491.40 ± 13.260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6FDA23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79507B50"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2B9F560D"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13</w:t>
            </w:r>
          </w:p>
        </w:tc>
        <w:tc>
          <w:tcPr>
            <w:tcW w:w="1418" w:type="dxa"/>
            <w:tcBorders>
              <w:top w:val="nil"/>
              <w:left w:val="nil"/>
              <w:bottom w:val="single" w:sz="8" w:space="0" w:color="auto"/>
              <w:right w:val="single" w:sz="8" w:space="0" w:color="auto"/>
            </w:tcBorders>
            <w:vAlign w:val="center"/>
            <w:hideMark/>
          </w:tcPr>
          <w:p w14:paraId="1AB4EF5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2A4F96E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523.60 ± 12.920</w:t>
            </w:r>
          </w:p>
        </w:tc>
        <w:tc>
          <w:tcPr>
            <w:tcW w:w="2268" w:type="dxa"/>
            <w:tcBorders>
              <w:top w:val="nil"/>
              <w:left w:val="nil"/>
              <w:bottom w:val="single" w:sz="8" w:space="0" w:color="auto"/>
              <w:right w:val="single" w:sz="8" w:space="0" w:color="auto"/>
            </w:tcBorders>
            <w:vAlign w:val="center"/>
            <w:hideMark/>
          </w:tcPr>
          <w:p w14:paraId="4A5E01A0"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536.70 ± 20.760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7136D0"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503CF20A"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1F979D48"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14</w:t>
            </w:r>
          </w:p>
        </w:tc>
        <w:tc>
          <w:tcPr>
            <w:tcW w:w="1418" w:type="dxa"/>
            <w:tcBorders>
              <w:top w:val="nil"/>
              <w:left w:val="nil"/>
              <w:bottom w:val="single" w:sz="8" w:space="0" w:color="auto"/>
              <w:right w:val="single" w:sz="8" w:space="0" w:color="auto"/>
            </w:tcBorders>
            <w:vAlign w:val="center"/>
            <w:hideMark/>
          </w:tcPr>
          <w:p w14:paraId="16799851"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51D52800"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569.10 ± 14.870</w:t>
            </w:r>
          </w:p>
        </w:tc>
        <w:tc>
          <w:tcPr>
            <w:tcW w:w="2268" w:type="dxa"/>
            <w:tcBorders>
              <w:top w:val="nil"/>
              <w:left w:val="nil"/>
              <w:bottom w:val="single" w:sz="8" w:space="0" w:color="auto"/>
              <w:right w:val="single" w:sz="8" w:space="0" w:color="auto"/>
            </w:tcBorders>
            <w:vAlign w:val="center"/>
            <w:hideMark/>
          </w:tcPr>
          <w:p w14:paraId="796C7A43"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582.00 ± 19.180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19B5C9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50CD56E1"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4D1E3EE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15</w:t>
            </w:r>
          </w:p>
        </w:tc>
        <w:tc>
          <w:tcPr>
            <w:tcW w:w="1418" w:type="dxa"/>
            <w:tcBorders>
              <w:top w:val="nil"/>
              <w:left w:val="nil"/>
              <w:bottom w:val="single" w:sz="8" w:space="0" w:color="auto"/>
              <w:right w:val="single" w:sz="8" w:space="0" w:color="auto"/>
            </w:tcBorders>
            <w:vAlign w:val="center"/>
            <w:hideMark/>
          </w:tcPr>
          <w:p w14:paraId="1C5FF28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27E7A08D"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609.60 ± 15.740</w:t>
            </w:r>
          </w:p>
        </w:tc>
        <w:tc>
          <w:tcPr>
            <w:tcW w:w="2268" w:type="dxa"/>
            <w:tcBorders>
              <w:top w:val="nil"/>
              <w:left w:val="nil"/>
              <w:bottom w:val="single" w:sz="8" w:space="0" w:color="auto"/>
              <w:right w:val="single" w:sz="8" w:space="0" w:color="auto"/>
            </w:tcBorders>
            <w:vAlign w:val="center"/>
            <w:hideMark/>
          </w:tcPr>
          <w:p w14:paraId="7C06F897"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625.00 ± 17.860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27BC1F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78712EFF"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708AE561"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16</w:t>
            </w:r>
          </w:p>
        </w:tc>
        <w:tc>
          <w:tcPr>
            <w:tcW w:w="1418" w:type="dxa"/>
            <w:tcBorders>
              <w:top w:val="nil"/>
              <w:left w:val="nil"/>
              <w:bottom w:val="single" w:sz="8" w:space="0" w:color="auto"/>
              <w:right w:val="single" w:sz="8" w:space="0" w:color="auto"/>
            </w:tcBorders>
            <w:vAlign w:val="center"/>
            <w:hideMark/>
          </w:tcPr>
          <w:p w14:paraId="1B8EACC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4B882A56"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646.30 ± 16.180</w:t>
            </w:r>
          </w:p>
        </w:tc>
        <w:tc>
          <w:tcPr>
            <w:tcW w:w="2268" w:type="dxa"/>
            <w:tcBorders>
              <w:top w:val="nil"/>
              <w:left w:val="nil"/>
              <w:bottom w:val="single" w:sz="8" w:space="0" w:color="auto"/>
              <w:right w:val="single" w:sz="8" w:space="0" w:color="auto"/>
            </w:tcBorders>
            <w:vAlign w:val="center"/>
            <w:hideMark/>
          </w:tcPr>
          <w:p w14:paraId="41CCF45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649.60 ± 6.279</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EC78CC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7C09C897"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2924D22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17</w:t>
            </w:r>
          </w:p>
        </w:tc>
        <w:tc>
          <w:tcPr>
            <w:tcW w:w="1418" w:type="dxa"/>
            <w:tcBorders>
              <w:top w:val="nil"/>
              <w:left w:val="nil"/>
              <w:bottom w:val="single" w:sz="8" w:space="0" w:color="auto"/>
              <w:right w:val="single" w:sz="8" w:space="0" w:color="auto"/>
            </w:tcBorders>
            <w:vAlign w:val="center"/>
            <w:hideMark/>
          </w:tcPr>
          <w:p w14:paraId="049F73E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742DDB79"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677.30 ± 16.420</w:t>
            </w:r>
          </w:p>
        </w:tc>
        <w:tc>
          <w:tcPr>
            <w:tcW w:w="2268" w:type="dxa"/>
            <w:tcBorders>
              <w:top w:val="nil"/>
              <w:left w:val="nil"/>
              <w:bottom w:val="single" w:sz="8" w:space="0" w:color="auto"/>
              <w:right w:val="single" w:sz="8" w:space="0" w:color="auto"/>
            </w:tcBorders>
            <w:vAlign w:val="center"/>
            <w:hideMark/>
          </w:tcPr>
          <w:p w14:paraId="1E49B582"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666.20 ± 8.062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CC4FC2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0CDB5BC7"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1E614F0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w:t>
            </w:r>
          </w:p>
        </w:tc>
        <w:tc>
          <w:tcPr>
            <w:tcW w:w="1418" w:type="dxa"/>
            <w:tcBorders>
              <w:top w:val="nil"/>
              <w:left w:val="nil"/>
              <w:bottom w:val="single" w:sz="8" w:space="0" w:color="auto"/>
              <w:right w:val="single" w:sz="8" w:space="0" w:color="auto"/>
            </w:tcBorders>
            <w:vAlign w:val="center"/>
            <w:hideMark/>
          </w:tcPr>
          <w:p w14:paraId="16228BD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XVIII</w:t>
            </w:r>
          </w:p>
        </w:tc>
        <w:tc>
          <w:tcPr>
            <w:tcW w:w="2268" w:type="dxa"/>
            <w:tcBorders>
              <w:top w:val="nil"/>
              <w:left w:val="nil"/>
              <w:bottom w:val="single" w:sz="8" w:space="0" w:color="auto"/>
              <w:right w:val="single" w:sz="8" w:space="0" w:color="auto"/>
            </w:tcBorders>
            <w:vAlign w:val="center"/>
            <w:hideMark/>
          </w:tcPr>
          <w:p w14:paraId="465BF3C6"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696.90 ± 23.290</w:t>
            </w:r>
          </w:p>
        </w:tc>
        <w:tc>
          <w:tcPr>
            <w:tcW w:w="2268" w:type="dxa"/>
            <w:tcBorders>
              <w:top w:val="nil"/>
              <w:left w:val="nil"/>
              <w:bottom w:val="single" w:sz="8" w:space="0" w:color="auto"/>
              <w:right w:val="single" w:sz="8" w:space="0" w:color="auto"/>
            </w:tcBorders>
            <w:vAlign w:val="center"/>
            <w:hideMark/>
          </w:tcPr>
          <w:p w14:paraId="50A3DB01"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673.20 ± 31.420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9159AAB"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7A4451E7"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565CA9F9"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19</w:t>
            </w:r>
          </w:p>
        </w:tc>
        <w:tc>
          <w:tcPr>
            <w:tcW w:w="1418" w:type="dxa"/>
            <w:tcBorders>
              <w:top w:val="nil"/>
              <w:left w:val="nil"/>
              <w:bottom w:val="single" w:sz="8" w:space="0" w:color="auto"/>
              <w:right w:val="single" w:sz="8" w:space="0" w:color="auto"/>
            </w:tcBorders>
            <w:vAlign w:val="center"/>
            <w:hideMark/>
          </w:tcPr>
          <w:p w14:paraId="3BF196A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XIX</w:t>
            </w:r>
          </w:p>
        </w:tc>
        <w:tc>
          <w:tcPr>
            <w:tcW w:w="2268" w:type="dxa"/>
            <w:tcBorders>
              <w:top w:val="nil"/>
              <w:left w:val="nil"/>
              <w:bottom w:val="single" w:sz="8" w:space="0" w:color="auto"/>
              <w:right w:val="single" w:sz="8" w:space="0" w:color="auto"/>
            </w:tcBorders>
            <w:vAlign w:val="center"/>
            <w:hideMark/>
          </w:tcPr>
          <w:p w14:paraId="3E2CDB9C"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608.40 ± 20.260</w:t>
            </w:r>
          </w:p>
        </w:tc>
        <w:tc>
          <w:tcPr>
            <w:tcW w:w="2268" w:type="dxa"/>
            <w:tcBorders>
              <w:top w:val="nil"/>
              <w:left w:val="nil"/>
              <w:bottom w:val="single" w:sz="8" w:space="0" w:color="auto"/>
              <w:right w:val="single" w:sz="8" w:space="0" w:color="auto"/>
            </w:tcBorders>
            <w:vAlign w:val="center"/>
            <w:hideMark/>
          </w:tcPr>
          <w:p w14:paraId="59F1B4D4"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587.70 ± 13.710</w:t>
            </w:r>
          </w:p>
        </w:tc>
        <w:tc>
          <w:tcPr>
            <w:tcW w:w="1984" w:type="dxa"/>
            <w:vMerge/>
            <w:tcBorders>
              <w:top w:val="single" w:sz="8" w:space="0" w:color="000000"/>
              <w:left w:val="single" w:sz="8" w:space="0" w:color="auto"/>
              <w:right w:val="single" w:sz="8" w:space="0" w:color="auto"/>
            </w:tcBorders>
            <w:vAlign w:val="center"/>
            <w:hideMark/>
          </w:tcPr>
          <w:p w14:paraId="28B31BF5"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05111B65" w14:textId="77777777" w:rsidTr="008A1E83">
        <w:trPr>
          <w:trHeight w:val="330"/>
        </w:trPr>
        <w:tc>
          <w:tcPr>
            <w:tcW w:w="1124" w:type="dxa"/>
            <w:tcBorders>
              <w:top w:val="single" w:sz="4" w:space="0" w:color="auto"/>
              <w:left w:val="single" w:sz="4" w:space="0" w:color="auto"/>
              <w:bottom w:val="single" w:sz="4" w:space="0" w:color="auto"/>
              <w:right w:val="single" w:sz="4" w:space="0" w:color="auto"/>
            </w:tcBorders>
            <w:vAlign w:val="center"/>
            <w:hideMark/>
          </w:tcPr>
          <w:p w14:paraId="2A070B32"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4555CD"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F9951A"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534.60 ± 10.980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D9FB8F"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542.90 ± 22.780</w:t>
            </w:r>
          </w:p>
        </w:tc>
        <w:tc>
          <w:tcPr>
            <w:tcW w:w="1984" w:type="dxa"/>
            <w:vMerge w:val="restart"/>
            <w:tcBorders>
              <w:left w:val="single" w:sz="4" w:space="0" w:color="auto"/>
              <w:bottom w:val="single" w:sz="8" w:space="0" w:color="000000"/>
              <w:right w:val="single" w:sz="4" w:space="0" w:color="auto"/>
            </w:tcBorders>
            <w:vAlign w:val="center"/>
            <w:hideMark/>
          </w:tcPr>
          <w:p w14:paraId="2794731E" w14:textId="77777777" w:rsidR="00F474AA" w:rsidRPr="00B50A5C" w:rsidRDefault="00F474AA" w:rsidP="008A1E83">
            <w:pPr>
              <w:spacing w:after="0" w:line="360" w:lineRule="auto"/>
              <w:jc w:val="center"/>
              <w:rPr>
                <w:rFonts w:ascii="Arial" w:eastAsia="Times New Roman" w:hAnsi="Arial" w:cs="Arial"/>
                <w:color w:val="000000"/>
                <w:sz w:val="20"/>
                <w:szCs w:val="20"/>
                <w:lang w:eastAsia="en-IN"/>
              </w:rPr>
            </w:pPr>
          </w:p>
        </w:tc>
      </w:tr>
      <w:tr w:rsidR="00F474AA" w:rsidRPr="00B50A5C" w14:paraId="4E1278F2" w14:textId="77777777" w:rsidTr="008A1E83">
        <w:trPr>
          <w:trHeight w:val="330"/>
        </w:trPr>
        <w:tc>
          <w:tcPr>
            <w:tcW w:w="1124" w:type="dxa"/>
            <w:tcBorders>
              <w:top w:val="single" w:sz="4" w:space="0" w:color="auto"/>
              <w:left w:val="single" w:sz="8" w:space="0" w:color="auto"/>
              <w:bottom w:val="single" w:sz="8" w:space="0" w:color="auto"/>
              <w:right w:val="single" w:sz="8" w:space="0" w:color="auto"/>
            </w:tcBorders>
            <w:vAlign w:val="center"/>
            <w:hideMark/>
          </w:tcPr>
          <w:p w14:paraId="7C54AED4"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21</w:t>
            </w:r>
          </w:p>
        </w:tc>
        <w:tc>
          <w:tcPr>
            <w:tcW w:w="1418" w:type="dxa"/>
            <w:tcBorders>
              <w:top w:val="single" w:sz="4" w:space="0" w:color="auto"/>
              <w:left w:val="nil"/>
              <w:bottom w:val="single" w:sz="8" w:space="0" w:color="auto"/>
              <w:right w:val="single" w:sz="8" w:space="0" w:color="auto"/>
            </w:tcBorders>
            <w:vAlign w:val="center"/>
            <w:hideMark/>
          </w:tcPr>
          <w:p w14:paraId="57C4039C"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w:t>
            </w:r>
          </w:p>
        </w:tc>
        <w:tc>
          <w:tcPr>
            <w:tcW w:w="2268" w:type="dxa"/>
            <w:tcBorders>
              <w:top w:val="single" w:sz="4" w:space="0" w:color="auto"/>
              <w:left w:val="nil"/>
              <w:bottom w:val="single" w:sz="8" w:space="0" w:color="auto"/>
              <w:right w:val="single" w:sz="8" w:space="0" w:color="auto"/>
            </w:tcBorders>
            <w:vAlign w:val="center"/>
            <w:hideMark/>
          </w:tcPr>
          <w:p w14:paraId="15CB569C"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556.00 ± 10.260</w:t>
            </w:r>
          </w:p>
        </w:tc>
        <w:tc>
          <w:tcPr>
            <w:tcW w:w="2268" w:type="dxa"/>
            <w:tcBorders>
              <w:top w:val="single" w:sz="4" w:space="0" w:color="auto"/>
              <w:left w:val="nil"/>
              <w:bottom w:val="single" w:sz="8" w:space="0" w:color="auto"/>
              <w:right w:val="single" w:sz="8" w:space="0" w:color="auto"/>
            </w:tcBorders>
            <w:vAlign w:val="center"/>
            <w:hideMark/>
          </w:tcPr>
          <w:p w14:paraId="34C65778"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559.60 ± 20.21</w:t>
            </w:r>
          </w:p>
        </w:tc>
        <w:tc>
          <w:tcPr>
            <w:tcW w:w="1984" w:type="dxa"/>
            <w:vMerge/>
            <w:tcBorders>
              <w:top w:val="single" w:sz="4" w:space="0" w:color="auto"/>
              <w:left w:val="single" w:sz="8" w:space="0" w:color="auto"/>
              <w:bottom w:val="single" w:sz="8" w:space="0" w:color="000000"/>
              <w:right w:val="single" w:sz="8" w:space="0" w:color="auto"/>
            </w:tcBorders>
            <w:vAlign w:val="center"/>
            <w:hideMark/>
          </w:tcPr>
          <w:p w14:paraId="3816644C"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B50A5C" w14:paraId="5F0E39F8"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35B6C4BD"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w:t>
            </w:r>
          </w:p>
        </w:tc>
        <w:tc>
          <w:tcPr>
            <w:tcW w:w="1418" w:type="dxa"/>
            <w:tcBorders>
              <w:top w:val="nil"/>
              <w:left w:val="nil"/>
              <w:bottom w:val="single" w:sz="8" w:space="0" w:color="auto"/>
              <w:right w:val="single" w:sz="8" w:space="0" w:color="auto"/>
            </w:tcBorders>
            <w:vAlign w:val="center"/>
            <w:hideMark/>
          </w:tcPr>
          <w:p w14:paraId="3FA664EC"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w:t>
            </w:r>
          </w:p>
        </w:tc>
        <w:tc>
          <w:tcPr>
            <w:tcW w:w="2268" w:type="dxa"/>
            <w:tcBorders>
              <w:top w:val="nil"/>
              <w:left w:val="nil"/>
              <w:bottom w:val="single" w:sz="8" w:space="0" w:color="auto"/>
              <w:right w:val="single" w:sz="8" w:space="0" w:color="auto"/>
            </w:tcBorders>
            <w:vAlign w:val="center"/>
            <w:hideMark/>
          </w:tcPr>
          <w:p w14:paraId="6D7A788A"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579.30 ± 7.526</w:t>
            </w:r>
          </w:p>
        </w:tc>
        <w:tc>
          <w:tcPr>
            <w:tcW w:w="2268" w:type="dxa"/>
            <w:tcBorders>
              <w:top w:val="nil"/>
              <w:left w:val="nil"/>
              <w:bottom w:val="single" w:sz="8" w:space="0" w:color="auto"/>
              <w:right w:val="single" w:sz="8" w:space="0" w:color="auto"/>
            </w:tcBorders>
            <w:vAlign w:val="center"/>
            <w:hideMark/>
          </w:tcPr>
          <w:p w14:paraId="0E6F38ED"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583.20 ± 16.880</w:t>
            </w:r>
          </w:p>
        </w:tc>
        <w:tc>
          <w:tcPr>
            <w:tcW w:w="1984" w:type="dxa"/>
            <w:vMerge/>
            <w:tcBorders>
              <w:top w:val="nil"/>
              <w:left w:val="single" w:sz="8" w:space="0" w:color="auto"/>
              <w:bottom w:val="single" w:sz="8" w:space="0" w:color="000000"/>
              <w:right w:val="single" w:sz="8" w:space="0" w:color="auto"/>
            </w:tcBorders>
            <w:vAlign w:val="center"/>
            <w:hideMark/>
          </w:tcPr>
          <w:p w14:paraId="5BE79A10"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B50A5C" w14:paraId="3A55A271" w14:textId="77777777" w:rsidTr="008A1E83">
        <w:trPr>
          <w:trHeight w:val="330"/>
        </w:trPr>
        <w:tc>
          <w:tcPr>
            <w:tcW w:w="1124" w:type="dxa"/>
            <w:tcBorders>
              <w:top w:val="nil"/>
              <w:left w:val="single" w:sz="8" w:space="0" w:color="auto"/>
              <w:bottom w:val="single" w:sz="8" w:space="0" w:color="auto"/>
              <w:right w:val="single" w:sz="8" w:space="0" w:color="auto"/>
            </w:tcBorders>
            <w:vAlign w:val="center"/>
            <w:hideMark/>
          </w:tcPr>
          <w:p w14:paraId="3FD2B6FC"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23</w:t>
            </w:r>
          </w:p>
        </w:tc>
        <w:tc>
          <w:tcPr>
            <w:tcW w:w="1418" w:type="dxa"/>
            <w:tcBorders>
              <w:top w:val="nil"/>
              <w:left w:val="nil"/>
              <w:bottom w:val="single" w:sz="8" w:space="0" w:color="auto"/>
              <w:right w:val="single" w:sz="8" w:space="0" w:color="auto"/>
            </w:tcBorders>
            <w:vAlign w:val="center"/>
            <w:hideMark/>
          </w:tcPr>
          <w:p w14:paraId="11C2BDDD"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XXIII</w:t>
            </w:r>
          </w:p>
        </w:tc>
        <w:tc>
          <w:tcPr>
            <w:tcW w:w="2268" w:type="dxa"/>
            <w:tcBorders>
              <w:top w:val="nil"/>
              <w:left w:val="nil"/>
              <w:bottom w:val="single" w:sz="8" w:space="0" w:color="auto"/>
              <w:right w:val="single" w:sz="8" w:space="0" w:color="auto"/>
            </w:tcBorders>
            <w:vAlign w:val="center"/>
            <w:hideMark/>
          </w:tcPr>
          <w:p w14:paraId="76FA725E"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595.30 ± 8.543</w:t>
            </w:r>
          </w:p>
        </w:tc>
        <w:tc>
          <w:tcPr>
            <w:tcW w:w="2268" w:type="dxa"/>
            <w:tcBorders>
              <w:top w:val="nil"/>
              <w:left w:val="nil"/>
              <w:bottom w:val="single" w:sz="8" w:space="0" w:color="auto"/>
              <w:right w:val="single" w:sz="8" w:space="0" w:color="auto"/>
            </w:tcBorders>
            <w:vAlign w:val="center"/>
            <w:hideMark/>
          </w:tcPr>
          <w:p w14:paraId="01026B00"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601.90 ± 11.740</w:t>
            </w:r>
          </w:p>
        </w:tc>
        <w:tc>
          <w:tcPr>
            <w:tcW w:w="1984" w:type="dxa"/>
            <w:vMerge/>
            <w:tcBorders>
              <w:top w:val="nil"/>
              <w:left w:val="single" w:sz="8" w:space="0" w:color="auto"/>
              <w:bottom w:val="single" w:sz="8" w:space="0" w:color="000000"/>
              <w:right w:val="single" w:sz="8" w:space="0" w:color="auto"/>
            </w:tcBorders>
            <w:vAlign w:val="center"/>
            <w:hideMark/>
          </w:tcPr>
          <w:p w14:paraId="54CF9360" w14:textId="77777777" w:rsidR="00F474AA" w:rsidRPr="00B50A5C" w:rsidRDefault="00F474AA" w:rsidP="008A1E83">
            <w:pPr>
              <w:spacing w:after="0" w:line="480" w:lineRule="auto"/>
              <w:jc w:val="center"/>
              <w:rPr>
                <w:rFonts w:ascii="Arial" w:eastAsia="Times New Roman" w:hAnsi="Arial" w:cs="Arial"/>
                <w:color w:val="000000"/>
                <w:sz w:val="20"/>
                <w:szCs w:val="20"/>
                <w:lang w:eastAsia="en-IN"/>
              </w:rPr>
            </w:pPr>
          </w:p>
        </w:tc>
      </w:tr>
    </w:tbl>
    <w:p w14:paraId="0245A2D2" w14:textId="77777777" w:rsidR="00F474AA" w:rsidRPr="00D66F72" w:rsidRDefault="00F474AA" w:rsidP="00F474AA">
      <w:pPr>
        <w:spacing w:before="240" w:after="0" w:line="360" w:lineRule="auto"/>
        <w:jc w:val="both"/>
        <w:rPr>
          <w:rFonts w:ascii="Arial" w:hAnsi="Arial" w:cs="Arial"/>
          <w:sz w:val="20"/>
          <w:szCs w:val="20"/>
        </w:rPr>
      </w:pPr>
      <w:r>
        <w:rPr>
          <w:rFonts w:ascii="Arial" w:eastAsia="Times New Roman" w:hAnsi="Arial" w:cs="Arial"/>
          <w:sz w:val="20"/>
          <w:szCs w:val="20"/>
          <w:lang w:eastAsia="en-IN"/>
        </w:rPr>
        <w:t xml:space="preserve">        </w:t>
      </w:r>
    </w:p>
    <w:p w14:paraId="4483F6A1" w14:textId="2FEE3865" w:rsidR="00F474AA" w:rsidRDefault="00F474AA" w:rsidP="00F474AA">
      <w:pPr>
        <w:spacing w:after="0" w:line="480" w:lineRule="auto"/>
        <w:rPr>
          <w:rFonts w:ascii="Arial" w:hAnsi="Arial" w:cs="Arial"/>
          <w:b/>
          <w:bCs/>
          <w:sz w:val="20"/>
          <w:szCs w:val="20"/>
          <w:lang w:val="en-US"/>
        </w:rPr>
      </w:pPr>
      <w:r>
        <w:rPr>
          <w:rFonts w:ascii="Arial" w:hAnsi="Arial" w:cs="Arial"/>
          <w:b/>
          <w:bCs/>
          <w:lang w:val="en-US"/>
        </w:rPr>
        <w:t xml:space="preserve">                                       </w:t>
      </w:r>
      <w:r w:rsidRPr="005D00AA">
        <w:rPr>
          <w:rFonts w:ascii="Arial" w:hAnsi="Arial" w:cs="Arial"/>
          <w:b/>
          <w:bCs/>
          <w:lang w:val="en-US"/>
        </w:rPr>
        <w:t xml:space="preserve">Fig. 1: </w:t>
      </w:r>
      <w:r w:rsidR="0006136D">
        <w:rPr>
          <w:rFonts w:ascii="Arial" w:hAnsi="Arial" w:cs="Arial"/>
          <w:b/>
          <w:bCs/>
          <w:lang w:val="en-US"/>
        </w:rPr>
        <w:t xml:space="preserve">Graph showing the </w:t>
      </w:r>
      <w:r>
        <w:rPr>
          <w:rFonts w:ascii="Arial" w:hAnsi="Arial" w:cs="Arial"/>
          <w:b/>
          <w:bCs/>
          <w:sz w:val="20"/>
          <w:szCs w:val="20"/>
          <w:lang w:val="en-US"/>
        </w:rPr>
        <w:t xml:space="preserve">Weekly body weight (g) of sows </w:t>
      </w:r>
    </w:p>
    <w:p w14:paraId="15995C01" w14:textId="77777777" w:rsidR="00F474AA" w:rsidRPr="007C73EE" w:rsidRDefault="00F474AA" w:rsidP="00F474AA">
      <w:pPr>
        <w:spacing w:after="0" w:line="480" w:lineRule="auto"/>
        <w:jc w:val="center"/>
        <w:rPr>
          <w:rFonts w:ascii="Arial" w:hAnsi="Arial" w:cs="Arial"/>
          <w:b/>
          <w:bCs/>
          <w:lang w:val="en-US"/>
        </w:rPr>
      </w:pPr>
      <w:r>
        <w:rPr>
          <w:noProof/>
          <w:lang w:eastAsia="en-IN"/>
        </w:rPr>
        <w:drawing>
          <wp:inline distT="0" distB="0" distL="0" distR="0" wp14:anchorId="3E54A47E" wp14:editId="50375C6D">
            <wp:extent cx="5731510" cy="2905125"/>
            <wp:effectExtent l="0" t="0" r="2540" b="9525"/>
            <wp:docPr id="689560764" name="Chart 1">
              <a:extLst xmlns:a="http://schemas.openxmlformats.org/drawingml/2006/main">
                <a:ext uri="{FF2B5EF4-FFF2-40B4-BE49-F238E27FC236}">
                  <a16:creationId xmlns:a16="http://schemas.microsoft.com/office/drawing/2014/main" id="{64430010-0315-F914-7C79-51F0E7A59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76B50DB" w14:textId="77777777" w:rsidR="00F474AA" w:rsidRPr="00660946" w:rsidRDefault="00F474AA" w:rsidP="00F474AA">
      <w:pPr>
        <w:spacing w:before="240" w:after="120" w:line="480" w:lineRule="auto"/>
        <w:jc w:val="both"/>
        <w:rPr>
          <w:rFonts w:ascii="Arial" w:hAnsi="Arial" w:cs="Arial"/>
          <w:b/>
          <w:szCs w:val="20"/>
        </w:rPr>
      </w:pPr>
      <w:r w:rsidRPr="00660946">
        <w:rPr>
          <w:rFonts w:ascii="Arial" w:eastAsia="Times New Roman" w:hAnsi="Arial" w:cs="Arial"/>
          <w:b/>
          <w:bCs/>
          <w:szCs w:val="20"/>
          <w:lang w:eastAsia="en-IN"/>
        </w:rPr>
        <w:lastRenderedPageBreak/>
        <w:t xml:space="preserve">3.2 </w:t>
      </w:r>
      <w:r w:rsidRPr="00660946">
        <w:rPr>
          <w:rFonts w:ascii="Arial" w:hAnsi="Arial" w:cs="Arial"/>
          <w:b/>
          <w:szCs w:val="20"/>
        </w:rPr>
        <w:t>Average daily gain (ADG)</w:t>
      </w:r>
    </w:p>
    <w:p w14:paraId="2B09A7C5" w14:textId="77777777" w:rsidR="00F474AA" w:rsidRDefault="00F474AA" w:rsidP="00F474AA">
      <w:pPr>
        <w:spacing w:before="240" w:after="120" w:line="480" w:lineRule="auto"/>
        <w:jc w:val="both"/>
        <w:rPr>
          <w:rFonts w:ascii="Arial" w:hAnsi="Arial" w:cs="Arial"/>
          <w:b/>
          <w:szCs w:val="20"/>
        </w:rPr>
      </w:pPr>
      <w:r w:rsidRPr="00660946">
        <w:rPr>
          <w:rFonts w:ascii="Arial" w:hAnsi="Arial" w:cs="Arial"/>
          <w:b/>
          <w:szCs w:val="20"/>
        </w:rPr>
        <w:t>3.2.1 Weaning to Pre pubertal period</w:t>
      </w:r>
    </w:p>
    <w:p w14:paraId="2C75EB9D" w14:textId="77777777" w:rsidR="00F474AA" w:rsidRPr="00C420BB" w:rsidRDefault="00F474AA" w:rsidP="00F474AA">
      <w:pPr>
        <w:rPr>
          <w:rFonts w:ascii="Arial" w:hAnsi="Arial" w:cs="Arial"/>
          <w:sz w:val="20"/>
          <w:szCs w:val="20"/>
        </w:rPr>
      </w:pPr>
      <w:r w:rsidRPr="00C420BB">
        <w:rPr>
          <w:rFonts w:ascii="Arial" w:hAnsi="Arial" w:cs="Arial"/>
          <w:bCs/>
          <w:sz w:val="20"/>
          <w:szCs w:val="20"/>
        </w:rPr>
        <w:t xml:space="preserve">The average daily gain (g/day) of guinea pigs in pre pubertal period is presented in Table </w:t>
      </w:r>
      <w:proofErr w:type="gramStart"/>
      <w:r w:rsidRPr="00C420BB">
        <w:rPr>
          <w:rFonts w:ascii="Arial" w:hAnsi="Arial" w:cs="Arial"/>
          <w:bCs/>
          <w:sz w:val="20"/>
          <w:szCs w:val="20"/>
        </w:rPr>
        <w:t>2 .</w:t>
      </w:r>
      <w:proofErr w:type="gramEnd"/>
      <w:r w:rsidRPr="00C420BB">
        <w:rPr>
          <w:rFonts w:ascii="Arial" w:hAnsi="Arial" w:cs="Arial"/>
          <w:bCs/>
          <w:sz w:val="20"/>
          <w:szCs w:val="20"/>
        </w:rPr>
        <w:t xml:space="preserve">  </w:t>
      </w:r>
      <w:r w:rsidRPr="00C420BB">
        <w:rPr>
          <w:rFonts w:ascii="Arial" w:hAnsi="Arial" w:cs="Arial"/>
          <w:sz w:val="20"/>
          <w:szCs w:val="20"/>
        </w:rPr>
        <w:t>During the first week, the ADG of animals in T-1 (3.52 ± 0.077 g/day) was marginally higher than that of T-2 (3.33 ± 0.096 g/day), in the second week, the ADG of T-1 (2.50 ± 0.156 g/day) was lower than that of T-2 (2.64 ± 0.049 g/day), while in the third week, the ADG was slightly higher in T-1 (2.88 ± 0.026 g/day) compared to T-2 (2.76 ± 0.111 g/day). Across all three weeks of observation, no significant differences (</w:t>
      </w:r>
      <w:r w:rsidRPr="00C420BB">
        <w:rPr>
          <w:rFonts w:ascii="Arial" w:hAnsi="Arial" w:cs="Arial"/>
          <w:i/>
          <w:iCs/>
          <w:sz w:val="20"/>
          <w:szCs w:val="20"/>
        </w:rPr>
        <w:t xml:space="preserve">P &gt; 0.05) </w:t>
      </w:r>
      <w:r w:rsidRPr="00C420BB">
        <w:rPr>
          <w:rFonts w:ascii="Arial" w:hAnsi="Arial" w:cs="Arial"/>
          <w:sz w:val="20"/>
          <w:szCs w:val="20"/>
        </w:rPr>
        <w:t>were recorded between the two treatment groups.</w:t>
      </w:r>
    </w:p>
    <w:p w14:paraId="42DC9E9B" w14:textId="77777777" w:rsidR="00F474AA" w:rsidRPr="00E64ED8" w:rsidRDefault="00F474AA" w:rsidP="00F474AA">
      <w:pPr>
        <w:jc w:val="both"/>
        <w:rPr>
          <w:rFonts w:ascii="Arial" w:hAnsi="Arial" w:cs="Arial"/>
          <w:sz w:val="20"/>
          <w:szCs w:val="20"/>
        </w:rPr>
      </w:pPr>
      <w:r w:rsidRPr="00E64ED8">
        <w:rPr>
          <w:rFonts w:ascii="Arial" w:hAnsi="Arial" w:cs="Arial"/>
          <w:sz w:val="20"/>
          <w:szCs w:val="20"/>
        </w:rPr>
        <w:t xml:space="preserve">During the pre-pubertal period, guinea pigs exhibited steady growth with values in both treatment groups falling within the normal range of 3–6 g/day as reported various experiments on post-weaning guinea pigs under adequate diets (Nemeth </w:t>
      </w:r>
      <w:r w:rsidRPr="00E64ED8">
        <w:rPr>
          <w:rFonts w:ascii="Arial" w:hAnsi="Arial" w:cs="Arial"/>
          <w:i/>
          <w:iCs/>
          <w:sz w:val="20"/>
          <w:szCs w:val="20"/>
        </w:rPr>
        <w:t>et al</w:t>
      </w:r>
      <w:r w:rsidRPr="00E64ED8">
        <w:rPr>
          <w:rFonts w:ascii="Arial" w:hAnsi="Arial" w:cs="Arial"/>
          <w:sz w:val="20"/>
          <w:szCs w:val="20"/>
        </w:rPr>
        <w:t>., 2017; Czarnecki and Adamski, 2016). Rapid juvenile growth is driven by a high demand for balanced protein and indispensable amino acids, including lysine, methionine, threonine, and tryptophan (NRC, 1995). The declining ADG from the first to the second week, followed by a modest recovery in the third week, may be associated with natural adjustments in metabolism and nutrient utilization as the animal progress from maternal dependency toward independent feeding (Harkness and Wagner, 2010).</w:t>
      </w:r>
    </w:p>
    <w:p w14:paraId="24BD7F78" w14:textId="77777777" w:rsidR="00F474AA" w:rsidRDefault="00F474AA" w:rsidP="00F474AA">
      <w:pPr>
        <w:spacing w:before="280" w:after="120" w:line="360" w:lineRule="auto"/>
        <w:jc w:val="center"/>
        <w:rPr>
          <w:rFonts w:ascii="Arial" w:hAnsi="Arial" w:cs="Arial"/>
          <w:sz w:val="20"/>
          <w:szCs w:val="20"/>
        </w:rPr>
      </w:pPr>
      <w:r w:rsidRPr="00D66F72">
        <w:rPr>
          <w:rFonts w:ascii="Arial" w:hAnsi="Arial" w:cs="Arial"/>
          <w:b/>
          <w:sz w:val="20"/>
          <w:szCs w:val="20"/>
          <w:lang w:val="en-US"/>
        </w:rPr>
        <w:t>Table 2</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pre-pubertal period</w:t>
      </w:r>
      <w:r w:rsidRPr="005F7295">
        <w:rPr>
          <w:rFonts w:ascii="Arial" w:hAnsi="Arial" w:cs="Arial"/>
          <w:sz w:val="20"/>
          <w:szCs w:val="20"/>
        </w:rPr>
        <w:t>.</w:t>
      </w:r>
    </w:p>
    <w:tbl>
      <w:tblPr>
        <w:tblpPr w:leftFromText="180" w:rightFromText="180" w:vertAnchor="text" w:horzAnchor="margin" w:tblpXSpec="center" w:tblpY="84"/>
        <w:tblW w:w="8460" w:type="dxa"/>
        <w:tblLook w:val="04A0" w:firstRow="1" w:lastRow="0" w:firstColumn="1" w:lastColumn="0" w:noHBand="0" w:noVBand="1"/>
      </w:tblPr>
      <w:tblGrid>
        <w:gridCol w:w="983"/>
        <w:gridCol w:w="1275"/>
        <w:gridCol w:w="1843"/>
        <w:gridCol w:w="2183"/>
        <w:gridCol w:w="2176"/>
      </w:tblGrid>
      <w:tr w:rsidR="00F474AA" w:rsidRPr="00203D64" w14:paraId="1617E0AB" w14:textId="77777777" w:rsidTr="008A1E83">
        <w:trPr>
          <w:trHeight w:val="405"/>
        </w:trPr>
        <w:tc>
          <w:tcPr>
            <w:tcW w:w="983" w:type="dxa"/>
            <w:tcBorders>
              <w:top w:val="single" w:sz="8" w:space="0" w:color="auto"/>
              <w:left w:val="single" w:sz="8" w:space="0" w:color="auto"/>
              <w:bottom w:val="single" w:sz="8" w:space="0" w:color="auto"/>
              <w:right w:val="single" w:sz="8" w:space="0" w:color="auto"/>
            </w:tcBorders>
            <w:vAlign w:val="center"/>
            <w:hideMark/>
          </w:tcPr>
          <w:p w14:paraId="14CFEC4C" w14:textId="77777777" w:rsidR="00F474AA" w:rsidRPr="00203D64" w:rsidRDefault="00F474AA" w:rsidP="008A1E83">
            <w:pPr>
              <w:jc w:val="center"/>
              <w:rPr>
                <w:rFonts w:ascii="Arial" w:hAnsi="Arial" w:cs="Arial"/>
                <w:sz w:val="20"/>
                <w:szCs w:val="20"/>
                <w:lang w:eastAsia="en-IN"/>
              </w:rPr>
            </w:pPr>
            <w:bookmarkStart w:id="1" w:name="RANGE!A21"/>
            <w:bookmarkStart w:id="2" w:name="OLE_LINK1" w:colFirst="1" w:colLast="4"/>
            <w:r w:rsidRPr="00203D64">
              <w:rPr>
                <w:rFonts w:ascii="Arial" w:hAnsi="Arial" w:cs="Arial"/>
                <w:sz w:val="20"/>
                <w:szCs w:val="20"/>
                <w:lang w:eastAsia="en-IN"/>
              </w:rPr>
              <w:t>Sl. No.</w:t>
            </w:r>
            <w:bookmarkEnd w:id="1"/>
          </w:p>
        </w:tc>
        <w:tc>
          <w:tcPr>
            <w:tcW w:w="1275" w:type="dxa"/>
            <w:tcBorders>
              <w:top w:val="single" w:sz="8" w:space="0" w:color="auto"/>
              <w:left w:val="nil"/>
              <w:bottom w:val="single" w:sz="8" w:space="0" w:color="auto"/>
              <w:right w:val="single" w:sz="8" w:space="0" w:color="auto"/>
            </w:tcBorders>
            <w:vAlign w:val="center"/>
            <w:hideMark/>
          </w:tcPr>
          <w:p w14:paraId="07A8E0F3"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WEEK</w:t>
            </w:r>
          </w:p>
        </w:tc>
        <w:tc>
          <w:tcPr>
            <w:tcW w:w="1843" w:type="dxa"/>
            <w:tcBorders>
              <w:top w:val="single" w:sz="8" w:space="0" w:color="auto"/>
              <w:left w:val="nil"/>
              <w:bottom w:val="single" w:sz="8" w:space="0" w:color="auto"/>
              <w:right w:val="single" w:sz="8" w:space="0" w:color="auto"/>
            </w:tcBorders>
            <w:vAlign w:val="center"/>
            <w:hideMark/>
          </w:tcPr>
          <w:p w14:paraId="74CA8CBC"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T-1</w:t>
            </w:r>
          </w:p>
        </w:tc>
        <w:tc>
          <w:tcPr>
            <w:tcW w:w="2183" w:type="dxa"/>
            <w:tcBorders>
              <w:top w:val="single" w:sz="8" w:space="0" w:color="auto"/>
              <w:left w:val="nil"/>
              <w:bottom w:val="single" w:sz="8" w:space="0" w:color="auto"/>
              <w:right w:val="single" w:sz="8" w:space="0" w:color="auto"/>
            </w:tcBorders>
            <w:vAlign w:val="center"/>
            <w:hideMark/>
          </w:tcPr>
          <w:p w14:paraId="19860CEC"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T-2</w:t>
            </w:r>
          </w:p>
        </w:tc>
        <w:tc>
          <w:tcPr>
            <w:tcW w:w="2176" w:type="dxa"/>
            <w:tcBorders>
              <w:top w:val="single" w:sz="8" w:space="0" w:color="auto"/>
              <w:left w:val="nil"/>
              <w:bottom w:val="single" w:sz="8" w:space="0" w:color="auto"/>
              <w:right w:val="single" w:sz="8" w:space="0" w:color="auto"/>
            </w:tcBorders>
            <w:vAlign w:val="center"/>
            <w:hideMark/>
          </w:tcPr>
          <w:p w14:paraId="46AA80B1"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Significance</w:t>
            </w:r>
          </w:p>
        </w:tc>
      </w:tr>
      <w:tr w:rsidR="00F474AA" w:rsidRPr="00203D64" w14:paraId="3A902C96" w14:textId="77777777" w:rsidTr="008A1E83">
        <w:trPr>
          <w:trHeight w:val="448"/>
        </w:trPr>
        <w:tc>
          <w:tcPr>
            <w:tcW w:w="983" w:type="dxa"/>
            <w:tcBorders>
              <w:top w:val="nil"/>
              <w:left w:val="single" w:sz="8" w:space="0" w:color="auto"/>
              <w:bottom w:val="single" w:sz="8" w:space="0" w:color="auto"/>
              <w:right w:val="single" w:sz="8" w:space="0" w:color="auto"/>
            </w:tcBorders>
            <w:vAlign w:val="center"/>
            <w:hideMark/>
          </w:tcPr>
          <w:p w14:paraId="2D12B5D9"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1</w:t>
            </w:r>
          </w:p>
        </w:tc>
        <w:tc>
          <w:tcPr>
            <w:tcW w:w="1275" w:type="dxa"/>
            <w:tcBorders>
              <w:top w:val="nil"/>
              <w:left w:val="nil"/>
              <w:bottom w:val="single" w:sz="8" w:space="0" w:color="auto"/>
              <w:right w:val="single" w:sz="8" w:space="0" w:color="auto"/>
            </w:tcBorders>
            <w:vAlign w:val="center"/>
          </w:tcPr>
          <w:p w14:paraId="41D70260" w14:textId="77777777" w:rsidR="00F474AA" w:rsidRPr="00203D64"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1843" w:type="dxa"/>
            <w:tcBorders>
              <w:top w:val="nil"/>
              <w:left w:val="nil"/>
              <w:bottom w:val="single" w:sz="8" w:space="0" w:color="auto"/>
              <w:right w:val="single" w:sz="8" w:space="0" w:color="auto"/>
            </w:tcBorders>
            <w:vAlign w:val="center"/>
            <w:hideMark/>
          </w:tcPr>
          <w:p w14:paraId="7082EDB8"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3.52± 0.077</w:t>
            </w:r>
          </w:p>
        </w:tc>
        <w:tc>
          <w:tcPr>
            <w:tcW w:w="2183" w:type="dxa"/>
            <w:tcBorders>
              <w:top w:val="nil"/>
              <w:left w:val="nil"/>
              <w:bottom w:val="single" w:sz="8" w:space="0" w:color="auto"/>
              <w:right w:val="single" w:sz="8" w:space="0" w:color="auto"/>
            </w:tcBorders>
            <w:vAlign w:val="center"/>
            <w:hideMark/>
          </w:tcPr>
          <w:p w14:paraId="69E6ABAB"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3.33 ± 0.096</w:t>
            </w:r>
          </w:p>
        </w:tc>
        <w:tc>
          <w:tcPr>
            <w:tcW w:w="2176" w:type="dxa"/>
            <w:vMerge w:val="restart"/>
            <w:tcBorders>
              <w:top w:val="nil"/>
              <w:left w:val="single" w:sz="8" w:space="0" w:color="auto"/>
              <w:bottom w:val="single" w:sz="8" w:space="0" w:color="000000"/>
              <w:right w:val="single" w:sz="8" w:space="0" w:color="auto"/>
            </w:tcBorders>
            <w:vAlign w:val="center"/>
            <w:hideMark/>
          </w:tcPr>
          <w:p w14:paraId="5154BAD4" w14:textId="77777777" w:rsidR="00F474AA" w:rsidRPr="00203D64" w:rsidRDefault="00F474AA" w:rsidP="008A1E83">
            <w:pPr>
              <w:jc w:val="center"/>
              <w:rPr>
                <w:rFonts w:ascii="Arial" w:hAnsi="Arial" w:cs="Arial"/>
                <w:sz w:val="20"/>
                <w:szCs w:val="20"/>
                <w:lang w:eastAsia="en-IN"/>
              </w:rPr>
            </w:pPr>
            <w:proofErr w:type="spellStart"/>
            <w:proofErr w:type="gramStart"/>
            <w:r w:rsidRPr="00203D64">
              <w:rPr>
                <w:rFonts w:ascii="Arial" w:hAnsi="Arial" w:cs="Arial"/>
                <w:sz w:val="20"/>
                <w:szCs w:val="20"/>
                <w:lang w:eastAsia="en-IN"/>
              </w:rPr>
              <w:t>N</w:t>
            </w:r>
            <w:r>
              <w:rPr>
                <w:rFonts w:ascii="Arial" w:hAnsi="Arial" w:cs="Arial"/>
                <w:sz w:val="20"/>
                <w:szCs w:val="20"/>
                <w:lang w:eastAsia="en-IN"/>
              </w:rPr>
              <w:t xml:space="preserve">on </w:t>
            </w:r>
            <w:r w:rsidRPr="00203D64">
              <w:rPr>
                <w:rFonts w:ascii="Arial" w:hAnsi="Arial" w:cs="Arial"/>
                <w:sz w:val="20"/>
                <w:szCs w:val="20"/>
                <w:lang w:eastAsia="en-IN"/>
              </w:rPr>
              <w:t>S</w:t>
            </w:r>
            <w:r>
              <w:rPr>
                <w:rFonts w:ascii="Arial" w:hAnsi="Arial" w:cs="Arial"/>
                <w:sz w:val="20"/>
                <w:szCs w:val="20"/>
                <w:lang w:eastAsia="en-IN"/>
              </w:rPr>
              <w:t>ignificant</w:t>
            </w:r>
            <w:proofErr w:type="spellEnd"/>
            <w:proofErr w:type="gramEnd"/>
          </w:p>
        </w:tc>
      </w:tr>
      <w:tr w:rsidR="00F474AA" w:rsidRPr="00203D64" w14:paraId="780B3E96" w14:textId="77777777" w:rsidTr="008A1E83">
        <w:trPr>
          <w:trHeight w:val="256"/>
        </w:trPr>
        <w:tc>
          <w:tcPr>
            <w:tcW w:w="983" w:type="dxa"/>
            <w:tcBorders>
              <w:top w:val="nil"/>
              <w:left w:val="single" w:sz="8" w:space="0" w:color="auto"/>
              <w:bottom w:val="single" w:sz="8" w:space="0" w:color="auto"/>
              <w:right w:val="single" w:sz="8" w:space="0" w:color="auto"/>
            </w:tcBorders>
            <w:vAlign w:val="center"/>
            <w:hideMark/>
          </w:tcPr>
          <w:p w14:paraId="480B3A9A"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2</w:t>
            </w:r>
          </w:p>
        </w:tc>
        <w:tc>
          <w:tcPr>
            <w:tcW w:w="1275" w:type="dxa"/>
            <w:tcBorders>
              <w:top w:val="nil"/>
              <w:left w:val="nil"/>
              <w:bottom w:val="single" w:sz="8" w:space="0" w:color="auto"/>
              <w:right w:val="single" w:sz="8" w:space="0" w:color="auto"/>
            </w:tcBorders>
            <w:vAlign w:val="center"/>
          </w:tcPr>
          <w:p w14:paraId="71D4040D" w14:textId="77777777" w:rsidR="00F474AA" w:rsidRPr="00203D64" w:rsidRDefault="00F474AA" w:rsidP="008A1E83">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1843" w:type="dxa"/>
            <w:tcBorders>
              <w:top w:val="nil"/>
              <w:left w:val="nil"/>
              <w:bottom w:val="single" w:sz="8" w:space="0" w:color="auto"/>
              <w:right w:val="single" w:sz="8" w:space="0" w:color="auto"/>
            </w:tcBorders>
            <w:vAlign w:val="center"/>
            <w:hideMark/>
          </w:tcPr>
          <w:p w14:paraId="6DAC6C51"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2.50 ± 0.156</w:t>
            </w:r>
          </w:p>
        </w:tc>
        <w:tc>
          <w:tcPr>
            <w:tcW w:w="2183" w:type="dxa"/>
            <w:tcBorders>
              <w:top w:val="nil"/>
              <w:left w:val="nil"/>
              <w:bottom w:val="single" w:sz="8" w:space="0" w:color="auto"/>
              <w:right w:val="single" w:sz="8" w:space="0" w:color="auto"/>
            </w:tcBorders>
            <w:vAlign w:val="center"/>
            <w:hideMark/>
          </w:tcPr>
          <w:p w14:paraId="0AC45A89"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2.64 ± 0.049</w:t>
            </w:r>
          </w:p>
        </w:tc>
        <w:tc>
          <w:tcPr>
            <w:tcW w:w="2176" w:type="dxa"/>
            <w:vMerge/>
            <w:tcBorders>
              <w:top w:val="nil"/>
              <w:left w:val="single" w:sz="8" w:space="0" w:color="auto"/>
              <w:bottom w:val="single" w:sz="8" w:space="0" w:color="000000"/>
              <w:right w:val="single" w:sz="8" w:space="0" w:color="auto"/>
            </w:tcBorders>
            <w:vAlign w:val="center"/>
            <w:hideMark/>
          </w:tcPr>
          <w:p w14:paraId="29D1FE08" w14:textId="77777777" w:rsidR="00F474AA" w:rsidRPr="00203D64" w:rsidRDefault="00F474AA" w:rsidP="008A1E83">
            <w:pPr>
              <w:jc w:val="center"/>
              <w:rPr>
                <w:rFonts w:ascii="Arial" w:hAnsi="Arial" w:cs="Arial"/>
                <w:sz w:val="20"/>
                <w:szCs w:val="20"/>
                <w:lang w:eastAsia="en-IN"/>
              </w:rPr>
            </w:pPr>
          </w:p>
        </w:tc>
      </w:tr>
      <w:tr w:rsidR="00F474AA" w:rsidRPr="00203D64" w14:paraId="7B373AB7" w14:textId="77777777" w:rsidTr="008A1E83">
        <w:trPr>
          <w:trHeight w:val="362"/>
        </w:trPr>
        <w:tc>
          <w:tcPr>
            <w:tcW w:w="983" w:type="dxa"/>
            <w:tcBorders>
              <w:top w:val="nil"/>
              <w:left w:val="single" w:sz="8" w:space="0" w:color="auto"/>
              <w:bottom w:val="single" w:sz="8" w:space="0" w:color="auto"/>
              <w:right w:val="single" w:sz="8" w:space="0" w:color="auto"/>
            </w:tcBorders>
            <w:vAlign w:val="center"/>
            <w:hideMark/>
          </w:tcPr>
          <w:p w14:paraId="626CFDD8"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3</w:t>
            </w:r>
          </w:p>
        </w:tc>
        <w:tc>
          <w:tcPr>
            <w:tcW w:w="1275" w:type="dxa"/>
            <w:tcBorders>
              <w:top w:val="nil"/>
              <w:left w:val="nil"/>
              <w:bottom w:val="single" w:sz="8" w:space="0" w:color="auto"/>
              <w:right w:val="single" w:sz="8" w:space="0" w:color="auto"/>
            </w:tcBorders>
            <w:vAlign w:val="center"/>
          </w:tcPr>
          <w:p w14:paraId="0A534354" w14:textId="77777777" w:rsidR="00F474AA" w:rsidRPr="00203D64"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1843" w:type="dxa"/>
            <w:tcBorders>
              <w:top w:val="nil"/>
              <w:left w:val="nil"/>
              <w:bottom w:val="single" w:sz="8" w:space="0" w:color="auto"/>
              <w:right w:val="single" w:sz="8" w:space="0" w:color="auto"/>
            </w:tcBorders>
            <w:vAlign w:val="center"/>
            <w:hideMark/>
          </w:tcPr>
          <w:p w14:paraId="374AAAA8"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2.88 ± 0.026</w:t>
            </w:r>
          </w:p>
        </w:tc>
        <w:tc>
          <w:tcPr>
            <w:tcW w:w="2183" w:type="dxa"/>
            <w:tcBorders>
              <w:top w:val="nil"/>
              <w:left w:val="nil"/>
              <w:bottom w:val="single" w:sz="8" w:space="0" w:color="auto"/>
              <w:right w:val="single" w:sz="8" w:space="0" w:color="auto"/>
            </w:tcBorders>
            <w:vAlign w:val="center"/>
            <w:hideMark/>
          </w:tcPr>
          <w:p w14:paraId="4681D143" w14:textId="77777777" w:rsidR="00F474AA" w:rsidRPr="00203D64" w:rsidRDefault="00F474AA" w:rsidP="008A1E83">
            <w:pPr>
              <w:jc w:val="center"/>
              <w:rPr>
                <w:rFonts w:ascii="Arial" w:hAnsi="Arial" w:cs="Arial"/>
                <w:sz w:val="20"/>
                <w:szCs w:val="20"/>
                <w:lang w:eastAsia="en-IN"/>
              </w:rPr>
            </w:pPr>
            <w:r w:rsidRPr="00203D64">
              <w:rPr>
                <w:rFonts w:ascii="Arial" w:hAnsi="Arial" w:cs="Arial"/>
                <w:sz w:val="20"/>
                <w:szCs w:val="20"/>
                <w:lang w:eastAsia="en-IN"/>
              </w:rPr>
              <w:t>2.76 ± 0.111</w:t>
            </w:r>
          </w:p>
        </w:tc>
        <w:tc>
          <w:tcPr>
            <w:tcW w:w="2176" w:type="dxa"/>
            <w:vMerge/>
            <w:tcBorders>
              <w:top w:val="nil"/>
              <w:left w:val="single" w:sz="8" w:space="0" w:color="auto"/>
              <w:bottom w:val="single" w:sz="8" w:space="0" w:color="000000"/>
              <w:right w:val="single" w:sz="8" w:space="0" w:color="auto"/>
            </w:tcBorders>
            <w:vAlign w:val="center"/>
            <w:hideMark/>
          </w:tcPr>
          <w:p w14:paraId="7D45D632" w14:textId="77777777" w:rsidR="00F474AA" w:rsidRPr="00203D64" w:rsidRDefault="00F474AA" w:rsidP="008A1E83">
            <w:pPr>
              <w:jc w:val="center"/>
              <w:rPr>
                <w:rFonts w:ascii="Arial" w:hAnsi="Arial" w:cs="Arial"/>
                <w:sz w:val="20"/>
                <w:szCs w:val="20"/>
                <w:lang w:eastAsia="en-IN"/>
              </w:rPr>
            </w:pPr>
          </w:p>
        </w:tc>
      </w:tr>
      <w:bookmarkEnd w:id="2"/>
    </w:tbl>
    <w:p w14:paraId="10D476BE" w14:textId="77777777" w:rsidR="00F474AA" w:rsidRDefault="00F474AA" w:rsidP="00F474AA">
      <w:pPr>
        <w:spacing w:before="240" w:after="120" w:line="480" w:lineRule="auto"/>
        <w:jc w:val="both"/>
        <w:rPr>
          <w:rFonts w:ascii="Arial" w:hAnsi="Arial" w:cs="Arial"/>
          <w:b/>
          <w:szCs w:val="24"/>
        </w:rPr>
      </w:pPr>
    </w:p>
    <w:p w14:paraId="41DC1F08" w14:textId="77777777" w:rsidR="00F474AA" w:rsidRPr="00660946" w:rsidRDefault="00F474AA" w:rsidP="00F474AA">
      <w:pPr>
        <w:spacing w:before="240" w:after="120" w:line="480" w:lineRule="auto"/>
        <w:jc w:val="both"/>
        <w:rPr>
          <w:rFonts w:ascii="Arial" w:hAnsi="Arial" w:cs="Arial"/>
          <w:b/>
          <w:szCs w:val="24"/>
        </w:rPr>
      </w:pPr>
      <w:proofErr w:type="gramStart"/>
      <w:r w:rsidRPr="00660946">
        <w:rPr>
          <w:rFonts w:ascii="Arial" w:hAnsi="Arial" w:cs="Arial"/>
          <w:b/>
          <w:szCs w:val="24"/>
        </w:rPr>
        <w:t>3.2.2  Post</w:t>
      </w:r>
      <w:proofErr w:type="gramEnd"/>
      <w:r w:rsidRPr="00660946">
        <w:rPr>
          <w:rFonts w:ascii="Arial" w:hAnsi="Arial" w:cs="Arial"/>
          <w:b/>
          <w:szCs w:val="24"/>
        </w:rPr>
        <w:t xml:space="preserve"> pubertal to farrowing (g/day)</w:t>
      </w:r>
    </w:p>
    <w:p w14:paraId="349F3EBD" w14:textId="77777777" w:rsidR="00F474AA" w:rsidRPr="000A0CF9" w:rsidRDefault="00F474AA" w:rsidP="00F474AA">
      <w:pPr>
        <w:jc w:val="both"/>
        <w:rPr>
          <w:rFonts w:ascii="Arial" w:hAnsi="Arial" w:cs="Arial"/>
          <w:sz w:val="20"/>
          <w:szCs w:val="20"/>
        </w:rPr>
      </w:pPr>
      <w:r w:rsidRPr="000A0CF9">
        <w:rPr>
          <w:rFonts w:ascii="Arial" w:hAnsi="Arial" w:cs="Arial"/>
          <w:sz w:val="20"/>
          <w:szCs w:val="20"/>
        </w:rPr>
        <w:t>The post-pubertal average daily gain (g/day) of guinea pigs in two treatment groups (T-1 and T-2) was recorded weekly over a 14-week period (up to mean farrowing day). The mean ± standard error (SE) values for each week are presented in Table 3. In the early post-pubertal weeks (Week I</w:t>
      </w:r>
      <w:r>
        <w:rPr>
          <w:rFonts w:ascii="Arial" w:hAnsi="Arial" w:cs="Arial"/>
          <w:sz w:val="20"/>
          <w:szCs w:val="20"/>
        </w:rPr>
        <w:t xml:space="preserve"> to </w:t>
      </w:r>
      <w:r w:rsidRPr="000A0CF9">
        <w:rPr>
          <w:rFonts w:ascii="Arial" w:hAnsi="Arial" w:cs="Arial"/>
          <w:sz w:val="20"/>
          <w:szCs w:val="20"/>
        </w:rPr>
        <w:t xml:space="preserve">Week VIII), both groups exhibited comparable ADG values with minor variations. </w:t>
      </w:r>
    </w:p>
    <w:p w14:paraId="5C36A16A" w14:textId="77777777" w:rsidR="00F474AA" w:rsidRDefault="00F474AA" w:rsidP="00F474AA">
      <w:pPr>
        <w:jc w:val="both"/>
        <w:rPr>
          <w:rFonts w:ascii="Arial" w:hAnsi="Arial" w:cs="Arial"/>
          <w:sz w:val="20"/>
          <w:szCs w:val="20"/>
        </w:rPr>
      </w:pPr>
      <w:r w:rsidRPr="000A0CF9">
        <w:rPr>
          <w:rFonts w:ascii="Arial" w:hAnsi="Arial" w:cs="Arial"/>
          <w:sz w:val="20"/>
          <w:szCs w:val="20"/>
        </w:rPr>
        <w:t xml:space="preserve">During the post-pubertal phase, growth patterns showed natural fluctuations with a peak around the tenth week of post puberty, followed by a decline. Such changes are physiologically expected, as guinea pig approach sexual maturity, growth velocity typically slows down and stabilizes (Genzer </w:t>
      </w:r>
      <w:r w:rsidRPr="000A0CF9">
        <w:rPr>
          <w:rFonts w:ascii="Arial" w:hAnsi="Arial" w:cs="Arial"/>
          <w:i/>
          <w:iCs/>
          <w:sz w:val="20"/>
          <w:szCs w:val="20"/>
        </w:rPr>
        <w:t>et al</w:t>
      </w:r>
      <w:r w:rsidRPr="000A0CF9">
        <w:rPr>
          <w:rFonts w:ascii="Arial" w:hAnsi="Arial" w:cs="Arial"/>
          <w:sz w:val="20"/>
          <w:szCs w:val="20"/>
        </w:rPr>
        <w:t xml:space="preserve">., 2021). The non-significant results across both phases may be due to nutrient adequacy in both groups, when diets meet basic amino acid and energy requirements, growth curves converge, with no detectable treatment effects (NRC, 1995). </w:t>
      </w:r>
    </w:p>
    <w:p w14:paraId="36DB47A9" w14:textId="0FF89156" w:rsidR="00F474AA" w:rsidRDefault="00F474AA" w:rsidP="00F474AA">
      <w:pPr>
        <w:spacing w:before="280" w:after="120" w:line="360" w:lineRule="auto"/>
        <w:jc w:val="center"/>
        <w:rPr>
          <w:rFonts w:ascii="Arial" w:hAnsi="Arial" w:cs="Arial"/>
          <w:sz w:val="20"/>
          <w:szCs w:val="20"/>
        </w:rPr>
      </w:pPr>
      <w:r w:rsidRPr="00D66F72">
        <w:rPr>
          <w:rFonts w:ascii="Arial" w:hAnsi="Arial" w:cs="Arial"/>
          <w:b/>
          <w:sz w:val="20"/>
          <w:szCs w:val="20"/>
          <w:lang w:val="en-US"/>
        </w:rPr>
        <w:t xml:space="preserve">Table </w:t>
      </w:r>
      <w:r>
        <w:rPr>
          <w:rFonts w:ascii="Arial" w:hAnsi="Arial" w:cs="Arial"/>
          <w:b/>
          <w:sz w:val="20"/>
          <w:szCs w:val="20"/>
          <w:lang w:val="en-US"/>
        </w:rPr>
        <w:t>3</w:t>
      </w:r>
      <w:r w:rsidRPr="005F7295">
        <w:rPr>
          <w:rFonts w:ascii="Arial" w:hAnsi="Arial" w:cs="Arial"/>
          <w:b/>
          <w:sz w:val="20"/>
          <w:szCs w:val="20"/>
          <w:lang w:val="en-US"/>
        </w:rPr>
        <w:t>:</w:t>
      </w:r>
      <w:r>
        <w:rPr>
          <w:rFonts w:ascii="Arial" w:hAnsi="Arial" w:cs="Arial"/>
          <w:b/>
          <w:sz w:val="20"/>
          <w:szCs w:val="20"/>
          <w:lang w:val="en-US"/>
        </w:rPr>
        <w:t xml:space="preserve"> </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w:t>
      </w:r>
      <w:r w:rsidR="0006136D">
        <w:rPr>
          <w:rFonts w:ascii="Arial" w:hAnsi="Arial" w:cs="Arial"/>
          <w:b/>
          <w:bCs/>
          <w:sz w:val="20"/>
          <w:szCs w:val="20"/>
        </w:rPr>
        <w:t>ost</w:t>
      </w:r>
      <w:r w:rsidRPr="005F7295">
        <w:rPr>
          <w:rFonts w:ascii="Arial" w:hAnsi="Arial" w:cs="Arial"/>
          <w:b/>
          <w:bCs/>
          <w:sz w:val="20"/>
          <w:szCs w:val="20"/>
        </w:rPr>
        <w:t>-pubertal period</w:t>
      </w:r>
      <w:r w:rsidRPr="005F7295">
        <w:rPr>
          <w:rFonts w:ascii="Arial" w:hAnsi="Arial" w:cs="Arial"/>
          <w:sz w:val="20"/>
          <w:szCs w:val="20"/>
        </w:rPr>
        <w:t>.</w:t>
      </w:r>
    </w:p>
    <w:tbl>
      <w:tblPr>
        <w:tblW w:w="9346" w:type="dxa"/>
        <w:tblLook w:val="04A0" w:firstRow="1" w:lastRow="0" w:firstColumn="1" w:lastColumn="0" w:noHBand="0" w:noVBand="1"/>
      </w:tblPr>
      <w:tblGrid>
        <w:gridCol w:w="1124"/>
        <w:gridCol w:w="1796"/>
        <w:gridCol w:w="2173"/>
        <w:gridCol w:w="2127"/>
        <w:gridCol w:w="2126"/>
      </w:tblGrid>
      <w:tr w:rsidR="00F474AA" w:rsidRPr="008D49E6" w14:paraId="318C4F71" w14:textId="77777777" w:rsidTr="008A1E83">
        <w:trPr>
          <w:trHeight w:val="315"/>
        </w:trPr>
        <w:tc>
          <w:tcPr>
            <w:tcW w:w="1124" w:type="dxa"/>
            <w:tcBorders>
              <w:top w:val="single" w:sz="8" w:space="0" w:color="auto"/>
              <w:left w:val="single" w:sz="8" w:space="0" w:color="auto"/>
              <w:bottom w:val="single" w:sz="8" w:space="0" w:color="auto"/>
              <w:right w:val="single" w:sz="8" w:space="0" w:color="auto"/>
            </w:tcBorders>
            <w:vAlign w:val="center"/>
            <w:hideMark/>
          </w:tcPr>
          <w:p w14:paraId="1558E44E" w14:textId="77777777" w:rsidR="00F474AA" w:rsidRPr="008D49E6" w:rsidRDefault="00F474AA" w:rsidP="008A1E83">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Sl. No.</w:t>
            </w:r>
          </w:p>
        </w:tc>
        <w:tc>
          <w:tcPr>
            <w:tcW w:w="1796" w:type="dxa"/>
            <w:tcBorders>
              <w:top w:val="single" w:sz="8" w:space="0" w:color="auto"/>
              <w:left w:val="nil"/>
              <w:bottom w:val="single" w:sz="8" w:space="0" w:color="auto"/>
              <w:right w:val="single" w:sz="8" w:space="0" w:color="auto"/>
            </w:tcBorders>
            <w:vAlign w:val="center"/>
            <w:hideMark/>
          </w:tcPr>
          <w:p w14:paraId="0E3B49DF" w14:textId="77777777" w:rsidR="00F474AA" w:rsidRPr="008D49E6" w:rsidRDefault="00F474AA" w:rsidP="008A1E83">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Week</w:t>
            </w:r>
          </w:p>
        </w:tc>
        <w:tc>
          <w:tcPr>
            <w:tcW w:w="2173" w:type="dxa"/>
            <w:tcBorders>
              <w:top w:val="single" w:sz="8" w:space="0" w:color="auto"/>
              <w:left w:val="nil"/>
              <w:bottom w:val="single" w:sz="8" w:space="0" w:color="auto"/>
              <w:right w:val="single" w:sz="8" w:space="0" w:color="auto"/>
            </w:tcBorders>
            <w:vAlign w:val="center"/>
            <w:hideMark/>
          </w:tcPr>
          <w:p w14:paraId="138DB912" w14:textId="77777777" w:rsidR="00F474AA" w:rsidRPr="008D49E6" w:rsidRDefault="00F474AA" w:rsidP="008A1E83">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T-1</w:t>
            </w:r>
          </w:p>
        </w:tc>
        <w:tc>
          <w:tcPr>
            <w:tcW w:w="2127" w:type="dxa"/>
            <w:tcBorders>
              <w:top w:val="single" w:sz="8" w:space="0" w:color="auto"/>
              <w:left w:val="nil"/>
              <w:bottom w:val="single" w:sz="8" w:space="0" w:color="auto"/>
              <w:right w:val="single" w:sz="8" w:space="0" w:color="auto"/>
            </w:tcBorders>
            <w:vAlign w:val="center"/>
            <w:hideMark/>
          </w:tcPr>
          <w:p w14:paraId="3F019ED6" w14:textId="77777777" w:rsidR="00F474AA" w:rsidRPr="008D49E6" w:rsidRDefault="00F474AA" w:rsidP="008A1E83">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T-2</w:t>
            </w:r>
          </w:p>
        </w:tc>
        <w:tc>
          <w:tcPr>
            <w:tcW w:w="2126" w:type="dxa"/>
            <w:tcBorders>
              <w:top w:val="single" w:sz="8" w:space="0" w:color="auto"/>
              <w:left w:val="nil"/>
              <w:bottom w:val="single" w:sz="8" w:space="0" w:color="auto"/>
              <w:right w:val="single" w:sz="8" w:space="0" w:color="auto"/>
            </w:tcBorders>
            <w:vAlign w:val="center"/>
            <w:hideMark/>
          </w:tcPr>
          <w:p w14:paraId="3C375388" w14:textId="77777777" w:rsidR="00F474AA" w:rsidRPr="008D49E6" w:rsidRDefault="00F474AA" w:rsidP="008A1E83">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Significance</w:t>
            </w:r>
          </w:p>
        </w:tc>
      </w:tr>
      <w:tr w:rsidR="00F474AA" w:rsidRPr="008D49E6" w14:paraId="2A570A09" w14:textId="77777777" w:rsidTr="008A1E83">
        <w:trPr>
          <w:trHeight w:val="361"/>
        </w:trPr>
        <w:tc>
          <w:tcPr>
            <w:tcW w:w="1124" w:type="dxa"/>
            <w:tcBorders>
              <w:top w:val="nil"/>
              <w:left w:val="single" w:sz="8" w:space="0" w:color="auto"/>
              <w:bottom w:val="single" w:sz="8" w:space="0" w:color="auto"/>
              <w:right w:val="single" w:sz="8" w:space="0" w:color="auto"/>
            </w:tcBorders>
            <w:vAlign w:val="center"/>
            <w:hideMark/>
          </w:tcPr>
          <w:p w14:paraId="6ED05D04"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w:t>
            </w:r>
          </w:p>
        </w:tc>
        <w:tc>
          <w:tcPr>
            <w:tcW w:w="1796" w:type="dxa"/>
            <w:tcBorders>
              <w:top w:val="nil"/>
              <w:left w:val="nil"/>
              <w:bottom w:val="single" w:sz="8" w:space="0" w:color="auto"/>
              <w:right w:val="single" w:sz="8" w:space="0" w:color="auto"/>
            </w:tcBorders>
            <w:vAlign w:val="center"/>
          </w:tcPr>
          <w:p w14:paraId="4A8D60C8"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173" w:type="dxa"/>
            <w:tcBorders>
              <w:top w:val="nil"/>
              <w:left w:val="nil"/>
              <w:bottom w:val="single" w:sz="8" w:space="0" w:color="auto"/>
              <w:right w:val="single" w:sz="8" w:space="0" w:color="auto"/>
            </w:tcBorders>
            <w:vAlign w:val="center"/>
            <w:hideMark/>
          </w:tcPr>
          <w:p w14:paraId="2CC6BC16"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4.47 ± 0.124</w:t>
            </w:r>
          </w:p>
        </w:tc>
        <w:tc>
          <w:tcPr>
            <w:tcW w:w="2127" w:type="dxa"/>
            <w:tcBorders>
              <w:top w:val="nil"/>
              <w:left w:val="nil"/>
              <w:bottom w:val="single" w:sz="8" w:space="0" w:color="auto"/>
              <w:right w:val="single" w:sz="8" w:space="0" w:color="auto"/>
            </w:tcBorders>
            <w:vAlign w:val="center"/>
            <w:hideMark/>
          </w:tcPr>
          <w:p w14:paraId="5F2A7341"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4.79 ± 0.131</w:t>
            </w:r>
          </w:p>
        </w:tc>
        <w:tc>
          <w:tcPr>
            <w:tcW w:w="2126" w:type="dxa"/>
            <w:vMerge w:val="restart"/>
            <w:tcBorders>
              <w:top w:val="nil"/>
              <w:left w:val="single" w:sz="8" w:space="0" w:color="auto"/>
              <w:bottom w:val="single" w:sz="8" w:space="0" w:color="000000"/>
              <w:right w:val="single" w:sz="8" w:space="0" w:color="auto"/>
            </w:tcBorders>
            <w:vAlign w:val="center"/>
            <w:hideMark/>
          </w:tcPr>
          <w:p w14:paraId="7A946797"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roofErr w:type="spellStart"/>
            <w:proofErr w:type="gramStart"/>
            <w:r w:rsidRPr="008D49E6">
              <w:rPr>
                <w:rFonts w:ascii="Arial" w:eastAsia="Times New Roman" w:hAnsi="Arial" w:cs="Arial"/>
                <w:color w:val="000000"/>
                <w:sz w:val="20"/>
                <w:szCs w:val="20"/>
                <w:lang w:eastAsia="en-IN"/>
              </w:rPr>
              <w:t>N</w:t>
            </w:r>
            <w:r>
              <w:rPr>
                <w:rFonts w:ascii="Arial" w:eastAsia="Times New Roman" w:hAnsi="Arial" w:cs="Arial"/>
                <w:color w:val="000000"/>
                <w:sz w:val="20"/>
                <w:szCs w:val="20"/>
                <w:lang w:eastAsia="en-IN"/>
              </w:rPr>
              <w:t xml:space="preserve">on </w:t>
            </w:r>
            <w:r w:rsidRPr="008D49E6">
              <w:rPr>
                <w:rFonts w:ascii="Arial" w:eastAsia="Times New Roman" w:hAnsi="Arial" w:cs="Arial"/>
                <w:color w:val="000000"/>
                <w:sz w:val="20"/>
                <w:szCs w:val="20"/>
                <w:lang w:eastAsia="en-IN"/>
              </w:rPr>
              <w:t>S</w:t>
            </w:r>
            <w:r>
              <w:rPr>
                <w:rFonts w:ascii="Arial" w:eastAsia="Times New Roman" w:hAnsi="Arial" w:cs="Arial"/>
                <w:color w:val="000000"/>
                <w:sz w:val="20"/>
                <w:szCs w:val="20"/>
                <w:lang w:eastAsia="en-IN"/>
              </w:rPr>
              <w:t>ignificant</w:t>
            </w:r>
            <w:proofErr w:type="spellEnd"/>
            <w:proofErr w:type="gramEnd"/>
          </w:p>
        </w:tc>
      </w:tr>
      <w:tr w:rsidR="00F474AA" w:rsidRPr="008D49E6" w14:paraId="4674CDB3"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6828D09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lastRenderedPageBreak/>
              <w:t>2</w:t>
            </w:r>
          </w:p>
        </w:tc>
        <w:tc>
          <w:tcPr>
            <w:tcW w:w="1796" w:type="dxa"/>
            <w:tcBorders>
              <w:top w:val="nil"/>
              <w:left w:val="nil"/>
              <w:bottom w:val="single" w:sz="8" w:space="0" w:color="auto"/>
              <w:right w:val="single" w:sz="8" w:space="0" w:color="auto"/>
            </w:tcBorders>
            <w:vAlign w:val="center"/>
          </w:tcPr>
          <w:p w14:paraId="00D7EC9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173" w:type="dxa"/>
            <w:tcBorders>
              <w:top w:val="nil"/>
              <w:left w:val="nil"/>
              <w:bottom w:val="single" w:sz="8" w:space="0" w:color="auto"/>
              <w:right w:val="single" w:sz="8" w:space="0" w:color="auto"/>
            </w:tcBorders>
            <w:vAlign w:val="center"/>
            <w:hideMark/>
          </w:tcPr>
          <w:p w14:paraId="769CBA6A"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4.91 ± 0.096</w:t>
            </w:r>
          </w:p>
        </w:tc>
        <w:tc>
          <w:tcPr>
            <w:tcW w:w="2127" w:type="dxa"/>
            <w:tcBorders>
              <w:top w:val="nil"/>
              <w:left w:val="nil"/>
              <w:bottom w:val="single" w:sz="8" w:space="0" w:color="auto"/>
              <w:right w:val="single" w:sz="8" w:space="0" w:color="auto"/>
            </w:tcBorders>
            <w:vAlign w:val="center"/>
            <w:hideMark/>
          </w:tcPr>
          <w:p w14:paraId="75A878FB"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4.54 ± 0.157</w:t>
            </w:r>
          </w:p>
        </w:tc>
        <w:tc>
          <w:tcPr>
            <w:tcW w:w="2126" w:type="dxa"/>
            <w:vMerge/>
            <w:tcBorders>
              <w:top w:val="nil"/>
              <w:left w:val="single" w:sz="8" w:space="0" w:color="auto"/>
              <w:bottom w:val="single" w:sz="8" w:space="0" w:color="000000"/>
              <w:right w:val="single" w:sz="8" w:space="0" w:color="auto"/>
            </w:tcBorders>
            <w:vAlign w:val="center"/>
            <w:hideMark/>
          </w:tcPr>
          <w:p w14:paraId="5B361FF5"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3BEDABAD" w14:textId="77777777" w:rsidTr="008A1E83">
        <w:trPr>
          <w:trHeight w:val="406"/>
        </w:trPr>
        <w:tc>
          <w:tcPr>
            <w:tcW w:w="1124" w:type="dxa"/>
            <w:tcBorders>
              <w:top w:val="nil"/>
              <w:left w:val="single" w:sz="8" w:space="0" w:color="auto"/>
              <w:bottom w:val="single" w:sz="8" w:space="0" w:color="auto"/>
              <w:right w:val="single" w:sz="8" w:space="0" w:color="auto"/>
            </w:tcBorders>
            <w:vAlign w:val="center"/>
            <w:hideMark/>
          </w:tcPr>
          <w:p w14:paraId="0A0421C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w:t>
            </w:r>
          </w:p>
        </w:tc>
        <w:tc>
          <w:tcPr>
            <w:tcW w:w="1796" w:type="dxa"/>
            <w:tcBorders>
              <w:top w:val="nil"/>
              <w:left w:val="nil"/>
              <w:bottom w:val="single" w:sz="8" w:space="0" w:color="auto"/>
              <w:right w:val="single" w:sz="8" w:space="0" w:color="auto"/>
            </w:tcBorders>
            <w:vAlign w:val="center"/>
          </w:tcPr>
          <w:p w14:paraId="5B8F6E6F"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173" w:type="dxa"/>
            <w:tcBorders>
              <w:top w:val="nil"/>
              <w:left w:val="nil"/>
              <w:bottom w:val="single" w:sz="8" w:space="0" w:color="auto"/>
              <w:right w:val="single" w:sz="8" w:space="0" w:color="auto"/>
            </w:tcBorders>
            <w:vAlign w:val="center"/>
            <w:hideMark/>
          </w:tcPr>
          <w:p w14:paraId="288C6E3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4.76 ± 0.099</w:t>
            </w:r>
          </w:p>
        </w:tc>
        <w:tc>
          <w:tcPr>
            <w:tcW w:w="2127" w:type="dxa"/>
            <w:tcBorders>
              <w:top w:val="nil"/>
              <w:left w:val="nil"/>
              <w:bottom w:val="single" w:sz="8" w:space="0" w:color="auto"/>
              <w:right w:val="single" w:sz="8" w:space="0" w:color="auto"/>
            </w:tcBorders>
            <w:vAlign w:val="center"/>
            <w:hideMark/>
          </w:tcPr>
          <w:p w14:paraId="2E6C2DC9"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4.59 ± 0.124</w:t>
            </w:r>
          </w:p>
        </w:tc>
        <w:tc>
          <w:tcPr>
            <w:tcW w:w="2126" w:type="dxa"/>
            <w:vMerge/>
            <w:tcBorders>
              <w:top w:val="nil"/>
              <w:left w:val="single" w:sz="8" w:space="0" w:color="auto"/>
              <w:bottom w:val="single" w:sz="8" w:space="0" w:color="000000"/>
              <w:right w:val="single" w:sz="8" w:space="0" w:color="auto"/>
            </w:tcBorders>
            <w:vAlign w:val="center"/>
            <w:hideMark/>
          </w:tcPr>
          <w:p w14:paraId="072545A6"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5347ADFC"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27DFD26F"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w:t>
            </w:r>
          </w:p>
        </w:tc>
        <w:tc>
          <w:tcPr>
            <w:tcW w:w="1796" w:type="dxa"/>
            <w:tcBorders>
              <w:top w:val="nil"/>
              <w:left w:val="nil"/>
              <w:bottom w:val="single" w:sz="8" w:space="0" w:color="auto"/>
              <w:right w:val="single" w:sz="8" w:space="0" w:color="auto"/>
            </w:tcBorders>
            <w:vAlign w:val="center"/>
          </w:tcPr>
          <w:p w14:paraId="5098A3D8"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173" w:type="dxa"/>
            <w:tcBorders>
              <w:top w:val="nil"/>
              <w:left w:val="nil"/>
              <w:bottom w:val="single" w:sz="8" w:space="0" w:color="auto"/>
              <w:right w:val="single" w:sz="8" w:space="0" w:color="auto"/>
            </w:tcBorders>
            <w:vAlign w:val="center"/>
            <w:hideMark/>
          </w:tcPr>
          <w:p w14:paraId="0AD2862A"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4.21 ± 0.159</w:t>
            </w:r>
          </w:p>
        </w:tc>
        <w:tc>
          <w:tcPr>
            <w:tcW w:w="2127" w:type="dxa"/>
            <w:tcBorders>
              <w:top w:val="nil"/>
              <w:left w:val="nil"/>
              <w:bottom w:val="single" w:sz="8" w:space="0" w:color="auto"/>
              <w:right w:val="single" w:sz="8" w:space="0" w:color="auto"/>
            </w:tcBorders>
            <w:vAlign w:val="center"/>
            <w:hideMark/>
          </w:tcPr>
          <w:p w14:paraId="4971B3E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4.48 ± 0.060</w:t>
            </w:r>
          </w:p>
        </w:tc>
        <w:tc>
          <w:tcPr>
            <w:tcW w:w="2126" w:type="dxa"/>
            <w:vMerge/>
            <w:tcBorders>
              <w:top w:val="nil"/>
              <w:left w:val="single" w:sz="8" w:space="0" w:color="auto"/>
              <w:bottom w:val="single" w:sz="8" w:space="0" w:color="000000"/>
              <w:right w:val="single" w:sz="8" w:space="0" w:color="auto"/>
            </w:tcBorders>
            <w:vAlign w:val="center"/>
            <w:hideMark/>
          </w:tcPr>
          <w:p w14:paraId="2A106D8E"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7FC58373" w14:textId="77777777" w:rsidTr="008A1E83">
        <w:trPr>
          <w:trHeight w:val="350"/>
        </w:trPr>
        <w:tc>
          <w:tcPr>
            <w:tcW w:w="1124" w:type="dxa"/>
            <w:tcBorders>
              <w:top w:val="nil"/>
              <w:left w:val="single" w:sz="8" w:space="0" w:color="auto"/>
              <w:bottom w:val="single" w:sz="8" w:space="0" w:color="auto"/>
              <w:right w:val="single" w:sz="8" w:space="0" w:color="auto"/>
            </w:tcBorders>
            <w:vAlign w:val="center"/>
            <w:hideMark/>
          </w:tcPr>
          <w:p w14:paraId="7FEA8EB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w:t>
            </w:r>
          </w:p>
        </w:tc>
        <w:tc>
          <w:tcPr>
            <w:tcW w:w="1796" w:type="dxa"/>
            <w:tcBorders>
              <w:top w:val="nil"/>
              <w:left w:val="nil"/>
              <w:bottom w:val="single" w:sz="8" w:space="0" w:color="auto"/>
              <w:right w:val="single" w:sz="8" w:space="0" w:color="auto"/>
            </w:tcBorders>
            <w:vAlign w:val="center"/>
          </w:tcPr>
          <w:p w14:paraId="6472BB9B"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173" w:type="dxa"/>
            <w:tcBorders>
              <w:top w:val="nil"/>
              <w:left w:val="nil"/>
              <w:bottom w:val="single" w:sz="8" w:space="0" w:color="auto"/>
              <w:right w:val="single" w:sz="8" w:space="0" w:color="auto"/>
            </w:tcBorders>
            <w:vAlign w:val="center"/>
            <w:hideMark/>
          </w:tcPr>
          <w:p w14:paraId="20940626"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0.059</w:t>
            </w:r>
          </w:p>
        </w:tc>
        <w:tc>
          <w:tcPr>
            <w:tcW w:w="2127" w:type="dxa"/>
            <w:tcBorders>
              <w:top w:val="nil"/>
              <w:left w:val="nil"/>
              <w:bottom w:val="single" w:sz="8" w:space="0" w:color="auto"/>
              <w:right w:val="single" w:sz="8" w:space="0" w:color="auto"/>
            </w:tcBorders>
            <w:vAlign w:val="center"/>
            <w:hideMark/>
          </w:tcPr>
          <w:p w14:paraId="69BC954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0.056</w:t>
            </w:r>
          </w:p>
        </w:tc>
        <w:tc>
          <w:tcPr>
            <w:tcW w:w="2126" w:type="dxa"/>
            <w:vMerge/>
            <w:tcBorders>
              <w:top w:val="nil"/>
              <w:left w:val="single" w:sz="8" w:space="0" w:color="auto"/>
              <w:bottom w:val="single" w:sz="8" w:space="0" w:color="000000"/>
              <w:right w:val="single" w:sz="8" w:space="0" w:color="auto"/>
            </w:tcBorders>
            <w:vAlign w:val="center"/>
            <w:hideMark/>
          </w:tcPr>
          <w:p w14:paraId="02B89F57"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7A9EA786"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5750D17B"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w:t>
            </w:r>
          </w:p>
        </w:tc>
        <w:tc>
          <w:tcPr>
            <w:tcW w:w="1796" w:type="dxa"/>
            <w:tcBorders>
              <w:top w:val="nil"/>
              <w:left w:val="nil"/>
              <w:bottom w:val="single" w:sz="8" w:space="0" w:color="auto"/>
              <w:right w:val="single" w:sz="8" w:space="0" w:color="auto"/>
            </w:tcBorders>
            <w:vAlign w:val="center"/>
          </w:tcPr>
          <w:p w14:paraId="5281527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173" w:type="dxa"/>
            <w:tcBorders>
              <w:top w:val="nil"/>
              <w:left w:val="nil"/>
              <w:bottom w:val="single" w:sz="8" w:space="0" w:color="auto"/>
              <w:right w:val="single" w:sz="8" w:space="0" w:color="auto"/>
            </w:tcBorders>
            <w:vAlign w:val="center"/>
            <w:hideMark/>
          </w:tcPr>
          <w:p w14:paraId="4644B56F"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4.26 ± 0.241</w:t>
            </w:r>
          </w:p>
        </w:tc>
        <w:tc>
          <w:tcPr>
            <w:tcW w:w="2127" w:type="dxa"/>
            <w:tcBorders>
              <w:top w:val="nil"/>
              <w:left w:val="nil"/>
              <w:bottom w:val="single" w:sz="8" w:space="0" w:color="auto"/>
              <w:right w:val="single" w:sz="8" w:space="0" w:color="auto"/>
            </w:tcBorders>
            <w:vAlign w:val="center"/>
            <w:hideMark/>
          </w:tcPr>
          <w:p w14:paraId="54F12AE1"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4.99 ± 0.342</w:t>
            </w:r>
          </w:p>
        </w:tc>
        <w:tc>
          <w:tcPr>
            <w:tcW w:w="2126" w:type="dxa"/>
            <w:vMerge/>
            <w:tcBorders>
              <w:top w:val="nil"/>
              <w:left w:val="single" w:sz="8" w:space="0" w:color="auto"/>
              <w:bottom w:val="single" w:sz="8" w:space="0" w:color="000000"/>
              <w:right w:val="single" w:sz="8" w:space="0" w:color="auto"/>
            </w:tcBorders>
            <w:vAlign w:val="center"/>
            <w:hideMark/>
          </w:tcPr>
          <w:p w14:paraId="4306E57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066CA52C"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338DCBF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7</w:t>
            </w:r>
          </w:p>
        </w:tc>
        <w:tc>
          <w:tcPr>
            <w:tcW w:w="1796" w:type="dxa"/>
            <w:tcBorders>
              <w:top w:val="nil"/>
              <w:left w:val="nil"/>
              <w:bottom w:val="single" w:sz="8" w:space="0" w:color="auto"/>
              <w:right w:val="single" w:sz="8" w:space="0" w:color="auto"/>
            </w:tcBorders>
            <w:vAlign w:val="center"/>
          </w:tcPr>
          <w:p w14:paraId="61D5DDF3"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64B0A7B7"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4.73 ± 0.363</w:t>
            </w:r>
          </w:p>
        </w:tc>
        <w:tc>
          <w:tcPr>
            <w:tcW w:w="2127" w:type="dxa"/>
            <w:tcBorders>
              <w:top w:val="nil"/>
              <w:left w:val="nil"/>
              <w:bottom w:val="single" w:sz="8" w:space="0" w:color="auto"/>
              <w:right w:val="single" w:sz="8" w:space="0" w:color="auto"/>
            </w:tcBorders>
            <w:vAlign w:val="center"/>
            <w:hideMark/>
          </w:tcPr>
          <w:p w14:paraId="681EFBA8"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4.63 ± 0.487</w:t>
            </w:r>
          </w:p>
        </w:tc>
        <w:tc>
          <w:tcPr>
            <w:tcW w:w="2126" w:type="dxa"/>
            <w:vMerge/>
            <w:tcBorders>
              <w:top w:val="nil"/>
              <w:left w:val="single" w:sz="8" w:space="0" w:color="auto"/>
              <w:bottom w:val="single" w:sz="8" w:space="0" w:color="000000"/>
              <w:right w:val="single" w:sz="8" w:space="0" w:color="auto"/>
            </w:tcBorders>
            <w:vAlign w:val="center"/>
            <w:hideMark/>
          </w:tcPr>
          <w:p w14:paraId="07A9569E"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7AB39917"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11093E3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8</w:t>
            </w:r>
          </w:p>
        </w:tc>
        <w:tc>
          <w:tcPr>
            <w:tcW w:w="1796" w:type="dxa"/>
            <w:tcBorders>
              <w:top w:val="nil"/>
              <w:left w:val="nil"/>
              <w:bottom w:val="single" w:sz="8" w:space="0" w:color="auto"/>
              <w:right w:val="single" w:sz="8" w:space="0" w:color="auto"/>
            </w:tcBorders>
            <w:vAlign w:val="center"/>
          </w:tcPr>
          <w:p w14:paraId="2AA36991"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r>
              <w:rPr>
                <w:rFonts w:ascii="Arial" w:eastAsia="Times New Roman" w:hAnsi="Arial" w:cs="Arial"/>
                <w:color w:val="000000"/>
                <w:sz w:val="20"/>
                <w:szCs w:val="20"/>
                <w:lang w:eastAsia="en-IN"/>
              </w:rPr>
              <w:t>I</w:t>
            </w:r>
          </w:p>
        </w:tc>
        <w:tc>
          <w:tcPr>
            <w:tcW w:w="2173" w:type="dxa"/>
            <w:tcBorders>
              <w:top w:val="nil"/>
              <w:left w:val="nil"/>
              <w:bottom w:val="single" w:sz="8" w:space="0" w:color="auto"/>
              <w:right w:val="single" w:sz="8" w:space="0" w:color="auto"/>
            </w:tcBorders>
            <w:vAlign w:val="center"/>
            <w:hideMark/>
          </w:tcPr>
          <w:p w14:paraId="5A15A70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0.311</w:t>
            </w:r>
          </w:p>
        </w:tc>
        <w:tc>
          <w:tcPr>
            <w:tcW w:w="2127" w:type="dxa"/>
            <w:tcBorders>
              <w:top w:val="nil"/>
              <w:left w:val="nil"/>
              <w:bottom w:val="single" w:sz="8" w:space="0" w:color="auto"/>
              <w:right w:val="single" w:sz="8" w:space="0" w:color="auto"/>
            </w:tcBorders>
            <w:vAlign w:val="center"/>
            <w:hideMark/>
          </w:tcPr>
          <w:p w14:paraId="0BB4CE9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4.66 ± 0.471</w:t>
            </w:r>
          </w:p>
        </w:tc>
        <w:tc>
          <w:tcPr>
            <w:tcW w:w="2126" w:type="dxa"/>
            <w:vMerge/>
            <w:tcBorders>
              <w:top w:val="nil"/>
              <w:left w:val="single" w:sz="8" w:space="0" w:color="auto"/>
              <w:bottom w:val="single" w:sz="8" w:space="0" w:color="000000"/>
              <w:right w:val="single" w:sz="8" w:space="0" w:color="auto"/>
            </w:tcBorders>
            <w:vAlign w:val="center"/>
            <w:hideMark/>
          </w:tcPr>
          <w:p w14:paraId="32657E86"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5409B46E"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5705135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9</w:t>
            </w:r>
          </w:p>
        </w:tc>
        <w:tc>
          <w:tcPr>
            <w:tcW w:w="1796" w:type="dxa"/>
            <w:tcBorders>
              <w:top w:val="nil"/>
              <w:left w:val="nil"/>
              <w:bottom w:val="single" w:sz="8" w:space="0" w:color="auto"/>
              <w:right w:val="single" w:sz="8" w:space="0" w:color="auto"/>
            </w:tcBorders>
            <w:vAlign w:val="center"/>
            <w:hideMark/>
          </w:tcPr>
          <w:p w14:paraId="78C3165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173" w:type="dxa"/>
            <w:tcBorders>
              <w:top w:val="nil"/>
              <w:left w:val="nil"/>
              <w:bottom w:val="single" w:sz="8" w:space="0" w:color="auto"/>
              <w:right w:val="single" w:sz="8" w:space="0" w:color="auto"/>
            </w:tcBorders>
            <w:vAlign w:val="center"/>
            <w:hideMark/>
          </w:tcPr>
          <w:p w14:paraId="6F3BFFF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4.78 ± 0.494</w:t>
            </w:r>
          </w:p>
        </w:tc>
        <w:tc>
          <w:tcPr>
            <w:tcW w:w="2127" w:type="dxa"/>
            <w:tcBorders>
              <w:top w:val="nil"/>
              <w:left w:val="nil"/>
              <w:bottom w:val="single" w:sz="8" w:space="0" w:color="auto"/>
              <w:right w:val="single" w:sz="8" w:space="0" w:color="auto"/>
            </w:tcBorders>
            <w:vAlign w:val="center"/>
            <w:hideMark/>
          </w:tcPr>
          <w:p w14:paraId="6BD8496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6.04 ± 0.511</w:t>
            </w:r>
          </w:p>
        </w:tc>
        <w:tc>
          <w:tcPr>
            <w:tcW w:w="2126" w:type="dxa"/>
            <w:vMerge/>
            <w:tcBorders>
              <w:top w:val="nil"/>
              <w:left w:val="single" w:sz="8" w:space="0" w:color="auto"/>
              <w:bottom w:val="single" w:sz="8" w:space="0" w:color="000000"/>
              <w:right w:val="single" w:sz="8" w:space="0" w:color="auto"/>
            </w:tcBorders>
            <w:vAlign w:val="center"/>
            <w:hideMark/>
          </w:tcPr>
          <w:p w14:paraId="6383D831"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4879EF81"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135BB7A1"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10</w:t>
            </w:r>
          </w:p>
        </w:tc>
        <w:tc>
          <w:tcPr>
            <w:tcW w:w="1796" w:type="dxa"/>
            <w:tcBorders>
              <w:top w:val="nil"/>
              <w:left w:val="nil"/>
              <w:bottom w:val="single" w:sz="8" w:space="0" w:color="auto"/>
              <w:right w:val="single" w:sz="8" w:space="0" w:color="auto"/>
            </w:tcBorders>
            <w:vAlign w:val="center"/>
            <w:hideMark/>
          </w:tcPr>
          <w:p w14:paraId="40A062E5"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w:t>
            </w:r>
          </w:p>
        </w:tc>
        <w:tc>
          <w:tcPr>
            <w:tcW w:w="2173" w:type="dxa"/>
            <w:tcBorders>
              <w:top w:val="nil"/>
              <w:left w:val="nil"/>
              <w:bottom w:val="single" w:sz="8" w:space="0" w:color="auto"/>
              <w:right w:val="single" w:sz="8" w:space="0" w:color="auto"/>
            </w:tcBorders>
            <w:vAlign w:val="center"/>
            <w:hideMark/>
          </w:tcPr>
          <w:p w14:paraId="63FEC90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6.51 ± 0.383</w:t>
            </w:r>
          </w:p>
        </w:tc>
        <w:tc>
          <w:tcPr>
            <w:tcW w:w="2127" w:type="dxa"/>
            <w:tcBorders>
              <w:top w:val="nil"/>
              <w:left w:val="nil"/>
              <w:bottom w:val="single" w:sz="8" w:space="0" w:color="auto"/>
              <w:right w:val="single" w:sz="8" w:space="0" w:color="auto"/>
            </w:tcBorders>
            <w:vAlign w:val="center"/>
            <w:hideMark/>
          </w:tcPr>
          <w:p w14:paraId="4071EEB9"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6.58 ± 0.203</w:t>
            </w:r>
          </w:p>
        </w:tc>
        <w:tc>
          <w:tcPr>
            <w:tcW w:w="2126" w:type="dxa"/>
            <w:vMerge/>
            <w:tcBorders>
              <w:top w:val="nil"/>
              <w:left w:val="single" w:sz="8" w:space="0" w:color="auto"/>
              <w:bottom w:val="single" w:sz="8" w:space="0" w:color="000000"/>
              <w:right w:val="single" w:sz="8" w:space="0" w:color="auto"/>
            </w:tcBorders>
            <w:vAlign w:val="center"/>
            <w:hideMark/>
          </w:tcPr>
          <w:p w14:paraId="6DE0145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6F074B93"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08E5F8D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11</w:t>
            </w:r>
          </w:p>
        </w:tc>
        <w:tc>
          <w:tcPr>
            <w:tcW w:w="1796" w:type="dxa"/>
            <w:tcBorders>
              <w:top w:val="nil"/>
              <w:left w:val="nil"/>
              <w:bottom w:val="single" w:sz="8" w:space="0" w:color="auto"/>
              <w:right w:val="single" w:sz="8" w:space="0" w:color="auto"/>
            </w:tcBorders>
            <w:vAlign w:val="center"/>
            <w:hideMark/>
          </w:tcPr>
          <w:p w14:paraId="7988F752"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w:t>
            </w:r>
          </w:p>
        </w:tc>
        <w:tc>
          <w:tcPr>
            <w:tcW w:w="2173" w:type="dxa"/>
            <w:tcBorders>
              <w:top w:val="nil"/>
              <w:left w:val="nil"/>
              <w:bottom w:val="single" w:sz="8" w:space="0" w:color="auto"/>
              <w:right w:val="single" w:sz="8" w:space="0" w:color="auto"/>
            </w:tcBorders>
            <w:vAlign w:val="center"/>
            <w:hideMark/>
          </w:tcPr>
          <w:p w14:paraId="1684F81B"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5.91 ± 0.302</w:t>
            </w:r>
          </w:p>
        </w:tc>
        <w:tc>
          <w:tcPr>
            <w:tcW w:w="2127" w:type="dxa"/>
            <w:tcBorders>
              <w:top w:val="nil"/>
              <w:left w:val="nil"/>
              <w:bottom w:val="single" w:sz="8" w:space="0" w:color="auto"/>
              <w:right w:val="single" w:sz="8" w:space="0" w:color="auto"/>
            </w:tcBorders>
            <w:vAlign w:val="center"/>
            <w:hideMark/>
          </w:tcPr>
          <w:p w14:paraId="062EEC45"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6.31 ± 0.227</w:t>
            </w:r>
          </w:p>
        </w:tc>
        <w:tc>
          <w:tcPr>
            <w:tcW w:w="2126" w:type="dxa"/>
            <w:vMerge/>
            <w:tcBorders>
              <w:top w:val="nil"/>
              <w:left w:val="single" w:sz="8" w:space="0" w:color="auto"/>
              <w:bottom w:val="single" w:sz="8" w:space="0" w:color="000000"/>
              <w:right w:val="single" w:sz="8" w:space="0" w:color="auto"/>
            </w:tcBorders>
            <w:vAlign w:val="center"/>
            <w:hideMark/>
          </w:tcPr>
          <w:p w14:paraId="512AB8FB"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2C2218BA"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05EB30CE"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12</w:t>
            </w:r>
          </w:p>
        </w:tc>
        <w:tc>
          <w:tcPr>
            <w:tcW w:w="1796" w:type="dxa"/>
            <w:tcBorders>
              <w:top w:val="nil"/>
              <w:left w:val="nil"/>
              <w:bottom w:val="single" w:sz="8" w:space="0" w:color="auto"/>
              <w:right w:val="single" w:sz="8" w:space="0" w:color="auto"/>
            </w:tcBorders>
            <w:vAlign w:val="center"/>
            <w:hideMark/>
          </w:tcPr>
          <w:p w14:paraId="2ABBFF9E"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w:t>
            </w:r>
          </w:p>
        </w:tc>
        <w:tc>
          <w:tcPr>
            <w:tcW w:w="2173" w:type="dxa"/>
            <w:tcBorders>
              <w:top w:val="nil"/>
              <w:left w:val="nil"/>
              <w:bottom w:val="single" w:sz="8" w:space="0" w:color="auto"/>
              <w:right w:val="single" w:sz="8" w:space="0" w:color="auto"/>
            </w:tcBorders>
            <w:vAlign w:val="center"/>
            <w:hideMark/>
          </w:tcPr>
          <w:p w14:paraId="094A0D65"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6.29 ± 0.650</w:t>
            </w:r>
          </w:p>
        </w:tc>
        <w:tc>
          <w:tcPr>
            <w:tcW w:w="2127" w:type="dxa"/>
            <w:tcBorders>
              <w:top w:val="nil"/>
              <w:left w:val="nil"/>
              <w:bottom w:val="single" w:sz="8" w:space="0" w:color="auto"/>
              <w:right w:val="single" w:sz="8" w:space="0" w:color="auto"/>
            </w:tcBorders>
            <w:vAlign w:val="center"/>
            <w:hideMark/>
          </w:tcPr>
          <w:p w14:paraId="78F0899F"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5.33 ± 0.210</w:t>
            </w:r>
          </w:p>
        </w:tc>
        <w:tc>
          <w:tcPr>
            <w:tcW w:w="2126" w:type="dxa"/>
            <w:vMerge/>
            <w:tcBorders>
              <w:top w:val="nil"/>
              <w:left w:val="single" w:sz="8" w:space="0" w:color="auto"/>
              <w:bottom w:val="single" w:sz="8" w:space="0" w:color="000000"/>
              <w:right w:val="single" w:sz="8" w:space="0" w:color="auto"/>
            </w:tcBorders>
            <w:vAlign w:val="center"/>
            <w:hideMark/>
          </w:tcPr>
          <w:p w14:paraId="3EDC7FD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6639A96D"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331B707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13</w:t>
            </w:r>
          </w:p>
        </w:tc>
        <w:tc>
          <w:tcPr>
            <w:tcW w:w="1796" w:type="dxa"/>
            <w:tcBorders>
              <w:top w:val="nil"/>
              <w:left w:val="nil"/>
              <w:bottom w:val="single" w:sz="8" w:space="0" w:color="auto"/>
              <w:right w:val="single" w:sz="8" w:space="0" w:color="auto"/>
            </w:tcBorders>
            <w:vAlign w:val="center"/>
            <w:hideMark/>
          </w:tcPr>
          <w:p w14:paraId="3EB53C7F"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XIII</w:t>
            </w:r>
          </w:p>
        </w:tc>
        <w:tc>
          <w:tcPr>
            <w:tcW w:w="2173" w:type="dxa"/>
            <w:tcBorders>
              <w:top w:val="nil"/>
              <w:left w:val="nil"/>
              <w:bottom w:val="single" w:sz="8" w:space="0" w:color="auto"/>
              <w:right w:val="single" w:sz="8" w:space="0" w:color="auto"/>
            </w:tcBorders>
            <w:vAlign w:val="center"/>
            <w:hideMark/>
          </w:tcPr>
          <w:p w14:paraId="49DEBCB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0.322</w:t>
            </w:r>
          </w:p>
        </w:tc>
        <w:tc>
          <w:tcPr>
            <w:tcW w:w="2127" w:type="dxa"/>
            <w:tcBorders>
              <w:top w:val="nil"/>
              <w:left w:val="nil"/>
              <w:bottom w:val="single" w:sz="8" w:space="0" w:color="auto"/>
              <w:right w:val="single" w:sz="8" w:space="0" w:color="auto"/>
            </w:tcBorders>
            <w:vAlign w:val="center"/>
            <w:hideMark/>
          </w:tcPr>
          <w:p w14:paraId="00FB6805"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4.33 ± 0.386</w:t>
            </w:r>
          </w:p>
        </w:tc>
        <w:tc>
          <w:tcPr>
            <w:tcW w:w="2126" w:type="dxa"/>
            <w:vMerge/>
            <w:tcBorders>
              <w:top w:val="nil"/>
              <w:left w:val="single" w:sz="8" w:space="0" w:color="auto"/>
              <w:bottom w:val="single" w:sz="8" w:space="0" w:color="000000"/>
              <w:right w:val="single" w:sz="8" w:space="0" w:color="auto"/>
            </w:tcBorders>
            <w:vAlign w:val="center"/>
            <w:hideMark/>
          </w:tcPr>
          <w:p w14:paraId="47D234A0"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r w:rsidR="00F474AA" w:rsidRPr="008D49E6" w14:paraId="73A60E16" w14:textId="77777777" w:rsidTr="008A1E83">
        <w:trPr>
          <w:trHeight w:val="315"/>
        </w:trPr>
        <w:tc>
          <w:tcPr>
            <w:tcW w:w="1124" w:type="dxa"/>
            <w:tcBorders>
              <w:top w:val="nil"/>
              <w:left w:val="single" w:sz="8" w:space="0" w:color="auto"/>
              <w:bottom w:val="single" w:sz="8" w:space="0" w:color="auto"/>
              <w:right w:val="single" w:sz="8" w:space="0" w:color="auto"/>
            </w:tcBorders>
            <w:vAlign w:val="center"/>
            <w:hideMark/>
          </w:tcPr>
          <w:p w14:paraId="4D25B4F4"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14</w:t>
            </w:r>
          </w:p>
        </w:tc>
        <w:tc>
          <w:tcPr>
            <w:tcW w:w="1796" w:type="dxa"/>
            <w:tcBorders>
              <w:top w:val="nil"/>
              <w:left w:val="nil"/>
              <w:bottom w:val="single" w:sz="8" w:space="0" w:color="auto"/>
              <w:right w:val="single" w:sz="8" w:space="0" w:color="auto"/>
            </w:tcBorders>
            <w:vAlign w:val="center"/>
            <w:hideMark/>
          </w:tcPr>
          <w:p w14:paraId="3A9BE63C"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XIV</w:t>
            </w:r>
          </w:p>
        </w:tc>
        <w:tc>
          <w:tcPr>
            <w:tcW w:w="2173" w:type="dxa"/>
            <w:tcBorders>
              <w:top w:val="nil"/>
              <w:left w:val="nil"/>
              <w:bottom w:val="single" w:sz="8" w:space="0" w:color="auto"/>
              <w:right w:val="single" w:sz="8" w:space="0" w:color="auto"/>
            </w:tcBorders>
            <w:vAlign w:val="center"/>
            <w:hideMark/>
          </w:tcPr>
          <w:p w14:paraId="09DC4D5D"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4.11 ± 0.458</w:t>
            </w:r>
          </w:p>
        </w:tc>
        <w:tc>
          <w:tcPr>
            <w:tcW w:w="2127" w:type="dxa"/>
            <w:tcBorders>
              <w:top w:val="nil"/>
              <w:left w:val="nil"/>
              <w:bottom w:val="single" w:sz="8" w:space="0" w:color="auto"/>
              <w:right w:val="single" w:sz="8" w:space="0" w:color="auto"/>
            </w:tcBorders>
            <w:vAlign w:val="center"/>
            <w:hideMark/>
          </w:tcPr>
          <w:p w14:paraId="639099C9"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3.99 ± 0.407</w:t>
            </w:r>
          </w:p>
        </w:tc>
        <w:tc>
          <w:tcPr>
            <w:tcW w:w="2126" w:type="dxa"/>
            <w:vMerge/>
            <w:tcBorders>
              <w:top w:val="nil"/>
              <w:left w:val="single" w:sz="8" w:space="0" w:color="auto"/>
              <w:bottom w:val="single" w:sz="8" w:space="0" w:color="000000"/>
              <w:right w:val="single" w:sz="8" w:space="0" w:color="auto"/>
            </w:tcBorders>
            <w:vAlign w:val="center"/>
            <w:hideMark/>
          </w:tcPr>
          <w:p w14:paraId="3D68AC48" w14:textId="77777777" w:rsidR="00F474AA" w:rsidRPr="008D49E6" w:rsidRDefault="00F474AA" w:rsidP="008A1E83">
            <w:pPr>
              <w:spacing w:after="0" w:line="480" w:lineRule="auto"/>
              <w:jc w:val="center"/>
              <w:rPr>
                <w:rFonts w:ascii="Arial" w:eastAsia="Times New Roman" w:hAnsi="Arial" w:cs="Arial"/>
                <w:color w:val="000000"/>
                <w:sz w:val="20"/>
                <w:szCs w:val="20"/>
                <w:lang w:eastAsia="en-IN"/>
              </w:rPr>
            </w:pPr>
          </w:p>
        </w:tc>
      </w:tr>
    </w:tbl>
    <w:p w14:paraId="44774A38" w14:textId="77777777" w:rsidR="00F474AA" w:rsidRDefault="00F474AA" w:rsidP="00F474AA">
      <w:pPr>
        <w:spacing w:before="240" w:after="0" w:line="360" w:lineRule="auto"/>
        <w:jc w:val="both"/>
        <w:rPr>
          <w:rFonts w:ascii="Arial" w:hAnsi="Arial" w:cs="Arial"/>
          <w:sz w:val="20"/>
          <w:szCs w:val="20"/>
        </w:rPr>
      </w:pPr>
    </w:p>
    <w:p w14:paraId="2F67134C" w14:textId="77777777" w:rsidR="00F474AA" w:rsidRPr="00952657" w:rsidRDefault="00F474AA" w:rsidP="00F474AA">
      <w:pPr>
        <w:spacing w:before="240" w:after="120" w:line="480" w:lineRule="auto"/>
        <w:jc w:val="both"/>
        <w:rPr>
          <w:rFonts w:ascii="Arial" w:hAnsi="Arial" w:cs="Arial"/>
          <w:b/>
          <w:bCs/>
          <w:sz w:val="20"/>
          <w:szCs w:val="20"/>
        </w:rPr>
      </w:pPr>
      <w:r w:rsidRPr="00671678">
        <w:rPr>
          <w:rFonts w:ascii="Arial" w:eastAsia="Times New Roman" w:hAnsi="Arial" w:cs="Arial"/>
          <w:b/>
          <w:bCs/>
          <w:sz w:val="24"/>
          <w:szCs w:val="24"/>
          <w:lang w:eastAsia="en-IN"/>
        </w:rPr>
        <w:t>3.3</w:t>
      </w:r>
      <w:r w:rsidRPr="00952657">
        <w:rPr>
          <w:rFonts w:ascii="Arial" w:eastAsia="Times New Roman" w:hAnsi="Arial" w:cs="Arial"/>
          <w:b/>
          <w:bCs/>
          <w:sz w:val="20"/>
          <w:szCs w:val="20"/>
          <w:lang w:eastAsia="en-IN"/>
        </w:rPr>
        <w:t xml:space="preserve"> </w:t>
      </w:r>
      <w:r w:rsidRPr="00952657">
        <w:rPr>
          <w:rFonts w:ascii="Arial" w:hAnsi="Arial" w:cs="Arial"/>
          <w:b/>
          <w:sz w:val="24"/>
          <w:szCs w:val="24"/>
        </w:rPr>
        <w:t>Feed conversion ratio (FCR)</w:t>
      </w:r>
    </w:p>
    <w:p w14:paraId="205C12FE" w14:textId="77777777" w:rsidR="00F474AA" w:rsidRDefault="00F474AA" w:rsidP="00F474AA">
      <w:pPr>
        <w:pStyle w:val="NoSpacing"/>
        <w:jc w:val="both"/>
        <w:rPr>
          <w:rFonts w:ascii="Arial" w:hAnsi="Arial" w:cs="Arial"/>
          <w:sz w:val="20"/>
          <w:szCs w:val="20"/>
        </w:rPr>
      </w:pPr>
      <w:r w:rsidRPr="00AE5147">
        <w:rPr>
          <w:rFonts w:ascii="Arial" w:hAnsi="Arial" w:cs="Arial"/>
          <w:bCs/>
          <w:sz w:val="20"/>
          <w:szCs w:val="20"/>
        </w:rPr>
        <w:t xml:space="preserve">The FCR of guinea pigs is presented in Table 4. </w:t>
      </w:r>
      <w:r w:rsidRPr="00AE5147">
        <w:rPr>
          <w:rFonts w:ascii="Arial" w:hAnsi="Arial" w:cs="Arial"/>
          <w:sz w:val="20"/>
          <w:szCs w:val="20"/>
        </w:rPr>
        <w:t>The FCR showed fluctuations across the growth period, with a decreasing trend during the early phase (up to III fortnight) followed by a gradual increase during the later phases (IV to VIII fortnight), the statistical analysis revealed no significant differences</w:t>
      </w:r>
      <w:r w:rsidRPr="00AE5147">
        <w:rPr>
          <w:rFonts w:ascii="Arial" w:hAnsi="Arial" w:cs="Arial"/>
          <w:i/>
          <w:iCs/>
          <w:sz w:val="20"/>
          <w:szCs w:val="20"/>
        </w:rPr>
        <w:t xml:space="preserve"> (p&gt;0.05)</w:t>
      </w:r>
      <w:r w:rsidRPr="00AE5147">
        <w:rPr>
          <w:rFonts w:ascii="Arial" w:hAnsi="Arial" w:cs="Arial"/>
          <w:sz w:val="20"/>
          <w:szCs w:val="20"/>
        </w:rPr>
        <w:t xml:space="preserve"> between T-1 and T-2 throughout the study period. </w:t>
      </w:r>
    </w:p>
    <w:p w14:paraId="07515F96" w14:textId="77777777" w:rsidR="00F474AA" w:rsidRDefault="00F474AA" w:rsidP="00F474AA">
      <w:pPr>
        <w:pStyle w:val="NoSpacing"/>
        <w:jc w:val="both"/>
        <w:rPr>
          <w:rFonts w:ascii="Arial" w:hAnsi="Arial" w:cs="Arial"/>
          <w:sz w:val="20"/>
          <w:szCs w:val="20"/>
        </w:rPr>
      </w:pPr>
    </w:p>
    <w:p w14:paraId="57CCB1A4" w14:textId="77777777" w:rsidR="00F474AA" w:rsidRPr="00E863E6" w:rsidRDefault="00F474AA" w:rsidP="00F474AA">
      <w:pPr>
        <w:jc w:val="both"/>
        <w:rPr>
          <w:rFonts w:ascii="Arial" w:hAnsi="Arial" w:cs="Arial"/>
          <w:sz w:val="20"/>
          <w:szCs w:val="20"/>
        </w:rPr>
      </w:pPr>
      <w:r w:rsidRPr="00E863E6">
        <w:rPr>
          <w:rFonts w:ascii="Arial" w:hAnsi="Arial" w:cs="Arial"/>
          <w:sz w:val="20"/>
          <w:szCs w:val="20"/>
        </w:rPr>
        <w:t xml:space="preserve">The results of the present study are in agreement with the findings of Czarnecki and Adamski (1987), who reported that younger guinea pigs exhibit better feed conversion efficiency due to rapid growth rates and higher nutrient utilization capacity. Similarly, Donoso </w:t>
      </w:r>
      <w:r w:rsidRPr="00E863E6">
        <w:rPr>
          <w:rFonts w:ascii="Arial" w:hAnsi="Arial" w:cs="Arial"/>
          <w:i/>
          <w:iCs/>
          <w:sz w:val="20"/>
          <w:szCs w:val="20"/>
        </w:rPr>
        <w:t>et al</w:t>
      </w:r>
      <w:r w:rsidRPr="00E863E6">
        <w:rPr>
          <w:rFonts w:ascii="Arial" w:hAnsi="Arial" w:cs="Arial"/>
          <w:sz w:val="20"/>
          <w:szCs w:val="20"/>
        </w:rPr>
        <w:t>. (2025) emphasized that feed efficiency in guinea pigs declines with age, as energy requirements shift more towards maintenance rather than growth.</w:t>
      </w:r>
    </w:p>
    <w:p w14:paraId="62C7CA9A" w14:textId="77777777" w:rsidR="00F474AA" w:rsidRPr="00E863E6" w:rsidRDefault="00F474AA" w:rsidP="00F474AA">
      <w:pPr>
        <w:jc w:val="both"/>
        <w:rPr>
          <w:rFonts w:ascii="Arial" w:hAnsi="Arial" w:cs="Arial"/>
          <w:sz w:val="20"/>
          <w:szCs w:val="20"/>
        </w:rPr>
      </w:pPr>
      <w:r w:rsidRPr="00E863E6">
        <w:rPr>
          <w:rFonts w:ascii="Arial" w:hAnsi="Arial" w:cs="Arial"/>
          <w:sz w:val="20"/>
          <w:szCs w:val="20"/>
        </w:rPr>
        <w:t>The observed increase in FCR during later fortnights may also be attributed to physiological changes such as reduced growth velocity and increased body fat deposition in older animals. Similar trends were reported by Michel and Bonnet (2012), who noted that as guinea pigs age, their growth efficiency decreases, leading to a higher FCR.</w:t>
      </w:r>
    </w:p>
    <w:p w14:paraId="25B4509C" w14:textId="77777777" w:rsidR="00F474AA" w:rsidRPr="00AE5147" w:rsidRDefault="00F474AA" w:rsidP="00F474AA">
      <w:pPr>
        <w:pStyle w:val="NoSpacing"/>
        <w:rPr>
          <w:rFonts w:ascii="Arial" w:hAnsi="Arial" w:cs="Arial"/>
          <w:sz w:val="20"/>
          <w:szCs w:val="20"/>
        </w:rPr>
      </w:pPr>
    </w:p>
    <w:p w14:paraId="11854246" w14:textId="77777777" w:rsidR="00F474AA" w:rsidRDefault="00F474AA" w:rsidP="00F474A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04C237D" w14:textId="77777777" w:rsidR="00F474AA" w:rsidRPr="00AE5147" w:rsidRDefault="00F474AA" w:rsidP="00F474AA">
      <w:pPr>
        <w:pStyle w:val="NoSpacing"/>
        <w:rPr>
          <w:rFonts w:ascii="Arial" w:hAnsi="Arial" w:cs="Arial"/>
          <w:b/>
          <w:bCs/>
          <w:sz w:val="20"/>
          <w:szCs w:val="20"/>
        </w:rPr>
      </w:pPr>
      <w:r>
        <w:rPr>
          <w:rFonts w:ascii="Times New Roman" w:hAnsi="Times New Roman" w:cs="Times New Roman"/>
          <w:sz w:val="24"/>
          <w:szCs w:val="24"/>
        </w:rPr>
        <w:t xml:space="preserve">     </w:t>
      </w:r>
      <w:r w:rsidRPr="00F10C7C">
        <w:rPr>
          <w:rFonts w:ascii="Times New Roman" w:hAnsi="Times New Roman" w:cs="Times New Roman"/>
          <w:sz w:val="24"/>
          <w:szCs w:val="24"/>
        </w:rPr>
        <w:t xml:space="preserve"> </w:t>
      </w:r>
      <w:r w:rsidRPr="00AE5147">
        <w:rPr>
          <w:rFonts w:ascii="Arial" w:hAnsi="Arial" w:cs="Arial"/>
          <w:b/>
          <w:bCs/>
          <w:sz w:val="20"/>
          <w:szCs w:val="20"/>
        </w:rPr>
        <w:t>Table 4: The fortnightly mean (</w:t>
      </w:r>
      <w:r w:rsidRPr="00AE5147">
        <w:rPr>
          <w:rFonts w:ascii="Arial" w:eastAsia="Times New Roman" w:hAnsi="Arial" w:cs="Arial"/>
          <w:b/>
          <w:bCs/>
          <w:sz w:val="20"/>
          <w:szCs w:val="20"/>
          <w:lang w:eastAsia="en-IN"/>
        </w:rPr>
        <w:t>±SE)</w:t>
      </w:r>
      <w:r w:rsidRPr="00AE5147">
        <w:rPr>
          <w:rFonts w:ascii="Arial" w:hAnsi="Arial" w:cs="Arial"/>
          <w:b/>
          <w:bCs/>
          <w:sz w:val="20"/>
          <w:szCs w:val="20"/>
        </w:rPr>
        <w:t xml:space="preserve"> FCR of guinea pigs during the experimental period.</w:t>
      </w:r>
    </w:p>
    <w:tbl>
      <w:tblPr>
        <w:tblpPr w:leftFromText="180" w:rightFromText="180" w:vertAnchor="text" w:horzAnchor="margin" w:tblpXSpec="center" w:tblpY="458"/>
        <w:tblW w:w="9283" w:type="dxa"/>
        <w:tblLook w:val="04A0" w:firstRow="1" w:lastRow="0" w:firstColumn="1" w:lastColumn="0" w:noHBand="0" w:noVBand="1"/>
      </w:tblPr>
      <w:tblGrid>
        <w:gridCol w:w="1051"/>
        <w:gridCol w:w="1693"/>
        <w:gridCol w:w="2394"/>
        <w:gridCol w:w="2257"/>
        <w:gridCol w:w="1888"/>
      </w:tblGrid>
      <w:tr w:rsidR="00F474AA" w:rsidRPr="009F7A99" w14:paraId="55E7D380" w14:textId="77777777" w:rsidTr="008A1E83">
        <w:trPr>
          <w:trHeight w:val="413"/>
        </w:trPr>
        <w:tc>
          <w:tcPr>
            <w:tcW w:w="1051" w:type="dxa"/>
            <w:tcBorders>
              <w:top w:val="single" w:sz="8" w:space="0" w:color="auto"/>
              <w:left w:val="single" w:sz="8" w:space="0" w:color="auto"/>
              <w:bottom w:val="single" w:sz="8" w:space="0" w:color="auto"/>
              <w:right w:val="single" w:sz="8" w:space="0" w:color="auto"/>
            </w:tcBorders>
            <w:vAlign w:val="center"/>
            <w:hideMark/>
          </w:tcPr>
          <w:p w14:paraId="43FA44C2" w14:textId="77777777" w:rsidR="00F474AA" w:rsidRPr="009F7A99" w:rsidRDefault="00F474AA" w:rsidP="008A1E83">
            <w:pPr>
              <w:jc w:val="center"/>
              <w:rPr>
                <w:rFonts w:ascii="Arial" w:hAnsi="Arial" w:cs="Arial"/>
                <w:b/>
                <w:bCs/>
                <w:sz w:val="20"/>
                <w:szCs w:val="20"/>
                <w:lang w:eastAsia="en-IN"/>
              </w:rPr>
            </w:pPr>
            <w:r w:rsidRPr="009F7A99">
              <w:rPr>
                <w:rFonts w:ascii="Arial" w:hAnsi="Arial" w:cs="Arial"/>
                <w:b/>
                <w:bCs/>
                <w:sz w:val="20"/>
                <w:szCs w:val="20"/>
                <w:lang w:eastAsia="en-IN"/>
              </w:rPr>
              <w:t>Sl. No.</w:t>
            </w:r>
          </w:p>
        </w:tc>
        <w:tc>
          <w:tcPr>
            <w:tcW w:w="1693" w:type="dxa"/>
            <w:tcBorders>
              <w:top w:val="single" w:sz="8" w:space="0" w:color="auto"/>
              <w:left w:val="nil"/>
              <w:bottom w:val="single" w:sz="8" w:space="0" w:color="auto"/>
              <w:right w:val="single" w:sz="8" w:space="0" w:color="auto"/>
            </w:tcBorders>
            <w:vAlign w:val="center"/>
            <w:hideMark/>
          </w:tcPr>
          <w:p w14:paraId="732C91DA" w14:textId="77777777" w:rsidR="00F474AA" w:rsidRPr="009F7A99" w:rsidRDefault="00F474AA" w:rsidP="008A1E83">
            <w:pPr>
              <w:jc w:val="center"/>
              <w:rPr>
                <w:rFonts w:ascii="Arial" w:hAnsi="Arial" w:cs="Arial"/>
                <w:b/>
                <w:bCs/>
                <w:sz w:val="20"/>
                <w:szCs w:val="20"/>
                <w:lang w:eastAsia="en-IN"/>
              </w:rPr>
            </w:pPr>
            <w:r w:rsidRPr="009F7A99">
              <w:rPr>
                <w:rFonts w:ascii="Arial" w:hAnsi="Arial" w:cs="Arial"/>
                <w:b/>
                <w:bCs/>
                <w:sz w:val="20"/>
                <w:szCs w:val="20"/>
                <w:lang w:eastAsia="en-IN"/>
              </w:rPr>
              <w:t>Fortnight</w:t>
            </w:r>
          </w:p>
        </w:tc>
        <w:tc>
          <w:tcPr>
            <w:tcW w:w="2394" w:type="dxa"/>
            <w:tcBorders>
              <w:top w:val="single" w:sz="8" w:space="0" w:color="auto"/>
              <w:left w:val="nil"/>
              <w:bottom w:val="single" w:sz="8" w:space="0" w:color="auto"/>
              <w:right w:val="single" w:sz="8" w:space="0" w:color="auto"/>
            </w:tcBorders>
            <w:vAlign w:val="center"/>
            <w:hideMark/>
          </w:tcPr>
          <w:p w14:paraId="0FE44E10" w14:textId="77777777" w:rsidR="00F474AA" w:rsidRPr="009F7A99" w:rsidRDefault="00F474AA" w:rsidP="008A1E83">
            <w:pPr>
              <w:jc w:val="center"/>
              <w:rPr>
                <w:rFonts w:ascii="Arial" w:hAnsi="Arial" w:cs="Arial"/>
                <w:b/>
                <w:bCs/>
                <w:sz w:val="20"/>
                <w:szCs w:val="20"/>
                <w:lang w:eastAsia="en-IN"/>
              </w:rPr>
            </w:pPr>
            <w:r w:rsidRPr="009F7A99">
              <w:rPr>
                <w:rFonts w:ascii="Arial" w:hAnsi="Arial" w:cs="Arial"/>
                <w:b/>
                <w:bCs/>
                <w:sz w:val="20"/>
                <w:szCs w:val="20"/>
                <w:lang w:eastAsia="en-IN"/>
              </w:rPr>
              <w:t>T-1</w:t>
            </w:r>
          </w:p>
        </w:tc>
        <w:tc>
          <w:tcPr>
            <w:tcW w:w="2257" w:type="dxa"/>
            <w:tcBorders>
              <w:top w:val="single" w:sz="8" w:space="0" w:color="auto"/>
              <w:left w:val="nil"/>
              <w:bottom w:val="single" w:sz="8" w:space="0" w:color="auto"/>
              <w:right w:val="single" w:sz="8" w:space="0" w:color="auto"/>
            </w:tcBorders>
            <w:vAlign w:val="center"/>
            <w:hideMark/>
          </w:tcPr>
          <w:p w14:paraId="449364A6" w14:textId="77777777" w:rsidR="00F474AA" w:rsidRPr="009F7A99" w:rsidRDefault="00F474AA" w:rsidP="008A1E83">
            <w:pPr>
              <w:jc w:val="center"/>
              <w:rPr>
                <w:rFonts w:ascii="Arial" w:hAnsi="Arial" w:cs="Arial"/>
                <w:b/>
                <w:bCs/>
                <w:sz w:val="20"/>
                <w:szCs w:val="20"/>
                <w:lang w:eastAsia="en-IN"/>
              </w:rPr>
            </w:pPr>
            <w:r w:rsidRPr="009F7A99">
              <w:rPr>
                <w:rFonts w:ascii="Arial" w:hAnsi="Arial" w:cs="Arial"/>
                <w:b/>
                <w:bCs/>
                <w:sz w:val="20"/>
                <w:szCs w:val="20"/>
                <w:lang w:eastAsia="en-IN"/>
              </w:rPr>
              <w:t>T-2</w:t>
            </w:r>
          </w:p>
        </w:tc>
        <w:tc>
          <w:tcPr>
            <w:tcW w:w="1888" w:type="dxa"/>
            <w:tcBorders>
              <w:top w:val="single" w:sz="8" w:space="0" w:color="auto"/>
              <w:left w:val="nil"/>
              <w:bottom w:val="single" w:sz="8" w:space="0" w:color="auto"/>
              <w:right w:val="single" w:sz="8" w:space="0" w:color="auto"/>
            </w:tcBorders>
            <w:vAlign w:val="center"/>
            <w:hideMark/>
          </w:tcPr>
          <w:p w14:paraId="65890DEB" w14:textId="77777777" w:rsidR="00F474AA" w:rsidRPr="009F7A99" w:rsidRDefault="00F474AA" w:rsidP="008A1E83">
            <w:pPr>
              <w:jc w:val="center"/>
              <w:rPr>
                <w:rFonts w:ascii="Arial" w:hAnsi="Arial" w:cs="Arial"/>
                <w:b/>
                <w:bCs/>
                <w:sz w:val="20"/>
                <w:szCs w:val="20"/>
                <w:lang w:eastAsia="en-IN"/>
              </w:rPr>
            </w:pPr>
            <w:r w:rsidRPr="009F7A99">
              <w:rPr>
                <w:rFonts w:ascii="Arial" w:hAnsi="Arial" w:cs="Arial"/>
                <w:b/>
                <w:bCs/>
                <w:sz w:val="20"/>
                <w:szCs w:val="20"/>
                <w:lang w:eastAsia="en-IN"/>
              </w:rPr>
              <w:t>Significance</w:t>
            </w:r>
          </w:p>
        </w:tc>
      </w:tr>
      <w:tr w:rsidR="00F474AA" w:rsidRPr="009F7A99" w14:paraId="17DCBAAD" w14:textId="77777777" w:rsidTr="008A1E83">
        <w:trPr>
          <w:trHeight w:val="263"/>
        </w:trPr>
        <w:tc>
          <w:tcPr>
            <w:tcW w:w="1051" w:type="dxa"/>
            <w:tcBorders>
              <w:top w:val="nil"/>
              <w:left w:val="single" w:sz="8" w:space="0" w:color="auto"/>
              <w:bottom w:val="single" w:sz="8" w:space="0" w:color="auto"/>
              <w:right w:val="single" w:sz="8" w:space="0" w:color="auto"/>
            </w:tcBorders>
            <w:vAlign w:val="center"/>
            <w:hideMark/>
          </w:tcPr>
          <w:p w14:paraId="39A9BB41"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1</w:t>
            </w:r>
          </w:p>
        </w:tc>
        <w:tc>
          <w:tcPr>
            <w:tcW w:w="1693" w:type="dxa"/>
            <w:tcBorders>
              <w:top w:val="nil"/>
              <w:left w:val="nil"/>
              <w:bottom w:val="single" w:sz="8" w:space="0" w:color="auto"/>
              <w:right w:val="single" w:sz="8" w:space="0" w:color="auto"/>
            </w:tcBorders>
            <w:vAlign w:val="center"/>
          </w:tcPr>
          <w:p w14:paraId="3F8179B7"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2394" w:type="dxa"/>
            <w:tcBorders>
              <w:top w:val="nil"/>
              <w:left w:val="nil"/>
              <w:bottom w:val="single" w:sz="8" w:space="0" w:color="auto"/>
              <w:right w:val="single" w:sz="8" w:space="0" w:color="auto"/>
            </w:tcBorders>
            <w:vAlign w:val="center"/>
            <w:hideMark/>
          </w:tcPr>
          <w:p w14:paraId="652737CC"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4.11 ± 0.998</w:t>
            </w:r>
          </w:p>
        </w:tc>
        <w:tc>
          <w:tcPr>
            <w:tcW w:w="2257" w:type="dxa"/>
            <w:tcBorders>
              <w:top w:val="nil"/>
              <w:left w:val="nil"/>
              <w:bottom w:val="single" w:sz="8" w:space="0" w:color="auto"/>
              <w:right w:val="single" w:sz="8" w:space="0" w:color="auto"/>
            </w:tcBorders>
            <w:vAlign w:val="center"/>
            <w:hideMark/>
          </w:tcPr>
          <w:p w14:paraId="2C94708A"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3.99 ± 0.707</w:t>
            </w:r>
          </w:p>
        </w:tc>
        <w:tc>
          <w:tcPr>
            <w:tcW w:w="1888" w:type="dxa"/>
            <w:vMerge w:val="restart"/>
            <w:tcBorders>
              <w:top w:val="nil"/>
              <w:left w:val="single" w:sz="8" w:space="0" w:color="auto"/>
              <w:bottom w:val="single" w:sz="8" w:space="0" w:color="000000"/>
              <w:right w:val="single" w:sz="8" w:space="0" w:color="auto"/>
            </w:tcBorders>
            <w:vAlign w:val="center"/>
            <w:hideMark/>
          </w:tcPr>
          <w:p w14:paraId="55AE3965" w14:textId="77777777" w:rsidR="00F474AA" w:rsidRPr="009F7A99" w:rsidRDefault="00F474AA" w:rsidP="008A1E83">
            <w:pPr>
              <w:jc w:val="center"/>
              <w:rPr>
                <w:rFonts w:ascii="Arial" w:hAnsi="Arial" w:cs="Arial"/>
                <w:sz w:val="20"/>
                <w:szCs w:val="20"/>
                <w:lang w:eastAsia="en-IN"/>
              </w:rPr>
            </w:pPr>
            <w:proofErr w:type="spellStart"/>
            <w:proofErr w:type="gramStart"/>
            <w:r w:rsidRPr="009F7A99">
              <w:rPr>
                <w:rFonts w:ascii="Arial" w:hAnsi="Arial" w:cs="Arial"/>
                <w:sz w:val="20"/>
                <w:szCs w:val="20"/>
                <w:lang w:eastAsia="en-IN"/>
              </w:rPr>
              <w:t>N</w:t>
            </w:r>
            <w:r>
              <w:rPr>
                <w:rFonts w:ascii="Arial" w:hAnsi="Arial" w:cs="Arial"/>
                <w:sz w:val="20"/>
                <w:szCs w:val="20"/>
                <w:lang w:eastAsia="en-IN"/>
              </w:rPr>
              <w:t xml:space="preserve">on </w:t>
            </w:r>
            <w:r w:rsidRPr="009F7A99">
              <w:rPr>
                <w:rFonts w:ascii="Arial" w:hAnsi="Arial" w:cs="Arial"/>
                <w:sz w:val="20"/>
                <w:szCs w:val="20"/>
                <w:lang w:eastAsia="en-IN"/>
              </w:rPr>
              <w:t>S</w:t>
            </w:r>
            <w:r>
              <w:rPr>
                <w:rFonts w:ascii="Arial" w:hAnsi="Arial" w:cs="Arial"/>
                <w:sz w:val="20"/>
                <w:szCs w:val="20"/>
                <w:lang w:eastAsia="en-IN"/>
              </w:rPr>
              <w:t>ignificant</w:t>
            </w:r>
            <w:proofErr w:type="spellEnd"/>
            <w:proofErr w:type="gramEnd"/>
          </w:p>
        </w:tc>
      </w:tr>
      <w:tr w:rsidR="00F474AA" w:rsidRPr="009F7A99" w14:paraId="142D513F" w14:textId="77777777" w:rsidTr="008A1E83">
        <w:trPr>
          <w:trHeight w:val="369"/>
        </w:trPr>
        <w:tc>
          <w:tcPr>
            <w:tcW w:w="1051" w:type="dxa"/>
            <w:tcBorders>
              <w:top w:val="nil"/>
              <w:left w:val="single" w:sz="8" w:space="0" w:color="auto"/>
              <w:bottom w:val="single" w:sz="8" w:space="0" w:color="auto"/>
              <w:right w:val="single" w:sz="8" w:space="0" w:color="auto"/>
            </w:tcBorders>
            <w:vAlign w:val="center"/>
            <w:hideMark/>
          </w:tcPr>
          <w:p w14:paraId="09F2304E"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2</w:t>
            </w:r>
          </w:p>
        </w:tc>
        <w:tc>
          <w:tcPr>
            <w:tcW w:w="1693" w:type="dxa"/>
            <w:tcBorders>
              <w:top w:val="nil"/>
              <w:left w:val="nil"/>
              <w:bottom w:val="single" w:sz="8" w:space="0" w:color="auto"/>
              <w:right w:val="single" w:sz="8" w:space="0" w:color="auto"/>
            </w:tcBorders>
            <w:vAlign w:val="center"/>
          </w:tcPr>
          <w:p w14:paraId="2B33CF51"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2394" w:type="dxa"/>
            <w:tcBorders>
              <w:top w:val="nil"/>
              <w:left w:val="nil"/>
              <w:bottom w:val="single" w:sz="8" w:space="0" w:color="auto"/>
              <w:right w:val="single" w:sz="8" w:space="0" w:color="auto"/>
            </w:tcBorders>
            <w:vAlign w:val="center"/>
            <w:hideMark/>
          </w:tcPr>
          <w:p w14:paraId="7DA52BFE"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4.04 ± 0.857</w:t>
            </w:r>
          </w:p>
        </w:tc>
        <w:tc>
          <w:tcPr>
            <w:tcW w:w="2257" w:type="dxa"/>
            <w:tcBorders>
              <w:top w:val="nil"/>
              <w:left w:val="nil"/>
              <w:bottom w:val="single" w:sz="8" w:space="0" w:color="auto"/>
              <w:right w:val="single" w:sz="8" w:space="0" w:color="auto"/>
            </w:tcBorders>
            <w:vAlign w:val="center"/>
            <w:hideMark/>
          </w:tcPr>
          <w:p w14:paraId="449599BF"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3.95 ± 0.886</w:t>
            </w:r>
          </w:p>
        </w:tc>
        <w:tc>
          <w:tcPr>
            <w:tcW w:w="1888" w:type="dxa"/>
            <w:vMerge/>
            <w:tcBorders>
              <w:top w:val="nil"/>
              <w:left w:val="single" w:sz="8" w:space="0" w:color="auto"/>
              <w:bottom w:val="single" w:sz="8" w:space="0" w:color="000000"/>
              <w:right w:val="single" w:sz="8" w:space="0" w:color="auto"/>
            </w:tcBorders>
            <w:vAlign w:val="center"/>
            <w:hideMark/>
          </w:tcPr>
          <w:p w14:paraId="3A381292" w14:textId="77777777" w:rsidR="00F474AA" w:rsidRPr="009F7A99" w:rsidRDefault="00F474AA" w:rsidP="008A1E83">
            <w:pPr>
              <w:jc w:val="center"/>
              <w:rPr>
                <w:rFonts w:ascii="Arial" w:hAnsi="Arial" w:cs="Arial"/>
                <w:sz w:val="20"/>
                <w:szCs w:val="20"/>
                <w:lang w:eastAsia="en-IN"/>
              </w:rPr>
            </w:pPr>
          </w:p>
        </w:tc>
      </w:tr>
      <w:tr w:rsidR="00F474AA" w:rsidRPr="009F7A99" w14:paraId="43C0D598" w14:textId="77777777" w:rsidTr="008A1E83">
        <w:trPr>
          <w:trHeight w:val="334"/>
        </w:trPr>
        <w:tc>
          <w:tcPr>
            <w:tcW w:w="1051" w:type="dxa"/>
            <w:tcBorders>
              <w:top w:val="nil"/>
              <w:left w:val="single" w:sz="8" w:space="0" w:color="auto"/>
              <w:bottom w:val="single" w:sz="8" w:space="0" w:color="auto"/>
              <w:right w:val="single" w:sz="8" w:space="0" w:color="auto"/>
            </w:tcBorders>
            <w:vAlign w:val="center"/>
            <w:hideMark/>
          </w:tcPr>
          <w:p w14:paraId="29928813"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lastRenderedPageBreak/>
              <w:t>3</w:t>
            </w:r>
          </w:p>
        </w:tc>
        <w:tc>
          <w:tcPr>
            <w:tcW w:w="1693" w:type="dxa"/>
            <w:tcBorders>
              <w:top w:val="nil"/>
              <w:left w:val="nil"/>
              <w:bottom w:val="single" w:sz="8" w:space="0" w:color="auto"/>
              <w:right w:val="single" w:sz="8" w:space="0" w:color="auto"/>
            </w:tcBorders>
            <w:vAlign w:val="center"/>
          </w:tcPr>
          <w:p w14:paraId="757AFE7E"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2394" w:type="dxa"/>
            <w:tcBorders>
              <w:top w:val="nil"/>
              <w:left w:val="nil"/>
              <w:bottom w:val="single" w:sz="8" w:space="0" w:color="auto"/>
              <w:right w:val="single" w:sz="8" w:space="0" w:color="auto"/>
            </w:tcBorders>
            <w:vAlign w:val="center"/>
            <w:hideMark/>
          </w:tcPr>
          <w:p w14:paraId="0A820D74"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3.79 ± 0.348</w:t>
            </w:r>
          </w:p>
        </w:tc>
        <w:tc>
          <w:tcPr>
            <w:tcW w:w="2257" w:type="dxa"/>
            <w:tcBorders>
              <w:top w:val="nil"/>
              <w:left w:val="nil"/>
              <w:bottom w:val="single" w:sz="8" w:space="0" w:color="auto"/>
              <w:right w:val="single" w:sz="8" w:space="0" w:color="auto"/>
            </w:tcBorders>
            <w:vAlign w:val="center"/>
            <w:hideMark/>
          </w:tcPr>
          <w:p w14:paraId="3A4AE159"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3.90 ± 0.263</w:t>
            </w:r>
          </w:p>
        </w:tc>
        <w:tc>
          <w:tcPr>
            <w:tcW w:w="1888" w:type="dxa"/>
            <w:vMerge/>
            <w:tcBorders>
              <w:top w:val="nil"/>
              <w:left w:val="single" w:sz="8" w:space="0" w:color="auto"/>
              <w:bottom w:val="single" w:sz="8" w:space="0" w:color="000000"/>
              <w:right w:val="single" w:sz="8" w:space="0" w:color="auto"/>
            </w:tcBorders>
            <w:vAlign w:val="center"/>
            <w:hideMark/>
          </w:tcPr>
          <w:p w14:paraId="65B3F4BD" w14:textId="77777777" w:rsidR="00F474AA" w:rsidRPr="009F7A99" w:rsidRDefault="00F474AA" w:rsidP="008A1E83">
            <w:pPr>
              <w:jc w:val="center"/>
              <w:rPr>
                <w:rFonts w:ascii="Arial" w:hAnsi="Arial" w:cs="Arial"/>
                <w:sz w:val="20"/>
                <w:szCs w:val="20"/>
                <w:lang w:eastAsia="en-IN"/>
              </w:rPr>
            </w:pPr>
          </w:p>
        </w:tc>
      </w:tr>
      <w:tr w:rsidR="00F474AA" w:rsidRPr="009F7A99" w14:paraId="77126F3F" w14:textId="77777777" w:rsidTr="008A1E83">
        <w:trPr>
          <w:trHeight w:val="403"/>
        </w:trPr>
        <w:tc>
          <w:tcPr>
            <w:tcW w:w="1051" w:type="dxa"/>
            <w:tcBorders>
              <w:top w:val="nil"/>
              <w:left w:val="single" w:sz="8" w:space="0" w:color="auto"/>
              <w:bottom w:val="single" w:sz="8" w:space="0" w:color="auto"/>
              <w:right w:val="single" w:sz="8" w:space="0" w:color="auto"/>
            </w:tcBorders>
            <w:vAlign w:val="center"/>
            <w:hideMark/>
          </w:tcPr>
          <w:p w14:paraId="57CF0760"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4</w:t>
            </w:r>
          </w:p>
        </w:tc>
        <w:tc>
          <w:tcPr>
            <w:tcW w:w="1693" w:type="dxa"/>
            <w:tcBorders>
              <w:top w:val="nil"/>
              <w:left w:val="nil"/>
              <w:bottom w:val="single" w:sz="8" w:space="0" w:color="auto"/>
              <w:right w:val="single" w:sz="8" w:space="0" w:color="auto"/>
            </w:tcBorders>
            <w:vAlign w:val="center"/>
          </w:tcPr>
          <w:p w14:paraId="3C5AE1F1"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IV</w:t>
            </w:r>
          </w:p>
        </w:tc>
        <w:tc>
          <w:tcPr>
            <w:tcW w:w="2394" w:type="dxa"/>
            <w:tcBorders>
              <w:top w:val="nil"/>
              <w:left w:val="nil"/>
              <w:bottom w:val="single" w:sz="8" w:space="0" w:color="auto"/>
              <w:right w:val="single" w:sz="8" w:space="0" w:color="auto"/>
            </w:tcBorders>
            <w:vAlign w:val="center"/>
            <w:hideMark/>
          </w:tcPr>
          <w:p w14:paraId="059A9BE4"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6.16 ± 1.176</w:t>
            </w:r>
          </w:p>
        </w:tc>
        <w:tc>
          <w:tcPr>
            <w:tcW w:w="2257" w:type="dxa"/>
            <w:tcBorders>
              <w:top w:val="nil"/>
              <w:left w:val="nil"/>
              <w:bottom w:val="single" w:sz="8" w:space="0" w:color="auto"/>
              <w:right w:val="single" w:sz="8" w:space="0" w:color="auto"/>
            </w:tcBorders>
            <w:vAlign w:val="center"/>
            <w:hideMark/>
          </w:tcPr>
          <w:p w14:paraId="175B3C4B"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6.09 ± 1.235</w:t>
            </w:r>
          </w:p>
        </w:tc>
        <w:tc>
          <w:tcPr>
            <w:tcW w:w="1888" w:type="dxa"/>
            <w:vMerge/>
            <w:tcBorders>
              <w:top w:val="nil"/>
              <w:left w:val="single" w:sz="8" w:space="0" w:color="auto"/>
              <w:bottom w:val="single" w:sz="8" w:space="0" w:color="000000"/>
              <w:right w:val="single" w:sz="8" w:space="0" w:color="auto"/>
            </w:tcBorders>
            <w:vAlign w:val="center"/>
            <w:hideMark/>
          </w:tcPr>
          <w:p w14:paraId="2224C125" w14:textId="77777777" w:rsidR="00F474AA" w:rsidRPr="009F7A99" w:rsidRDefault="00F474AA" w:rsidP="008A1E83">
            <w:pPr>
              <w:jc w:val="center"/>
              <w:rPr>
                <w:rFonts w:ascii="Arial" w:hAnsi="Arial" w:cs="Arial"/>
                <w:sz w:val="20"/>
                <w:szCs w:val="20"/>
                <w:lang w:eastAsia="en-IN"/>
              </w:rPr>
            </w:pPr>
          </w:p>
        </w:tc>
      </w:tr>
      <w:tr w:rsidR="00F474AA" w:rsidRPr="009F7A99" w14:paraId="474D9A0B" w14:textId="77777777" w:rsidTr="008A1E83">
        <w:trPr>
          <w:trHeight w:val="349"/>
        </w:trPr>
        <w:tc>
          <w:tcPr>
            <w:tcW w:w="1051" w:type="dxa"/>
            <w:tcBorders>
              <w:top w:val="nil"/>
              <w:left w:val="single" w:sz="8" w:space="0" w:color="auto"/>
              <w:bottom w:val="single" w:sz="8" w:space="0" w:color="auto"/>
              <w:right w:val="single" w:sz="8" w:space="0" w:color="auto"/>
            </w:tcBorders>
            <w:vAlign w:val="center"/>
            <w:hideMark/>
          </w:tcPr>
          <w:p w14:paraId="1942B6AE"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w:t>
            </w:r>
          </w:p>
        </w:tc>
        <w:tc>
          <w:tcPr>
            <w:tcW w:w="1693" w:type="dxa"/>
            <w:tcBorders>
              <w:top w:val="nil"/>
              <w:left w:val="nil"/>
              <w:bottom w:val="single" w:sz="8" w:space="0" w:color="auto"/>
              <w:right w:val="single" w:sz="8" w:space="0" w:color="auto"/>
            </w:tcBorders>
            <w:vAlign w:val="center"/>
          </w:tcPr>
          <w:p w14:paraId="2F66EF2E"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w:t>
            </w:r>
          </w:p>
        </w:tc>
        <w:tc>
          <w:tcPr>
            <w:tcW w:w="2394" w:type="dxa"/>
            <w:tcBorders>
              <w:top w:val="nil"/>
              <w:left w:val="nil"/>
              <w:bottom w:val="single" w:sz="8" w:space="0" w:color="auto"/>
              <w:right w:val="single" w:sz="8" w:space="0" w:color="auto"/>
            </w:tcBorders>
            <w:vAlign w:val="center"/>
            <w:hideMark/>
          </w:tcPr>
          <w:p w14:paraId="1AF27382"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5.47 ± 0.139</w:t>
            </w:r>
          </w:p>
        </w:tc>
        <w:tc>
          <w:tcPr>
            <w:tcW w:w="2257" w:type="dxa"/>
            <w:tcBorders>
              <w:top w:val="nil"/>
              <w:left w:val="nil"/>
              <w:bottom w:val="single" w:sz="8" w:space="0" w:color="auto"/>
              <w:right w:val="single" w:sz="8" w:space="0" w:color="auto"/>
            </w:tcBorders>
            <w:vAlign w:val="center"/>
            <w:hideMark/>
          </w:tcPr>
          <w:p w14:paraId="6245F3C1"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5.29 ± 0.580</w:t>
            </w:r>
          </w:p>
        </w:tc>
        <w:tc>
          <w:tcPr>
            <w:tcW w:w="1888" w:type="dxa"/>
            <w:vMerge/>
            <w:tcBorders>
              <w:top w:val="nil"/>
              <w:left w:val="single" w:sz="8" w:space="0" w:color="auto"/>
              <w:bottom w:val="single" w:sz="8" w:space="0" w:color="000000"/>
              <w:right w:val="single" w:sz="8" w:space="0" w:color="auto"/>
            </w:tcBorders>
            <w:vAlign w:val="center"/>
            <w:hideMark/>
          </w:tcPr>
          <w:p w14:paraId="30A50F6D" w14:textId="77777777" w:rsidR="00F474AA" w:rsidRPr="009F7A99" w:rsidRDefault="00F474AA" w:rsidP="008A1E83">
            <w:pPr>
              <w:jc w:val="center"/>
              <w:rPr>
                <w:rFonts w:ascii="Arial" w:hAnsi="Arial" w:cs="Arial"/>
                <w:sz w:val="20"/>
                <w:szCs w:val="20"/>
                <w:lang w:eastAsia="en-IN"/>
              </w:rPr>
            </w:pPr>
          </w:p>
        </w:tc>
      </w:tr>
      <w:tr w:rsidR="00F474AA" w:rsidRPr="009F7A99" w14:paraId="017ED3E3" w14:textId="77777777" w:rsidTr="008A1E83">
        <w:trPr>
          <w:trHeight w:val="314"/>
        </w:trPr>
        <w:tc>
          <w:tcPr>
            <w:tcW w:w="1051" w:type="dxa"/>
            <w:tcBorders>
              <w:top w:val="nil"/>
              <w:left w:val="single" w:sz="8" w:space="0" w:color="auto"/>
              <w:bottom w:val="single" w:sz="8" w:space="0" w:color="auto"/>
              <w:right w:val="single" w:sz="8" w:space="0" w:color="auto"/>
            </w:tcBorders>
            <w:vAlign w:val="center"/>
            <w:hideMark/>
          </w:tcPr>
          <w:p w14:paraId="071B82D9"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6</w:t>
            </w:r>
          </w:p>
        </w:tc>
        <w:tc>
          <w:tcPr>
            <w:tcW w:w="1693" w:type="dxa"/>
            <w:tcBorders>
              <w:top w:val="nil"/>
              <w:left w:val="nil"/>
              <w:bottom w:val="single" w:sz="8" w:space="0" w:color="auto"/>
              <w:right w:val="single" w:sz="8" w:space="0" w:color="auto"/>
            </w:tcBorders>
            <w:vAlign w:val="center"/>
          </w:tcPr>
          <w:p w14:paraId="4577730F"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w:t>
            </w:r>
          </w:p>
        </w:tc>
        <w:tc>
          <w:tcPr>
            <w:tcW w:w="2394" w:type="dxa"/>
            <w:tcBorders>
              <w:top w:val="nil"/>
              <w:left w:val="nil"/>
              <w:bottom w:val="single" w:sz="8" w:space="0" w:color="auto"/>
              <w:right w:val="single" w:sz="8" w:space="0" w:color="auto"/>
            </w:tcBorders>
            <w:vAlign w:val="center"/>
            <w:hideMark/>
          </w:tcPr>
          <w:p w14:paraId="1285D115"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6.28 ± 0.032</w:t>
            </w:r>
          </w:p>
        </w:tc>
        <w:tc>
          <w:tcPr>
            <w:tcW w:w="2257" w:type="dxa"/>
            <w:tcBorders>
              <w:top w:val="nil"/>
              <w:left w:val="nil"/>
              <w:bottom w:val="single" w:sz="8" w:space="0" w:color="auto"/>
              <w:right w:val="single" w:sz="8" w:space="0" w:color="auto"/>
            </w:tcBorders>
            <w:vAlign w:val="center"/>
            <w:hideMark/>
          </w:tcPr>
          <w:p w14:paraId="32B2C2CF"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5.44 ± 0.436</w:t>
            </w:r>
          </w:p>
        </w:tc>
        <w:tc>
          <w:tcPr>
            <w:tcW w:w="1888" w:type="dxa"/>
            <w:vMerge/>
            <w:tcBorders>
              <w:top w:val="nil"/>
              <w:left w:val="single" w:sz="8" w:space="0" w:color="auto"/>
              <w:bottom w:val="single" w:sz="8" w:space="0" w:color="000000"/>
              <w:right w:val="single" w:sz="8" w:space="0" w:color="auto"/>
            </w:tcBorders>
            <w:vAlign w:val="center"/>
            <w:hideMark/>
          </w:tcPr>
          <w:p w14:paraId="0EE8512D" w14:textId="77777777" w:rsidR="00F474AA" w:rsidRPr="009F7A99" w:rsidRDefault="00F474AA" w:rsidP="008A1E83">
            <w:pPr>
              <w:jc w:val="center"/>
              <w:rPr>
                <w:rFonts w:ascii="Arial" w:hAnsi="Arial" w:cs="Arial"/>
                <w:sz w:val="20"/>
                <w:szCs w:val="20"/>
                <w:lang w:eastAsia="en-IN"/>
              </w:rPr>
            </w:pPr>
          </w:p>
        </w:tc>
      </w:tr>
      <w:tr w:rsidR="00F474AA" w:rsidRPr="009F7A99" w14:paraId="1B4033BB" w14:textId="77777777" w:rsidTr="008A1E83">
        <w:trPr>
          <w:trHeight w:val="419"/>
        </w:trPr>
        <w:tc>
          <w:tcPr>
            <w:tcW w:w="1051" w:type="dxa"/>
            <w:tcBorders>
              <w:top w:val="nil"/>
              <w:left w:val="single" w:sz="8" w:space="0" w:color="auto"/>
              <w:bottom w:val="single" w:sz="8" w:space="0" w:color="auto"/>
              <w:right w:val="single" w:sz="8" w:space="0" w:color="auto"/>
            </w:tcBorders>
            <w:vAlign w:val="center"/>
            <w:hideMark/>
          </w:tcPr>
          <w:p w14:paraId="79936934"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7</w:t>
            </w:r>
          </w:p>
        </w:tc>
        <w:tc>
          <w:tcPr>
            <w:tcW w:w="1693" w:type="dxa"/>
            <w:tcBorders>
              <w:top w:val="nil"/>
              <w:left w:val="nil"/>
              <w:bottom w:val="single" w:sz="8" w:space="0" w:color="auto"/>
              <w:right w:val="single" w:sz="8" w:space="0" w:color="auto"/>
            </w:tcBorders>
            <w:vAlign w:val="center"/>
          </w:tcPr>
          <w:p w14:paraId="2737E382"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261FBBBC"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5.43 ± 0.514</w:t>
            </w:r>
          </w:p>
        </w:tc>
        <w:tc>
          <w:tcPr>
            <w:tcW w:w="2257" w:type="dxa"/>
            <w:tcBorders>
              <w:top w:val="nil"/>
              <w:left w:val="nil"/>
              <w:bottom w:val="single" w:sz="8" w:space="0" w:color="auto"/>
              <w:right w:val="single" w:sz="8" w:space="0" w:color="auto"/>
            </w:tcBorders>
            <w:vAlign w:val="center"/>
            <w:hideMark/>
          </w:tcPr>
          <w:p w14:paraId="2A71D60B"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5.37 ± 0.356</w:t>
            </w:r>
          </w:p>
        </w:tc>
        <w:tc>
          <w:tcPr>
            <w:tcW w:w="1888" w:type="dxa"/>
            <w:vMerge/>
            <w:tcBorders>
              <w:top w:val="nil"/>
              <w:left w:val="single" w:sz="8" w:space="0" w:color="auto"/>
              <w:bottom w:val="single" w:sz="8" w:space="0" w:color="000000"/>
              <w:right w:val="single" w:sz="8" w:space="0" w:color="auto"/>
            </w:tcBorders>
            <w:vAlign w:val="center"/>
            <w:hideMark/>
          </w:tcPr>
          <w:p w14:paraId="6C2D270E" w14:textId="77777777" w:rsidR="00F474AA" w:rsidRPr="009F7A99" w:rsidRDefault="00F474AA" w:rsidP="008A1E83">
            <w:pPr>
              <w:jc w:val="center"/>
              <w:rPr>
                <w:rFonts w:ascii="Arial" w:hAnsi="Arial" w:cs="Arial"/>
                <w:sz w:val="20"/>
                <w:szCs w:val="20"/>
                <w:lang w:eastAsia="en-IN"/>
              </w:rPr>
            </w:pPr>
          </w:p>
        </w:tc>
      </w:tr>
      <w:tr w:rsidR="00F474AA" w:rsidRPr="009F7A99" w14:paraId="4EEA7726" w14:textId="77777777" w:rsidTr="008A1E83">
        <w:trPr>
          <w:trHeight w:val="383"/>
        </w:trPr>
        <w:tc>
          <w:tcPr>
            <w:tcW w:w="1051" w:type="dxa"/>
            <w:tcBorders>
              <w:top w:val="nil"/>
              <w:left w:val="single" w:sz="8" w:space="0" w:color="auto"/>
              <w:bottom w:val="single" w:sz="8" w:space="0" w:color="auto"/>
              <w:right w:val="single" w:sz="8" w:space="0" w:color="auto"/>
            </w:tcBorders>
            <w:vAlign w:val="center"/>
            <w:hideMark/>
          </w:tcPr>
          <w:p w14:paraId="090D594A"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8</w:t>
            </w:r>
          </w:p>
        </w:tc>
        <w:tc>
          <w:tcPr>
            <w:tcW w:w="1693" w:type="dxa"/>
            <w:tcBorders>
              <w:top w:val="nil"/>
              <w:left w:val="nil"/>
              <w:bottom w:val="single" w:sz="8" w:space="0" w:color="auto"/>
              <w:right w:val="single" w:sz="8" w:space="0" w:color="auto"/>
            </w:tcBorders>
            <w:vAlign w:val="center"/>
          </w:tcPr>
          <w:p w14:paraId="602722E1" w14:textId="77777777" w:rsidR="00F474AA" w:rsidRPr="009F7A99" w:rsidRDefault="00F474AA" w:rsidP="008A1E83">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w:t>
            </w:r>
            <w:r>
              <w:rPr>
                <w:rFonts w:ascii="Arial" w:eastAsia="Times New Roman" w:hAnsi="Arial" w:cs="Arial"/>
                <w:color w:val="000000"/>
                <w:sz w:val="20"/>
                <w:szCs w:val="20"/>
                <w:lang w:eastAsia="en-IN"/>
              </w:rPr>
              <w:t>I</w:t>
            </w:r>
            <w:r w:rsidRPr="00CE732F">
              <w:rPr>
                <w:rFonts w:ascii="Arial" w:eastAsia="Times New Roman" w:hAnsi="Arial" w:cs="Arial"/>
                <w:color w:val="000000"/>
                <w:sz w:val="20"/>
                <w:szCs w:val="20"/>
                <w:lang w:eastAsia="en-IN"/>
              </w:rPr>
              <w:t>I</w:t>
            </w:r>
          </w:p>
        </w:tc>
        <w:tc>
          <w:tcPr>
            <w:tcW w:w="2394" w:type="dxa"/>
            <w:tcBorders>
              <w:top w:val="nil"/>
              <w:left w:val="nil"/>
              <w:bottom w:val="single" w:sz="8" w:space="0" w:color="auto"/>
              <w:right w:val="single" w:sz="8" w:space="0" w:color="auto"/>
            </w:tcBorders>
            <w:vAlign w:val="center"/>
            <w:hideMark/>
          </w:tcPr>
          <w:p w14:paraId="5871F804"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8.33 ± 0.560</w:t>
            </w:r>
          </w:p>
        </w:tc>
        <w:tc>
          <w:tcPr>
            <w:tcW w:w="2257" w:type="dxa"/>
            <w:tcBorders>
              <w:top w:val="nil"/>
              <w:left w:val="nil"/>
              <w:bottom w:val="single" w:sz="8" w:space="0" w:color="auto"/>
              <w:right w:val="single" w:sz="8" w:space="0" w:color="auto"/>
            </w:tcBorders>
            <w:vAlign w:val="center"/>
            <w:hideMark/>
          </w:tcPr>
          <w:p w14:paraId="274488F9" w14:textId="77777777" w:rsidR="00F474AA" w:rsidRPr="009F7A99" w:rsidRDefault="00F474AA" w:rsidP="008A1E83">
            <w:pPr>
              <w:jc w:val="center"/>
              <w:rPr>
                <w:rFonts w:ascii="Arial" w:hAnsi="Arial" w:cs="Arial"/>
                <w:sz w:val="20"/>
                <w:szCs w:val="20"/>
                <w:lang w:eastAsia="en-IN"/>
              </w:rPr>
            </w:pPr>
            <w:r w:rsidRPr="009F7A99">
              <w:rPr>
                <w:rFonts w:ascii="Arial" w:hAnsi="Arial" w:cs="Arial"/>
                <w:sz w:val="20"/>
                <w:szCs w:val="20"/>
                <w:lang w:eastAsia="en-IN"/>
              </w:rPr>
              <w:t>9.09 ± 0.797</w:t>
            </w:r>
          </w:p>
        </w:tc>
        <w:tc>
          <w:tcPr>
            <w:tcW w:w="1888" w:type="dxa"/>
            <w:vMerge/>
            <w:tcBorders>
              <w:top w:val="nil"/>
              <w:left w:val="single" w:sz="8" w:space="0" w:color="auto"/>
              <w:bottom w:val="single" w:sz="8" w:space="0" w:color="000000"/>
              <w:right w:val="single" w:sz="8" w:space="0" w:color="auto"/>
            </w:tcBorders>
            <w:vAlign w:val="center"/>
            <w:hideMark/>
          </w:tcPr>
          <w:p w14:paraId="0B4771EE" w14:textId="77777777" w:rsidR="00F474AA" w:rsidRPr="009F7A99" w:rsidRDefault="00F474AA" w:rsidP="008A1E83">
            <w:pPr>
              <w:jc w:val="center"/>
              <w:rPr>
                <w:rFonts w:ascii="Arial" w:hAnsi="Arial" w:cs="Arial"/>
                <w:sz w:val="20"/>
                <w:szCs w:val="20"/>
                <w:lang w:eastAsia="en-IN"/>
              </w:rPr>
            </w:pPr>
          </w:p>
        </w:tc>
      </w:tr>
    </w:tbl>
    <w:p w14:paraId="13E9D5C8" w14:textId="77777777" w:rsidR="00F474AA" w:rsidRPr="00F10C7C" w:rsidRDefault="00F474AA" w:rsidP="00F474AA">
      <w:pPr>
        <w:spacing w:before="240" w:after="120" w:line="240" w:lineRule="auto"/>
        <w:contextualSpacing/>
        <w:jc w:val="center"/>
        <w:rPr>
          <w:rFonts w:ascii="Times New Roman" w:hAnsi="Times New Roman" w:cs="Times New Roman"/>
          <w:b/>
          <w:bCs/>
          <w:sz w:val="24"/>
          <w:szCs w:val="24"/>
        </w:rPr>
      </w:pPr>
    </w:p>
    <w:p w14:paraId="0CBB1F7E" w14:textId="77777777" w:rsidR="00F474AA" w:rsidRDefault="00F474AA" w:rsidP="00F474AA">
      <w:pPr>
        <w:spacing w:before="240" w:after="120" w:line="240" w:lineRule="auto"/>
        <w:contextualSpacing/>
        <w:rPr>
          <w:rFonts w:ascii="Times New Roman" w:hAnsi="Times New Roman" w:cs="Times New Roman"/>
          <w:sz w:val="24"/>
          <w:szCs w:val="24"/>
        </w:rPr>
      </w:pPr>
    </w:p>
    <w:p w14:paraId="01B3E358" w14:textId="77777777" w:rsidR="00F474AA" w:rsidRPr="00E863E6" w:rsidRDefault="00F474AA" w:rsidP="00F474AA">
      <w:pPr>
        <w:spacing w:before="240" w:after="120" w:line="240" w:lineRule="auto"/>
        <w:contextualSpacing/>
        <w:rPr>
          <w:rFonts w:ascii="Arial" w:hAnsi="Arial" w:cs="Arial"/>
          <w:sz w:val="20"/>
          <w:szCs w:val="20"/>
        </w:rPr>
      </w:pPr>
      <w:r w:rsidRPr="00E863E6">
        <w:rPr>
          <w:rFonts w:ascii="Arial" w:hAnsi="Arial" w:cs="Arial"/>
          <w:sz w:val="20"/>
          <w:szCs w:val="20"/>
        </w:rPr>
        <w:t xml:space="preserve">Note:  NS – </w:t>
      </w:r>
      <w:proofErr w:type="gramStart"/>
      <w:r w:rsidRPr="00E863E6">
        <w:rPr>
          <w:rFonts w:ascii="Arial" w:hAnsi="Arial" w:cs="Arial"/>
          <w:sz w:val="20"/>
          <w:szCs w:val="20"/>
        </w:rPr>
        <w:t>Non Significant</w:t>
      </w:r>
      <w:proofErr w:type="gramEnd"/>
    </w:p>
    <w:p w14:paraId="6D254DC7" w14:textId="77777777" w:rsidR="00F474AA" w:rsidRDefault="00F474AA" w:rsidP="00F474AA">
      <w:pPr>
        <w:spacing w:before="240" w:after="120" w:line="240" w:lineRule="auto"/>
        <w:contextualSpacing/>
        <w:rPr>
          <w:rFonts w:ascii="Times New Roman" w:hAnsi="Times New Roman" w:cs="Times New Roman"/>
          <w:sz w:val="24"/>
          <w:szCs w:val="24"/>
        </w:rPr>
      </w:pPr>
    </w:p>
    <w:p w14:paraId="4B25CEF2" w14:textId="03C6E7E7" w:rsidR="00F474AA" w:rsidRPr="001B43E6" w:rsidRDefault="00F474AA" w:rsidP="00F474AA">
      <w:pPr>
        <w:spacing w:before="240" w:after="120" w:line="480" w:lineRule="auto"/>
        <w:ind w:firstLine="720"/>
        <w:jc w:val="both"/>
        <w:rPr>
          <w:rFonts w:ascii="Arial" w:eastAsia="Times New Roman" w:hAnsi="Arial" w:cs="Arial"/>
          <w:b/>
          <w:bCs/>
          <w:sz w:val="20"/>
          <w:szCs w:val="20"/>
          <w:lang w:eastAsia="en-IN"/>
        </w:rPr>
      </w:pPr>
      <w:r w:rsidRPr="001B43E6">
        <w:rPr>
          <w:rFonts w:ascii="Arial" w:eastAsia="Times New Roman" w:hAnsi="Arial" w:cs="Arial"/>
          <w:b/>
          <w:bCs/>
          <w:sz w:val="20"/>
          <w:szCs w:val="20"/>
          <w:lang w:eastAsia="en-IN"/>
        </w:rPr>
        <w:t xml:space="preserve">Fig. 2: </w:t>
      </w:r>
      <w:r w:rsidR="0006136D" w:rsidRPr="0006136D">
        <w:rPr>
          <w:rFonts w:ascii="Arial" w:eastAsia="Times New Roman" w:hAnsi="Arial" w:cs="Arial"/>
          <w:b/>
          <w:bCs/>
          <w:sz w:val="20"/>
          <w:szCs w:val="20"/>
          <w:lang w:eastAsia="en-IN"/>
        </w:rPr>
        <w:t xml:space="preserve">Graph showing the </w:t>
      </w:r>
      <w:r w:rsidRPr="001B43E6">
        <w:rPr>
          <w:rFonts w:ascii="Arial" w:hAnsi="Arial" w:cs="Arial"/>
          <w:b/>
          <w:bCs/>
          <w:sz w:val="20"/>
          <w:szCs w:val="20"/>
        </w:rPr>
        <w:t xml:space="preserve">Fortnight FCR of </w:t>
      </w:r>
      <w:r w:rsidRPr="001B43E6">
        <w:rPr>
          <w:rFonts w:ascii="Arial" w:eastAsia="Times New Roman" w:hAnsi="Arial" w:cs="Arial"/>
          <w:b/>
          <w:bCs/>
          <w:sz w:val="20"/>
          <w:szCs w:val="20"/>
          <w:lang w:eastAsia="en-IN"/>
        </w:rPr>
        <w:t>guinea pigs of two groups during 28 to 150 days.</w:t>
      </w:r>
    </w:p>
    <w:p w14:paraId="0480E9DE" w14:textId="77777777" w:rsidR="00F474AA" w:rsidRPr="001B43E6" w:rsidRDefault="00F474AA" w:rsidP="00F474AA">
      <w:pPr>
        <w:spacing w:before="240" w:after="120" w:line="480" w:lineRule="auto"/>
        <w:ind w:firstLine="720"/>
        <w:jc w:val="both"/>
        <w:rPr>
          <w:rFonts w:ascii="Arial" w:eastAsia="Times New Roman" w:hAnsi="Arial" w:cs="Arial"/>
          <w:b/>
          <w:bCs/>
          <w:sz w:val="20"/>
          <w:szCs w:val="20"/>
          <w:lang w:eastAsia="en-IN"/>
        </w:rPr>
      </w:pPr>
      <w:r w:rsidRPr="001B43E6">
        <w:rPr>
          <w:rFonts w:ascii="Arial" w:hAnsi="Arial" w:cs="Arial"/>
          <w:noProof/>
          <w:sz w:val="20"/>
          <w:szCs w:val="20"/>
          <w:lang w:eastAsia="en-IN"/>
        </w:rPr>
        <w:drawing>
          <wp:inline distT="0" distB="0" distL="0" distR="0" wp14:anchorId="76E19597" wp14:editId="4734B372">
            <wp:extent cx="6001298" cy="3467100"/>
            <wp:effectExtent l="0" t="0" r="0" b="0"/>
            <wp:docPr id="1615036019" name="Chart 1">
              <a:extLst xmlns:a="http://schemas.openxmlformats.org/drawingml/2006/main">
                <a:ext uri="{FF2B5EF4-FFF2-40B4-BE49-F238E27FC236}">
                  <a16:creationId xmlns:a16="http://schemas.microsoft.com/office/drawing/2014/main" id="{B7348342-12FB-14A4-36CB-8B98EF836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9895DB" w14:textId="77777777" w:rsidR="00F474AA" w:rsidRPr="00D66F72" w:rsidRDefault="00F474AA" w:rsidP="00F474AA">
      <w:pPr>
        <w:spacing w:after="0" w:line="480" w:lineRule="auto"/>
        <w:jc w:val="center"/>
        <w:rPr>
          <w:rFonts w:ascii="Arial" w:hAnsi="Arial" w:cs="Arial"/>
          <w:b/>
          <w:bCs/>
          <w:sz w:val="20"/>
          <w:szCs w:val="20"/>
        </w:rPr>
      </w:pPr>
    </w:p>
    <w:p w14:paraId="58B9D2D7" w14:textId="77777777" w:rsidR="00F474AA" w:rsidRDefault="00F474AA" w:rsidP="00F474AA">
      <w:pPr>
        <w:spacing w:before="240" w:after="120" w:line="480" w:lineRule="auto"/>
        <w:jc w:val="both"/>
        <w:rPr>
          <w:rFonts w:ascii="Arial" w:hAnsi="Arial" w:cs="Arial"/>
          <w:b/>
          <w:bCs/>
          <w:sz w:val="24"/>
          <w:szCs w:val="24"/>
        </w:rPr>
      </w:pPr>
      <w:r w:rsidRPr="001B43E6">
        <w:rPr>
          <w:rFonts w:ascii="Arial" w:eastAsia="Times New Roman" w:hAnsi="Arial" w:cs="Arial"/>
          <w:b/>
          <w:bCs/>
          <w:sz w:val="24"/>
          <w:szCs w:val="24"/>
          <w:lang w:eastAsia="en-IN"/>
        </w:rPr>
        <w:t xml:space="preserve">3.4 </w:t>
      </w:r>
      <w:r w:rsidRPr="001B43E6">
        <w:rPr>
          <w:rFonts w:ascii="Arial" w:hAnsi="Arial" w:cs="Arial"/>
          <w:b/>
          <w:bCs/>
          <w:sz w:val="24"/>
          <w:szCs w:val="24"/>
        </w:rPr>
        <w:t xml:space="preserve">Total Dry Matter Intake (TDMI) </w:t>
      </w:r>
    </w:p>
    <w:p w14:paraId="6BDA6B9A" w14:textId="77777777" w:rsidR="00F474AA" w:rsidRPr="00EE6F93" w:rsidRDefault="00F474AA" w:rsidP="00F474AA">
      <w:pPr>
        <w:rPr>
          <w:rFonts w:ascii="Arial" w:hAnsi="Arial" w:cs="Arial"/>
          <w:sz w:val="20"/>
          <w:szCs w:val="20"/>
        </w:rPr>
      </w:pPr>
      <w:r w:rsidRPr="00EE6F93">
        <w:rPr>
          <w:rFonts w:ascii="Arial" w:hAnsi="Arial" w:cs="Arial"/>
          <w:sz w:val="20"/>
          <w:szCs w:val="20"/>
        </w:rPr>
        <w:t>The weekly mean (±SE) total dry matter intake (TDMI; g/day) of guinea pigs in the two experimental groups (T-1 and T-2) over a 17-week feeding period is presented in Table</w:t>
      </w:r>
      <w:r>
        <w:rPr>
          <w:rFonts w:ascii="Arial" w:hAnsi="Arial" w:cs="Arial"/>
          <w:sz w:val="20"/>
          <w:szCs w:val="20"/>
        </w:rPr>
        <w:t xml:space="preserve"> </w:t>
      </w:r>
      <w:r w:rsidRPr="00EE6F93">
        <w:rPr>
          <w:rFonts w:ascii="Arial" w:hAnsi="Arial" w:cs="Arial"/>
          <w:sz w:val="20"/>
          <w:szCs w:val="20"/>
        </w:rPr>
        <w:t xml:space="preserve">5. Throughout the experimental period, a consistent and statistically significant </w:t>
      </w:r>
      <w:r w:rsidRPr="00EE6F93">
        <w:rPr>
          <w:rFonts w:ascii="Arial" w:hAnsi="Arial" w:cs="Arial"/>
          <w:i/>
          <w:iCs/>
          <w:sz w:val="20"/>
          <w:szCs w:val="20"/>
        </w:rPr>
        <w:t>(p &lt; 0.01)</w:t>
      </w:r>
      <w:r w:rsidRPr="00EE6F93">
        <w:rPr>
          <w:rFonts w:ascii="Arial" w:hAnsi="Arial" w:cs="Arial"/>
          <w:sz w:val="20"/>
          <w:szCs w:val="20"/>
        </w:rPr>
        <w:t xml:space="preserve"> increase in TDMI was observed in the T-2 group compared to the T-1 group. During the first week, TDMI in the T-2 group (74.97 ± 2.53 g/day) was significantly higher than in the T-1 group (55.72 ± 2.12 g/day). This trend continued across all subsequent weeks. By week VIII, the mean TDMI reached 142.00 ± 7.33 g/day in T-2, compared to 108.60 ± 2.58 g/day in T-1. In the final week (week XVII), guinea pigs in T-2 </w:t>
      </w:r>
      <w:r w:rsidRPr="00EE6F93">
        <w:rPr>
          <w:rFonts w:ascii="Arial" w:hAnsi="Arial" w:cs="Arial"/>
          <w:sz w:val="20"/>
          <w:szCs w:val="20"/>
        </w:rPr>
        <w:lastRenderedPageBreak/>
        <w:t>recorded a TDMI of 262.30 ± 1.28 g/day, significantly exceeding the intake of those in T-1 (188.80 ± 3.33 g/day).</w:t>
      </w:r>
    </w:p>
    <w:p w14:paraId="355EE98F" w14:textId="77777777" w:rsidR="00F474AA" w:rsidRPr="007E5787" w:rsidRDefault="00F474AA" w:rsidP="00F474AA">
      <w:pPr>
        <w:jc w:val="both"/>
        <w:rPr>
          <w:rFonts w:ascii="Arial" w:hAnsi="Arial" w:cs="Arial"/>
          <w:sz w:val="20"/>
          <w:szCs w:val="20"/>
        </w:rPr>
      </w:pPr>
      <w:r w:rsidRPr="007E5787">
        <w:rPr>
          <w:rFonts w:ascii="Arial" w:hAnsi="Arial" w:cs="Arial"/>
          <w:sz w:val="20"/>
          <w:szCs w:val="20"/>
        </w:rPr>
        <w:t xml:space="preserve">The significant difference between T-1 and T-2 across all weeks indicates that dietary composition plays a critical role in determining voluntary feed intake. Diets that are more palatable, nutrient-dense, and digestible generally promote higher consumption. The findings of Herrera </w:t>
      </w:r>
      <w:r w:rsidRPr="007E5787">
        <w:rPr>
          <w:rFonts w:ascii="Arial" w:hAnsi="Arial" w:cs="Arial"/>
          <w:i/>
          <w:iCs/>
          <w:sz w:val="20"/>
          <w:szCs w:val="20"/>
        </w:rPr>
        <w:t>et al.</w:t>
      </w:r>
      <w:r w:rsidRPr="007E5787">
        <w:rPr>
          <w:rFonts w:ascii="Arial" w:hAnsi="Arial" w:cs="Arial"/>
          <w:sz w:val="20"/>
          <w:szCs w:val="20"/>
        </w:rPr>
        <w:t xml:space="preserve"> (2024) states that as guinea pigs fed diets supplemented with concentrates showed higher daily dry matter intake compared to those fed forages alone. This demonstrates that supplementation with energy- and protein-rich ingredients enhances palatability and stimulates intake. Similarly, Castro </w:t>
      </w:r>
      <w:proofErr w:type="spellStart"/>
      <w:r w:rsidRPr="007E5787">
        <w:rPr>
          <w:rFonts w:ascii="Arial" w:hAnsi="Arial" w:cs="Arial"/>
          <w:sz w:val="20"/>
          <w:szCs w:val="20"/>
        </w:rPr>
        <w:t>Bedrinana</w:t>
      </w:r>
      <w:proofErr w:type="spellEnd"/>
      <w:r w:rsidRPr="007E5787">
        <w:rPr>
          <w:rFonts w:ascii="Arial" w:hAnsi="Arial" w:cs="Arial"/>
          <w:sz w:val="20"/>
          <w:szCs w:val="20"/>
        </w:rPr>
        <w:t xml:space="preserve"> and Chirinos </w:t>
      </w:r>
      <w:proofErr w:type="spellStart"/>
      <w:r w:rsidRPr="007E5787">
        <w:rPr>
          <w:rFonts w:ascii="Arial" w:hAnsi="Arial" w:cs="Arial"/>
          <w:sz w:val="20"/>
          <w:szCs w:val="20"/>
        </w:rPr>
        <w:t>Peinado</w:t>
      </w:r>
      <w:proofErr w:type="spellEnd"/>
      <w:r w:rsidRPr="007E5787">
        <w:rPr>
          <w:rFonts w:ascii="Arial" w:hAnsi="Arial" w:cs="Arial"/>
          <w:sz w:val="20"/>
          <w:szCs w:val="20"/>
        </w:rPr>
        <w:t xml:space="preserve"> (2021) reported that nutrient composition, particularly crude protein, crude fibre, and metabolizable energy, significantly influences voluntary feed intake in guinea pigs. Diets with balanced fibre and higher digestibility were associated with improved feed utilization and higher intake levels. </w:t>
      </w:r>
    </w:p>
    <w:p w14:paraId="1532DB1C" w14:textId="77777777" w:rsidR="00F474AA" w:rsidRPr="007E5787" w:rsidRDefault="00F474AA" w:rsidP="00F474AA">
      <w:pPr>
        <w:spacing w:before="240" w:after="120" w:line="480" w:lineRule="auto"/>
        <w:jc w:val="both"/>
        <w:rPr>
          <w:rFonts w:ascii="Arial" w:hAnsi="Arial" w:cs="Arial"/>
          <w:b/>
          <w:bCs/>
          <w:sz w:val="20"/>
          <w:szCs w:val="20"/>
        </w:rPr>
      </w:pPr>
      <w:r>
        <w:rPr>
          <w:rFonts w:ascii="Arial" w:hAnsi="Arial" w:cs="Arial"/>
          <w:sz w:val="20"/>
          <w:szCs w:val="20"/>
        </w:rPr>
        <w:t xml:space="preserve">                  </w:t>
      </w:r>
      <w:r w:rsidRPr="007E5787">
        <w:rPr>
          <w:rFonts w:ascii="Arial" w:hAnsi="Arial" w:cs="Arial"/>
          <w:b/>
          <w:bCs/>
          <w:sz w:val="20"/>
          <w:szCs w:val="20"/>
        </w:rPr>
        <w:t xml:space="preserve">  Table 5: The weekly mean (</w:t>
      </w:r>
      <w:r w:rsidRPr="007E5787">
        <w:rPr>
          <w:rFonts w:ascii="Arial" w:eastAsia="Times New Roman" w:hAnsi="Arial" w:cs="Arial"/>
          <w:b/>
          <w:bCs/>
          <w:sz w:val="20"/>
          <w:szCs w:val="20"/>
          <w:lang w:eastAsia="en-IN"/>
        </w:rPr>
        <w:t>±SE)</w:t>
      </w:r>
      <w:r w:rsidRPr="007E5787">
        <w:rPr>
          <w:rFonts w:ascii="Arial" w:hAnsi="Arial" w:cs="Arial"/>
          <w:b/>
          <w:bCs/>
          <w:sz w:val="20"/>
          <w:szCs w:val="20"/>
        </w:rPr>
        <w:t xml:space="preserve"> TDMI (g/day) of experimental animals.</w:t>
      </w:r>
    </w:p>
    <w:p w14:paraId="5B0C7193" w14:textId="77777777" w:rsidR="00F474AA" w:rsidRPr="00EF3DD8" w:rsidRDefault="00F474AA" w:rsidP="00F474AA">
      <w:pPr>
        <w:spacing w:after="0" w:line="240" w:lineRule="auto"/>
        <w:jc w:val="both"/>
        <w:rPr>
          <w:rFonts w:ascii="Times New Roman" w:eastAsia="Times New Roman" w:hAnsi="Times New Roman" w:cs="Times New Roman"/>
          <w:sz w:val="20"/>
          <w:szCs w:val="20"/>
          <w:lang w:eastAsia="en-IN"/>
        </w:rPr>
      </w:pPr>
    </w:p>
    <w:tbl>
      <w:tblPr>
        <w:tblW w:w="8460" w:type="dxa"/>
        <w:jc w:val="center"/>
        <w:tblLook w:val="04A0" w:firstRow="1" w:lastRow="0" w:firstColumn="1" w:lastColumn="0" w:noHBand="0" w:noVBand="1"/>
      </w:tblPr>
      <w:tblGrid>
        <w:gridCol w:w="983"/>
        <w:gridCol w:w="1134"/>
        <w:gridCol w:w="2268"/>
        <w:gridCol w:w="2235"/>
        <w:gridCol w:w="1840"/>
      </w:tblGrid>
      <w:tr w:rsidR="00F474AA" w:rsidRPr="00EF3DD8" w14:paraId="5ABC861F" w14:textId="77777777" w:rsidTr="008A1E83">
        <w:trPr>
          <w:trHeight w:val="330"/>
          <w:jc w:val="center"/>
        </w:trPr>
        <w:tc>
          <w:tcPr>
            <w:tcW w:w="983" w:type="dxa"/>
            <w:tcBorders>
              <w:top w:val="single" w:sz="8" w:space="0" w:color="auto"/>
              <w:left w:val="single" w:sz="8" w:space="0" w:color="auto"/>
              <w:bottom w:val="single" w:sz="8" w:space="0" w:color="auto"/>
              <w:right w:val="single" w:sz="8" w:space="0" w:color="auto"/>
            </w:tcBorders>
            <w:vAlign w:val="center"/>
            <w:hideMark/>
          </w:tcPr>
          <w:p w14:paraId="076DFB48" w14:textId="77777777" w:rsidR="00F474AA" w:rsidRPr="00E4433D" w:rsidRDefault="00F474AA" w:rsidP="008A1E83">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Sl. No.</w:t>
            </w:r>
          </w:p>
        </w:tc>
        <w:tc>
          <w:tcPr>
            <w:tcW w:w="1134" w:type="dxa"/>
            <w:tcBorders>
              <w:top w:val="single" w:sz="8" w:space="0" w:color="auto"/>
              <w:left w:val="nil"/>
              <w:bottom w:val="single" w:sz="8" w:space="0" w:color="auto"/>
              <w:right w:val="single" w:sz="8" w:space="0" w:color="auto"/>
            </w:tcBorders>
            <w:vAlign w:val="center"/>
            <w:hideMark/>
          </w:tcPr>
          <w:p w14:paraId="214DBBB2" w14:textId="77777777" w:rsidR="00F474AA" w:rsidRPr="00E4433D" w:rsidRDefault="00F474AA" w:rsidP="008A1E83">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3E265A88" w14:textId="77777777" w:rsidR="00F474AA" w:rsidRPr="00E4433D" w:rsidRDefault="00F474AA" w:rsidP="008A1E83">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T-1</w:t>
            </w:r>
          </w:p>
        </w:tc>
        <w:tc>
          <w:tcPr>
            <w:tcW w:w="2235" w:type="dxa"/>
            <w:tcBorders>
              <w:top w:val="single" w:sz="8" w:space="0" w:color="auto"/>
              <w:left w:val="nil"/>
              <w:bottom w:val="single" w:sz="8" w:space="0" w:color="auto"/>
              <w:right w:val="single" w:sz="8" w:space="0" w:color="auto"/>
            </w:tcBorders>
            <w:vAlign w:val="center"/>
            <w:hideMark/>
          </w:tcPr>
          <w:p w14:paraId="606BD617" w14:textId="77777777" w:rsidR="00F474AA" w:rsidRPr="00E4433D" w:rsidRDefault="00F474AA" w:rsidP="008A1E83">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T-2</w:t>
            </w:r>
          </w:p>
        </w:tc>
        <w:tc>
          <w:tcPr>
            <w:tcW w:w="1840" w:type="dxa"/>
            <w:tcBorders>
              <w:top w:val="single" w:sz="8" w:space="0" w:color="auto"/>
              <w:left w:val="nil"/>
              <w:bottom w:val="nil"/>
              <w:right w:val="single" w:sz="8" w:space="0" w:color="auto"/>
            </w:tcBorders>
            <w:vAlign w:val="center"/>
            <w:hideMark/>
          </w:tcPr>
          <w:p w14:paraId="24012386" w14:textId="77777777" w:rsidR="00F474AA" w:rsidRPr="00E4433D" w:rsidRDefault="00F474AA" w:rsidP="008A1E83">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Significance</w:t>
            </w:r>
          </w:p>
        </w:tc>
      </w:tr>
      <w:tr w:rsidR="00F474AA" w:rsidRPr="00EF3DD8" w14:paraId="44242B68"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D72472E"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w:t>
            </w:r>
          </w:p>
        </w:tc>
        <w:tc>
          <w:tcPr>
            <w:tcW w:w="1134" w:type="dxa"/>
            <w:tcBorders>
              <w:top w:val="nil"/>
              <w:left w:val="nil"/>
              <w:bottom w:val="single" w:sz="8" w:space="0" w:color="auto"/>
              <w:right w:val="single" w:sz="8" w:space="0" w:color="auto"/>
            </w:tcBorders>
            <w:vAlign w:val="center"/>
          </w:tcPr>
          <w:p w14:paraId="7421631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3FE41A3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55.72 ± 2.121</w:t>
            </w:r>
          </w:p>
        </w:tc>
        <w:tc>
          <w:tcPr>
            <w:tcW w:w="2235" w:type="dxa"/>
            <w:tcBorders>
              <w:top w:val="nil"/>
              <w:left w:val="nil"/>
              <w:bottom w:val="single" w:sz="8" w:space="0" w:color="auto"/>
              <w:right w:val="nil"/>
            </w:tcBorders>
            <w:vAlign w:val="center"/>
            <w:hideMark/>
          </w:tcPr>
          <w:p w14:paraId="2CCF73BF"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74.97 ± 2.53</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2D983B3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5527F62F"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AA215B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w:t>
            </w:r>
          </w:p>
        </w:tc>
        <w:tc>
          <w:tcPr>
            <w:tcW w:w="1134" w:type="dxa"/>
            <w:tcBorders>
              <w:top w:val="nil"/>
              <w:left w:val="nil"/>
              <w:bottom w:val="single" w:sz="8" w:space="0" w:color="auto"/>
              <w:right w:val="single" w:sz="8" w:space="0" w:color="auto"/>
            </w:tcBorders>
            <w:vAlign w:val="center"/>
          </w:tcPr>
          <w:p w14:paraId="7728CF2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739FB65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62.97 ± 2.107</w:t>
            </w:r>
          </w:p>
        </w:tc>
        <w:tc>
          <w:tcPr>
            <w:tcW w:w="2235" w:type="dxa"/>
            <w:tcBorders>
              <w:top w:val="nil"/>
              <w:left w:val="nil"/>
              <w:bottom w:val="single" w:sz="8" w:space="0" w:color="auto"/>
              <w:right w:val="nil"/>
            </w:tcBorders>
            <w:vAlign w:val="center"/>
            <w:hideMark/>
          </w:tcPr>
          <w:p w14:paraId="51227FF8"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84.69± 2.437</w:t>
            </w:r>
          </w:p>
        </w:tc>
        <w:tc>
          <w:tcPr>
            <w:tcW w:w="1840" w:type="dxa"/>
            <w:tcBorders>
              <w:top w:val="nil"/>
              <w:left w:val="single" w:sz="4" w:space="0" w:color="auto"/>
              <w:bottom w:val="single" w:sz="4" w:space="0" w:color="auto"/>
              <w:right w:val="single" w:sz="4" w:space="0" w:color="auto"/>
            </w:tcBorders>
            <w:noWrap/>
            <w:vAlign w:val="center"/>
            <w:hideMark/>
          </w:tcPr>
          <w:p w14:paraId="339423A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24EF2723"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91C5E5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3</w:t>
            </w:r>
          </w:p>
        </w:tc>
        <w:tc>
          <w:tcPr>
            <w:tcW w:w="1134" w:type="dxa"/>
            <w:tcBorders>
              <w:top w:val="nil"/>
              <w:left w:val="nil"/>
              <w:bottom w:val="single" w:sz="8" w:space="0" w:color="auto"/>
              <w:right w:val="single" w:sz="8" w:space="0" w:color="auto"/>
            </w:tcBorders>
            <w:vAlign w:val="center"/>
          </w:tcPr>
          <w:p w14:paraId="505BED5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71AD3C9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68.06± 2.077</w:t>
            </w:r>
          </w:p>
        </w:tc>
        <w:tc>
          <w:tcPr>
            <w:tcW w:w="2235" w:type="dxa"/>
            <w:tcBorders>
              <w:top w:val="nil"/>
              <w:left w:val="nil"/>
              <w:bottom w:val="single" w:sz="8" w:space="0" w:color="auto"/>
              <w:right w:val="nil"/>
            </w:tcBorders>
            <w:vAlign w:val="center"/>
            <w:hideMark/>
          </w:tcPr>
          <w:p w14:paraId="1DFA046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91.76± 2.458</w:t>
            </w:r>
          </w:p>
        </w:tc>
        <w:tc>
          <w:tcPr>
            <w:tcW w:w="1840" w:type="dxa"/>
            <w:tcBorders>
              <w:top w:val="nil"/>
              <w:left w:val="single" w:sz="4" w:space="0" w:color="auto"/>
              <w:bottom w:val="single" w:sz="4" w:space="0" w:color="auto"/>
              <w:right w:val="single" w:sz="4" w:space="0" w:color="auto"/>
            </w:tcBorders>
            <w:noWrap/>
            <w:vAlign w:val="center"/>
            <w:hideMark/>
          </w:tcPr>
          <w:p w14:paraId="1B86FEF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72F818E0"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5BD3D6A"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4</w:t>
            </w:r>
          </w:p>
        </w:tc>
        <w:tc>
          <w:tcPr>
            <w:tcW w:w="1134" w:type="dxa"/>
            <w:tcBorders>
              <w:top w:val="nil"/>
              <w:left w:val="nil"/>
              <w:bottom w:val="single" w:sz="8" w:space="0" w:color="auto"/>
              <w:right w:val="single" w:sz="8" w:space="0" w:color="auto"/>
            </w:tcBorders>
            <w:vAlign w:val="center"/>
          </w:tcPr>
          <w:p w14:paraId="47E9BAD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6CB2825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73.48± 1.989</w:t>
            </w:r>
          </w:p>
        </w:tc>
        <w:tc>
          <w:tcPr>
            <w:tcW w:w="2235" w:type="dxa"/>
            <w:tcBorders>
              <w:top w:val="nil"/>
              <w:left w:val="nil"/>
              <w:bottom w:val="single" w:sz="8" w:space="0" w:color="auto"/>
              <w:right w:val="nil"/>
            </w:tcBorders>
            <w:vAlign w:val="center"/>
            <w:hideMark/>
          </w:tcPr>
          <w:p w14:paraId="173ECCC0"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98.87 ± 2.470</w:t>
            </w:r>
          </w:p>
        </w:tc>
        <w:tc>
          <w:tcPr>
            <w:tcW w:w="1840" w:type="dxa"/>
            <w:tcBorders>
              <w:top w:val="nil"/>
              <w:left w:val="single" w:sz="4" w:space="0" w:color="auto"/>
              <w:bottom w:val="single" w:sz="4" w:space="0" w:color="auto"/>
              <w:right w:val="single" w:sz="4" w:space="0" w:color="auto"/>
            </w:tcBorders>
            <w:noWrap/>
            <w:vAlign w:val="center"/>
            <w:hideMark/>
          </w:tcPr>
          <w:p w14:paraId="5F419B8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7623E612"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2DF483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w:t>
            </w:r>
          </w:p>
        </w:tc>
        <w:tc>
          <w:tcPr>
            <w:tcW w:w="1134" w:type="dxa"/>
            <w:tcBorders>
              <w:top w:val="nil"/>
              <w:left w:val="nil"/>
              <w:bottom w:val="single" w:sz="8" w:space="0" w:color="auto"/>
              <w:right w:val="single" w:sz="8" w:space="0" w:color="auto"/>
            </w:tcBorders>
            <w:vAlign w:val="center"/>
          </w:tcPr>
          <w:p w14:paraId="3AE2C6D7"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28F303E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81.80 ± 2.325</w:t>
            </w:r>
          </w:p>
        </w:tc>
        <w:tc>
          <w:tcPr>
            <w:tcW w:w="2235" w:type="dxa"/>
            <w:tcBorders>
              <w:top w:val="nil"/>
              <w:left w:val="nil"/>
              <w:bottom w:val="single" w:sz="8" w:space="0" w:color="auto"/>
              <w:right w:val="nil"/>
            </w:tcBorders>
            <w:vAlign w:val="center"/>
            <w:hideMark/>
          </w:tcPr>
          <w:p w14:paraId="0DEA11B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111.70 ± 2.649</w:t>
            </w:r>
          </w:p>
        </w:tc>
        <w:tc>
          <w:tcPr>
            <w:tcW w:w="1840" w:type="dxa"/>
            <w:tcBorders>
              <w:top w:val="nil"/>
              <w:left w:val="single" w:sz="4" w:space="0" w:color="auto"/>
              <w:bottom w:val="single" w:sz="4" w:space="0" w:color="auto"/>
              <w:right w:val="single" w:sz="4" w:space="0" w:color="auto"/>
            </w:tcBorders>
            <w:noWrap/>
            <w:vAlign w:val="center"/>
            <w:hideMark/>
          </w:tcPr>
          <w:p w14:paraId="67B71816"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3824530A"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A3E37D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w:t>
            </w:r>
          </w:p>
        </w:tc>
        <w:tc>
          <w:tcPr>
            <w:tcW w:w="1134" w:type="dxa"/>
            <w:tcBorders>
              <w:top w:val="nil"/>
              <w:left w:val="nil"/>
              <w:bottom w:val="single" w:sz="8" w:space="0" w:color="auto"/>
              <w:right w:val="single" w:sz="8" w:space="0" w:color="auto"/>
            </w:tcBorders>
            <w:vAlign w:val="center"/>
          </w:tcPr>
          <w:p w14:paraId="1FF07A16"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67886F10"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91.20± 2.709</w:t>
            </w:r>
          </w:p>
        </w:tc>
        <w:tc>
          <w:tcPr>
            <w:tcW w:w="2235" w:type="dxa"/>
            <w:tcBorders>
              <w:top w:val="nil"/>
              <w:left w:val="nil"/>
              <w:bottom w:val="single" w:sz="8" w:space="0" w:color="auto"/>
              <w:right w:val="nil"/>
            </w:tcBorders>
            <w:vAlign w:val="center"/>
            <w:hideMark/>
          </w:tcPr>
          <w:p w14:paraId="7819A72E"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119.50± 6.938</w:t>
            </w:r>
          </w:p>
        </w:tc>
        <w:tc>
          <w:tcPr>
            <w:tcW w:w="1840" w:type="dxa"/>
            <w:tcBorders>
              <w:top w:val="nil"/>
              <w:left w:val="single" w:sz="4" w:space="0" w:color="auto"/>
              <w:bottom w:val="single" w:sz="4" w:space="0" w:color="auto"/>
              <w:right w:val="single" w:sz="4" w:space="0" w:color="auto"/>
            </w:tcBorders>
            <w:noWrap/>
            <w:vAlign w:val="center"/>
            <w:hideMark/>
          </w:tcPr>
          <w:p w14:paraId="0B2F7EE8"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5259DC0E"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492686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w:t>
            </w:r>
          </w:p>
        </w:tc>
        <w:tc>
          <w:tcPr>
            <w:tcW w:w="1134" w:type="dxa"/>
            <w:tcBorders>
              <w:top w:val="nil"/>
              <w:left w:val="nil"/>
              <w:bottom w:val="single" w:sz="8" w:space="0" w:color="auto"/>
              <w:right w:val="single" w:sz="8" w:space="0" w:color="auto"/>
            </w:tcBorders>
            <w:vAlign w:val="center"/>
          </w:tcPr>
          <w:p w14:paraId="5FBCBD2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66B0F9F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100.30 ± 2.689</w:t>
            </w:r>
          </w:p>
        </w:tc>
        <w:tc>
          <w:tcPr>
            <w:tcW w:w="2235" w:type="dxa"/>
            <w:tcBorders>
              <w:top w:val="nil"/>
              <w:left w:val="nil"/>
              <w:bottom w:val="single" w:sz="8" w:space="0" w:color="auto"/>
              <w:right w:val="nil"/>
            </w:tcBorders>
            <w:vAlign w:val="center"/>
            <w:hideMark/>
          </w:tcPr>
          <w:p w14:paraId="2E72B4E0"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135.80 ± 3.061</w:t>
            </w:r>
          </w:p>
        </w:tc>
        <w:tc>
          <w:tcPr>
            <w:tcW w:w="1840" w:type="dxa"/>
            <w:tcBorders>
              <w:top w:val="nil"/>
              <w:left w:val="single" w:sz="4" w:space="0" w:color="auto"/>
              <w:bottom w:val="single" w:sz="4" w:space="0" w:color="auto"/>
              <w:right w:val="single" w:sz="4" w:space="0" w:color="auto"/>
            </w:tcBorders>
            <w:noWrap/>
            <w:vAlign w:val="center"/>
            <w:hideMark/>
          </w:tcPr>
          <w:p w14:paraId="0191D30A"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4E985074"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C5BF27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w:t>
            </w:r>
          </w:p>
        </w:tc>
        <w:tc>
          <w:tcPr>
            <w:tcW w:w="1134" w:type="dxa"/>
            <w:tcBorders>
              <w:top w:val="nil"/>
              <w:left w:val="nil"/>
              <w:bottom w:val="single" w:sz="8" w:space="0" w:color="auto"/>
              <w:right w:val="single" w:sz="8" w:space="0" w:color="auto"/>
            </w:tcBorders>
            <w:vAlign w:val="center"/>
          </w:tcPr>
          <w:p w14:paraId="4E72457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r>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10E04FA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108.60 ± 2.584</w:t>
            </w:r>
          </w:p>
        </w:tc>
        <w:tc>
          <w:tcPr>
            <w:tcW w:w="2235" w:type="dxa"/>
            <w:tcBorders>
              <w:top w:val="nil"/>
              <w:left w:val="nil"/>
              <w:bottom w:val="single" w:sz="8" w:space="0" w:color="auto"/>
              <w:right w:val="nil"/>
            </w:tcBorders>
            <w:vAlign w:val="center"/>
            <w:hideMark/>
          </w:tcPr>
          <w:p w14:paraId="085BCC6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142.00 ± 7.326</w:t>
            </w:r>
          </w:p>
        </w:tc>
        <w:tc>
          <w:tcPr>
            <w:tcW w:w="1840" w:type="dxa"/>
            <w:tcBorders>
              <w:top w:val="nil"/>
              <w:left w:val="single" w:sz="4" w:space="0" w:color="auto"/>
              <w:bottom w:val="single" w:sz="4" w:space="0" w:color="auto"/>
              <w:right w:val="single" w:sz="4" w:space="0" w:color="auto"/>
            </w:tcBorders>
            <w:noWrap/>
            <w:vAlign w:val="center"/>
            <w:hideMark/>
          </w:tcPr>
          <w:p w14:paraId="44BE2B8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76BE2C6C"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453426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w:t>
            </w:r>
          </w:p>
        </w:tc>
        <w:tc>
          <w:tcPr>
            <w:tcW w:w="1134" w:type="dxa"/>
            <w:tcBorders>
              <w:top w:val="nil"/>
              <w:left w:val="nil"/>
              <w:bottom w:val="single" w:sz="8" w:space="0" w:color="auto"/>
              <w:right w:val="single" w:sz="8" w:space="0" w:color="auto"/>
            </w:tcBorders>
            <w:vAlign w:val="center"/>
            <w:hideMark/>
          </w:tcPr>
          <w:p w14:paraId="4926BE6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6E6391F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115.10 ± 2.649</w:t>
            </w:r>
          </w:p>
        </w:tc>
        <w:tc>
          <w:tcPr>
            <w:tcW w:w="2235" w:type="dxa"/>
            <w:tcBorders>
              <w:top w:val="nil"/>
              <w:left w:val="nil"/>
              <w:bottom w:val="single" w:sz="8" w:space="0" w:color="auto"/>
              <w:right w:val="nil"/>
            </w:tcBorders>
            <w:vAlign w:val="center"/>
            <w:hideMark/>
          </w:tcPr>
          <w:p w14:paraId="7CE2B58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155.80 ± 3.006</w:t>
            </w:r>
          </w:p>
        </w:tc>
        <w:tc>
          <w:tcPr>
            <w:tcW w:w="1840" w:type="dxa"/>
            <w:tcBorders>
              <w:top w:val="nil"/>
              <w:left w:val="single" w:sz="4" w:space="0" w:color="auto"/>
              <w:bottom w:val="single" w:sz="4" w:space="0" w:color="auto"/>
              <w:right w:val="single" w:sz="4" w:space="0" w:color="auto"/>
            </w:tcBorders>
            <w:noWrap/>
            <w:vAlign w:val="center"/>
            <w:hideMark/>
          </w:tcPr>
          <w:p w14:paraId="205BA463"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4CC8D61D"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8BB2FDB"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w:t>
            </w:r>
          </w:p>
        </w:tc>
        <w:tc>
          <w:tcPr>
            <w:tcW w:w="1134" w:type="dxa"/>
            <w:tcBorders>
              <w:top w:val="nil"/>
              <w:left w:val="nil"/>
              <w:bottom w:val="single" w:sz="8" w:space="0" w:color="auto"/>
              <w:right w:val="single" w:sz="8" w:space="0" w:color="auto"/>
            </w:tcBorders>
            <w:vAlign w:val="center"/>
            <w:hideMark/>
          </w:tcPr>
          <w:p w14:paraId="4027D1E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52AB7F2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122.62 ± 2.605</w:t>
            </w:r>
          </w:p>
        </w:tc>
        <w:tc>
          <w:tcPr>
            <w:tcW w:w="2235" w:type="dxa"/>
            <w:tcBorders>
              <w:top w:val="nil"/>
              <w:left w:val="nil"/>
              <w:bottom w:val="single" w:sz="8" w:space="0" w:color="auto"/>
              <w:right w:val="nil"/>
            </w:tcBorders>
            <w:vAlign w:val="center"/>
            <w:hideMark/>
          </w:tcPr>
          <w:p w14:paraId="183AC468"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167.50 ± 3.776</w:t>
            </w:r>
          </w:p>
        </w:tc>
        <w:tc>
          <w:tcPr>
            <w:tcW w:w="1840" w:type="dxa"/>
            <w:tcBorders>
              <w:top w:val="nil"/>
              <w:left w:val="single" w:sz="4" w:space="0" w:color="auto"/>
              <w:bottom w:val="single" w:sz="4" w:space="0" w:color="auto"/>
              <w:right w:val="single" w:sz="4" w:space="0" w:color="auto"/>
            </w:tcBorders>
            <w:noWrap/>
            <w:vAlign w:val="center"/>
            <w:hideMark/>
          </w:tcPr>
          <w:p w14:paraId="218D823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513D66BE"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FCAEC7A"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w:t>
            </w:r>
          </w:p>
        </w:tc>
        <w:tc>
          <w:tcPr>
            <w:tcW w:w="1134" w:type="dxa"/>
            <w:tcBorders>
              <w:top w:val="nil"/>
              <w:left w:val="nil"/>
              <w:bottom w:val="single" w:sz="8" w:space="0" w:color="auto"/>
              <w:right w:val="single" w:sz="8" w:space="0" w:color="auto"/>
            </w:tcBorders>
            <w:vAlign w:val="center"/>
            <w:hideMark/>
          </w:tcPr>
          <w:p w14:paraId="36DEEB46"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20F4A5F0"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131.70 ± 2.373</w:t>
            </w:r>
          </w:p>
        </w:tc>
        <w:tc>
          <w:tcPr>
            <w:tcW w:w="2235" w:type="dxa"/>
            <w:tcBorders>
              <w:top w:val="nil"/>
              <w:left w:val="nil"/>
              <w:bottom w:val="single" w:sz="8" w:space="0" w:color="auto"/>
              <w:right w:val="nil"/>
            </w:tcBorders>
            <w:vAlign w:val="center"/>
            <w:hideMark/>
          </w:tcPr>
          <w:p w14:paraId="648EA2EE"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180.80± 5.589</w:t>
            </w:r>
          </w:p>
        </w:tc>
        <w:tc>
          <w:tcPr>
            <w:tcW w:w="1840" w:type="dxa"/>
            <w:tcBorders>
              <w:top w:val="nil"/>
              <w:left w:val="single" w:sz="4" w:space="0" w:color="auto"/>
              <w:bottom w:val="single" w:sz="4" w:space="0" w:color="auto"/>
              <w:right w:val="single" w:sz="4" w:space="0" w:color="auto"/>
            </w:tcBorders>
            <w:noWrap/>
            <w:vAlign w:val="center"/>
            <w:hideMark/>
          </w:tcPr>
          <w:p w14:paraId="4F0D6DE2"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6E5F2CBA"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B9B7997"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w:t>
            </w:r>
          </w:p>
        </w:tc>
        <w:tc>
          <w:tcPr>
            <w:tcW w:w="1134" w:type="dxa"/>
            <w:tcBorders>
              <w:top w:val="nil"/>
              <w:left w:val="nil"/>
              <w:bottom w:val="single" w:sz="8" w:space="0" w:color="auto"/>
              <w:right w:val="single" w:sz="8" w:space="0" w:color="auto"/>
            </w:tcBorders>
            <w:vAlign w:val="center"/>
            <w:hideMark/>
          </w:tcPr>
          <w:p w14:paraId="56946547"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15FE435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139.80 ± 2.881</w:t>
            </w:r>
          </w:p>
        </w:tc>
        <w:tc>
          <w:tcPr>
            <w:tcW w:w="2235" w:type="dxa"/>
            <w:tcBorders>
              <w:top w:val="nil"/>
              <w:left w:val="nil"/>
              <w:bottom w:val="single" w:sz="8" w:space="0" w:color="auto"/>
              <w:right w:val="nil"/>
            </w:tcBorders>
            <w:vAlign w:val="center"/>
            <w:hideMark/>
          </w:tcPr>
          <w:p w14:paraId="56692AD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194.20 ± 6.147</w:t>
            </w:r>
          </w:p>
        </w:tc>
        <w:tc>
          <w:tcPr>
            <w:tcW w:w="1840" w:type="dxa"/>
            <w:tcBorders>
              <w:top w:val="nil"/>
              <w:left w:val="single" w:sz="4" w:space="0" w:color="auto"/>
              <w:bottom w:val="single" w:sz="4" w:space="0" w:color="auto"/>
              <w:right w:val="single" w:sz="4" w:space="0" w:color="auto"/>
            </w:tcBorders>
            <w:noWrap/>
            <w:vAlign w:val="center"/>
            <w:hideMark/>
          </w:tcPr>
          <w:p w14:paraId="1B9CEDE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12FA945D"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443C0C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w:t>
            </w:r>
          </w:p>
        </w:tc>
        <w:tc>
          <w:tcPr>
            <w:tcW w:w="1134" w:type="dxa"/>
            <w:tcBorders>
              <w:top w:val="nil"/>
              <w:left w:val="nil"/>
              <w:bottom w:val="single" w:sz="8" w:space="0" w:color="auto"/>
              <w:right w:val="single" w:sz="8" w:space="0" w:color="auto"/>
            </w:tcBorders>
            <w:vAlign w:val="center"/>
            <w:hideMark/>
          </w:tcPr>
          <w:p w14:paraId="46483B3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5C15409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148.70± 3.576</w:t>
            </w:r>
          </w:p>
        </w:tc>
        <w:tc>
          <w:tcPr>
            <w:tcW w:w="2235" w:type="dxa"/>
            <w:tcBorders>
              <w:top w:val="nil"/>
              <w:left w:val="nil"/>
              <w:bottom w:val="single" w:sz="8" w:space="0" w:color="auto"/>
              <w:right w:val="nil"/>
            </w:tcBorders>
            <w:vAlign w:val="center"/>
            <w:hideMark/>
          </w:tcPr>
          <w:p w14:paraId="365AD75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209.10± 7.484</w:t>
            </w:r>
          </w:p>
        </w:tc>
        <w:tc>
          <w:tcPr>
            <w:tcW w:w="1840" w:type="dxa"/>
            <w:tcBorders>
              <w:top w:val="nil"/>
              <w:left w:val="single" w:sz="4" w:space="0" w:color="auto"/>
              <w:bottom w:val="single" w:sz="4" w:space="0" w:color="auto"/>
              <w:right w:val="single" w:sz="4" w:space="0" w:color="auto"/>
            </w:tcBorders>
            <w:noWrap/>
            <w:vAlign w:val="center"/>
            <w:hideMark/>
          </w:tcPr>
          <w:p w14:paraId="5604D8B6"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3C27E7C2"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21A69E2"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w:t>
            </w:r>
          </w:p>
        </w:tc>
        <w:tc>
          <w:tcPr>
            <w:tcW w:w="1134" w:type="dxa"/>
            <w:tcBorders>
              <w:top w:val="nil"/>
              <w:left w:val="nil"/>
              <w:bottom w:val="single" w:sz="8" w:space="0" w:color="auto"/>
              <w:right w:val="single" w:sz="8" w:space="0" w:color="auto"/>
            </w:tcBorders>
            <w:vAlign w:val="center"/>
            <w:hideMark/>
          </w:tcPr>
          <w:p w14:paraId="3A5CE27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186991A8"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159.20 ± 3.982</w:t>
            </w:r>
          </w:p>
        </w:tc>
        <w:tc>
          <w:tcPr>
            <w:tcW w:w="2235" w:type="dxa"/>
            <w:tcBorders>
              <w:top w:val="nil"/>
              <w:left w:val="nil"/>
              <w:bottom w:val="single" w:sz="8" w:space="0" w:color="auto"/>
              <w:right w:val="single" w:sz="8" w:space="0" w:color="auto"/>
            </w:tcBorders>
            <w:vAlign w:val="center"/>
            <w:hideMark/>
          </w:tcPr>
          <w:p w14:paraId="25058F02"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224.20± 7.027</w:t>
            </w:r>
          </w:p>
        </w:tc>
        <w:tc>
          <w:tcPr>
            <w:tcW w:w="1840" w:type="dxa"/>
            <w:tcBorders>
              <w:top w:val="nil"/>
              <w:left w:val="single" w:sz="4" w:space="0" w:color="auto"/>
              <w:bottom w:val="single" w:sz="4" w:space="0" w:color="auto"/>
              <w:right w:val="single" w:sz="4" w:space="0" w:color="auto"/>
            </w:tcBorders>
            <w:noWrap/>
            <w:vAlign w:val="center"/>
            <w:hideMark/>
          </w:tcPr>
          <w:p w14:paraId="614C034F"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3D626724"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1F2D331"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w:t>
            </w:r>
          </w:p>
        </w:tc>
        <w:tc>
          <w:tcPr>
            <w:tcW w:w="1134" w:type="dxa"/>
            <w:tcBorders>
              <w:top w:val="nil"/>
              <w:left w:val="nil"/>
              <w:bottom w:val="single" w:sz="8" w:space="0" w:color="auto"/>
              <w:right w:val="single" w:sz="8" w:space="0" w:color="auto"/>
            </w:tcBorders>
            <w:vAlign w:val="center"/>
            <w:hideMark/>
          </w:tcPr>
          <w:p w14:paraId="3B9CF736"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0FC4A87D"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168.90 ± 4.169</w:t>
            </w:r>
          </w:p>
        </w:tc>
        <w:tc>
          <w:tcPr>
            <w:tcW w:w="2235" w:type="dxa"/>
            <w:tcBorders>
              <w:top w:val="nil"/>
              <w:left w:val="nil"/>
              <w:bottom w:val="single" w:sz="8" w:space="0" w:color="auto"/>
              <w:right w:val="nil"/>
            </w:tcBorders>
            <w:vAlign w:val="center"/>
            <w:hideMark/>
          </w:tcPr>
          <w:p w14:paraId="06807D0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238.60 ± 6.239</w:t>
            </w:r>
          </w:p>
        </w:tc>
        <w:tc>
          <w:tcPr>
            <w:tcW w:w="1840" w:type="dxa"/>
            <w:tcBorders>
              <w:top w:val="nil"/>
              <w:left w:val="single" w:sz="4" w:space="0" w:color="auto"/>
              <w:bottom w:val="single" w:sz="4" w:space="0" w:color="auto"/>
              <w:right w:val="single" w:sz="4" w:space="0" w:color="auto"/>
            </w:tcBorders>
            <w:noWrap/>
            <w:vAlign w:val="center"/>
            <w:hideMark/>
          </w:tcPr>
          <w:p w14:paraId="0A49698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4742A90B"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31B96AA"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w:t>
            </w:r>
          </w:p>
        </w:tc>
        <w:tc>
          <w:tcPr>
            <w:tcW w:w="1134" w:type="dxa"/>
            <w:tcBorders>
              <w:top w:val="nil"/>
              <w:left w:val="nil"/>
              <w:bottom w:val="single" w:sz="8" w:space="0" w:color="auto"/>
              <w:right w:val="single" w:sz="8" w:space="0" w:color="auto"/>
            </w:tcBorders>
            <w:vAlign w:val="center"/>
            <w:hideMark/>
          </w:tcPr>
          <w:p w14:paraId="546FAF47"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5BA4277C"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180.20 ± 3.226</w:t>
            </w:r>
          </w:p>
        </w:tc>
        <w:tc>
          <w:tcPr>
            <w:tcW w:w="2235" w:type="dxa"/>
            <w:tcBorders>
              <w:top w:val="nil"/>
              <w:left w:val="nil"/>
              <w:bottom w:val="single" w:sz="8" w:space="0" w:color="auto"/>
              <w:right w:val="nil"/>
            </w:tcBorders>
            <w:vAlign w:val="center"/>
            <w:hideMark/>
          </w:tcPr>
          <w:p w14:paraId="438BB815"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251.90 ± 3.347</w:t>
            </w:r>
          </w:p>
        </w:tc>
        <w:tc>
          <w:tcPr>
            <w:tcW w:w="1840" w:type="dxa"/>
            <w:tcBorders>
              <w:top w:val="nil"/>
              <w:left w:val="single" w:sz="4" w:space="0" w:color="auto"/>
              <w:bottom w:val="single" w:sz="4" w:space="0" w:color="auto"/>
              <w:right w:val="single" w:sz="4" w:space="0" w:color="auto"/>
            </w:tcBorders>
            <w:noWrap/>
            <w:vAlign w:val="center"/>
            <w:hideMark/>
          </w:tcPr>
          <w:p w14:paraId="6221D70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F474AA" w:rsidRPr="00EF3DD8" w14:paraId="09D6D4B7" w14:textId="77777777" w:rsidTr="008A1E83">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35BD6BF"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17</w:t>
            </w:r>
          </w:p>
        </w:tc>
        <w:tc>
          <w:tcPr>
            <w:tcW w:w="1134" w:type="dxa"/>
            <w:tcBorders>
              <w:top w:val="nil"/>
              <w:left w:val="nil"/>
              <w:bottom w:val="single" w:sz="8" w:space="0" w:color="auto"/>
              <w:right w:val="single" w:sz="8" w:space="0" w:color="auto"/>
            </w:tcBorders>
            <w:vAlign w:val="center"/>
            <w:hideMark/>
          </w:tcPr>
          <w:p w14:paraId="554A4FBA"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1EE17374"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188.80 ± 3.330</w:t>
            </w:r>
          </w:p>
        </w:tc>
        <w:tc>
          <w:tcPr>
            <w:tcW w:w="2235" w:type="dxa"/>
            <w:tcBorders>
              <w:top w:val="nil"/>
              <w:left w:val="nil"/>
              <w:bottom w:val="single" w:sz="8" w:space="0" w:color="auto"/>
              <w:right w:val="single" w:sz="8" w:space="0" w:color="auto"/>
            </w:tcBorders>
            <w:vAlign w:val="center"/>
            <w:hideMark/>
          </w:tcPr>
          <w:p w14:paraId="4A16FDA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262.30 ± 1.281</w:t>
            </w:r>
          </w:p>
        </w:tc>
        <w:tc>
          <w:tcPr>
            <w:tcW w:w="1840" w:type="dxa"/>
            <w:tcBorders>
              <w:top w:val="nil"/>
              <w:left w:val="single" w:sz="4" w:space="0" w:color="auto"/>
              <w:bottom w:val="single" w:sz="4" w:space="0" w:color="auto"/>
              <w:right w:val="single" w:sz="4" w:space="0" w:color="auto"/>
            </w:tcBorders>
            <w:noWrap/>
            <w:vAlign w:val="center"/>
            <w:hideMark/>
          </w:tcPr>
          <w:p w14:paraId="6F0E1209" w14:textId="77777777" w:rsidR="00F474AA" w:rsidRPr="00E4433D" w:rsidRDefault="00F474AA" w:rsidP="008A1E83">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bl>
    <w:p w14:paraId="11AB2442" w14:textId="77777777" w:rsidR="00F474AA" w:rsidRPr="005C1DB9" w:rsidRDefault="00F474AA" w:rsidP="00F474AA">
      <w:pPr>
        <w:spacing w:after="0" w:line="240" w:lineRule="auto"/>
        <w:jc w:val="both"/>
        <w:rPr>
          <w:rFonts w:ascii="Times New Roman" w:eastAsia="Times New Roman" w:hAnsi="Times New Roman" w:cs="Times New Roman"/>
          <w:sz w:val="20"/>
          <w:szCs w:val="20"/>
          <w:lang w:eastAsia="en-IN"/>
        </w:rPr>
      </w:pPr>
    </w:p>
    <w:p w14:paraId="6D9ABF28" w14:textId="77777777" w:rsidR="00F474AA" w:rsidRPr="006256DC" w:rsidRDefault="00F474AA" w:rsidP="00F474AA">
      <w:pPr>
        <w:spacing w:after="100" w:afterAutospacing="1" w:line="240" w:lineRule="auto"/>
        <w:jc w:val="both"/>
        <w:rPr>
          <w:rFonts w:ascii="Arial" w:hAnsi="Arial" w:cs="Arial"/>
          <w:sz w:val="20"/>
          <w:szCs w:val="20"/>
        </w:rPr>
      </w:pPr>
      <w:r w:rsidRPr="001805D9">
        <w:rPr>
          <w:rFonts w:ascii="Arial" w:hAnsi="Arial" w:cs="Arial"/>
          <w:sz w:val="20"/>
          <w:szCs w:val="20"/>
        </w:rPr>
        <w:t xml:space="preserve">        Note:  ** - Highly Significant at (</w:t>
      </w:r>
      <w:r w:rsidRPr="001805D9">
        <w:rPr>
          <w:rFonts w:ascii="Arial" w:hAnsi="Arial" w:cs="Arial"/>
          <w:i/>
          <w:iCs/>
          <w:sz w:val="20"/>
          <w:szCs w:val="20"/>
        </w:rPr>
        <w:t>p &lt; 0.05</w:t>
      </w:r>
      <w:r w:rsidRPr="001805D9">
        <w:rPr>
          <w:rFonts w:ascii="Arial" w:hAnsi="Arial" w:cs="Arial"/>
          <w:sz w:val="20"/>
          <w:szCs w:val="20"/>
        </w:rPr>
        <w:t>)</w:t>
      </w:r>
      <w:r w:rsidRPr="006256DC">
        <w:rPr>
          <w:rFonts w:ascii="Arial" w:hAnsi="Arial" w:cs="Arial"/>
          <w:sz w:val="20"/>
          <w:szCs w:val="20"/>
        </w:rPr>
        <w:t xml:space="preserve"> </w:t>
      </w:r>
    </w:p>
    <w:p w14:paraId="64A450CC" w14:textId="77777777" w:rsidR="00F474AA" w:rsidRDefault="00F474AA" w:rsidP="00F474AA">
      <w:pPr>
        <w:spacing w:before="240" w:after="0" w:line="480" w:lineRule="auto"/>
        <w:jc w:val="both"/>
        <w:rPr>
          <w:rFonts w:ascii="Arial" w:hAnsi="Arial" w:cs="Arial"/>
          <w:b/>
          <w:bCs/>
          <w:caps/>
        </w:rPr>
      </w:pPr>
      <w:r w:rsidRPr="00110994">
        <w:rPr>
          <w:rFonts w:ascii="Arial" w:hAnsi="Arial" w:cs="Arial"/>
          <w:b/>
          <w:bCs/>
          <w:caps/>
        </w:rPr>
        <w:t>4. Conclusion</w:t>
      </w:r>
    </w:p>
    <w:p w14:paraId="0EBC9846" w14:textId="77777777" w:rsidR="00F474AA" w:rsidRPr="0071765C" w:rsidRDefault="00F474AA" w:rsidP="00F474AA">
      <w:pPr>
        <w:jc w:val="both"/>
        <w:rPr>
          <w:rFonts w:ascii="Arial" w:hAnsi="Arial" w:cs="Arial"/>
          <w:sz w:val="20"/>
          <w:szCs w:val="20"/>
        </w:rPr>
      </w:pPr>
      <w:r w:rsidRPr="0071765C">
        <w:rPr>
          <w:rFonts w:ascii="Arial" w:hAnsi="Arial" w:cs="Arial"/>
          <w:sz w:val="20"/>
          <w:szCs w:val="20"/>
        </w:rPr>
        <w:lastRenderedPageBreak/>
        <w:t>Stocking density did not significantly influence body weight gain, ADG, or FCR, indicating that guinea pigs can maintain optimal growth under a range of space allowances, provided nutritional and environmental needs are met.</w:t>
      </w:r>
      <w:r>
        <w:rPr>
          <w:rFonts w:ascii="Arial" w:hAnsi="Arial" w:cs="Arial"/>
          <w:sz w:val="20"/>
          <w:szCs w:val="20"/>
        </w:rPr>
        <w:t xml:space="preserve"> </w:t>
      </w:r>
      <w:r w:rsidRPr="0071765C">
        <w:rPr>
          <w:rFonts w:ascii="Arial" w:hAnsi="Arial" w:cs="Arial"/>
          <w:sz w:val="20"/>
          <w:szCs w:val="20"/>
        </w:rPr>
        <w:t>TDMI increased with age, with T2 showing higher overall intake. This suggests that higher stocking densities may stimulate feeding behaviour, possibly due to mild competitive dynamics.</w:t>
      </w:r>
    </w:p>
    <w:p w14:paraId="742A7A10" w14:textId="77777777" w:rsidR="00F474AA" w:rsidRPr="0071765C" w:rsidRDefault="00F474AA" w:rsidP="00F474AA">
      <w:pPr>
        <w:jc w:val="both"/>
        <w:rPr>
          <w:rFonts w:ascii="Arial" w:hAnsi="Arial" w:cs="Arial"/>
          <w:sz w:val="20"/>
          <w:szCs w:val="20"/>
        </w:rPr>
      </w:pPr>
      <w:r w:rsidRPr="0071765C">
        <w:rPr>
          <w:rFonts w:ascii="Arial" w:hAnsi="Arial" w:cs="Arial"/>
          <w:sz w:val="20"/>
          <w:szCs w:val="20"/>
        </w:rPr>
        <w:t>The results of this study confirm that guinea pigs are a promising micro-livestock species capable of contributing significantly to household nutrition and income generation, particularly in resource-limited regions. Their rapid growth, efficient feed conversion, high reproductive potential, and low space requirements make them an ideal option for smallholder and peri-urban farming systems. Importantly, stocking density within the ranges tested does not negatively affect key production parameters, offering farmers flexibility in housing design and space utilization.</w:t>
      </w:r>
      <w:r w:rsidRPr="0071765C">
        <w:rPr>
          <w:rFonts w:ascii="Arial" w:hAnsi="Arial" w:cs="Arial"/>
          <w:b/>
          <w:bCs/>
          <w:sz w:val="20"/>
          <w:szCs w:val="20"/>
        </w:rPr>
        <w:t xml:space="preserve"> </w:t>
      </w:r>
      <w:r w:rsidRPr="0071765C">
        <w:rPr>
          <w:rFonts w:ascii="Arial" w:hAnsi="Arial" w:cs="Arial"/>
          <w:sz w:val="20"/>
          <w:szCs w:val="20"/>
        </w:rPr>
        <w:t>The findings provide valuable baseline data to support the development of improved guinea pig husbandry practices and can guide policymakers and extension agencies in promoting guinea pig production as a sustainable and profitable enterprise.</w:t>
      </w:r>
    </w:p>
    <w:p w14:paraId="1C99A057" w14:textId="77777777" w:rsidR="00F474AA" w:rsidRDefault="00F474AA" w:rsidP="00F474AA">
      <w:pPr>
        <w:spacing w:line="278" w:lineRule="auto"/>
        <w:rPr>
          <w:rFonts w:ascii="Arial" w:hAnsi="Arial" w:cs="Arial"/>
          <w:b/>
          <w:lang w:val="en-US"/>
        </w:rPr>
      </w:pPr>
      <w:r>
        <w:rPr>
          <w:rFonts w:ascii="Arial" w:hAnsi="Arial" w:cs="Arial"/>
          <w:b/>
          <w:lang w:val="en-US"/>
        </w:rPr>
        <w:br w:type="page"/>
      </w:r>
    </w:p>
    <w:p w14:paraId="51DEECAD" w14:textId="702A8335" w:rsidR="0006136D" w:rsidRPr="00281C9F" w:rsidRDefault="0006136D" w:rsidP="00F474AA">
      <w:pPr>
        <w:spacing w:line="240" w:lineRule="auto"/>
        <w:jc w:val="both"/>
        <w:rPr>
          <w:rFonts w:ascii="Arial" w:hAnsi="Arial" w:cs="Arial"/>
          <w:b/>
          <w:lang w:val="en-US"/>
        </w:rPr>
      </w:pPr>
      <w:r>
        <w:rPr>
          <w:rFonts w:ascii="Arial" w:hAnsi="Arial" w:cs="Arial"/>
          <w:b/>
          <w:lang w:val="en-US"/>
        </w:rPr>
        <w:lastRenderedPageBreak/>
        <w:t xml:space="preserve">Ethical Approval: </w:t>
      </w:r>
    </w:p>
    <w:p w14:paraId="07752670" w14:textId="29F88AB5" w:rsidR="00F474AA" w:rsidRDefault="00F474AA" w:rsidP="00F474AA">
      <w:pPr>
        <w:spacing w:line="240" w:lineRule="auto"/>
        <w:ind w:firstLine="720"/>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3EEDFE5F" w14:textId="4B445A54" w:rsidR="0006136D" w:rsidRDefault="0006136D" w:rsidP="00F474AA">
      <w:pPr>
        <w:spacing w:line="240" w:lineRule="auto"/>
        <w:ind w:firstLine="720"/>
        <w:jc w:val="both"/>
        <w:rPr>
          <w:rFonts w:ascii="Arial" w:hAnsi="Arial" w:cs="Arial"/>
          <w:sz w:val="20"/>
          <w:szCs w:val="20"/>
          <w:lang w:val="en-US"/>
        </w:rPr>
      </w:pPr>
    </w:p>
    <w:p w14:paraId="096F31DE" w14:textId="77777777" w:rsidR="0006136D" w:rsidRPr="0006136D" w:rsidRDefault="0006136D" w:rsidP="0006136D">
      <w:pPr>
        <w:spacing w:line="240" w:lineRule="auto"/>
        <w:jc w:val="both"/>
        <w:rPr>
          <w:rFonts w:ascii="Arial" w:hAnsi="Arial" w:cs="Arial"/>
          <w:b/>
          <w:sz w:val="20"/>
          <w:szCs w:val="20"/>
          <w:lang w:val="en-US"/>
        </w:rPr>
      </w:pPr>
      <w:r w:rsidRPr="0006136D">
        <w:rPr>
          <w:rFonts w:ascii="Arial" w:hAnsi="Arial" w:cs="Arial"/>
          <w:b/>
          <w:sz w:val="20"/>
          <w:szCs w:val="20"/>
          <w:lang w:val="en-US"/>
        </w:rPr>
        <w:t>Disclaimer (Artificial intelligence)</w:t>
      </w:r>
    </w:p>
    <w:p w14:paraId="184A1DDD" w14:textId="5CAD472F" w:rsidR="0006136D" w:rsidRPr="00281C9F" w:rsidRDefault="0006136D" w:rsidP="0006136D">
      <w:pPr>
        <w:spacing w:line="240" w:lineRule="auto"/>
        <w:ind w:firstLine="720"/>
        <w:jc w:val="both"/>
        <w:rPr>
          <w:rFonts w:ascii="Arial" w:hAnsi="Arial" w:cs="Arial"/>
          <w:sz w:val="20"/>
          <w:szCs w:val="20"/>
          <w:lang w:val="en-US"/>
        </w:rPr>
      </w:pPr>
      <w:r w:rsidRPr="0006136D">
        <w:rPr>
          <w:rFonts w:ascii="Arial" w:hAnsi="Arial" w:cs="Arial"/>
          <w:sz w:val="20"/>
          <w:szCs w:val="20"/>
          <w:lang w:val="en-US"/>
        </w:rPr>
        <w:t>Author(s) hereby declare that NO generative AI technologies such as Large Language Models (</w:t>
      </w:r>
      <w:proofErr w:type="spellStart"/>
      <w:r w:rsidRPr="0006136D">
        <w:rPr>
          <w:rFonts w:ascii="Arial" w:hAnsi="Arial" w:cs="Arial"/>
          <w:sz w:val="20"/>
          <w:szCs w:val="20"/>
          <w:lang w:val="en-US"/>
        </w:rPr>
        <w:t>ChatGPT</w:t>
      </w:r>
      <w:proofErr w:type="spellEnd"/>
      <w:r w:rsidRPr="0006136D">
        <w:rPr>
          <w:rFonts w:ascii="Arial" w:hAnsi="Arial" w:cs="Arial"/>
          <w:sz w:val="20"/>
          <w:szCs w:val="20"/>
          <w:lang w:val="en-US"/>
        </w:rPr>
        <w:t>, COPILOT, etc.) and text-to-image generators have been used during the writing or editing of this manuscript.</w:t>
      </w:r>
    </w:p>
    <w:p w14:paraId="79EC81A3" w14:textId="77777777" w:rsidR="00F474AA" w:rsidRDefault="00F474AA" w:rsidP="00F474AA">
      <w:pPr>
        <w:spacing w:before="240" w:after="0" w:line="240" w:lineRule="auto"/>
        <w:ind w:firstLine="720"/>
        <w:jc w:val="both"/>
        <w:rPr>
          <w:rFonts w:ascii="Times New Roman" w:hAnsi="Times New Roman" w:cs="Times New Roman"/>
        </w:rPr>
      </w:pPr>
    </w:p>
    <w:p w14:paraId="013652BD" w14:textId="77777777" w:rsidR="00F474AA" w:rsidRDefault="00F474AA" w:rsidP="00F474AA">
      <w:pPr>
        <w:pStyle w:val="NormalWeb"/>
        <w:rPr>
          <w:rFonts w:ascii="Arial" w:hAnsi="Arial" w:cs="Arial"/>
          <w:b/>
          <w:caps/>
          <w:sz w:val="22"/>
          <w:szCs w:val="22"/>
        </w:rPr>
      </w:pPr>
      <w:r w:rsidRPr="00281C9F">
        <w:rPr>
          <w:rFonts w:ascii="Arial" w:hAnsi="Arial" w:cs="Arial"/>
          <w:b/>
          <w:caps/>
          <w:sz w:val="22"/>
          <w:szCs w:val="22"/>
        </w:rPr>
        <w:t>References</w:t>
      </w:r>
    </w:p>
    <w:p w14:paraId="1C10CE57" w14:textId="77777777" w:rsidR="00F474AA" w:rsidRDefault="00F474AA" w:rsidP="00F474AA">
      <w:pPr>
        <w:pStyle w:val="ListParagraph"/>
        <w:numPr>
          <w:ilvl w:val="0"/>
          <w:numId w:val="1"/>
        </w:numPr>
        <w:spacing w:line="278" w:lineRule="auto"/>
        <w:rPr>
          <w:rFonts w:ascii="Arial" w:hAnsi="Arial" w:cs="Arial"/>
          <w:sz w:val="20"/>
          <w:szCs w:val="20"/>
          <w:lang w:eastAsia="en-IN" w:bidi="kn-IN"/>
        </w:rPr>
      </w:pPr>
      <w:r w:rsidRPr="002256D2">
        <w:rPr>
          <w:rFonts w:ascii="Arial" w:hAnsi="Arial" w:cs="Arial"/>
          <w:sz w:val="20"/>
          <w:szCs w:val="20"/>
          <w:lang w:eastAsia="en-IN" w:bidi="kn-IN"/>
        </w:rPr>
        <w:t xml:space="preserve">UNUP. (1990). Food and Nutrition. Bulletin Vol 12. </w:t>
      </w:r>
      <w:r w:rsidRPr="002256D2">
        <w:rPr>
          <w:rFonts w:ascii="Arial" w:hAnsi="Arial" w:cs="Arial"/>
          <w:i/>
          <w:iCs/>
          <w:sz w:val="20"/>
          <w:szCs w:val="20"/>
          <w:lang w:eastAsia="en-IN" w:bidi="kn-IN"/>
        </w:rPr>
        <w:t>United Nations University Press</w:t>
      </w:r>
      <w:r w:rsidRPr="002256D2">
        <w:rPr>
          <w:rFonts w:ascii="Arial" w:hAnsi="Arial" w:cs="Arial"/>
          <w:sz w:val="20"/>
          <w:szCs w:val="20"/>
          <w:lang w:eastAsia="en-IN" w:bidi="kn-IN"/>
        </w:rPr>
        <w:t>, Tokyo, Japan.</w:t>
      </w:r>
    </w:p>
    <w:p w14:paraId="4BC8A37E" w14:textId="77777777" w:rsidR="00F474AA" w:rsidRPr="002256D2" w:rsidRDefault="00F474AA" w:rsidP="00F474AA">
      <w:pPr>
        <w:pStyle w:val="ListParagraph"/>
        <w:rPr>
          <w:rFonts w:ascii="Arial" w:hAnsi="Arial" w:cs="Arial"/>
          <w:sz w:val="20"/>
          <w:szCs w:val="20"/>
          <w:lang w:eastAsia="en-IN" w:bidi="kn-IN"/>
        </w:rPr>
      </w:pPr>
    </w:p>
    <w:p w14:paraId="6B34ED7A" w14:textId="77777777" w:rsidR="00F474AA" w:rsidRDefault="00F474AA" w:rsidP="00F474AA">
      <w:pPr>
        <w:pStyle w:val="ListParagraph"/>
        <w:numPr>
          <w:ilvl w:val="0"/>
          <w:numId w:val="1"/>
        </w:numPr>
        <w:spacing w:line="278" w:lineRule="auto"/>
        <w:rPr>
          <w:rFonts w:ascii="Arial" w:hAnsi="Arial" w:cs="Arial"/>
          <w:sz w:val="20"/>
          <w:szCs w:val="20"/>
        </w:rPr>
      </w:pPr>
      <w:proofErr w:type="spellStart"/>
      <w:r w:rsidRPr="002256D2">
        <w:rPr>
          <w:rFonts w:ascii="Arial" w:hAnsi="Arial" w:cs="Arial"/>
          <w:sz w:val="20"/>
          <w:szCs w:val="20"/>
        </w:rPr>
        <w:t>Ngou</w:t>
      </w:r>
      <w:proofErr w:type="spellEnd"/>
      <w:r w:rsidRPr="002256D2">
        <w:rPr>
          <w:rFonts w:ascii="Arial" w:hAnsi="Arial" w:cs="Arial"/>
          <w:sz w:val="20"/>
          <w:szCs w:val="20"/>
          <w:lang w:eastAsia="en-IN" w:bidi="kn-IN"/>
        </w:rPr>
        <w:t xml:space="preserve"> </w:t>
      </w:r>
      <w:proofErr w:type="spellStart"/>
      <w:r w:rsidRPr="002256D2">
        <w:rPr>
          <w:rFonts w:ascii="Arial" w:hAnsi="Arial" w:cs="Arial"/>
          <w:sz w:val="20"/>
          <w:szCs w:val="20"/>
          <w:lang w:eastAsia="en-IN" w:bidi="kn-IN"/>
        </w:rPr>
        <w:t>Ngoupayou</w:t>
      </w:r>
      <w:proofErr w:type="spellEnd"/>
      <w:r w:rsidRPr="002256D2">
        <w:rPr>
          <w:rFonts w:ascii="Arial" w:hAnsi="Arial" w:cs="Arial"/>
          <w:sz w:val="20"/>
          <w:szCs w:val="20"/>
          <w:lang w:eastAsia="en-IN" w:bidi="kn-IN"/>
        </w:rPr>
        <w:t xml:space="preserve">, J.D., </w:t>
      </w:r>
      <w:proofErr w:type="spellStart"/>
      <w:r w:rsidRPr="002256D2">
        <w:rPr>
          <w:rFonts w:ascii="Arial" w:hAnsi="Arial" w:cs="Arial"/>
          <w:sz w:val="20"/>
          <w:szCs w:val="20"/>
          <w:lang w:eastAsia="en-IN" w:bidi="kn-IN"/>
        </w:rPr>
        <w:t>Kouonmenioc</w:t>
      </w:r>
      <w:proofErr w:type="spellEnd"/>
      <w:r w:rsidRPr="002256D2">
        <w:rPr>
          <w:rFonts w:ascii="Arial" w:hAnsi="Arial" w:cs="Arial"/>
          <w:sz w:val="20"/>
          <w:szCs w:val="20"/>
          <w:lang w:eastAsia="en-IN" w:bidi="kn-IN"/>
        </w:rPr>
        <w:t xml:space="preserve">, J., Fotso Tagny, J.M., Cicogna, M., Castroville, C., Rigoni, M. and Hardouin, J., (1995). Development opportunities for the guinea pig in sub-Saharan Africa: The case of Cameroon. (In French). </w:t>
      </w:r>
      <w:r w:rsidRPr="002256D2">
        <w:rPr>
          <w:rFonts w:ascii="Arial" w:hAnsi="Arial" w:cs="Arial"/>
          <w:i/>
          <w:iCs/>
          <w:sz w:val="20"/>
          <w:szCs w:val="20"/>
          <w:lang w:eastAsia="en-IN" w:bidi="kn-IN"/>
        </w:rPr>
        <w:t>Animal Review,</w:t>
      </w:r>
      <w:r w:rsidRPr="002256D2">
        <w:rPr>
          <w:rFonts w:ascii="Arial" w:hAnsi="Arial" w:cs="Arial"/>
          <w:sz w:val="20"/>
          <w:szCs w:val="20"/>
          <w:lang w:eastAsia="en-IN" w:bidi="kn-IN"/>
        </w:rPr>
        <w:t xml:space="preserve"> 83 (2): 20-28</w:t>
      </w:r>
      <w:r>
        <w:rPr>
          <w:rFonts w:ascii="Arial" w:hAnsi="Arial" w:cs="Arial"/>
          <w:sz w:val="20"/>
          <w:szCs w:val="20"/>
          <w:lang w:eastAsia="en-IN" w:bidi="kn-IN"/>
        </w:rPr>
        <w:t>.</w:t>
      </w:r>
    </w:p>
    <w:p w14:paraId="68875B9A" w14:textId="77777777" w:rsidR="00F474AA" w:rsidRPr="00C7262E" w:rsidRDefault="00F474AA" w:rsidP="00F474AA">
      <w:pPr>
        <w:pStyle w:val="ListParagraph"/>
        <w:rPr>
          <w:rFonts w:ascii="Arial" w:hAnsi="Arial" w:cs="Arial"/>
          <w:sz w:val="20"/>
          <w:szCs w:val="20"/>
          <w:lang w:eastAsia="en-IN" w:bidi="kn-IN"/>
        </w:rPr>
      </w:pPr>
    </w:p>
    <w:p w14:paraId="2BD20D92" w14:textId="77777777" w:rsidR="00F474AA" w:rsidRDefault="00F474AA" w:rsidP="00F474AA">
      <w:pPr>
        <w:pStyle w:val="ListParagraph"/>
        <w:numPr>
          <w:ilvl w:val="0"/>
          <w:numId w:val="1"/>
        </w:numPr>
        <w:spacing w:line="278" w:lineRule="auto"/>
        <w:rPr>
          <w:rFonts w:ascii="Arial" w:hAnsi="Arial" w:cs="Arial"/>
          <w:sz w:val="20"/>
          <w:szCs w:val="20"/>
        </w:rPr>
      </w:pPr>
      <w:proofErr w:type="spellStart"/>
      <w:r w:rsidRPr="00C7262E">
        <w:rPr>
          <w:rFonts w:ascii="Arial" w:hAnsi="Arial" w:cs="Arial"/>
          <w:sz w:val="20"/>
          <w:szCs w:val="20"/>
          <w:lang w:eastAsia="en-IN" w:bidi="kn-IN"/>
        </w:rPr>
        <w:t>Nuwanyakpa</w:t>
      </w:r>
      <w:proofErr w:type="spellEnd"/>
      <w:r w:rsidRPr="00C7262E">
        <w:rPr>
          <w:rFonts w:ascii="Arial" w:hAnsi="Arial" w:cs="Arial"/>
          <w:sz w:val="20"/>
          <w:szCs w:val="20"/>
          <w:lang w:eastAsia="en-IN" w:bidi="kn-IN"/>
        </w:rPr>
        <w:t xml:space="preserve">, M. (1993). Analysis of a baseline survey on the incorporation of guinea </w:t>
      </w:r>
      <w:proofErr w:type="gramStart"/>
      <w:r w:rsidRPr="00C7262E">
        <w:rPr>
          <w:rFonts w:ascii="Arial" w:hAnsi="Arial" w:cs="Arial"/>
          <w:sz w:val="20"/>
          <w:szCs w:val="20"/>
          <w:lang w:eastAsia="en-IN" w:bidi="kn-IN"/>
        </w:rPr>
        <w:t>pigs</w:t>
      </w:r>
      <w:proofErr w:type="gramEnd"/>
      <w:r w:rsidRPr="00C7262E">
        <w:rPr>
          <w:rFonts w:ascii="Arial" w:hAnsi="Arial" w:cs="Arial"/>
          <w:sz w:val="20"/>
          <w:szCs w:val="20"/>
          <w:lang w:eastAsia="en-IN" w:bidi="kn-IN"/>
        </w:rPr>
        <w:t xml:space="preserve"> production with HP/Cameroon </w:t>
      </w:r>
      <w:r w:rsidRPr="00C7262E">
        <w:rPr>
          <w:rFonts w:ascii="Arial" w:hAnsi="Arial" w:cs="Arial"/>
          <w:i/>
          <w:iCs/>
          <w:sz w:val="20"/>
          <w:szCs w:val="20"/>
          <w:lang w:eastAsia="en-IN" w:bidi="kn-IN"/>
        </w:rPr>
        <w:t>(An Internal HPI/Cameroon report</w:t>
      </w:r>
      <w:r w:rsidRPr="00C7262E">
        <w:rPr>
          <w:rFonts w:ascii="Arial" w:hAnsi="Arial" w:cs="Arial"/>
          <w:sz w:val="20"/>
          <w:szCs w:val="20"/>
          <w:lang w:eastAsia="en-IN" w:bidi="kn-IN"/>
        </w:rPr>
        <w:t>): 7</w:t>
      </w:r>
    </w:p>
    <w:p w14:paraId="345F5FB9" w14:textId="77777777" w:rsidR="00F474AA" w:rsidRPr="003B5240" w:rsidRDefault="00F474AA" w:rsidP="00F474AA">
      <w:pPr>
        <w:pStyle w:val="ListParagraph"/>
        <w:rPr>
          <w:rFonts w:ascii="Arial" w:hAnsi="Arial" w:cs="Arial"/>
          <w:sz w:val="20"/>
          <w:szCs w:val="20"/>
          <w:lang w:eastAsia="en-IN" w:bidi="kn-IN"/>
        </w:rPr>
      </w:pPr>
    </w:p>
    <w:p w14:paraId="49E81333" w14:textId="77777777" w:rsidR="00F474AA" w:rsidRDefault="00F474AA" w:rsidP="00F474AA">
      <w:pPr>
        <w:pStyle w:val="ListParagraph"/>
        <w:numPr>
          <w:ilvl w:val="0"/>
          <w:numId w:val="1"/>
        </w:numPr>
        <w:spacing w:line="278" w:lineRule="auto"/>
        <w:rPr>
          <w:rFonts w:ascii="Arial" w:hAnsi="Arial" w:cs="Arial"/>
          <w:sz w:val="20"/>
          <w:szCs w:val="20"/>
        </w:rPr>
      </w:pPr>
      <w:proofErr w:type="spellStart"/>
      <w:r w:rsidRPr="003B5240">
        <w:rPr>
          <w:rFonts w:ascii="Arial" w:hAnsi="Arial" w:cs="Arial"/>
          <w:sz w:val="20"/>
          <w:szCs w:val="20"/>
          <w:lang w:eastAsia="en-IN" w:bidi="kn-IN"/>
        </w:rPr>
        <w:t>Nuwanyakpa</w:t>
      </w:r>
      <w:proofErr w:type="spellEnd"/>
      <w:r w:rsidRPr="003B5240">
        <w:rPr>
          <w:rFonts w:ascii="Arial" w:hAnsi="Arial" w:cs="Arial"/>
          <w:sz w:val="20"/>
          <w:szCs w:val="20"/>
          <w:lang w:eastAsia="en-IN" w:bidi="kn-IN"/>
        </w:rPr>
        <w:t xml:space="preserve">, M., Lukefahr, S. D., Gudahl, D. and </w:t>
      </w:r>
      <w:proofErr w:type="spellStart"/>
      <w:r w:rsidRPr="003B5240">
        <w:rPr>
          <w:rFonts w:ascii="Arial" w:hAnsi="Arial" w:cs="Arial"/>
          <w:sz w:val="20"/>
          <w:szCs w:val="20"/>
          <w:lang w:eastAsia="en-IN" w:bidi="kn-IN"/>
        </w:rPr>
        <w:t>Ngoupayou</w:t>
      </w:r>
      <w:proofErr w:type="spellEnd"/>
      <w:r w:rsidRPr="003B5240">
        <w:rPr>
          <w:rFonts w:ascii="Arial" w:hAnsi="Arial" w:cs="Arial"/>
          <w:sz w:val="20"/>
          <w:szCs w:val="20"/>
          <w:lang w:eastAsia="en-IN" w:bidi="kn-IN"/>
        </w:rPr>
        <w:t xml:space="preserve">, J. D. </w:t>
      </w:r>
      <w:r>
        <w:rPr>
          <w:rFonts w:ascii="Arial" w:hAnsi="Arial" w:cs="Arial"/>
          <w:sz w:val="20"/>
          <w:szCs w:val="20"/>
          <w:lang w:eastAsia="en-IN" w:bidi="kn-IN"/>
        </w:rPr>
        <w:t>(</w:t>
      </w:r>
      <w:r w:rsidRPr="003B5240">
        <w:rPr>
          <w:rFonts w:ascii="Arial" w:hAnsi="Arial" w:cs="Arial"/>
          <w:sz w:val="20"/>
          <w:szCs w:val="20"/>
          <w:lang w:eastAsia="en-IN" w:bidi="kn-IN"/>
        </w:rPr>
        <w:t>1997</w:t>
      </w:r>
      <w:r>
        <w:rPr>
          <w:rFonts w:ascii="Arial" w:hAnsi="Arial" w:cs="Arial"/>
          <w:sz w:val="20"/>
          <w:szCs w:val="20"/>
          <w:lang w:eastAsia="en-IN" w:bidi="kn-IN"/>
        </w:rPr>
        <w:t>)</w:t>
      </w:r>
      <w:r w:rsidRPr="003B5240">
        <w:rPr>
          <w:rFonts w:ascii="Arial" w:hAnsi="Arial" w:cs="Arial"/>
          <w:sz w:val="20"/>
          <w:szCs w:val="20"/>
          <w:lang w:eastAsia="en-IN" w:bidi="kn-IN"/>
        </w:rPr>
        <w:t>. The current stage and future prospects of guinea pig production under smallholder conditions in West Africa; 2. Cameroon case. </w:t>
      </w:r>
      <w:r w:rsidRPr="003B5240">
        <w:rPr>
          <w:rFonts w:ascii="Arial" w:hAnsi="Arial" w:cs="Arial"/>
          <w:i/>
          <w:iCs/>
          <w:sz w:val="20"/>
          <w:szCs w:val="20"/>
          <w:lang w:eastAsia="en-IN" w:bidi="kn-IN"/>
        </w:rPr>
        <w:t>Livestock Research for Rural Development</w:t>
      </w:r>
      <w:r w:rsidRPr="003B5240">
        <w:rPr>
          <w:rFonts w:ascii="Arial" w:hAnsi="Arial" w:cs="Arial"/>
          <w:sz w:val="20"/>
          <w:szCs w:val="20"/>
          <w:lang w:eastAsia="en-IN" w:bidi="kn-IN"/>
        </w:rPr>
        <w:t>, 9(5):10.</w:t>
      </w:r>
    </w:p>
    <w:p w14:paraId="673560F2" w14:textId="77777777" w:rsidR="00F474AA" w:rsidRPr="00312A1D" w:rsidRDefault="00F474AA" w:rsidP="00F474AA">
      <w:pPr>
        <w:pStyle w:val="ListParagraph"/>
        <w:rPr>
          <w:rFonts w:ascii="Arial" w:hAnsi="Arial" w:cs="Arial"/>
          <w:sz w:val="20"/>
          <w:szCs w:val="20"/>
        </w:rPr>
      </w:pPr>
    </w:p>
    <w:p w14:paraId="05D50074" w14:textId="77777777" w:rsidR="00F474AA" w:rsidRPr="00312A1D" w:rsidRDefault="00F474AA" w:rsidP="00F474AA">
      <w:pPr>
        <w:pStyle w:val="ListParagraph"/>
        <w:numPr>
          <w:ilvl w:val="0"/>
          <w:numId w:val="1"/>
        </w:numPr>
        <w:spacing w:line="278" w:lineRule="auto"/>
        <w:rPr>
          <w:rFonts w:ascii="Arial" w:hAnsi="Arial" w:cs="Arial"/>
          <w:sz w:val="20"/>
          <w:szCs w:val="20"/>
        </w:rPr>
      </w:pPr>
      <w:r w:rsidRPr="00312A1D">
        <w:rPr>
          <w:rFonts w:ascii="Arial" w:hAnsi="Arial" w:cs="Arial"/>
          <w:sz w:val="20"/>
          <w:szCs w:val="20"/>
        </w:rPr>
        <w:t>Castro Bedrinana, J. and Chirinos Peinado, D. (2021). Nutritional value of some raw</w:t>
      </w:r>
    </w:p>
    <w:p w14:paraId="577F2221" w14:textId="77777777" w:rsidR="00F474AA" w:rsidRDefault="00F474AA" w:rsidP="00F474AA">
      <w:pPr>
        <w:rPr>
          <w:rFonts w:ascii="Arial" w:hAnsi="Arial" w:cs="Arial"/>
          <w:sz w:val="20"/>
          <w:szCs w:val="20"/>
        </w:rPr>
      </w:pPr>
      <w:r w:rsidRPr="00312A1D">
        <w:rPr>
          <w:rFonts w:ascii="Arial" w:hAnsi="Arial" w:cs="Arial"/>
          <w:sz w:val="20"/>
          <w:szCs w:val="20"/>
        </w:rPr>
        <w:t>materials for guinea pigs (</w:t>
      </w:r>
      <w:r w:rsidRPr="00312A1D">
        <w:rPr>
          <w:rFonts w:ascii="Arial" w:hAnsi="Arial" w:cs="Arial"/>
          <w:i/>
          <w:iCs/>
          <w:sz w:val="20"/>
          <w:szCs w:val="20"/>
        </w:rPr>
        <w:t>Cavia porcellus</w:t>
      </w:r>
      <w:r w:rsidRPr="00312A1D">
        <w:rPr>
          <w:rFonts w:ascii="Arial" w:hAnsi="Arial" w:cs="Arial"/>
          <w:sz w:val="20"/>
          <w:szCs w:val="20"/>
        </w:rPr>
        <w:t>) feeding. </w:t>
      </w:r>
      <w:r w:rsidRPr="00312A1D">
        <w:rPr>
          <w:rFonts w:ascii="Arial" w:hAnsi="Arial" w:cs="Arial"/>
          <w:i/>
          <w:iCs/>
          <w:sz w:val="20"/>
          <w:szCs w:val="20"/>
        </w:rPr>
        <w:t>Translational Animal Science</w:t>
      </w:r>
      <w:r w:rsidRPr="00312A1D">
        <w:rPr>
          <w:rFonts w:ascii="Arial" w:hAnsi="Arial" w:cs="Arial"/>
          <w:sz w:val="20"/>
          <w:szCs w:val="20"/>
        </w:rPr>
        <w:t>, 5(2).</w:t>
      </w:r>
    </w:p>
    <w:p w14:paraId="434D2A79" w14:textId="77777777" w:rsidR="00F474AA" w:rsidRDefault="00F474AA" w:rsidP="00F474AA">
      <w:pPr>
        <w:pStyle w:val="NoSpacing"/>
      </w:pPr>
    </w:p>
    <w:p w14:paraId="02633FAC" w14:textId="77777777" w:rsidR="00F474AA" w:rsidRPr="00312A1D" w:rsidRDefault="00F474AA" w:rsidP="00F474AA">
      <w:pPr>
        <w:pStyle w:val="ListParagraph"/>
        <w:numPr>
          <w:ilvl w:val="0"/>
          <w:numId w:val="1"/>
        </w:numPr>
        <w:spacing w:line="278" w:lineRule="auto"/>
        <w:rPr>
          <w:rFonts w:ascii="Arial" w:hAnsi="Arial" w:cs="Arial"/>
          <w:sz w:val="20"/>
          <w:szCs w:val="20"/>
        </w:rPr>
      </w:pPr>
      <w:r w:rsidRPr="00312A1D">
        <w:rPr>
          <w:rFonts w:ascii="Arial" w:hAnsi="Arial" w:cs="Arial"/>
          <w:sz w:val="20"/>
          <w:szCs w:val="20"/>
        </w:rPr>
        <w:t>Harkness, J.E., Turner, P.V., Vande Wounde, S. and Wheler, C.L. (2010). Harkness and</w:t>
      </w:r>
    </w:p>
    <w:p w14:paraId="348E698D" w14:textId="77777777" w:rsidR="00F474AA" w:rsidRPr="00312A1D" w:rsidRDefault="00F474AA" w:rsidP="00F474AA">
      <w:pPr>
        <w:rPr>
          <w:rFonts w:ascii="Arial" w:hAnsi="Arial" w:cs="Arial"/>
          <w:sz w:val="20"/>
          <w:szCs w:val="20"/>
        </w:rPr>
      </w:pPr>
      <w:proofErr w:type="spellStart"/>
      <w:r w:rsidRPr="00312A1D">
        <w:rPr>
          <w:rFonts w:ascii="Arial" w:hAnsi="Arial" w:cs="Arial"/>
          <w:sz w:val="20"/>
          <w:szCs w:val="20"/>
        </w:rPr>
        <w:t>Wagners</w:t>
      </w:r>
      <w:proofErr w:type="spellEnd"/>
      <w:r w:rsidRPr="00312A1D">
        <w:rPr>
          <w:rFonts w:ascii="Arial" w:hAnsi="Arial" w:cs="Arial"/>
          <w:sz w:val="20"/>
          <w:szCs w:val="20"/>
        </w:rPr>
        <w:t xml:space="preserve"> Biology and medicine of rabbits and rodents 5th Edition. </w:t>
      </w:r>
      <w:r w:rsidRPr="00312A1D">
        <w:rPr>
          <w:rFonts w:ascii="Arial" w:hAnsi="Arial" w:cs="Arial"/>
          <w:i/>
          <w:iCs/>
          <w:sz w:val="20"/>
          <w:szCs w:val="20"/>
        </w:rPr>
        <w:t>Iowa: Blackwell Publishing</w:t>
      </w:r>
      <w:r w:rsidRPr="00312A1D">
        <w:rPr>
          <w:rFonts w:ascii="Arial" w:hAnsi="Arial" w:cs="Arial"/>
          <w:sz w:val="20"/>
          <w:szCs w:val="20"/>
        </w:rPr>
        <w:t>,</w:t>
      </w:r>
    </w:p>
    <w:p w14:paraId="56740550" w14:textId="77777777" w:rsidR="00F474AA" w:rsidRPr="00312A1D" w:rsidRDefault="00F474AA" w:rsidP="00F474AA">
      <w:pPr>
        <w:rPr>
          <w:rFonts w:ascii="Arial" w:hAnsi="Arial" w:cs="Arial"/>
          <w:sz w:val="20"/>
          <w:szCs w:val="20"/>
        </w:rPr>
      </w:pPr>
      <w:r w:rsidRPr="00312A1D">
        <w:rPr>
          <w:rFonts w:ascii="Arial" w:hAnsi="Arial" w:cs="Arial"/>
          <w:sz w:val="20"/>
          <w:szCs w:val="20"/>
        </w:rPr>
        <w:t>23-45.</w:t>
      </w:r>
    </w:p>
    <w:p w14:paraId="3BFCBCA8"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eastAsia="Times New Roman" w:hAnsi="Arial" w:cs="Arial"/>
          <w:sz w:val="20"/>
          <w:szCs w:val="20"/>
          <w:lang w:eastAsia="en-IN" w:bidi="kn-IN"/>
        </w:rPr>
        <w:t>Arias, C.F., Castillo, J., &amp; Salazar, M. 2015. Effects of space allowance on growth</w:t>
      </w:r>
    </w:p>
    <w:p w14:paraId="69DE56C4" w14:textId="77777777" w:rsidR="00F474AA" w:rsidRPr="00312A1D" w:rsidRDefault="00F474AA" w:rsidP="00F474AA">
      <w:pPr>
        <w:rPr>
          <w:rFonts w:ascii="Arial" w:eastAsia="Times New Roman" w:hAnsi="Arial" w:cs="Arial"/>
          <w:i/>
          <w:iCs/>
          <w:sz w:val="20"/>
          <w:szCs w:val="20"/>
          <w:lang w:eastAsia="en-IN" w:bidi="kn-IN"/>
        </w:rPr>
      </w:pPr>
      <w:r w:rsidRPr="00312A1D">
        <w:rPr>
          <w:rFonts w:ascii="Arial" w:eastAsia="Times New Roman" w:hAnsi="Arial" w:cs="Arial"/>
          <w:sz w:val="20"/>
          <w:szCs w:val="20"/>
          <w:lang w:eastAsia="en-IN" w:bidi="kn-IN"/>
        </w:rPr>
        <w:t>performance and welfare of guinea pigs (</w:t>
      </w:r>
      <w:r w:rsidRPr="00312A1D">
        <w:rPr>
          <w:rFonts w:ascii="Arial" w:eastAsia="Times New Roman" w:hAnsi="Arial" w:cs="Arial"/>
          <w:i/>
          <w:iCs/>
          <w:sz w:val="20"/>
          <w:szCs w:val="20"/>
          <w:lang w:eastAsia="en-IN" w:bidi="kn-IN"/>
        </w:rPr>
        <w:t>Cavia porcellus</w:t>
      </w:r>
      <w:r w:rsidRPr="00312A1D">
        <w:rPr>
          <w:rFonts w:ascii="Arial" w:eastAsia="Times New Roman" w:hAnsi="Arial" w:cs="Arial"/>
          <w:sz w:val="20"/>
          <w:szCs w:val="20"/>
          <w:lang w:eastAsia="en-IN" w:bidi="kn-IN"/>
        </w:rPr>
        <w:t xml:space="preserve">). </w:t>
      </w:r>
      <w:r w:rsidRPr="00312A1D">
        <w:rPr>
          <w:rFonts w:ascii="Arial" w:eastAsia="Times New Roman" w:hAnsi="Arial" w:cs="Arial"/>
          <w:i/>
          <w:iCs/>
          <w:sz w:val="20"/>
          <w:szCs w:val="20"/>
          <w:lang w:eastAsia="en-IN" w:bidi="kn-IN"/>
        </w:rPr>
        <w:t>Small Animal Science Journal,</w:t>
      </w:r>
    </w:p>
    <w:p w14:paraId="11B37FF6" w14:textId="77777777" w:rsidR="00F474AA" w:rsidRPr="00312A1D" w:rsidRDefault="00F474AA" w:rsidP="00F474AA">
      <w:pPr>
        <w:rPr>
          <w:rFonts w:ascii="Arial" w:eastAsia="Times New Roman" w:hAnsi="Arial" w:cs="Arial"/>
          <w:sz w:val="20"/>
          <w:szCs w:val="20"/>
          <w:lang w:eastAsia="en-IN" w:bidi="kn-IN"/>
        </w:rPr>
      </w:pPr>
      <w:r w:rsidRPr="00312A1D">
        <w:rPr>
          <w:rFonts w:ascii="Arial" w:eastAsia="Times New Roman" w:hAnsi="Arial" w:cs="Arial"/>
          <w:sz w:val="20"/>
          <w:szCs w:val="20"/>
          <w:lang w:eastAsia="en-IN" w:bidi="kn-IN"/>
        </w:rPr>
        <w:t>42(3),145–152.</w:t>
      </w:r>
    </w:p>
    <w:p w14:paraId="2E40C348" w14:textId="77777777" w:rsidR="00F474AA" w:rsidRPr="003423B8" w:rsidRDefault="00F474AA" w:rsidP="00F474AA">
      <w:pPr>
        <w:pStyle w:val="ListParagraph"/>
        <w:numPr>
          <w:ilvl w:val="0"/>
          <w:numId w:val="1"/>
        </w:numPr>
        <w:spacing w:line="278" w:lineRule="auto"/>
        <w:rPr>
          <w:rFonts w:ascii="Arial" w:eastAsia="Times New Roman" w:hAnsi="Arial" w:cs="Arial"/>
          <w:sz w:val="20"/>
          <w:szCs w:val="20"/>
          <w:lang w:eastAsia="en-IN" w:bidi="kn-IN"/>
        </w:rPr>
      </w:pPr>
      <w:r w:rsidRPr="003423B8">
        <w:rPr>
          <w:rFonts w:ascii="Arial" w:hAnsi="Arial" w:cs="Arial"/>
          <w:sz w:val="20"/>
          <w:szCs w:val="20"/>
        </w:rPr>
        <w:t>EFSA. (2017). Scientific opinion on the welfare of small mammals used as laboratory</w:t>
      </w:r>
    </w:p>
    <w:p w14:paraId="05905C81"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animals. </w:t>
      </w:r>
      <w:r w:rsidRPr="00312A1D">
        <w:rPr>
          <w:rFonts w:ascii="Arial" w:hAnsi="Arial" w:cs="Arial"/>
          <w:i/>
          <w:iCs/>
          <w:sz w:val="20"/>
          <w:szCs w:val="20"/>
        </w:rPr>
        <w:t xml:space="preserve">EFSA Journal, </w:t>
      </w:r>
      <w:r w:rsidRPr="00312A1D">
        <w:rPr>
          <w:rFonts w:ascii="Arial" w:hAnsi="Arial" w:cs="Arial"/>
          <w:sz w:val="20"/>
          <w:szCs w:val="20"/>
        </w:rPr>
        <w:t>15(4), e04619.</w:t>
      </w:r>
    </w:p>
    <w:p w14:paraId="0E396EF3"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 xml:space="preserve">Nemeth, M., Millesi, E., </w:t>
      </w:r>
      <w:proofErr w:type="spellStart"/>
      <w:r w:rsidRPr="003423B8">
        <w:rPr>
          <w:rFonts w:ascii="Arial" w:hAnsi="Arial" w:cs="Arial"/>
          <w:sz w:val="20"/>
          <w:szCs w:val="20"/>
        </w:rPr>
        <w:t>Siutz</w:t>
      </w:r>
      <w:proofErr w:type="spellEnd"/>
      <w:r w:rsidRPr="003423B8">
        <w:rPr>
          <w:rFonts w:ascii="Arial" w:hAnsi="Arial" w:cs="Arial"/>
          <w:sz w:val="20"/>
          <w:szCs w:val="20"/>
        </w:rPr>
        <w:t>, C., Wagner, K.H., Quint, R. and Wallner, B. (2017).</w:t>
      </w:r>
    </w:p>
    <w:p w14:paraId="4C620897"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Reproductive performance and gestational effort in relation to dietary fatty acids in guinea</w:t>
      </w:r>
    </w:p>
    <w:p w14:paraId="67F0580D"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pigs. </w:t>
      </w:r>
      <w:r w:rsidRPr="00312A1D">
        <w:rPr>
          <w:rFonts w:ascii="Arial" w:hAnsi="Arial" w:cs="Arial"/>
          <w:i/>
          <w:iCs/>
          <w:sz w:val="20"/>
          <w:szCs w:val="20"/>
        </w:rPr>
        <w:t>Journal of Animal Science and Biotechnology</w:t>
      </w:r>
      <w:r w:rsidRPr="00312A1D">
        <w:rPr>
          <w:rFonts w:ascii="Arial" w:hAnsi="Arial" w:cs="Arial"/>
          <w:sz w:val="20"/>
          <w:szCs w:val="20"/>
        </w:rPr>
        <w:t>,</w:t>
      </w:r>
      <w:r w:rsidRPr="00312A1D">
        <w:rPr>
          <w:rFonts w:ascii="Arial" w:hAnsi="Arial" w:cs="Arial"/>
          <w:b/>
          <w:bCs/>
          <w:sz w:val="20"/>
          <w:szCs w:val="20"/>
        </w:rPr>
        <w:t> </w:t>
      </w:r>
      <w:r w:rsidRPr="00312A1D">
        <w:rPr>
          <w:rFonts w:ascii="Arial" w:hAnsi="Arial" w:cs="Arial"/>
          <w:sz w:val="20"/>
          <w:szCs w:val="20"/>
        </w:rPr>
        <w:t>8(1), 28.</w:t>
      </w:r>
    </w:p>
    <w:p w14:paraId="0A6EEAB4"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Czarnecki, R. and Adamski, M., (2016). Factors influencing litter size and birthweight in the</w:t>
      </w:r>
    </w:p>
    <w:p w14:paraId="5C2EB828" w14:textId="77777777" w:rsidR="00F474AA" w:rsidRPr="00312A1D" w:rsidRDefault="00F474AA" w:rsidP="00F474AA">
      <w:pPr>
        <w:rPr>
          <w:rFonts w:ascii="Arial" w:hAnsi="Arial" w:cs="Arial"/>
          <w:i/>
          <w:iCs/>
          <w:sz w:val="20"/>
          <w:szCs w:val="20"/>
        </w:rPr>
      </w:pPr>
      <w:r w:rsidRPr="00312A1D">
        <w:rPr>
          <w:rFonts w:ascii="Arial" w:hAnsi="Arial" w:cs="Arial"/>
          <w:sz w:val="20"/>
          <w:szCs w:val="20"/>
        </w:rPr>
        <w:t xml:space="preserve"> newborn long-haired guinea pigs (</w:t>
      </w:r>
      <w:r w:rsidRPr="00312A1D">
        <w:rPr>
          <w:rFonts w:ascii="Arial" w:hAnsi="Arial" w:cs="Arial"/>
          <w:i/>
          <w:iCs/>
          <w:sz w:val="20"/>
          <w:szCs w:val="20"/>
        </w:rPr>
        <w:t>Cavia aperea f.</w:t>
      </w:r>
      <w:r w:rsidRPr="00312A1D">
        <w:rPr>
          <w:rFonts w:ascii="Arial" w:hAnsi="Arial" w:cs="Arial"/>
          <w:sz w:val="20"/>
          <w:szCs w:val="20"/>
        </w:rPr>
        <w:t xml:space="preserve"> </w:t>
      </w:r>
      <w:r w:rsidRPr="00312A1D">
        <w:rPr>
          <w:rFonts w:ascii="Arial" w:hAnsi="Arial" w:cs="Arial"/>
          <w:i/>
          <w:iCs/>
          <w:sz w:val="20"/>
          <w:szCs w:val="20"/>
        </w:rPr>
        <w:t>porcellus</w:t>
      </w:r>
      <w:r w:rsidRPr="00312A1D">
        <w:rPr>
          <w:rFonts w:ascii="Arial" w:hAnsi="Arial" w:cs="Arial"/>
          <w:sz w:val="20"/>
          <w:szCs w:val="20"/>
        </w:rPr>
        <w:t>). </w:t>
      </w:r>
      <w:r w:rsidRPr="00312A1D">
        <w:rPr>
          <w:rFonts w:ascii="Arial" w:hAnsi="Arial" w:cs="Arial"/>
          <w:i/>
          <w:iCs/>
          <w:sz w:val="20"/>
          <w:szCs w:val="20"/>
        </w:rPr>
        <w:t>Journal of applied animal</w:t>
      </w:r>
    </w:p>
    <w:p w14:paraId="075BBC4A" w14:textId="77777777" w:rsidR="00F474AA" w:rsidRPr="00312A1D" w:rsidRDefault="00F474AA" w:rsidP="00F474AA">
      <w:pPr>
        <w:rPr>
          <w:rFonts w:ascii="Arial" w:hAnsi="Arial" w:cs="Arial"/>
          <w:sz w:val="20"/>
          <w:szCs w:val="20"/>
        </w:rPr>
      </w:pPr>
      <w:r w:rsidRPr="00312A1D">
        <w:rPr>
          <w:rFonts w:ascii="Arial" w:hAnsi="Arial" w:cs="Arial"/>
          <w:i/>
          <w:iCs/>
          <w:sz w:val="20"/>
          <w:szCs w:val="20"/>
        </w:rPr>
        <w:lastRenderedPageBreak/>
        <w:t xml:space="preserve"> research</w:t>
      </w:r>
      <w:r w:rsidRPr="00312A1D">
        <w:rPr>
          <w:rFonts w:ascii="Arial" w:hAnsi="Arial" w:cs="Arial"/>
          <w:sz w:val="20"/>
          <w:szCs w:val="20"/>
        </w:rPr>
        <w:t>, 44(1), 71-76.</w:t>
      </w:r>
    </w:p>
    <w:p w14:paraId="6553099E"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 xml:space="preserve">National Research Council (NRC), (1995). </w:t>
      </w:r>
      <w:r w:rsidRPr="003423B8">
        <w:rPr>
          <w:rFonts w:ascii="Arial" w:hAnsi="Arial" w:cs="Arial"/>
          <w:i/>
          <w:iCs/>
          <w:sz w:val="20"/>
          <w:szCs w:val="20"/>
        </w:rPr>
        <w:t>Nutrient Requirements of Laboratory Animals:</w:t>
      </w:r>
    </w:p>
    <w:p w14:paraId="3DA4EF14" w14:textId="77777777" w:rsidR="00F474AA" w:rsidRPr="00312A1D" w:rsidRDefault="00F474AA" w:rsidP="00F474AA">
      <w:pPr>
        <w:rPr>
          <w:rFonts w:ascii="Arial" w:hAnsi="Arial" w:cs="Arial"/>
          <w:sz w:val="20"/>
          <w:szCs w:val="20"/>
        </w:rPr>
      </w:pPr>
      <w:r w:rsidRPr="00312A1D">
        <w:rPr>
          <w:rFonts w:ascii="Arial" w:hAnsi="Arial" w:cs="Arial"/>
          <w:i/>
          <w:iCs/>
          <w:sz w:val="20"/>
          <w:szCs w:val="20"/>
        </w:rPr>
        <w:t xml:space="preserve"> Fourth Revised Edition, 1995</w:t>
      </w:r>
      <w:r w:rsidRPr="00312A1D">
        <w:rPr>
          <w:rFonts w:ascii="Arial" w:hAnsi="Arial" w:cs="Arial"/>
          <w:sz w:val="20"/>
          <w:szCs w:val="20"/>
        </w:rPr>
        <w:t>. Washington, DC: National Academies Press.</w:t>
      </w:r>
    </w:p>
    <w:p w14:paraId="7B74B5B1"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 xml:space="preserve">Genzer, S. C., </w:t>
      </w:r>
      <w:proofErr w:type="spellStart"/>
      <w:r w:rsidRPr="003423B8">
        <w:rPr>
          <w:rFonts w:ascii="Arial" w:hAnsi="Arial" w:cs="Arial"/>
          <w:sz w:val="20"/>
          <w:szCs w:val="20"/>
        </w:rPr>
        <w:t>Flietstra</w:t>
      </w:r>
      <w:proofErr w:type="spellEnd"/>
      <w:r w:rsidRPr="003423B8">
        <w:rPr>
          <w:rFonts w:ascii="Arial" w:hAnsi="Arial" w:cs="Arial"/>
          <w:sz w:val="20"/>
          <w:szCs w:val="20"/>
        </w:rPr>
        <w:t>, T., Coleman-McCray, J. D., Tansey, C., and Welch, S. R., (2021).</w:t>
      </w:r>
    </w:p>
    <w:p w14:paraId="476B48ED"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Effect of parental age, parity, and pairing approach on reproduction in strain 13/N guinea pigs</w:t>
      </w:r>
    </w:p>
    <w:p w14:paraId="79D98F39"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w:t>
      </w:r>
      <w:r w:rsidRPr="00312A1D">
        <w:rPr>
          <w:rFonts w:ascii="Arial" w:hAnsi="Arial" w:cs="Arial"/>
          <w:i/>
          <w:iCs/>
          <w:sz w:val="20"/>
          <w:szCs w:val="20"/>
        </w:rPr>
        <w:t>Cavia porcellus</w:t>
      </w:r>
      <w:r w:rsidRPr="00312A1D">
        <w:rPr>
          <w:rFonts w:ascii="Arial" w:hAnsi="Arial" w:cs="Arial"/>
          <w:sz w:val="20"/>
          <w:szCs w:val="20"/>
        </w:rPr>
        <w:t xml:space="preserve">). </w:t>
      </w:r>
      <w:r w:rsidRPr="00312A1D">
        <w:rPr>
          <w:rFonts w:ascii="Arial" w:hAnsi="Arial" w:cs="Arial"/>
          <w:i/>
          <w:iCs/>
          <w:sz w:val="20"/>
          <w:szCs w:val="20"/>
        </w:rPr>
        <w:t>Journal of the American Association for Laboratory Animal Science</w:t>
      </w:r>
      <w:r w:rsidRPr="00312A1D">
        <w:rPr>
          <w:rFonts w:ascii="Arial" w:hAnsi="Arial" w:cs="Arial"/>
          <w:sz w:val="20"/>
          <w:szCs w:val="20"/>
        </w:rPr>
        <w:t>, 60(2):</w:t>
      </w:r>
    </w:p>
    <w:p w14:paraId="2A5889D3"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183-191.</w:t>
      </w:r>
    </w:p>
    <w:p w14:paraId="21AC30E8"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Donoso, G., Galecio, J. S., Fuentes-Quisaguano, O. G. and Pairis-Garcia, M., (2025).</w:t>
      </w:r>
    </w:p>
    <w:p w14:paraId="65DCF22C"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Guinea pig meat production in South America: Reviewing existing practices, welfare</w:t>
      </w:r>
    </w:p>
    <w:p w14:paraId="68435D2C"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 challenges, and opportunities. </w:t>
      </w:r>
      <w:r w:rsidRPr="00312A1D">
        <w:rPr>
          <w:rFonts w:ascii="Arial" w:hAnsi="Arial" w:cs="Arial"/>
          <w:i/>
          <w:iCs/>
          <w:sz w:val="20"/>
          <w:szCs w:val="20"/>
        </w:rPr>
        <w:t>Animal Welfare</w:t>
      </w:r>
      <w:r w:rsidRPr="00312A1D">
        <w:rPr>
          <w:rFonts w:ascii="Arial" w:hAnsi="Arial" w:cs="Arial"/>
          <w:sz w:val="20"/>
          <w:szCs w:val="20"/>
        </w:rPr>
        <w:t>, 34:29.</w:t>
      </w:r>
    </w:p>
    <w:p w14:paraId="7B5A3CFE"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Michel, C. L., and Bonnet, X. (2012). Influence of body condition on reproductive output</w:t>
      </w:r>
    </w:p>
    <w:p w14:paraId="4FE2DE93" w14:textId="77777777" w:rsidR="00F474AA" w:rsidRPr="00312A1D" w:rsidRDefault="00F474AA" w:rsidP="00F474AA">
      <w:pPr>
        <w:rPr>
          <w:rFonts w:ascii="Arial" w:hAnsi="Arial" w:cs="Arial"/>
          <w:sz w:val="20"/>
          <w:szCs w:val="20"/>
        </w:rPr>
      </w:pPr>
      <w:r w:rsidRPr="00312A1D">
        <w:rPr>
          <w:rFonts w:ascii="Arial" w:hAnsi="Arial" w:cs="Arial"/>
          <w:sz w:val="20"/>
          <w:szCs w:val="20"/>
        </w:rPr>
        <w:t xml:space="preserve">in the guinea pig. </w:t>
      </w:r>
      <w:r w:rsidRPr="00312A1D">
        <w:rPr>
          <w:rFonts w:ascii="Arial" w:hAnsi="Arial" w:cs="Arial"/>
          <w:i/>
          <w:iCs/>
          <w:sz w:val="20"/>
          <w:szCs w:val="20"/>
        </w:rPr>
        <w:t xml:space="preserve">Journal of Experimental Biology, </w:t>
      </w:r>
      <w:r w:rsidRPr="00312A1D">
        <w:rPr>
          <w:rFonts w:ascii="Arial" w:hAnsi="Arial" w:cs="Arial"/>
          <w:sz w:val="20"/>
          <w:szCs w:val="20"/>
        </w:rPr>
        <w:t>215,144–152.</w:t>
      </w:r>
    </w:p>
    <w:p w14:paraId="4D818272" w14:textId="77777777" w:rsidR="00F474AA" w:rsidRPr="003423B8" w:rsidRDefault="00F474AA" w:rsidP="00F474AA">
      <w:pPr>
        <w:pStyle w:val="ListParagraph"/>
        <w:numPr>
          <w:ilvl w:val="0"/>
          <w:numId w:val="1"/>
        </w:numPr>
        <w:spacing w:line="278" w:lineRule="auto"/>
        <w:rPr>
          <w:rFonts w:ascii="Arial" w:hAnsi="Arial" w:cs="Arial"/>
          <w:sz w:val="20"/>
          <w:szCs w:val="20"/>
        </w:rPr>
      </w:pPr>
      <w:r w:rsidRPr="003423B8">
        <w:rPr>
          <w:rFonts w:ascii="Arial" w:hAnsi="Arial" w:cs="Arial"/>
          <w:sz w:val="20"/>
          <w:szCs w:val="20"/>
        </w:rPr>
        <w:t>Herrera, A., Nino, J. A., Torrel, T., Vargas Rocha, L. A. (2024). Feed intake and growth</w:t>
      </w:r>
    </w:p>
    <w:p w14:paraId="7C762F78" w14:textId="77777777" w:rsidR="00F474AA" w:rsidRPr="00312A1D" w:rsidRDefault="00F474AA" w:rsidP="00F474AA">
      <w:pPr>
        <w:rPr>
          <w:rFonts w:ascii="Arial" w:hAnsi="Arial" w:cs="Arial"/>
          <w:i/>
          <w:iCs/>
          <w:sz w:val="20"/>
          <w:szCs w:val="20"/>
        </w:rPr>
      </w:pPr>
      <w:r w:rsidRPr="00312A1D">
        <w:rPr>
          <w:rFonts w:ascii="Arial" w:hAnsi="Arial" w:cs="Arial"/>
          <w:sz w:val="20"/>
          <w:szCs w:val="20"/>
        </w:rPr>
        <w:t xml:space="preserve"> performance of guinea pigs fed different forage and concentrate combinations. </w:t>
      </w:r>
      <w:proofErr w:type="spellStart"/>
      <w:r w:rsidRPr="00312A1D">
        <w:rPr>
          <w:rFonts w:ascii="Arial" w:hAnsi="Arial" w:cs="Arial"/>
          <w:i/>
          <w:iCs/>
          <w:sz w:val="20"/>
          <w:szCs w:val="20"/>
        </w:rPr>
        <w:t>Revista</w:t>
      </w:r>
      <w:proofErr w:type="spellEnd"/>
      <w:r w:rsidRPr="00312A1D">
        <w:rPr>
          <w:rFonts w:ascii="Arial" w:hAnsi="Arial" w:cs="Arial"/>
          <w:i/>
          <w:iCs/>
          <w:sz w:val="20"/>
          <w:szCs w:val="20"/>
        </w:rPr>
        <w:t xml:space="preserve"> de</w:t>
      </w:r>
    </w:p>
    <w:p w14:paraId="5D08098D" w14:textId="77777777" w:rsidR="00F474AA" w:rsidRPr="00312A1D" w:rsidRDefault="00F474AA" w:rsidP="00F474AA">
      <w:pPr>
        <w:rPr>
          <w:rFonts w:ascii="Arial" w:hAnsi="Arial" w:cs="Arial"/>
          <w:sz w:val="20"/>
          <w:szCs w:val="20"/>
        </w:rPr>
      </w:pPr>
      <w:proofErr w:type="spellStart"/>
      <w:r w:rsidRPr="00312A1D">
        <w:rPr>
          <w:rFonts w:ascii="Arial" w:hAnsi="Arial" w:cs="Arial"/>
          <w:i/>
          <w:iCs/>
          <w:sz w:val="20"/>
          <w:szCs w:val="20"/>
        </w:rPr>
        <w:t>Investigaciones</w:t>
      </w:r>
      <w:proofErr w:type="spellEnd"/>
      <w:r w:rsidRPr="00312A1D">
        <w:rPr>
          <w:rFonts w:ascii="Arial" w:hAnsi="Arial" w:cs="Arial"/>
          <w:i/>
          <w:iCs/>
          <w:sz w:val="20"/>
          <w:szCs w:val="20"/>
        </w:rPr>
        <w:t xml:space="preserve"> </w:t>
      </w:r>
      <w:proofErr w:type="spellStart"/>
      <w:r w:rsidRPr="00312A1D">
        <w:rPr>
          <w:rFonts w:ascii="Arial" w:hAnsi="Arial" w:cs="Arial"/>
          <w:i/>
          <w:iCs/>
          <w:sz w:val="20"/>
          <w:szCs w:val="20"/>
        </w:rPr>
        <w:t>Veterinarias</w:t>
      </w:r>
      <w:proofErr w:type="spellEnd"/>
      <w:r w:rsidRPr="00312A1D">
        <w:rPr>
          <w:rFonts w:ascii="Arial" w:hAnsi="Arial" w:cs="Arial"/>
          <w:i/>
          <w:iCs/>
          <w:sz w:val="20"/>
          <w:szCs w:val="20"/>
        </w:rPr>
        <w:t xml:space="preserve"> del Perú</w:t>
      </w:r>
      <w:r w:rsidRPr="00312A1D">
        <w:rPr>
          <w:rFonts w:ascii="Arial" w:hAnsi="Arial" w:cs="Arial"/>
          <w:sz w:val="20"/>
          <w:szCs w:val="20"/>
        </w:rPr>
        <w:t>, 35(3), 155-160.</w:t>
      </w:r>
    </w:p>
    <w:p w14:paraId="186342E9" w14:textId="77777777" w:rsidR="00F474AA" w:rsidRPr="00312A1D" w:rsidRDefault="00F474AA" w:rsidP="00F474AA">
      <w:pPr>
        <w:rPr>
          <w:rFonts w:ascii="Arial" w:hAnsi="Arial" w:cs="Arial"/>
          <w:sz w:val="20"/>
          <w:szCs w:val="20"/>
        </w:rPr>
      </w:pPr>
    </w:p>
    <w:p w14:paraId="330AB292" w14:textId="77777777" w:rsidR="00F474AA" w:rsidRPr="00312A1D" w:rsidRDefault="00F474AA" w:rsidP="00F474AA">
      <w:pPr>
        <w:rPr>
          <w:rFonts w:ascii="Arial" w:hAnsi="Arial" w:cs="Arial"/>
          <w:sz w:val="20"/>
          <w:szCs w:val="20"/>
        </w:rPr>
      </w:pPr>
    </w:p>
    <w:p w14:paraId="3C716148" w14:textId="77777777" w:rsidR="00F474AA" w:rsidRDefault="00F474AA" w:rsidP="00F474AA">
      <w:pPr>
        <w:spacing w:after="0" w:line="432" w:lineRule="auto"/>
        <w:ind w:left="993" w:hanging="993"/>
        <w:jc w:val="both"/>
        <w:rPr>
          <w:rFonts w:ascii="Times New Roman" w:hAnsi="Times New Roman" w:cs="Times New Roman"/>
          <w:sz w:val="24"/>
          <w:szCs w:val="24"/>
        </w:rPr>
      </w:pPr>
    </w:p>
    <w:p w14:paraId="64ADE39E" w14:textId="77777777" w:rsidR="00F474AA" w:rsidRDefault="00F474AA" w:rsidP="00F474AA">
      <w:pPr>
        <w:spacing w:after="0" w:line="432" w:lineRule="auto"/>
        <w:ind w:left="993" w:hanging="993"/>
        <w:jc w:val="both"/>
        <w:rPr>
          <w:rFonts w:ascii="Times New Roman" w:hAnsi="Times New Roman" w:cs="Times New Roman"/>
          <w:sz w:val="24"/>
          <w:szCs w:val="24"/>
        </w:rPr>
      </w:pPr>
    </w:p>
    <w:p w14:paraId="7E0203C7" w14:textId="77777777" w:rsidR="00F474AA" w:rsidRDefault="00F474AA" w:rsidP="00F474AA">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2E57F243" w14:textId="77777777" w:rsidR="00F474AA" w:rsidRDefault="00F474AA" w:rsidP="00F474AA">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7EF5CFAD" w14:textId="77777777" w:rsidR="00F474AA" w:rsidRDefault="00F474AA" w:rsidP="00F474AA">
      <w:pPr>
        <w:spacing w:after="0" w:line="432" w:lineRule="auto"/>
        <w:ind w:left="993" w:hanging="993"/>
        <w:jc w:val="both"/>
        <w:rPr>
          <w:rFonts w:ascii="Times New Roman" w:hAnsi="Times New Roman" w:cs="Times New Roman"/>
          <w:sz w:val="24"/>
          <w:szCs w:val="24"/>
        </w:rPr>
      </w:pPr>
    </w:p>
    <w:p w14:paraId="372D09CC" w14:textId="77777777" w:rsidR="00F474AA" w:rsidRDefault="00F474AA" w:rsidP="00F474AA">
      <w:pPr>
        <w:spacing w:after="0" w:line="432" w:lineRule="auto"/>
        <w:ind w:left="993" w:hanging="993"/>
        <w:jc w:val="both"/>
        <w:rPr>
          <w:rFonts w:ascii="Times New Roman" w:hAnsi="Times New Roman" w:cs="Times New Roman"/>
          <w:sz w:val="24"/>
          <w:szCs w:val="24"/>
        </w:rPr>
      </w:pPr>
    </w:p>
    <w:p w14:paraId="55DDAAF4" w14:textId="77777777" w:rsidR="00F474AA" w:rsidRPr="00E22932" w:rsidRDefault="00F474AA" w:rsidP="00F474AA">
      <w:pPr>
        <w:spacing w:line="432" w:lineRule="auto"/>
        <w:ind w:left="993" w:hanging="1134"/>
        <w:jc w:val="both"/>
        <w:rPr>
          <w:rFonts w:ascii="Times New Roman" w:eastAsia="Times New Roman" w:hAnsi="Times New Roman" w:cs="Times New Roman"/>
          <w:sz w:val="24"/>
          <w:szCs w:val="24"/>
          <w:lang w:eastAsia="en-IN" w:bidi="kn-IN"/>
        </w:rPr>
      </w:pPr>
    </w:p>
    <w:p w14:paraId="33F4364C" w14:textId="77777777" w:rsidR="00F474AA" w:rsidRDefault="00F474AA" w:rsidP="00F474AA">
      <w:pPr>
        <w:spacing w:after="0" w:line="432" w:lineRule="auto"/>
        <w:ind w:left="993" w:hanging="993"/>
        <w:jc w:val="both"/>
        <w:rPr>
          <w:rFonts w:ascii="Times New Roman" w:hAnsi="Times New Roman" w:cs="Times New Roman"/>
          <w:sz w:val="24"/>
          <w:szCs w:val="24"/>
        </w:rPr>
      </w:pPr>
    </w:p>
    <w:p w14:paraId="3AD3CB6A" w14:textId="77777777" w:rsidR="00F474AA" w:rsidRPr="00281C9F" w:rsidRDefault="00F474AA" w:rsidP="00F474AA">
      <w:pPr>
        <w:pStyle w:val="NormalWeb"/>
        <w:rPr>
          <w:rFonts w:ascii="Arial" w:hAnsi="Arial" w:cs="Arial"/>
          <w:b/>
          <w:caps/>
          <w:sz w:val="22"/>
          <w:szCs w:val="22"/>
        </w:rPr>
      </w:pPr>
    </w:p>
    <w:p w14:paraId="6A2F781F" w14:textId="77777777" w:rsidR="00F474AA" w:rsidRPr="00A73B6C" w:rsidRDefault="00F474AA" w:rsidP="00F474AA">
      <w:pPr>
        <w:pStyle w:val="NormalWeb"/>
        <w:ind w:firstLine="720"/>
        <w:rPr>
          <w:rFonts w:ascii="Arial" w:hAnsi="Arial" w:cs="Arial"/>
          <w:color w:val="222222"/>
          <w:sz w:val="20"/>
          <w:szCs w:val="20"/>
          <w:shd w:val="clear" w:color="auto" w:fill="FFFFFF"/>
        </w:rPr>
      </w:pPr>
    </w:p>
    <w:p w14:paraId="3A203C91" w14:textId="77777777" w:rsidR="00F474AA" w:rsidRPr="00A73B6C" w:rsidRDefault="00F474AA" w:rsidP="00F474AA">
      <w:pPr>
        <w:pStyle w:val="NormalWeb"/>
        <w:ind w:firstLine="720"/>
        <w:rPr>
          <w:rFonts w:ascii="Arial" w:hAnsi="Arial" w:cs="Arial"/>
          <w:b/>
          <w:caps/>
          <w:sz w:val="28"/>
          <w:szCs w:val="28"/>
        </w:rPr>
      </w:pPr>
    </w:p>
    <w:p w14:paraId="01C05175" w14:textId="77777777" w:rsidR="00F474AA" w:rsidRPr="00A73B6C" w:rsidRDefault="00F474AA" w:rsidP="00F474AA">
      <w:pPr>
        <w:ind w:firstLine="720"/>
        <w:jc w:val="both"/>
        <w:rPr>
          <w:rFonts w:ascii="Arial" w:hAnsi="Arial" w:cs="Arial"/>
          <w:sz w:val="24"/>
          <w:szCs w:val="24"/>
        </w:rPr>
      </w:pPr>
    </w:p>
    <w:p w14:paraId="4A01B39F" w14:textId="77777777" w:rsidR="00F474AA" w:rsidRPr="005221AD" w:rsidRDefault="00F474AA" w:rsidP="00F474AA"/>
    <w:p w14:paraId="5A86CFF7" w14:textId="77777777" w:rsidR="004929C3" w:rsidRDefault="004929C3"/>
    <w:sectPr w:rsidR="00492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E7451"/>
    <w:multiLevelType w:val="hybridMultilevel"/>
    <w:tmpl w:val="78D62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76"/>
    <w:rsid w:val="0006136D"/>
    <w:rsid w:val="004929C3"/>
    <w:rsid w:val="005C5E64"/>
    <w:rsid w:val="00CD0400"/>
    <w:rsid w:val="00D66D7A"/>
    <w:rsid w:val="00E21A72"/>
    <w:rsid w:val="00E57176"/>
    <w:rsid w:val="00E82A53"/>
    <w:rsid w:val="00F474AA"/>
    <w:rsid w:val="00F77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4BF0"/>
  <w15:chartTrackingRefBased/>
  <w15:docId w15:val="{3C0B0559-F195-4112-810E-5B99219D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4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57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176"/>
    <w:rPr>
      <w:rFonts w:eastAsiaTheme="majorEastAsia" w:cstheme="majorBidi"/>
      <w:color w:val="272727" w:themeColor="text1" w:themeTint="D8"/>
    </w:rPr>
  </w:style>
  <w:style w:type="paragraph" w:styleId="Title">
    <w:name w:val="Title"/>
    <w:basedOn w:val="Normal"/>
    <w:next w:val="Normal"/>
    <w:link w:val="TitleChar"/>
    <w:uiPriority w:val="10"/>
    <w:qFormat/>
    <w:rsid w:val="00E5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176"/>
    <w:pPr>
      <w:spacing w:before="160"/>
      <w:jc w:val="center"/>
    </w:pPr>
    <w:rPr>
      <w:i/>
      <w:iCs/>
      <w:color w:val="404040" w:themeColor="text1" w:themeTint="BF"/>
    </w:rPr>
  </w:style>
  <w:style w:type="character" w:customStyle="1" w:styleId="QuoteChar">
    <w:name w:val="Quote Char"/>
    <w:basedOn w:val="DefaultParagraphFont"/>
    <w:link w:val="Quote"/>
    <w:uiPriority w:val="29"/>
    <w:rsid w:val="00E57176"/>
    <w:rPr>
      <w:i/>
      <w:iCs/>
      <w:color w:val="404040" w:themeColor="text1" w:themeTint="BF"/>
    </w:rPr>
  </w:style>
  <w:style w:type="paragraph" w:styleId="ListParagraph">
    <w:name w:val="List Paragraph"/>
    <w:basedOn w:val="Normal"/>
    <w:uiPriority w:val="34"/>
    <w:qFormat/>
    <w:rsid w:val="00E57176"/>
    <w:pPr>
      <w:ind w:left="720"/>
      <w:contextualSpacing/>
    </w:pPr>
  </w:style>
  <w:style w:type="character" w:styleId="IntenseEmphasis">
    <w:name w:val="Intense Emphasis"/>
    <w:basedOn w:val="DefaultParagraphFont"/>
    <w:uiPriority w:val="21"/>
    <w:qFormat/>
    <w:rsid w:val="00E57176"/>
    <w:rPr>
      <w:i/>
      <w:iCs/>
      <w:color w:val="2F5496" w:themeColor="accent1" w:themeShade="BF"/>
    </w:rPr>
  </w:style>
  <w:style w:type="paragraph" w:styleId="IntenseQuote">
    <w:name w:val="Intense Quote"/>
    <w:basedOn w:val="Normal"/>
    <w:next w:val="Normal"/>
    <w:link w:val="IntenseQuoteChar"/>
    <w:uiPriority w:val="30"/>
    <w:qFormat/>
    <w:rsid w:val="00E57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176"/>
    <w:rPr>
      <w:i/>
      <w:iCs/>
      <w:color w:val="2F5496" w:themeColor="accent1" w:themeShade="BF"/>
    </w:rPr>
  </w:style>
  <w:style w:type="character" w:styleId="IntenseReference">
    <w:name w:val="Intense Reference"/>
    <w:basedOn w:val="DefaultParagraphFont"/>
    <w:uiPriority w:val="32"/>
    <w:qFormat/>
    <w:rsid w:val="00E57176"/>
    <w:rPr>
      <w:b/>
      <w:bCs/>
      <w:smallCaps/>
      <w:color w:val="2F5496" w:themeColor="accent1" w:themeShade="BF"/>
      <w:spacing w:val="5"/>
    </w:rPr>
  </w:style>
  <w:style w:type="paragraph" w:styleId="NormalWeb">
    <w:name w:val="Normal (Web)"/>
    <w:basedOn w:val="Normal"/>
    <w:uiPriority w:val="99"/>
    <w:unhideWhenUsed/>
    <w:rsid w:val="00F474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474AA"/>
    <w:rPr>
      <w:b/>
      <w:bCs/>
    </w:rPr>
  </w:style>
  <w:style w:type="character" w:styleId="Emphasis">
    <w:name w:val="Emphasis"/>
    <w:basedOn w:val="DefaultParagraphFont"/>
    <w:uiPriority w:val="20"/>
    <w:qFormat/>
    <w:rsid w:val="00F474AA"/>
    <w:rPr>
      <w:i/>
      <w:iCs/>
    </w:rPr>
  </w:style>
  <w:style w:type="paragraph" w:styleId="NoSpacing">
    <w:name w:val="No Spacing"/>
    <w:uiPriority w:val="1"/>
    <w:qFormat/>
    <w:rsid w:val="00F474A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NIKA%20B%20A\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T1</c:v>
                </c:pt>
              </c:strCache>
            </c:strRef>
          </c:tx>
          <c:spPr>
            <a:solidFill>
              <a:schemeClr val="accent1"/>
            </a:solidFill>
            <a:ln>
              <a:noFill/>
            </a:ln>
            <a:effectLst/>
          </c:spPr>
          <c:invertIfNegative val="0"/>
          <c:errBars>
            <c:errBarType val="both"/>
            <c:errValType val="cust"/>
            <c:noEndCap val="0"/>
            <c:plus>
              <c:numRef>
                <c:f>Sheet2!$G$3:$G$25</c:f>
                <c:numCache>
                  <c:formatCode>General</c:formatCode>
                  <c:ptCount val="23"/>
                  <c:pt idx="0">
                    <c:v>7.8090000000000002</c:v>
                  </c:pt>
                  <c:pt idx="1">
                    <c:v>7.7190000000000003</c:v>
                  </c:pt>
                  <c:pt idx="2">
                    <c:v>7.7039999999999997</c:v>
                  </c:pt>
                  <c:pt idx="3">
                    <c:v>7.3220000000000001</c:v>
                  </c:pt>
                  <c:pt idx="4">
                    <c:v>8.0559999999999992</c:v>
                  </c:pt>
                  <c:pt idx="5">
                    <c:v>9.2769999999999992</c:v>
                  </c:pt>
                  <c:pt idx="6">
                    <c:v>9.0589999999999993</c:v>
                  </c:pt>
                  <c:pt idx="7">
                    <c:v>8.6929999999999996</c:v>
                  </c:pt>
                  <c:pt idx="8">
                    <c:v>8.7210000000000001</c:v>
                  </c:pt>
                  <c:pt idx="9">
                    <c:v>9.1630000000000003</c:v>
                  </c:pt>
                  <c:pt idx="10">
                    <c:v>8.5540000000000003</c:v>
                  </c:pt>
                  <c:pt idx="11">
                    <c:v>10.17</c:v>
                  </c:pt>
                  <c:pt idx="12">
                    <c:v>12.92</c:v>
                  </c:pt>
                  <c:pt idx="13">
                    <c:v>14.87</c:v>
                  </c:pt>
                  <c:pt idx="14">
                    <c:v>15.74</c:v>
                  </c:pt>
                  <c:pt idx="15">
                    <c:v>16.18</c:v>
                  </c:pt>
                  <c:pt idx="16">
                    <c:v>6.42</c:v>
                  </c:pt>
                  <c:pt idx="17">
                    <c:v>23.29</c:v>
                  </c:pt>
                  <c:pt idx="18">
                    <c:v>20.260000000000002</c:v>
                  </c:pt>
                  <c:pt idx="19">
                    <c:v>10.98</c:v>
                  </c:pt>
                  <c:pt idx="20">
                    <c:v>10.26</c:v>
                  </c:pt>
                  <c:pt idx="21">
                    <c:v>7.5259999999999998</c:v>
                  </c:pt>
                  <c:pt idx="22">
                    <c:v>8.5429999999999993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Sheet2!$C$3:$C$25</c:f>
              <c:numCache>
                <c:formatCode>General</c:formatCode>
                <c:ptCount val="23"/>
                <c:pt idx="0">
                  <c:v>184.4</c:v>
                </c:pt>
                <c:pt idx="1">
                  <c:v>209.3</c:v>
                </c:pt>
                <c:pt idx="2">
                  <c:v>226.7</c:v>
                </c:pt>
                <c:pt idx="3">
                  <c:v>246.2</c:v>
                </c:pt>
                <c:pt idx="4">
                  <c:v>278.3</c:v>
                </c:pt>
                <c:pt idx="5">
                  <c:v>312.3</c:v>
                </c:pt>
                <c:pt idx="6">
                  <c:v>343.8</c:v>
                </c:pt>
                <c:pt idx="7">
                  <c:v>372.8</c:v>
                </c:pt>
                <c:pt idx="8">
                  <c:v>394.2</c:v>
                </c:pt>
                <c:pt idx="9">
                  <c:v>425.2</c:v>
                </c:pt>
                <c:pt idx="10">
                  <c:v>458</c:v>
                </c:pt>
                <c:pt idx="11">
                  <c:v>489.4</c:v>
                </c:pt>
                <c:pt idx="12">
                  <c:v>523.6</c:v>
                </c:pt>
                <c:pt idx="13">
                  <c:v>569.1</c:v>
                </c:pt>
                <c:pt idx="14">
                  <c:v>609.6</c:v>
                </c:pt>
                <c:pt idx="15">
                  <c:v>646.29999999999995</c:v>
                </c:pt>
                <c:pt idx="16">
                  <c:v>677.3</c:v>
                </c:pt>
                <c:pt idx="17">
                  <c:v>696.9</c:v>
                </c:pt>
                <c:pt idx="18">
                  <c:v>608.4</c:v>
                </c:pt>
                <c:pt idx="19">
                  <c:v>534.6</c:v>
                </c:pt>
                <c:pt idx="20">
                  <c:v>556</c:v>
                </c:pt>
                <c:pt idx="21">
                  <c:v>579.29999999999995</c:v>
                </c:pt>
                <c:pt idx="22">
                  <c:v>595.29999999999995</c:v>
                </c:pt>
              </c:numCache>
            </c:numRef>
          </c:val>
          <c:extLst>
            <c:ext xmlns:c16="http://schemas.microsoft.com/office/drawing/2014/chart" uri="{C3380CC4-5D6E-409C-BE32-E72D297353CC}">
              <c16:uniqueId val="{00000000-2387-4F18-81F6-AB2215DAF2D0}"/>
            </c:ext>
          </c:extLst>
        </c:ser>
        <c:ser>
          <c:idx val="1"/>
          <c:order val="1"/>
          <c:tx>
            <c:strRef>
              <c:f>Sheet2!$D$2</c:f>
              <c:strCache>
                <c:ptCount val="1"/>
                <c:pt idx="0">
                  <c:v>T2</c:v>
                </c:pt>
              </c:strCache>
            </c:strRef>
          </c:tx>
          <c:spPr>
            <a:solidFill>
              <a:schemeClr val="accent2"/>
            </a:solidFill>
            <a:ln>
              <a:noFill/>
            </a:ln>
            <a:effectLst/>
          </c:spPr>
          <c:invertIfNegative val="0"/>
          <c:errBars>
            <c:errBarType val="both"/>
            <c:errValType val="cust"/>
            <c:noEndCap val="0"/>
            <c:plus>
              <c:numRef>
                <c:f>Sheet2!$H$3:$H$25</c:f>
                <c:numCache>
                  <c:formatCode>General</c:formatCode>
                  <c:ptCount val="23"/>
                  <c:pt idx="0">
                    <c:v>7.9710000000000001</c:v>
                  </c:pt>
                  <c:pt idx="1">
                    <c:v>7.0819999999999999</c:v>
                  </c:pt>
                  <c:pt idx="2">
                    <c:v>7.085</c:v>
                  </c:pt>
                  <c:pt idx="3">
                    <c:v>6.9850000000000003</c:v>
                  </c:pt>
                  <c:pt idx="4">
                    <c:v>7.8570000000000002</c:v>
                  </c:pt>
                  <c:pt idx="5">
                    <c:v>9.0280000000000005</c:v>
                  </c:pt>
                  <c:pt idx="6">
                    <c:v>9.0399999999999991</c:v>
                  </c:pt>
                  <c:pt idx="7">
                    <c:v>9.6820000000000004</c:v>
                  </c:pt>
                  <c:pt idx="8">
                    <c:v>9.76</c:v>
                  </c:pt>
                  <c:pt idx="9">
                    <c:v>9.0370000000000008</c:v>
                  </c:pt>
                  <c:pt idx="10">
                    <c:v>13.54</c:v>
                  </c:pt>
                  <c:pt idx="11">
                    <c:v>13.26</c:v>
                  </c:pt>
                  <c:pt idx="12">
                    <c:v>20.76</c:v>
                  </c:pt>
                  <c:pt idx="13">
                    <c:v>19.18</c:v>
                  </c:pt>
                  <c:pt idx="14">
                    <c:v>17.86</c:v>
                  </c:pt>
                  <c:pt idx="15">
                    <c:v>6.2789999999999999</c:v>
                  </c:pt>
                  <c:pt idx="16">
                    <c:v>8.0619999999999994</c:v>
                  </c:pt>
                  <c:pt idx="17">
                    <c:v>31.42</c:v>
                  </c:pt>
                  <c:pt idx="18">
                    <c:v>13.71</c:v>
                  </c:pt>
                  <c:pt idx="19">
                    <c:v>22.78</c:v>
                  </c:pt>
                  <c:pt idx="20">
                    <c:v>20.21</c:v>
                  </c:pt>
                  <c:pt idx="21">
                    <c:v>16.88</c:v>
                  </c:pt>
                  <c:pt idx="22">
                    <c:v>11.74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Sheet2!$D$3:$D$25</c:f>
              <c:numCache>
                <c:formatCode>General</c:formatCode>
                <c:ptCount val="23"/>
                <c:pt idx="0">
                  <c:v>183.8</c:v>
                </c:pt>
                <c:pt idx="1">
                  <c:v>207.1</c:v>
                </c:pt>
                <c:pt idx="2">
                  <c:v>225.6</c:v>
                </c:pt>
                <c:pt idx="3">
                  <c:v>245.3</c:v>
                </c:pt>
                <c:pt idx="4">
                  <c:v>278.8</c:v>
                </c:pt>
                <c:pt idx="5">
                  <c:v>311</c:v>
                </c:pt>
                <c:pt idx="6">
                  <c:v>342.3</c:v>
                </c:pt>
                <c:pt idx="7">
                  <c:v>371.5</c:v>
                </c:pt>
                <c:pt idx="8">
                  <c:v>392.8</c:v>
                </c:pt>
                <c:pt idx="9">
                  <c:v>428.1</c:v>
                </c:pt>
                <c:pt idx="10">
                  <c:v>460.6</c:v>
                </c:pt>
                <c:pt idx="11">
                  <c:v>491.4</c:v>
                </c:pt>
                <c:pt idx="12">
                  <c:v>536.70000000000005</c:v>
                </c:pt>
                <c:pt idx="13">
                  <c:v>582</c:v>
                </c:pt>
                <c:pt idx="14">
                  <c:v>625</c:v>
                </c:pt>
                <c:pt idx="15">
                  <c:v>649.6</c:v>
                </c:pt>
                <c:pt idx="16">
                  <c:v>666.2</c:v>
                </c:pt>
                <c:pt idx="17">
                  <c:v>673.2</c:v>
                </c:pt>
                <c:pt idx="18">
                  <c:v>587.70000000000005</c:v>
                </c:pt>
                <c:pt idx="19">
                  <c:v>542.9</c:v>
                </c:pt>
                <c:pt idx="20">
                  <c:v>559.6</c:v>
                </c:pt>
                <c:pt idx="21">
                  <c:v>583.20000000000005</c:v>
                </c:pt>
                <c:pt idx="22">
                  <c:v>601.9</c:v>
                </c:pt>
              </c:numCache>
            </c:numRef>
          </c:val>
          <c:extLst>
            <c:ext xmlns:c16="http://schemas.microsoft.com/office/drawing/2014/chart" uri="{C3380CC4-5D6E-409C-BE32-E72D297353CC}">
              <c16:uniqueId val="{00000001-2387-4F18-81F6-AB2215DAF2D0}"/>
            </c:ext>
          </c:extLst>
        </c:ser>
        <c:dLbls>
          <c:showLegendKey val="0"/>
          <c:showVal val="0"/>
          <c:showCatName val="0"/>
          <c:showSerName val="0"/>
          <c:showPercent val="0"/>
          <c:showBubbleSize val="0"/>
        </c:dLbls>
        <c:gapWidth val="219"/>
        <c:overlap val="-27"/>
        <c:axId val="290120304"/>
        <c:axId val="290124224"/>
      </c:barChart>
      <c:catAx>
        <c:axId val="29012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Week</a:t>
                </a:r>
              </a:p>
            </c:rich>
          </c:tx>
          <c:layout>
            <c:manualLayout>
              <c:xMode val="edge"/>
              <c:yMode val="edge"/>
              <c:x val="0.4900820209973753"/>
              <c:y val="0.866015602216389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24224"/>
        <c:crosses val="autoZero"/>
        <c:auto val="1"/>
        <c:lblAlgn val="ctr"/>
        <c:lblOffset val="100"/>
        <c:noMultiLvlLbl val="0"/>
      </c:catAx>
      <c:valAx>
        <c:axId val="29012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grams</a:t>
                </a:r>
              </a:p>
            </c:rich>
          </c:tx>
          <c:layout>
            <c:manualLayout>
              <c:xMode val="edge"/>
              <c:yMode val="edge"/>
              <c:x val="1.1111111111111112E-2"/>
              <c:y val="0.22053477690288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20304"/>
        <c:crosses val="autoZero"/>
        <c:crossBetween val="between"/>
      </c:valAx>
      <c:spPr>
        <a:noFill/>
        <a:ln>
          <a:noFill/>
        </a:ln>
        <a:effectLst/>
      </c:spPr>
    </c:plotArea>
    <c:legend>
      <c:legendPos val="b"/>
      <c:layout>
        <c:manualLayout>
          <c:xMode val="edge"/>
          <c:yMode val="edge"/>
          <c:x val="3.406714785651796E-2"/>
          <c:y val="0.87622411781860599"/>
          <c:w val="0.17072448135763851"/>
          <c:h val="8.17002874640669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Sheet1!$F$74</c:f>
              <c:strCache>
                <c:ptCount val="1"/>
                <c:pt idx="0">
                  <c:v>T1</c:v>
                </c:pt>
              </c:strCache>
            </c:strRef>
          </c:tx>
          <c:spPr>
            <a:solidFill>
              <a:schemeClr val="accent1"/>
            </a:solidFill>
            <a:ln>
              <a:noFill/>
            </a:ln>
            <a:effectLst/>
          </c:spPr>
          <c:invertIfNegative val="0"/>
          <c:errBars>
            <c:errBarType val="both"/>
            <c:errValType val="cust"/>
            <c:noEndCap val="0"/>
            <c:plus>
              <c:numRef>
                <c:f>Sheet1!$J$75:$J$82</c:f>
                <c:numCache>
                  <c:formatCode>General</c:formatCode>
                  <c:ptCount val="8"/>
                  <c:pt idx="0">
                    <c:v>0.998</c:v>
                  </c:pt>
                  <c:pt idx="1">
                    <c:v>0.85699999999999998</c:v>
                  </c:pt>
                  <c:pt idx="2">
                    <c:v>0.34799999999999998</c:v>
                  </c:pt>
                  <c:pt idx="3">
                    <c:v>1.1759999999999999</c:v>
                  </c:pt>
                  <c:pt idx="4">
                    <c:v>0.13900000000000001</c:v>
                  </c:pt>
                  <c:pt idx="5">
                    <c:v>3.2000000000000001E-2</c:v>
                  </c:pt>
                  <c:pt idx="6">
                    <c:v>0.51400000000000001</c:v>
                  </c:pt>
                  <c:pt idx="7">
                    <c:v>0.56000000000000005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Sheet1!$F$75:$F$82</c:f>
              <c:numCache>
                <c:formatCode>General</c:formatCode>
                <c:ptCount val="8"/>
                <c:pt idx="0">
                  <c:v>4.1100000000000003</c:v>
                </c:pt>
                <c:pt idx="1">
                  <c:v>4.04</c:v>
                </c:pt>
                <c:pt idx="2">
                  <c:v>3.79</c:v>
                </c:pt>
                <c:pt idx="3">
                  <c:v>6.16</c:v>
                </c:pt>
                <c:pt idx="4">
                  <c:v>5.47</c:v>
                </c:pt>
                <c:pt idx="5">
                  <c:v>6.28</c:v>
                </c:pt>
                <c:pt idx="6">
                  <c:v>5.43</c:v>
                </c:pt>
                <c:pt idx="7">
                  <c:v>8.33</c:v>
                </c:pt>
              </c:numCache>
            </c:numRef>
          </c:val>
          <c:extLst>
            <c:ext xmlns:c16="http://schemas.microsoft.com/office/drawing/2014/chart" uri="{C3380CC4-5D6E-409C-BE32-E72D297353CC}">
              <c16:uniqueId val="{00000000-C197-41DE-9904-66E5B47668B8}"/>
            </c:ext>
          </c:extLst>
        </c:ser>
        <c:ser>
          <c:idx val="1"/>
          <c:order val="1"/>
          <c:tx>
            <c:strRef>
              <c:f>Sheet1!$G$74</c:f>
              <c:strCache>
                <c:ptCount val="1"/>
                <c:pt idx="0">
                  <c:v>T2</c:v>
                </c:pt>
              </c:strCache>
            </c:strRef>
          </c:tx>
          <c:spPr>
            <a:solidFill>
              <a:schemeClr val="accent2"/>
            </a:solidFill>
            <a:ln>
              <a:noFill/>
            </a:ln>
            <a:effectLst/>
          </c:spPr>
          <c:invertIfNegative val="0"/>
          <c:errBars>
            <c:errBarType val="both"/>
            <c:errValType val="cust"/>
            <c:noEndCap val="0"/>
            <c:plus>
              <c:numRef>
                <c:f>Sheet1!$K$75:$K$82</c:f>
                <c:numCache>
                  <c:formatCode>General</c:formatCode>
                  <c:ptCount val="8"/>
                  <c:pt idx="0">
                    <c:v>0.70699999999999996</c:v>
                  </c:pt>
                  <c:pt idx="1">
                    <c:v>0.88600000000000001</c:v>
                  </c:pt>
                  <c:pt idx="2">
                    <c:v>0.26300000000000001</c:v>
                  </c:pt>
                  <c:pt idx="3">
                    <c:v>1.2350000000000001</c:v>
                  </c:pt>
                  <c:pt idx="4">
                    <c:v>0.57999999999999996</c:v>
                  </c:pt>
                  <c:pt idx="5">
                    <c:v>0.436</c:v>
                  </c:pt>
                  <c:pt idx="6">
                    <c:v>0.35599999999999998</c:v>
                  </c:pt>
                  <c:pt idx="7">
                    <c:v>0.79700000000000004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Sheet1!$G$75:$G$82</c:f>
              <c:numCache>
                <c:formatCode>General</c:formatCode>
                <c:ptCount val="8"/>
                <c:pt idx="0">
                  <c:v>3.99</c:v>
                </c:pt>
                <c:pt idx="1">
                  <c:v>3.95</c:v>
                </c:pt>
                <c:pt idx="2">
                  <c:v>3.9</c:v>
                </c:pt>
                <c:pt idx="3">
                  <c:v>6.09</c:v>
                </c:pt>
                <c:pt idx="4">
                  <c:v>5.29</c:v>
                </c:pt>
                <c:pt idx="5">
                  <c:v>5.44</c:v>
                </c:pt>
                <c:pt idx="6">
                  <c:v>5.37</c:v>
                </c:pt>
                <c:pt idx="7">
                  <c:v>9.09</c:v>
                </c:pt>
              </c:numCache>
            </c:numRef>
          </c:val>
          <c:extLst>
            <c:ext xmlns:c16="http://schemas.microsoft.com/office/drawing/2014/chart" uri="{C3380CC4-5D6E-409C-BE32-E72D297353CC}">
              <c16:uniqueId val="{00000001-C197-41DE-9904-66E5B47668B8}"/>
            </c:ext>
          </c:extLst>
        </c:ser>
        <c:dLbls>
          <c:showLegendKey val="0"/>
          <c:showVal val="0"/>
          <c:showCatName val="0"/>
          <c:showSerName val="0"/>
          <c:showPercent val="0"/>
          <c:showBubbleSize val="0"/>
        </c:dLbls>
        <c:gapWidth val="219"/>
        <c:overlap val="-27"/>
        <c:axId val="290118344"/>
        <c:axId val="338379280"/>
      </c:barChart>
      <c:catAx>
        <c:axId val="29011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79280"/>
        <c:crosses val="autoZero"/>
        <c:auto val="1"/>
        <c:lblAlgn val="ctr"/>
        <c:lblOffset val="100"/>
        <c:noMultiLvlLbl val="0"/>
      </c:catAx>
      <c:valAx>
        <c:axId val="33837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18344"/>
        <c:crosses val="autoZero"/>
        <c:crossBetween val="between"/>
      </c:valAx>
      <c:spPr>
        <a:noFill/>
        <a:ln>
          <a:noFill/>
        </a:ln>
        <a:effectLst/>
      </c:spPr>
    </c:plotArea>
    <c:legend>
      <c:legendPos val="b"/>
      <c:layout>
        <c:manualLayout>
          <c:xMode val="edge"/>
          <c:yMode val="edge"/>
          <c:x val="3.8905312274562155E-2"/>
          <c:y val="0.89821644387474819"/>
          <c:w val="0.16195530383263496"/>
          <c:h val="8.111172149992879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3158</Words>
  <Characters>18002</Characters>
  <Application>Microsoft Office Word</Application>
  <DocSecurity>0</DocSecurity>
  <Lines>150</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 A</dc:creator>
  <cp:keywords/>
  <dc:description/>
  <cp:lastModifiedBy>Editor-1183</cp:lastModifiedBy>
  <cp:revision>4</cp:revision>
  <dcterms:created xsi:type="dcterms:W3CDTF">2026-02-04T08:41:00Z</dcterms:created>
  <dcterms:modified xsi:type="dcterms:W3CDTF">2026-02-09T10:23:00Z</dcterms:modified>
</cp:coreProperties>
</file>