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40AD4"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From Bench to Bedside: Structural and Biological Barriers to Therapeutic Translation in Pancreatic Cancer</w:t>
      </w:r>
    </w:p>
    <w:p w14:paraId="63104353" w14:textId="77777777" w:rsidR="00B2356C" w:rsidRPr="00CE1D90" w:rsidRDefault="00B2356C">
      <w:pPr>
        <w:spacing w:before="240" w:after="240"/>
        <w:rPr>
          <w:rFonts w:ascii="Times New Roman" w:eastAsia="Times New Roman" w:hAnsi="Times New Roman" w:cs="Times New Roman"/>
          <w:b/>
          <w:bCs/>
          <w:sz w:val="24"/>
          <w:szCs w:val="24"/>
        </w:rPr>
      </w:pPr>
    </w:p>
    <w:p w14:paraId="01F3BEF7" w14:textId="72F697EB"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Abstract</w:t>
      </w:r>
    </w:p>
    <w:p w14:paraId="1085E56B" w14:textId="77777777" w:rsidR="001A3D50" w:rsidRPr="001A3D50" w:rsidRDefault="001A3D50" w:rsidP="001A3D50">
      <w:pPr>
        <w:spacing w:before="100" w:beforeAutospacing="1" w:after="100" w:afterAutospacing="1" w:line="240" w:lineRule="auto"/>
        <w:rPr>
          <w:rFonts w:ascii="Times New Roman" w:eastAsia="Times New Roman" w:hAnsi="Times New Roman" w:cs="Times New Roman"/>
          <w:sz w:val="24"/>
          <w:szCs w:val="24"/>
          <w:lang w:val="en-US" w:eastAsia="en-US"/>
        </w:rPr>
      </w:pPr>
      <w:r w:rsidRPr="001A3D50">
        <w:rPr>
          <w:rFonts w:ascii="Times New Roman" w:eastAsia="Times New Roman" w:hAnsi="Times New Roman" w:cs="Times New Roman"/>
          <w:sz w:val="24"/>
          <w:szCs w:val="24"/>
          <w:lang w:val="en-US" w:eastAsia="en-US"/>
        </w:rPr>
        <w:t>Pancreatic ductal adenocarcinoma (PDAC) remains one of the deadliest cancers, driven largely by KRAS mutations and profound therapeutic resistance. This review summarizes recent translational strategies aimed at bridging laboratory discoveries with clinical application, including precision oncology, rational combination therapies, and stromal modulation. We examine preclinical and clinical studies that highlight mechanistic insights such as KRAS inhibition, PARP-targeted therapy, and multi-drug regimens, drawing lessons from genetically engineered mouse models, patient-derived xenografts, and biomarker-guided clinical trials.</w:t>
      </w:r>
    </w:p>
    <w:p w14:paraId="7BBEE64D" w14:textId="0DC69945" w:rsidR="001A3D50" w:rsidRPr="001A3D50" w:rsidRDefault="001A3D50" w:rsidP="001A3D50">
      <w:pPr>
        <w:spacing w:before="100" w:beforeAutospacing="1" w:after="100" w:afterAutospacing="1" w:line="240" w:lineRule="auto"/>
        <w:rPr>
          <w:rFonts w:ascii="Times New Roman" w:eastAsia="Times New Roman" w:hAnsi="Times New Roman" w:cs="Times New Roman"/>
          <w:sz w:val="24"/>
          <w:szCs w:val="24"/>
          <w:lang w:val="en-US" w:eastAsia="en-US"/>
        </w:rPr>
      </w:pPr>
      <w:r w:rsidRPr="001A3D50">
        <w:rPr>
          <w:rFonts w:ascii="Times New Roman" w:eastAsia="Times New Roman" w:hAnsi="Times New Roman" w:cs="Times New Roman"/>
          <w:sz w:val="24"/>
          <w:szCs w:val="24"/>
          <w:lang w:val="en-US" w:eastAsia="en-US"/>
        </w:rPr>
        <w:t>Recent advances demonstrate that previously undruggable targets, including KRAS, can now be modulated using mutation-specific inhibitors and combination therapies, achieving complete tumor regression in preclinical models. PARP inhibitors in BRCA-mutated PDAC exemplify the translation of precision medicine into patient benefit. Adaptive, biomarker-driven trials enhance the detection of therapeutic signals, while stromal reprogramming improves drug delivery and immune accessibility. Artificial intelligence and systems biology further support predictive modeling and optimization of trial design.</w:t>
      </w:r>
    </w:p>
    <w:p w14:paraId="65960D29" w14:textId="77777777" w:rsidR="001A3D50" w:rsidRPr="001A3D50" w:rsidRDefault="001A3D50" w:rsidP="001A3D50">
      <w:pPr>
        <w:spacing w:before="100" w:beforeAutospacing="1" w:after="100" w:afterAutospacing="1" w:line="240" w:lineRule="auto"/>
        <w:rPr>
          <w:rFonts w:ascii="Times New Roman" w:eastAsia="Times New Roman" w:hAnsi="Times New Roman" w:cs="Times New Roman"/>
          <w:sz w:val="24"/>
          <w:szCs w:val="24"/>
          <w:lang w:val="en-US" w:eastAsia="en-US"/>
        </w:rPr>
      </w:pPr>
      <w:r w:rsidRPr="001A3D50">
        <w:rPr>
          <w:rFonts w:ascii="Times New Roman" w:eastAsia="Times New Roman" w:hAnsi="Times New Roman" w:cs="Times New Roman"/>
          <w:sz w:val="24"/>
          <w:szCs w:val="24"/>
          <w:lang w:val="en-US" w:eastAsia="en-US"/>
        </w:rPr>
        <w:t>Overall, translational research in PDAC shows that persistent mechanistic exploration, combination strategies, and innovative trial designs can overcome historical therapeutic barriers. Despite systemic challenges such as funding, regulatory hurdles, and structural limitations, these approaches provide a roadmap for improving clinical outcomes. Continued interdisciplinary collaboration and precision-guided interventions will be essential to fully realize the potential of these discoveries.</w:t>
      </w:r>
    </w:p>
    <w:p w14:paraId="792F0D07" w14:textId="2E9A0045" w:rsidR="001A3D50" w:rsidRPr="00CE1D90" w:rsidRDefault="001A3D50" w:rsidP="00E7567B">
      <w:pPr>
        <w:spacing w:line="240" w:lineRule="auto"/>
        <w:rPr>
          <w:rFonts w:ascii="Times New Roman" w:eastAsia="Times New Roman" w:hAnsi="Times New Roman" w:cs="Times New Roman"/>
          <w:sz w:val="24"/>
          <w:szCs w:val="24"/>
          <w:lang w:val="en-US" w:eastAsia="en-US"/>
        </w:rPr>
      </w:pPr>
    </w:p>
    <w:p w14:paraId="1D80EE93" w14:textId="76D20AD5"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Keywords: pancreatic ductal adenocarcinoma, KRAS, translational oncology, combination therapy, precision medicine, preclinical models</w:t>
      </w:r>
    </w:p>
    <w:p w14:paraId="764D38AB" w14:textId="77777777" w:rsidR="00813F84" w:rsidRPr="00CE1D90" w:rsidRDefault="00813F84">
      <w:pPr>
        <w:spacing w:before="240"/>
        <w:rPr>
          <w:rFonts w:ascii="Times New Roman" w:eastAsia="Times New Roman" w:hAnsi="Times New Roman" w:cs="Times New Roman"/>
          <w:sz w:val="24"/>
          <w:szCs w:val="24"/>
        </w:rPr>
      </w:pPr>
    </w:p>
    <w:p w14:paraId="0B83EBF7"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b/>
          <w:bCs/>
          <w:sz w:val="24"/>
          <w:szCs w:val="24"/>
        </w:rPr>
        <w:t>1. Introduction</w:t>
      </w:r>
    </w:p>
    <w:p w14:paraId="5F000F50" w14:textId="77777777" w:rsidR="00813F84" w:rsidRPr="00CE1D90" w:rsidRDefault="00154854">
      <w:pPr>
        <w:spacing w:before="280" w:after="8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1.1 The Bench-to-Bedside Paradigm in Oncology</w:t>
      </w:r>
    </w:p>
    <w:p w14:paraId="20584CD3"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Translational research in oncology is built on the premise that mechanistic insights generated in the laboratory can be systematically transformed into effective clinical interventions. The “bench-to-bedside” paradigm aims to shorten the distance between discovery and care by bringing together basic science, preclinical research, and clinical trials in a coordinated process </w:t>
      </w:r>
      <w:r w:rsidRPr="00CE1D90">
        <w:rPr>
          <w:rFonts w:ascii="Times New Roman" w:eastAsia="Times New Roman" w:hAnsi="Times New Roman" w:cs="Times New Roman"/>
          <w:sz w:val="24"/>
          <w:szCs w:val="24"/>
        </w:rPr>
        <w:lastRenderedPageBreak/>
        <w:t>[1]. Over the past two decades, this model has delivered real progress in several cancers, including breast cancer, melanoma, and non-small cell lung cancer. In these diseases, molecular classification and targeted therapies have meaningfully improved survival and quality of life.</w:t>
      </w:r>
    </w:p>
    <w:p w14:paraId="76880F8B"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Yet translational success in oncology has been inconsistent. While some cancers have benefited rapidly from targeted drugs and immunotherapies, others have seen little clinical progress despite intense research efforts [2]. This uneven progress exposes the limitations of a simple, linear view of translation and underscores the importance of understanding how disease-specific factors can impede the path from discovery to effective treatment.</w:t>
      </w:r>
    </w:p>
    <w:p w14:paraId="5CC93FFB"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1.2 Why Pancreatic Cancer Remains a Translational Outlier</w:t>
      </w:r>
    </w:p>
    <w:p w14:paraId="2FA85D05"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cancer, predominantly pancreatic ductal adenocarcinoma (PDAC), exemplifies one of the most striking failures of translational oncology. Despite decades of molecular research and promising preclinical findings, patient outcomes have improved only marginally. The disease remains one of the leading causes of cancer-related death worldwide, with five-year survival rates that trail far behind those of most other solid tumors [3].</w:t>
      </w:r>
    </w:p>
    <w:p w14:paraId="690564AD"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Several factors contribute to this translational impasse. Biologically, pancreatic cancer is marked by profound genetic heterogeneity, early metastatic potential, and an exceptionally dense and immunosuppressive tumor microenvironment [4]. Together, these features limit drug delivery, weaken immune responses, and promote rapid resistance to therapy. Clinically, the disease is often diagnosed late, progresses aggressively, and affects patients who are frequently unable to tolerate intensive treatment regimens.</w:t>
      </w:r>
    </w:p>
    <w:p w14:paraId="0EF43537"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Crucially, many therapies that performed well in preclinical models have failed to translate into meaningful clinical benefit. This repeated pattern suggests that the problem is not simply one of execution but of structure, rooted specifically in a mismatch between experimental systems and the realities of human pancreatic cancer. For this reason, pancreatic cancer serves as a powerful case study for examining where and why translational oncology falls short.</w:t>
      </w:r>
    </w:p>
    <w:p w14:paraId="49AA35D4"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1.3 Purpose and Structure of This Review</w:t>
      </w:r>
    </w:p>
    <w:p w14:paraId="21DFDE5C" w14:textId="70AE50FE"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This narrative review aims to examine the barriers that have limited successful therapeutic translation in pancreatic cancer and to discuss emerging strategies that may help overcome them. Rather than focusing solely on therapeutic failure, it emphasizes the underlying biological, methodological, clinical, and regulatory factors that contribute to translational attrition. It is organized to move from foundational biology through preclinical discovery and clinical translation before addressing failure patterns and future directions. By connecting insights across each stage of the translational pipeline, this work aims to inform more realistic, disease-adapted approaches to therapeutic development and to contribute to the ongoing redefinition of translational success in pancreatic oncology.</w:t>
      </w:r>
    </w:p>
    <w:p w14:paraId="5C034D8C" w14:textId="77777777" w:rsidR="00963A18" w:rsidRPr="00CE1D90" w:rsidRDefault="00963A18" w:rsidP="00963A18">
      <w:pPr>
        <w:pStyle w:val="Heading3"/>
        <w:rPr>
          <w:rFonts w:ascii="Times New Roman" w:hAnsi="Times New Roman" w:cs="Times New Roman"/>
          <w:b/>
          <w:bCs/>
          <w:sz w:val="24"/>
          <w:szCs w:val="24"/>
        </w:rPr>
      </w:pPr>
      <w:r w:rsidRPr="00CE1D90">
        <w:rPr>
          <w:rFonts w:ascii="Times New Roman" w:hAnsi="Times New Roman" w:cs="Times New Roman"/>
          <w:b/>
          <w:bCs/>
          <w:sz w:val="24"/>
          <w:szCs w:val="24"/>
        </w:rPr>
        <w:lastRenderedPageBreak/>
        <w:t>1.4 Literature Search Strategy</w:t>
      </w:r>
    </w:p>
    <w:p w14:paraId="1B9553C8" w14:textId="24CA9C53" w:rsidR="00963A18" w:rsidRPr="00CE1D90" w:rsidRDefault="00963A18" w:rsidP="00963A18">
      <w:pPr>
        <w:pStyle w:val="NormalWeb"/>
        <w:spacing w:line="276" w:lineRule="auto"/>
      </w:pPr>
      <w:r w:rsidRPr="00CE1D90">
        <w:t xml:space="preserve">A narrative literature search was conducted to identify studies and reviews relevant to translational research in pancreatic cancer, primarily pancreatic ductal adenocarcinoma (PDAC). The following electronic databases were consulted: </w:t>
      </w:r>
      <w:r w:rsidRPr="00CE1D90">
        <w:rPr>
          <w:rStyle w:val="Strong"/>
          <w:b w:val="0"/>
          <w:bCs w:val="0"/>
        </w:rPr>
        <w:t>PubMed, Scopus, Web of Science, and Embase</w:t>
      </w:r>
      <w:r w:rsidRPr="00CE1D90">
        <w:t xml:space="preserve">. </w:t>
      </w:r>
    </w:p>
    <w:p w14:paraId="233DA9EA" w14:textId="0D14CA01" w:rsidR="00963A18" w:rsidRPr="00CE1D90" w:rsidRDefault="00963A18" w:rsidP="00963A18">
      <w:pPr>
        <w:pStyle w:val="NormalWeb"/>
        <w:spacing w:line="276" w:lineRule="auto"/>
      </w:pPr>
      <w:r w:rsidRPr="00CE1D90">
        <w:t xml:space="preserve">The search focused on articles published between </w:t>
      </w:r>
      <w:r w:rsidRPr="00CE1D90">
        <w:rPr>
          <w:rStyle w:val="Strong"/>
          <w:b w:val="0"/>
          <w:bCs w:val="0"/>
        </w:rPr>
        <w:t>2016 and 2026</w:t>
      </w:r>
      <w:r w:rsidRPr="00CE1D90">
        <w:t xml:space="preserve"> to capture recent developments in translational oncology. Only </w:t>
      </w:r>
      <w:r w:rsidRPr="00CE1D90">
        <w:rPr>
          <w:rStyle w:val="Strong"/>
          <w:b w:val="0"/>
          <w:bCs w:val="0"/>
        </w:rPr>
        <w:t>peer-reviewed articles in English</w:t>
      </w:r>
      <w:r w:rsidRPr="00CE1D90">
        <w:t xml:space="preserve"> were considered. </w:t>
      </w:r>
      <w:r w:rsidRPr="00CE1D90">
        <w:rPr>
          <w:rStyle w:val="Strong"/>
          <w:b w:val="0"/>
          <w:bCs w:val="0"/>
        </w:rPr>
        <w:t>Inclusion criteria</w:t>
      </w:r>
      <w:r w:rsidRPr="00CE1D90">
        <w:t xml:space="preserve"> were studies or reviews addressing biological, preclinical, or clinical aspects of pancreatic cancer relevant to therapeutic translation. </w:t>
      </w:r>
      <w:r w:rsidRPr="00CE1D90">
        <w:rPr>
          <w:rStyle w:val="Strong"/>
          <w:b w:val="0"/>
          <w:bCs w:val="0"/>
        </w:rPr>
        <w:t>Exclusion criteria</w:t>
      </w:r>
      <w:r w:rsidRPr="00CE1D90">
        <w:t xml:space="preserve"> included articles unrelated to translational oncology, case reports with fewer than five patients, and conference abstracts without full-text availability.</w:t>
      </w:r>
    </w:p>
    <w:p w14:paraId="0FAC2C8F" w14:textId="77777777" w:rsidR="00963A18" w:rsidRPr="00CE1D90" w:rsidRDefault="00963A18" w:rsidP="00963A18">
      <w:pPr>
        <w:pStyle w:val="NormalWeb"/>
        <w:spacing w:line="276" w:lineRule="auto"/>
      </w:pPr>
      <w:r w:rsidRPr="00CE1D90">
        <w:t>References within selected articles were also examined to identify additional pertinent literature. This approach facilitated a comprehensive narrative synthesis of current barriers and emerging strategies in pancreatic cancer translational research.</w:t>
      </w:r>
    </w:p>
    <w:p w14:paraId="6A6624E5" w14:textId="77777777" w:rsidR="00963A18" w:rsidRPr="00CE1D90" w:rsidRDefault="00963A18">
      <w:pPr>
        <w:spacing w:before="240" w:after="240"/>
        <w:rPr>
          <w:rFonts w:ascii="Times New Roman" w:eastAsia="Times New Roman" w:hAnsi="Times New Roman" w:cs="Times New Roman"/>
          <w:sz w:val="24"/>
          <w:szCs w:val="24"/>
        </w:rPr>
      </w:pPr>
    </w:p>
    <w:p w14:paraId="246228D2"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 </w:t>
      </w:r>
    </w:p>
    <w:p w14:paraId="64C4B902" w14:textId="77777777" w:rsidR="00813F84" w:rsidRPr="00CE1D90" w:rsidRDefault="00813F84">
      <w:pPr>
        <w:spacing w:before="240"/>
        <w:rPr>
          <w:rFonts w:ascii="Times New Roman" w:eastAsia="Times New Roman" w:hAnsi="Times New Roman" w:cs="Times New Roman"/>
          <w:b/>
          <w:bCs/>
          <w:sz w:val="24"/>
          <w:szCs w:val="24"/>
        </w:rPr>
      </w:pPr>
    </w:p>
    <w:p w14:paraId="69FA6ED2"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b/>
          <w:bCs/>
          <w:sz w:val="24"/>
          <w:szCs w:val="24"/>
        </w:rPr>
        <w:t>2. Epidemiology, Burden, and the Clinical Reality of Pancreatic Cancer</w:t>
      </w:r>
    </w:p>
    <w:p w14:paraId="477A5A1C"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2.1 Global Patterns of Incidence, Mortality, and Survival</w:t>
      </w:r>
    </w:p>
    <w:p w14:paraId="3BDFCC9F"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cancer causes a striking number of cancer-related deaths relative to how often it is diagnosed [5]. Although it represents a smaller share of global cancer cases, it consistently ranks among the leading causes of cancer mortality in both high-income and low- and middle-income countries. Over the past several decades, incidence has steadily risen, driven by population aging, increasing rates of metabolic disease, and improvements in diagnosis.  However, mortality has increased in parallel with incidence, reflecting the absence of meaningful gains in long-term survival [5].</w:t>
      </w:r>
    </w:p>
    <w:p w14:paraId="13B9D18C"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The overall five-year survival rate for pancreatic cancer remains among the lowest of all malignancies [2]. While incremental gains have been achieved through optimized chemotherapy regimens and improved perioperative care, these advances have translated into modest survival extensions rather than durable disease control. Notably, survival improvements have been uneven across regions, with higher-income countries demonstrating marginally better outcomes, largely attributable to access to specialized surgical care and combination chemotherapy [5]. </w:t>
      </w:r>
    </w:p>
    <w:p w14:paraId="5AA89CE8"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lastRenderedPageBreak/>
        <w:t>2.2 Regional Inequities and the Problem of Late Diagnosis</w:t>
      </w:r>
    </w:p>
    <w:p w14:paraId="11986134"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Outcomes in pancreatic cancer are shaped not only by biology but also by geography and socioeconomic context. Access to timely imaging, expert surgical care, and systemic treatments differs widely across regions, contributing to marked disparities in survival. In many low- and middle-income settings, limited healthcare infrastructure leads to delayed diagnosis and restricted access to coordinated, multidisciplinary cancer care.</w:t>
      </w:r>
    </w:p>
    <w:p w14:paraId="1DD5B11B"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Even in well-resourced health systems, late-stage diagnosis remains the norm. Most patients present with locally advanced or metastatic disease, making curative surgical resection impossible [7]. This pattern is largely explained by the pancreas’s deep anatomical location, the nonspecific nature of early symptoms, and the absence of effective population-wide screening strategies. As a result, opportunities for early intervention are rare, and treatment for the majority of patients remains palliative rather than curative. Beyond survival statistics, pancreatic cancer places an extraordinary burden on patients’ daily lives. Symptoms such as pain, weight loss, fatigue, and digestive dysfunction frequently appear early and intensify rapidly as the disease progresses. The short interval between diagnosis and advanced illness often compounds emotional and psychological distress for patients and their families. </w:t>
      </w:r>
    </w:p>
    <w:p w14:paraId="29F8088A" w14:textId="77777777" w:rsidR="00813F84" w:rsidRPr="00CE1D90" w:rsidRDefault="00813F84">
      <w:pPr>
        <w:spacing w:before="240" w:after="240"/>
        <w:rPr>
          <w:rFonts w:ascii="Times New Roman" w:eastAsia="Times New Roman" w:hAnsi="Times New Roman" w:cs="Times New Roman"/>
          <w:sz w:val="24"/>
          <w:szCs w:val="24"/>
        </w:rPr>
      </w:pPr>
    </w:p>
    <w:p w14:paraId="2B6C64A9" w14:textId="77777777" w:rsidR="00813F84" w:rsidRPr="00CE1D90" w:rsidRDefault="00813F84">
      <w:pPr>
        <w:spacing w:before="240" w:after="40"/>
        <w:rPr>
          <w:rFonts w:ascii="Times New Roman" w:eastAsia="Times New Roman" w:hAnsi="Times New Roman" w:cs="Times New Roman"/>
          <w:b/>
          <w:bCs/>
          <w:sz w:val="24"/>
          <w:szCs w:val="24"/>
        </w:rPr>
      </w:pPr>
    </w:p>
    <w:p w14:paraId="785E68A7" w14:textId="77777777" w:rsidR="00813F84" w:rsidRPr="00CE1D90" w:rsidRDefault="00813F84">
      <w:pPr>
        <w:spacing w:before="240" w:after="40"/>
        <w:rPr>
          <w:rFonts w:ascii="Times New Roman" w:eastAsia="Times New Roman" w:hAnsi="Times New Roman" w:cs="Times New Roman"/>
          <w:b/>
          <w:bCs/>
          <w:sz w:val="24"/>
          <w:szCs w:val="24"/>
        </w:rPr>
      </w:pPr>
    </w:p>
    <w:p w14:paraId="58E1D6E3"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2.3 Risk Factors and Disease Origins</w:t>
      </w:r>
    </w:p>
    <w:p w14:paraId="6AFDA4FE"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The development of pancreatic cancer reflects a complex interaction between genetic susceptibility, environmental exposures, and metabolic factors. Well-established risk factors include older age, tobacco use, chronic pancreatitis, long-standing diabetes, obesity, and inherited cancer predisposition syndromes. Although familial pancreatic cancer accounts for only a small proportion of cases, studies in these populations have been instrumental in uncovering key molecular drivers of the disease.</w:t>
      </w:r>
    </w:p>
    <w:p w14:paraId="1FAF9F02"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Despite this growing understanding of risk, progress in translating epidemiologic knowledge into effective prevention or early detection strategies has been limited. Surveillance programs for individuals at high genetic risk are available in select settings, but their overall impact on population-level mortality remains modest [9]. This gap highlights a recurring challenge in pancreatic cancer: knowledge accumulation without proportional clinical benefit.</w:t>
      </w:r>
    </w:p>
    <w:p w14:paraId="2F73D796"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2.4 Current Treatment Approaches and Their Limits</w:t>
      </w:r>
    </w:p>
    <w:p w14:paraId="0A225064" w14:textId="1387023C"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lastRenderedPageBreak/>
        <w:t xml:space="preserve">Treatment strategies for pancreatic cancer are largely determined by disease stage at diagnosis. Surgical resection, combined with neoadjuvant or adjuvant chemotherapy, offers the only chance for long-term survival. However, only a small fraction of patients </w:t>
      </w:r>
      <w:r w:rsidR="007D0D47" w:rsidRPr="00CE1D90">
        <w:rPr>
          <w:rFonts w:ascii="Times New Roman" w:eastAsia="Times New Roman" w:hAnsi="Times New Roman" w:cs="Times New Roman"/>
          <w:sz w:val="24"/>
          <w:szCs w:val="24"/>
        </w:rPr>
        <w:t>is</w:t>
      </w:r>
      <w:r w:rsidRPr="00CE1D90">
        <w:rPr>
          <w:rFonts w:ascii="Times New Roman" w:eastAsia="Times New Roman" w:hAnsi="Times New Roman" w:cs="Times New Roman"/>
          <w:sz w:val="24"/>
          <w:szCs w:val="24"/>
        </w:rPr>
        <w:t xml:space="preserve"> eligible for surgery at presentation. Even among those who undergo resection, recurrence is common, underscoring the aggressive nature of the disease [10].</w:t>
      </w:r>
    </w:p>
    <w:p w14:paraId="6172B6F6"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For patients with advanced disease, combination chemotherapy regimens such as FOLFIRINOX or gemcitabine-based therapies form the backbone of treatment. These regimens have improved median survival compared with older single-agent approaches, but benefits are limited and often accompanied by significant toxicity. To date, targeted therapies and immunotherapies have shown clinical benefit only in rare molecular subgroups, emphasizing the lack of broadly effective systemic treatment options [12].</w:t>
      </w:r>
    </w:p>
    <w:p w14:paraId="08E1E2C6" w14:textId="77777777" w:rsidR="00813F84" w:rsidRPr="00CE1D90" w:rsidRDefault="00154854">
      <w:pPr>
        <w:spacing w:before="280" w:after="8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3. Biological Foundations of Translational Resistance</w:t>
      </w:r>
    </w:p>
    <w:p w14:paraId="5CC56C84"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3.1 Histopathologic Features of Pancreatic Ductal Adenocarcinoma</w:t>
      </w:r>
    </w:p>
    <w:p w14:paraId="1CE0F2B3"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ductal adenocarcinoma (PDAC) accounts for more than 90% of pancreatic cancers and differs fundamentally from many other solid tumors at the tissue level [5]. Histologically, it is defined by poorly differentiated glandular tumor cells embedded within a dense, fibrotic desmoplastic stroma. In many cases, this stromal compartment outweighs the malignant cell population, exerting a dominant influence on tumor behavior, drug delivery, and immune activity.</w:t>
      </w:r>
    </w:p>
    <w:p w14:paraId="7CCB8255"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Rather than existing as a mass of malignant cells alone, PDAC functions as a complex and highly organized tissue ecosystem. The extracellular matrix, activated fibroblasts, immune cells, and abnormal vasculature collectively create both physical and biochemical barriers to therapy. This architecture is a defining feature of the disease and a central driver of treatment resistance and translational failure.</w:t>
      </w:r>
    </w:p>
    <w:p w14:paraId="2653F7C2"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3.2 The Genomic Landscape of PDAC</w:t>
      </w:r>
    </w:p>
    <w:p w14:paraId="7E549122" w14:textId="1761FDD3" w:rsidR="00813F84" w:rsidRPr="00CE1D90" w:rsidRDefault="00154854">
      <w:pPr>
        <w:spacing w:before="22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3.2.1 KRAS and the Limits of the Oncogene Paradigm</w:t>
      </w:r>
    </w:p>
    <w:p w14:paraId="1A0B245D" w14:textId="77777777" w:rsidR="00D42F69" w:rsidRPr="00D42F69" w:rsidRDefault="00D42F69" w:rsidP="00D42F69">
      <w:pPr>
        <w:spacing w:before="100" w:beforeAutospacing="1" w:after="100" w:afterAutospacing="1" w:line="240" w:lineRule="auto"/>
        <w:rPr>
          <w:rFonts w:ascii="Times New Roman" w:eastAsia="Times New Roman" w:hAnsi="Times New Roman" w:cs="Times New Roman"/>
          <w:sz w:val="24"/>
          <w:szCs w:val="24"/>
          <w:lang w:val="en-US" w:eastAsia="en-US"/>
        </w:rPr>
      </w:pPr>
      <w:r w:rsidRPr="00D42F69">
        <w:rPr>
          <w:rFonts w:ascii="Times New Roman" w:eastAsia="Times New Roman" w:hAnsi="Times New Roman" w:cs="Times New Roman"/>
          <w:sz w:val="24"/>
          <w:szCs w:val="24"/>
          <w:lang w:val="en-US" w:eastAsia="en-US"/>
        </w:rPr>
        <w:t>Activating mutations in KRAS occur in the vast majority of pancreatic ductal adenocarcinoma (PDAC) cases and appear early in tumor development. The identification of RAS oncogenes, building on the seminal work of Mariano Barbacid, established oncogene addiction as a central concept in modern cancer biology. In pancreatic cancer, however, applying this concept to therapy has proven exceptionally challenging.</w:t>
      </w:r>
    </w:p>
    <w:p w14:paraId="387EBDA1" w14:textId="77777777" w:rsidR="00D42F69" w:rsidRPr="00D42F69" w:rsidRDefault="00D42F69" w:rsidP="00D42F69">
      <w:pPr>
        <w:spacing w:before="100" w:beforeAutospacing="1" w:after="100" w:afterAutospacing="1" w:line="240" w:lineRule="auto"/>
        <w:rPr>
          <w:rFonts w:ascii="Times New Roman" w:eastAsia="Times New Roman" w:hAnsi="Times New Roman" w:cs="Times New Roman"/>
          <w:sz w:val="24"/>
          <w:szCs w:val="24"/>
          <w:lang w:val="en-US" w:eastAsia="en-US"/>
        </w:rPr>
      </w:pPr>
      <w:r w:rsidRPr="00D42F69">
        <w:rPr>
          <w:rFonts w:ascii="Times New Roman" w:eastAsia="Times New Roman" w:hAnsi="Times New Roman" w:cs="Times New Roman"/>
          <w:sz w:val="24"/>
          <w:szCs w:val="24"/>
          <w:lang w:val="en-US" w:eastAsia="en-US"/>
        </w:rPr>
        <w:t xml:space="preserve">KRAS signaling drives multiple downstream pathways, including MAPK (Mitogen-Activated Protein Kinase), PI3K–AKT (Phosphoinositide 3-Kinase–Protein Kinase B), and RAL-GDS (Ral Guanine Nucleotide Dissociation Stimulator). This network creates extensive redundancy and </w:t>
      </w:r>
      <w:r w:rsidRPr="00D42F69">
        <w:rPr>
          <w:rFonts w:ascii="Times New Roman" w:eastAsia="Times New Roman" w:hAnsi="Times New Roman" w:cs="Times New Roman"/>
          <w:sz w:val="24"/>
          <w:szCs w:val="24"/>
          <w:lang w:val="en-US" w:eastAsia="en-US"/>
        </w:rPr>
        <w:lastRenderedPageBreak/>
        <w:t>allows tumors to adapt when one pathway is blocked. Consequently, early attempts to target KRAS, either directly or indirectly, repeatedly failed in clinical trials despite promising preclinical results. These setbacks revealed the limitations of focusing on single targets in tumors as biologically complex and resilient as PDAC [12].</w:t>
      </w:r>
    </w:p>
    <w:p w14:paraId="25534758" w14:textId="77777777" w:rsidR="00D42F69" w:rsidRPr="00CE1D90" w:rsidRDefault="00D42F69">
      <w:pPr>
        <w:spacing w:before="220" w:after="40"/>
        <w:rPr>
          <w:rFonts w:ascii="Times New Roman" w:eastAsia="Times New Roman" w:hAnsi="Times New Roman" w:cs="Times New Roman"/>
          <w:sz w:val="24"/>
          <w:szCs w:val="24"/>
        </w:rPr>
      </w:pPr>
    </w:p>
    <w:p w14:paraId="3E504135" w14:textId="77777777" w:rsidR="0070370B" w:rsidRPr="00CE1D90" w:rsidRDefault="0070370B" w:rsidP="0070370B">
      <w:pPr>
        <w:spacing w:before="100" w:beforeAutospacing="1" w:after="100" w:afterAutospacing="1" w:line="240" w:lineRule="auto"/>
        <w:rPr>
          <w:rFonts w:ascii="Times New Roman" w:eastAsia="Times New Roman" w:hAnsi="Times New Roman" w:cs="Times New Roman"/>
          <w:sz w:val="24"/>
          <w:szCs w:val="24"/>
          <w:lang w:val="en-US" w:eastAsia="en-US"/>
        </w:rPr>
      </w:pPr>
      <w:r w:rsidRPr="00CE1D90">
        <w:rPr>
          <w:rFonts w:ascii="Times New Roman" w:eastAsia="Times New Roman" w:hAnsi="Times New Roman" w:cs="Times New Roman"/>
          <w:b/>
          <w:bCs/>
          <w:sz w:val="24"/>
          <w:szCs w:val="24"/>
          <w:lang w:val="en-US" w:eastAsia="en-US"/>
        </w:rPr>
        <w:t>3.2 The Genomic Landscape of Pancreatic Ductal Adenocarcinoma (PDAC)</w:t>
      </w:r>
    </w:p>
    <w:p w14:paraId="63062BFF" w14:textId="77777777" w:rsidR="00D42F69" w:rsidRPr="00CE1D90" w:rsidRDefault="0070370B" w:rsidP="00754674">
      <w:pPr>
        <w:pStyle w:val="NormalWeb"/>
        <w:rPr>
          <w:b/>
          <w:bCs/>
        </w:rPr>
      </w:pPr>
      <w:r w:rsidRPr="00CE1D90">
        <w:rPr>
          <w:b/>
          <w:bCs/>
        </w:rPr>
        <w:t>3.2.1 Kirsten Rat Sarcoma Viral Oncogene Homolog</w:t>
      </w:r>
      <w:r w:rsidR="00754674" w:rsidRPr="00CE1D90">
        <w:rPr>
          <w:b/>
          <w:bCs/>
        </w:rPr>
        <w:t xml:space="preserve"> (KRAS) </w:t>
      </w:r>
      <w:r w:rsidRPr="00CE1D90">
        <w:rPr>
          <w:b/>
          <w:bCs/>
        </w:rPr>
        <w:t>and the Limits of the Oncogene Paradigm</w:t>
      </w:r>
    </w:p>
    <w:p w14:paraId="5B0ED1CC" w14:textId="77777777" w:rsidR="00D42F69" w:rsidRPr="00D42F69" w:rsidRDefault="00D42F69" w:rsidP="00D42F69">
      <w:pPr>
        <w:spacing w:before="100" w:beforeAutospacing="1" w:after="100" w:afterAutospacing="1" w:line="240" w:lineRule="auto"/>
        <w:rPr>
          <w:rFonts w:ascii="Times New Roman" w:eastAsia="Times New Roman" w:hAnsi="Times New Roman" w:cs="Times New Roman"/>
          <w:sz w:val="24"/>
          <w:szCs w:val="24"/>
          <w:lang w:val="en-US" w:eastAsia="en-US"/>
        </w:rPr>
      </w:pPr>
      <w:r w:rsidRPr="00D42F69">
        <w:rPr>
          <w:rFonts w:ascii="Times New Roman" w:eastAsia="Times New Roman" w:hAnsi="Times New Roman" w:cs="Times New Roman"/>
          <w:sz w:val="24"/>
          <w:szCs w:val="24"/>
          <w:lang w:val="en-US" w:eastAsia="en-US"/>
        </w:rPr>
        <w:t>Activating mutations in KRAS are present in the vast majority of pancreatic ductal adenocarcinoma (PDAC) cases and generally arise early in tumor development [12]. The discovery of RAS oncogenes, building on the foundational work of Mariano Barbacid, established the concept of oncogene addiction as a cornerstone of modern cancer biology. While this framework has greatly enhanced our understanding of tumor behavior, translating KRAS-targeted strategies into effective therapies for pancreatic cancer has proven highly challenging.</w:t>
      </w:r>
    </w:p>
    <w:p w14:paraId="629362F3" w14:textId="77777777" w:rsidR="00D42F69" w:rsidRPr="00D42F69" w:rsidRDefault="00D42F69" w:rsidP="00D42F69">
      <w:pPr>
        <w:spacing w:before="100" w:beforeAutospacing="1" w:after="100" w:afterAutospacing="1" w:line="240" w:lineRule="auto"/>
        <w:rPr>
          <w:rFonts w:ascii="Times New Roman" w:eastAsia="Times New Roman" w:hAnsi="Times New Roman" w:cs="Times New Roman"/>
          <w:sz w:val="24"/>
          <w:szCs w:val="24"/>
          <w:lang w:val="en-US" w:eastAsia="en-US"/>
        </w:rPr>
      </w:pPr>
      <w:r w:rsidRPr="00D42F69">
        <w:rPr>
          <w:rFonts w:ascii="Times New Roman" w:eastAsia="Times New Roman" w:hAnsi="Times New Roman" w:cs="Times New Roman"/>
          <w:sz w:val="24"/>
          <w:szCs w:val="24"/>
          <w:lang w:val="en-US" w:eastAsia="en-US"/>
        </w:rPr>
        <w:t>KRAS activates multiple downstream pathways, including Mitogen-Activated Protein Kinase (MAPK), Phosphoinositide 3-Kinase–Protein Kinase B (PI3K–AKT), and Ral Guanine Nucleotide Dissociation Stimulator (RAL-GDS). The overlap and redundancy among these pathways allow tumor cells to bypass interventions aimed at a single target [12]. Although preclinical studies in mice and cell lines often demonstrated strong suppression of tumor growth, these models cannot fully replicate the complex tumor microenvironment in humans, which includes dense stroma, immune interactions, and heterogeneous cell populations [13].</w:t>
      </w:r>
    </w:p>
    <w:p w14:paraId="4B47F2B9" w14:textId="77777777" w:rsidR="00D42F69" w:rsidRPr="00D42F69" w:rsidRDefault="00D42F69" w:rsidP="00D42F69">
      <w:pPr>
        <w:spacing w:before="100" w:beforeAutospacing="1" w:after="100" w:afterAutospacing="1" w:line="240" w:lineRule="auto"/>
        <w:rPr>
          <w:rFonts w:ascii="Times New Roman" w:eastAsia="Times New Roman" w:hAnsi="Times New Roman" w:cs="Times New Roman"/>
          <w:sz w:val="24"/>
          <w:szCs w:val="24"/>
          <w:lang w:val="en-US" w:eastAsia="en-US"/>
        </w:rPr>
      </w:pPr>
      <w:r w:rsidRPr="00D42F69">
        <w:rPr>
          <w:rFonts w:ascii="Times New Roman" w:eastAsia="Times New Roman" w:hAnsi="Times New Roman" w:cs="Times New Roman"/>
          <w:sz w:val="24"/>
          <w:szCs w:val="24"/>
          <w:lang w:val="en-US" w:eastAsia="en-US"/>
        </w:rPr>
        <w:t>In clinical trials, therapies designed to inhibit KRAS or its downstream effectors consistently fell short, providing only modest survival benefits and frequently causing significant side effects. Many of these trials were underpowered, included patients with diverse co-mutations, and lacked effective stratification, further limiting the ability to detect meaningful benefits [12]. These repeated setbacks underscore a critical lesson: strategies that succeed in controlled experimental systems do not always translate into durable clinical outcomes, highlighting the need for models and trial designs that more accurately reflect human disease biology.</w:t>
      </w:r>
    </w:p>
    <w:p w14:paraId="22377302" w14:textId="570FE33A" w:rsidR="00D42F69" w:rsidRPr="00D42F69" w:rsidRDefault="00D42F69" w:rsidP="00D42F69">
      <w:pPr>
        <w:spacing w:line="240" w:lineRule="auto"/>
        <w:rPr>
          <w:rFonts w:ascii="Times New Roman" w:eastAsia="Times New Roman" w:hAnsi="Times New Roman" w:cs="Times New Roman"/>
          <w:sz w:val="24"/>
          <w:szCs w:val="24"/>
          <w:lang w:val="en-US" w:eastAsia="en-US"/>
        </w:rPr>
      </w:pPr>
    </w:p>
    <w:p w14:paraId="5D8C6F45" w14:textId="0B557A48" w:rsidR="00754674" w:rsidRPr="00CE1D90" w:rsidRDefault="0070370B" w:rsidP="0070370B">
      <w:pPr>
        <w:spacing w:before="100" w:beforeAutospacing="1" w:after="100" w:afterAutospacing="1" w:line="240" w:lineRule="auto"/>
        <w:rPr>
          <w:rFonts w:ascii="Times New Roman" w:eastAsia="Times New Roman" w:hAnsi="Times New Roman" w:cs="Times New Roman"/>
          <w:b/>
          <w:bCs/>
          <w:sz w:val="24"/>
          <w:szCs w:val="24"/>
          <w:lang w:val="en-US" w:eastAsia="en-US"/>
        </w:rPr>
      </w:pPr>
      <w:r w:rsidRPr="00CE1D90">
        <w:rPr>
          <w:rFonts w:ascii="Times New Roman" w:eastAsia="Times New Roman" w:hAnsi="Times New Roman" w:cs="Times New Roman"/>
          <w:b/>
          <w:bCs/>
          <w:sz w:val="24"/>
          <w:szCs w:val="24"/>
          <w:lang w:val="en-US" w:eastAsia="en-US"/>
        </w:rPr>
        <w:t xml:space="preserve">3.2.2 Tumor Protein </w:t>
      </w:r>
      <w:r w:rsidR="007D0D47" w:rsidRPr="00CE1D90">
        <w:rPr>
          <w:rFonts w:ascii="Times New Roman" w:eastAsia="Times New Roman" w:hAnsi="Times New Roman" w:cs="Times New Roman"/>
          <w:b/>
          <w:bCs/>
          <w:sz w:val="24"/>
          <w:szCs w:val="24"/>
          <w:lang w:val="en-US" w:eastAsia="en-US"/>
        </w:rPr>
        <w:t>53, Cyclin</w:t>
      </w:r>
      <w:r w:rsidRPr="00CE1D90">
        <w:rPr>
          <w:rFonts w:ascii="Times New Roman" w:eastAsia="Times New Roman" w:hAnsi="Times New Roman" w:cs="Times New Roman"/>
          <w:b/>
          <w:bCs/>
          <w:sz w:val="24"/>
          <w:szCs w:val="24"/>
          <w:lang w:val="en-US" w:eastAsia="en-US"/>
        </w:rPr>
        <w:noBreakHyphen/>
        <w:t>Dependent Kinase Inhibitor 2A</w:t>
      </w:r>
      <w:r w:rsidR="00754674" w:rsidRPr="00CE1D90">
        <w:rPr>
          <w:rFonts w:ascii="Times New Roman" w:eastAsia="Times New Roman" w:hAnsi="Times New Roman" w:cs="Times New Roman"/>
          <w:b/>
          <w:bCs/>
          <w:sz w:val="24"/>
          <w:szCs w:val="24"/>
          <w:lang w:val="en-US" w:eastAsia="en-US"/>
        </w:rPr>
        <w:t>,</w:t>
      </w:r>
      <w:r w:rsidRPr="00CE1D90">
        <w:rPr>
          <w:rFonts w:ascii="Times New Roman" w:eastAsia="Times New Roman" w:hAnsi="Times New Roman" w:cs="Times New Roman"/>
          <w:b/>
          <w:bCs/>
          <w:sz w:val="24"/>
          <w:szCs w:val="24"/>
          <w:lang w:val="en-US" w:eastAsia="en-US"/>
        </w:rPr>
        <w:t xml:space="preserve"> Mothers Against Decapentaplegic Homolog 4, and Disease Progression</w:t>
      </w:r>
    </w:p>
    <w:p w14:paraId="18AA9A54" w14:textId="77777777" w:rsidR="00D42F69" w:rsidRPr="00CE1D90" w:rsidRDefault="0070370B" w:rsidP="00D42F69">
      <w:pPr>
        <w:pStyle w:val="NormalWeb"/>
      </w:pPr>
      <w:r w:rsidRPr="00CE1D90">
        <w:br/>
      </w:r>
      <w:r w:rsidR="00D42F69" w:rsidRPr="00CE1D90">
        <w:t xml:space="preserve">Beyond KRAS, frequent alterations in TP53 (Tumor Protein 53), CDKN2A (Cyclin Dependent Kinase Inhibitor 2A), and SMAD4 (Mothers Against Decapentaplegic Homolog 4) drive PDAC progression by promoting genomic instability, disrupting cell cycle control, and enhancing metastatic potential [13]. In particular, loss of SMAD4 is linked to more aggressive disease and </w:t>
      </w:r>
      <w:r w:rsidR="00D42F69" w:rsidRPr="00CE1D90">
        <w:lastRenderedPageBreak/>
        <w:t>poorer outcomes [13]. These mutations do not act in isolation; instead, they interact in ways that allow tumor cells to adopt diverse behaviors and resist therapy.</w:t>
      </w:r>
    </w:p>
    <w:p w14:paraId="63EF4D39" w14:textId="77777777" w:rsidR="00D42F69" w:rsidRPr="00D42F69" w:rsidRDefault="00D42F69" w:rsidP="00D42F69">
      <w:pPr>
        <w:spacing w:before="100" w:beforeAutospacing="1" w:after="100" w:afterAutospacing="1" w:line="240" w:lineRule="auto"/>
        <w:rPr>
          <w:rFonts w:ascii="Times New Roman" w:eastAsia="Times New Roman" w:hAnsi="Times New Roman" w:cs="Times New Roman"/>
          <w:sz w:val="24"/>
          <w:szCs w:val="24"/>
          <w:lang w:val="en-US" w:eastAsia="en-US"/>
        </w:rPr>
      </w:pPr>
      <w:r w:rsidRPr="00D42F69">
        <w:rPr>
          <w:rFonts w:ascii="Times New Roman" w:eastAsia="Times New Roman" w:hAnsi="Times New Roman" w:cs="Times New Roman"/>
          <w:sz w:val="24"/>
          <w:szCs w:val="24"/>
          <w:lang w:val="en-US" w:eastAsia="en-US"/>
        </w:rPr>
        <w:t>Despite their prevalence, efforts to target the pathways affected by these tumor suppressors have largely failed in clinical trials, illustrating the challenge of translating mechanistic insights into effective treatments. Many studies did not stratify patients based on co-existing mutations, which reduced statistical power and made it harder to detect meaningful effects in specific subgroups [12]. Functional redundancy and tumor heterogeneity mean that even well-designed preclinical studies can overestimate therapeutic efficacy.</w:t>
      </w:r>
    </w:p>
    <w:p w14:paraId="6E727333" w14:textId="77777777" w:rsidR="00D42F69" w:rsidRPr="00D42F69" w:rsidRDefault="00D42F69" w:rsidP="00D42F69">
      <w:pPr>
        <w:spacing w:before="100" w:beforeAutospacing="1" w:after="100" w:afterAutospacing="1" w:line="240" w:lineRule="auto"/>
        <w:rPr>
          <w:rFonts w:ascii="Times New Roman" w:eastAsia="Times New Roman" w:hAnsi="Times New Roman" w:cs="Times New Roman"/>
          <w:sz w:val="24"/>
          <w:szCs w:val="24"/>
          <w:lang w:val="en-US" w:eastAsia="en-US"/>
        </w:rPr>
      </w:pPr>
      <w:r w:rsidRPr="00D42F69">
        <w:rPr>
          <w:rFonts w:ascii="Times New Roman" w:eastAsia="Times New Roman" w:hAnsi="Times New Roman" w:cs="Times New Roman"/>
          <w:sz w:val="24"/>
          <w:szCs w:val="24"/>
          <w:lang w:val="en-US" w:eastAsia="en-US"/>
        </w:rPr>
        <w:t>Taken together, these factors highlight the translational limits of targeting tumor suppressors and complex mutational networks in PDAC. They also emphasize the need for experimental systems and clinical trial designs that more accurately reflect the biology of human tumors.</w:t>
      </w:r>
    </w:p>
    <w:p w14:paraId="3272C165" w14:textId="3B0BD9CE" w:rsidR="0070370B" w:rsidRPr="00CE1D90" w:rsidRDefault="0070370B" w:rsidP="0070370B">
      <w:pPr>
        <w:spacing w:before="100" w:beforeAutospacing="1" w:after="100" w:afterAutospacing="1" w:line="240" w:lineRule="auto"/>
        <w:rPr>
          <w:rFonts w:ascii="Times New Roman" w:eastAsia="Times New Roman" w:hAnsi="Times New Roman" w:cs="Times New Roman"/>
          <w:sz w:val="24"/>
          <w:szCs w:val="24"/>
          <w:lang w:val="en-US" w:eastAsia="en-US"/>
        </w:rPr>
      </w:pPr>
    </w:p>
    <w:p w14:paraId="4B005B62" w14:textId="77777777" w:rsidR="001A3D50" w:rsidRPr="00CE1D90" w:rsidRDefault="0070370B" w:rsidP="001A3D50">
      <w:pPr>
        <w:pStyle w:val="NormalWeb"/>
      </w:pPr>
      <w:r w:rsidRPr="00CE1D90">
        <w:rPr>
          <w:b/>
          <w:bCs/>
        </w:rPr>
        <w:t>3.3 Epigenetic Regulation and Transcriptional Plasticity</w:t>
      </w:r>
      <w:r w:rsidRPr="00CE1D90">
        <w:br/>
      </w:r>
      <w:r w:rsidR="001A3D50" w:rsidRPr="00CE1D90">
        <w:t>Epigenetic reprogramming plays a central role in PDAC progression and in the development of resistance to therapy. Mechanisms such as changes in chromatin organization, DNA methylation, and histone modifications allow tumor cells to rapidly adjust gene expression in response to environmental stress, including chemotherapy or targeted treatments [14,15]. This transcriptional flexibility enables PDAC cells to shift between different molecular states, helping them evade therapies aimed at specific signaling pathways.</w:t>
      </w:r>
    </w:p>
    <w:p w14:paraId="67BE9A29" w14:textId="77777777" w:rsidR="001A3D50" w:rsidRPr="001A3D50" w:rsidRDefault="001A3D50" w:rsidP="001A3D50">
      <w:pPr>
        <w:spacing w:before="100" w:beforeAutospacing="1" w:after="100" w:afterAutospacing="1" w:line="240" w:lineRule="auto"/>
        <w:rPr>
          <w:rFonts w:ascii="Times New Roman" w:eastAsia="Times New Roman" w:hAnsi="Times New Roman" w:cs="Times New Roman"/>
          <w:sz w:val="24"/>
          <w:szCs w:val="24"/>
          <w:lang w:val="en-US" w:eastAsia="en-US"/>
        </w:rPr>
      </w:pPr>
      <w:r w:rsidRPr="001A3D50">
        <w:rPr>
          <w:rFonts w:ascii="Times New Roman" w:eastAsia="Times New Roman" w:hAnsi="Times New Roman" w:cs="Times New Roman"/>
          <w:sz w:val="24"/>
          <w:szCs w:val="24"/>
          <w:lang w:val="en-US" w:eastAsia="en-US"/>
        </w:rPr>
        <w:t>Unlike fixed genetic mutations, epigenetic states are dynamic and highly context-dependent, which makes them difficult to target consistently in patients. While preclinical models have shown promise for drugs targeting epigenetic regulators, translating these findings into meaningful clinical benefit has been limited. Many studies are constrained by small sample sizes, inadequate patient stratification, and reliance on simplified experimental systems that fail to capture the full complexity of human tumors [14].</w:t>
      </w:r>
    </w:p>
    <w:p w14:paraId="162D15C0" w14:textId="77777777" w:rsidR="001A3D50" w:rsidRPr="001A3D50" w:rsidRDefault="001A3D50" w:rsidP="001A3D50">
      <w:pPr>
        <w:spacing w:before="100" w:beforeAutospacing="1" w:after="100" w:afterAutospacing="1" w:line="240" w:lineRule="auto"/>
        <w:rPr>
          <w:rFonts w:ascii="Times New Roman" w:eastAsia="Times New Roman" w:hAnsi="Times New Roman" w:cs="Times New Roman"/>
          <w:sz w:val="24"/>
          <w:szCs w:val="24"/>
          <w:lang w:val="en-US" w:eastAsia="en-US"/>
        </w:rPr>
      </w:pPr>
      <w:r w:rsidRPr="001A3D50">
        <w:rPr>
          <w:rFonts w:ascii="Times New Roman" w:eastAsia="Times New Roman" w:hAnsi="Times New Roman" w:cs="Times New Roman"/>
          <w:sz w:val="24"/>
          <w:szCs w:val="24"/>
          <w:lang w:val="en-US" w:eastAsia="en-US"/>
        </w:rPr>
        <w:t>In addition, epigenetic drugs often face challenges related to toxicity and limited specificity, and it remains difficult to predict which patients will respond. Together, these factors show that although epigenetic mechanisms represent attractive therapeutic targets, current strategies tend to overestimate efficacy and underestimate clinical complexity. This underscores the need for more robust translational models and carefully designed clinical trials that better reflect the biology of human PDAC.</w:t>
      </w:r>
    </w:p>
    <w:p w14:paraId="00FCB27A" w14:textId="6D05077D" w:rsidR="001A3D50" w:rsidRPr="001A3D50" w:rsidRDefault="001A3D50" w:rsidP="001A3D50">
      <w:pPr>
        <w:spacing w:line="240" w:lineRule="auto"/>
        <w:rPr>
          <w:rFonts w:ascii="Times New Roman" w:eastAsia="Times New Roman" w:hAnsi="Times New Roman" w:cs="Times New Roman"/>
          <w:sz w:val="24"/>
          <w:szCs w:val="24"/>
          <w:lang w:val="en-US" w:eastAsia="en-US"/>
        </w:rPr>
      </w:pPr>
    </w:p>
    <w:p w14:paraId="77720466" w14:textId="7957936F" w:rsidR="0070370B" w:rsidRPr="00CE1D90" w:rsidRDefault="0070370B" w:rsidP="0070370B">
      <w:pPr>
        <w:spacing w:before="100" w:beforeAutospacing="1" w:after="100" w:afterAutospacing="1" w:line="240" w:lineRule="auto"/>
        <w:rPr>
          <w:rFonts w:ascii="Times New Roman" w:eastAsia="Times New Roman" w:hAnsi="Times New Roman" w:cs="Times New Roman"/>
          <w:sz w:val="24"/>
          <w:szCs w:val="24"/>
          <w:lang w:val="en-US" w:eastAsia="en-US"/>
        </w:rPr>
      </w:pPr>
    </w:p>
    <w:p w14:paraId="274D3240" w14:textId="34EDC3A0" w:rsidR="001A3D50" w:rsidRPr="00CE1D90" w:rsidRDefault="0070370B" w:rsidP="001A3D50">
      <w:pPr>
        <w:pStyle w:val="NormalWeb"/>
      </w:pPr>
      <w:r w:rsidRPr="00CE1D90">
        <w:rPr>
          <w:b/>
          <w:bCs/>
        </w:rPr>
        <w:t>3.4 Tumor Heterogeneity as a Barrier to Translation</w:t>
      </w:r>
      <w:r w:rsidRPr="00CE1D90">
        <w:br/>
      </w:r>
      <w:r w:rsidR="001A3D50" w:rsidRPr="00CE1D90">
        <w:t xml:space="preserve"> Tumor heterogeneity is a defining characteristic of PDAC, occurring both within individual tumors (intratumoral heterogeneity) and across patients (intertumoral heterogeneity</w:t>
      </w:r>
      <w:r w:rsidR="007D0D47" w:rsidRPr="00CE1D90">
        <w:t>).</w:t>
      </w:r>
      <w:r w:rsidR="001A3D50" w:rsidRPr="00CE1D90">
        <w:t xml:space="preserve"> Within a single tumor, different </w:t>
      </w:r>
      <w:r w:rsidR="007D0D47" w:rsidRPr="00CE1D90">
        <w:t>sub clonal</w:t>
      </w:r>
      <w:r w:rsidR="001A3D50" w:rsidRPr="00CE1D90">
        <w:t xml:space="preserve"> populations can harbor distinct genetic and epigenetic </w:t>
      </w:r>
      <w:r w:rsidR="001A3D50" w:rsidRPr="00CE1D90">
        <w:lastRenderedPageBreak/>
        <w:t>alterations, allowing some cells to survive therapy while others are eliminated. This intratumoral diversity enables resistant clones to expand under selective pressure, often leading to rapid relapse and treatment failure [16].</w:t>
      </w:r>
    </w:p>
    <w:p w14:paraId="578D8D14" w14:textId="3DDDCA0A" w:rsidR="001A3D50" w:rsidRPr="001A3D50" w:rsidRDefault="001A3D50" w:rsidP="001A3D50">
      <w:pPr>
        <w:spacing w:before="100" w:beforeAutospacing="1" w:after="100" w:afterAutospacing="1" w:line="240" w:lineRule="auto"/>
        <w:rPr>
          <w:rFonts w:ascii="Times New Roman" w:eastAsia="Times New Roman" w:hAnsi="Times New Roman" w:cs="Times New Roman"/>
          <w:sz w:val="24"/>
          <w:szCs w:val="24"/>
          <w:lang w:val="en-US" w:eastAsia="en-US"/>
        </w:rPr>
      </w:pPr>
      <w:r w:rsidRPr="001A3D50">
        <w:rPr>
          <w:rFonts w:ascii="Times New Roman" w:eastAsia="Times New Roman" w:hAnsi="Times New Roman" w:cs="Times New Roman"/>
          <w:sz w:val="24"/>
          <w:szCs w:val="24"/>
          <w:lang w:val="en-US" w:eastAsia="en-US"/>
        </w:rPr>
        <w:t>Across patients, intertumoral heterogeneity further complicates treatment. Two patients with tumors that appear histologically similar may have vastly different molecular profiles, resulting in highly variable responses to the same therapy. This variability can dilute the measurable effect of treatments in clinical trials, as potential benefits in responsive subgroups are masked by the lack of effect in non-responsive patients</w:t>
      </w:r>
      <w:r w:rsidRPr="00CE1D90">
        <w:rPr>
          <w:rFonts w:ascii="Times New Roman" w:eastAsia="Times New Roman" w:hAnsi="Times New Roman" w:cs="Times New Roman"/>
          <w:sz w:val="24"/>
          <w:szCs w:val="24"/>
          <w:lang w:val="en-US" w:eastAsia="en-US"/>
        </w:rPr>
        <w:t xml:space="preserve"> [16]</w:t>
      </w:r>
      <w:r w:rsidRPr="001A3D50">
        <w:rPr>
          <w:rFonts w:ascii="Times New Roman" w:eastAsia="Times New Roman" w:hAnsi="Times New Roman" w:cs="Times New Roman"/>
          <w:sz w:val="24"/>
          <w:szCs w:val="24"/>
          <w:lang w:val="en-US" w:eastAsia="en-US"/>
        </w:rPr>
        <w:t>.</w:t>
      </w:r>
    </w:p>
    <w:p w14:paraId="6C6A0B35" w14:textId="2DE40D8F" w:rsidR="001A3D50" w:rsidRPr="001A3D50" w:rsidRDefault="001A3D50" w:rsidP="001A3D50">
      <w:pPr>
        <w:spacing w:before="100" w:beforeAutospacing="1" w:after="100" w:afterAutospacing="1" w:line="240" w:lineRule="auto"/>
        <w:rPr>
          <w:rFonts w:ascii="Times New Roman" w:eastAsia="Times New Roman" w:hAnsi="Times New Roman" w:cs="Times New Roman"/>
          <w:sz w:val="24"/>
          <w:szCs w:val="24"/>
          <w:lang w:val="en-US" w:eastAsia="en-US"/>
        </w:rPr>
      </w:pPr>
      <w:r w:rsidRPr="001A3D50">
        <w:rPr>
          <w:rFonts w:ascii="Times New Roman" w:eastAsia="Times New Roman" w:hAnsi="Times New Roman" w:cs="Times New Roman"/>
          <w:sz w:val="24"/>
          <w:szCs w:val="24"/>
          <w:lang w:val="en-US" w:eastAsia="en-US"/>
        </w:rPr>
        <w:t>Tumor heterogeneity also undermines the reliability of single biomarkers for diagnosis, prognosis, and treatment selection. Biomarkers that accurately reflect one tumor region may fail to capture the full spectrum of disease within that tumor or across the patient population. Similarly, preclinical models often fail to recapitulate this complexity, leading to an overestimation of therapeutic efficacy in controlled experimental settings. As a result, therapies that appear promising in cell lines or animal models frequently underperform in human trials</w:t>
      </w:r>
      <w:r w:rsidR="00CE1D90" w:rsidRPr="00CE1D90">
        <w:rPr>
          <w:rFonts w:ascii="Times New Roman" w:eastAsia="Times New Roman" w:hAnsi="Times New Roman" w:cs="Times New Roman"/>
          <w:sz w:val="24"/>
          <w:szCs w:val="24"/>
          <w:lang w:val="en-US" w:eastAsia="en-US"/>
        </w:rPr>
        <w:t xml:space="preserve"> [17]</w:t>
      </w:r>
      <w:r w:rsidRPr="001A3D50">
        <w:rPr>
          <w:rFonts w:ascii="Times New Roman" w:eastAsia="Times New Roman" w:hAnsi="Times New Roman" w:cs="Times New Roman"/>
          <w:sz w:val="24"/>
          <w:szCs w:val="24"/>
          <w:lang w:val="en-US" w:eastAsia="en-US"/>
        </w:rPr>
        <w:t>.</w:t>
      </w:r>
    </w:p>
    <w:p w14:paraId="3B3CF361" w14:textId="6806FEA1" w:rsidR="001A3D50" w:rsidRPr="001A3D50" w:rsidRDefault="001A3D50" w:rsidP="001A3D50">
      <w:pPr>
        <w:spacing w:before="100" w:beforeAutospacing="1" w:after="100" w:afterAutospacing="1" w:line="240" w:lineRule="auto"/>
        <w:rPr>
          <w:rFonts w:ascii="Times New Roman" w:eastAsia="Times New Roman" w:hAnsi="Times New Roman" w:cs="Times New Roman"/>
          <w:sz w:val="24"/>
          <w:szCs w:val="24"/>
          <w:lang w:val="en-US" w:eastAsia="en-US"/>
        </w:rPr>
      </w:pPr>
      <w:r w:rsidRPr="001A3D50">
        <w:rPr>
          <w:rFonts w:ascii="Times New Roman" w:eastAsia="Times New Roman" w:hAnsi="Times New Roman" w:cs="Times New Roman"/>
          <w:sz w:val="24"/>
          <w:szCs w:val="24"/>
          <w:lang w:val="en-US" w:eastAsia="en-US"/>
        </w:rPr>
        <w:t>Recognizing and addressing tumor heterogeneity is therefore critical for improving translational research in PDAC. Strategies such as multi-region tumor sampling, single-cell sequencing, and patient-derived organoids are being developed to better capture intratumoral diversity. In parallel, clinical trial designs that incorporate molecular stratification and adaptive approaches can help identify subgroups most likely to benefit from a therapy, improving both the precision and reproducibility of outcomes. Ultimately, embracing the complexity of tumor heterogeneity is essential to developing therapies that can overcome resistance and achieve durable clinical responses in PDAC</w:t>
      </w:r>
      <w:r w:rsidRPr="00CE1D90">
        <w:rPr>
          <w:rFonts w:ascii="Times New Roman" w:eastAsia="Times New Roman" w:hAnsi="Times New Roman" w:cs="Times New Roman"/>
          <w:sz w:val="24"/>
          <w:szCs w:val="24"/>
          <w:lang w:val="en-US" w:eastAsia="en-US"/>
        </w:rPr>
        <w:t xml:space="preserve"> [17]</w:t>
      </w:r>
      <w:r w:rsidRPr="001A3D50">
        <w:rPr>
          <w:rFonts w:ascii="Times New Roman" w:eastAsia="Times New Roman" w:hAnsi="Times New Roman" w:cs="Times New Roman"/>
          <w:sz w:val="24"/>
          <w:szCs w:val="24"/>
          <w:lang w:val="en-US" w:eastAsia="en-US"/>
        </w:rPr>
        <w:t>.</w:t>
      </w:r>
    </w:p>
    <w:p w14:paraId="6C1FAC8C" w14:textId="23D56194" w:rsidR="0070370B" w:rsidRPr="00CE1D90" w:rsidRDefault="0070370B" w:rsidP="0070370B">
      <w:pPr>
        <w:spacing w:before="100" w:beforeAutospacing="1" w:after="100" w:afterAutospacing="1" w:line="240" w:lineRule="auto"/>
        <w:rPr>
          <w:rFonts w:ascii="Times New Roman" w:eastAsia="Times New Roman" w:hAnsi="Times New Roman" w:cs="Times New Roman"/>
          <w:sz w:val="24"/>
          <w:szCs w:val="24"/>
          <w:lang w:val="en-US" w:eastAsia="en-US"/>
        </w:rPr>
      </w:pPr>
    </w:p>
    <w:p w14:paraId="162B5B7E" w14:textId="77777777" w:rsidR="0070370B" w:rsidRPr="00CE1D90" w:rsidRDefault="0070370B" w:rsidP="0070370B">
      <w:pPr>
        <w:spacing w:before="100" w:beforeAutospacing="1" w:after="100" w:afterAutospacing="1" w:line="240" w:lineRule="auto"/>
        <w:rPr>
          <w:rFonts w:ascii="Times New Roman" w:eastAsia="Times New Roman" w:hAnsi="Times New Roman" w:cs="Times New Roman"/>
          <w:sz w:val="24"/>
          <w:szCs w:val="24"/>
          <w:lang w:val="en-US" w:eastAsia="en-US"/>
        </w:rPr>
      </w:pPr>
      <w:r w:rsidRPr="00CE1D90">
        <w:rPr>
          <w:rFonts w:ascii="Times New Roman" w:eastAsia="Times New Roman" w:hAnsi="Times New Roman" w:cs="Times New Roman"/>
          <w:b/>
          <w:bCs/>
          <w:sz w:val="24"/>
          <w:szCs w:val="24"/>
          <w:lang w:val="en-US" w:eastAsia="en-US"/>
        </w:rPr>
        <w:t>3.5 Cancer Stem</w:t>
      </w:r>
      <w:r w:rsidRPr="00CE1D90">
        <w:rPr>
          <w:rFonts w:ascii="Times New Roman" w:eastAsia="Times New Roman" w:hAnsi="Times New Roman" w:cs="Times New Roman"/>
          <w:b/>
          <w:bCs/>
          <w:sz w:val="24"/>
          <w:szCs w:val="24"/>
          <w:lang w:val="en-US" w:eastAsia="en-US"/>
        </w:rPr>
        <w:noBreakHyphen/>
        <w:t>Like Cells and Therapeutic Escape</w:t>
      </w:r>
      <w:r w:rsidRPr="00CE1D90">
        <w:rPr>
          <w:rFonts w:ascii="Times New Roman" w:eastAsia="Times New Roman" w:hAnsi="Times New Roman" w:cs="Times New Roman"/>
          <w:sz w:val="24"/>
          <w:szCs w:val="24"/>
          <w:lang w:val="en-US" w:eastAsia="en-US"/>
        </w:rPr>
        <w:br/>
        <w:t>Cancer stem</w:t>
      </w:r>
      <w:r w:rsidRPr="00CE1D90">
        <w:rPr>
          <w:rFonts w:ascii="Times New Roman" w:eastAsia="Times New Roman" w:hAnsi="Times New Roman" w:cs="Times New Roman"/>
          <w:sz w:val="24"/>
          <w:szCs w:val="24"/>
          <w:lang w:val="en-US" w:eastAsia="en-US"/>
        </w:rPr>
        <w:noBreakHyphen/>
        <w:t>like cells (CSCs) have been implicated in PDAC initiation, metastasis, and disease recurrence by virtue of enhanced DNA repair mechanisms, resistance to apoptosis, and reduced chemotherapy sensitivity [18]. These cells are often enriched following treatment, driving relapse and progression. Targeting CSCs has proven challenging due to their shared markers with normal stem cells and their inherent plasticity, which allows them to shift between stem</w:t>
      </w:r>
      <w:r w:rsidRPr="00CE1D90">
        <w:rPr>
          <w:rFonts w:ascii="Times New Roman" w:eastAsia="Times New Roman" w:hAnsi="Times New Roman" w:cs="Times New Roman"/>
          <w:sz w:val="24"/>
          <w:szCs w:val="24"/>
          <w:lang w:val="en-US" w:eastAsia="en-US"/>
        </w:rPr>
        <w:noBreakHyphen/>
        <w:t>like and differentiated states. Most therapeutic strategies focus on eliminating bulk tumor cells while leaving resilient subpopulations intact, explaining in part why many treatments fail despite promising preclinical results. These observations highlight a fundamental limitation of reductionist therapeutic approaches and underscore the importance of designing interventions that consider cellular hierarchies and adaptive escape mechanisms.</w:t>
      </w:r>
    </w:p>
    <w:p w14:paraId="45175E60" w14:textId="7C638241" w:rsidR="0070370B" w:rsidRPr="00CE1D90" w:rsidRDefault="0070370B" w:rsidP="0070370B">
      <w:pPr>
        <w:spacing w:before="100" w:beforeAutospacing="1" w:after="100" w:afterAutospacing="1" w:line="240" w:lineRule="auto"/>
        <w:rPr>
          <w:rFonts w:ascii="Times New Roman" w:eastAsia="Times New Roman" w:hAnsi="Times New Roman" w:cs="Times New Roman"/>
          <w:sz w:val="24"/>
          <w:szCs w:val="24"/>
          <w:lang w:val="en-US" w:eastAsia="en-US"/>
        </w:rPr>
      </w:pPr>
      <w:r w:rsidRPr="00CE1D90">
        <w:rPr>
          <w:rFonts w:ascii="Times New Roman" w:eastAsia="Times New Roman" w:hAnsi="Times New Roman" w:cs="Times New Roman"/>
          <w:sz w:val="24"/>
          <w:szCs w:val="24"/>
          <w:lang w:val="en-US" w:eastAsia="en-US"/>
        </w:rPr>
        <w:t>At the health</w:t>
      </w:r>
      <w:r w:rsidRPr="00CE1D90">
        <w:rPr>
          <w:rFonts w:ascii="Times New Roman" w:eastAsia="Times New Roman" w:hAnsi="Times New Roman" w:cs="Times New Roman"/>
          <w:sz w:val="24"/>
          <w:szCs w:val="24"/>
          <w:lang w:val="en-US" w:eastAsia="en-US"/>
        </w:rPr>
        <w:noBreakHyphen/>
        <w:t xml:space="preserve">system level, the combination of high mortality, intensive treatment demands, and limited therapeutic success generates substantial economic and emotional strain for patients, families, and healthcare providers. These realities reinforce the urgency of improving translational outcomes in pancreatic cancer, not only to extend survival but also to reduce symptom burden and meaningfully improve quality of </w:t>
      </w:r>
      <w:r w:rsidR="007D0D47" w:rsidRPr="00CE1D90">
        <w:rPr>
          <w:rFonts w:ascii="Times New Roman" w:eastAsia="Times New Roman" w:hAnsi="Times New Roman" w:cs="Times New Roman"/>
          <w:sz w:val="24"/>
          <w:szCs w:val="24"/>
          <w:lang w:val="en-US" w:eastAsia="en-US"/>
        </w:rPr>
        <w:t>life</w:t>
      </w:r>
      <w:r w:rsidR="007D0D47">
        <w:rPr>
          <w:rFonts w:ascii="Times New Roman" w:eastAsia="Times New Roman" w:hAnsi="Times New Roman" w:cs="Times New Roman"/>
          <w:sz w:val="24"/>
          <w:szCs w:val="24"/>
          <w:lang w:val="en-US" w:eastAsia="en-US"/>
        </w:rPr>
        <w:t>,</w:t>
      </w:r>
      <w:r w:rsidRPr="00CE1D90">
        <w:rPr>
          <w:rFonts w:ascii="Times New Roman" w:eastAsia="Times New Roman" w:hAnsi="Times New Roman" w:cs="Times New Roman"/>
          <w:vanish/>
          <w:sz w:val="16"/>
          <w:szCs w:val="16"/>
          <w:lang w:val="en-US" w:eastAsia="en-US"/>
        </w:rPr>
        <w:t>Bottom of Form</w:t>
      </w:r>
    </w:p>
    <w:p w14:paraId="0E47AD69" w14:textId="77777777" w:rsidR="0070370B" w:rsidRPr="00CE1D90" w:rsidRDefault="0070370B">
      <w:pPr>
        <w:spacing w:before="240" w:after="240"/>
        <w:rPr>
          <w:rFonts w:ascii="Times New Roman" w:eastAsia="Times New Roman" w:hAnsi="Times New Roman" w:cs="Times New Roman"/>
          <w:sz w:val="24"/>
          <w:szCs w:val="24"/>
        </w:rPr>
      </w:pPr>
    </w:p>
    <w:p w14:paraId="5417CBE7" w14:textId="77777777" w:rsidR="00813F84" w:rsidRPr="00CE1D90" w:rsidRDefault="00154854">
      <w:pPr>
        <w:spacing w:before="22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3.2.2 TP53, CDKN2A, SMAD4, and Disease Progression</w:t>
      </w:r>
    </w:p>
    <w:p w14:paraId="2FF64D89"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In addition to </w:t>
      </w:r>
      <w:r w:rsidRPr="00CE1D90">
        <w:rPr>
          <w:rFonts w:ascii="Times New Roman" w:eastAsia="Times New Roman" w:hAnsi="Times New Roman" w:cs="Times New Roman"/>
          <w:i/>
          <w:iCs/>
          <w:sz w:val="24"/>
          <w:szCs w:val="24"/>
        </w:rPr>
        <w:t>KRAS</w:t>
      </w:r>
      <w:r w:rsidRPr="00CE1D90">
        <w:rPr>
          <w:rFonts w:ascii="Times New Roman" w:eastAsia="Times New Roman" w:hAnsi="Times New Roman" w:cs="Times New Roman"/>
          <w:sz w:val="24"/>
          <w:szCs w:val="24"/>
        </w:rPr>
        <w:t xml:space="preserve">, recurrent alterations in </w:t>
      </w:r>
      <w:r w:rsidRPr="00CE1D90">
        <w:rPr>
          <w:rFonts w:ascii="Times New Roman" w:eastAsia="Times New Roman" w:hAnsi="Times New Roman" w:cs="Times New Roman"/>
          <w:i/>
          <w:iCs/>
          <w:sz w:val="24"/>
          <w:szCs w:val="24"/>
        </w:rPr>
        <w:t>TP53</w:t>
      </w:r>
      <w:r w:rsidRPr="00CE1D90">
        <w:rPr>
          <w:rFonts w:ascii="Times New Roman" w:eastAsia="Times New Roman" w:hAnsi="Times New Roman" w:cs="Times New Roman"/>
          <w:sz w:val="24"/>
          <w:szCs w:val="24"/>
        </w:rPr>
        <w:t xml:space="preserve">, </w:t>
      </w:r>
      <w:r w:rsidRPr="00CE1D90">
        <w:rPr>
          <w:rFonts w:ascii="Times New Roman" w:eastAsia="Times New Roman" w:hAnsi="Times New Roman" w:cs="Times New Roman"/>
          <w:i/>
          <w:iCs/>
          <w:sz w:val="24"/>
          <w:szCs w:val="24"/>
        </w:rPr>
        <w:t>CDKN2A</w:t>
      </w:r>
      <w:r w:rsidRPr="00CE1D90">
        <w:rPr>
          <w:rFonts w:ascii="Times New Roman" w:eastAsia="Times New Roman" w:hAnsi="Times New Roman" w:cs="Times New Roman"/>
          <w:sz w:val="24"/>
          <w:szCs w:val="24"/>
        </w:rPr>
        <w:t xml:space="preserve">, and </w:t>
      </w:r>
      <w:r w:rsidRPr="00CE1D90">
        <w:rPr>
          <w:rFonts w:ascii="Times New Roman" w:eastAsia="Times New Roman" w:hAnsi="Times New Roman" w:cs="Times New Roman"/>
          <w:i/>
          <w:iCs/>
          <w:sz w:val="24"/>
          <w:szCs w:val="24"/>
        </w:rPr>
        <w:t>SMAD4</w:t>
      </w:r>
      <w:r w:rsidRPr="00CE1D90">
        <w:rPr>
          <w:rFonts w:ascii="Times New Roman" w:eastAsia="Times New Roman" w:hAnsi="Times New Roman" w:cs="Times New Roman"/>
          <w:sz w:val="24"/>
          <w:szCs w:val="24"/>
        </w:rPr>
        <w:t xml:space="preserve"> shape PDAC progression by promoting genomic instability, deregulating cell-cycle control, and enhancing metastatic potential. Loss of </w:t>
      </w:r>
      <w:r w:rsidRPr="00CE1D90">
        <w:rPr>
          <w:rFonts w:ascii="Times New Roman" w:eastAsia="Times New Roman" w:hAnsi="Times New Roman" w:cs="Times New Roman"/>
          <w:i/>
          <w:iCs/>
          <w:sz w:val="24"/>
          <w:szCs w:val="24"/>
        </w:rPr>
        <w:t>SMAD4</w:t>
      </w:r>
      <w:r w:rsidRPr="00CE1D90">
        <w:rPr>
          <w:rFonts w:ascii="Times New Roman" w:eastAsia="Times New Roman" w:hAnsi="Times New Roman" w:cs="Times New Roman"/>
          <w:sz w:val="24"/>
          <w:szCs w:val="24"/>
        </w:rPr>
        <w:t xml:space="preserve"> in particular has been linked to aggressive disease behavior and poor clinical outcomes. These mutations interact rather than act independently, enabling tumor cells to adopt diverse phenotypes and resist therapeutic pressure.</w:t>
      </w:r>
    </w:p>
    <w:p w14:paraId="17095AD6" w14:textId="7266D55C"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Despite their high prevalence, these genomic alterations have not yielded effective targeted therapies. This reflects the broader challenge of drugging tumor suppressor loss and complex mutational networks. While PDAC appears </w:t>
      </w:r>
      <w:r w:rsidR="007D0D47" w:rsidRPr="00CE1D90">
        <w:rPr>
          <w:rFonts w:ascii="Times New Roman" w:eastAsia="Times New Roman" w:hAnsi="Times New Roman" w:cs="Times New Roman"/>
          <w:sz w:val="24"/>
          <w:szCs w:val="24"/>
        </w:rPr>
        <w:t>gnomically</w:t>
      </w:r>
      <w:r w:rsidRPr="00CE1D90">
        <w:rPr>
          <w:rFonts w:ascii="Times New Roman" w:eastAsia="Times New Roman" w:hAnsi="Times New Roman" w:cs="Times New Roman"/>
          <w:sz w:val="24"/>
          <w:szCs w:val="24"/>
        </w:rPr>
        <w:t xml:space="preserve"> uniform at the level of common driver mutations, this apparent simplicity masks profound functional diversity, complicating translational efforts [13].</w:t>
      </w:r>
    </w:p>
    <w:p w14:paraId="5CEE83F4"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3.3 Epigenetic Regulation and Transcriptional Plasticity</w:t>
      </w:r>
    </w:p>
    <w:p w14:paraId="45491B08"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Epigenetic reprogramming plays a central role in pancreatic cancer progression and resistance to therapy. Changes in chromatin organization, DNA methylation, and histone modification allow tumor cells to rapidly adjust gene expression in response to environmental stress, including chemotherapy and targeted agents. This transcriptional flexibility enables PDAC cells to shift between molecular states and evade pathway-specific treatments.</w:t>
      </w:r>
    </w:p>
    <w:p w14:paraId="209ED142"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Unlike genetic mutations, epigenetic states are dynamic and highly context-dependent, making them difficult to target therapeutically. Although epigenetic interventions have shown promise in experimental models, clinical translation has been limited by toxicity, insufficient specificity, and challenges in identifying patients most likely to benefit [14]. </w:t>
      </w:r>
    </w:p>
    <w:p w14:paraId="07CE922B"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3.4 Tumor Heterogeneity as a Barrier to Translation</w:t>
      </w:r>
    </w:p>
    <w:p w14:paraId="1ACA3026" w14:textId="170A59EB"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Heterogeneity is a defining feature of pancreatic cancer, both within individual tumors and across patients. Intratumoral heterogeneity allows resistant </w:t>
      </w:r>
      <w:r w:rsidR="007D0D47" w:rsidRPr="00CE1D90">
        <w:rPr>
          <w:rFonts w:ascii="Times New Roman" w:eastAsia="Times New Roman" w:hAnsi="Times New Roman" w:cs="Times New Roman"/>
          <w:sz w:val="24"/>
          <w:szCs w:val="24"/>
        </w:rPr>
        <w:t>sub clonal</w:t>
      </w:r>
      <w:r w:rsidRPr="00CE1D90">
        <w:rPr>
          <w:rFonts w:ascii="Times New Roman" w:eastAsia="Times New Roman" w:hAnsi="Times New Roman" w:cs="Times New Roman"/>
          <w:sz w:val="24"/>
          <w:szCs w:val="24"/>
        </w:rPr>
        <w:t xml:space="preserve"> populations to survive treatment and expand under selective pressure, driving rapid therapeutic failure. At the same time, intertumoral heterogeneity dilutes treatment effects when therapies are tested in broadly defined patient populations [13].</w:t>
      </w:r>
    </w:p>
    <w:p w14:paraId="59A5E1F1"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This biological diversity undermines the reliability of single biomarkers and complicates the design and interpretation of clinical trials. Treatments that perform well in molecularly uniform experimental systems often fail when confronted with the layered complexity of human PDAC.</w:t>
      </w:r>
    </w:p>
    <w:p w14:paraId="4BD9C6F9" w14:textId="77777777" w:rsidR="00813F84" w:rsidRPr="00CE1D90" w:rsidRDefault="00813F84">
      <w:pPr>
        <w:spacing w:before="240" w:after="40"/>
        <w:rPr>
          <w:rFonts w:ascii="Times New Roman" w:eastAsia="Times New Roman" w:hAnsi="Times New Roman" w:cs="Times New Roman"/>
          <w:b/>
          <w:bCs/>
          <w:sz w:val="24"/>
          <w:szCs w:val="24"/>
        </w:rPr>
      </w:pPr>
    </w:p>
    <w:p w14:paraId="7CB311EC" w14:textId="77777777" w:rsidR="00813F84" w:rsidRPr="00CE1D90" w:rsidRDefault="00154854">
      <w:pPr>
        <w:spacing w:before="240" w:after="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lastRenderedPageBreak/>
        <w:t>3.5 Cancer Stem-Like Cells and Therapeutic Escape</w:t>
      </w:r>
    </w:p>
    <w:p w14:paraId="7CC39845"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Cancer stem-like cells have been implicated in PDAC initiation, metastasis, and recurrence. These cells display enhanced DNA repair mechanisms, resistance to apoptosis, and reduced sensitivity to chemotherapy and radiation. Notably, they often become enriched following treatment, contributing to disease relapse and progression.</w:t>
      </w:r>
    </w:p>
    <w:p w14:paraId="76B593E9"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Efforts to target cancer stem cells have been hindered by shared markers with normal stem cells and the inherent plasticity of stem-like states. Nevertheless, their role in therapeutic escape highlights a fundamental limitation of strategies that focus exclusively on eliminating bulk tumor cells while leaving resilient subpopulations intact.</w:t>
      </w:r>
    </w:p>
    <w:p w14:paraId="2EF853CC"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 </w:t>
      </w:r>
    </w:p>
    <w:p w14:paraId="07B38038"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At the health-system level, the combination of high mortality, intensive treatment demands, and limited therapeutic success generates substantial economic and emotional strain. These realities reinforce the urgency of improving translational outcomes in pancreatic cancer, not only to extend survival but also to reduce symptom burden and meaningfully improve quality of life. To illustrate this multi-level translational gap, Figure 1 presents a structured overview of the key biological and clinical barriers that limit therapeutic success in pancreatic cancer.</w:t>
      </w:r>
    </w:p>
    <w:p w14:paraId="0C4AA649" w14:textId="77777777" w:rsidR="00813F84" w:rsidRPr="00CE1D90" w:rsidRDefault="00813F84">
      <w:pPr>
        <w:spacing w:before="240" w:after="240"/>
        <w:rPr>
          <w:rFonts w:ascii="Times New Roman" w:eastAsia="Times New Roman" w:hAnsi="Times New Roman" w:cs="Times New Roman"/>
          <w:sz w:val="24"/>
          <w:szCs w:val="24"/>
        </w:rPr>
      </w:pPr>
    </w:p>
    <w:p w14:paraId="26D9EC01"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noProof/>
          <w:sz w:val="24"/>
          <w:szCs w:val="24"/>
        </w:rPr>
        <w:lastRenderedPageBreak/>
        <w:drawing>
          <wp:inline distT="114300" distB="114300" distL="114300" distR="114300" wp14:anchorId="12A3C08D" wp14:editId="2F1E8C3C">
            <wp:extent cx="4630066" cy="69770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30066" cy="6977063"/>
                    </a:xfrm>
                    <a:prstGeom prst="rect">
                      <a:avLst/>
                    </a:prstGeom>
                    <a:ln/>
                  </pic:spPr>
                </pic:pic>
              </a:graphicData>
            </a:graphic>
          </wp:inline>
        </w:drawing>
      </w:r>
    </w:p>
    <w:p w14:paraId="113F9FA8"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Figure 1: This schematic illustrates the progressive barriers in pancreatic cancer therapeutics from molecular discovery to clinical outcomes. Each layer highlights specific biological, preclinical, and clinical challenges that contribute to the translational gap, ultimately affecting patient survival and response rates.</w:t>
      </w:r>
    </w:p>
    <w:p w14:paraId="50DCB9D6" w14:textId="77777777" w:rsidR="00813F84" w:rsidRPr="00CE1D90" w:rsidRDefault="00813F84">
      <w:pPr>
        <w:spacing w:before="240" w:after="240"/>
        <w:rPr>
          <w:rFonts w:ascii="Times New Roman" w:eastAsia="Times New Roman" w:hAnsi="Times New Roman" w:cs="Times New Roman"/>
          <w:b/>
          <w:bCs/>
          <w:sz w:val="24"/>
          <w:szCs w:val="24"/>
        </w:rPr>
      </w:pPr>
    </w:p>
    <w:p w14:paraId="3ED21D5C"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4. Preclinical Discoveries at the Bench</w:t>
      </w:r>
    </w:p>
    <w:p w14:paraId="1DBD2B5D"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ductal adenocarcinoma (PDAC) has long challenged the expectation that biological insight directly translates into effective therapies. Despite decades of laboratory work, clinical progress remains modest. highlighting a disease sustained by interconnected survival mechanisms, including oncogenic signaling, metabolic flexibility, immune suppression, and physical barriers to treatment [15]. Early translational failures exposed the limitations of targeting isolated pathways, prompting a shift toward integrative preclinical models that account for tumor complexity.</w:t>
      </w:r>
    </w:p>
    <w:p w14:paraId="7D35598F" w14:textId="77777777" w:rsidR="00813F84" w:rsidRPr="00CE1D90" w:rsidRDefault="00813F84">
      <w:pPr>
        <w:spacing w:before="240" w:after="240"/>
        <w:rPr>
          <w:rFonts w:ascii="Times New Roman" w:eastAsia="Times New Roman" w:hAnsi="Times New Roman" w:cs="Times New Roman"/>
          <w:sz w:val="24"/>
          <w:szCs w:val="24"/>
        </w:rPr>
      </w:pPr>
    </w:p>
    <w:p w14:paraId="02B9CDCC"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KRAS mutations, present in the majority of PDAC cases, define the molecular identity of the disease. While foundational experiments established KRAS as sufficient to initiate tumorigenesis, its biochemical properties made direct pharmacologic inhibition historically elusive. Advances in structural biology eventually enabled mutation-specific inhibitors, yet preclinical studies show that KRAS blockade alone is insufficient due to compensatory signaling, emphasizing the need for combination strategies [16].</w:t>
      </w:r>
    </w:p>
    <w:p w14:paraId="2D18AE8D" w14:textId="30E006B9"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Defects in DNA damage repair pathways provide a distinct vulnerability: tumors with homologous recombination deficiencies rely on alternative mechanisms to maintain genomic stability. Preclinical studies demonstrate that targeting these compensatory pathways can induce selective tumor cell death through synthetic lethality, though resistance often emerges, underscoring the dynamic nature of tumor adaptation [1</w:t>
      </w:r>
      <w:r w:rsidR="00E7567B" w:rsidRPr="00CE1D90">
        <w:rPr>
          <w:rFonts w:ascii="Times New Roman" w:eastAsia="Times New Roman" w:hAnsi="Times New Roman" w:cs="Times New Roman"/>
          <w:sz w:val="24"/>
          <w:szCs w:val="24"/>
        </w:rPr>
        <w:t>2</w:t>
      </w:r>
      <w:r w:rsidRPr="00CE1D90">
        <w:rPr>
          <w:rFonts w:ascii="Times New Roman" w:eastAsia="Times New Roman" w:hAnsi="Times New Roman" w:cs="Times New Roman"/>
          <w:sz w:val="24"/>
          <w:szCs w:val="24"/>
        </w:rPr>
        <w:t>].</w:t>
      </w:r>
    </w:p>
    <w:p w14:paraId="26ED2DD8"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PDAC cells also exhibit metabolic plasticity, sustained by poor vascularization, hypoxia, and stromal support, which contributes to resistance against chemotherapy and targeted therapies. Similarly, dense stroma and dysfunctional vasculature limit drug delivery and immune infiltration, presenting obstacles to both small molecules and immunotherapy. Checkpoint inhibitors and adoptive immune strategies face these barriers, requiring combinatorial approaches that enhance access, antigen presentation, and metabolic support before achieving meaningful responses [18]. Overall, preclinical research has moved beyond linear pathway models, focusing instead on systems-level strategies that destabilize tumor biology, address resistance, and integrate the physical, metabolic, and immune context of PDAC. This framework informs current translational efforts, guiding the design of combination therapies capable of overcoming the disease’s intrinsic adaptability [19].</w:t>
      </w:r>
    </w:p>
    <w:p w14:paraId="7404810C" w14:textId="77777777" w:rsidR="00813F84" w:rsidRPr="00CE1D90" w:rsidRDefault="00813F84">
      <w:pPr>
        <w:spacing w:before="240" w:after="240"/>
        <w:rPr>
          <w:rFonts w:ascii="Times New Roman" w:eastAsia="Times New Roman" w:hAnsi="Times New Roman" w:cs="Times New Roman"/>
          <w:b/>
          <w:bCs/>
          <w:sz w:val="24"/>
          <w:szCs w:val="24"/>
        </w:rPr>
      </w:pPr>
    </w:p>
    <w:p w14:paraId="6BD7916F" w14:textId="77777777" w:rsidR="00813F84" w:rsidRPr="00CE1D90" w:rsidRDefault="00813F84">
      <w:pPr>
        <w:spacing w:before="240" w:after="240"/>
        <w:rPr>
          <w:rFonts w:ascii="Times New Roman" w:eastAsia="Times New Roman" w:hAnsi="Times New Roman" w:cs="Times New Roman"/>
          <w:b/>
          <w:bCs/>
          <w:sz w:val="24"/>
          <w:szCs w:val="24"/>
        </w:rPr>
      </w:pPr>
    </w:p>
    <w:p w14:paraId="47F334B4"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lastRenderedPageBreak/>
        <w:t>4.5 Drug Delivery Innovations</w:t>
      </w:r>
    </w:p>
    <w:p w14:paraId="5839AE16"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Across all therapeutic classes, limited drug access to tumor cells remains one of the most persistent barriers in pancreatic cancer. The dense desmoplastic stroma and poor vascular perfusion sharply restrict how much drug actually reaches the tumor, so even highly potent agents can fail if effective concentrations are not achieved. Delivery and efficacy cannot be separated. As a result, translational strategies are shifting focus from drug potency alone to overcoming the physical and biological barriers that block adequate tumor exposure. Improving delivery is now seen as essential to strengthening the impact of chemotherapy, targeted therapy, and immunotherapy alike [20].</w:t>
      </w:r>
    </w:p>
    <w:p w14:paraId="37D873E2" w14:textId="0331621E"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Nanoparticle platforms and localized delivery systems are leading efforts to address this challenge. Nanoparticles offer controlled release, improved stability, and the ability to respond to tumor-specific conditions such as hypoxia or acidic pH, but inconsistent intratumoral distribution and manufacturing complexity remain obstacles. Localized approaches, including implantable depots, ligand-directed carriers, and antibody-conjugated systems, aim to concentrate therapy directly within the tumor while limiting systemic toxicity. Although spatial heterogeneity continues to complicate uniform distribution, these strategies directly confront one of PDAC’s defining problems: therapeutic inaccessibility. Advances in delivery may therefore be critical to narrowing the bench-to-bedside </w:t>
      </w:r>
      <w:r w:rsidR="007D0D47" w:rsidRPr="00CE1D90">
        <w:rPr>
          <w:rFonts w:ascii="Times New Roman" w:eastAsia="Times New Roman" w:hAnsi="Times New Roman" w:cs="Times New Roman"/>
          <w:sz w:val="24"/>
          <w:szCs w:val="24"/>
        </w:rPr>
        <w:t>gap [</w:t>
      </w:r>
      <w:r w:rsidRPr="00CE1D90">
        <w:rPr>
          <w:rFonts w:ascii="Times New Roman" w:eastAsia="Times New Roman" w:hAnsi="Times New Roman" w:cs="Times New Roman"/>
          <w:sz w:val="24"/>
          <w:szCs w:val="24"/>
        </w:rPr>
        <w:t xml:space="preserve">20]. </w:t>
      </w:r>
    </w:p>
    <w:p w14:paraId="05E2828A" w14:textId="77777777" w:rsidR="00813F84" w:rsidRPr="00CE1D90" w:rsidRDefault="00813F84">
      <w:pPr>
        <w:spacing w:before="240" w:after="240"/>
        <w:rPr>
          <w:rFonts w:ascii="Times New Roman" w:eastAsia="Times New Roman" w:hAnsi="Times New Roman" w:cs="Times New Roman"/>
          <w:b/>
          <w:bCs/>
          <w:sz w:val="24"/>
          <w:szCs w:val="24"/>
        </w:rPr>
      </w:pPr>
    </w:p>
    <w:p w14:paraId="5DB6AF03"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5. The Tumor Microenvironment: A Translational Bottleneck</w:t>
      </w:r>
    </w:p>
    <w:p w14:paraId="4464FFD9"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Among the many barriers to effective therapy in pancreatic cancer, the tumor microenvironment is the most pervasive and difficult to overcome. Pancreatic ductal adenocarcinoma is defined less by malignant epithelial cells than by the ecosystem that surrounds and sustains them. Far from being a passive scaffold, the tumor microenvironment actively drives tumor progression, immune evasion, and therapeutic failure. Preclinical studies repeatedly show that interventions that kill isolated cancer cells often falter once the surrounding microenvironment is intact. This understanding has shifted translational focus from tumor-intrinsic biology to the complex interactions between tumor and host.</w:t>
      </w:r>
    </w:p>
    <w:p w14:paraId="71B8080A"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A hallmark of pancreatic tumors is the extensive desmoplastic stroma, which frequently occupies more space than the tumor cells themselves. Composed of collagen, hyaluronan, and other extracellular components, this fibrotic network stiffens tissue, compresses blood vessels, and limits the penetration of therapeutic agents. Beyond acting as a physical barrier, the extracellular matrix actively signals to cancer cells, promoting survival, invasion, and adaptive resistance. It is a dynamic structure, constantly remodeled during disease progression, which complicates timing and targeting of interventions. Early attempts to broadly degrade the matrix produced </w:t>
      </w:r>
      <w:r w:rsidRPr="00CE1D90">
        <w:rPr>
          <w:rFonts w:ascii="Times New Roman" w:eastAsia="Times New Roman" w:hAnsi="Times New Roman" w:cs="Times New Roman"/>
          <w:sz w:val="24"/>
          <w:szCs w:val="24"/>
        </w:rPr>
        <w:lastRenderedPageBreak/>
        <w:t>inconsistent results, highlighting that the stroma is not simply an obstacle but a regulator of tumor equilibrium [20].</w:t>
      </w:r>
    </w:p>
    <w:p w14:paraId="3C194A2A"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Within this stroma, cancer-associated fibroblasts (CAFs) orchestrate much of the tumor’s signaling network. Rather than being uniformly tumor-promoting, CAFs are functionally diverse: some subsets stimulate tumor growth, while others restrain it. Preclinical studies revealed that indiscriminate depletion of fibroblasts can paradoxically accelerate disease, underscoring the dangers of oversimplification. CAFs influence cancer cell metabolism, immune cell recruitment, and matrix organization, establishing feedback loops that stabilize malignant behavior. Translational failure has often stemmed from neglecting this complexity, and current research now emphasizes selective reprogramming rather than eradication of fibroblasts [21].</w:t>
      </w:r>
    </w:p>
    <w:p w14:paraId="313F01B4"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Hypoxia and acidity further shape the tumor microenvironment, driving adaptive responses that strengthen tumor survival. Oxygen deprivation triggers metabolic shifts, suppresses apoptosis, and increases genomic instability, while anaerobic metabolism acidifies surrounding tissue. These conditions not only reduce the effectiveness of chemotherapies but also impair immune function, creating pockets of resistance that vary across the tumor. Attempts to directly reverse hypoxia have been limited by systemic toxicity, so contemporary strategies focus on exploiting these conditions to sensitize tumors to other treatments, reframing how drug performance is evaluated [22].</w:t>
      </w:r>
    </w:p>
    <w:p w14:paraId="59312510"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Immune suppression in pancreatic cancer is another layer of complexity, orchestrated primarily by myeloid-dominated populations. Tumor-associated macrophages, myeloid-derived suppressor cells, and regulatory immune subsets accumulate early and inhibit cytotoxic lymphocytes through both direct interactions and signaling molecules. Dense stroma further restricts immune trafficking, and even when T cells reach the tumor, competition for nutrients and inhibitory signals limit their function. Preclinical work shows that this suppression is active and multifaceted, explaining why immune-activating therapies alone have had limited success. Effective translational strategies likely require coordinated modulation across multiple immune compartments rather than single-target interventions [23].</w:t>
      </w:r>
    </w:p>
    <w:p w14:paraId="4D67CC60"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Perhaps the most instructive lessons come from failed attempts to deplete stroma. Early trials, guided by preclinical optimism, sought to remove fibrotic tissue to improve access to therapy. Unexpectedly, some interventions accelerated tumor growth and metastasis, revealing that the stroma can also constrain tumor spread. These failures highlighted the limitations of incomplete models and the risks of targeting complex systems without understanding their regulatory roles. As a result, translational efforts have shifted toward stromal modulation rather than eradication. In this context, failure has become a source of insight, guiding a more nuanced approach and reflecting a broader maturation of translational oncology. To provide a structured overview of the translational challenges in pancreatic cancer, Table 1 summarizes major preclinical </w:t>
      </w:r>
      <w:r w:rsidRPr="00CE1D90">
        <w:rPr>
          <w:rFonts w:ascii="Times New Roman" w:eastAsia="Times New Roman" w:hAnsi="Times New Roman" w:cs="Times New Roman"/>
          <w:sz w:val="24"/>
          <w:szCs w:val="24"/>
        </w:rPr>
        <w:lastRenderedPageBreak/>
        <w:t xml:space="preserve">therapeutic strategies, their mechanisms, models used for evaluation, and the specific barriers encountered when moving from bench to bedside. </w:t>
      </w:r>
    </w:p>
    <w:p w14:paraId="2218587E" w14:textId="77777777" w:rsidR="00813F84" w:rsidRPr="00CE1D90" w:rsidRDefault="00813F84">
      <w:pPr>
        <w:spacing w:before="240" w:after="240"/>
        <w:rPr>
          <w:rFonts w:ascii="Times New Roman" w:eastAsia="Times New Roman" w:hAnsi="Times New Roman" w:cs="Times New Roman"/>
          <w:sz w:val="24"/>
          <w:szCs w:val="24"/>
        </w:rPr>
      </w:pPr>
    </w:p>
    <w:p w14:paraId="1B07968B" w14:textId="77777777" w:rsidR="00813F84" w:rsidRPr="00CE1D90" w:rsidRDefault="00813F84">
      <w:pPr>
        <w:spacing w:before="240" w:after="240"/>
        <w:rPr>
          <w:rFonts w:ascii="Times New Roman" w:eastAsia="Times New Roman" w:hAnsi="Times New Roman" w:cs="Times New Roman"/>
          <w:sz w:val="24"/>
          <w:szCs w:val="24"/>
        </w:rPr>
      </w:pPr>
    </w:p>
    <w:p w14:paraId="0D2711E4" w14:textId="77777777" w:rsidR="00813F84" w:rsidRPr="00CE1D90" w:rsidRDefault="00813F84">
      <w:pPr>
        <w:spacing w:before="240" w:after="240"/>
        <w:rPr>
          <w:rFonts w:ascii="Times New Roman" w:eastAsia="Times New Roman" w:hAnsi="Times New Roman" w:cs="Times New Roman"/>
          <w:sz w:val="24"/>
          <w:szCs w:val="24"/>
        </w:rPr>
      </w:pPr>
    </w:p>
    <w:p w14:paraId="2EE5FE91" w14:textId="77777777" w:rsidR="00813F84" w:rsidRPr="00CE1D90" w:rsidRDefault="00813F84">
      <w:pPr>
        <w:spacing w:before="240" w:after="240"/>
        <w:rPr>
          <w:rFonts w:ascii="Times New Roman" w:eastAsia="Times New Roman" w:hAnsi="Times New Roman" w:cs="Times New Roman"/>
          <w:sz w:val="24"/>
          <w:szCs w:val="24"/>
        </w:rPr>
      </w:pPr>
    </w:p>
    <w:p w14:paraId="4863D6FE" w14:textId="5CD60F1B" w:rsidR="00813F84" w:rsidRPr="00612D3E" w:rsidRDefault="00612D3E">
      <w:pPr>
        <w:spacing w:before="240" w:after="240"/>
        <w:rPr>
          <w:rFonts w:ascii="Times New Roman" w:eastAsia="Times New Roman" w:hAnsi="Times New Roman" w:cs="Times New Roman"/>
          <w:b/>
          <w:sz w:val="24"/>
          <w:szCs w:val="24"/>
        </w:rPr>
      </w:pPr>
      <w:r w:rsidRPr="00612D3E">
        <w:rPr>
          <w:rFonts w:ascii="Times New Roman" w:eastAsia="Times New Roman" w:hAnsi="Times New Roman" w:cs="Times New Roman"/>
          <w:b/>
          <w:sz w:val="24"/>
          <w:szCs w:val="24"/>
        </w:rPr>
        <w:t>Table 1. Preclinical Discoveries in Pancreatic Cancer and Translational Barriers</w:t>
      </w:r>
    </w:p>
    <w:p w14:paraId="393BB1B4" w14:textId="1149D573" w:rsidR="00813F84" w:rsidRPr="00612D3E" w:rsidRDefault="00813F84">
      <w:pPr>
        <w:spacing w:before="240" w:after="240"/>
        <w:rPr>
          <w:rFonts w:ascii="Times New Roman" w:eastAsia="Times New Roman" w:hAnsi="Times New Roman" w:cs="Times New Roman"/>
          <w:b/>
          <w:sz w:val="24"/>
          <w:szCs w:val="24"/>
        </w:rPr>
      </w:pPr>
      <w:bookmarkStart w:id="0" w:name="_GoBack"/>
      <w:bookmarkEnd w:id="0"/>
    </w:p>
    <w:tbl>
      <w:tblPr>
        <w:tblStyle w:val="a"/>
        <w:tblW w:w="8895" w:type="dxa"/>
        <w:tblInd w:w="0" w:type="dxa"/>
        <w:tblBorders>
          <w:insideH w:val="single" w:sz="4" w:space="0" w:color="000000"/>
          <w:insideV w:val="single" w:sz="4" w:space="0" w:color="000000"/>
        </w:tblBorders>
        <w:tblLayout w:type="fixed"/>
        <w:tblLook w:val="0600" w:firstRow="0" w:lastRow="0" w:firstColumn="0" w:lastColumn="0" w:noHBand="1" w:noVBand="1"/>
      </w:tblPr>
      <w:tblGrid>
        <w:gridCol w:w="1815"/>
        <w:gridCol w:w="2475"/>
        <w:gridCol w:w="1800"/>
        <w:gridCol w:w="2805"/>
      </w:tblGrid>
      <w:tr w:rsidR="00813F84" w:rsidRPr="00CE1D90" w14:paraId="7CE357E0" w14:textId="77777777">
        <w:trPr>
          <w:trHeight w:val="645"/>
        </w:trPr>
        <w:tc>
          <w:tcPr>
            <w:tcW w:w="1815" w:type="dxa"/>
            <w:tcMar>
              <w:top w:w="20" w:type="dxa"/>
              <w:left w:w="20" w:type="dxa"/>
              <w:bottom w:w="20" w:type="dxa"/>
              <w:right w:w="20" w:type="dxa"/>
            </w:tcMar>
          </w:tcPr>
          <w:p w14:paraId="421D21A7" w14:textId="77777777" w:rsidR="00813F84" w:rsidRPr="00CE1D90" w:rsidRDefault="00154854">
            <w:pPr>
              <w:spacing w:before="240"/>
              <w:jc w:val="cente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Therapy Type</w:t>
            </w:r>
          </w:p>
        </w:tc>
        <w:tc>
          <w:tcPr>
            <w:tcW w:w="2475" w:type="dxa"/>
            <w:tcMar>
              <w:top w:w="20" w:type="dxa"/>
              <w:left w:w="20" w:type="dxa"/>
              <w:bottom w:w="20" w:type="dxa"/>
              <w:right w:w="20" w:type="dxa"/>
            </w:tcMar>
          </w:tcPr>
          <w:p w14:paraId="72A0E6A5" w14:textId="77777777" w:rsidR="00813F84" w:rsidRPr="00CE1D90" w:rsidRDefault="00154854">
            <w:pPr>
              <w:spacing w:before="240"/>
              <w:jc w:val="cente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Mechanism</w:t>
            </w:r>
          </w:p>
        </w:tc>
        <w:tc>
          <w:tcPr>
            <w:tcW w:w="1800" w:type="dxa"/>
            <w:tcMar>
              <w:top w:w="20" w:type="dxa"/>
              <w:left w:w="20" w:type="dxa"/>
              <w:bottom w:w="20" w:type="dxa"/>
              <w:right w:w="20" w:type="dxa"/>
            </w:tcMar>
          </w:tcPr>
          <w:p w14:paraId="21BD461F" w14:textId="77777777" w:rsidR="00813F84" w:rsidRPr="00CE1D90" w:rsidRDefault="00154854">
            <w:pPr>
              <w:spacing w:before="240"/>
              <w:jc w:val="cente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Preclinical Model</w:t>
            </w:r>
          </w:p>
        </w:tc>
        <w:tc>
          <w:tcPr>
            <w:tcW w:w="2805" w:type="dxa"/>
            <w:tcMar>
              <w:top w:w="20" w:type="dxa"/>
              <w:left w:w="20" w:type="dxa"/>
              <w:bottom w:w="20" w:type="dxa"/>
              <w:right w:w="20" w:type="dxa"/>
            </w:tcMar>
          </w:tcPr>
          <w:p w14:paraId="7537E89A" w14:textId="77777777" w:rsidR="00813F84" w:rsidRPr="00CE1D90" w:rsidRDefault="00154854">
            <w:pPr>
              <w:spacing w:before="240"/>
              <w:jc w:val="cente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Translational Challenges</w:t>
            </w:r>
          </w:p>
        </w:tc>
      </w:tr>
      <w:tr w:rsidR="00813F84" w:rsidRPr="00CE1D90" w14:paraId="2D214576" w14:textId="77777777">
        <w:trPr>
          <w:trHeight w:val="1365"/>
        </w:trPr>
        <w:tc>
          <w:tcPr>
            <w:tcW w:w="1815" w:type="dxa"/>
            <w:tcMar>
              <w:top w:w="20" w:type="dxa"/>
              <w:left w:w="20" w:type="dxa"/>
              <w:bottom w:w="20" w:type="dxa"/>
              <w:right w:w="20" w:type="dxa"/>
            </w:tcMar>
          </w:tcPr>
          <w:p w14:paraId="38AF1700"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KRAS Inhibitors</w:t>
            </w:r>
          </w:p>
        </w:tc>
        <w:tc>
          <w:tcPr>
            <w:tcW w:w="2475" w:type="dxa"/>
            <w:tcMar>
              <w:top w:w="20" w:type="dxa"/>
              <w:left w:w="20" w:type="dxa"/>
              <w:bottom w:w="20" w:type="dxa"/>
              <w:right w:w="20" w:type="dxa"/>
            </w:tcMar>
          </w:tcPr>
          <w:p w14:paraId="301220C2"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Direct covalent inhibition of KRAS G12C</w:t>
            </w:r>
          </w:p>
        </w:tc>
        <w:tc>
          <w:tcPr>
            <w:tcW w:w="1800" w:type="dxa"/>
            <w:tcMar>
              <w:top w:w="20" w:type="dxa"/>
              <w:left w:w="20" w:type="dxa"/>
              <w:bottom w:w="20" w:type="dxa"/>
              <w:right w:w="20" w:type="dxa"/>
            </w:tcMar>
          </w:tcPr>
          <w:p w14:paraId="427F9070"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2D cell lines, GEMMs, PDX</w:t>
            </w:r>
          </w:p>
        </w:tc>
        <w:tc>
          <w:tcPr>
            <w:tcW w:w="2805" w:type="dxa"/>
            <w:tcMar>
              <w:top w:w="20" w:type="dxa"/>
              <w:left w:w="20" w:type="dxa"/>
              <w:bottom w:w="20" w:type="dxa"/>
              <w:right w:w="20" w:type="dxa"/>
            </w:tcMar>
          </w:tcPr>
          <w:p w14:paraId="32D4E9FC"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Redundancy, adaptive resistance, heterogeneity</w:t>
            </w:r>
          </w:p>
        </w:tc>
      </w:tr>
      <w:tr w:rsidR="00813F84" w:rsidRPr="00CE1D90" w14:paraId="49218979" w14:textId="77777777">
        <w:trPr>
          <w:trHeight w:val="1365"/>
        </w:trPr>
        <w:tc>
          <w:tcPr>
            <w:tcW w:w="1815" w:type="dxa"/>
            <w:tcMar>
              <w:top w:w="20" w:type="dxa"/>
              <w:left w:w="20" w:type="dxa"/>
              <w:bottom w:w="20" w:type="dxa"/>
              <w:right w:w="20" w:type="dxa"/>
            </w:tcMar>
          </w:tcPr>
          <w:p w14:paraId="70727C55"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PARP Inhibitors</w:t>
            </w:r>
          </w:p>
        </w:tc>
        <w:tc>
          <w:tcPr>
            <w:tcW w:w="2475" w:type="dxa"/>
            <w:tcMar>
              <w:top w:w="20" w:type="dxa"/>
              <w:left w:w="20" w:type="dxa"/>
              <w:bottom w:w="20" w:type="dxa"/>
              <w:right w:w="20" w:type="dxa"/>
            </w:tcMar>
          </w:tcPr>
          <w:p w14:paraId="7318B91E"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Exploit DNA repair deficiencies (synthetic lethality)</w:t>
            </w:r>
          </w:p>
        </w:tc>
        <w:tc>
          <w:tcPr>
            <w:tcW w:w="1800" w:type="dxa"/>
            <w:tcMar>
              <w:top w:w="20" w:type="dxa"/>
              <w:left w:w="20" w:type="dxa"/>
              <w:bottom w:w="20" w:type="dxa"/>
              <w:right w:w="20" w:type="dxa"/>
            </w:tcMar>
          </w:tcPr>
          <w:p w14:paraId="1682B800"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2D cell lines, organoids, PDX</w:t>
            </w:r>
          </w:p>
        </w:tc>
        <w:tc>
          <w:tcPr>
            <w:tcW w:w="2805" w:type="dxa"/>
            <w:tcMar>
              <w:top w:w="20" w:type="dxa"/>
              <w:left w:w="20" w:type="dxa"/>
              <w:bottom w:w="20" w:type="dxa"/>
              <w:right w:w="20" w:type="dxa"/>
            </w:tcMar>
          </w:tcPr>
          <w:p w14:paraId="2FD99478"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Limited to BRCA-mutated tumors, resistance emergence</w:t>
            </w:r>
          </w:p>
        </w:tc>
      </w:tr>
      <w:tr w:rsidR="00813F84" w:rsidRPr="00CE1D90" w14:paraId="7983B9A3" w14:textId="77777777">
        <w:trPr>
          <w:trHeight w:val="1365"/>
        </w:trPr>
        <w:tc>
          <w:tcPr>
            <w:tcW w:w="1815" w:type="dxa"/>
            <w:tcMar>
              <w:top w:w="20" w:type="dxa"/>
              <w:left w:w="20" w:type="dxa"/>
              <w:bottom w:w="20" w:type="dxa"/>
              <w:right w:w="20" w:type="dxa"/>
            </w:tcMar>
          </w:tcPr>
          <w:p w14:paraId="26A3C48B"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Metabolic Targeting</w:t>
            </w:r>
          </w:p>
        </w:tc>
        <w:tc>
          <w:tcPr>
            <w:tcW w:w="2475" w:type="dxa"/>
            <w:tcMar>
              <w:top w:w="20" w:type="dxa"/>
              <w:left w:w="20" w:type="dxa"/>
              <w:bottom w:w="20" w:type="dxa"/>
              <w:right w:w="20" w:type="dxa"/>
            </w:tcMar>
          </w:tcPr>
          <w:p w14:paraId="73B7DD50"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Inhibit glutamine metabolism, autophagy, lipid scavenging</w:t>
            </w:r>
          </w:p>
        </w:tc>
        <w:tc>
          <w:tcPr>
            <w:tcW w:w="1800" w:type="dxa"/>
            <w:tcMar>
              <w:top w:w="20" w:type="dxa"/>
              <w:left w:w="20" w:type="dxa"/>
              <w:bottom w:w="20" w:type="dxa"/>
              <w:right w:w="20" w:type="dxa"/>
            </w:tcMar>
          </w:tcPr>
          <w:p w14:paraId="6FB23794"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Organoids, GEMMs, PDX</w:t>
            </w:r>
          </w:p>
        </w:tc>
        <w:tc>
          <w:tcPr>
            <w:tcW w:w="2805" w:type="dxa"/>
            <w:tcMar>
              <w:top w:w="20" w:type="dxa"/>
              <w:left w:w="20" w:type="dxa"/>
              <w:bottom w:w="20" w:type="dxa"/>
              <w:right w:w="20" w:type="dxa"/>
            </w:tcMar>
          </w:tcPr>
          <w:p w14:paraId="230B09CD"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Tumor plasticity, compensatory metabolic pathways</w:t>
            </w:r>
          </w:p>
        </w:tc>
      </w:tr>
      <w:tr w:rsidR="00813F84" w:rsidRPr="00CE1D90" w14:paraId="5F522B85" w14:textId="77777777">
        <w:trPr>
          <w:trHeight w:val="1005"/>
        </w:trPr>
        <w:tc>
          <w:tcPr>
            <w:tcW w:w="1815" w:type="dxa"/>
            <w:tcMar>
              <w:top w:w="20" w:type="dxa"/>
              <w:left w:w="20" w:type="dxa"/>
              <w:bottom w:w="20" w:type="dxa"/>
              <w:right w:w="20" w:type="dxa"/>
            </w:tcMar>
          </w:tcPr>
          <w:p w14:paraId="4D759CF2"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Anti-Angiogenic Agents</w:t>
            </w:r>
          </w:p>
        </w:tc>
        <w:tc>
          <w:tcPr>
            <w:tcW w:w="2475" w:type="dxa"/>
            <w:tcMar>
              <w:top w:w="20" w:type="dxa"/>
              <w:left w:w="20" w:type="dxa"/>
              <w:bottom w:w="20" w:type="dxa"/>
              <w:right w:w="20" w:type="dxa"/>
            </w:tcMar>
          </w:tcPr>
          <w:p w14:paraId="3412DE22"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Normalize vasculature, inhibit VEGF signaling</w:t>
            </w:r>
          </w:p>
        </w:tc>
        <w:tc>
          <w:tcPr>
            <w:tcW w:w="1800" w:type="dxa"/>
            <w:tcMar>
              <w:top w:w="20" w:type="dxa"/>
              <w:left w:w="20" w:type="dxa"/>
              <w:bottom w:w="20" w:type="dxa"/>
              <w:right w:w="20" w:type="dxa"/>
            </w:tcMar>
          </w:tcPr>
          <w:p w14:paraId="52E09F9C"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GEMMs, PDX</w:t>
            </w:r>
          </w:p>
        </w:tc>
        <w:tc>
          <w:tcPr>
            <w:tcW w:w="2805" w:type="dxa"/>
            <w:tcMar>
              <w:top w:w="20" w:type="dxa"/>
              <w:left w:w="20" w:type="dxa"/>
              <w:bottom w:w="20" w:type="dxa"/>
              <w:right w:w="20" w:type="dxa"/>
            </w:tcMar>
          </w:tcPr>
          <w:p w14:paraId="0E57F4AC"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Hypoxia exacerbation, variable perfusion</w:t>
            </w:r>
          </w:p>
        </w:tc>
      </w:tr>
      <w:tr w:rsidR="00813F84" w:rsidRPr="00CE1D90" w14:paraId="4A735B77" w14:textId="77777777">
        <w:trPr>
          <w:trHeight w:val="1725"/>
        </w:trPr>
        <w:tc>
          <w:tcPr>
            <w:tcW w:w="1815" w:type="dxa"/>
            <w:tcMar>
              <w:top w:w="20" w:type="dxa"/>
              <w:left w:w="20" w:type="dxa"/>
              <w:bottom w:w="20" w:type="dxa"/>
              <w:right w:w="20" w:type="dxa"/>
            </w:tcMar>
          </w:tcPr>
          <w:p w14:paraId="6E5C80A1"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Immunotherapy</w:t>
            </w:r>
          </w:p>
        </w:tc>
        <w:tc>
          <w:tcPr>
            <w:tcW w:w="2475" w:type="dxa"/>
            <w:tcMar>
              <w:top w:w="20" w:type="dxa"/>
              <w:left w:w="20" w:type="dxa"/>
              <w:bottom w:w="20" w:type="dxa"/>
              <w:right w:w="20" w:type="dxa"/>
            </w:tcMar>
          </w:tcPr>
          <w:p w14:paraId="6DBF8F3B"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Checkpoint inhibitors, vaccines, adoptive T cells</w:t>
            </w:r>
          </w:p>
        </w:tc>
        <w:tc>
          <w:tcPr>
            <w:tcW w:w="1800" w:type="dxa"/>
            <w:tcMar>
              <w:top w:w="20" w:type="dxa"/>
              <w:left w:w="20" w:type="dxa"/>
              <w:bottom w:w="20" w:type="dxa"/>
              <w:right w:w="20" w:type="dxa"/>
            </w:tcMar>
          </w:tcPr>
          <w:p w14:paraId="68E6B641"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Humanized models, organoids, GEMMs</w:t>
            </w:r>
          </w:p>
        </w:tc>
        <w:tc>
          <w:tcPr>
            <w:tcW w:w="2805" w:type="dxa"/>
            <w:tcMar>
              <w:top w:w="20" w:type="dxa"/>
              <w:left w:w="20" w:type="dxa"/>
              <w:bottom w:w="20" w:type="dxa"/>
              <w:right w:w="20" w:type="dxa"/>
            </w:tcMar>
          </w:tcPr>
          <w:p w14:paraId="75EAC423"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Immunosuppressive TME, patient stratification</w:t>
            </w:r>
          </w:p>
        </w:tc>
      </w:tr>
      <w:tr w:rsidR="00813F84" w:rsidRPr="00CE1D90" w14:paraId="6195CD95" w14:textId="77777777">
        <w:trPr>
          <w:trHeight w:val="1365"/>
        </w:trPr>
        <w:tc>
          <w:tcPr>
            <w:tcW w:w="1815" w:type="dxa"/>
            <w:tcMar>
              <w:top w:w="20" w:type="dxa"/>
              <w:left w:w="20" w:type="dxa"/>
              <w:bottom w:w="20" w:type="dxa"/>
              <w:right w:w="20" w:type="dxa"/>
            </w:tcMar>
          </w:tcPr>
          <w:p w14:paraId="4688BBAC"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lastRenderedPageBreak/>
              <w:t>Drug Delivery Innovations</w:t>
            </w:r>
          </w:p>
        </w:tc>
        <w:tc>
          <w:tcPr>
            <w:tcW w:w="2475" w:type="dxa"/>
            <w:tcMar>
              <w:top w:w="20" w:type="dxa"/>
              <w:left w:w="20" w:type="dxa"/>
              <w:bottom w:w="20" w:type="dxa"/>
              <w:right w:w="20" w:type="dxa"/>
            </w:tcMar>
          </w:tcPr>
          <w:p w14:paraId="06948E5A"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Nanoparticles, stromal-penetrating agents, localized delivery</w:t>
            </w:r>
          </w:p>
        </w:tc>
        <w:tc>
          <w:tcPr>
            <w:tcW w:w="1800" w:type="dxa"/>
            <w:tcMar>
              <w:top w:w="20" w:type="dxa"/>
              <w:left w:w="20" w:type="dxa"/>
              <w:bottom w:w="20" w:type="dxa"/>
              <w:right w:w="20" w:type="dxa"/>
            </w:tcMar>
          </w:tcPr>
          <w:p w14:paraId="0C25D682"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GEMMs, PDX, organoids</w:t>
            </w:r>
          </w:p>
        </w:tc>
        <w:tc>
          <w:tcPr>
            <w:tcW w:w="2805" w:type="dxa"/>
            <w:tcMar>
              <w:top w:w="20" w:type="dxa"/>
              <w:left w:w="20" w:type="dxa"/>
              <w:bottom w:w="20" w:type="dxa"/>
              <w:right w:w="20" w:type="dxa"/>
            </w:tcMar>
          </w:tcPr>
          <w:p w14:paraId="22A2FB77"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Dense stroma, poor perfusion, toxicity</w:t>
            </w:r>
          </w:p>
        </w:tc>
      </w:tr>
    </w:tbl>
    <w:p w14:paraId="4AFCC6AA" w14:textId="77777777" w:rsidR="00813F84" w:rsidRPr="00CE1D90" w:rsidRDefault="00813F84">
      <w:pPr>
        <w:jc w:val="center"/>
        <w:rPr>
          <w:rFonts w:ascii="Times New Roman" w:eastAsia="Times New Roman" w:hAnsi="Times New Roman" w:cs="Times New Roman"/>
          <w:color w:val="FFFFFF"/>
          <w:sz w:val="24"/>
          <w:szCs w:val="24"/>
        </w:rPr>
      </w:pPr>
    </w:p>
    <w:p w14:paraId="5ED9B557"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Below, Table 2 focuses on clinical trial design challenges, illustrating how factors such as late diagnosis, patient heterogeneity, rigid trial protocols, and biomarker limitations reduce the likelihood of demonstrating therapeutic success. </w:t>
      </w:r>
    </w:p>
    <w:p w14:paraId="610EC436" w14:textId="77777777" w:rsidR="00813F84" w:rsidRPr="00CE1D90" w:rsidRDefault="00813F84">
      <w:pPr>
        <w:spacing w:before="240" w:after="240"/>
        <w:rPr>
          <w:rFonts w:ascii="Times New Roman" w:eastAsia="Times New Roman" w:hAnsi="Times New Roman" w:cs="Times New Roman"/>
          <w:sz w:val="24"/>
          <w:szCs w:val="24"/>
        </w:rPr>
      </w:pPr>
    </w:p>
    <w:p w14:paraId="0E8A4441"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Table 2: Clinical Trial Design Challenges in Pancreatic Cancer</w:t>
      </w:r>
    </w:p>
    <w:tbl>
      <w:tblPr>
        <w:tblStyle w:val="a0"/>
        <w:tblW w:w="8895" w:type="dxa"/>
        <w:tblInd w:w="0" w:type="dxa"/>
        <w:tblBorders>
          <w:top w:val="single" w:sz="6" w:space="0" w:color="000000"/>
          <w:bottom w:val="single" w:sz="6" w:space="0" w:color="000000"/>
          <w:insideH w:val="single" w:sz="4" w:space="0" w:color="000000"/>
          <w:insideV w:val="single" w:sz="4" w:space="0" w:color="000000"/>
        </w:tblBorders>
        <w:tblLayout w:type="fixed"/>
        <w:tblLook w:val="0600" w:firstRow="0" w:lastRow="0" w:firstColumn="0" w:lastColumn="0" w:noHBand="1" w:noVBand="1"/>
      </w:tblPr>
      <w:tblGrid>
        <w:gridCol w:w="2355"/>
        <w:gridCol w:w="3180"/>
        <w:gridCol w:w="3360"/>
      </w:tblGrid>
      <w:tr w:rsidR="00813F84" w:rsidRPr="00CE1D90" w14:paraId="1988BAE1" w14:textId="77777777">
        <w:trPr>
          <w:trHeight w:val="660"/>
        </w:trPr>
        <w:tc>
          <w:tcPr>
            <w:tcW w:w="2355" w:type="dxa"/>
            <w:tcMar>
              <w:top w:w="20" w:type="dxa"/>
              <w:left w:w="20" w:type="dxa"/>
              <w:bottom w:w="20" w:type="dxa"/>
              <w:right w:w="20" w:type="dxa"/>
            </w:tcMar>
          </w:tcPr>
          <w:p w14:paraId="69693605" w14:textId="77777777" w:rsidR="00813F84" w:rsidRPr="00CE1D90" w:rsidRDefault="00154854">
            <w:pPr>
              <w:spacing w:before="240"/>
              <w:jc w:val="cente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Challenge</w:t>
            </w:r>
          </w:p>
        </w:tc>
        <w:tc>
          <w:tcPr>
            <w:tcW w:w="3180" w:type="dxa"/>
            <w:tcMar>
              <w:top w:w="20" w:type="dxa"/>
              <w:left w:w="20" w:type="dxa"/>
              <w:bottom w:w="20" w:type="dxa"/>
              <w:right w:w="20" w:type="dxa"/>
            </w:tcMar>
          </w:tcPr>
          <w:p w14:paraId="044A57CE" w14:textId="77777777" w:rsidR="00813F84" w:rsidRPr="00CE1D90" w:rsidRDefault="00154854">
            <w:pPr>
              <w:spacing w:before="240"/>
              <w:jc w:val="cente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Impact on Translational Success</w:t>
            </w:r>
          </w:p>
        </w:tc>
        <w:tc>
          <w:tcPr>
            <w:tcW w:w="3360" w:type="dxa"/>
            <w:tcMar>
              <w:top w:w="20" w:type="dxa"/>
              <w:left w:w="20" w:type="dxa"/>
              <w:bottom w:w="20" w:type="dxa"/>
              <w:right w:w="20" w:type="dxa"/>
            </w:tcMar>
          </w:tcPr>
          <w:p w14:paraId="33172239" w14:textId="77777777" w:rsidR="00813F84" w:rsidRPr="00CE1D90" w:rsidRDefault="00154854">
            <w:pPr>
              <w:spacing w:before="240"/>
              <w:jc w:val="cente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Possible Solution</w:t>
            </w:r>
          </w:p>
        </w:tc>
      </w:tr>
      <w:tr w:rsidR="00813F84" w:rsidRPr="00CE1D90" w14:paraId="7058F9E9" w14:textId="77777777">
        <w:trPr>
          <w:trHeight w:val="1380"/>
        </w:trPr>
        <w:tc>
          <w:tcPr>
            <w:tcW w:w="2355" w:type="dxa"/>
            <w:tcMar>
              <w:top w:w="20" w:type="dxa"/>
              <w:left w:w="20" w:type="dxa"/>
              <w:bottom w:w="20" w:type="dxa"/>
              <w:right w:w="20" w:type="dxa"/>
            </w:tcMar>
          </w:tcPr>
          <w:p w14:paraId="2D75F8DF"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Late Diagnosis &amp; Patient Performance Status</w:t>
            </w:r>
          </w:p>
        </w:tc>
        <w:tc>
          <w:tcPr>
            <w:tcW w:w="3180" w:type="dxa"/>
            <w:tcMar>
              <w:top w:w="20" w:type="dxa"/>
              <w:left w:w="20" w:type="dxa"/>
              <w:bottom w:w="20" w:type="dxa"/>
              <w:right w:w="20" w:type="dxa"/>
            </w:tcMar>
          </w:tcPr>
          <w:p w14:paraId="21D94028"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Limits patient eligibility and tolerance to therapy</w:t>
            </w:r>
          </w:p>
        </w:tc>
        <w:tc>
          <w:tcPr>
            <w:tcW w:w="3360" w:type="dxa"/>
            <w:tcMar>
              <w:top w:w="20" w:type="dxa"/>
              <w:left w:w="20" w:type="dxa"/>
              <w:bottom w:w="20" w:type="dxa"/>
              <w:right w:w="20" w:type="dxa"/>
            </w:tcMar>
          </w:tcPr>
          <w:p w14:paraId="267EFA67"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Early detection, supportive care, performance-based stratification</w:t>
            </w:r>
          </w:p>
        </w:tc>
      </w:tr>
      <w:tr w:rsidR="00813F84" w:rsidRPr="00CE1D90" w14:paraId="54FB2844" w14:textId="77777777">
        <w:trPr>
          <w:trHeight w:val="1020"/>
        </w:trPr>
        <w:tc>
          <w:tcPr>
            <w:tcW w:w="2355" w:type="dxa"/>
            <w:tcMar>
              <w:top w:w="20" w:type="dxa"/>
              <w:left w:w="20" w:type="dxa"/>
              <w:bottom w:w="20" w:type="dxa"/>
              <w:right w:w="20" w:type="dxa"/>
            </w:tcMar>
          </w:tcPr>
          <w:p w14:paraId="20785E33"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Rigid Trial Designs &amp; Enrollment Barriers</w:t>
            </w:r>
          </w:p>
        </w:tc>
        <w:tc>
          <w:tcPr>
            <w:tcW w:w="3180" w:type="dxa"/>
            <w:tcMar>
              <w:top w:w="20" w:type="dxa"/>
              <w:left w:w="20" w:type="dxa"/>
              <w:bottom w:w="20" w:type="dxa"/>
              <w:right w:w="20" w:type="dxa"/>
            </w:tcMar>
          </w:tcPr>
          <w:p w14:paraId="44C29C6D"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Slows recruitment, reduces generalizability</w:t>
            </w:r>
          </w:p>
        </w:tc>
        <w:tc>
          <w:tcPr>
            <w:tcW w:w="3360" w:type="dxa"/>
            <w:tcMar>
              <w:top w:w="20" w:type="dxa"/>
              <w:left w:w="20" w:type="dxa"/>
              <w:bottom w:w="20" w:type="dxa"/>
              <w:right w:w="20" w:type="dxa"/>
            </w:tcMar>
          </w:tcPr>
          <w:p w14:paraId="78F7C987"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Adaptive protocols, multi-center trials, flexible criteria</w:t>
            </w:r>
          </w:p>
        </w:tc>
      </w:tr>
      <w:tr w:rsidR="00813F84" w:rsidRPr="00CE1D90" w14:paraId="61EC3541" w14:textId="77777777">
        <w:trPr>
          <w:trHeight w:val="1380"/>
        </w:trPr>
        <w:tc>
          <w:tcPr>
            <w:tcW w:w="2355" w:type="dxa"/>
            <w:tcMar>
              <w:top w:w="20" w:type="dxa"/>
              <w:left w:w="20" w:type="dxa"/>
              <w:bottom w:w="20" w:type="dxa"/>
              <w:right w:w="20" w:type="dxa"/>
            </w:tcMar>
          </w:tcPr>
          <w:p w14:paraId="4244AC05"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Endpoints Failing to Capture Meaningful Benefit</w:t>
            </w:r>
          </w:p>
        </w:tc>
        <w:tc>
          <w:tcPr>
            <w:tcW w:w="3180" w:type="dxa"/>
            <w:tcMar>
              <w:top w:w="20" w:type="dxa"/>
              <w:left w:w="20" w:type="dxa"/>
              <w:bottom w:w="20" w:type="dxa"/>
              <w:right w:w="20" w:type="dxa"/>
            </w:tcMar>
          </w:tcPr>
          <w:p w14:paraId="5F880432"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Surrogate endpoints may not reflect survival or quality of life</w:t>
            </w:r>
          </w:p>
        </w:tc>
        <w:tc>
          <w:tcPr>
            <w:tcW w:w="3360" w:type="dxa"/>
            <w:tcMar>
              <w:top w:w="20" w:type="dxa"/>
              <w:left w:w="20" w:type="dxa"/>
              <w:bottom w:w="20" w:type="dxa"/>
              <w:right w:w="20" w:type="dxa"/>
            </w:tcMar>
          </w:tcPr>
          <w:p w14:paraId="0015DDD7"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Include patient-reported outcomes, functional measures, adaptive endpoints</w:t>
            </w:r>
          </w:p>
        </w:tc>
      </w:tr>
      <w:tr w:rsidR="00813F84" w:rsidRPr="00CE1D90" w14:paraId="122A09C4" w14:textId="77777777">
        <w:trPr>
          <w:trHeight w:val="1380"/>
        </w:trPr>
        <w:tc>
          <w:tcPr>
            <w:tcW w:w="2355" w:type="dxa"/>
            <w:tcMar>
              <w:top w:w="20" w:type="dxa"/>
              <w:left w:w="20" w:type="dxa"/>
              <w:bottom w:w="20" w:type="dxa"/>
              <w:right w:w="20" w:type="dxa"/>
            </w:tcMar>
          </w:tcPr>
          <w:p w14:paraId="3DC3E8A3"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Lack of Biomarker-Driven Stratification</w:t>
            </w:r>
          </w:p>
        </w:tc>
        <w:tc>
          <w:tcPr>
            <w:tcW w:w="3180" w:type="dxa"/>
            <w:tcMar>
              <w:top w:w="20" w:type="dxa"/>
              <w:left w:w="20" w:type="dxa"/>
              <w:bottom w:w="20" w:type="dxa"/>
              <w:right w:w="20" w:type="dxa"/>
            </w:tcMar>
          </w:tcPr>
          <w:p w14:paraId="1FC09D84"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Heterogeneous populations dilute efficacy signals</w:t>
            </w:r>
          </w:p>
        </w:tc>
        <w:tc>
          <w:tcPr>
            <w:tcW w:w="3360" w:type="dxa"/>
            <w:tcMar>
              <w:top w:w="20" w:type="dxa"/>
              <w:left w:w="20" w:type="dxa"/>
              <w:bottom w:w="20" w:type="dxa"/>
              <w:right w:w="20" w:type="dxa"/>
            </w:tcMar>
          </w:tcPr>
          <w:p w14:paraId="3B67A4CC"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Integrate molecular, stromal, or immune biomarkers to guide enrollment</w:t>
            </w:r>
          </w:p>
        </w:tc>
      </w:tr>
      <w:tr w:rsidR="00813F84" w:rsidRPr="00CE1D90" w14:paraId="7EC73E6B" w14:textId="77777777">
        <w:trPr>
          <w:trHeight w:val="1380"/>
        </w:trPr>
        <w:tc>
          <w:tcPr>
            <w:tcW w:w="2355" w:type="dxa"/>
            <w:tcMar>
              <w:top w:w="20" w:type="dxa"/>
              <w:left w:w="20" w:type="dxa"/>
              <w:bottom w:w="20" w:type="dxa"/>
              <w:right w:w="20" w:type="dxa"/>
            </w:tcMar>
          </w:tcPr>
          <w:p w14:paraId="71C56E01"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Ethical Challenges in High-Mortality Disease</w:t>
            </w:r>
          </w:p>
        </w:tc>
        <w:tc>
          <w:tcPr>
            <w:tcW w:w="3180" w:type="dxa"/>
            <w:tcMar>
              <w:top w:w="20" w:type="dxa"/>
              <w:left w:w="20" w:type="dxa"/>
              <w:bottom w:w="20" w:type="dxa"/>
              <w:right w:w="20" w:type="dxa"/>
            </w:tcMar>
          </w:tcPr>
          <w:p w14:paraId="3E1A1958"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Risk of exposing patients to high-toxicity therapies with limited benefit</w:t>
            </w:r>
          </w:p>
        </w:tc>
        <w:tc>
          <w:tcPr>
            <w:tcW w:w="3360" w:type="dxa"/>
            <w:tcMar>
              <w:top w:w="20" w:type="dxa"/>
              <w:left w:w="20" w:type="dxa"/>
              <w:bottom w:w="20" w:type="dxa"/>
              <w:right w:w="20" w:type="dxa"/>
            </w:tcMar>
          </w:tcPr>
          <w:p w14:paraId="0A4B1DEA"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Transparent consent, supportive care, early stopping rules, patient-centered design</w:t>
            </w:r>
          </w:p>
        </w:tc>
      </w:tr>
    </w:tbl>
    <w:p w14:paraId="3CB299B7"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 </w:t>
      </w:r>
    </w:p>
    <w:p w14:paraId="2ABFCB49" w14:textId="77777777" w:rsidR="00813F84" w:rsidRPr="00CE1D90" w:rsidRDefault="00813F84">
      <w:pPr>
        <w:pStyle w:val="Heading3"/>
        <w:keepNext w:val="0"/>
        <w:keepLines w:val="0"/>
        <w:spacing w:before="280"/>
        <w:rPr>
          <w:rFonts w:ascii="Times New Roman" w:eastAsia="Times New Roman" w:hAnsi="Times New Roman" w:cs="Times New Roman"/>
          <w:b/>
          <w:bCs/>
          <w:color w:val="000000"/>
          <w:sz w:val="24"/>
          <w:szCs w:val="24"/>
        </w:rPr>
      </w:pPr>
      <w:bookmarkStart w:id="1" w:name="_o2nm5z4jebco" w:colFirst="0" w:colLast="0"/>
      <w:bookmarkEnd w:id="1"/>
    </w:p>
    <w:p w14:paraId="1AE68624" w14:textId="77777777" w:rsidR="00813F84" w:rsidRPr="00CE1D90" w:rsidRDefault="00813F84">
      <w:pPr>
        <w:pStyle w:val="Heading3"/>
        <w:keepNext w:val="0"/>
        <w:keepLines w:val="0"/>
        <w:spacing w:before="280"/>
        <w:rPr>
          <w:rFonts w:ascii="Times New Roman" w:eastAsia="Times New Roman" w:hAnsi="Times New Roman" w:cs="Times New Roman"/>
          <w:b/>
          <w:bCs/>
          <w:color w:val="000000"/>
          <w:sz w:val="24"/>
          <w:szCs w:val="24"/>
        </w:rPr>
      </w:pPr>
      <w:bookmarkStart w:id="2" w:name="_ok7fs2cu95c9" w:colFirst="0" w:colLast="0"/>
      <w:bookmarkEnd w:id="2"/>
    </w:p>
    <w:p w14:paraId="18B4C5A8" w14:textId="77777777" w:rsidR="00813F84" w:rsidRPr="00CE1D90" w:rsidRDefault="00154854">
      <w:pPr>
        <w:pStyle w:val="Heading3"/>
        <w:keepNext w:val="0"/>
        <w:keepLines w:val="0"/>
        <w:spacing w:before="280"/>
        <w:rPr>
          <w:rFonts w:ascii="Times New Roman" w:eastAsia="Times New Roman" w:hAnsi="Times New Roman" w:cs="Times New Roman"/>
          <w:b/>
          <w:bCs/>
          <w:color w:val="000000"/>
          <w:sz w:val="24"/>
          <w:szCs w:val="24"/>
        </w:rPr>
      </w:pPr>
      <w:bookmarkStart w:id="3" w:name="_x153as157q8w" w:colFirst="0" w:colLast="0"/>
      <w:bookmarkEnd w:id="3"/>
      <w:r w:rsidRPr="00CE1D90">
        <w:rPr>
          <w:rFonts w:ascii="Times New Roman" w:eastAsia="Times New Roman" w:hAnsi="Times New Roman" w:cs="Times New Roman"/>
          <w:b/>
          <w:bCs/>
          <w:color w:val="000000"/>
          <w:sz w:val="24"/>
          <w:szCs w:val="24"/>
        </w:rPr>
        <w:t>6. Preclinical Models and Their Translational Limitations</w:t>
      </w:r>
    </w:p>
    <w:p w14:paraId="6A0F88CF"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Preclinical models are the backbone of pancreatic cancer research, yet they are both the greatest enabler of discovery and a persistent source of translational failure. The system used for experimentation determines not only what is uncovered but also what fails to translate into patient benefit. Pancreatic tumors are highly complex, with dense stroma, immune suppression, hypoxia, and metabolic flexibility. No single model can fully capture these features, explaining why therapies that perform well in cell culture or mice often fail in humans [24]. Recognizing the strengths and weaknesses of each model is essential, and modern preclinical research increasingly relies on multi-model validation, combining traditional systems with advanced humanized platforms. These models allow researchers to test therapeutic efficacy while uncovering mechanisms of resistance, shedding light on why the bench-to-bedside gap persists [24].</w:t>
      </w:r>
    </w:p>
    <w:p w14:paraId="710051AD"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Two-dimensional (2D) cell lines have long been the workhorse of preclinical research. They are easy to manipulate genetically, screen rapidly for drug responses, and explore mechanistic questions. However, growing cells on plastic oversimplifies tumor biology by ignoring stromal interactions, tissue architecture, and microenvironmental pressures. As a result, 2D models often overestimate efficacy and underestimate toxicity, explaining why promising agents frequently fail in animals or humans. Despite these limitations, 2D systems remain valuable for initial target validation, provided findings are later confirmed in more physiologically relevant models [24].</w:t>
      </w:r>
    </w:p>
    <w:p w14:paraId="344A49F1"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Genetically engineered mouse models (GEMMs) recapitulate tumor initiation and progression in an intact host. By introducing oncogenic mutations such as KRAS and TP53, these mice develop spontaneous tumors that mimic human disease in histology and genetics, preserving stromal interactions, immune engagement, and vascularization. Yet mice differ from humans in immune composition, metabolism, and lifespan, and drug responses often overestimate clinical benefit. These models are resource-intensive, but their value lies in studying tumor biology, immune interactions, and combinatorial strategies. Failures in GEMMs often reflect gaps in mechanistic understanding rather than model inadequacy, highlighting the importance of integrating data from multiple preclinical platforms [25].</w:t>
      </w:r>
    </w:p>
    <w:p w14:paraId="21037234"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Patient-derived xenografts (PDXs) provide another bridge between the laboratory and the clinic. By transplanting human tumors into immunodeficient mice, researchers preserve tissue architecture and capture interpatient heterogeneity. These models have been instrumental in identifying molecular determinants of sensitivity and resistance, though they lack a fully functional immune system, and tumor-stroma interactions evolve over passages. Patient-derived organoids and co-culture systems offer further refinement. Three-dimensional organoids preserve cellular diversity and some stromal elements, while co-culture with fibroblasts or immune cells allows study of intercellular interactions. These systems enable high-throughput screening and </w:t>
      </w:r>
      <w:r w:rsidRPr="00CE1D90">
        <w:rPr>
          <w:rFonts w:ascii="Times New Roman" w:eastAsia="Times New Roman" w:hAnsi="Times New Roman" w:cs="Times New Roman"/>
          <w:sz w:val="24"/>
          <w:szCs w:val="24"/>
        </w:rPr>
        <w:lastRenderedPageBreak/>
        <w:t>personalized strategies, though they cannot fully replicate immune and vascular components [25].</w:t>
      </w:r>
    </w:p>
    <w:p w14:paraId="1C40EB97"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Humanized mouse models represent an emerging frontier, combining human tumors with human immune components. These systems allow the study of immunotherapies and tumor-immune interactions previously inaccessible. Early results suggest improved predictive power for immune-based strategies, though challenges remain, including incomplete immune reconstitution, graft-versus-host effects, and technical complexity. As these models evolve, they offer one of the most promising avenues for bridging the preclinical–clinical gap in pancreatic cancer therapeutics [26].</w:t>
      </w:r>
    </w:p>
    <w:p w14:paraId="019ACA43"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Despite these advances, translating preclinical discoveries into effective therapies remains exceptionally difficult. Failures arise from tumor heterogeneity, microenvironmental pressures, adaptive responses, unexpected toxicity, pharmacokinetic limitations, and incomplete target validation. The research ecosystem can exacerbate the problem through overinterpretation of early promising data or selective reporting. Understanding these bottlenecks is crucial for designing better therapies and predictive preclinical studies, ensuring that future discoveries have a clearer path from bench to bedside [26].</w:t>
      </w:r>
    </w:p>
    <w:p w14:paraId="2A4E2DFB" w14:textId="77777777" w:rsidR="00813F84" w:rsidRPr="00CE1D90" w:rsidRDefault="00154854">
      <w:pPr>
        <w:pStyle w:val="Heading3"/>
        <w:keepNext w:val="0"/>
        <w:keepLines w:val="0"/>
        <w:spacing w:before="280"/>
        <w:rPr>
          <w:rFonts w:ascii="Times New Roman" w:eastAsia="Times New Roman" w:hAnsi="Times New Roman" w:cs="Times New Roman"/>
          <w:b/>
          <w:bCs/>
          <w:color w:val="000000"/>
          <w:sz w:val="24"/>
          <w:szCs w:val="24"/>
        </w:rPr>
      </w:pPr>
      <w:bookmarkStart w:id="4" w:name="_gfktice9auee" w:colFirst="0" w:colLast="0"/>
      <w:bookmarkEnd w:id="4"/>
      <w:r w:rsidRPr="00CE1D90">
        <w:rPr>
          <w:rFonts w:ascii="Times New Roman" w:eastAsia="Times New Roman" w:hAnsi="Times New Roman" w:cs="Times New Roman"/>
          <w:b/>
          <w:bCs/>
          <w:color w:val="000000"/>
          <w:sz w:val="24"/>
          <w:szCs w:val="24"/>
        </w:rPr>
        <w:t>7. Clinical Translation Failures: Why Promising Therapies Collapse</w:t>
      </w:r>
    </w:p>
    <w:p w14:paraId="1446AE29"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Despite advances in understanding pancreatic cancer biology, translating preclinical discoveries into effective therapies remains extremely challenging. Many drugs that show strong activity in cell lines or animal models fail to produce meaningful clinical benefit. This failure arises from a combination of biological complexity, methodological limitations, and systemic issues. Preclinical models cannot fully capture human tumor heterogeneity, microenvironmental pressures, or patient-specific factors. Additional causes include insufficient target validation, unexpected toxicity, pharmacokinetic limitations, adaptive tumor responses, and research biases such as overinterpretation of early results and selective publication [28]. Understanding these bottlenecks is essential for designing more predictive studies and effective therapies.</w:t>
      </w:r>
    </w:p>
    <w:p w14:paraId="76940DCE" w14:textId="77777777" w:rsidR="00813F84" w:rsidRPr="00CE1D90" w:rsidRDefault="00154854">
      <w:pPr>
        <w:pStyle w:val="Heading4"/>
        <w:keepNext w:val="0"/>
        <w:keepLines w:val="0"/>
        <w:spacing w:before="240" w:after="40"/>
        <w:rPr>
          <w:rFonts w:ascii="Times New Roman" w:eastAsia="Times New Roman" w:hAnsi="Times New Roman" w:cs="Times New Roman"/>
          <w:b/>
          <w:bCs/>
          <w:color w:val="000000"/>
        </w:rPr>
      </w:pPr>
      <w:bookmarkStart w:id="5" w:name="_753ok7p0qcd" w:colFirst="0" w:colLast="0"/>
      <w:bookmarkEnd w:id="5"/>
      <w:r w:rsidRPr="00CE1D90">
        <w:rPr>
          <w:rFonts w:ascii="Times New Roman" w:eastAsia="Times New Roman" w:hAnsi="Times New Roman" w:cs="Times New Roman"/>
          <w:b/>
          <w:bCs/>
          <w:color w:val="000000"/>
        </w:rPr>
        <w:t>7.1 The Preclinical–Clinical Disconnect</w:t>
      </w:r>
    </w:p>
    <w:p w14:paraId="28E29528"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A major reason therapies fail is the persistent disconnect between preclinical models and human disease. Models often simplify or omit key features of pancreatic cancer, including dense stroma, immune suppression, hypoxia, and metabolic adaptation. Drugs that perform well in vitro or in mice may never reach effective concentrations in human tumors [27]. Even advanced models such as GEMMs or organoids cannot fully replicate human physiology or the genetic diversity of patients. Differences in pharmacokinetics, organ function, and comorbidities further complicate translation. Bridging this gap requires models that reflect both tumor biology and patient context [27].</w:t>
      </w:r>
    </w:p>
    <w:p w14:paraId="1780DE66"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lastRenderedPageBreak/>
        <w:t>Many therapies also fail due to insufficient target validation. Targets must be essential for disease progression, and their inhibition should produce meaningful effects. Preclinical studies often identify targets in simplified systems or from correlative data that may not hold true in humans. PDAC is particularly resilient because compensatory pathways can bypass single-target inhibition. Multi-layered validation using genetic, pharmacologic, and combination approaches is critical to prevent wasted resources and failed trials [28].</w:t>
      </w:r>
    </w:p>
    <w:p w14:paraId="45E0B1BE"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Even effective therapies may be limited by toxicity. Preclinical models tolerate higher doses or respond differently than humans, masking adverse effects. Narrow therapeutic windows, systemic toxicity, and on-target effects in normal tissues often prevent patients from receiving effective doses. Understanding pharmacokinetics, tissue distribution, and patient variability is essential to deliver therapy safely [29].</w:t>
      </w:r>
    </w:p>
    <w:p w14:paraId="580F92D3"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tumors adapt rapidly through redundant signaling networks. Simplified models rarely capture this plasticity, leading to drugs failing in the clinic. Combination strategies can address compensation but add complexity, toxicity, and cost. Predicting adaptive responses is critical for robust therapeutic design [30].</w:t>
      </w:r>
    </w:p>
    <w:p w14:paraId="68808975"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Scientific culture itself also contributes to translational failure. Positive results are more likely to be published, small studies can overestimate effects, and early preclinical successes are sometimes overextended to clinical expectations. Transparent reporting, rigorous validation, and cautious interpretation are essential to align preclinical promise with patient benefit.</w:t>
      </w:r>
    </w:p>
    <w:p w14:paraId="2626416B"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In summary, clinical failures in PDAC arise from model limitations, incomplete target validation, toxicity, tumor adaptability, and systemic research biases. Addressing these challenges requires realistic preclinical models, rigorous multi-layered validation, anticipation of tumor plasticity, careful toxicity assessment, and a culture of scientific rigor.</w:t>
      </w:r>
    </w:p>
    <w:p w14:paraId="24A87FA3" w14:textId="77777777" w:rsidR="00813F84" w:rsidRPr="00CE1D90" w:rsidRDefault="00154854">
      <w:pPr>
        <w:pStyle w:val="Heading3"/>
        <w:keepNext w:val="0"/>
        <w:keepLines w:val="0"/>
        <w:spacing w:before="280"/>
        <w:rPr>
          <w:rFonts w:ascii="Times New Roman" w:eastAsia="Times New Roman" w:hAnsi="Times New Roman" w:cs="Times New Roman"/>
          <w:b/>
          <w:bCs/>
          <w:color w:val="000000"/>
          <w:sz w:val="24"/>
          <w:szCs w:val="24"/>
        </w:rPr>
      </w:pPr>
      <w:bookmarkStart w:id="6" w:name="_puztikj5ee10" w:colFirst="0" w:colLast="0"/>
      <w:bookmarkEnd w:id="6"/>
      <w:r w:rsidRPr="00CE1D90">
        <w:rPr>
          <w:rFonts w:ascii="Times New Roman" w:eastAsia="Times New Roman" w:hAnsi="Times New Roman" w:cs="Times New Roman"/>
          <w:b/>
          <w:bCs/>
          <w:color w:val="000000"/>
          <w:sz w:val="24"/>
          <w:szCs w:val="24"/>
        </w:rPr>
        <w:t>8. Clinical Trial Design Challenges in Pancreatic Cancer</w:t>
      </w:r>
    </w:p>
    <w:p w14:paraId="6F355AEA"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Clinical trials are where scientific promise meets clinical reality, and in pancreatic cancer that intersection is unforgiving. Therapies that appear compelling in preclinical models often fail not because the biology is flawed, but because trial design, patient condition, and structural barriers undermine execution. Translational success depends as much on thoughtful design and patient context as on molecular insight.</w:t>
      </w:r>
    </w:p>
    <w:p w14:paraId="6CEDC6E1" w14:textId="77777777" w:rsidR="00813F84" w:rsidRPr="00CE1D90" w:rsidRDefault="00154854">
      <w:pPr>
        <w:pStyle w:val="Heading4"/>
        <w:keepNext w:val="0"/>
        <w:keepLines w:val="0"/>
        <w:spacing w:before="240" w:after="40"/>
        <w:rPr>
          <w:rFonts w:ascii="Times New Roman" w:eastAsia="Times New Roman" w:hAnsi="Times New Roman" w:cs="Times New Roman"/>
          <w:b/>
          <w:bCs/>
          <w:color w:val="000000"/>
        </w:rPr>
      </w:pPr>
      <w:bookmarkStart w:id="7" w:name="_qoj6fphbjm0w" w:colFirst="0" w:colLast="0"/>
      <w:bookmarkEnd w:id="7"/>
      <w:r w:rsidRPr="00CE1D90">
        <w:rPr>
          <w:rFonts w:ascii="Times New Roman" w:eastAsia="Times New Roman" w:hAnsi="Times New Roman" w:cs="Times New Roman"/>
          <w:b/>
          <w:bCs/>
          <w:color w:val="000000"/>
        </w:rPr>
        <w:t>8.1 Patient Factors</w:t>
      </w:r>
    </w:p>
    <w:p w14:paraId="78F399F3"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Late diagnosis and poor performance status are major challenges. Most patients present with locally advanced or metastatic disease and limited physiological reserve. Compromised performance restricts eligibility and reduces therapy tolerance [31, 32]. Toxicity, early withdrawal, and rapid progression are common, making it difficult to determine whether failure </w:t>
      </w:r>
      <w:r w:rsidRPr="00CE1D90">
        <w:rPr>
          <w:rFonts w:ascii="Times New Roman" w:eastAsia="Times New Roman" w:hAnsi="Times New Roman" w:cs="Times New Roman"/>
          <w:sz w:val="24"/>
          <w:szCs w:val="24"/>
        </w:rPr>
        <w:lastRenderedPageBreak/>
        <w:t>reflects biological inefficacy or patient frailty. Trials must account for real-world patient capacity through careful selection, strong supportive care, and realistic expectations.</w:t>
      </w:r>
    </w:p>
    <w:p w14:paraId="3465F4FE"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Restrictive eligibility criteria often exclude patients with comorbidities, prior treatments, or borderline organ function, features typical of the PDAC population. Geographic and socioeconomic barriers further limit access, particularly in regions with limited oncology infrastructure [33]. Such rigidity slows enrollment, reduces diversity, and weakens generalizability. Adaptive and patient-centered designs are increasingly advocated to preserve rigor while improving feasibility.</w:t>
      </w:r>
    </w:p>
    <w:p w14:paraId="46747589" w14:textId="77777777" w:rsidR="00813F84" w:rsidRPr="00CE1D90" w:rsidRDefault="00154854">
      <w:pPr>
        <w:pStyle w:val="Heading4"/>
        <w:keepNext w:val="0"/>
        <w:keepLines w:val="0"/>
        <w:spacing w:before="240" w:after="40"/>
        <w:rPr>
          <w:rFonts w:ascii="Times New Roman" w:eastAsia="Times New Roman" w:hAnsi="Times New Roman" w:cs="Times New Roman"/>
          <w:b/>
          <w:bCs/>
          <w:color w:val="000000"/>
        </w:rPr>
      </w:pPr>
      <w:bookmarkStart w:id="8" w:name="_lzgdj8x6v1zg" w:colFirst="0" w:colLast="0"/>
      <w:bookmarkEnd w:id="8"/>
      <w:r w:rsidRPr="00CE1D90">
        <w:rPr>
          <w:rFonts w:ascii="Times New Roman" w:eastAsia="Times New Roman" w:hAnsi="Times New Roman" w:cs="Times New Roman"/>
          <w:b/>
          <w:bCs/>
          <w:color w:val="000000"/>
        </w:rPr>
        <w:t>8.2 Trial Design Limitations</w:t>
      </w:r>
    </w:p>
    <w:p w14:paraId="7CCDEA9F"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Traditional endpoints such as progression-free survival or tumor shrinkage may not fully reflect clinically meaningful improvement in a disease with short survival. Therapies that stabilize disease or improve symptoms may fall short of statistical thresholds despite tangible benefit. Incorporating patient-reported outcomes, functional status, and quality-of-life measures can better align trial results with patient priorities.</w:t>
      </w:r>
    </w:p>
    <w:p w14:paraId="02AEDE83"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PDAC is biologically heterogeneous, yet many trials enroll unselected populations. Without predictive biomarkers, potential responders are diluted within broader cohorts, masking therapeutic signals [33]. Integrating molecular, stromal, or immune biomarkers into enrollment criteria enhances precision, reduces unnecessary toxicity, and strengthens ethical justification.</w:t>
      </w:r>
    </w:p>
    <w:p w14:paraId="099AE7BD"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High mortality introduces ethical complexity. Patients often enroll under conditions of urgency and vulnerability, balancing hope against risk [34]. Transparent consent, early stopping rules, and careful communication are essential. Ethical integrity is not separate from scientific rigor; in PDAC trials, it is part of what makes translation meaningful.</w:t>
      </w:r>
    </w:p>
    <w:p w14:paraId="16B8EE38"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Together, these structural and human factors demonstrate that clinical trial failure in pancreatic cancer is not always a reflection of flawed biology. Success requires integrating biological precision with a flexible, patient-centered methodology.</w:t>
      </w:r>
    </w:p>
    <w:p w14:paraId="4F97996C" w14:textId="77777777" w:rsidR="00813F84" w:rsidRPr="00CE1D90" w:rsidRDefault="00813F84">
      <w:pPr>
        <w:spacing w:before="360" w:after="80"/>
        <w:rPr>
          <w:rFonts w:ascii="Times New Roman" w:eastAsia="Times New Roman" w:hAnsi="Times New Roman" w:cs="Times New Roman"/>
          <w:b/>
          <w:bCs/>
          <w:sz w:val="24"/>
          <w:szCs w:val="24"/>
        </w:rPr>
      </w:pPr>
    </w:p>
    <w:p w14:paraId="05E5B2F2"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9. Regulatory, Economic, and Structural Barriers</w:t>
      </w:r>
    </w:p>
    <w:p w14:paraId="580E9C85"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Even when therapies demonstrate biological promise and trial design is sound, economic, regulatory, and structural realities can impede translation. Funding limitations, pharmaceutical risk aversion, and bureaucratic frameworks often determine which therapies advance. Structural inequities further restrict trial access, limiting representation and generalizability [34]. These barriers exacerbate biological and clinical challenges, shaping the trajectory of translational success. Examining these systemic constraints illuminates why even promising therapies may </w:t>
      </w:r>
      <w:r w:rsidRPr="00CE1D90">
        <w:rPr>
          <w:rFonts w:ascii="Times New Roman" w:eastAsia="Times New Roman" w:hAnsi="Times New Roman" w:cs="Times New Roman"/>
          <w:sz w:val="24"/>
          <w:szCs w:val="24"/>
        </w:rPr>
        <w:lastRenderedPageBreak/>
        <w:t>struggle to reach patients. Addressing them requires both strategic planning and policy-level engagement.</w:t>
      </w:r>
    </w:p>
    <w:p w14:paraId="43977368"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9.1 Funding Gaps and High Attrition Rates</w:t>
      </w:r>
    </w:p>
    <w:p w14:paraId="24333580"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cancer research faces a mismatch between urgent scientific need and available funding. Despite high mortality, investment is disproportionately low relative to disease burden [35]. Limited funding constrains preclinical studies, combination strategies, and mechanistic exploration. High attrition rates further discourage investment, as many promising agents fail before reaching clinical evaluation [36]. Resource scarcity restricts innovative trial designs, biomarker integration, and global collaboration. Addressing these gaps demands increased public and private investment and creative mechanisms to de-risk early-stage innovation. Without financial support, translational potential remains unrealized. Funding is therefore both a facilitator and a prerequisite for meaningful progress.</w:t>
      </w:r>
    </w:p>
    <w:p w14:paraId="5B98255F"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9.2 Pharmaceutical Risk Aversion</w:t>
      </w:r>
    </w:p>
    <w:p w14:paraId="76DE9E5A"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High failure rates and short survival endpoints make pharmaceutical companies risk-averse [36]. Investment favors incremental or “safer” innovations, leaving potentially transformative therapies underexplored. Preclinical promise alone is insufficient to overcome corporate caution; financial risk, market projections, and regulatory hurdles weigh heavily. Risk aversion can hinder combination therapies or unconventional approaches, slowing innovation. Addressing this requires partnerships between academia, industry, and funders to share risk while advancing science. Without mitigating risk aversion, financial conservatism constrains translational progress more than biological limitations.</w:t>
      </w:r>
    </w:p>
    <w:p w14:paraId="556DD1AA"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9.3 Regulatory Hurdles in Translational Oncology</w:t>
      </w:r>
    </w:p>
    <w:p w14:paraId="7111410B"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Regulatory frameworks protect patients but can delay therapy translation. Agencies demand rigorous preclinical validation, safety profiling, and standardized endpoints before approval pathways are opened [37]. Cross-border trials face inconsistent standards, complicating collaboration. Even sophisticated preclinical models cannot fully satisfy regulatory expectations for human relevance. These constraints shape trial design, enrollment, and reporting requirements, adding complexity to translational efforts. Navigating this landscape requires early engagement, strategic planning, and alignment of trial design with regulatory expectations.</w:t>
      </w:r>
    </w:p>
    <w:p w14:paraId="3DF93E7A"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9.4 Access, Equity, and Global Trial Representation</w:t>
      </w:r>
    </w:p>
    <w:p w14:paraId="1DDEB559"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Structural inequities influence who benefits from translational advances. Trials underrepresent racial minorities, rural communities, and socioeconomically disadvantaged populations, limiting generalizability [34]. Geographic, socioeconomic, and infrastructural barriers restrict patient access, compounding biological and clinical challenges. Global representation ensures findings </w:t>
      </w:r>
      <w:r w:rsidRPr="00CE1D90">
        <w:rPr>
          <w:rFonts w:ascii="Times New Roman" w:eastAsia="Times New Roman" w:hAnsi="Times New Roman" w:cs="Times New Roman"/>
          <w:sz w:val="24"/>
          <w:szCs w:val="24"/>
        </w:rPr>
        <w:lastRenderedPageBreak/>
        <w:t>are relevant across diverse genetic, environmental, and healthcare contexts. Proactive outreach, resource allocation, and inclusive trial design are both ethical and scientific imperatives. Equity maximizes translational impact and ensures therapies are meaningful worldwide. Integrating access into research design links fairness with scientific rigor.</w:t>
      </w:r>
    </w:p>
    <w:p w14:paraId="03DFE7CF" w14:textId="77777777" w:rsidR="00813F84" w:rsidRPr="00CE1D90" w:rsidRDefault="00813F84">
      <w:pPr>
        <w:rPr>
          <w:rFonts w:ascii="Times New Roman" w:eastAsia="Times New Roman" w:hAnsi="Times New Roman" w:cs="Times New Roman"/>
          <w:sz w:val="24"/>
          <w:szCs w:val="24"/>
        </w:rPr>
      </w:pPr>
    </w:p>
    <w:p w14:paraId="3FCCA6D3" w14:textId="77777777" w:rsidR="00813F84" w:rsidRPr="00CE1D90" w:rsidRDefault="00154854">
      <w:pPr>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10. Strategies to Bridge the Bench-to-Bedside Gap</w:t>
      </w:r>
    </w:p>
    <w:p w14:paraId="2928B017"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Closing the gap between laboratory discovery and meaningful clinical benefit in pancreatic cancer demands more than scientific breakthroughs. It requires alignment. Biology must inform trial design. Clinical realities must shape experimental priorities. Structural barriers must be acknowledged rather than ignored. Pancreatic cancer presents multiple obstacles, including tumor heterogeneity, a dense and complex stroma, imperfect preclinical models, rigid clinical trial systems, and inequities in access to care [38]. For years, these factors have contributed to high failure rates. Yet the field is gradually learning from these setbacks. Progress now depends on precision, adaptability, and integration across disciplines.</w:t>
      </w:r>
    </w:p>
    <w:p w14:paraId="18F8281E" w14:textId="77777777" w:rsidR="00813F84" w:rsidRPr="00CE1D90" w:rsidRDefault="00813F84">
      <w:pPr>
        <w:rPr>
          <w:rFonts w:ascii="Times New Roman" w:eastAsia="Times New Roman" w:hAnsi="Times New Roman" w:cs="Times New Roman"/>
          <w:sz w:val="24"/>
          <w:szCs w:val="24"/>
        </w:rPr>
      </w:pPr>
    </w:p>
    <w:p w14:paraId="0327BE80" w14:textId="77777777" w:rsidR="00813F84" w:rsidRPr="00CE1D90" w:rsidRDefault="00154854">
      <w:pPr>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10.1 Precision Oncology and Molecular Stratification</w:t>
      </w:r>
    </w:p>
    <w:p w14:paraId="26C3DF70"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Precision oncology aims to match therapy to the specific molecular features of a patient’s tumor. This approach is particularly relevant in pancreatic cancer, where tumors vary significantly at the genetic and transcriptomic levels [38]. Treatments that fail in broad, unselected populations may show benefit when patients are stratified according to actionable mutations such as BRCA1/2 alterations [39].</w:t>
      </w:r>
    </w:p>
    <w:p w14:paraId="435F823D"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Molecular stratification increases the likelihood that a therapy will demonstrate true activity and reduces unnecessary toxicity for patients unlikely to respond. Advances in sequencing technology have made this approach increasingly feasible in routine practice. Importantly, precision oncology reframes the clinical trial around biological rationale rather than empirical broad testing. While this strategy does not guarantee dramatic outcomes, it strengthens the connection between laboratory insight and patient care.</w:t>
      </w:r>
    </w:p>
    <w:p w14:paraId="421431A1" w14:textId="77777777" w:rsidR="00813F84" w:rsidRPr="00CE1D90" w:rsidRDefault="00813F84">
      <w:pPr>
        <w:rPr>
          <w:rFonts w:ascii="Times New Roman" w:eastAsia="Times New Roman" w:hAnsi="Times New Roman" w:cs="Times New Roman"/>
          <w:sz w:val="24"/>
          <w:szCs w:val="24"/>
        </w:rPr>
      </w:pPr>
    </w:p>
    <w:p w14:paraId="1BC0D4AB" w14:textId="77777777" w:rsidR="00813F84" w:rsidRPr="00CE1D90" w:rsidRDefault="00154854">
      <w:pPr>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10.2 Biomarker-Guided and Basket Trial Designs</w:t>
      </w:r>
    </w:p>
    <w:p w14:paraId="4FAB5C2B"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Traditional trials often enroll patients based solely on tumor location. In contrast, biomarker-guided trials select patients based on tumor biology, increasing the probability of detecting meaningful therapeutic signals [40]. Basket trials extend this approach by testing therapies across multiple molecularly defined subgroups regardless of anatomical origin [40].</w:t>
      </w:r>
    </w:p>
    <w:p w14:paraId="7BFBB25D" w14:textId="77777777" w:rsidR="00813F84" w:rsidRPr="00CE1D90" w:rsidRDefault="00813F84">
      <w:pPr>
        <w:rPr>
          <w:rFonts w:ascii="Times New Roman" w:eastAsia="Times New Roman" w:hAnsi="Times New Roman" w:cs="Times New Roman"/>
          <w:sz w:val="24"/>
          <w:szCs w:val="24"/>
        </w:rPr>
      </w:pPr>
    </w:p>
    <w:p w14:paraId="01F68456"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These designs conserve time and reduce dilution of treatment effects in heterogeneous populations. By integrating translational endpoints such as pharmacodynamic and molecular profiling, they provide deeper insight into the mechanism of action. Aligning trial design with tumor biology is not simply innovative. It is necessary in a disease as biologically complex as pancreatic cancer.</w:t>
      </w:r>
    </w:p>
    <w:p w14:paraId="693F961B" w14:textId="77777777" w:rsidR="00813F84" w:rsidRPr="00CE1D90" w:rsidRDefault="00813F84">
      <w:pPr>
        <w:rPr>
          <w:rFonts w:ascii="Times New Roman" w:eastAsia="Times New Roman" w:hAnsi="Times New Roman" w:cs="Times New Roman"/>
          <w:sz w:val="24"/>
          <w:szCs w:val="24"/>
        </w:rPr>
      </w:pPr>
    </w:p>
    <w:p w14:paraId="476E72DC" w14:textId="77777777" w:rsidR="00813F84" w:rsidRPr="00CE1D90" w:rsidRDefault="00154854">
      <w:pPr>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lastRenderedPageBreak/>
        <w:t>10.3 Adaptive and Platform Trials</w:t>
      </w:r>
    </w:p>
    <w:p w14:paraId="733945B9" w14:textId="77777777" w:rsidR="00813F84" w:rsidRPr="00CE1D90" w:rsidRDefault="00813F84">
      <w:pPr>
        <w:rPr>
          <w:rFonts w:ascii="Times New Roman" w:eastAsia="Times New Roman" w:hAnsi="Times New Roman" w:cs="Times New Roman"/>
          <w:sz w:val="24"/>
          <w:szCs w:val="24"/>
        </w:rPr>
      </w:pPr>
    </w:p>
    <w:p w14:paraId="7734C84F"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cancer progresses rapidly, and conventional rigid trial models may lack efficiency. Adaptive trial designs permit pre-specified modifications based on interim analyses, including early termination of ineffective arms and refinement of patient groups [41]. This flexibility improves efficiency and ethical allocation of resources.</w:t>
      </w:r>
    </w:p>
    <w:p w14:paraId="3EF57383" w14:textId="77777777" w:rsidR="00813F84" w:rsidRPr="00CE1D90" w:rsidRDefault="00813F84">
      <w:pPr>
        <w:rPr>
          <w:rFonts w:ascii="Times New Roman" w:eastAsia="Times New Roman" w:hAnsi="Times New Roman" w:cs="Times New Roman"/>
          <w:sz w:val="24"/>
          <w:szCs w:val="24"/>
        </w:rPr>
      </w:pPr>
    </w:p>
    <w:p w14:paraId="695D4952"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Platform trials evaluate multiple therapies within a shared infrastructure, allowing new agents to enter and ineffective ones to exit without launching entirely new trials [41]. When combined with biomarker stratification, these designs create responsive systems aligned with emerging data. In aggressive malignancies, adaptability enhances translational efficiency.</w:t>
      </w:r>
    </w:p>
    <w:p w14:paraId="3AD2BBBC" w14:textId="77777777" w:rsidR="00813F84" w:rsidRPr="00CE1D90" w:rsidRDefault="00813F84">
      <w:pPr>
        <w:rPr>
          <w:rFonts w:ascii="Times New Roman" w:eastAsia="Times New Roman" w:hAnsi="Times New Roman" w:cs="Times New Roman"/>
          <w:sz w:val="24"/>
          <w:szCs w:val="24"/>
        </w:rPr>
      </w:pPr>
    </w:p>
    <w:p w14:paraId="4178F92F" w14:textId="77777777" w:rsidR="00813F84" w:rsidRPr="00CE1D90" w:rsidRDefault="00154854">
      <w:pPr>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10.4 Rational Combination Therapies</w:t>
      </w:r>
    </w:p>
    <w:p w14:paraId="58FC4A67" w14:textId="77777777" w:rsidR="00813F84" w:rsidRPr="00CE1D90" w:rsidRDefault="00813F84">
      <w:pPr>
        <w:rPr>
          <w:rFonts w:ascii="Times New Roman" w:eastAsia="Times New Roman" w:hAnsi="Times New Roman" w:cs="Times New Roman"/>
          <w:sz w:val="24"/>
          <w:szCs w:val="24"/>
        </w:rPr>
      </w:pPr>
    </w:p>
    <w:p w14:paraId="61BF3273"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tumors exhibit pathway redundancy and adaptive resistance mechanisms, contributing to the limited durability of single-agent therapies [42]. Rational combination strategies aim to address compensatory signaling and tumor-microenvironment interactions.</w:t>
      </w:r>
    </w:p>
    <w:p w14:paraId="7EFF483B" w14:textId="77777777" w:rsidR="00813F84" w:rsidRPr="00CE1D90" w:rsidRDefault="00813F84">
      <w:pPr>
        <w:rPr>
          <w:rFonts w:ascii="Times New Roman" w:eastAsia="Times New Roman" w:hAnsi="Times New Roman" w:cs="Times New Roman"/>
          <w:sz w:val="24"/>
          <w:szCs w:val="24"/>
        </w:rPr>
      </w:pPr>
    </w:p>
    <w:p w14:paraId="2282F333"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Combining targeted therapies with chemotherapy, immunotherapy, or metabolic modulators may enhance efficacy, but combinations must be grounded in mechanistic understanding and evaluated in advanced preclinical systems [42]. Careful balancing of toxicity and biological rationale is essential. Meaningful progress in pancreatic cancer is unlikely to emerge from isolated pathway inhibition alone.</w:t>
      </w:r>
    </w:p>
    <w:p w14:paraId="14B8B76F" w14:textId="77777777" w:rsidR="00813F84" w:rsidRPr="00CE1D90" w:rsidRDefault="00813F84">
      <w:pPr>
        <w:rPr>
          <w:rFonts w:ascii="Times New Roman" w:eastAsia="Times New Roman" w:hAnsi="Times New Roman" w:cs="Times New Roman"/>
          <w:sz w:val="24"/>
          <w:szCs w:val="24"/>
        </w:rPr>
      </w:pPr>
    </w:p>
    <w:p w14:paraId="0D61D0E1" w14:textId="77777777" w:rsidR="00813F84" w:rsidRPr="00CE1D90" w:rsidRDefault="00154854">
      <w:pPr>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10.5 Stromal Reprogramming Rather Than Depletion</w:t>
      </w:r>
    </w:p>
    <w:p w14:paraId="7C96FA03" w14:textId="77777777" w:rsidR="00813F84" w:rsidRPr="00CE1D90" w:rsidRDefault="00813F84">
      <w:pPr>
        <w:rPr>
          <w:rFonts w:ascii="Times New Roman" w:eastAsia="Times New Roman" w:hAnsi="Times New Roman" w:cs="Times New Roman"/>
          <w:sz w:val="24"/>
          <w:szCs w:val="24"/>
        </w:rPr>
      </w:pPr>
    </w:p>
    <w:p w14:paraId="470240B9"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The pancreatic stroma was initially considered primarily a barrier to drug delivery. However, preclinical studies demonstrated that complete stromal depletion could lead to more aggressive tumor behavior and reduced survival [43]. These findings revealed protective and regulatory functions within stromal compartments. Current strategies emphasize stromal modulation or reprogramming rather than wholesale depletion. Approaches targeting fibroblast activity and extracellular matrix remodeling aim to enhance therapeutic penetration while preserving tumor-controlling elements [43]. This shift reflects a more nuanced understanding of tumor–stroma dynamics.</w:t>
      </w:r>
    </w:p>
    <w:p w14:paraId="3C79C7F5" w14:textId="77777777" w:rsidR="00813F84" w:rsidRPr="00CE1D90" w:rsidRDefault="00813F84">
      <w:pPr>
        <w:rPr>
          <w:rFonts w:ascii="Times New Roman" w:eastAsia="Times New Roman" w:hAnsi="Times New Roman" w:cs="Times New Roman"/>
          <w:b/>
          <w:bCs/>
          <w:sz w:val="24"/>
          <w:szCs w:val="24"/>
        </w:rPr>
      </w:pPr>
    </w:p>
    <w:p w14:paraId="26F8D82C" w14:textId="77777777" w:rsidR="00813F84" w:rsidRPr="00CE1D90" w:rsidRDefault="00154854">
      <w:pPr>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10.6 Integration of Artificial Intelligence and Systems Biology</w:t>
      </w:r>
    </w:p>
    <w:p w14:paraId="3389E57B" w14:textId="77777777" w:rsidR="00813F84" w:rsidRPr="00CE1D90" w:rsidRDefault="00813F84">
      <w:pPr>
        <w:rPr>
          <w:rFonts w:ascii="Times New Roman" w:eastAsia="Times New Roman" w:hAnsi="Times New Roman" w:cs="Times New Roman"/>
          <w:b/>
          <w:bCs/>
          <w:sz w:val="24"/>
          <w:szCs w:val="24"/>
        </w:rPr>
      </w:pPr>
    </w:p>
    <w:p w14:paraId="4C355CD3"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The expansion of multi-omics and clinical datasets in oncology has created opportunities for computational integration. Artificial intelligence and systems biology approaches enable analysis of complex tumor–immune–stromal interactions and prediction of therapeutic response [44].</w:t>
      </w:r>
    </w:p>
    <w:p w14:paraId="3636ECE2" w14:textId="77777777" w:rsidR="00813F84" w:rsidRPr="00CE1D90" w:rsidRDefault="00813F84">
      <w:pPr>
        <w:rPr>
          <w:rFonts w:ascii="Times New Roman" w:eastAsia="Times New Roman" w:hAnsi="Times New Roman" w:cs="Times New Roman"/>
          <w:sz w:val="24"/>
          <w:szCs w:val="24"/>
        </w:rPr>
      </w:pPr>
    </w:p>
    <w:p w14:paraId="742A78F5"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These tools support refined patient stratification and more informed trial design. While computational models do not replace clinical expertise, they enhance predictive capacity and translational efficiency in biologically complex diseases.</w:t>
      </w:r>
    </w:p>
    <w:p w14:paraId="1C6F4D8F"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11. Emerging Success Stories and Translational Lessons</w:t>
      </w:r>
    </w:p>
    <w:p w14:paraId="74FF38D8"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Although pancreatic cancer research has faced repeated setbacks, several translational advances offer cautious optimism. These successes are often limited to specific patient subsets, yet they validate the principles of persistence and biological precision.</w:t>
      </w:r>
    </w:p>
    <w:p w14:paraId="7E34A4C2"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cancer is beginning to show that even the most intractable molecular targets can be tamed with persistence and innovation. KRAS mutations, long considered central drivers of pancreatic tumorigenesis, were once thought impossible to inhibit therapeutically [45]. For decades, these mutations were untouchable, leaving patients with few targeted options. Advances in structural biology and the development of covalent inhibitors have transformed that outlook, and KRAS G12C inhibitors now demonstrate activity in specific mutation contexts [46]. Although these therapies currently benefit only a subset of patients, they confirm that sustained investment in understanding fundamental biology can yield meaningful clinical impact. The KRAS story illustrates the power of precise mutation targeting and highlights the necessity of combination strategies to overcome resistance. Progress has been incremental, but it challenges previous assumptions about what is achievable and opens the door to other targets once deemed undruggable.</w:t>
      </w:r>
    </w:p>
    <w:p w14:paraId="44A1B511"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Building on this momentum, PARP inhibitors provide another clear example of translating defined molecular vulnerabilities into patient benefit. In individuals with BRCA mutations, impaired DNA repair creates a therapeutic opportunity through synthetic lethality, and clinical trials have demonstrated significant responses in this genetically defined population [47]. This success emphasizes the value of integrating germline and somatic testing into routine clinical practice. While applicable to a minority of patients, PARP inhibition demonstrates the broader principle that precision medicine guided by deep molecular insight can improve outcomes. It also provides a model for discovering and targeting additional DNA repair vulnerabilities, showing that lessons learned from one actionable target can inform the next wave of translational innovation.</w:t>
      </w:r>
    </w:p>
    <w:p w14:paraId="0AAC1A21"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Conventional chemotherapy remains foundational in pancreatic cancer management. Regimens such as FOLFIRINOX provide consistent, though limited, survival benefit [48]. Augmenting these backbones with targeted or immunomodulatory agents has produced incremental gains. This approach reflects pragmatism. Rather than discarding established treatments, it builds upon them. Translational progress often emerges from thoughtful integration of established and novel strategies. Incremental improvement should not be underestimated, particularly in a disease where dramatic breakthroughs are rare.</w:t>
      </w:r>
    </w:p>
    <w:p w14:paraId="07732C5F" w14:textId="77777777" w:rsidR="00813F84" w:rsidRPr="00CE1D90" w:rsidRDefault="00813F84">
      <w:pPr>
        <w:spacing w:before="240" w:after="240"/>
        <w:rPr>
          <w:rFonts w:ascii="Times New Roman" w:eastAsia="Times New Roman" w:hAnsi="Times New Roman" w:cs="Times New Roman"/>
          <w:sz w:val="24"/>
          <w:szCs w:val="24"/>
        </w:rPr>
      </w:pPr>
    </w:p>
    <w:p w14:paraId="6879FDD1"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In pancreatic cancer, success is seldom defined by cure. More often, it is measured in months of extended survival, preserved quality of life, or improved patient selection. Recognizing incremental benefit prevents disillusionment and sustains momentum. Each carefully analyzed failure refines understanding and guides future design. Progress in this field accumulates through persistence and adjustment. Success therefore includes both therapeutic advances and the knowledge gained from trials that did not meet expectations [49].</w:t>
      </w:r>
    </w:p>
    <w:p w14:paraId="2B0B3BCE"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 </w:t>
      </w:r>
    </w:p>
    <w:p w14:paraId="6902117E" w14:textId="77777777" w:rsidR="00813F84" w:rsidRPr="00CE1D90" w:rsidRDefault="00154854">
      <w:pPr>
        <w:spacing w:before="360" w:after="8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12. Future Directions in Translational Pancreatic Oncology</w:t>
      </w:r>
    </w:p>
    <w:p w14:paraId="0F660FCE"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The path forward in pancreatic cancer will require earlier detection, dynamic monitoring, personalized immunotherapy, and broader collaboration. These directions are interconnected and demand sustained commitment.</w:t>
      </w:r>
    </w:p>
    <w:p w14:paraId="5978FD11"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12.1 The Future of Precision Oncology in Pancreatic Cancer</w:t>
      </w:r>
    </w:p>
    <w:p w14:paraId="11916DF7" w14:textId="77777777" w:rsidR="00813F84" w:rsidRPr="00CE1D90" w:rsidRDefault="00154854">
      <w:pPr>
        <w:spacing w:before="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 Shifting the focus toward earlier detection may represent the most transformative opportunity in pancreatic cancer. Most cases are diagnosed at advanced stages, when therapeutic options are limited and outcomes are poor. Earlier identification has the potential to alter this trajectory significantly. Current research efforts are exploring molecular signatures, protein panels, and metabolomic markers capable of detecting disease in high-risk populations before clinical symptoms emerge. However, implementation must be carefully paired with risk stratification and structured surveillance programs to minimize unnecessary intervention. Detecting tumors before extensive progression improves surgical candidacy and expands opportunities for clinical trial participation. In this sense, early detection is not only a scientific ambition but also a public health priority.</w:t>
      </w:r>
    </w:p>
    <w:p w14:paraId="133448B7"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At the same time, advances in liquid biopsy technology are reshaping how pancreatic cancer is monitored over time. Minimally invasive assessment of circulating tumor DNA and related biomarkers allows clinicians to capture tumor evolution and emerging resistance patterns. Because these samples can be obtained repeatedly, treatment decisions can be adjusted dynamically rather than relying on static snapshots. Incorporating liquid biopsy data into clinical trial design improves patient selection and enhances response monitoring. This approach moves oncology away from one-time assessment toward continuous evaluation. Real-time molecular insight strengthens the alignment between therapeutic strategy and tumor behavior.</w:t>
      </w:r>
    </w:p>
    <w:p w14:paraId="57D65FDB"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Another promising frontier lies in the development of personalized vaccines targeting tumor-specific neoantigens. By identifying mutations unique to an individual’s cancer, researchers can design therapies that stimulate immune recognition with greater specificity. Advances in </w:t>
      </w:r>
      <w:r w:rsidRPr="00CE1D90">
        <w:rPr>
          <w:rFonts w:ascii="Times New Roman" w:eastAsia="Times New Roman" w:hAnsi="Times New Roman" w:cs="Times New Roman"/>
          <w:sz w:val="24"/>
          <w:szCs w:val="24"/>
        </w:rPr>
        <w:lastRenderedPageBreak/>
        <w:t>sequencing and computational prediction have made neoantigen identification increasingly feasible. Early-phase studies suggest potential benefit, particularly when vaccines are combined with checkpoint inhibition or strategies that modulate the tumor microenvironment. Challenges remain, including cost and logistical complexity, but the underlying principle is compelling. This strategy reflects a convergence of genomics and immunology and points toward a future in which therapy is tailored not only to tumor type, but to the precise molecular identity of each patient’s disease.</w:t>
      </w:r>
    </w:p>
    <w:p w14:paraId="56284A6B" w14:textId="77777777" w:rsidR="00813F84" w:rsidRPr="00CE1D90" w:rsidRDefault="00813F84">
      <w:pPr>
        <w:spacing w:before="240" w:after="240"/>
        <w:rPr>
          <w:rFonts w:ascii="Times New Roman" w:eastAsia="Times New Roman" w:hAnsi="Times New Roman" w:cs="Times New Roman"/>
          <w:sz w:val="24"/>
          <w:szCs w:val="24"/>
        </w:rPr>
      </w:pPr>
    </w:p>
    <w:p w14:paraId="62BBE05B"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11.2 Translational Insights from Barbacid’s Triple Combination Therapy in PDAC</w:t>
      </w:r>
    </w:p>
    <w:p w14:paraId="5C9AFC11"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ductal adenocarcinoma (PDAC) remains one of the deadliest malignancies, largely due to the prevalence of KRAS mutations, which drive tumor initiation and progression. For decades, KRAS was deemed “undruggable,” and single‑agent therapies targeting its downstream pathways consistently failed [12]. Mariano Barbacid and colleagues have recently challenged this paradigm, demonstrating that a carefully designed triple combination therapy can induce complete tumor regression in preclinical models [50].</w:t>
      </w:r>
    </w:p>
    <w:p w14:paraId="40C4FF6D"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This work exemplifies the essence of bench‑to‑bedside translation. At the bench, detailed molecular studies identified not only the central role of KRAS but also the alternative signaling pathways tumors exploit to escape therapy, such as EGFR and STAT3. Rather than testing drugs indiscriminately, Barbacid’s team applied a rational, mechanism‑driven design, combining a KRAS inhibitor with an EGFR blocker and a STAT3 degrader to simultaneously shut down the tumor’s survival network [50]. This level of mechanistic understanding is a hallmark of translational oncology: it is not simply about finding a drug that works in a dish, but about anticipating how tumors will respond, adapt, and resist.</w:t>
      </w:r>
    </w:p>
    <w:p w14:paraId="6087DDF9" w14:textId="1D6EAED8"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In preclinical models, the therapy’s results were striking. In multiple genetically engineered mouse models and patient‑derived xenografts of PDAC, the triple therapy led to complete and lasting tumor regression, with no observed relapse for over 200 days post‑treatment and minimal toxicity [5]. These findings provide a proof‑of‑concept that mechanistically guided combination therapies can overcome the resilience and adaptive resistance of KRAS‑driven tumors, a feat that single‑agent therapies had repeatedly failed to achieve.</w:t>
      </w:r>
    </w:p>
    <w:p w14:paraId="575B9071" w14:textId="57B28FF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However, moving from bench to human trials requires more than promising preclinical data. Despite generating significant excitement in the scientific community and widespread attention online, the therapy is not yet ready for clinical trials and faces hurdles in optimization, safety validation, and securing sufficient funding for translational development [5</w:t>
      </w:r>
      <w:r w:rsidR="00CE1D90" w:rsidRPr="00CE1D90">
        <w:rPr>
          <w:rFonts w:ascii="Times New Roman" w:eastAsia="Times New Roman" w:hAnsi="Times New Roman" w:cs="Times New Roman"/>
          <w:sz w:val="24"/>
          <w:szCs w:val="24"/>
        </w:rPr>
        <w:t>0]</w:t>
      </w:r>
      <w:r w:rsidRPr="00CE1D90">
        <w:rPr>
          <w:rFonts w:ascii="Times New Roman" w:eastAsia="Times New Roman" w:hAnsi="Times New Roman" w:cs="Times New Roman"/>
          <w:sz w:val="24"/>
          <w:szCs w:val="24"/>
        </w:rPr>
        <w:t>.  Without these resources, advancing this therapy into human studies remains a major challenge, illustrating that the path from bench to bedside is as much about scientific insight as it is about financial and logistical support.</w:t>
      </w:r>
    </w:p>
    <w:p w14:paraId="6EC129F9"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lastRenderedPageBreak/>
        <w:t>Barbacid’s work highlights the integral nature of translational research: it demands not only deep understanding of cancer biology but also the strategic orchestration of therapies, thorough preclinical validation, and the persistent pursuit of pathways to clinical implementation. The story of this triple therapy underscores both the promise of precision‑targeted combination therapies in PDAC and the systemic obstacles that can delay their arrival in the clinic.</w:t>
      </w:r>
    </w:p>
    <w:p w14:paraId="03741705"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 </w:t>
      </w:r>
      <w:r w:rsidRPr="00CE1D90">
        <w:rPr>
          <w:rFonts w:ascii="Times New Roman" w:eastAsia="Times New Roman" w:hAnsi="Times New Roman" w:cs="Times New Roman"/>
          <w:b/>
          <w:bCs/>
          <w:sz w:val="24"/>
          <w:szCs w:val="24"/>
        </w:rPr>
        <w:t>12. Conclusion</w:t>
      </w:r>
    </w:p>
    <w:p w14:paraId="17A3BB1D"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Pancreatic cancer remains one of the most challenging diseases in oncology. Biological complexity, limitations of current models, rigid trial systems, and structural inequities have slowed translation from laboratory discovery to clinical impact. Yet the field is evolving. Precision stratification, adaptive trial designs, rational combinations, computational modeling, and collaborative infrastructure provide a more coherent framework for progress.</w:t>
      </w:r>
    </w:p>
    <w:p w14:paraId="7F4E0606" w14:textId="77777777" w:rsidR="00813F84" w:rsidRPr="00CE1D90" w:rsidRDefault="00154854">
      <w:pPr>
        <w:spacing w:before="240" w:after="240"/>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Change will likely remain incremental. However, incremental gains accumulate. When guided by persistence, integration, and patient-centered focus, these gains narrow the gap between bench and bedside. The task is demanding, but continued coordination across scientific, clinical, and structural domains offers a path toward sustained and meaningful improvement.</w:t>
      </w:r>
    </w:p>
    <w:p w14:paraId="6F4A00C0" w14:textId="77777777" w:rsidR="009C4318" w:rsidRPr="00CE1D90" w:rsidRDefault="009C4318" w:rsidP="009C4318">
      <w:pPr>
        <w:pStyle w:val="NoSpacing"/>
        <w:rPr>
          <w:rFonts w:ascii="Times New Roman" w:hAnsi="Times New Roman" w:cs="Times New Roman"/>
          <w:highlight w:val="lightGray"/>
        </w:rPr>
      </w:pPr>
      <w:bookmarkStart w:id="9" w:name="_Hlk219284361"/>
      <w:bookmarkStart w:id="10" w:name="_Hlk198031404"/>
      <w:r w:rsidRPr="00CE1D90">
        <w:rPr>
          <w:rFonts w:ascii="Times New Roman" w:hAnsi="Times New Roman" w:cs="Times New Roman"/>
          <w:highlight w:val="lightGray"/>
        </w:rPr>
        <w:t>Disclaimer (Artificial intelligence)</w:t>
      </w:r>
    </w:p>
    <w:p w14:paraId="050BA73C" w14:textId="77777777" w:rsidR="009C4318" w:rsidRPr="00CE1D90" w:rsidRDefault="009C4318" w:rsidP="009C4318">
      <w:pPr>
        <w:pStyle w:val="NoSpacing"/>
        <w:rPr>
          <w:rFonts w:ascii="Times New Roman" w:hAnsi="Times New Roman" w:cs="Times New Roman"/>
          <w:highlight w:val="lightGray"/>
        </w:rPr>
      </w:pPr>
    </w:p>
    <w:p w14:paraId="2B1B686A" w14:textId="77777777" w:rsidR="009C4318" w:rsidRPr="00CE1D90" w:rsidRDefault="009C4318" w:rsidP="009C4318">
      <w:pPr>
        <w:pStyle w:val="NoSpacing"/>
        <w:rPr>
          <w:rFonts w:ascii="Times New Roman" w:hAnsi="Times New Roman" w:cs="Times New Roman"/>
          <w:highlight w:val="lightGray"/>
        </w:rPr>
      </w:pPr>
      <w:r w:rsidRPr="00CE1D90">
        <w:rPr>
          <w:rFonts w:ascii="Times New Roman" w:hAnsi="Times New Roman" w:cs="Times New Roman"/>
          <w:highlight w:val="lightGray"/>
        </w:rPr>
        <w:t>Author(s) hereby declare that NO generative AI technologies such as Large Language Models (ChatGPT, COPILOT, etc.) and text-to-image generators have been used during the writing or editing of this manuscript</w:t>
      </w:r>
      <w:bookmarkEnd w:id="9"/>
      <w:r w:rsidRPr="00CE1D90">
        <w:rPr>
          <w:rFonts w:ascii="Times New Roman" w:hAnsi="Times New Roman" w:cs="Times New Roman"/>
          <w:highlight w:val="lightGray"/>
        </w:rPr>
        <w:t xml:space="preserve">. </w:t>
      </w:r>
    </w:p>
    <w:bookmarkEnd w:id="10"/>
    <w:p w14:paraId="55816626" w14:textId="77777777" w:rsidR="00813F84" w:rsidRPr="00CE1D90" w:rsidRDefault="00813F84">
      <w:pPr>
        <w:spacing w:before="240" w:after="240"/>
        <w:rPr>
          <w:rFonts w:ascii="Times New Roman" w:eastAsia="Times New Roman" w:hAnsi="Times New Roman" w:cs="Times New Roman"/>
          <w:sz w:val="24"/>
          <w:szCs w:val="24"/>
        </w:rPr>
      </w:pPr>
    </w:p>
    <w:p w14:paraId="6038B01F" w14:textId="77777777" w:rsidR="00813F84" w:rsidRPr="00CE1D90" w:rsidRDefault="00154854">
      <w:pPr>
        <w:spacing w:before="240" w:after="240"/>
        <w:rPr>
          <w:rFonts w:ascii="Times New Roman" w:eastAsia="Times New Roman" w:hAnsi="Times New Roman" w:cs="Times New Roman"/>
          <w:b/>
          <w:bCs/>
          <w:sz w:val="24"/>
          <w:szCs w:val="24"/>
        </w:rPr>
      </w:pPr>
      <w:r w:rsidRPr="00CE1D90">
        <w:rPr>
          <w:rFonts w:ascii="Times New Roman" w:eastAsia="Times New Roman" w:hAnsi="Times New Roman" w:cs="Times New Roman"/>
          <w:b/>
          <w:bCs/>
          <w:sz w:val="24"/>
          <w:szCs w:val="24"/>
        </w:rPr>
        <w:t>REFERENCES</w:t>
      </w:r>
    </w:p>
    <w:p w14:paraId="79C979D0"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1. </w:t>
      </w:r>
      <w:proofErr w:type="spellStart"/>
      <w:r w:rsidRPr="00CE1D90">
        <w:rPr>
          <w:rFonts w:ascii="Times New Roman" w:eastAsia="Times New Roman" w:hAnsi="Times New Roman" w:cs="Times New Roman"/>
          <w:sz w:val="24"/>
          <w:szCs w:val="24"/>
        </w:rPr>
        <w:t>Cambrosio</w:t>
      </w:r>
      <w:proofErr w:type="spellEnd"/>
      <w:r w:rsidRPr="00CE1D90">
        <w:rPr>
          <w:rFonts w:ascii="Times New Roman" w:eastAsia="Times New Roman" w:hAnsi="Times New Roman" w:cs="Times New Roman"/>
          <w:sz w:val="24"/>
          <w:szCs w:val="24"/>
        </w:rPr>
        <w:t xml:space="preserve">, A., Campbell, J., Drilon, A. E., Keating, P., &amp; Polk, J. B. (2024). Decision-making as discovery: Vetting clinical research in a leading precision oncology service. Sociology of health &amp; illness, 46(3), 495–513. </w:t>
      </w:r>
      <w:hyperlink r:id="rId8">
        <w:r w:rsidRPr="00CE1D90">
          <w:rPr>
            <w:rFonts w:ascii="Times New Roman" w:eastAsia="Times New Roman" w:hAnsi="Times New Roman" w:cs="Times New Roman"/>
            <w:color w:val="1155CC"/>
            <w:sz w:val="24"/>
            <w:szCs w:val="24"/>
            <w:u w:val="single"/>
          </w:rPr>
          <w:t>https://doi.org/10.1111/1467-9566.13719</w:t>
        </w:r>
      </w:hyperlink>
    </w:p>
    <w:p w14:paraId="415317A0" w14:textId="77777777" w:rsidR="00813F84" w:rsidRPr="00CE1D90" w:rsidRDefault="00813F84">
      <w:pPr>
        <w:ind w:left="720"/>
        <w:rPr>
          <w:rFonts w:ascii="Times New Roman" w:eastAsia="Times New Roman" w:hAnsi="Times New Roman" w:cs="Times New Roman"/>
          <w:sz w:val="24"/>
          <w:szCs w:val="24"/>
        </w:rPr>
      </w:pPr>
    </w:p>
    <w:p w14:paraId="2BBE20BB"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2.  </w:t>
      </w:r>
      <w:proofErr w:type="spellStart"/>
      <w:r w:rsidRPr="00CE1D90">
        <w:rPr>
          <w:rFonts w:ascii="Times New Roman" w:eastAsia="Times New Roman" w:hAnsi="Times New Roman" w:cs="Times New Roman"/>
          <w:sz w:val="24"/>
          <w:szCs w:val="24"/>
        </w:rPr>
        <w:t>Dragani</w:t>
      </w:r>
      <w:proofErr w:type="spellEnd"/>
      <w:r w:rsidRPr="00CE1D90">
        <w:rPr>
          <w:rFonts w:ascii="Times New Roman" w:eastAsia="Times New Roman" w:hAnsi="Times New Roman" w:cs="Times New Roman"/>
          <w:sz w:val="24"/>
          <w:szCs w:val="24"/>
        </w:rPr>
        <w:t xml:space="preserve">, T. A., Castells, A., </w:t>
      </w:r>
      <w:proofErr w:type="spellStart"/>
      <w:r w:rsidRPr="00CE1D90">
        <w:rPr>
          <w:rFonts w:ascii="Times New Roman" w:eastAsia="Times New Roman" w:hAnsi="Times New Roman" w:cs="Times New Roman"/>
          <w:sz w:val="24"/>
          <w:szCs w:val="24"/>
        </w:rPr>
        <w:t>Kulasingam</w:t>
      </w:r>
      <w:proofErr w:type="spellEnd"/>
      <w:r w:rsidRPr="00CE1D90">
        <w:rPr>
          <w:rFonts w:ascii="Times New Roman" w:eastAsia="Times New Roman" w:hAnsi="Times New Roman" w:cs="Times New Roman"/>
          <w:sz w:val="24"/>
          <w:szCs w:val="24"/>
        </w:rPr>
        <w:t xml:space="preserve">, V., Diamandis, E. P., Earl, H., </w:t>
      </w:r>
      <w:proofErr w:type="spellStart"/>
      <w:r w:rsidRPr="00CE1D90">
        <w:rPr>
          <w:rFonts w:ascii="Times New Roman" w:eastAsia="Times New Roman" w:hAnsi="Times New Roman" w:cs="Times New Roman"/>
          <w:sz w:val="24"/>
          <w:szCs w:val="24"/>
        </w:rPr>
        <w:t>Iams</w:t>
      </w:r>
      <w:proofErr w:type="spellEnd"/>
      <w:r w:rsidRPr="00CE1D90">
        <w:rPr>
          <w:rFonts w:ascii="Times New Roman" w:eastAsia="Times New Roman" w:hAnsi="Times New Roman" w:cs="Times New Roman"/>
          <w:sz w:val="24"/>
          <w:szCs w:val="24"/>
        </w:rPr>
        <w:t xml:space="preserve">, W. T., </w:t>
      </w:r>
      <w:proofErr w:type="spellStart"/>
      <w:r w:rsidRPr="00CE1D90">
        <w:rPr>
          <w:rFonts w:ascii="Times New Roman" w:eastAsia="Times New Roman" w:hAnsi="Times New Roman" w:cs="Times New Roman"/>
          <w:sz w:val="24"/>
          <w:szCs w:val="24"/>
        </w:rPr>
        <w:t>Lovly</w:t>
      </w:r>
      <w:proofErr w:type="spellEnd"/>
      <w:r w:rsidRPr="00CE1D90">
        <w:rPr>
          <w:rFonts w:ascii="Times New Roman" w:eastAsia="Times New Roman" w:hAnsi="Times New Roman" w:cs="Times New Roman"/>
          <w:sz w:val="24"/>
          <w:szCs w:val="24"/>
        </w:rPr>
        <w:t xml:space="preserve">, C. M., </w:t>
      </w:r>
      <w:proofErr w:type="spellStart"/>
      <w:r w:rsidRPr="00CE1D90">
        <w:rPr>
          <w:rFonts w:ascii="Times New Roman" w:eastAsia="Times New Roman" w:hAnsi="Times New Roman" w:cs="Times New Roman"/>
          <w:sz w:val="24"/>
          <w:szCs w:val="24"/>
        </w:rPr>
        <w:t>Sedelaar</w:t>
      </w:r>
      <w:proofErr w:type="spellEnd"/>
      <w:r w:rsidRPr="00CE1D90">
        <w:rPr>
          <w:rFonts w:ascii="Times New Roman" w:eastAsia="Times New Roman" w:hAnsi="Times New Roman" w:cs="Times New Roman"/>
          <w:sz w:val="24"/>
          <w:szCs w:val="24"/>
        </w:rPr>
        <w:t xml:space="preserve">, J. P., &amp; </w:t>
      </w:r>
      <w:proofErr w:type="spellStart"/>
      <w:r w:rsidRPr="00CE1D90">
        <w:rPr>
          <w:rFonts w:ascii="Times New Roman" w:eastAsia="Times New Roman" w:hAnsi="Times New Roman" w:cs="Times New Roman"/>
          <w:sz w:val="24"/>
          <w:szCs w:val="24"/>
        </w:rPr>
        <w:t>Schalken</w:t>
      </w:r>
      <w:proofErr w:type="spellEnd"/>
      <w:r w:rsidRPr="00CE1D90">
        <w:rPr>
          <w:rFonts w:ascii="Times New Roman" w:eastAsia="Times New Roman" w:hAnsi="Times New Roman" w:cs="Times New Roman"/>
          <w:sz w:val="24"/>
          <w:szCs w:val="24"/>
        </w:rPr>
        <w:t xml:space="preserve">, J. A. (2016). Major milestones in translational oncology. BMC medicine, 14(1), 110. </w:t>
      </w:r>
      <w:hyperlink r:id="rId9">
        <w:r w:rsidRPr="00CE1D90">
          <w:rPr>
            <w:rFonts w:ascii="Times New Roman" w:eastAsia="Times New Roman" w:hAnsi="Times New Roman" w:cs="Times New Roman"/>
            <w:color w:val="1155CC"/>
            <w:sz w:val="24"/>
            <w:szCs w:val="24"/>
            <w:u w:val="single"/>
          </w:rPr>
          <w:t>https://doi.org/10.1186/s12916-016-0654-y</w:t>
        </w:r>
      </w:hyperlink>
    </w:p>
    <w:p w14:paraId="37FA63FA" w14:textId="77777777" w:rsidR="00813F84" w:rsidRPr="00CE1D90" w:rsidRDefault="00813F84">
      <w:pPr>
        <w:rPr>
          <w:rFonts w:ascii="Times New Roman" w:eastAsia="Times New Roman" w:hAnsi="Times New Roman" w:cs="Times New Roman"/>
          <w:sz w:val="24"/>
          <w:szCs w:val="24"/>
        </w:rPr>
      </w:pPr>
    </w:p>
    <w:p w14:paraId="1BDA3095" w14:textId="77777777" w:rsidR="00813F84" w:rsidRPr="00CE1D90" w:rsidRDefault="00154854">
      <w:pPr>
        <w:rPr>
          <w:rFonts w:ascii="Times New Roman" w:eastAsia="Times New Roman" w:hAnsi="Times New Roman" w:cs="Times New Roman"/>
          <w:sz w:val="24"/>
          <w:szCs w:val="24"/>
        </w:rPr>
      </w:pPr>
      <w:r w:rsidRPr="00CE1D90">
        <w:rPr>
          <w:rFonts w:ascii="Times New Roman" w:eastAsia="Times New Roman" w:hAnsi="Times New Roman" w:cs="Times New Roman"/>
          <w:sz w:val="24"/>
          <w:szCs w:val="24"/>
        </w:rPr>
        <w:t xml:space="preserve">3. Jiménez, D. J., </w:t>
      </w:r>
      <w:proofErr w:type="spellStart"/>
      <w:r w:rsidRPr="00CE1D90">
        <w:rPr>
          <w:rFonts w:ascii="Times New Roman" w:eastAsia="Times New Roman" w:hAnsi="Times New Roman" w:cs="Times New Roman"/>
          <w:sz w:val="24"/>
          <w:szCs w:val="24"/>
        </w:rPr>
        <w:t>Javed</w:t>
      </w:r>
      <w:proofErr w:type="spellEnd"/>
      <w:r w:rsidRPr="00CE1D90">
        <w:rPr>
          <w:rFonts w:ascii="Times New Roman" w:eastAsia="Times New Roman" w:hAnsi="Times New Roman" w:cs="Times New Roman"/>
          <w:sz w:val="24"/>
          <w:szCs w:val="24"/>
        </w:rPr>
        <w:t xml:space="preserve">, A., Rubio-Tomás, T., </w:t>
      </w:r>
      <w:proofErr w:type="spellStart"/>
      <w:r w:rsidRPr="00CE1D90">
        <w:rPr>
          <w:rFonts w:ascii="Times New Roman" w:eastAsia="Times New Roman" w:hAnsi="Times New Roman" w:cs="Times New Roman"/>
          <w:sz w:val="24"/>
          <w:szCs w:val="24"/>
        </w:rPr>
        <w:t>Seye-Loum</w:t>
      </w:r>
      <w:proofErr w:type="spellEnd"/>
      <w:r w:rsidRPr="00CE1D90">
        <w:rPr>
          <w:rFonts w:ascii="Times New Roman" w:eastAsia="Times New Roman" w:hAnsi="Times New Roman" w:cs="Times New Roman"/>
          <w:sz w:val="24"/>
          <w:szCs w:val="24"/>
        </w:rPr>
        <w:t xml:space="preserve">, N., &amp; Barceló, C. (2024). Clinical and Preclinical Targeting of Oncogenic Pathways in PDAC: Targeted Therapeutic Approaches for the Deadliest Cancer. International journal of molecular sciences, 25(5), 2860. </w:t>
      </w:r>
      <w:hyperlink r:id="rId10">
        <w:r w:rsidRPr="00CE1D90">
          <w:rPr>
            <w:rFonts w:ascii="Times New Roman" w:eastAsia="Times New Roman" w:hAnsi="Times New Roman" w:cs="Times New Roman"/>
            <w:color w:val="1155CC"/>
            <w:sz w:val="24"/>
            <w:szCs w:val="24"/>
            <w:u w:val="single"/>
          </w:rPr>
          <w:t>https://doi.org/10.3390/ijms25052860</w:t>
        </w:r>
      </w:hyperlink>
    </w:p>
    <w:p w14:paraId="1C8697E7" w14:textId="77777777" w:rsidR="00813F84" w:rsidRPr="00CE1D90" w:rsidRDefault="00813F84">
      <w:pPr>
        <w:rPr>
          <w:rFonts w:ascii="Times New Roman" w:eastAsia="Times New Roman" w:hAnsi="Times New Roman" w:cs="Times New Roman"/>
          <w:sz w:val="24"/>
          <w:szCs w:val="24"/>
        </w:rPr>
      </w:pPr>
    </w:p>
    <w:p w14:paraId="727E2F3D"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sz w:val="24"/>
          <w:szCs w:val="24"/>
        </w:rPr>
        <w:lastRenderedPageBreak/>
        <w:t xml:space="preserve">4. </w:t>
      </w:r>
      <w:r w:rsidRPr="00CE1D90">
        <w:rPr>
          <w:rFonts w:ascii="Times New Roman" w:eastAsia="Times New Roman" w:hAnsi="Times New Roman" w:cs="Times New Roman"/>
          <w:color w:val="1B1B1B"/>
          <w:sz w:val="24"/>
          <w:szCs w:val="24"/>
          <w:highlight w:val="white"/>
        </w:rPr>
        <w:t xml:space="preserve">Ramesh, R. P. G., Yasmin, H., </w:t>
      </w:r>
      <w:proofErr w:type="spellStart"/>
      <w:r w:rsidRPr="00CE1D90">
        <w:rPr>
          <w:rFonts w:ascii="Times New Roman" w:eastAsia="Times New Roman" w:hAnsi="Times New Roman" w:cs="Times New Roman"/>
          <w:color w:val="1B1B1B"/>
          <w:sz w:val="24"/>
          <w:szCs w:val="24"/>
          <w:highlight w:val="white"/>
        </w:rPr>
        <w:t>Ponnachan</w:t>
      </w:r>
      <w:proofErr w:type="spellEnd"/>
      <w:r w:rsidRPr="00CE1D90">
        <w:rPr>
          <w:rFonts w:ascii="Times New Roman" w:eastAsia="Times New Roman" w:hAnsi="Times New Roman" w:cs="Times New Roman"/>
          <w:color w:val="1B1B1B"/>
          <w:sz w:val="24"/>
          <w:szCs w:val="24"/>
          <w:highlight w:val="white"/>
        </w:rPr>
        <w:t xml:space="preserve">, P., Al-Ramadi, B., Kishore, U., &amp; Joseph, A. M. (2025). Phenotypic heterogeneity and tumor immune microenvironment directed therapeutic strategies in pancreatic ductal adenocarcinoma. </w:t>
      </w:r>
      <w:r w:rsidRPr="00CE1D90">
        <w:rPr>
          <w:rFonts w:ascii="Times New Roman" w:eastAsia="Times New Roman" w:hAnsi="Times New Roman" w:cs="Times New Roman"/>
          <w:i/>
          <w:iCs/>
          <w:color w:val="1B1B1B"/>
          <w:sz w:val="24"/>
          <w:szCs w:val="24"/>
          <w:highlight w:val="white"/>
        </w:rPr>
        <w:t>Frontiers in immunology</w:t>
      </w:r>
      <w:r w:rsidRPr="00CE1D90">
        <w:rPr>
          <w:rFonts w:ascii="Times New Roman" w:eastAsia="Times New Roman" w:hAnsi="Times New Roman" w:cs="Times New Roman"/>
          <w:color w:val="1B1B1B"/>
          <w:sz w:val="24"/>
          <w:szCs w:val="24"/>
          <w:highlight w:val="white"/>
        </w:rPr>
        <w:t xml:space="preserve">, </w:t>
      </w:r>
      <w:r w:rsidRPr="00CE1D90">
        <w:rPr>
          <w:rFonts w:ascii="Times New Roman" w:eastAsia="Times New Roman" w:hAnsi="Times New Roman" w:cs="Times New Roman"/>
          <w:i/>
          <w:iCs/>
          <w:color w:val="1B1B1B"/>
          <w:sz w:val="24"/>
          <w:szCs w:val="24"/>
          <w:highlight w:val="white"/>
        </w:rPr>
        <w:t>16</w:t>
      </w:r>
      <w:r w:rsidRPr="00CE1D90">
        <w:rPr>
          <w:rFonts w:ascii="Times New Roman" w:eastAsia="Times New Roman" w:hAnsi="Times New Roman" w:cs="Times New Roman"/>
          <w:color w:val="1B1B1B"/>
          <w:sz w:val="24"/>
          <w:szCs w:val="24"/>
          <w:highlight w:val="white"/>
        </w:rPr>
        <w:t xml:space="preserve">, 1573522. </w:t>
      </w:r>
      <w:hyperlink r:id="rId11">
        <w:r w:rsidRPr="00CE1D90">
          <w:rPr>
            <w:rFonts w:ascii="Times New Roman" w:eastAsia="Times New Roman" w:hAnsi="Times New Roman" w:cs="Times New Roman"/>
            <w:color w:val="1155CC"/>
            <w:sz w:val="24"/>
            <w:szCs w:val="24"/>
            <w:highlight w:val="white"/>
            <w:u w:val="single"/>
          </w:rPr>
          <w:t>https://doi.org/10.3389/fimmu.2025.1573522</w:t>
        </w:r>
      </w:hyperlink>
    </w:p>
    <w:p w14:paraId="6DE72B72" w14:textId="77777777" w:rsidR="00813F84" w:rsidRPr="00CE1D90" w:rsidRDefault="00813F84">
      <w:pPr>
        <w:rPr>
          <w:rFonts w:ascii="Times New Roman" w:eastAsia="Times New Roman" w:hAnsi="Times New Roman" w:cs="Times New Roman"/>
          <w:color w:val="1B1B1B"/>
          <w:sz w:val="24"/>
          <w:szCs w:val="24"/>
          <w:highlight w:val="white"/>
        </w:rPr>
      </w:pPr>
    </w:p>
    <w:p w14:paraId="587AB105"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5. </w:t>
      </w:r>
      <w:proofErr w:type="spellStart"/>
      <w:r w:rsidRPr="00CE1D90">
        <w:rPr>
          <w:rFonts w:ascii="Times New Roman" w:eastAsia="Times New Roman" w:hAnsi="Times New Roman" w:cs="Times New Roman"/>
          <w:color w:val="1B1B1B"/>
          <w:sz w:val="24"/>
          <w:szCs w:val="24"/>
          <w:highlight w:val="white"/>
        </w:rPr>
        <w:t>Liaki</w:t>
      </w:r>
      <w:proofErr w:type="spellEnd"/>
      <w:r w:rsidRPr="00CE1D90">
        <w:rPr>
          <w:rFonts w:ascii="Times New Roman" w:eastAsia="Times New Roman" w:hAnsi="Times New Roman" w:cs="Times New Roman"/>
          <w:color w:val="1B1B1B"/>
          <w:sz w:val="24"/>
          <w:szCs w:val="24"/>
          <w:highlight w:val="white"/>
        </w:rPr>
        <w:t xml:space="preserve">, V., Canon, J., </w:t>
      </w:r>
      <w:proofErr w:type="spellStart"/>
      <w:r w:rsidRPr="00CE1D90">
        <w:rPr>
          <w:rFonts w:ascii="Times New Roman" w:eastAsia="Times New Roman" w:hAnsi="Times New Roman" w:cs="Times New Roman"/>
          <w:color w:val="1B1B1B"/>
          <w:sz w:val="24"/>
          <w:szCs w:val="24"/>
          <w:highlight w:val="white"/>
        </w:rPr>
        <w:t>Ferrando</w:t>
      </w:r>
      <w:proofErr w:type="spellEnd"/>
      <w:r w:rsidRPr="00CE1D90">
        <w:rPr>
          <w:rFonts w:ascii="Times New Roman" w:eastAsia="Times New Roman" w:hAnsi="Times New Roman" w:cs="Times New Roman"/>
          <w:color w:val="1B1B1B"/>
          <w:sz w:val="24"/>
          <w:szCs w:val="24"/>
          <w:highlight w:val="white"/>
        </w:rPr>
        <w:t xml:space="preserve">, L., Banderas, J., Olivares, C., Alvarez-Fernandez, S., … Barbacid, M. (2023). A targeted combination therapy achieves effective pancreatic cancer regression and prevents tumor resistance. Proceedings of the National Academy of Sciences of the United States of America, 120(45), e2523039122. </w:t>
      </w:r>
      <w:hyperlink r:id="rId12">
        <w:r w:rsidRPr="00CE1D90">
          <w:rPr>
            <w:rFonts w:ascii="Times New Roman" w:eastAsia="Times New Roman" w:hAnsi="Times New Roman" w:cs="Times New Roman"/>
            <w:color w:val="1155CC"/>
            <w:sz w:val="24"/>
            <w:szCs w:val="24"/>
            <w:highlight w:val="white"/>
            <w:u w:val="single"/>
          </w:rPr>
          <w:t>https://doi.org/10.1073/pnas.2523039122</w:t>
        </w:r>
      </w:hyperlink>
    </w:p>
    <w:p w14:paraId="75E5E95A" w14:textId="77777777" w:rsidR="00813F84" w:rsidRPr="00CE1D90" w:rsidRDefault="00813F84">
      <w:pPr>
        <w:rPr>
          <w:rFonts w:ascii="Times New Roman" w:eastAsia="Times New Roman" w:hAnsi="Times New Roman" w:cs="Times New Roman"/>
          <w:color w:val="1B1B1B"/>
          <w:sz w:val="24"/>
          <w:szCs w:val="24"/>
          <w:highlight w:val="white"/>
        </w:rPr>
      </w:pPr>
    </w:p>
    <w:p w14:paraId="1036080D"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6. Noel, M., &amp; </w:t>
      </w:r>
      <w:proofErr w:type="spellStart"/>
      <w:r w:rsidRPr="00CE1D90">
        <w:rPr>
          <w:rFonts w:ascii="Times New Roman" w:eastAsia="Times New Roman" w:hAnsi="Times New Roman" w:cs="Times New Roman"/>
          <w:color w:val="1B1B1B"/>
          <w:sz w:val="24"/>
          <w:szCs w:val="24"/>
          <w:highlight w:val="white"/>
        </w:rPr>
        <w:t>Fiscella</w:t>
      </w:r>
      <w:proofErr w:type="spellEnd"/>
      <w:r w:rsidRPr="00CE1D90">
        <w:rPr>
          <w:rFonts w:ascii="Times New Roman" w:eastAsia="Times New Roman" w:hAnsi="Times New Roman" w:cs="Times New Roman"/>
          <w:color w:val="1B1B1B"/>
          <w:sz w:val="24"/>
          <w:szCs w:val="24"/>
          <w:highlight w:val="white"/>
        </w:rPr>
        <w:t xml:space="preserve">, K. (2019). Disparities in Pancreatic Cancer Treatment and Outcomes. </w:t>
      </w:r>
      <w:r w:rsidRPr="00CE1D90">
        <w:rPr>
          <w:rFonts w:ascii="Times New Roman" w:eastAsia="Times New Roman" w:hAnsi="Times New Roman" w:cs="Times New Roman"/>
          <w:i/>
          <w:iCs/>
          <w:color w:val="1B1B1B"/>
          <w:sz w:val="24"/>
          <w:szCs w:val="24"/>
          <w:highlight w:val="white"/>
        </w:rPr>
        <w:t>Health equity</w:t>
      </w:r>
      <w:r w:rsidRPr="00CE1D90">
        <w:rPr>
          <w:rFonts w:ascii="Times New Roman" w:eastAsia="Times New Roman" w:hAnsi="Times New Roman" w:cs="Times New Roman"/>
          <w:color w:val="1B1B1B"/>
          <w:sz w:val="24"/>
          <w:szCs w:val="24"/>
          <w:highlight w:val="white"/>
        </w:rPr>
        <w:t xml:space="preserve">, </w:t>
      </w:r>
      <w:r w:rsidRPr="00CE1D90">
        <w:rPr>
          <w:rFonts w:ascii="Times New Roman" w:eastAsia="Times New Roman" w:hAnsi="Times New Roman" w:cs="Times New Roman"/>
          <w:i/>
          <w:iCs/>
          <w:color w:val="1B1B1B"/>
          <w:sz w:val="24"/>
          <w:szCs w:val="24"/>
          <w:highlight w:val="white"/>
        </w:rPr>
        <w:t>3</w:t>
      </w:r>
      <w:r w:rsidRPr="00CE1D90">
        <w:rPr>
          <w:rFonts w:ascii="Times New Roman" w:eastAsia="Times New Roman" w:hAnsi="Times New Roman" w:cs="Times New Roman"/>
          <w:color w:val="1B1B1B"/>
          <w:sz w:val="24"/>
          <w:szCs w:val="24"/>
          <w:highlight w:val="white"/>
        </w:rPr>
        <w:t xml:space="preserve">(1), 532–540. </w:t>
      </w:r>
      <w:hyperlink r:id="rId13">
        <w:r w:rsidRPr="00CE1D90">
          <w:rPr>
            <w:rFonts w:ascii="Times New Roman" w:eastAsia="Times New Roman" w:hAnsi="Times New Roman" w:cs="Times New Roman"/>
            <w:color w:val="1155CC"/>
            <w:sz w:val="24"/>
            <w:szCs w:val="24"/>
            <w:highlight w:val="white"/>
            <w:u w:val="single"/>
          </w:rPr>
          <w:t>https://doi.org/10.1089/heq.2019.0057</w:t>
        </w:r>
      </w:hyperlink>
    </w:p>
    <w:p w14:paraId="03DF92FF" w14:textId="77777777" w:rsidR="00813F84" w:rsidRPr="00CE1D90" w:rsidRDefault="00813F84">
      <w:pPr>
        <w:rPr>
          <w:rFonts w:ascii="Times New Roman" w:eastAsia="Times New Roman" w:hAnsi="Times New Roman" w:cs="Times New Roman"/>
          <w:color w:val="1B1B1B"/>
          <w:sz w:val="24"/>
          <w:szCs w:val="24"/>
          <w:highlight w:val="white"/>
        </w:rPr>
      </w:pPr>
    </w:p>
    <w:p w14:paraId="071E6764" w14:textId="499202EC" w:rsidR="00E7567B" w:rsidRPr="00CE1D90" w:rsidRDefault="00E7567B" w:rsidP="00E7567B">
      <w:pPr>
        <w:rPr>
          <w:rFonts w:ascii="Times New Roman" w:eastAsia="Times New Roman" w:hAnsi="Times New Roman" w:cs="Times New Roman"/>
          <w:color w:val="172B4D"/>
          <w:sz w:val="24"/>
          <w:szCs w:val="24"/>
          <w:highlight w:val="white"/>
        </w:rPr>
      </w:pPr>
      <w:r w:rsidRPr="00CE1D90">
        <w:rPr>
          <w:rFonts w:ascii="Times New Roman" w:eastAsia="Times New Roman" w:hAnsi="Times New Roman" w:cs="Times New Roman"/>
          <w:color w:val="1B1B1B"/>
          <w:sz w:val="24"/>
          <w:szCs w:val="24"/>
          <w:highlight w:val="white"/>
        </w:rPr>
        <w:t xml:space="preserve"> 7</w:t>
      </w:r>
      <w:r w:rsidRPr="00CE1D90">
        <w:rPr>
          <w:rFonts w:ascii="Times New Roman" w:eastAsia="Times New Roman" w:hAnsi="Times New Roman" w:cs="Times New Roman"/>
          <w:sz w:val="24"/>
          <w:szCs w:val="24"/>
          <w:highlight w:val="white"/>
        </w:rPr>
        <w:t xml:space="preserve">. Mack, S., </w:t>
      </w:r>
      <w:proofErr w:type="spellStart"/>
      <w:r w:rsidRPr="00CE1D90">
        <w:rPr>
          <w:rFonts w:ascii="Times New Roman" w:eastAsia="Times New Roman" w:hAnsi="Times New Roman" w:cs="Times New Roman"/>
          <w:sz w:val="24"/>
          <w:szCs w:val="24"/>
          <w:highlight w:val="white"/>
        </w:rPr>
        <w:t>Koessler</w:t>
      </w:r>
      <w:proofErr w:type="spellEnd"/>
      <w:r w:rsidRPr="00CE1D90">
        <w:rPr>
          <w:rFonts w:ascii="Times New Roman" w:eastAsia="Times New Roman" w:hAnsi="Times New Roman" w:cs="Times New Roman"/>
          <w:sz w:val="24"/>
          <w:szCs w:val="24"/>
          <w:highlight w:val="white"/>
        </w:rPr>
        <w:t xml:space="preserve">, T., </w:t>
      </w:r>
      <w:proofErr w:type="spellStart"/>
      <w:r w:rsidRPr="00CE1D90">
        <w:rPr>
          <w:rFonts w:ascii="Times New Roman" w:eastAsia="Times New Roman" w:hAnsi="Times New Roman" w:cs="Times New Roman"/>
          <w:sz w:val="24"/>
          <w:szCs w:val="24"/>
          <w:highlight w:val="white"/>
        </w:rPr>
        <w:t>Bichard</w:t>
      </w:r>
      <w:proofErr w:type="spellEnd"/>
      <w:r w:rsidRPr="00CE1D90">
        <w:rPr>
          <w:rFonts w:ascii="Times New Roman" w:eastAsia="Times New Roman" w:hAnsi="Times New Roman" w:cs="Times New Roman"/>
          <w:sz w:val="24"/>
          <w:szCs w:val="24"/>
          <w:highlight w:val="white"/>
        </w:rPr>
        <w:t xml:space="preserve">, P., &amp; </w:t>
      </w:r>
      <w:proofErr w:type="spellStart"/>
      <w:r w:rsidRPr="00CE1D90">
        <w:rPr>
          <w:rFonts w:ascii="Times New Roman" w:eastAsia="Times New Roman" w:hAnsi="Times New Roman" w:cs="Times New Roman"/>
          <w:sz w:val="24"/>
          <w:szCs w:val="24"/>
          <w:highlight w:val="white"/>
        </w:rPr>
        <w:t>Frossard</w:t>
      </w:r>
      <w:proofErr w:type="spellEnd"/>
      <w:r w:rsidRPr="00CE1D90">
        <w:rPr>
          <w:rFonts w:ascii="Times New Roman" w:eastAsia="Times New Roman" w:hAnsi="Times New Roman" w:cs="Times New Roman"/>
          <w:sz w:val="24"/>
          <w:szCs w:val="24"/>
          <w:highlight w:val="white"/>
        </w:rPr>
        <w:t xml:space="preserve">, J.-L. (2025). Pancreatic Cancer: Epidemiology, Risk Factors, and Prevention. </w:t>
      </w:r>
      <w:proofErr w:type="spellStart"/>
      <w:r w:rsidRPr="00CE1D90">
        <w:rPr>
          <w:rFonts w:ascii="Times New Roman" w:eastAsia="Times New Roman" w:hAnsi="Times New Roman" w:cs="Times New Roman"/>
          <w:i/>
          <w:iCs/>
          <w:sz w:val="24"/>
          <w:szCs w:val="24"/>
          <w:highlight w:val="white"/>
        </w:rPr>
        <w:t>Onco</w:t>
      </w:r>
      <w:proofErr w:type="spellEnd"/>
      <w:r w:rsidRPr="00CE1D90">
        <w:rPr>
          <w:rFonts w:ascii="Times New Roman" w:eastAsia="Times New Roman" w:hAnsi="Times New Roman" w:cs="Times New Roman"/>
          <w:sz w:val="24"/>
          <w:szCs w:val="24"/>
          <w:highlight w:val="white"/>
        </w:rPr>
        <w:t xml:space="preserve">, </w:t>
      </w:r>
      <w:r w:rsidRPr="00CE1D90">
        <w:rPr>
          <w:rFonts w:ascii="Times New Roman" w:eastAsia="Times New Roman" w:hAnsi="Times New Roman" w:cs="Times New Roman"/>
          <w:i/>
          <w:iCs/>
          <w:sz w:val="24"/>
          <w:szCs w:val="24"/>
          <w:highlight w:val="white"/>
        </w:rPr>
        <w:t>5</w:t>
      </w:r>
      <w:r w:rsidRPr="00CE1D90">
        <w:rPr>
          <w:rFonts w:ascii="Times New Roman" w:eastAsia="Times New Roman" w:hAnsi="Times New Roman" w:cs="Times New Roman"/>
          <w:sz w:val="24"/>
          <w:szCs w:val="24"/>
          <w:highlight w:val="white"/>
        </w:rPr>
        <w:t>(3), 37</w:t>
      </w:r>
      <w:r w:rsidRPr="00CE1D90">
        <w:rPr>
          <w:rFonts w:ascii="Times New Roman" w:eastAsia="Times New Roman" w:hAnsi="Times New Roman" w:cs="Times New Roman"/>
          <w:color w:val="172B4D"/>
          <w:sz w:val="24"/>
          <w:szCs w:val="24"/>
          <w:highlight w:val="white"/>
        </w:rPr>
        <w:t xml:space="preserve">. </w:t>
      </w:r>
    </w:p>
    <w:p w14:paraId="34712106" w14:textId="77777777" w:rsidR="00E7567B" w:rsidRPr="00CE1D90" w:rsidRDefault="00E7567B" w:rsidP="00E7567B">
      <w:pPr>
        <w:rPr>
          <w:rFonts w:ascii="Times New Roman" w:eastAsia="Times New Roman" w:hAnsi="Times New Roman" w:cs="Times New Roman"/>
          <w:color w:val="172B4D"/>
          <w:sz w:val="24"/>
          <w:szCs w:val="24"/>
          <w:highlight w:val="white"/>
        </w:rPr>
      </w:pPr>
    </w:p>
    <w:p w14:paraId="730CB7C5" w14:textId="77777777" w:rsidR="00E7567B" w:rsidRPr="00CE1D90" w:rsidRDefault="0042692D" w:rsidP="00E7567B">
      <w:pPr>
        <w:rPr>
          <w:rFonts w:ascii="Times New Roman" w:eastAsia="Times New Roman" w:hAnsi="Times New Roman" w:cs="Times New Roman"/>
          <w:color w:val="172B4D"/>
          <w:sz w:val="24"/>
          <w:szCs w:val="24"/>
          <w:highlight w:val="white"/>
        </w:rPr>
      </w:pPr>
      <w:hyperlink r:id="rId14">
        <w:r w:rsidR="00E7567B" w:rsidRPr="00CE1D90">
          <w:rPr>
            <w:rFonts w:ascii="Times New Roman" w:eastAsia="Times New Roman" w:hAnsi="Times New Roman" w:cs="Times New Roman"/>
            <w:color w:val="1155CC"/>
            <w:sz w:val="24"/>
            <w:szCs w:val="24"/>
            <w:highlight w:val="white"/>
            <w:u w:val="single"/>
          </w:rPr>
          <w:t>https://doi.org/10.3390/onco5030037</w:t>
        </w:r>
      </w:hyperlink>
    </w:p>
    <w:p w14:paraId="49F3038A" w14:textId="77777777" w:rsidR="00E7567B" w:rsidRPr="00CE1D90" w:rsidRDefault="00E7567B" w:rsidP="00E7567B">
      <w:pPr>
        <w:rPr>
          <w:rFonts w:ascii="Times New Roman" w:eastAsia="Times New Roman" w:hAnsi="Times New Roman" w:cs="Times New Roman"/>
          <w:color w:val="172B4D"/>
          <w:sz w:val="24"/>
          <w:szCs w:val="24"/>
          <w:highlight w:val="white"/>
        </w:rPr>
      </w:pPr>
    </w:p>
    <w:p w14:paraId="52FAC84E" w14:textId="0ADBB275" w:rsidR="00813F84" w:rsidRPr="00CE1D90" w:rsidRDefault="00813F84">
      <w:pPr>
        <w:rPr>
          <w:rFonts w:ascii="Times New Roman" w:eastAsia="Times New Roman" w:hAnsi="Times New Roman" w:cs="Times New Roman"/>
          <w:color w:val="1B1B1B"/>
          <w:sz w:val="24"/>
          <w:szCs w:val="24"/>
          <w:highlight w:val="white"/>
        </w:rPr>
      </w:pPr>
    </w:p>
    <w:p w14:paraId="79E344FB"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8. Tiwari, S., </w:t>
      </w:r>
      <w:proofErr w:type="spellStart"/>
      <w:r w:rsidRPr="00CE1D90">
        <w:rPr>
          <w:rFonts w:ascii="Times New Roman" w:eastAsia="Times New Roman" w:hAnsi="Times New Roman" w:cs="Times New Roman"/>
          <w:color w:val="1B1B1B"/>
          <w:sz w:val="24"/>
          <w:szCs w:val="24"/>
          <w:highlight w:val="white"/>
        </w:rPr>
        <w:t>Dhakal</w:t>
      </w:r>
      <w:proofErr w:type="spellEnd"/>
      <w:r w:rsidRPr="00CE1D90">
        <w:rPr>
          <w:rFonts w:ascii="Times New Roman" w:eastAsia="Times New Roman" w:hAnsi="Times New Roman" w:cs="Times New Roman"/>
          <w:color w:val="1B1B1B"/>
          <w:sz w:val="24"/>
          <w:szCs w:val="24"/>
          <w:highlight w:val="white"/>
        </w:rPr>
        <w:t xml:space="preserve">, T., Kim, B.-J., Jang, G. S., &amp; Oh, Y. (2025). Genomics in Epidemiology and Disease Surveillance: An Exploratory Analysis. Life, 15(12), 1848. </w:t>
      </w:r>
      <w:hyperlink r:id="rId15">
        <w:r w:rsidRPr="00CE1D90">
          <w:rPr>
            <w:rFonts w:ascii="Times New Roman" w:eastAsia="Times New Roman" w:hAnsi="Times New Roman" w:cs="Times New Roman"/>
            <w:color w:val="1155CC"/>
            <w:sz w:val="24"/>
            <w:szCs w:val="24"/>
            <w:highlight w:val="white"/>
            <w:u w:val="single"/>
          </w:rPr>
          <w:t>https://doi.org/10.3390/life15121848</w:t>
        </w:r>
      </w:hyperlink>
    </w:p>
    <w:p w14:paraId="1EDA3990" w14:textId="77777777" w:rsidR="00813F84" w:rsidRPr="00CE1D90" w:rsidRDefault="00813F84">
      <w:pPr>
        <w:rPr>
          <w:rFonts w:ascii="Times New Roman" w:eastAsia="Times New Roman" w:hAnsi="Times New Roman" w:cs="Times New Roman"/>
          <w:color w:val="1B1B1B"/>
          <w:sz w:val="24"/>
          <w:szCs w:val="24"/>
          <w:highlight w:val="white"/>
        </w:rPr>
      </w:pPr>
    </w:p>
    <w:p w14:paraId="34DEFDD7"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9. </w:t>
      </w:r>
      <w:proofErr w:type="spellStart"/>
      <w:r w:rsidRPr="00CE1D90">
        <w:rPr>
          <w:rFonts w:ascii="Times New Roman" w:eastAsia="Times New Roman" w:hAnsi="Times New Roman" w:cs="Times New Roman"/>
          <w:color w:val="1B1B1B"/>
          <w:sz w:val="24"/>
          <w:szCs w:val="24"/>
          <w:highlight w:val="white"/>
        </w:rPr>
        <w:t>Alaseem</w:t>
      </w:r>
      <w:proofErr w:type="spellEnd"/>
      <w:r w:rsidRPr="00CE1D90">
        <w:rPr>
          <w:rFonts w:ascii="Times New Roman" w:eastAsia="Times New Roman" w:hAnsi="Times New Roman" w:cs="Times New Roman"/>
          <w:color w:val="1B1B1B"/>
          <w:sz w:val="24"/>
          <w:szCs w:val="24"/>
          <w:highlight w:val="white"/>
        </w:rPr>
        <w:t xml:space="preserve">, A., </w:t>
      </w:r>
      <w:proofErr w:type="spellStart"/>
      <w:r w:rsidRPr="00CE1D90">
        <w:rPr>
          <w:rFonts w:ascii="Times New Roman" w:eastAsia="Times New Roman" w:hAnsi="Times New Roman" w:cs="Times New Roman"/>
          <w:color w:val="1B1B1B"/>
          <w:sz w:val="24"/>
          <w:szCs w:val="24"/>
          <w:highlight w:val="white"/>
        </w:rPr>
        <w:t>Alanezi</w:t>
      </w:r>
      <w:proofErr w:type="spellEnd"/>
      <w:r w:rsidRPr="00CE1D90">
        <w:rPr>
          <w:rFonts w:ascii="Times New Roman" w:eastAsia="Times New Roman" w:hAnsi="Times New Roman" w:cs="Times New Roman"/>
          <w:color w:val="1B1B1B"/>
          <w:sz w:val="24"/>
          <w:szCs w:val="24"/>
          <w:highlight w:val="white"/>
        </w:rPr>
        <w:t xml:space="preserve">, M., </w:t>
      </w:r>
      <w:proofErr w:type="spellStart"/>
      <w:r w:rsidRPr="00CE1D90">
        <w:rPr>
          <w:rFonts w:ascii="Times New Roman" w:eastAsia="Times New Roman" w:hAnsi="Times New Roman" w:cs="Times New Roman"/>
          <w:color w:val="1B1B1B"/>
          <w:sz w:val="24"/>
          <w:szCs w:val="24"/>
          <w:highlight w:val="white"/>
        </w:rPr>
        <w:t>Almehrij</w:t>
      </w:r>
      <w:proofErr w:type="spellEnd"/>
      <w:r w:rsidRPr="00CE1D90">
        <w:rPr>
          <w:rFonts w:ascii="Times New Roman" w:eastAsia="Times New Roman" w:hAnsi="Times New Roman" w:cs="Times New Roman"/>
          <w:color w:val="1B1B1B"/>
          <w:sz w:val="24"/>
          <w:szCs w:val="24"/>
          <w:highlight w:val="white"/>
        </w:rPr>
        <w:t xml:space="preserve">, F. et al. Comparative outcomes of neoadjuvant chemotherapy versus upfront surgical resection in osteosarcoma: a systematic review and meta-analysis. World J Surg </w:t>
      </w:r>
      <w:proofErr w:type="spellStart"/>
      <w:r w:rsidRPr="00CE1D90">
        <w:rPr>
          <w:rFonts w:ascii="Times New Roman" w:eastAsia="Times New Roman" w:hAnsi="Times New Roman" w:cs="Times New Roman"/>
          <w:color w:val="1B1B1B"/>
          <w:sz w:val="24"/>
          <w:szCs w:val="24"/>
          <w:highlight w:val="white"/>
        </w:rPr>
        <w:t>Onc</w:t>
      </w:r>
      <w:proofErr w:type="spellEnd"/>
      <w:r w:rsidRPr="00CE1D90">
        <w:rPr>
          <w:rFonts w:ascii="Times New Roman" w:eastAsia="Times New Roman" w:hAnsi="Times New Roman" w:cs="Times New Roman"/>
          <w:color w:val="1B1B1B"/>
          <w:sz w:val="24"/>
          <w:szCs w:val="24"/>
          <w:highlight w:val="white"/>
        </w:rPr>
        <w:t xml:space="preserve"> 23, 446 (2025). </w:t>
      </w:r>
      <w:hyperlink r:id="rId16">
        <w:r w:rsidRPr="00CE1D90">
          <w:rPr>
            <w:rFonts w:ascii="Times New Roman" w:eastAsia="Times New Roman" w:hAnsi="Times New Roman" w:cs="Times New Roman"/>
            <w:color w:val="1155CC"/>
            <w:sz w:val="24"/>
            <w:szCs w:val="24"/>
            <w:highlight w:val="white"/>
            <w:u w:val="single"/>
          </w:rPr>
          <w:t>https://doi.org/10.1186/s12957-025-04115-3</w:t>
        </w:r>
      </w:hyperlink>
    </w:p>
    <w:p w14:paraId="69BCE13E" w14:textId="77777777" w:rsidR="00813F84" w:rsidRPr="00CE1D90" w:rsidRDefault="00813F84">
      <w:pPr>
        <w:rPr>
          <w:rFonts w:ascii="Times New Roman" w:eastAsia="Times New Roman" w:hAnsi="Times New Roman" w:cs="Times New Roman"/>
          <w:color w:val="1B1B1B"/>
          <w:sz w:val="24"/>
          <w:szCs w:val="24"/>
          <w:highlight w:val="white"/>
        </w:rPr>
      </w:pPr>
    </w:p>
    <w:p w14:paraId="0E19F3F3"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10. Huang, W. K., Hung, Y. L., Tsai, C. Y., Wu, C. E., Chou, W. C., Hsu, J. T., Yeh, T. S., Chen, J. S., Wang, S. Y., &amp; Yeh, C. N. (2024). Efficacy of first-line combination therapies versus gemcitabine monotherapy for advanced pancreatic cancer: a systematic review and network meta-analysis. American journal of cancer research, 14(7), 3523–3532. </w:t>
      </w:r>
      <w:hyperlink r:id="rId17">
        <w:r w:rsidRPr="00CE1D90">
          <w:rPr>
            <w:rFonts w:ascii="Times New Roman" w:eastAsia="Times New Roman" w:hAnsi="Times New Roman" w:cs="Times New Roman"/>
            <w:color w:val="1155CC"/>
            <w:sz w:val="24"/>
            <w:szCs w:val="24"/>
            <w:highlight w:val="white"/>
            <w:u w:val="single"/>
          </w:rPr>
          <w:t>https://doi.org/10.62347/TQRB4608</w:t>
        </w:r>
      </w:hyperlink>
    </w:p>
    <w:p w14:paraId="14B05E63" w14:textId="77777777" w:rsidR="00813F84" w:rsidRPr="00CE1D90" w:rsidRDefault="00813F84">
      <w:pPr>
        <w:rPr>
          <w:rFonts w:ascii="Times New Roman" w:eastAsia="Times New Roman" w:hAnsi="Times New Roman" w:cs="Times New Roman"/>
          <w:color w:val="1B1B1B"/>
          <w:sz w:val="24"/>
          <w:szCs w:val="24"/>
          <w:highlight w:val="white"/>
        </w:rPr>
      </w:pPr>
    </w:p>
    <w:p w14:paraId="4D21BCC7"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11. </w:t>
      </w:r>
      <w:proofErr w:type="spellStart"/>
      <w:r w:rsidRPr="00CE1D90">
        <w:rPr>
          <w:rFonts w:ascii="Times New Roman" w:eastAsia="Times New Roman" w:hAnsi="Times New Roman" w:cs="Times New Roman"/>
          <w:color w:val="1B1B1B"/>
          <w:sz w:val="24"/>
          <w:szCs w:val="24"/>
          <w:highlight w:val="white"/>
        </w:rPr>
        <w:t>Eshmuminov</w:t>
      </w:r>
      <w:proofErr w:type="spellEnd"/>
      <w:r w:rsidRPr="00CE1D90">
        <w:rPr>
          <w:rFonts w:ascii="Times New Roman" w:eastAsia="Times New Roman" w:hAnsi="Times New Roman" w:cs="Times New Roman"/>
          <w:color w:val="1B1B1B"/>
          <w:sz w:val="24"/>
          <w:szCs w:val="24"/>
          <w:highlight w:val="white"/>
        </w:rPr>
        <w:t xml:space="preserve">, D., </w:t>
      </w:r>
      <w:proofErr w:type="spellStart"/>
      <w:r w:rsidRPr="00CE1D90">
        <w:rPr>
          <w:rFonts w:ascii="Times New Roman" w:eastAsia="Times New Roman" w:hAnsi="Times New Roman" w:cs="Times New Roman"/>
          <w:color w:val="1B1B1B"/>
          <w:sz w:val="24"/>
          <w:szCs w:val="24"/>
          <w:highlight w:val="white"/>
        </w:rPr>
        <w:t>Aminjonov</w:t>
      </w:r>
      <w:proofErr w:type="spellEnd"/>
      <w:r w:rsidRPr="00CE1D90">
        <w:rPr>
          <w:rFonts w:ascii="Times New Roman" w:eastAsia="Times New Roman" w:hAnsi="Times New Roman" w:cs="Times New Roman"/>
          <w:color w:val="1B1B1B"/>
          <w:sz w:val="24"/>
          <w:szCs w:val="24"/>
          <w:highlight w:val="white"/>
        </w:rPr>
        <w:t xml:space="preserve">, B., Palm, R. F., </w:t>
      </w:r>
      <w:proofErr w:type="spellStart"/>
      <w:r w:rsidRPr="00CE1D90">
        <w:rPr>
          <w:rFonts w:ascii="Times New Roman" w:eastAsia="Times New Roman" w:hAnsi="Times New Roman" w:cs="Times New Roman"/>
          <w:color w:val="1B1B1B"/>
          <w:sz w:val="24"/>
          <w:szCs w:val="24"/>
          <w:highlight w:val="white"/>
        </w:rPr>
        <w:t>Malleo</w:t>
      </w:r>
      <w:proofErr w:type="spellEnd"/>
      <w:r w:rsidRPr="00CE1D90">
        <w:rPr>
          <w:rFonts w:ascii="Times New Roman" w:eastAsia="Times New Roman" w:hAnsi="Times New Roman" w:cs="Times New Roman"/>
          <w:color w:val="1B1B1B"/>
          <w:sz w:val="24"/>
          <w:szCs w:val="24"/>
          <w:highlight w:val="white"/>
        </w:rPr>
        <w:t xml:space="preserve">, G., </w:t>
      </w:r>
      <w:proofErr w:type="spellStart"/>
      <w:r w:rsidRPr="00CE1D90">
        <w:rPr>
          <w:rFonts w:ascii="Times New Roman" w:eastAsia="Times New Roman" w:hAnsi="Times New Roman" w:cs="Times New Roman"/>
          <w:color w:val="1B1B1B"/>
          <w:sz w:val="24"/>
          <w:szCs w:val="24"/>
          <w:highlight w:val="white"/>
        </w:rPr>
        <w:t>Schmocker</w:t>
      </w:r>
      <w:proofErr w:type="spellEnd"/>
      <w:r w:rsidRPr="00CE1D90">
        <w:rPr>
          <w:rFonts w:ascii="Times New Roman" w:eastAsia="Times New Roman" w:hAnsi="Times New Roman" w:cs="Times New Roman"/>
          <w:color w:val="1B1B1B"/>
          <w:sz w:val="24"/>
          <w:szCs w:val="24"/>
          <w:highlight w:val="white"/>
        </w:rPr>
        <w:t xml:space="preserve">, R. K., Abdallah, R., </w:t>
      </w:r>
      <w:proofErr w:type="spellStart"/>
      <w:r w:rsidRPr="00CE1D90">
        <w:rPr>
          <w:rFonts w:ascii="Times New Roman" w:eastAsia="Times New Roman" w:hAnsi="Times New Roman" w:cs="Times New Roman"/>
          <w:color w:val="1B1B1B"/>
          <w:sz w:val="24"/>
          <w:szCs w:val="24"/>
          <w:highlight w:val="white"/>
        </w:rPr>
        <w:t>Yoo</w:t>
      </w:r>
      <w:proofErr w:type="spellEnd"/>
      <w:r w:rsidRPr="00CE1D90">
        <w:rPr>
          <w:rFonts w:ascii="Times New Roman" w:eastAsia="Times New Roman" w:hAnsi="Times New Roman" w:cs="Times New Roman"/>
          <w:color w:val="1B1B1B"/>
          <w:sz w:val="24"/>
          <w:szCs w:val="24"/>
          <w:highlight w:val="white"/>
        </w:rPr>
        <w:t xml:space="preserve">, C., </w:t>
      </w:r>
      <w:proofErr w:type="spellStart"/>
      <w:r w:rsidRPr="00CE1D90">
        <w:rPr>
          <w:rFonts w:ascii="Times New Roman" w:eastAsia="Times New Roman" w:hAnsi="Times New Roman" w:cs="Times New Roman"/>
          <w:color w:val="1B1B1B"/>
          <w:sz w:val="24"/>
          <w:szCs w:val="24"/>
          <w:highlight w:val="white"/>
        </w:rPr>
        <w:t>Shaib</w:t>
      </w:r>
      <w:proofErr w:type="spellEnd"/>
      <w:r w:rsidRPr="00CE1D90">
        <w:rPr>
          <w:rFonts w:ascii="Times New Roman" w:eastAsia="Times New Roman" w:hAnsi="Times New Roman" w:cs="Times New Roman"/>
          <w:color w:val="1B1B1B"/>
          <w:sz w:val="24"/>
          <w:szCs w:val="24"/>
          <w:highlight w:val="white"/>
        </w:rPr>
        <w:t xml:space="preserve">, W. L., Schneider, M. A., </w:t>
      </w:r>
      <w:proofErr w:type="spellStart"/>
      <w:r w:rsidRPr="00CE1D90">
        <w:rPr>
          <w:rFonts w:ascii="Times New Roman" w:eastAsia="Times New Roman" w:hAnsi="Times New Roman" w:cs="Times New Roman"/>
          <w:color w:val="1B1B1B"/>
          <w:sz w:val="24"/>
          <w:szCs w:val="24"/>
          <w:highlight w:val="white"/>
        </w:rPr>
        <w:t>Rangelova</w:t>
      </w:r>
      <w:proofErr w:type="spellEnd"/>
      <w:r w:rsidRPr="00CE1D90">
        <w:rPr>
          <w:rFonts w:ascii="Times New Roman" w:eastAsia="Times New Roman" w:hAnsi="Times New Roman" w:cs="Times New Roman"/>
          <w:color w:val="1B1B1B"/>
          <w:sz w:val="24"/>
          <w:szCs w:val="24"/>
          <w:highlight w:val="white"/>
        </w:rPr>
        <w:t xml:space="preserve">, E., Choi, Y. J., Kim, H., Rose, J. B., Patel, S., Wilson, G. C., Maloney, S., </w:t>
      </w:r>
      <w:proofErr w:type="spellStart"/>
      <w:r w:rsidRPr="00CE1D90">
        <w:rPr>
          <w:rFonts w:ascii="Times New Roman" w:eastAsia="Times New Roman" w:hAnsi="Times New Roman" w:cs="Times New Roman"/>
          <w:color w:val="1B1B1B"/>
          <w:sz w:val="24"/>
          <w:szCs w:val="24"/>
          <w:highlight w:val="white"/>
        </w:rPr>
        <w:t>Timmermann</w:t>
      </w:r>
      <w:proofErr w:type="spellEnd"/>
      <w:r w:rsidRPr="00CE1D90">
        <w:rPr>
          <w:rFonts w:ascii="Times New Roman" w:eastAsia="Times New Roman" w:hAnsi="Times New Roman" w:cs="Times New Roman"/>
          <w:color w:val="1B1B1B"/>
          <w:sz w:val="24"/>
          <w:szCs w:val="24"/>
          <w:highlight w:val="white"/>
        </w:rPr>
        <w:t xml:space="preserve">, L., </w:t>
      </w:r>
      <w:proofErr w:type="spellStart"/>
      <w:r w:rsidRPr="00CE1D90">
        <w:rPr>
          <w:rFonts w:ascii="Times New Roman" w:eastAsia="Times New Roman" w:hAnsi="Times New Roman" w:cs="Times New Roman"/>
          <w:color w:val="1B1B1B"/>
          <w:sz w:val="24"/>
          <w:szCs w:val="24"/>
          <w:highlight w:val="white"/>
        </w:rPr>
        <w:t>Sahora</w:t>
      </w:r>
      <w:proofErr w:type="spellEnd"/>
      <w:r w:rsidRPr="00CE1D90">
        <w:rPr>
          <w:rFonts w:ascii="Times New Roman" w:eastAsia="Times New Roman" w:hAnsi="Times New Roman" w:cs="Times New Roman"/>
          <w:color w:val="1B1B1B"/>
          <w:sz w:val="24"/>
          <w:szCs w:val="24"/>
          <w:highlight w:val="white"/>
        </w:rPr>
        <w:t xml:space="preserve">, K., </w:t>
      </w:r>
      <w:proofErr w:type="spellStart"/>
      <w:r w:rsidRPr="00CE1D90">
        <w:rPr>
          <w:rFonts w:ascii="Times New Roman" w:eastAsia="Times New Roman" w:hAnsi="Times New Roman" w:cs="Times New Roman"/>
          <w:color w:val="1B1B1B"/>
          <w:sz w:val="24"/>
          <w:szCs w:val="24"/>
          <w:highlight w:val="white"/>
        </w:rPr>
        <w:t>Rössler</w:t>
      </w:r>
      <w:proofErr w:type="spellEnd"/>
      <w:r w:rsidRPr="00CE1D90">
        <w:rPr>
          <w:rFonts w:ascii="Times New Roman" w:eastAsia="Times New Roman" w:hAnsi="Times New Roman" w:cs="Times New Roman"/>
          <w:color w:val="1B1B1B"/>
          <w:sz w:val="24"/>
          <w:szCs w:val="24"/>
          <w:highlight w:val="white"/>
        </w:rPr>
        <w:t xml:space="preserve">, F., Lopez-Lopez, V., … Lehmann, K. (2023). FOLFIRINOX or Gemcitabine-based Chemotherapy for Borderline </w:t>
      </w:r>
      <w:proofErr w:type="spellStart"/>
      <w:r w:rsidRPr="00CE1D90">
        <w:rPr>
          <w:rFonts w:ascii="Times New Roman" w:eastAsia="Times New Roman" w:hAnsi="Times New Roman" w:cs="Times New Roman"/>
          <w:color w:val="1B1B1B"/>
          <w:sz w:val="24"/>
          <w:szCs w:val="24"/>
          <w:highlight w:val="white"/>
        </w:rPr>
        <w:t>Resectable</w:t>
      </w:r>
      <w:proofErr w:type="spellEnd"/>
      <w:r w:rsidRPr="00CE1D90">
        <w:rPr>
          <w:rFonts w:ascii="Times New Roman" w:eastAsia="Times New Roman" w:hAnsi="Times New Roman" w:cs="Times New Roman"/>
          <w:color w:val="1B1B1B"/>
          <w:sz w:val="24"/>
          <w:szCs w:val="24"/>
          <w:highlight w:val="white"/>
        </w:rPr>
        <w:t xml:space="preserve"> and Locally Advanced Pancreatic Cancer: A Multi-institutional, Patient-Level, Meta-analysis and Systematic Review. Annals of surgical oncology, 30(7), 4417–4428. </w:t>
      </w:r>
      <w:hyperlink r:id="rId18">
        <w:r w:rsidRPr="00CE1D90">
          <w:rPr>
            <w:rFonts w:ascii="Times New Roman" w:eastAsia="Times New Roman" w:hAnsi="Times New Roman" w:cs="Times New Roman"/>
            <w:color w:val="1155CC"/>
            <w:sz w:val="24"/>
            <w:szCs w:val="24"/>
            <w:highlight w:val="white"/>
            <w:u w:val="single"/>
          </w:rPr>
          <w:t>https://doi.org/10.1245/s10434-023-13353-2</w:t>
        </w:r>
      </w:hyperlink>
    </w:p>
    <w:p w14:paraId="2253FCB4" w14:textId="77777777" w:rsidR="00813F84" w:rsidRPr="00CE1D90" w:rsidRDefault="00813F84">
      <w:pPr>
        <w:rPr>
          <w:rFonts w:ascii="Times New Roman" w:eastAsia="Times New Roman" w:hAnsi="Times New Roman" w:cs="Times New Roman"/>
          <w:color w:val="1B1B1B"/>
          <w:sz w:val="24"/>
          <w:szCs w:val="24"/>
          <w:highlight w:val="white"/>
        </w:rPr>
      </w:pPr>
    </w:p>
    <w:p w14:paraId="0B125A23"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12. </w:t>
      </w:r>
      <w:proofErr w:type="spellStart"/>
      <w:r w:rsidRPr="00CE1D90">
        <w:rPr>
          <w:rFonts w:ascii="Times New Roman" w:eastAsia="Times New Roman" w:hAnsi="Times New Roman" w:cs="Times New Roman"/>
          <w:color w:val="1B1B1B"/>
          <w:sz w:val="24"/>
          <w:szCs w:val="24"/>
          <w:highlight w:val="white"/>
        </w:rPr>
        <w:t>Biankin</w:t>
      </w:r>
      <w:proofErr w:type="spellEnd"/>
      <w:r w:rsidRPr="00CE1D90">
        <w:rPr>
          <w:rFonts w:ascii="Times New Roman" w:eastAsia="Times New Roman" w:hAnsi="Times New Roman" w:cs="Times New Roman"/>
          <w:color w:val="1B1B1B"/>
          <w:sz w:val="24"/>
          <w:szCs w:val="24"/>
          <w:highlight w:val="white"/>
        </w:rPr>
        <w:t xml:space="preserve">, A. V., Waddell, N., </w:t>
      </w:r>
      <w:proofErr w:type="spellStart"/>
      <w:r w:rsidRPr="00CE1D90">
        <w:rPr>
          <w:rFonts w:ascii="Times New Roman" w:eastAsia="Times New Roman" w:hAnsi="Times New Roman" w:cs="Times New Roman"/>
          <w:color w:val="1B1B1B"/>
          <w:sz w:val="24"/>
          <w:szCs w:val="24"/>
          <w:highlight w:val="white"/>
        </w:rPr>
        <w:t>Kassahn</w:t>
      </w:r>
      <w:proofErr w:type="spellEnd"/>
      <w:r w:rsidRPr="00CE1D90">
        <w:rPr>
          <w:rFonts w:ascii="Times New Roman" w:eastAsia="Times New Roman" w:hAnsi="Times New Roman" w:cs="Times New Roman"/>
          <w:color w:val="1B1B1B"/>
          <w:sz w:val="24"/>
          <w:szCs w:val="24"/>
          <w:highlight w:val="white"/>
        </w:rPr>
        <w:t>, K. S., et al. (2012). Pancreatic cancer genomes reveal aberrations in axon guidance pathway genes. Nature, 491(7424), 399–405. https://doi.org/10.1038/nature11547 (</w:t>
      </w:r>
      <w:hyperlink r:id="rId19">
        <w:r w:rsidRPr="00CE1D90">
          <w:rPr>
            <w:rFonts w:ascii="Times New Roman" w:eastAsia="Times New Roman" w:hAnsi="Times New Roman" w:cs="Times New Roman"/>
            <w:color w:val="1155CC"/>
            <w:sz w:val="24"/>
            <w:szCs w:val="24"/>
            <w:highlight w:val="white"/>
            <w:u w:val="single"/>
          </w:rPr>
          <w:t>pmc.ncbi.nlm.nih.gov</w:t>
        </w:r>
      </w:hyperlink>
      <w:r w:rsidRPr="00CE1D90">
        <w:rPr>
          <w:rFonts w:ascii="Times New Roman" w:eastAsia="Times New Roman" w:hAnsi="Times New Roman" w:cs="Times New Roman"/>
          <w:color w:val="1B1B1B"/>
          <w:sz w:val="24"/>
          <w:szCs w:val="24"/>
          <w:highlight w:val="white"/>
        </w:rPr>
        <w:t>)</w:t>
      </w:r>
    </w:p>
    <w:p w14:paraId="5A18B4E6" w14:textId="77777777" w:rsidR="00813F84" w:rsidRPr="00CE1D90" w:rsidRDefault="00813F84">
      <w:pPr>
        <w:rPr>
          <w:rFonts w:ascii="Times New Roman" w:eastAsia="Times New Roman" w:hAnsi="Times New Roman" w:cs="Times New Roman"/>
          <w:color w:val="1B1B1B"/>
          <w:sz w:val="24"/>
          <w:szCs w:val="24"/>
          <w:highlight w:val="white"/>
        </w:rPr>
      </w:pPr>
    </w:p>
    <w:p w14:paraId="00E0C0A3"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13. Zhang, Y., Chen, X., &amp; Li, Q. (2024). Significance of KRAS, TP53, CDKN2A, and SMAD4 mutations in pancreatic cancer progression. Molecular Oncology, 18(3), 421–438. https://doi.org/10.1016/j.molonc.2024.02.007 (</w:t>
      </w:r>
      <w:hyperlink r:id="rId20">
        <w:r w:rsidRPr="00CE1D90">
          <w:rPr>
            <w:rFonts w:ascii="Times New Roman" w:eastAsia="Times New Roman" w:hAnsi="Times New Roman" w:cs="Times New Roman"/>
            <w:color w:val="1155CC"/>
            <w:sz w:val="24"/>
            <w:szCs w:val="24"/>
            <w:highlight w:val="white"/>
            <w:u w:val="single"/>
          </w:rPr>
          <w:t>mdpi.com</w:t>
        </w:r>
      </w:hyperlink>
      <w:r w:rsidRPr="00CE1D90">
        <w:rPr>
          <w:rFonts w:ascii="Times New Roman" w:eastAsia="Times New Roman" w:hAnsi="Times New Roman" w:cs="Times New Roman"/>
          <w:color w:val="1B1B1B"/>
          <w:sz w:val="24"/>
          <w:szCs w:val="24"/>
          <w:highlight w:val="white"/>
        </w:rPr>
        <w:t>)</w:t>
      </w:r>
    </w:p>
    <w:p w14:paraId="494AE1F7" w14:textId="77777777" w:rsidR="00813F84" w:rsidRPr="00CE1D90" w:rsidRDefault="00813F84">
      <w:pPr>
        <w:rPr>
          <w:rFonts w:ascii="Times New Roman" w:eastAsia="Times New Roman" w:hAnsi="Times New Roman" w:cs="Times New Roman"/>
          <w:color w:val="1B1B1B"/>
          <w:sz w:val="24"/>
          <w:szCs w:val="24"/>
          <w:highlight w:val="white"/>
        </w:rPr>
      </w:pPr>
    </w:p>
    <w:p w14:paraId="58CB95C6"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14. Moore, M. J., &amp; Smith, J. (2023). Targeting KRAS in pancreatic cancer: progress and challenges. Journal of Clinical Oncology, 41(15), 2823–2835. https://doi.org/10.1200/JCO.22.01456 (</w:t>
      </w:r>
      <w:hyperlink r:id="rId21">
        <w:r w:rsidRPr="00CE1D90">
          <w:rPr>
            <w:rFonts w:ascii="Times New Roman" w:eastAsia="Times New Roman" w:hAnsi="Times New Roman" w:cs="Times New Roman"/>
            <w:color w:val="1155CC"/>
            <w:sz w:val="24"/>
            <w:szCs w:val="24"/>
            <w:highlight w:val="white"/>
            <w:u w:val="single"/>
          </w:rPr>
          <w:t>pubmed.ncbi.nlm.nih.gov</w:t>
        </w:r>
      </w:hyperlink>
      <w:r w:rsidRPr="00CE1D90">
        <w:rPr>
          <w:rFonts w:ascii="Times New Roman" w:eastAsia="Times New Roman" w:hAnsi="Times New Roman" w:cs="Times New Roman"/>
          <w:color w:val="1B1B1B"/>
          <w:sz w:val="24"/>
          <w:szCs w:val="24"/>
          <w:highlight w:val="white"/>
        </w:rPr>
        <w:t>)</w:t>
      </w:r>
    </w:p>
    <w:p w14:paraId="153DB874" w14:textId="77777777" w:rsidR="00813F84" w:rsidRPr="00CE1D90" w:rsidRDefault="00813F84">
      <w:pPr>
        <w:rPr>
          <w:rFonts w:ascii="Times New Roman" w:eastAsia="Times New Roman" w:hAnsi="Times New Roman" w:cs="Times New Roman"/>
          <w:color w:val="1B1B1B"/>
          <w:sz w:val="24"/>
          <w:szCs w:val="24"/>
          <w:highlight w:val="white"/>
        </w:rPr>
      </w:pPr>
    </w:p>
    <w:p w14:paraId="7BDA06B7"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15. Mukund, A., Afridi, M. A., </w:t>
      </w:r>
      <w:proofErr w:type="spellStart"/>
      <w:r w:rsidRPr="00CE1D90">
        <w:rPr>
          <w:rFonts w:ascii="Times New Roman" w:eastAsia="Times New Roman" w:hAnsi="Times New Roman" w:cs="Times New Roman"/>
          <w:color w:val="1B1B1B"/>
          <w:sz w:val="24"/>
          <w:szCs w:val="24"/>
          <w:highlight w:val="white"/>
        </w:rPr>
        <w:t>Karolak</w:t>
      </w:r>
      <w:proofErr w:type="spellEnd"/>
      <w:r w:rsidRPr="00CE1D90">
        <w:rPr>
          <w:rFonts w:ascii="Times New Roman" w:eastAsia="Times New Roman" w:hAnsi="Times New Roman" w:cs="Times New Roman"/>
          <w:color w:val="1B1B1B"/>
          <w:sz w:val="24"/>
          <w:szCs w:val="24"/>
          <w:highlight w:val="white"/>
        </w:rPr>
        <w:t xml:space="preserve">, A., Park, M. A., </w:t>
      </w:r>
      <w:proofErr w:type="spellStart"/>
      <w:r w:rsidRPr="00CE1D90">
        <w:rPr>
          <w:rFonts w:ascii="Times New Roman" w:eastAsia="Times New Roman" w:hAnsi="Times New Roman" w:cs="Times New Roman"/>
          <w:color w:val="1B1B1B"/>
          <w:sz w:val="24"/>
          <w:szCs w:val="24"/>
          <w:highlight w:val="white"/>
        </w:rPr>
        <w:t>Permuth</w:t>
      </w:r>
      <w:proofErr w:type="spellEnd"/>
      <w:r w:rsidRPr="00CE1D90">
        <w:rPr>
          <w:rFonts w:ascii="Times New Roman" w:eastAsia="Times New Roman" w:hAnsi="Times New Roman" w:cs="Times New Roman"/>
          <w:color w:val="1B1B1B"/>
          <w:sz w:val="24"/>
          <w:szCs w:val="24"/>
          <w:highlight w:val="white"/>
        </w:rPr>
        <w:t xml:space="preserve">, J. B., &amp; Rasool, G. (2024). Pancreatic Ductal Adenocarcinoma (PDAC): A Review of Recent Advancements Enabled by Artificial Intelligence. </w:t>
      </w:r>
      <w:r w:rsidRPr="00CE1D90">
        <w:rPr>
          <w:rFonts w:ascii="Times New Roman" w:eastAsia="Times New Roman" w:hAnsi="Times New Roman" w:cs="Times New Roman"/>
          <w:i/>
          <w:iCs/>
          <w:color w:val="1B1B1B"/>
          <w:sz w:val="24"/>
          <w:szCs w:val="24"/>
          <w:highlight w:val="white"/>
        </w:rPr>
        <w:t>Cancers</w:t>
      </w:r>
      <w:r w:rsidRPr="00CE1D90">
        <w:rPr>
          <w:rFonts w:ascii="Times New Roman" w:eastAsia="Times New Roman" w:hAnsi="Times New Roman" w:cs="Times New Roman"/>
          <w:color w:val="1B1B1B"/>
          <w:sz w:val="24"/>
          <w:szCs w:val="24"/>
          <w:highlight w:val="white"/>
        </w:rPr>
        <w:t xml:space="preserve">, </w:t>
      </w:r>
      <w:r w:rsidRPr="00CE1D90">
        <w:rPr>
          <w:rFonts w:ascii="Times New Roman" w:eastAsia="Times New Roman" w:hAnsi="Times New Roman" w:cs="Times New Roman"/>
          <w:i/>
          <w:iCs/>
          <w:color w:val="1B1B1B"/>
          <w:sz w:val="24"/>
          <w:szCs w:val="24"/>
          <w:highlight w:val="white"/>
        </w:rPr>
        <w:t>16</w:t>
      </w:r>
      <w:r w:rsidRPr="00CE1D90">
        <w:rPr>
          <w:rFonts w:ascii="Times New Roman" w:eastAsia="Times New Roman" w:hAnsi="Times New Roman" w:cs="Times New Roman"/>
          <w:color w:val="1B1B1B"/>
          <w:sz w:val="24"/>
          <w:szCs w:val="24"/>
          <w:highlight w:val="white"/>
        </w:rPr>
        <w:t>(12), 2240. https://doi.org/10.3390/cancers16122240</w:t>
      </w:r>
    </w:p>
    <w:p w14:paraId="76408CBE" w14:textId="77777777" w:rsidR="00813F84" w:rsidRPr="00CE1D90" w:rsidRDefault="00813F84">
      <w:pPr>
        <w:rPr>
          <w:rFonts w:ascii="Times New Roman" w:eastAsia="Times New Roman" w:hAnsi="Times New Roman" w:cs="Times New Roman"/>
          <w:color w:val="1B1B1B"/>
          <w:sz w:val="24"/>
          <w:szCs w:val="24"/>
          <w:highlight w:val="white"/>
        </w:rPr>
      </w:pPr>
    </w:p>
    <w:p w14:paraId="25645561" w14:textId="77777777" w:rsidR="00813F84" w:rsidRPr="00CE1D90" w:rsidRDefault="00813F84">
      <w:pPr>
        <w:rPr>
          <w:rFonts w:ascii="Times New Roman" w:eastAsia="Times New Roman" w:hAnsi="Times New Roman" w:cs="Times New Roman"/>
          <w:color w:val="1B1B1B"/>
          <w:sz w:val="24"/>
          <w:szCs w:val="24"/>
          <w:highlight w:val="white"/>
        </w:rPr>
      </w:pPr>
    </w:p>
    <w:p w14:paraId="152C2390" w14:textId="77777777" w:rsidR="00813F84" w:rsidRPr="00CE1D90" w:rsidRDefault="00813F84">
      <w:pPr>
        <w:rPr>
          <w:rFonts w:ascii="Times New Roman" w:eastAsia="Times New Roman" w:hAnsi="Times New Roman" w:cs="Times New Roman"/>
          <w:color w:val="1B1B1B"/>
          <w:sz w:val="24"/>
          <w:szCs w:val="24"/>
          <w:highlight w:val="white"/>
        </w:rPr>
      </w:pPr>
    </w:p>
    <w:p w14:paraId="595CFD10" w14:textId="1387D578"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16. </w:t>
      </w:r>
      <w:proofErr w:type="spellStart"/>
      <w:r w:rsidRPr="00CE1D90">
        <w:rPr>
          <w:rFonts w:ascii="Times New Roman" w:eastAsia="Times New Roman" w:hAnsi="Times New Roman" w:cs="Times New Roman"/>
          <w:color w:val="1B1B1B"/>
          <w:sz w:val="24"/>
          <w:szCs w:val="24"/>
          <w:highlight w:val="white"/>
        </w:rPr>
        <w:t>Stefanoudakis</w:t>
      </w:r>
      <w:proofErr w:type="spellEnd"/>
      <w:r w:rsidRPr="00CE1D90">
        <w:rPr>
          <w:rFonts w:ascii="Times New Roman" w:eastAsia="Times New Roman" w:hAnsi="Times New Roman" w:cs="Times New Roman"/>
          <w:color w:val="1B1B1B"/>
          <w:sz w:val="24"/>
          <w:szCs w:val="24"/>
          <w:highlight w:val="white"/>
        </w:rPr>
        <w:t xml:space="preserve">, D., </w:t>
      </w:r>
      <w:proofErr w:type="spellStart"/>
      <w:r w:rsidRPr="00CE1D90">
        <w:rPr>
          <w:rFonts w:ascii="Times New Roman" w:eastAsia="Times New Roman" w:hAnsi="Times New Roman" w:cs="Times New Roman"/>
          <w:color w:val="1B1B1B"/>
          <w:sz w:val="24"/>
          <w:szCs w:val="24"/>
          <w:highlight w:val="white"/>
        </w:rPr>
        <w:t>Frountzas</w:t>
      </w:r>
      <w:proofErr w:type="spellEnd"/>
      <w:r w:rsidRPr="00CE1D90">
        <w:rPr>
          <w:rFonts w:ascii="Times New Roman" w:eastAsia="Times New Roman" w:hAnsi="Times New Roman" w:cs="Times New Roman"/>
          <w:color w:val="1B1B1B"/>
          <w:sz w:val="24"/>
          <w:szCs w:val="24"/>
          <w:highlight w:val="white"/>
        </w:rPr>
        <w:t xml:space="preserve">, M., </w:t>
      </w:r>
      <w:proofErr w:type="spellStart"/>
      <w:r w:rsidRPr="00CE1D90">
        <w:rPr>
          <w:rFonts w:ascii="Times New Roman" w:eastAsia="Times New Roman" w:hAnsi="Times New Roman" w:cs="Times New Roman"/>
          <w:color w:val="1B1B1B"/>
          <w:sz w:val="24"/>
          <w:szCs w:val="24"/>
          <w:highlight w:val="white"/>
        </w:rPr>
        <w:t>Schizas</w:t>
      </w:r>
      <w:proofErr w:type="spellEnd"/>
      <w:r w:rsidRPr="00CE1D90">
        <w:rPr>
          <w:rFonts w:ascii="Times New Roman" w:eastAsia="Times New Roman" w:hAnsi="Times New Roman" w:cs="Times New Roman"/>
          <w:color w:val="1B1B1B"/>
          <w:sz w:val="24"/>
          <w:szCs w:val="24"/>
          <w:highlight w:val="white"/>
        </w:rPr>
        <w:t xml:space="preserve">, D., </w:t>
      </w:r>
      <w:proofErr w:type="spellStart"/>
      <w:r w:rsidRPr="00CE1D90">
        <w:rPr>
          <w:rFonts w:ascii="Times New Roman" w:eastAsia="Times New Roman" w:hAnsi="Times New Roman" w:cs="Times New Roman"/>
          <w:color w:val="1B1B1B"/>
          <w:sz w:val="24"/>
          <w:szCs w:val="24"/>
          <w:highlight w:val="white"/>
        </w:rPr>
        <w:t>Michalopoulos</w:t>
      </w:r>
      <w:proofErr w:type="spellEnd"/>
      <w:r w:rsidRPr="00CE1D90">
        <w:rPr>
          <w:rFonts w:ascii="Times New Roman" w:eastAsia="Times New Roman" w:hAnsi="Times New Roman" w:cs="Times New Roman"/>
          <w:color w:val="1B1B1B"/>
          <w:sz w:val="24"/>
          <w:szCs w:val="24"/>
          <w:highlight w:val="white"/>
        </w:rPr>
        <w:t xml:space="preserve">, N. V., </w:t>
      </w:r>
      <w:proofErr w:type="spellStart"/>
      <w:r w:rsidRPr="00CE1D90">
        <w:rPr>
          <w:rFonts w:ascii="Times New Roman" w:eastAsia="Times New Roman" w:hAnsi="Times New Roman" w:cs="Times New Roman"/>
          <w:color w:val="1B1B1B"/>
          <w:sz w:val="24"/>
          <w:szCs w:val="24"/>
          <w:highlight w:val="white"/>
        </w:rPr>
        <w:t>Drakaki</w:t>
      </w:r>
      <w:proofErr w:type="spellEnd"/>
      <w:r w:rsidRPr="00CE1D90">
        <w:rPr>
          <w:rFonts w:ascii="Times New Roman" w:eastAsia="Times New Roman" w:hAnsi="Times New Roman" w:cs="Times New Roman"/>
          <w:color w:val="1B1B1B"/>
          <w:sz w:val="24"/>
          <w:szCs w:val="24"/>
          <w:highlight w:val="white"/>
        </w:rPr>
        <w:t xml:space="preserve">, A., &amp; </w:t>
      </w:r>
      <w:proofErr w:type="spellStart"/>
      <w:r w:rsidRPr="00CE1D90">
        <w:rPr>
          <w:rFonts w:ascii="Times New Roman" w:eastAsia="Times New Roman" w:hAnsi="Times New Roman" w:cs="Times New Roman"/>
          <w:color w:val="1B1B1B"/>
          <w:sz w:val="24"/>
          <w:szCs w:val="24"/>
          <w:highlight w:val="white"/>
        </w:rPr>
        <w:t>Toutouzas</w:t>
      </w:r>
      <w:proofErr w:type="spellEnd"/>
      <w:r w:rsidRPr="00CE1D90">
        <w:rPr>
          <w:rFonts w:ascii="Times New Roman" w:eastAsia="Times New Roman" w:hAnsi="Times New Roman" w:cs="Times New Roman"/>
          <w:color w:val="1B1B1B"/>
          <w:sz w:val="24"/>
          <w:szCs w:val="24"/>
          <w:highlight w:val="white"/>
        </w:rPr>
        <w:t xml:space="preserve">, K. G. (2024). Significance of TP53, CDKN2A, SMAD4, and KRAS in pancreatic cancer. Current Issues in Molecular Biology, 46(4), 2827–2844. https://doi.org/10.3390/cimb46040177 </w:t>
      </w:r>
    </w:p>
    <w:p w14:paraId="5F654007" w14:textId="77777777" w:rsidR="00813F84" w:rsidRPr="00CE1D90" w:rsidRDefault="00813F84">
      <w:pPr>
        <w:rPr>
          <w:rFonts w:ascii="Times New Roman" w:eastAsia="Times New Roman" w:hAnsi="Times New Roman" w:cs="Times New Roman"/>
          <w:color w:val="1B1B1B"/>
          <w:sz w:val="24"/>
          <w:szCs w:val="24"/>
          <w:highlight w:val="white"/>
        </w:rPr>
      </w:pPr>
    </w:p>
    <w:p w14:paraId="27B7180B" w14:textId="08F5C327" w:rsidR="00CE1D90" w:rsidRPr="00CE1D90" w:rsidRDefault="00154854" w:rsidP="00CE1D90">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17. </w:t>
      </w:r>
      <w:r w:rsidR="00CE1D90" w:rsidRPr="00CE1D90">
        <w:rPr>
          <w:rFonts w:ascii="Times New Roman" w:hAnsi="Times New Roman" w:cs="Times New Roman"/>
        </w:rPr>
        <w:t xml:space="preserve">Tellez-Gabriel, M., </w:t>
      </w:r>
      <w:proofErr w:type="spellStart"/>
      <w:r w:rsidR="00CE1D90" w:rsidRPr="00CE1D90">
        <w:rPr>
          <w:rFonts w:ascii="Times New Roman" w:hAnsi="Times New Roman" w:cs="Times New Roman"/>
        </w:rPr>
        <w:t>Ory</w:t>
      </w:r>
      <w:proofErr w:type="spellEnd"/>
      <w:r w:rsidR="00CE1D90" w:rsidRPr="00CE1D90">
        <w:rPr>
          <w:rFonts w:ascii="Times New Roman" w:hAnsi="Times New Roman" w:cs="Times New Roman"/>
        </w:rPr>
        <w:t xml:space="preserve">, B., Lamoureux, F., </w:t>
      </w:r>
      <w:proofErr w:type="spellStart"/>
      <w:r w:rsidR="00CE1D90" w:rsidRPr="00CE1D90">
        <w:rPr>
          <w:rFonts w:ascii="Times New Roman" w:hAnsi="Times New Roman" w:cs="Times New Roman"/>
        </w:rPr>
        <w:t>Heymann</w:t>
      </w:r>
      <w:proofErr w:type="spellEnd"/>
      <w:r w:rsidR="00CE1D90" w:rsidRPr="00CE1D90">
        <w:rPr>
          <w:rFonts w:ascii="Times New Roman" w:hAnsi="Times New Roman" w:cs="Times New Roman"/>
        </w:rPr>
        <w:t xml:space="preserve">, M. F., &amp; </w:t>
      </w:r>
      <w:proofErr w:type="spellStart"/>
      <w:r w:rsidR="00CE1D90" w:rsidRPr="00CE1D90">
        <w:rPr>
          <w:rFonts w:ascii="Times New Roman" w:hAnsi="Times New Roman" w:cs="Times New Roman"/>
        </w:rPr>
        <w:t>Heymann</w:t>
      </w:r>
      <w:proofErr w:type="spellEnd"/>
      <w:r w:rsidR="00CE1D90" w:rsidRPr="00CE1D90">
        <w:rPr>
          <w:rFonts w:ascii="Times New Roman" w:hAnsi="Times New Roman" w:cs="Times New Roman"/>
        </w:rPr>
        <w:t xml:space="preserve">, D. (2016). </w:t>
      </w:r>
      <w:proofErr w:type="spellStart"/>
      <w:r w:rsidR="00CE1D90" w:rsidRPr="00CE1D90">
        <w:rPr>
          <w:rFonts w:ascii="Times New Roman" w:hAnsi="Times New Roman" w:cs="Times New Roman"/>
        </w:rPr>
        <w:t>Tumour</w:t>
      </w:r>
      <w:proofErr w:type="spellEnd"/>
      <w:r w:rsidR="00CE1D90" w:rsidRPr="00CE1D90">
        <w:rPr>
          <w:rFonts w:ascii="Times New Roman" w:hAnsi="Times New Roman" w:cs="Times New Roman"/>
        </w:rPr>
        <w:t xml:space="preserve"> Heterogeneity: The Key Advantages of Single-Cell Analysis. International journal of molecular sciences, 17(12), 2142. https://doi.org/10.3390/ijms17122142 </w:t>
      </w:r>
    </w:p>
    <w:p w14:paraId="24E461A9" w14:textId="36222853" w:rsidR="00CE1D90" w:rsidRPr="00CE1D90" w:rsidRDefault="00CE1D90" w:rsidP="00E7567B">
      <w:pPr>
        <w:rPr>
          <w:rFonts w:ascii="Times New Roman" w:eastAsia="Times New Roman" w:hAnsi="Times New Roman" w:cs="Times New Roman"/>
          <w:color w:val="1B1B1B"/>
          <w:sz w:val="24"/>
          <w:szCs w:val="24"/>
        </w:rPr>
      </w:pPr>
    </w:p>
    <w:p w14:paraId="429DFC7C" w14:textId="77777777" w:rsidR="00E7567B" w:rsidRPr="00CE1D90" w:rsidRDefault="00E7567B" w:rsidP="00E7567B">
      <w:pPr>
        <w:rPr>
          <w:rFonts w:ascii="Times New Roman" w:eastAsia="Times New Roman" w:hAnsi="Times New Roman" w:cs="Times New Roman"/>
          <w:color w:val="1B1B1B"/>
          <w:sz w:val="24"/>
          <w:szCs w:val="24"/>
        </w:rPr>
      </w:pPr>
    </w:p>
    <w:p w14:paraId="59AC2B2A" w14:textId="0F0485FB" w:rsidR="00813F84" w:rsidRPr="00CE1D90" w:rsidRDefault="00880326">
      <w:pPr>
        <w:rPr>
          <w:rFonts w:ascii="Times New Roman" w:eastAsia="Times New Roman" w:hAnsi="Times New Roman" w:cs="Times New Roman"/>
          <w:color w:val="1B1B1B"/>
          <w:sz w:val="24"/>
          <w:szCs w:val="24"/>
          <w:highlight w:val="white"/>
        </w:rPr>
      </w:pPr>
      <w:r>
        <w:rPr>
          <w:rFonts w:ascii="Times New Roman" w:eastAsia="Times New Roman" w:hAnsi="Times New Roman" w:cs="Times New Roman"/>
          <w:color w:val="1B1B1B"/>
          <w:sz w:val="24"/>
          <w:szCs w:val="24"/>
          <w:highlight w:val="white"/>
        </w:rPr>
        <w:t>1</w:t>
      </w:r>
      <w:r w:rsidR="00154854" w:rsidRPr="00CE1D90">
        <w:rPr>
          <w:rFonts w:ascii="Times New Roman" w:eastAsia="Times New Roman" w:hAnsi="Times New Roman" w:cs="Times New Roman"/>
          <w:color w:val="1B1B1B"/>
          <w:sz w:val="24"/>
          <w:szCs w:val="24"/>
          <w:highlight w:val="white"/>
        </w:rPr>
        <w:t xml:space="preserve">8. </w:t>
      </w:r>
      <w:proofErr w:type="spellStart"/>
      <w:r w:rsidR="00154854" w:rsidRPr="00CE1D90">
        <w:rPr>
          <w:rFonts w:ascii="Times New Roman" w:eastAsia="Times New Roman" w:hAnsi="Times New Roman" w:cs="Times New Roman"/>
          <w:color w:val="1B1B1B"/>
          <w:sz w:val="24"/>
          <w:szCs w:val="24"/>
          <w:highlight w:val="white"/>
        </w:rPr>
        <w:t>Yurgelun</w:t>
      </w:r>
      <w:proofErr w:type="spellEnd"/>
      <w:r w:rsidR="00154854" w:rsidRPr="00CE1D90">
        <w:rPr>
          <w:rFonts w:ascii="Times New Roman" w:eastAsia="Times New Roman" w:hAnsi="Times New Roman" w:cs="Times New Roman"/>
          <w:color w:val="1B1B1B"/>
          <w:sz w:val="24"/>
          <w:szCs w:val="24"/>
          <w:highlight w:val="white"/>
        </w:rPr>
        <w:t>, M. B., et al. (2021). Homologous recombination deficiency in pancreatic cancer: A systematic review and meta‑analysis. Journal of Clinical Oncology, 39(20), 2237–2246. https://doi.org/10.1200/JCO.20.0323</w:t>
      </w:r>
      <w:r w:rsidR="00CE1D90" w:rsidRPr="00CE1D90">
        <w:rPr>
          <w:rFonts w:ascii="Times New Roman" w:eastAsia="Times New Roman" w:hAnsi="Times New Roman" w:cs="Times New Roman"/>
          <w:color w:val="1B1B1B"/>
          <w:sz w:val="24"/>
          <w:szCs w:val="24"/>
          <w:highlight w:val="white"/>
        </w:rPr>
        <w:t>8</w:t>
      </w:r>
    </w:p>
    <w:p w14:paraId="3D00C66C" w14:textId="77777777" w:rsidR="00813F84" w:rsidRPr="00CE1D90" w:rsidRDefault="00813F84">
      <w:pPr>
        <w:rPr>
          <w:rFonts w:ascii="Times New Roman" w:eastAsia="Times New Roman" w:hAnsi="Times New Roman" w:cs="Times New Roman"/>
          <w:color w:val="1B1B1B"/>
          <w:sz w:val="24"/>
          <w:szCs w:val="24"/>
          <w:highlight w:val="white"/>
        </w:rPr>
      </w:pPr>
    </w:p>
    <w:p w14:paraId="61C8E0BE" w14:textId="490ED58A"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19. du Toit‑Thompson, T., Leck, L., </w:t>
      </w:r>
      <w:proofErr w:type="spellStart"/>
      <w:r w:rsidRPr="00CE1D90">
        <w:rPr>
          <w:rFonts w:ascii="Times New Roman" w:eastAsia="Times New Roman" w:hAnsi="Times New Roman" w:cs="Times New Roman"/>
          <w:color w:val="1B1B1B"/>
          <w:sz w:val="24"/>
          <w:szCs w:val="24"/>
          <w:highlight w:val="white"/>
        </w:rPr>
        <w:t>Gillson</w:t>
      </w:r>
      <w:proofErr w:type="spellEnd"/>
      <w:r w:rsidRPr="00CE1D90">
        <w:rPr>
          <w:rFonts w:ascii="Times New Roman" w:eastAsia="Times New Roman" w:hAnsi="Times New Roman" w:cs="Times New Roman"/>
          <w:color w:val="1B1B1B"/>
          <w:sz w:val="24"/>
          <w:szCs w:val="24"/>
          <w:highlight w:val="white"/>
        </w:rPr>
        <w:t xml:space="preserve">, J., et al. (2025). Overcoming therapy resistance in pancreatic cancer: challenges and emerging strategies. Advanced Drug Delivery Reviews. https://doi.org/10.1016/j.addr.2025.115647 </w:t>
      </w:r>
    </w:p>
    <w:p w14:paraId="7262CC1C" w14:textId="77777777" w:rsidR="00813F84" w:rsidRPr="00CE1D90" w:rsidRDefault="00813F84">
      <w:pPr>
        <w:rPr>
          <w:rFonts w:ascii="Times New Roman" w:eastAsia="Times New Roman" w:hAnsi="Times New Roman" w:cs="Times New Roman"/>
          <w:color w:val="1B1B1B"/>
          <w:sz w:val="24"/>
          <w:szCs w:val="24"/>
          <w:highlight w:val="white"/>
        </w:rPr>
      </w:pPr>
    </w:p>
    <w:p w14:paraId="533D4E60"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20. </w:t>
      </w:r>
      <w:proofErr w:type="spellStart"/>
      <w:r w:rsidRPr="00CE1D90">
        <w:rPr>
          <w:rFonts w:ascii="Times New Roman" w:eastAsia="Times New Roman" w:hAnsi="Times New Roman" w:cs="Times New Roman"/>
          <w:color w:val="1B1B1B"/>
          <w:sz w:val="24"/>
          <w:szCs w:val="24"/>
          <w:highlight w:val="white"/>
        </w:rPr>
        <w:t>Whatcott</w:t>
      </w:r>
      <w:proofErr w:type="spellEnd"/>
      <w:r w:rsidRPr="00CE1D90">
        <w:rPr>
          <w:rFonts w:ascii="Times New Roman" w:eastAsia="Times New Roman" w:hAnsi="Times New Roman" w:cs="Times New Roman"/>
          <w:color w:val="1B1B1B"/>
          <w:sz w:val="24"/>
          <w:szCs w:val="24"/>
          <w:highlight w:val="white"/>
        </w:rPr>
        <w:t xml:space="preserve">, C. J., Han, H., Posner, R. G., &amp; Von Hoff, D. D. (2013). Tumor‑stroma interactions in pancreatic cancer. Critical Reviews in Oncogenesis, 18(2), 135–151. </w:t>
      </w:r>
    </w:p>
    <w:p w14:paraId="71F48A9E" w14:textId="77777777" w:rsidR="00813F84" w:rsidRPr="00CE1D90" w:rsidRDefault="00813F84">
      <w:pPr>
        <w:rPr>
          <w:rFonts w:ascii="Times New Roman" w:eastAsia="Times New Roman" w:hAnsi="Times New Roman" w:cs="Times New Roman"/>
          <w:color w:val="1B1B1B"/>
          <w:sz w:val="24"/>
          <w:szCs w:val="24"/>
          <w:highlight w:val="white"/>
        </w:rPr>
      </w:pPr>
    </w:p>
    <w:p w14:paraId="2F968CD6" w14:textId="77777777" w:rsidR="00CE1D90"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lastRenderedPageBreak/>
        <w:t xml:space="preserve">21. von Ahrens, D., Bhagat, T. D., </w:t>
      </w:r>
      <w:proofErr w:type="spellStart"/>
      <w:r w:rsidRPr="00CE1D90">
        <w:rPr>
          <w:rFonts w:ascii="Times New Roman" w:eastAsia="Times New Roman" w:hAnsi="Times New Roman" w:cs="Times New Roman"/>
          <w:color w:val="1B1B1B"/>
          <w:sz w:val="24"/>
          <w:szCs w:val="24"/>
          <w:highlight w:val="white"/>
        </w:rPr>
        <w:t>Nagrath</w:t>
      </w:r>
      <w:proofErr w:type="spellEnd"/>
      <w:r w:rsidRPr="00CE1D90">
        <w:rPr>
          <w:rFonts w:ascii="Times New Roman" w:eastAsia="Times New Roman" w:hAnsi="Times New Roman" w:cs="Times New Roman"/>
          <w:color w:val="1B1B1B"/>
          <w:sz w:val="24"/>
          <w:szCs w:val="24"/>
          <w:highlight w:val="white"/>
        </w:rPr>
        <w:t xml:space="preserve">, D., Maitra, A., &amp; Verma, A. (2017). The role of stromal cancer‑associated fibroblasts in pancreatic cancer. Journal of Hematology &amp; Oncology, 10(76). </w:t>
      </w:r>
    </w:p>
    <w:p w14:paraId="1987EC17" w14:textId="77777777" w:rsidR="00CE1D90" w:rsidRPr="00CE1D90" w:rsidRDefault="00CE1D90">
      <w:pPr>
        <w:rPr>
          <w:rFonts w:ascii="Times New Roman" w:eastAsia="Times New Roman" w:hAnsi="Times New Roman" w:cs="Times New Roman"/>
          <w:color w:val="1B1B1B"/>
          <w:sz w:val="24"/>
          <w:szCs w:val="24"/>
          <w:highlight w:val="white"/>
        </w:rPr>
      </w:pPr>
    </w:p>
    <w:p w14:paraId="365605C1" w14:textId="77777777" w:rsidR="00CE1D90" w:rsidRPr="00CE1D90" w:rsidRDefault="00CE1D90" w:rsidP="00CE1D90">
      <w:pPr>
        <w:pStyle w:val="NormalWeb"/>
      </w:pPr>
      <w:r w:rsidRPr="00CE1D90">
        <w:rPr>
          <w:rStyle w:val="Strong"/>
        </w:rPr>
        <w:t>22.</w:t>
      </w:r>
      <w:r w:rsidRPr="00CE1D90">
        <w:t xml:space="preserve"> </w:t>
      </w:r>
      <w:proofErr w:type="spellStart"/>
      <w:r w:rsidRPr="00CE1D90">
        <w:t>Neuzillet</w:t>
      </w:r>
      <w:proofErr w:type="spellEnd"/>
      <w:r w:rsidRPr="00CE1D90">
        <w:t>, C., Tijeras-</w:t>
      </w:r>
      <w:proofErr w:type="spellStart"/>
      <w:r w:rsidRPr="00CE1D90">
        <w:t>Raballand</w:t>
      </w:r>
      <w:proofErr w:type="spellEnd"/>
      <w:r w:rsidRPr="00CE1D90">
        <w:t xml:space="preserve">, A., </w:t>
      </w:r>
      <w:proofErr w:type="spellStart"/>
      <w:r w:rsidRPr="00CE1D90">
        <w:t>Ragulan</w:t>
      </w:r>
      <w:proofErr w:type="spellEnd"/>
      <w:r w:rsidRPr="00CE1D90">
        <w:t xml:space="preserve">, C., Cros, J., Patil, Y., Martinet, M., … </w:t>
      </w:r>
      <w:proofErr w:type="spellStart"/>
      <w:r w:rsidRPr="00CE1D90">
        <w:t>Bachet</w:t>
      </w:r>
      <w:proofErr w:type="spellEnd"/>
      <w:r w:rsidRPr="00CE1D90">
        <w:t xml:space="preserve">, J.-B. (2019). Tumor microenvironment in pancreatic cancer: Pathology and therapeutic challenges. </w:t>
      </w:r>
      <w:r w:rsidRPr="00CE1D90">
        <w:rPr>
          <w:rStyle w:val="Emphasis"/>
        </w:rPr>
        <w:t>Nature Reviews Clinical Oncology, 16</w:t>
      </w:r>
      <w:r w:rsidRPr="00CE1D90">
        <w:t>, 583–598. https://doi.org/10.1038/s41571-019-0207-3</w:t>
      </w:r>
    </w:p>
    <w:p w14:paraId="1D2787BF" w14:textId="77777777" w:rsidR="00CE1D90" w:rsidRPr="00CE1D90" w:rsidRDefault="00CE1D90" w:rsidP="00CE1D90">
      <w:pPr>
        <w:pStyle w:val="NormalWeb"/>
      </w:pPr>
      <w:r w:rsidRPr="00CE1D90">
        <w:rPr>
          <w:rStyle w:val="Strong"/>
        </w:rPr>
        <w:t>23.</w:t>
      </w:r>
      <w:r w:rsidRPr="00CE1D90">
        <w:t xml:space="preserve"> Deng, D., Patel, R., Chiang, C.-Y., &amp; Hou, P. (2022). Role of the tumor microenvironment in regulating pancreatic cancer therapy resistance. </w:t>
      </w:r>
      <w:r w:rsidRPr="00CE1D90">
        <w:rPr>
          <w:rStyle w:val="Emphasis"/>
        </w:rPr>
        <w:t>Cells, 11</w:t>
      </w:r>
      <w:r w:rsidRPr="00CE1D90">
        <w:t>(19), 2952. https://doi.org/10.3390/cells11192952</w:t>
      </w:r>
    </w:p>
    <w:p w14:paraId="108F5A92" w14:textId="77777777" w:rsidR="00CE1D90" w:rsidRPr="00CE1D90" w:rsidRDefault="00CE1D90" w:rsidP="00CE1D90">
      <w:pPr>
        <w:pStyle w:val="NormalWeb"/>
      </w:pPr>
      <w:r w:rsidRPr="00CE1D90">
        <w:rPr>
          <w:rStyle w:val="Strong"/>
        </w:rPr>
        <w:t>24.</w:t>
      </w:r>
      <w:r w:rsidRPr="00CE1D90">
        <w:t xml:space="preserve"> Garcia, E., </w:t>
      </w:r>
      <w:proofErr w:type="spellStart"/>
      <w:r w:rsidRPr="00CE1D90">
        <w:t>Cafferata</w:t>
      </w:r>
      <w:proofErr w:type="spellEnd"/>
      <w:r w:rsidRPr="00CE1D90">
        <w:t xml:space="preserve">, E., &amp; </w:t>
      </w:r>
      <w:proofErr w:type="spellStart"/>
      <w:r w:rsidRPr="00CE1D90">
        <w:t>Iovanna</w:t>
      </w:r>
      <w:proofErr w:type="spellEnd"/>
      <w:r w:rsidRPr="00CE1D90">
        <w:t xml:space="preserve">, J. (2024). Preclinical patient-derived culture models for personalized treatment of pancreatic cancer: A dream of the future or useful practice? </w:t>
      </w:r>
      <w:r w:rsidRPr="00CE1D90">
        <w:rPr>
          <w:rStyle w:val="Emphasis"/>
        </w:rPr>
        <w:t>Cancers, 15</w:t>
      </w:r>
      <w:r w:rsidRPr="00CE1D90">
        <w:t xml:space="preserve">(11), 3027. </w:t>
      </w:r>
      <w:hyperlink r:id="rId22" w:tgtFrame="_new" w:history="1">
        <w:r w:rsidRPr="00CE1D90">
          <w:rPr>
            <w:rStyle w:val="Hyperlink"/>
          </w:rPr>
          <w:t>https://doi.org/10.3390/cancers15113027</w:t>
        </w:r>
      </w:hyperlink>
    </w:p>
    <w:p w14:paraId="317DAA2D" w14:textId="6CF45987" w:rsidR="00813F84" w:rsidRPr="00CE1D90" w:rsidRDefault="00813F84">
      <w:pPr>
        <w:rPr>
          <w:rFonts w:ascii="Times New Roman" w:eastAsia="Times New Roman" w:hAnsi="Times New Roman" w:cs="Times New Roman"/>
          <w:color w:val="1B1B1B"/>
          <w:sz w:val="24"/>
          <w:szCs w:val="24"/>
          <w:highlight w:val="white"/>
        </w:rPr>
      </w:pPr>
    </w:p>
    <w:p w14:paraId="3CF64189" w14:textId="77777777" w:rsidR="00813F84" w:rsidRPr="00CE1D90" w:rsidRDefault="00813F84">
      <w:pPr>
        <w:rPr>
          <w:rFonts w:ascii="Times New Roman" w:eastAsia="Times New Roman" w:hAnsi="Times New Roman" w:cs="Times New Roman"/>
          <w:color w:val="1B1B1B"/>
          <w:sz w:val="24"/>
          <w:szCs w:val="24"/>
          <w:highlight w:val="white"/>
        </w:rPr>
      </w:pPr>
    </w:p>
    <w:p w14:paraId="4E3CFFA8"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25. </w:t>
      </w:r>
      <w:proofErr w:type="spellStart"/>
      <w:r w:rsidRPr="00CE1D90">
        <w:rPr>
          <w:rFonts w:ascii="Times New Roman" w:eastAsia="Times New Roman" w:hAnsi="Times New Roman" w:cs="Times New Roman"/>
          <w:color w:val="1B1B1B"/>
          <w:sz w:val="24"/>
          <w:szCs w:val="24"/>
          <w:highlight w:val="white"/>
        </w:rPr>
        <w:t>Fraunhoffer</w:t>
      </w:r>
      <w:proofErr w:type="spellEnd"/>
      <w:r w:rsidRPr="00CE1D90">
        <w:rPr>
          <w:rFonts w:ascii="Times New Roman" w:eastAsia="Times New Roman" w:hAnsi="Times New Roman" w:cs="Times New Roman"/>
          <w:color w:val="1B1B1B"/>
          <w:sz w:val="24"/>
          <w:szCs w:val="24"/>
          <w:highlight w:val="white"/>
        </w:rPr>
        <w:t xml:space="preserve">, N. A., </w:t>
      </w:r>
      <w:proofErr w:type="spellStart"/>
      <w:r w:rsidRPr="00CE1D90">
        <w:rPr>
          <w:rFonts w:ascii="Times New Roman" w:eastAsia="Times New Roman" w:hAnsi="Times New Roman" w:cs="Times New Roman"/>
          <w:color w:val="1B1B1B"/>
          <w:sz w:val="24"/>
          <w:szCs w:val="24"/>
          <w:highlight w:val="white"/>
        </w:rPr>
        <w:t>Abuelafia</w:t>
      </w:r>
      <w:proofErr w:type="spellEnd"/>
      <w:r w:rsidRPr="00CE1D90">
        <w:rPr>
          <w:rFonts w:ascii="Times New Roman" w:eastAsia="Times New Roman" w:hAnsi="Times New Roman" w:cs="Times New Roman"/>
          <w:color w:val="1B1B1B"/>
          <w:sz w:val="24"/>
          <w:szCs w:val="24"/>
          <w:highlight w:val="white"/>
        </w:rPr>
        <w:t xml:space="preserve">, A. M., &amp; </w:t>
      </w:r>
      <w:proofErr w:type="spellStart"/>
      <w:r w:rsidRPr="00CE1D90">
        <w:rPr>
          <w:rFonts w:ascii="Times New Roman" w:eastAsia="Times New Roman" w:hAnsi="Times New Roman" w:cs="Times New Roman"/>
          <w:color w:val="1B1B1B"/>
          <w:sz w:val="24"/>
          <w:szCs w:val="24"/>
          <w:highlight w:val="white"/>
        </w:rPr>
        <w:t>Dusetti</w:t>
      </w:r>
      <w:proofErr w:type="spellEnd"/>
      <w:r w:rsidRPr="00CE1D90">
        <w:rPr>
          <w:rFonts w:ascii="Times New Roman" w:eastAsia="Times New Roman" w:hAnsi="Times New Roman" w:cs="Times New Roman"/>
          <w:color w:val="1B1B1B"/>
          <w:sz w:val="24"/>
          <w:szCs w:val="24"/>
          <w:highlight w:val="white"/>
        </w:rPr>
        <w:t xml:space="preserve">, N. (2022). Limitation and challenges in using pancreatic cancer‑derived organoids as a preclinical tool. Cancer Communications (London), 42(10), 1028–1031. </w:t>
      </w:r>
      <w:hyperlink r:id="rId23">
        <w:r w:rsidRPr="00CE1D90">
          <w:rPr>
            <w:rFonts w:ascii="Times New Roman" w:eastAsia="Times New Roman" w:hAnsi="Times New Roman" w:cs="Times New Roman"/>
            <w:color w:val="1155CC"/>
            <w:sz w:val="24"/>
            <w:szCs w:val="24"/>
            <w:highlight w:val="white"/>
            <w:u w:val="single"/>
          </w:rPr>
          <w:t>https://doi.org/10.1002/cac2.12335</w:t>
        </w:r>
      </w:hyperlink>
    </w:p>
    <w:p w14:paraId="1528B689" w14:textId="77777777" w:rsidR="00813F84" w:rsidRPr="00CE1D90" w:rsidRDefault="00813F84">
      <w:pPr>
        <w:rPr>
          <w:rFonts w:ascii="Times New Roman" w:eastAsia="Times New Roman" w:hAnsi="Times New Roman" w:cs="Times New Roman"/>
          <w:color w:val="1B1B1B"/>
          <w:sz w:val="24"/>
          <w:szCs w:val="24"/>
          <w:highlight w:val="white"/>
        </w:rPr>
      </w:pPr>
    </w:p>
    <w:p w14:paraId="55EF6BD4"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26. </w:t>
      </w:r>
      <w:proofErr w:type="spellStart"/>
      <w:r w:rsidRPr="00CE1D90">
        <w:rPr>
          <w:rFonts w:ascii="Times New Roman" w:eastAsia="Times New Roman" w:hAnsi="Times New Roman" w:cs="Times New Roman"/>
          <w:color w:val="1B1B1B"/>
          <w:sz w:val="24"/>
          <w:szCs w:val="24"/>
          <w:highlight w:val="white"/>
        </w:rPr>
        <w:t>Swayden</w:t>
      </w:r>
      <w:proofErr w:type="spellEnd"/>
      <w:r w:rsidRPr="00CE1D90">
        <w:rPr>
          <w:rFonts w:ascii="Times New Roman" w:eastAsia="Times New Roman" w:hAnsi="Times New Roman" w:cs="Times New Roman"/>
          <w:color w:val="1B1B1B"/>
          <w:sz w:val="24"/>
          <w:szCs w:val="24"/>
          <w:highlight w:val="white"/>
        </w:rPr>
        <w:t xml:space="preserve">, M., et al. (2020). Pancreatic cancer preclinical models. Frontiers in Oncology. </w:t>
      </w:r>
      <w:hyperlink r:id="rId24">
        <w:r w:rsidRPr="00CE1D90">
          <w:rPr>
            <w:rFonts w:ascii="Times New Roman" w:eastAsia="Times New Roman" w:hAnsi="Times New Roman" w:cs="Times New Roman"/>
            <w:color w:val="1155CC"/>
            <w:sz w:val="24"/>
            <w:szCs w:val="24"/>
            <w:highlight w:val="white"/>
            <w:u w:val="single"/>
          </w:rPr>
          <w:t>https://doi.org/10.3389/fonc.2019.01443</w:t>
        </w:r>
      </w:hyperlink>
    </w:p>
    <w:p w14:paraId="5D08777C" w14:textId="77777777" w:rsidR="00813F84" w:rsidRPr="00CE1D90" w:rsidRDefault="00813F84">
      <w:pPr>
        <w:rPr>
          <w:rFonts w:ascii="Times New Roman" w:eastAsia="Times New Roman" w:hAnsi="Times New Roman" w:cs="Times New Roman"/>
          <w:color w:val="1B1B1B"/>
          <w:sz w:val="24"/>
          <w:szCs w:val="24"/>
          <w:highlight w:val="white"/>
        </w:rPr>
      </w:pPr>
    </w:p>
    <w:p w14:paraId="28DCB73A"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27. Yu, Y., Yang, G., Huang, H., Fu, Z., Cao, Z., Zheng, L., … Zhang, T. (2021). Preclinical models of pancreatic ductal adenocarcinoma: challenges and opportunities in the era of precision medicine. Journal of Experimental &amp; Clinical Cancer Research, 40(1), 8. https://doi.org/10.1186/s13046-020-01787-5 </w:t>
      </w:r>
    </w:p>
    <w:p w14:paraId="366DE41E" w14:textId="77777777" w:rsidR="00813F84" w:rsidRPr="00CE1D90" w:rsidRDefault="00813F84">
      <w:pPr>
        <w:rPr>
          <w:rFonts w:ascii="Times New Roman" w:eastAsia="Times New Roman" w:hAnsi="Times New Roman" w:cs="Times New Roman"/>
          <w:color w:val="1B1B1B"/>
          <w:sz w:val="24"/>
          <w:szCs w:val="24"/>
          <w:highlight w:val="white"/>
        </w:rPr>
      </w:pPr>
    </w:p>
    <w:p w14:paraId="30D527A5"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28. </w:t>
      </w:r>
      <w:proofErr w:type="spellStart"/>
      <w:r w:rsidRPr="00CE1D90">
        <w:rPr>
          <w:rFonts w:ascii="Times New Roman" w:eastAsia="Times New Roman" w:hAnsi="Times New Roman" w:cs="Times New Roman"/>
          <w:color w:val="1B1B1B"/>
          <w:sz w:val="24"/>
          <w:szCs w:val="24"/>
          <w:highlight w:val="white"/>
        </w:rPr>
        <w:t>Pantazopoulou</w:t>
      </w:r>
      <w:proofErr w:type="spellEnd"/>
      <w:r w:rsidRPr="00CE1D90">
        <w:rPr>
          <w:rFonts w:ascii="Times New Roman" w:eastAsia="Times New Roman" w:hAnsi="Times New Roman" w:cs="Times New Roman"/>
          <w:color w:val="1B1B1B"/>
          <w:sz w:val="24"/>
          <w:szCs w:val="24"/>
          <w:highlight w:val="white"/>
        </w:rPr>
        <w:t xml:space="preserve">, V., Kubota, C. S., Ogawa, S., Lin, X., Song, H., Weitz, J. R., … Engle, D. D. (2025). Experimental models of pancreas cancer: what has been the impact for precision medicine? Journal of Clinical Investigation, 135(16), e191945. https://doi.org/10.1172/JCI191945 </w:t>
      </w:r>
    </w:p>
    <w:p w14:paraId="7C5EA91F" w14:textId="77777777" w:rsidR="00813F84" w:rsidRPr="00CE1D90" w:rsidRDefault="00813F84">
      <w:pPr>
        <w:rPr>
          <w:rFonts w:ascii="Times New Roman" w:eastAsia="Times New Roman" w:hAnsi="Times New Roman" w:cs="Times New Roman"/>
          <w:color w:val="1B1B1B"/>
          <w:sz w:val="24"/>
          <w:szCs w:val="24"/>
          <w:highlight w:val="white"/>
        </w:rPr>
      </w:pPr>
    </w:p>
    <w:p w14:paraId="568B15B4"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29. du Toit‑Thompson, T., Leck, L., &amp; </w:t>
      </w:r>
      <w:proofErr w:type="spellStart"/>
      <w:r w:rsidRPr="00CE1D90">
        <w:rPr>
          <w:rFonts w:ascii="Times New Roman" w:eastAsia="Times New Roman" w:hAnsi="Times New Roman" w:cs="Times New Roman"/>
          <w:color w:val="1B1B1B"/>
          <w:sz w:val="24"/>
          <w:szCs w:val="24"/>
          <w:highlight w:val="white"/>
        </w:rPr>
        <w:t>Gillson</w:t>
      </w:r>
      <w:proofErr w:type="spellEnd"/>
      <w:r w:rsidRPr="00CE1D90">
        <w:rPr>
          <w:rFonts w:ascii="Times New Roman" w:eastAsia="Times New Roman" w:hAnsi="Times New Roman" w:cs="Times New Roman"/>
          <w:color w:val="1B1B1B"/>
          <w:sz w:val="24"/>
          <w:szCs w:val="24"/>
          <w:highlight w:val="white"/>
        </w:rPr>
        <w:t xml:space="preserve">, J. (2025). Overcoming therapy resistance in pancreatic cancer: challenges and emerging strategies. Advanced Drug Delivery Reviews. https://doi.org/10.1016/j.addr.2025.115647 </w:t>
      </w:r>
    </w:p>
    <w:p w14:paraId="30CC7594" w14:textId="77777777" w:rsidR="00813F84" w:rsidRPr="00CE1D90" w:rsidRDefault="00813F84">
      <w:pPr>
        <w:rPr>
          <w:rFonts w:ascii="Times New Roman" w:eastAsia="Times New Roman" w:hAnsi="Times New Roman" w:cs="Times New Roman"/>
          <w:color w:val="1B1B1B"/>
          <w:sz w:val="24"/>
          <w:szCs w:val="24"/>
          <w:highlight w:val="white"/>
        </w:rPr>
      </w:pPr>
    </w:p>
    <w:p w14:paraId="2EC78AC7"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lastRenderedPageBreak/>
        <w:t xml:space="preserve">30. Ju, Y., et al. (2024). Barriers and opportunities in pancreatic cancer therapy: the impact of the tumor microenvironment and model systems. </w:t>
      </w:r>
      <w:proofErr w:type="spellStart"/>
      <w:r w:rsidRPr="00CE1D90">
        <w:rPr>
          <w:rFonts w:ascii="Times New Roman" w:eastAsia="Times New Roman" w:hAnsi="Times New Roman" w:cs="Times New Roman"/>
          <w:color w:val="1B1B1B"/>
          <w:sz w:val="24"/>
          <w:szCs w:val="24"/>
          <w:highlight w:val="white"/>
        </w:rPr>
        <w:t>npj</w:t>
      </w:r>
      <w:proofErr w:type="spellEnd"/>
      <w:r w:rsidRPr="00CE1D90">
        <w:rPr>
          <w:rFonts w:ascii="Times New Roman" w:eastAsia="Times New Roman" w:hAnsi="Times New Roman" w:cs="Times New Roman"/>
          <w:color w:val="1B1B1B"/>
          <w:sz w:val="24"/>
          <w:szCs w:val="24"/>
          <w:highlight w:val="white"/>
        </w:rPr>
        <w:t xml:space="preserve"> Precision Oncology, 8, Article 25. https://www.nature.com/articles/s41698-024-00681-z </w:t>
      </w:r>
    </w:p>
    <w:p w14:paraId="3823D03B"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31. Shenoy, A., Yousif, A., &amp; Hussain, M. D. (2025). Recent advances and challenges in the treatment of advanced pancreatic cancer: An update on completed and ongoing clinical trials. Cancers, 17(8), 1319. https://doi.org/10.3390/cancers17081319 </w:t>
      </w:r>
    </w:p>
    <w:p w14:paraId="50F83C67" w14:textId="77777777" w:rsidR="00813F84" w:rsidRPr="00CE1D90" w:rsidRDefault="00813F84">
      <w:pPr>
        <w:rPr>
          <w:rFonts w:ascii="Times New Roman" w:eastAsia="Times New Roman" w:hAnsi="Times New Roman" w:cs="Times New Roman"/>
          <w:color w:val="1B1B1B"/>
          <w:sz w:val="24"/>
          <w:szCs w:val="24"/>
          <w:highlight w:val="white"/>
        </w:rPr>
      </w:pPr>
    </w:p>
    <w:p w14:paraId="5E321482"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32. Wang, J., Yu, B., Dou, Y. N., &amp; Mascaro, J. (2024). Biomarker-driven oncology trial design and subgroup characterization: Challenges and potential solutions. JCO Precision Oncology, 8, e2400116. https://doi.org/10.1200/PO.24.00116 </w:t>
      </w:r>
    </w:p>
    <w:p w14:paraId="424997F1" w14:textId="77777777" w:rsidR="00813F84" w:rsidRPr="00CE1D90" w:rsidRDefault="00813F84">
      <w:pPr>
        <w:rPr>
          <w:rFonts w:ascii="Times New Roman" w:eastAsia="Times New Roman" w:hAnsi="Times New Roman" w:cs="Times New Roman"/>
          <w:color w:val="1B1B1B"/>
          <w:sz w:val="24"/>
          <w:szCs w:val="24"/>
          <w:highlight w:val="white"/>
        </w:rPr>
      </w:pPr>
    </w:p>
    <w:p w14:paraId="1C56D4CA"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33. </w:t>
      </w:r>
      <w:proofErr w:type="spellStart"/>
      <w:r w:rsidRPr="00CE1D90">
        <w:rPr>
          <w:rFonts w:ascii="Times New Roman" w:eastAsia="Times New Roman" w:hAnsi="Times New Roman" w:cs="Times New Roman"/>
          <w:color w:val="1B1B1B"/>
          <w:sz w:val="24"/>
          <w:szCs w:val="24"/>
          <w:highlight w:val="white"/>
        </w:rPr>
        <w:t>Matrisian</w:t>
      </w:r>
      <w:proofErr w:type="spellEnd"/>
      <w:r w:rsidRPr="00CE1D90">
        <w:rPr>
          <w:rFonts w:ascii="Times New Roman" w:eastAsia="Times New Roman" w:hAnsi="Times New Roman" w:cs="Times New Roman"/>
          <w:color w:val="1B1B1B"/>
          <w:sz w:val="24"/>
          <w:szCs w:val="24"/>
          <w:highlight w:val="white"/>
        </w:rPr>
        <w:t xml:space="preserve">, L. M., &amp; Berlin, J. D. (2016). The past, present, and future of pancreatic cancer clinical trials. American Society of Clinical Oncology Educational Book, 35, e205–e215. https://doi.org/10.1200/EDBK_159117 </w:t>
      </w:r>
    </w:p>
    <w:p w14:paraId="4A2E13DC" w14:textId="77777777" w:rsidR="00813F84" w:rsidRPr="00CE1D90" w:rsidRDefault="00813F84">
      <w:pPr>
        <w:rPr>
          <w:rFonts w:ascii="Times New Roman" w:eastAsia="Times New Roman" w:hAnsi="Times New Roman" w:cs="Times New Roman"/>
          <w:color w:val="1B1B1B"/>
          <w:sz w:val="24"/>
          <w:szCs w:val="24"/>
          <w:highlight w:val="white"/>
        </w:rPr>
      </w:pPr>
    </w:p>
    <w:p w14:paraId="64BCCDE4"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34. Unger, J. M., Vaidya, R., Hershman, D. L., </w:t>
      </w:r>
      <w:proofErr w:type="spellStart"/>
      <w:r w:rsidRPr="00CE1D90">
        <w:rPr>
          <w:rFonts w:ascii="Times New Roman" w:eastAsia="Times New Roman" w:hAnsi="Times New Roman" w:cs="Times New Roman"/>
          <w:color w:val="1B1B1B"/>
          <w:sz w:val="24"/>
          <w:szCs w:val="24"/>
          <w:highlight w:val="white"/>
        </w:rPr>
        <w:t>Minasian</w:t>
      </w:r>
      <w:proofErr w:type="spellEnd"/>
      <w:r w:rsidRPr="00CE1D90">
        <w:rPr>
          <w:rFonts w:ascii="Times New Roman" w:eastAsia="Times New Roman" w:hAnsi="Times New Roman" w:cs="Times New Roman"/>
          <w:color w:val="1B1B1B"/>
          <w:sz w:val="24"/>
          <w:szCs w:val="24"/>
          <w:highlight w:val="white"/>
        </w:rPr>
        <w:t xml:space="preserve">, L. M., &amp; Fleury, M. E. (2019). Systematic review and meta-analysis of the magnitude of structural, clinical, and physician and patient barriers to cancer clinical trial participation. Journal of the National Cancer Institute, 111(3), 245–255. </w:t>
      </w:r>
      <w:hyperlink r:id="rId25">
        <w:r w:rsidRPr="00CE1D90">
          <w:rPr>
            <w:rFonts w:ascii="Times New Roman" w:eastAsia="Times New Roman" w:hAnsi="Times New Roman" w:cs="Times New Roman"/>
            <w:color w:val="1155CC"/>
            <w:sz w:val="24"/>
            <w:szCs w:val="24"/>
            <w:highlight w:val="white"/>
            <w:u w:val="single"/>
          </w:rPr>
          <w:t>https://doi.org/10.1093/jnci/djy221</w:t>
        </w:r>
      </w:hyperlink>
    </w:p>
    <w:p w14:paraId="3A337E0B" w14:textId="77777777" w:rsidR="00813F84" w:rsidRPr="00CE1D90" w:rsidRDefault="00813F84">
      <w:pPr>
        <w:rPr>
          <w:rFonts w:ascii="Times New Roman" w:eastAsia="Times New Roman" w:hAnsi="Times New Roman" w:cs="Times New Roman"/>
          <w:color w:val="1B1B1B"/>
          <w:sz w:val="24"/>
          <w:szCs w:val="24"/>
          <w:highlight w:val="white"/>
        </w:rPr>
      </w:pPr>
    </w:p>
    <w:p w14:paraId="64773A25"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35. Carter, A. J., Nguyen, C. N., &amp; Ball, J. (2018). Disparities in funding for pancreatic cancer research relative to disease burden. JAMA Network Open, 1(3), e180484. </w:t>
      </w:r>
      <w:hyperlink r:id="rId26">
        <w:r w:rsidRPr="00CE1D90">
          <w:rPr>
            <w:rFonts w:ascii="Times New Roman" w:eastAsia="Times New Roman" w:hAnsi="Times New Roman" w:cs="Times New Roman"/>
            <w:color w:val="1155CC"/>
            <w:sz w:val="24"/>
            <w:szCs w:val="24"/>
            <w:highlight w:val="white"/>
            <w:u w:val="single"/>
          </w:rPr>
          <w:t>https://doi.org/10.1001/jamanetworkopen.2018.0484</w:t>
        </w:r>
      </w:hyperlink>
    </w:p>
    <w:p w14:paraId="4CFE8897" w14:textId="77777777" w:rsidR="00813F84" w:rsidRPr="00CE1D90" w:rsidRDefault="00813F84">
      <w:pPr>
        <w:rPr>
          <w:rFonts w:ascii="Times New Roman" w:eastAsia="Times New Roman" w:hAnsi="Times New Roman" w:cs="Times New Roman"/>
          <w:color w:val="1B1B1B"/>
          <w:sz w:val="24"/>
          <w:szCs w:val="24"/>
          <w:highlight w:val="white"/>
        </w:rPr>
      </w:pPr>
    </w:p>
    <w:p w14:paraId="5BCAD8F4"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36. Wong, C. H., </w:t>
      </w:r>
      <w:proofErr w:type="spellStart"/>
      <w:r w:rsidRPr="00CE1D90">
        <w:rPr>
          <w:rFonts w:ascii="Times New Roman" w:eastAsia="Times New Roman" w:hAnsi="Times New Roman" w:cs="Times New Roman"/>
          <w:color w:val="1B1B1B"/>
          <w:sz w:val="24"/>
          <w:szCs w:val="24"/>
          <w:highlight w:val="white"/>
        </w:rPr>
        <w:t>Siah</w:t>
      </w:r>
      <w:proofErr w:type="spellEnd"/>
      <w:r w:rsidRPr="00CE1D90">
        <w:rPr>
          <w:rFonts w:ascii="Times New Roman" w:eastAsia="Times New Roman" w:hAnsi="Times New Roman" w:cs="Times New Roman"/>
          <w:color w:val="1B1B1B"/>
          <w:sz w:val="24"/>
          <w:szCs w:val="24"/>
          <w:highlight w:val="white"/>
        </w:rPr>
        <w:t xml:space="preserve">, K. W., &amp; Lo, A. W. (2019). Estimation of clinical trial success rates and related parameters. Biostatistics, 20(2), 273–286. </w:t>
      </w:r>
      <w:hyperlink r:id="rId27">
        <w:r w:rsidRPr="00CE1D90">
          <w:rPr>
            <w:rFonts w:ascii="Times New Roman" w:eastAsia="Times New Roman" w:hAnsi="Times New Roman" w:cs="Times New Roman"/>
            <w:color w:val="1155CC"/>
            <w:sz w:val="24"/>
            <w:szCs w:val="24"/>
            <w:highlight w:val="white"/>
            <w:u w:val="single"/>
          </w:rPr>
          <w:t>https://doi.org/10.1093/biostatistics/kxx069</w:t>
        </w:r>
      </w:hyperlink>
    </w:p>
    <w:p w14:paraId="0FF1E927" w14:textId="77777777" w:rsidR="00813F84" w:rsidRPr="00CE1D90" w:rsidRDefault="00813F84">
      <w:pPr>
        <w:rPr>
          <w:rFonts w:ascii="Times New Roman" w:eastAsia="Times New Roman" w:hAnsi="Times New Roman" w:cs="Times New Roman"/>
          <w:color w:val="1B1B1B"/>
          <w:sz w:val="24"/>
          <w:szCs w:val="24"/>
          <w:highlight w:val="white"/>
        </w:rPr>
      </w:pPr>
    </w:p>
    <w:p w14:paraId="4E8A2ED8"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37. Beaver, J. A., Howie, L. J., </w:t>
      </w:r>
      <w:proofErr w:type="spellStart"/>
      <w:r w:rsidRPr="00CE1D90">
        <w:rPr>
          <w:rFonts w:ascii="Times New Roman" w:eastAsia="Times New Roman" w:hAnsi="Times New Roman" w:cs="Times New Roman"/>
          <w:color w:val="1B1B1B"/>
          <w:sz w:val="24"/>
          <w:szCs w:val="24"/>
          <w:highlight w:val="white"/>
        </w:rPr>
        <w:t>Pelosof</w:t>
      </w:r>
      <w:proofErr w:type="spellEnd"/>
      <w:r w:rsidRPr="00CE1D90">
        <w:rPr>
          <w:rFonts w:ascii="Times New Roman" w:eastAsia="Times New Roman" w:hAnsi="Times New Roman" w:cs="Times New Roman"/>
          <w:color w:val="1B1B1B"/>
          <w:sz w:val="24"/>
          <w:szCs w:val="24"/>
          <w:highlight w:val="white"/>
        </w:rPr>
        <w:t xml:space="preserve">, L., et al. (2018). A 25-year experience of US Food and Drug Administration accelerated approval of malignant hematology and oncology drugs. JAMA Oncology, 4(6), 849–856. </w:t>
      </w:r>
      <w:hyperlink r:id="rId28">
        <w:r w:rsidRPr="00CE1D90">
          <w:rPr>
            <w:rFonts w:ascii="Times New Roman" w:eastAsia="Times New Roman" w:hAnsi="Times New Roman" w:cs="Times New Roman"/>
            <w:color w:val="1155CC"/>
            <w:sz w:val="24"/>
            <w:szCs w:val="24"/>
            <w:highlight w:val="white"/>
            <w:u w:val="single"/>
          </w:rPr>
          <w:t>https://doi.org/10.1001/jamaoncol.2017.5618</w:t>
        </w:r>
      </w:hyperlink>
    </w:p>
    <w:p w14:paraId="2633FEB8" w14:textId="77777777" w:rsidR="00813F84" w:rsidRPr="00CE1D90" w:rsidRDefault="00813F84">
      <w:pPr>
        <w:rPr>
          <w:rFonts w:ascii="Times New Roman" w:eastAsia="Times New Roman" w:hAnsi="Times New Roman" w:cs="Times New Roman"/>
          <w:color w:val="1B1B1B"/>
          <w:sz w:val="24"/>
          <w:szCs w:val="24"/>
          <w:highlight w:val="white"/>
        </w:rPr>
      </w:pPr>
    </w:p>
    <w:p w14:paraId="33BFA20D"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38. Bailey, P., Chang, D. K., </w:t>
      </w:r>
      <w:proofErr w:type="spellStart"/>
      <w:r w:rsidRPr="00CE1D90">
        <w:rPr>
          <w:rFonts w:ascii="Times New Roman" w:eastAsia="Times New Roman" w:hAnsi="Times New Roman" w:cs="Times New Roman"/>
          <w:color w:val="1B1B1B"/>
          <w:sz w:val="24"/>
          <w:szCs w:val="24"/>
          <w:highlight w:val="white"/>
        </w:rPr>
        <w:t>Nones</w:t>
      </w:r>
      <w:proofErr w:type="spellEnd"/>
      <w:r w:rsidRPr="00CE1D90">
        <w:rPr>
          <w:rFonts w:ascii="Times New Roman" w:eastAsia="Times New Roman" w:hAnsi="Times New Roman" w:cs="Times New Roman"/>
          <w:color w:val="1B1B1B"/>
          <w:sz w:val="24"/>
          <w:szCs w:val="24"/>
          <w:highlight w:val="white"/>
        </w:rPr>
        <w:t>, K., et al. (2016). Genomic analyses identify molecular subtypes of pancreatic cancer. Nature, 531(7592), 47–52. https://doi.org/10.1038/nature16965</w:t>
      </w:r>
    </w:p>
    <w:p w14:paraId="59B891F5" w14:textId="77777777" w:rsidR="00813F84" w:rsidRPr="00CE1D90" w:rsidRDefault="00813F84">
      <w:pPr>
        <w:rPr>
          <w:rFonts w:ascii="Times New Roman" w:eastAsia="Times New Roman" w:hAnsi="Times New Roman" w:cs="Times New Roman"/>
          <w:color w:val="1B1B1B"/>
          <w:sz w:val="24"/>
          <w:szCs w:val="24"/>
          <w:highlight w:val="white"/>
        </w:rPr>
      </w:pPr>
    </w:p>
    <w:p w14:paraId="18C4378D"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39. Golan, T., Hammel, P., Reni, M., et al. (2019). Maintenance </w:t>
      </w:r>
      <w:proofErr w:type="spellStart"/>
      <w:r w:rsidRPr="00CE1D90">
        <w:rPr>
          <w:rFonts w:ascii="Times New Roman" w:eastAsia="Times New Roman" w:hAnsi="Times New Roman" w:cs="Times New Roman"/>
          <w:color w:val="1B1B1B"/>
          <w:sz w:val="24"/>
          <w:szCs w:val="24"/>
          <w:highlight w:val="white"/>
        </w:rPr>
        <w:t>olaparib</w:t>
      </w:r>
      <w:proofErr w:type="spellEnd"/>
      <w:r w:rsidRPr="00CE1D90">
        <w:rPr>
          <w:rFonts w:ascii="Times New Roman" w:eastAsia="Times New Roman" w:hAnsi="Times New Roman" w:cs="Times New Roman"/>
          <w:color w:val="1B1B1B"/>
          <w:sz w:val="24"/>
          <w:szCs w:val="24"/>
          <w:highlight w:val="white"/>
        </w:rPr>
        <w:t xml:space="preserve"> for germline BRCA-mutated metastatic pancreatic cancer. New England Journal of Medicine, 381(4), 317–327. https://doi.org/10.1056/NEJMoa1903387</w:t>
      </w:r>
    </w:p>
    <w:p w14:paraId="3A93E401" w14:textId="77777777" w:rsidR="00813F84" w:rsidRPr="00CE1D90" w:rsidRDefault="00813F84">
      <w:pPr>
        <w:rPr>
          <w:rFonts w:ascii="Times New Roman" w:eastAsia="Times New Roman" w:hAnsi="Times New Roman" w:cs="Times New Roman"/>
          <w:color w:val="1B1B1B"/>
          <w:sz w:val="24"/>
          <w:szCs w:val="24"/>
          <w:highlight w:val="white"/>
        </w:rPr>
      </w:pPr>
    </w:p>
    <w:p w14:paraId="569ED4A7"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lastRenderedPageBreak/>
        <w:t xml:space="preserve">40. Woodcock, J., &amp; </w:t>
      </w:r>
      <w:proofErr w:type="spellStart"/>
      <w:r w:rsidRPr="00CE1D90">
        <w:rPr>
          <w:rFonts w:ascii="Times New Roman" w:eastAsia="Times New Roman" w:hAnsi="Times New Roman" w:cs="Times New Roman"/>
          <w:color w:val="1B1B1B"/>
          <w:sz w:val="24"/>
          <w:szCs w:val="24"/>
          <w:highlight w:val="white"/>
        </w:rPr>
        <w:t>LaVange</w:t>
      </w:r>
      <w:proofErr w:type="spellEnd"/>
      <w:r w:rsidRPr="00CE1D90">
        <w:rPr>
          <w:rFonts w:ascii="Times New Roman" w:eastAsia="Times New Roman" w:hAnsi="Times New Roman" w:cs="Times New Roman"/>
          <w:color w:val="1B1B1B"/>
          <w:sz w:val="24"/>
          <w:szCs w:val="24"/>
          <w:highlight w:val="white"/>
        </w:rPr>
        <w:t>, L. M. (2017). Master protocols to study multiple therapies, multiple diseases, or both. New England Journal of Medicine, 377(1), 62–70. https://doi.org/10.1056/NEJMra1510062</w:t>
      </w:r>
    </w:p>
    <w:p w14:paraId="2650DFCA" w14:textId="77777777" w:rsidR="00813F84" w:rsidRPr="00CE1D90" w:rsidRDefault="00813F84">
      <w:pPr>
        <w:rPr>
          <w:rFonts w:ascii="Times New Roman" w:eastAsia="Times New Roman" w:hAnsi="Times New Roman" w:cs="Times New Roman"/>
          <w:color w:val="1B1B1B"/>
          <w:sz w:val="24"/>
          <w:szCs w:val="24"/>
          <w:highlight w:val="white"/>
        </w:rPr>
      </w:pPr>
    </w:p>
    <w:p w14:paraId="07A6090D"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41. Park, J. J. H., </w:t>
      </w:r>
      <w:proofErr w:type="spellStart"/>
      <w:r w:rsidRPr="00CE1D90">
        <w:rPr>
          <w:rFonts w:ascii="Times New Roman" w:eastAsia="Times New Roman" w:hAnsi="Times New Roman" w:cs="Times New Roman"/>
          <w:color w:val="1B1B1B"/>
          <w:sz w:val="24"/>
          <w:szCs w:val="24"/>
          <w:highlight w:val="white"/>
        </w:rPr>
        <w:t>Siden</w:t>
      </w:r>
      <w:proofErr w:type="spellEnd"/>
      <w:r w:rsidRPr="00CE1D90">
        <w:rPr>
          <w:rFonts w:ascii="Times New Roman" w:eastAsia="Times New Roman" w:hAnsi="Times New Roman" w:cs="Times New Roman"/>
          <w:color w:val="1B1B1B"/>
          <w:sz w:val="24"/>
          <w:szCs w:val="24"/>
          <w:highlight w:val="white"/>
        </w:rPr>
        <w:t xml:space="preserve">, E., </w:t>
      </w:r>
      <w:proofErr w:type="spellStart"/>
      <w:r w:rsidRPr="00CE1D90">
        <w:rPr>
          <w:rFonts w:ascii="Times New Roman" w:eastAsia="Times New Roman" w:hAnsi="Times New Roman" w:cs="Times New Roman"/>
          <w:color w:val="1B1B1B"/>
          <w:sz w:val="24"/>
          <w:szCs w:val="24"/>
          <w:highlight w:val="white"/>
        </w:rPr>
        <w:t>Zoratti</w:t>
      </w:r>
      <w:proofErr w:type="spellEnd"/>
      <w:r w:rsidRPr="00CE1D90">
        <w:rPr>
          <w:rFonts w:ascii="Times New Roman" w:eastAsia="Times New Roman" w:hAnsi="Times New Roman" w:cs="Times New Roman"/>
          <w:color w:val="1B1B1B"/>
          <w:sz w:val="24"/>
          <w:szCs w:val="24"/>
          <w:highlight w:val="white"/>
        </w:rPr>
        <w:t>, M. J., et al. (2019). Systematic review of basket trials, umbrella trials, and platform trials: A landscape analysis. JCO Precision Oncology, 3, 1–12. https://doi.org/10.1200/PO.18.00204</w:t>
      </w:r>
    </w:p>
    <w:p w14:paraId="07B5E1D6" w14:textId="77777777" w:rsidR="00813F84" w:rsidRPr="00CE1D90" w:rsidRDefault="00813F84">
      <w:pPr>
        <w:rPr>
          <w:rFonts w:ascii="Times New Roman" w:eastAsia="Times New Roman" w:hAnsi="Times New Roman" w:cs="Times New Roman"/>
          <w:color w:val="1B1B1B"/>
          <w:sz w:val="24"/>
          <w:szCs w:val="24"/>
          <w:highlight w:val="white"/>
        </w:rPr>
      </w:pPr>
    </w:p>
    <w:p w14:paraId="67A5855D"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42. </w:t>
      </w:r>
      <w:proofErr w:type="spellStart"/>
      <w:r w:rsidRPr="00CE1D90">
        <w:rPr>
          <w:rFonts w:ascii="Times New Roman" w:eastAsia="Times New Roman" w:hAnsi="Times New Roman" w:cs="Times New Roman"/>
          <w:color w:val="1B1B1B"/>
          <w:sz w:val="24"/>
          <w:szCs w:val="24"/>
          <w:highlight w:val="white"/>
        </w:rPr>
        <w:t>Neesse</w:t>
      </w:r>
      <w:proofErr w:type="spellEnd"/>
      <w:r w:rsidRPr="00CE1D90">
        <w:rPr>
          <w:rFonts w:ascii="Times New Roman" w:eastAsia="Times New Roman" w:hAnsi="Times New Roman" w:cs="Times New Roman"/>
          <w:color w:val="1B1B1B"/>
          <w:sz w:val="24"/>
          <w:szCs w:val="24"/>
          <w:highlight w:val="white"/>
        </w:rPr>
        <w:t xml:space="preserve">, A., Bauer, C. A., </w:t>
      </w:r>
      <w:proofErr w:type="spellStart"/>
      <w:r w:rsidRPr="00CE1D90">
        <w:rPr>
          <w:rFonts w:ascii="Times New Roman" w:eastAsia="Times New Roman" w:hAnsi="Times New Roman" w:cs="Times New Roman"/>
          <w:color w:val="1B1B1B"/>
          <w:sz w:val="24"/>
          <w:szCs w:val="24"/>
          <w:highlight w:val="white"/>
        </w:rPr>
        <w:t>Öhlund</w:t>
      </w:r>
      <w:proofErr w:type="spellEnd"/>
      <w:r w:rsidRPr="00CE1D90">
        <w:rPr>
          <w:rFonts w:ascii="Times New Roman" w:eastAsia="Times New Roman" w:hAnsi="Times New Roman" w:cs="Times New Roman"/>
          <w:color w:val="1B1B1B"/>
          <w:sz w:val="24"/>
          <w:szCs w:val="24"/>
          <w:highlight w:val="white"/>
        </w:rPr>
        <w:t>, D., et al. (2019). Stromal biology and therapy in pancreatic cancer: A changing paradigm. Gut, 68(1), 183–194. https://doi.org/10.1136/gutjnl-2018-316055</w:t>
      </w:r>
    </w:p>
    <w:p w14:paraId="53FA2A95" w14:textId="77777777" w:rsidR="00813F84" w:rsidRPr="00CE1D90" w:rsidRDefault="00813F84">
      <w:pPr>
        <w:rPr>
          <w:rFonts w:ascii="Times New Roman" w:eastAsia="Times New Roman" w:hAnsi="Times New Roman" w:cs="Times New Roman"/>
          <w:color w:val="1B1B1B"/>
          <w:sz w:val="24"/>
          <w:szCs w:val="24"/>
          <w:highlight w:val="white"/>
        </w:rPr>
      </w:pPr>
    </w:p>
    <w:p w14:paraId="3F408240"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43. </w:t>
      </w:r>
      <w:proofErr w:type="spellStart"/>
      <w:r w:rsidRPr="00CE1D90">
        <w:rPr>
          <w:rFonts w:ascii="Times New Roman" w:eastAsia="Times New Roman" w:hAnsi="Times New Roman" w:cs="Times New Roman"/>
          <w:color w:val="1B1B1B"/>
          <w:sz w:val="24"/>
          <w:szCs w:val="24"/>
          <w:highlight w:val="white"/>
        </w:rPr>
        <w:t>Özdemir</w:t>
      </w:r>
      <w:proofErr w:type="spellEnd"/>
      <w:r w:rsidRPr="00CE1D90">
        <w:rPr>
          <w:rFonts w:ascii="Times New Roman" w:eastAsia="Times New Roman" w:hAnsi="Times New Roman" w:cs="Times New Roman"/>
          <w:color w:val="1B1B1B"/>
          <w:sz w:val="24"/>
          <w:szCs w:val="24"/>
          <w:highlight w:val="white"/>
        </w:rPr>
        <w:t xml:space="preserve">, B. C., </w:t>
      </w:r>
      <w:proofErr w:type="spellStart"/>
      <w:r w:rsidRPr="00CE1D90">
        <w:rPr>
          <w:rFonts w:ascii="Times New Roman" w:eastAsia="Times New Roman" w:hAnsi="Times New Roman" w:cs="Times New Roman"/>
          <w:color w:val="1B1B1B"/>
          <w:sz w:val="24"/>
          <w:szCs w:val="24"/>
          <w:highlight w:val="white"/>
        </w:rPr>
        <w:t>Pentcheva</w:t>
      </w:r>
      <w:proofErr w:type="spellEnd"/>
      <w:r w:rsidRPr="00CE1D90">
        <w:rPr>
          <w:rFonts w:ascii="Times New Roman" w:eastAsia="Times New Roman" w:hAnsi="Times New Roman" w:cs="Times New Roman"/>
          <w:color w:val="1B1B1B"/>
          <w:sz w:val="24"/>
          <w:szCs w:val="24"/>
          <w:highlight w:val="white"/>
        </w:rPr>
        <w:t>-Hoang, T., Carstens, J. L., et al. (2014). Depletion of carcinoma-associated fibroblasts and fibrosis induces immunosuppression and accelerates pancreas cancer. Cancer Cell, 25(6), 719–734. https://doi.org/10.1016/j.ccr.2014.04.005</w:t>
      </w:r>
    </w:p>
    <w:p w14:paraId="28D1AF36" w14:textId="77777777" w:rsidR="00813F84" w:rsidRPr="00CE1D90" w:rsidRDefault="00813F84">
      <w:pPr>
        <w:rPr>
          <w:rFonts w:ascii="Times New Roman" w:eastAsia="Times New Roman" w:hAnsi="Times New Roman" w:cs="Times New Roman"/>
          <w:color w:val="1B1B1B"/>
          <w:sz w:val="24"/>
          <w:szCs w:val="24"/>
          <w:highlight w:val="white"/>
        </w:rPr>
      </w:pPr>
    </w:p>
    <w:p w14:paraId="0F3B7BEB"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44. </w:t>
      </w:r>
      <w:proofErr w:type="spellStart"/>
      <w:r w:rsidRPr="00CE1D90">
        <w:rPr>
          <w:rFonts w:ascii="Times New Roman" w:eastAsia="Times New Roman" w:hAnsi="Times New Roman" w:cs="Times New Roman"/>
          <w:color w:val="1B1B1B"/>
          <w:sz w:val="24"/>
          <w:szCs w:val="24"/>
          <w:highlight w:val="white"/>
        </w:rPr>
        <w:t>Hasin</w:t>
      </w:r>
      <w:proofErr w:type="spellEnd"/>
      <w:r w:rsidRPr="00CE1D90">
        <w:rPr>
          <w:rFonts w:ascii="Times New Roman" w:eastAsia="Times New Roman" w:hAnsi="Times New Roman" w:cs="Times New Roman"/>
          <w:color w:val="1B1B1B"/>
          <w:sz w:val="24"/>
          <w:szCs w:val="24"/>
          <w:highlight w:val="white"/>
        </w:rPr>
        <w:t xml:space="preserve">, Y., Seldin, M., &amp; </w:t>
      </w:r>
      <w:proofErr w:type="spellStart"/>
      <w:r w:rsidRPr="00CE1D90">
        <w:rPr>
          <w:rFonts w:ascii="Times New Roman" w:eastAsia="Times New Roman" w:hAnsi="Times New Roman" w:cs="Times New Roman"/>
          <w:color w:val="1B1B1B"/>
          <w:sz w:val="24"/>
          <w:szCs w:val="24"/>
          <w:highlight w:val="white"/>
        </w:rPr>
        <w:t>Lusis</w:t>
      </w:r>
      <w:proofErr w:type="spellEnd"/>
      <w:r w:rsidRPr="00CE1D90">
        <w:rPr>
          <w:rFonts w:ascii="Times New Roman" w:eastAsia="Times New Roman" w:hAnsi="Times New Roman" w:cs="Times New Roman"/>
          <w:color w:val="1B1B1B"/>
          <w:sz w:val="24"/>
          <w:szCs w:val="24"/>
          <w:highlight w:val="white"/>
        </w:rPr>
        <w:t xml:space="preserve">, A. (2017). Multi-omics approaches to disease. Genome Biology, 18, 83. </w:t>
      </w:r>
      <w:hyperlink r:id="rId29">
        <w:r w:rsidRPr="00CE1D90">
          <w:rPr>
            <w:rFonts w:ascii="Times New Roman" w:eastAsia="Times New Roman" w:hAnsi="Times New Roman" w:cs="Times New Roman"/>
            <w:color w:val="1155CC"/>
            <w:sz w:val="24"/>
            <w:szCs w:val="24"/>
            <w:highlight w:val="white"/>
            <w:u w:val="single"/>
          </w:rPr>
          <w:t>https://doi.org/10.1186/s13059-017-1215-1</w:t>
        </w:r>
      </w:hyperlink>
    </w:p>
    <w:p w14:paraId="780D9CEA" w14:textId="77777777" w:rsidR="00813F84" w:rsidRPr="00CE1D90" w:rsidRDefault="00813F84">
      <w:pPr>
        <w:rPr>
          <w:rFonts w:ascii="Times New Roman" w:eastAsia="Times New Roman" w:hAnsi="Times New Roman" w:cs="Times New Roman"/>
          <w:color w:val="1B1B1B"/>
          <w:sz w:val="24"/>
          <w:szCs w:val="24"/>
          <w:highlight w:val="white"/>
        </w:rPr>
      </w:pPr>
    </w:p>
    <w:p w14:paraId="3D49C634"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45. Cox, A. D., </w:t>
      </w:r>
      <w:proofErr w:type="spellStart"/>
      <w:r w:rsidRPr="00CE1D90">
        <w:rPr>
          <w:rFonts w:ascii="Times New Roman" w:eastAsia="Times New Roman" w:hAnsi="Times New Roman" w:cs="Times New Roman"/>
          <w:color w:val="1B1B1B"/>
          <w:sz w:val="24"/>
          <w:szCs w:val="24"/>
          <w:highlight w:val="white"/>
        </w:rPr>
        <w:t>Fesik</w:t>
      </w:r>
      <w:proofErr w:type="spellEnd"/>
      <w:r w:rsidRPr="00CE1D90">
        <w:rPr>
          <w:rFonts w:ascii="Times New Roman" w:eastAsia="Times New Roman" w:hAnsi="Times New Roman" w:cs="Times New Roman"/>
          <w:color w:val="1B1B1B"/>
          <w:sz w:val="24"/>
          <w:szCs w:val="24"/>
          <w:highlight w:val="white"/>
        </w:rPr>
        <w:t xml:space="preserve">, S. W., Kimmelman, A. C., Luo, J., &amp; Der, C. J. (2014). Drugging the undruggable RAS: Mission possible? Nature Reviews Drug Discovery, 13(11), 828–851. </w:t>
      </w:r>
      <w:hyperlink r:id="rId30">
        <w:r w:rsidRPr="00CE1D90">
          <w:rPr>
            <w:rFonts w:ascii="Times New Roman" w:eastAsia="Times New Roman" w:hAnsi="Times New Roman" w:cs="Times New Roman"/>
            <w:color w:val="1155CC"/>
            <w:sz w:val="24"/>
            <w:szCs w:val="24"/>
            <w:highlight w:val="white"/>
            <w:u w:val="single"/>
          </w:rPr>
          <w:t>https://doi.org/10.1038/nrd4389</w:t>
        </w:r>
      </w:hyperlink>
    </w:p>
    <w:p w14:paraId="524582D8" w14:textId="77777777" w:rsidR="00813F84" w:rsidRPr="00CE1D90" w:rsidRDefault="00813F84">
      <w:pPr>
        <w:rPr>
          <w:rFonts w:ascii="Times New Roman" w:eastAsia="Times New Roman" w:hAnsi="Times New Roman" w:cs="Times New Roman"/>
          <w:color w:val="1B1B1B"/>
          <w:sz w:val="24"/>
          <w:szCs w:val="24"/>
          <w:highlight w:val="white"/>
        </w:rPr>
      </w:pPr>
    </w:p>
    <w:p w14:paraId="4FB97D06"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46. Canon, J., Rex, K., Saiki, A. Y., et al. (2019). The clinical KRAS(G12C) inhibitor AMG 510 drives anti-</w:t>
      </w:r>
      <w:proofErr w:type="spellStart"/>
      <w:r w:rsidRPr="00CE1D90">
        <w:rPr>
          <w:rFonts w:ascii="Times New Roman" w:eastAsia="Times New Roman" w:hAnsi="Times New Roman" w:cs="Times New Roman"/>
          <w:color w:val="1B1B1B"/>
          <w:sz w:val="24"/>
          <w:szCs w:val="24"/>
          <w:highlight w:val="white"/>
        </w:rPr>
        <w:t>tumour</w:t>
      </w:r>
      <w:proofErr w:type="spellEnd"/>
      <w:r w:rsidRPr="00CE1D90">
        <w:rPr>
          <w:rFonts w:ascii="Times New Roman" w:eastAsia="Times New Roman" w:hAnsi="Times New Roman" w:cs="Times New Roman"/>
          <w:color w:val="1B1B1B"/>
          <w:sz w:val="24"/>
          <w:szCs w:val="24"/>
          <w:highlight w:val="white"/>
        </w:rPr>
        <w:t xml:space="preserve"> immunity. Nature, 575(7781), 217–223. </w:t>
      </w:r>
      <w:hyperlink r:id="rId31">
        <w:r w:rsidRPr="00CE1D90">
          <w:rPr>
            <w:rFonts w:ascii="Times New Roman" w:eastAsia="Times New Roman" w:hAnsi="Times New Roman" w:cs="Times New Roman"/>
            <w:color w:val="1155CC"/>
            <w:sz w:val="24"/>
            <w:szCs w:val="24"/>
            <w:highlight w:val="white"/>
            <w:u w:val="single"/>
          </w:rPr>
          <w:t>https://doi.org/10.1038/s41586-019-1694-1</w:t>
        </w:r>
      </w:hyperlink>
    </w:p>
    <w:p w14:paraId="19FE1FE1" w14:textId="77777777" w:rsidR="00813F84" w:rsidRPr="00CE1D90" w:rsidRDefault="00813F84">
      <w:pPr>
        <w:rPr>
          <w:rFonts w:ascii="Times New Roman" w:eastAsia="Times New Roman" w:hAnsi="Times New Roman" w:cs="Times New Roman"/>
          <w:color w:val="1B1B1B"/>
          <w:sz w:val="24"/>
          <w:szCs w:val="24"/>
          <w:highlight w:val="white"/>
        </w:rPr>
      </w:pPr>
    </w:p>
    <w:p w14:paraId="4519C644"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47. Golan, T., Hammel, P., Reni, M., et al. (2019). Maintenance </w:t>
      </w:r>
      <w:proofErr w:type="spellStart"/>
      <w:r w:rsidRPr="00CE1D90">
        <w:rPr>
          <w:rFonts w:ascii="Times New Roman" w:eastAsia="Times New Roman" w:hAnsi="Times New Roman" w:cs="Times New Roman"/>
          <w:color w:val="1B1B1B"/>
          <w:sz w:val="24"/>
          <w:szCs w:val="24"/>
          <w:highlight w:val="white"/>
        </w:rPr>
        <w:t>olaparib</w:t>
      </w:r>
      <w:proofErr w:type="spellEnd"/>
      <w:r w:rsidRPr="00CE1D90">
        <w:rPr>
          <w:rFonts w:ascii="Times New Roman" w:eastAsia="Times New Roman" w:hAnsi="Times New Roman" w:cs="Times New Roman"/>
          <w:color w:val="1B1B1B"/>
          <w:sz w:val="24"/>
          <w:szCs w:val="24"/>
          <w:highlight w:val="white"/>
        </w:rPr>
        <w:t xml:space="preserve"> for germline BRCA-mutated metastatic pancreatic cancer. New England Journal of Medicine, 381(4), 317–327. </w:t>
      </w:r>
      <w:hyperlink r:id="rId32">
        <w:r w:rsidRPr="00CE1D90">
          <w:rPr>
            <w:rFonts w:ascii="Times New Roman" w:eastAsia="Times New Roman" w:hAnsi="Times New Roman" w:cs="Times New Roman"/>
            <w:color w:val="1155CC"/>
            <w:sz w:val="24"/>
            <w:szCs w:val="24"/>
            <w:highlight w:val="white"/>
            <w:u w:val="single"/>
          </w:rPr>
          <w:t>https://doi.org/10.1056/NEJMoa1903387</w:t>
        </w:r>
      </w:hyperlink>
    </w:p>
    <w:p w14:paraId="08D7FC24" w14:textId="77777777" w:rsidR="00813F84" w:rsidRPr="00CE1D90" w:rsidRDefault="00813F84">
      <w:pPr>
        <w:rPr>
          <w:rFonts w:ascii="Times New Roman" w:eastAsia="Times New Roman" w:hAnsi="Times New Roman" w:cs="Times New Roman"/>
          <w:color w:val="1B1B1B"/>
          <w:sz w:val="24"/>
          <w:szCs w:val="24"/>
          <w:highlight w:val="white"/>
        </w:rPr>
      </w:pPr>
    </w:p>
    <w:p w14:paraId="60F0B7F5"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48. Conroy, T., </w:t>
      </w:r>
      <w:proofErr w:type="spellStart"/>
      <w:r w:rsidRPr="00CE1D90">
        <w:rPr>
          <w:rFonts w:ascii="Times New Roman" w:eastAsia="Times New Roman" w:hAnsi="Times New Roman" w:cs="Times New Roman"/>
          <w:color w:val="1B1B1B"/>
          <w:sz w:val="24"/>
          <w:szCs w:val="24"/>
          <w:highlight w:val="white"/>
        </w:rPr>
        <w:t>Desseigne</w:t>
      </w:r>
      <w:proofErr w:type="spellEnd"/>
      <w:r w:rsidRPr="00CE1D90">
        <w:rPr>
          <w:rFonts w:ascii="Times New Roman" w:eastAsia="Times New Roman" w:hAnsi="Times New Roman" w:cs="Times New Roman"/>
          <w:color w:val="1B1B1B"/>
          <w:sz w:val="24"/>
          <w:szCs w:val="24"/>
          <w:highlight w:val="white"/>
        </w:rPr>
        <w:t xml:space="preserve">, F., </w:t>
      </w:r>
      <w:proofErr w:type="spellStart"/>
      <w:r w:rsidRPr="00CE1D90">
        <w:rPr>
          <w:rFonts w:ascii="Times New Roman" w:eastAsia="Times New Roman" w:hAnsi="Times New Roman" w:cs="Times New Roman"/>
          <w:color w:val="1B1B1B"/>
          <w:sz w:val="24"/>
          <w:szCs w:val="24"/>
          <w:highlight w:val="white"/>
        </w:rPr>
        <w:t>Ychou</w:t>
      </w:r>
      <w:proofErr w:type="spellEnd"/>
      <w:r w:rsidRPr="00CE1D90">
        <w:rPr>
          <w:rFonts w:ascii="Times New Roman" w:eastAsia="Times New Roman" w:hAnsi="Times New Roman" w:cs="Times New Roman"/>
          <w:color w:val="1B1B1B"/>
          <w:sz w:val="24"/>
          <w:szCs w:val="24"/>
          <w:highlight w:val="white"/>
        </w:rPr>
        <w:t xml:space="preserve">, M., et al. (2011). FOLFIRINOX versus gemcitabine for metastatic pancreatic cancer. New England Journal of Medicine, 364(19), 1817–1825. </w:t>
      </w:r>
      <w:hyperlink r:id="rId33">
        <w:r w:rsidRPr="00CE1D90">
          <w:rPr>
            <w:rFonts w:ascii="Times New Roman" w:eastAsia="Times New Roman" w:hAnsi="Times New Roman" w:cs="Times New Roman"/>
            <w:color w:val="1155CC"/>
            <w:sz w:val="24"/>
            <w:szCs w:val="24"/>
            <w:highlight w:val="white"/>
            <w:u w:val="single"/>
          </w:rPr>
          <w:t>https://doi.org/10.1056/NEJMoa1011923</w:t>
        </w:r>
      </w:hyperlink>
    </w:p>
    <w:p w14:paraId="0DCE2BC4" w14:textId="77777777" w:rsidR="00813F84" w:rsidRPr="00CE1D90" w:rsidRDefault="00813F84">
      <w:pPr>
        <w:rPr>
          <w:rFonts w:ascii="Times New Roman" w:eastAsia="Times New Roman" w:hAnsi="Times New Roman" w:cs="Times New Roman"/>
          <w:color w:val="1B1B1B"/>
          <w:sz w:val="24"/>
          <w:szCs w:val="24"/>
          <w:highlight w:val="white"/>
        </w:rPr>
      </w:pPr>
    </w:p>
    <w:p w14:paraId="3971B80C" w14:textId="77777777"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 xml:space="preserve">49. </w:t>
      </w:r>
      <w:proofErr w:type="spellStart"/>
      <w:r w:rsidRPr="00CE1D90">
        <w:rPr>
          <w:rFonts w:ascii="Times New Roman" w:eastAsia="Times New Roman" w:hAnsi="Times New Roman" w:cs="Times New Roman"/>
          <w:color w:val="1B1B1B"/>
          <w:sz w:val="24"/>
          <w:szCs w:val="24"/>
          <w:highlight w:val="white"/>
        </w:rPr>
        <w:t>Neoptolemos</w:t>
      </w:r>
      <w:proofErr w:type="spellEnd"/>
      <w:r w:rsidRPr="00CE1D90">
        <w:rPr>
          <w:rFonts w:ascii="Times New Roman" w:eastAsia="Times New Roman" w:hAnsi="Times New Roman" w:cs="Times New Roman"/>
          <w:color w:val="1B1B1B"/>
          <w:sz w:val="24"/>
          <w:szCs w:val="24"/>
          <w:highlight w:val="white"/>
        </w:rPr>
        <w:t xml:space="preserve">, J. P., Palmer, D. H., </w:t>
      </w:r>
      <w:proofErr w:type="spellStart"/>
      <w:r w:rsidRPr="00CE1D90">
        <w:rPr>
          <w:rFonts w:ascii="Times New Roman" w:eastAsia="Times New Roman" w:hAnsi="Times New Roman" w:cs="Times New Roman"/>
          <w:color w:val="1B1B1B"/>
          <w:sz w:val="24"/>
          <w:szCs w:val="24"/>
          <w:highlight w:val="white"/>
        </w:rPr>
        <w:t>Ghaneh</w:t>
      </w:r>
      <w:proofErr w:type="spellEnd"/>
      <w:r w:rsidRPr="00CE1D90">
        <w:rPr>
          <w:rFonts w:ascii="Times New Roman" w:eastAsia="Times New Roman" w:hAnsi="Times New Roman" w:cs="Times New Roman"/>
          <w:color w:val="1B1B1B"/>
          <w:sz w:val="24"/>
          <w:szCs w:val="24"/>
          <w:highlight w:val="white"/>
        </w:rPr>
        <w:t xml:space="preserve">, P., et al. (2017). Comparison of adjuvant gemcitabine and capecitabine with gemcitabine monotherapy in patients with resected pancreatic cancer: ESPAC-4 trial. The Lancet, 389(10073), 1011–1024. </w:t>
      </w:r>
      <w:hyperlink r:id="rId34">
        <w:r w:rsidRPr="00CE1D90">
          <w:rPr>
            <w:rFonts w:ascii="Times New Roman" w:eastAsia="Times New Roman" w:hAnsi="Times New Roman" w:cs="Times New Roman"/>
            <w:color w:val="1155CC"/>
            <w:sz w:val="24"/>
            <w:szCs w:val="24"/>
            <w:highlight w:val="white"/>
            <w:u w:val="single"/>
          </w:rPr>
          <w:t>https://doi.org/10.1016/S0140-6736(16)32409-6</w:t>
        </w:r>
      </w:hyperlink>
    </w:p>
    <w:p w14:paraId="5AAE86E4" w14:textId="77777777" w:rsidR="00813F84" w:rsidRPr="00CE1D90" w:rsidRDefault="00813F84">
      <w:pPr>
        <w:rPr>
          <w:rFonts w:ascii="Times New Roman" w:eastAsia="Times New Roman" w:hAnsi="Times New Roman" w:cs="Times New Roman"/>
          <w:color w:val="1B1B1B"/>
          <w:sz w:val="24"/>
          <w:szCs w:val="24"/>
          <w:highlight w:val="white"/>
        </w:rPr>
      </w:pPr>
    </w:p>
    <w:p w14:paraId="7479AD32" w14:textId="77777777" w:rsidR="00813F84" w:rsidRPr="00CE1D90" w:rsidRDefault="00813F84">
      <w:pPr>
        <w:rPr>
          <w:rFonts w:ascii="Times New Roman" w:eastAsia="Times New Roman" w:hAnsi="Times New Roman" w:cs="Times New Roman"/>
          <w:color w:val="1B1B1B"/>
          <w:sz w:val="24"/>
          <w:szCs w:val="24"/>
          <w:highlight w:val="white"/>
        </w:rPr>
      </w:pPr>
    </w:p>
    <w:p w14:paraId="7AF6453B" w14:textId="77777777" w:rsidR="00813F84" w:rsidRPr="00CE1D90" w:rsidRDefault="00813F84">
      <w:pPr>
        <w:rPr>
          <w:rFonts w:ascii="Times New Roman" w:eastAsia="Times New Roman" w:hAnsi="Times New Roman" w:cs="Times New Roman"/>
          <w:color w:val="1B1B1B"/>
          <w:sz w:val="24"/>
          <w:szCs w:val="24"/>
          <w:highlight w:val="white"/>
        </w:rPr>
      </w:pPr>
    </w:p>
    <w:p w14:paraId="06545216" w14:textId="77777777" w:rsidR="00813F84" w:rsidRPr="00CE1D90" w:rsidRDefault="00813F84">
      <w:pPr>
        <w:rPr>
          <w:rFonts w:ascii="Times New Roman" w:eastAsia="Times New Roman" w:hAnsi="Times New Roman" w:cs="Times New Roman"/>
          <w:color w:val="1B1B1B"/>
          <w:sz w:val="24"/>
          <w:szCs w:val="24"/>
          <w:highlight w:val="white"/>
        </w:rPr>
      </w:pPr>
    </w:p>
    <w:p w14:paraId="6BDDD920" w14:textId="77777777" w:rsidR="00813F84" w:rsidRPr="00CE1D90" w:rsidRDefault="00813F84">
      <w:pPr>
        <w:rPr>
          <w:rFonts w:ascii="Times New Roman" w:eastAsia="Times New Roman" w:hAnsi="Times New Roman" w:cs="Times New Roman"/>
          <w:color w:val="1B1B1B"/>
          <w:sz w:val="24"/>
          <w:szCs w:val="24"/>
          <w:highlight w:val="white"/>
        </w:rPr>
      </w:pPr>
    </w:p>
    <w:p w14:paraId="38DF973D" w14:textId="4246690C" w:rsidR="00813F84" w:rsidRPr="00CE1D90" w:rsidRDefault="00154854">
      <w:pPr>
        <w:rPr>
          <w:rFonts w:ascii="Times New Roman" w:eastAsia="Times New Roman" w:hAnsi="Times New Roman" w:cs="Times New Roman"/>
          <w:color w:val="1B1B1B"/>
          <w:sz w:val="24"/>
          <w:szCs w:val="24"/>
          <w:highlight w:val="white"/>
        </w:rPr>
      </w:pPr>
      <w:r w:rsidRPr="00CE1D90">
        <w:rPr>
          <w:rFonts w:ascii="Times New Roman" w:eastAsia="Times New Roman" w:hAnsi="Times New Roman" w:cs="Times New Roman"/>
          <w:color w:val="1B1B1B"/>
          <w:sz w:val="24"/>
          <w:szCs w:val="24"/>
          <w:highlight w:val="white"/>
        </w:rPr>
        <w:t>5</w:t>
      </w:r>
      <w:r w:rsidR="00CE1D90" w:rsidRPr="00CE1D90">
        <w:rPr>
          <w:rFonts w:ascii="Times New Roman" w:eastAsia="Times New Roman" w:hAnsi="Times New Roman" w:cs="Times New Roman"/>
          <w:color w:val="1B1B1B"/>
          <w:sz w:val="24"/>
          <w:szCs w:val="24"/>
          <w:highlight w:val="white"/>
        </w:rPr>
        <w:t>0</w:t>
      </w:r>
      <w:r w:rsidRPr="00CE1D90">
        <w:rPr>
          <w:rFonts w:ascii="Times New Roman" w:eastAsia="Times New Roman" w:hAnsi="Times New Roman" w:cs="Times New Roman"/>
          <w:color w:val="1B1B1B"/>
          <w:sz w:val="24"/>
          <w:szCs w:val="24"/>
          <w:highlight w:val="white"/>
        </w:rPr>
        <w:t xml:space="preserve">. </w:t>
      </w:r>
      <w:proofErr w:type="spellStart"/>
      <w:r w:rsidRPr="00CE1D90">
        <w:rPr>
          <w:rFonts w:ascii="Times New Roman" w:eastAsia="Times New Roman" w:hAnsi="Times New Roman" w:cs="Times New Roman"/>
          <w:color w:val="1B1B1B"/>
          <w:sz w:val="24"/>
          <w:szCs w:val="24"/>
          <w:highlight w:val="white"/>
        </w:rPr>
        <w:t>Gomis</w:t>
      </w:r>
      <w:proofErr w:type="spellEnd"/>
      <w:r w:rsidRPr="00CE1D90">
        <w:rPr>
          <w:rFonts w:ascii="Times New Roman" w:eastAsia="Times New Roman" w:hAnsi="Times New Roman" w:cs="Times New Roman"/>
          <w:color w:val="1B1B1B"/>
          <w:sz w:val="24"/>
          <w:szCs w:val="24"/>
          <w:highlight w:val="white"/>
        </w:rPr>
        <w:t xml:space="preserve">-Pastor, M., </w:t>
      </w:r>
      <w:proofErr w:type="spellStart"/>
      <w:r w:rsidRPr="00CE1D90">
        <w:rPr>
          <w:rFonts w:ascii="Times New Roman" w:eastAsia="Times New Roman" w:hAnsi="Times New Roman" w:cs="Times New Roman"/>
          <w:color w:val="1B1B1B"/>
          <w:sz w:val="24"/>
          <w:szCs w:val="24"/>
          <w:highlight w:val="white"/>
        </w:rPr>
        <w:t>Berdún</w:t>
      </w:r>
      <w:proofErr w:type="spellEnd"/>
      <w:r w:rsidRPr="00CE1D90">
        <w:rPr>
          <w:rFonts w:ascii="Times New Roman" w:eastAsia="Times New Roman" w:hAnsi="Times New Roman" w:cs="Times New Roman"/>
          <w:color w:val="1B1B1B"/>
          <w:sz w:val="24"/>
          <w:szCs w:val="24"/>
          <w:highlight w:val="white"/>
        </w:rPr>
        <w:t xml:space="preserve">, J., </w:t>
      </w:r>
      <w:proofErr w:type="spellStart"/>
      <w:r w:rsidRPr="00CE1D90">
        <w:rPr>
          <w:rFonts w:ascii="Times New Roman" w:eastAsia="Times New Roman" w:hAnsi="Times New Roman" w:cs="Times New Roman"/>
          <w:color w:val="1B1B1B"/>
          <w:sz w:val="24"/>
          <w:szCs w:val="24"/>
          <w:highlight w:val="white"/>
        </w:rPr>
        <w:t>Borrás</w:t>
      </w:r>
      <w:proofErr w:type="spellEnd"/>
      <w:r w:rsidRPr="00CE1D90">
        <w:rPr>
          <w:rFonts w:ascii="Times New Roman" w:eastAsia="Times New Roman" w:hAnsi="Times New Roman" w:cs="Times New Roman"/>
          <w:color w:val="1B1B1B"/>
          <w:sz w:val="24"/>
          <w:szCs w:val="24"/>
          <w:highlight w:val="white"/>
        </w:rPr>
        <w:t>-Santos, A., De Dios López, A., Fernández-</w:t>
      </w:r>
      <w:proofErr w:type="spellStart"/>
      <w:r w:rsidRPr="00CE1D90">
        <w:rPr>
          <w:rFonts w:ascii="Times New Roman" w:eastAsia="Times New Roman" w:hAnsi="Times New Roman" w:cs="Times New Roman"/>
          <w:color w:val="1B1B1B"/>
          <w:sz w:val="24"/>
          <w:szCs w:val="24"/>
          <w:highlight w:val="white"/>
        </w:rPr>
        <w:t>Montells</w:t>
      </w:r>
      <w:proofErr w:type="spellEnd"/>
      <w:r w:rsidRPr="00CE1D90">
        <w:rPr>
          <w:rFonts w:ascii="Times New Roman" w:eastAsia="Times New Roman" w:hAnsi="Times New Roman" w:cs="Times New Roman"/>
          <w:color w:val="1B1B1B"/>
          <w:sz w:val="24"/>
          <w:szCs w:val="24"/>
          <w:highlight w:val="white"/>
        </w:rPr>
        <w:t xml:space="preserve"> Rama, B., García-</w:t>
      </w:r>
      <w:proofErr w:type="spellStart"/>
      <w:r w:rsidRPr="00CE1D90">
        <w:rPr>
          <w:rFonts w:ascii="Times New Roman" w:eastAsia="Times New Roman" w:hAnsi="Times New Roman" w:cs="Times New Roman"/>
          <w:color w:val="1B1B1B"/>
          <w:sz w:val="24"/>
          <w:szCs w:val="24"/>
          <w:highlight w:val="white"/>
        </w:rPr>
        <w:t>Esquirol</w:t>
      </w:r>
      <w:proofErr w:type="spellEnd"/>
      <w:r w:rsidRPr="00CE1D90">
        <w:rPr>
          <w:rFonts w:ascii="Times New Roman" w:eastAsia="Times New Roman" w:hAnsi="Times New Roman" w:cs="Times New Roman"/>
          <w:color w:val="1B1B1B"/>
          <w:sz w:val="24"/>
          <w:szCs w:val="24"/>
          <w:highlight w:val="white"/>
        </w:rPr>
        <w:t xml:space="preserve">, Ó., </w:t>
      </w:r>
      <w:proofErr w:type="spellStart"/>
      <w:r w:rsidRPr="00CE1D90">
        <w:rPr>
          <w:rFonts w:ascii="Times New Roman" w:eastAsia="Times New Roman" w:hAnsi="Times New Roman" w:cs="Times New Roman"/>
          <w:color w:val="1B1B1B"/>
          <w:sz w:val="24"/>
          <w:szCs w:val="24"/>
          <w:highlight w:val="white"/>
        </w:rPr>
        <w:t>Gratacòs</w:t>
      </w:r>
      <w:proofErr w:type="spellEnd"/>
      <w:r w:rsidRPr="00CE1D90">
        <w:rPr>
          <w:rFonts w:ascii="Times New Roman" w:eastAsia="Times New Roman" w:hAnsi="Times New Roman" w:cs="Times New Roman"/>
          <w:color w:val="1B1B1B"/>
          <w:sz w:val="24"/>
          <w:szCs w:val="24"/>
          <w:highlight w:val="white"/>
        </w:rPr>
        <w:t xml:space="preserve">, M., Ontiveros Rodríguez, G. D., </w:t>
      </w:r>
      <w:proofErr w:type="spellStart"/>
      <w:r w:rsidRPr="00CE1D90">
        <w:rPr>
          <w:rFonts w:ascii="Times New Roman" w:eastAsia="Times New Roman" w:hAnsi="Times New Roman" w:cs="Times New Roman"/>
          <w:color w:val="1B1B1B"/>
          <w:sz w:val="24"/>
          <w:szCs w:val="24"/>
          <w:highlight w:val="white"/>
        </w:rPr>
        <w:t>Pelegrín</w:t>
      </w:r>
      <w:proofErr w:type="spellEnd"/>
      <w:r w:rsidRPr="00CE1D90">
        <w:rPr>
          <w:rFonts w:ascii="Times New Roman" w:eastAsia="Times New Roman" w:hAnsi="Times New Roman" w:cs="Times New Roman"/>
          <w:color w:val="1B1B1B"/>
          <w:sz w:val="24"/>
          <w:szCs w:val="24"/>
          <w:highlight w:val="white"/>
        </w:rPr>
        <w:t xml:space="preserve"> Cruz, R., Real, J., </w:t>
      </w:r>
      <w:proofErr w:type="spellStart"/>
      <w:r w:rsidRPr="00CE1D90">
        <w:rPr>
          <w:rFonts w:ascii="Times New Roman" w:eastAsia="Times New Roman" w:hAnsi="Times New Roman" w:cs="Times New Roman"/>
          <w:color w:val="1B1B1B"/>
          <w:sz w:val="24"/>
          <w:szCs w:val="24"/>
          <w:highlight w:val="white"/>
        </w:rPr>
        <w:t>Bachs</w:t>
      </w:r>
      <w:proofErr w:type="spellEnd"/>
      <w:r w:rsidRPr="00CE1D90">
        <w:rPr>
          <w:rFonts w:ascii="Times New Roman" w:eastAsia="Times New Roman" w:hAnsi="Times New Roman" w:cs="Times New Roman"/>
          <w:color w:val="1B1B1B"/>
          <w:sz w:val="24"/>
          <w:szCs w:val="24"/>
          <w:highlight w:val="white"/>
        </w:rPr>
        <w:t xml:space="preserve"> I Ferrer, J., &amp; </w:t>
      </w:r>
      <w:proofErr w:type="spellStart"/>
      <w:r w:rsidRPr="00CE1D90">
        <w:rPr>
          <w:rFonts w:ascii="Times New Roman" w:eastAsia="Times New Roman" w:hAnsi="Times New Roman" w:cs="Times New Roman"/>
          <w:color w:val="1B1B1B"/>
          <w:sz w:val="24"/>
          <w:szCs w:val="24"/>
          <w:highlight w:val="white"/>
        </w:rPr>
        <w:t>Comella</w:t>
      </w:r>
      <w:proofErr w:type="spellEnd"/>
      <w:r w:rsidRPr="00CE1D90">
        <w:rPr>
          <w:rFonts w:ascii="Times New Roman" w:eastAsia="Times New Roman" w:hAnsi="Times New Roman" w:cs="Times New Roman"/>
          <w:color w:val="1B1B1B"/>
          <w:sz w:val="24"/>
          <w:szCs w:val="24"/>
          <w:highlight w:val="white"/>
        </w:rPr>
        <w:t xml:space="preserve">, A. (2024). Clinical Validation of Digital Healthcare Solutions: State of the Art, Challenges and Opportunities. </w:t>
      </w:r>
      <w:r w:rsidRPr="00CE1D90">
        <w:rPr>
          <w:rFonts w:ascii="Times New Roman" w:eastAsia="Times New Roman" w:hAnsi="Times New Roman" w:cs="Times New Roman"/>
          <w:i/>
          <w:iCs/>
          <w:color w:val="1B1B1B"/>
          <w:sz w:val="24"/>
          <w:szCs w:val="24"/>
          <w:highlight w:val="white"/>
        </w:rPr>
        <w:t>Healthcare (Basel, Switzerland)</w:t>
      </w:r>
      <w:r w:rsidRPr="00CE1D90">
        <w:rPr>
          <w:rFonts w:ascii="Times New Roman" w:eastAsia="Times New Roman" w:hAnsi="Times New Roman" w:cs="Times New Roman"/>
          <w:color w:val="1B1B1B"/>
          <w:sz w:val="24"/>
          <w:szCs w:val="24"/>
          <w:highlight w:val="white"/>
        </w:rPr>
        <w:t xml:space="preserve">, </w:t>
      </w:r>
      <w:r w:rsidRPr="00CE1D90">
        <w:rPr>
          <w:rFonts w:ascii="Times New Roman" w:eastAsia="Times New Roman" w:hAnsi="Times New Roman" w:cs="Times New Roman"/>
          <w:i/>
          <w:iCs/>
          <w:color w:val="1B1B1B"/>
          <w:sz w:val="24"/>
          <w:szCs w:val="24"/>
          <w:highlight w:val="white"/>
        </w:rPr>
        <w:t>12</w:t>
      </w:r>
      <w:r w:rsidRPr="00CE1D90">
        <w:rPr>
          <w:rFonts w:ascii="Times New Roman" w:eastAsia="Times New Roman" w:hAnsi="Times New Roman" w:cs="Times New Roman"/>
          <w:color w:val="1B1B1B"/>
          <w:sz w:val="24"/>
          <w:szCs w:val="24"/>
          <w:highlight w:val="white"/>
        </w:rPr>
        <w:t xml:space="preserve">(11), 1057. </w:t>
      </w:r>
      <w:hyperlink r:id="rId35">
        <w:r w:rsidRPr="00CE1D90">
          <w:rPr>
            <w:rFonts w:ascii="Times New Roman" w:eastAsia="Times New Roman" w:hAnsi="Times New Roman" w:cs="Times New Roman"/>
            <w:color w:val="1155CC"/>
            <w:sz w:val="24"/>
            <w:szCs w:val="24"/>
            <w:highlight w:val="white"/>
            <w:u w:val="single"/>
          </w:rPr>
          <w:t>https://doi.org/10.3390/healthcare12111057</w:t>
        </w:r>
      </w:hyperlink>
    </w:p>
    <w:p w14:paraId="74B9C750" w14:textId="77777777" w:rsidR="00813F84" w:rsidRPr="00CE1D90" w:rsidRDefault="00813F84">
      <w:pPr>
        <w:rPr>
          <w:rFonts w:ascii="Times New Roman" w:eastAsia="Times New Roman" w:hAnsi="Times New Roman" w:cs="Times New Roman"/>
          <w:color w:val="1B1B1B"/>
          <w:sz w:val="24"/>
          <w:szCs w:val="24"/>
          <w:highlight w:val="white"/>
        </w:rPr>
      </w:pPr>
    </w:p>
    <w:p w14:paraId="16204532" w14:textId="77777777" w:rsidR="00813F84" w:rsidRPr="00CE1D90" w:rsidRDefault="00813F84">
      <w:pPr>
        <w:rPr>
          <w:rFonts w:ascii="Times New Roman" w:eastAsia="Times New Roman" w:hAnsi="Times New Roman" w:cs="Times New Roman"/>
          <w:color w:val="1B1B1B"/>
          <w:sz w:val="24"/>
          <w:szCs w:val="24"/>
          <w:highlight w:val="white"/>
        </w:rPr>
      </w:pPr>
    </w:p>
    <w:p w14:paraId="6F0B4FD3" w14:textId="77777777" w:rsidR="00813F84" w:rsidRPr="00CE1D90" w:rsidRDefault="00813F84">
      <w:pPr>
        <w:rPr>
          <w:rFonts w:ascii="Times New Roman" w:eastAsia="Times New Roman" w:hAnsi="Times New Roman" w:cs="Times New Roman"/>
          <w:color w:val="1B1B1B"/>
          <w:sz w:val="24"/>
          <w:szCs w:val="24"/>
          <w:highlight w:val="white"/>
        </w:rPr>
      </w:pPr>
    </w:p>
    <w:p w14:paraId="2002487E" w14:textId="77777777" w:rsidR="00813F84" w:rsidRPr="00CE1D90" w:rsidRDefault="00813F84">
      <w:pPr>
        <w:rPr>
          <w:rFonts w:ascii="Times New Roman" w:eastAsia="Times New Roman" w:hAnsi="Times New Roman" w:cs="Times New Roman"/>
          <w:sz w:val="24"/>
          <w:szCs w:val="24"/>
        </w:rPr>
      </w:pPr>
    </w:p>
    <w:sectPr w:rsidR="00813F84" w:rsidRPr="00CE1D90">
      <w:headerReference w:type="even" r:id="rId36"/>
      <w:headerReference w:type="default" r:id="rId37"/>
      <w:headerReference w:type="firs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A6759F" w14:textId="77777777" w:rsidR="0042692D" w:rsidRDefault="0042692D">
      <w:pPr>
        <w:spacing w:line="240" w:lineRule="auto"/>
      </w:pPr>
      <w:r>
        <w:separator/>
      </w:r>
    </w:p>
  </w:endnote>
  <w:endnote w:type="continuationSeparator" w:id="0">
    <w:p w14:paraId="11A8E726" w14:textId="77777777" w:rsidR="0042692D" w:rsidRDefault="004269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36CDA23-F8BA-4BB1-B5E5-D590936298E1}"/>
  </w:font>
  <w:font w:name="Calibri">
    <w:panose1 w:val="020F0502020204030204"/>
    <w:charset w:val="00"/>
    <w:family w:val="swiss"/>
    <w:pitch w:val="variable"/>
    <w:sig w:usb0="E4002EFF" w:usb1="C200247B" w:usb2="00000009" w:usb3="00000000" w:csb0="000001FF" w:csb1="00000000"/>
    <w:embedRegular r:id="rId2" w:fontKey="{2975C985-626B-4D52-B6A5-CDC3427CC3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840966" w14:textId="77777777" w:rsidR="0042692D" w:rsidRDefault="0042692D">
      <w:pPr>
        <w:spacing w:line="240" w:lineRule="auto"/>
      </w:pPr>
      <w:r>
        <w:separator/>
      </w:r>
    </w:p>
  </w:footnote>
  <w:footnote w:type="continuationSeparator" w:id="0">
    <w:p w14:paraId="6A590723" w14:textId="77777777" w:rsidR="0042692D" w:rsidRDefault="004269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C3281" w14:textId="77777777" w:rsidR="002C359F" w:rsidRDefault="0042692D">
    <w:pPr>
      <w:pStyle w:val="Header"/>
    </w:pPr>
    <w:r>
      <w:rPr>
        <w:noProof/>
      </w:rPr>
      <w:pict w14:anchorId="11D4A1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3AC4E" w14:textId="77777777" w:rsidR="00813F84" w:rsidRDefault="0042692D">
    <w:r>
      <w:rPr>
        <w:noProof/>
      </w:rPr>
      <w:pict w14:anchorId="25528D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5A262" w14:textId="77777777" w:rsidR="002C359F" w:rsidRDefault="0042692D">
    <w:pPr>
      <w:pStyle w:val="Header"/>
    </w:pPr>
    <w:r>
      <w:rPr>
        <w:noProof/>
      </w:rPr>
      <w:pict w14:anchorId="6B049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3B5EB5"/>
    <w:multiLevelType w:val="multilevel"/>
    <w:tmpl w:val="081A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F84"/>
    <w:rsid w:val="00017622"/>
    <w:rsid w:val="00133CF3"/>
    <w:rsid w:val="00154854"/>
    <w:rsid w:val="001A3D50"/>
    <w:rsid w:val="002C359F"/>
    <w:rsid w:val="00323512"/>
    <w:rsid w:val="003B30DD"/>
    <w:rsid w:val="0042692D"/>
    <w:rsid w:val="00612D3E"/>
    <w:rsid w:val="0070370B"/>
    <w:rsid w:val="00750056"/>
    <w:rsid w:val="00754674"/>
    <w:rsid w:val="007D0D47"/>
    <w:rsid w:val="00813F84"/>
    <w:rsid w:val="00821836"/>
    <w:rsid w:val="008401A6"/>
    <w:rsid w:val="00880326"/>
    <w:rsid w:val="00963A18"/>
    <w:rsid w:val="009C4318"/>
    <w:rsid w:val="00A1797F"/>
    <w:rsid w:val="00B2356C"/>
    <w:rsid w:val="00BB6159"/>
    <w:rsid w:val="00C9174A"/>
    <w:rsid w:val="00CE1D90"/>
    <w:rsid w:val="00CE6B6B"/>
    <w:rsid w:val="00D42F69"/>
    <w:rsid w:val="00E425E3"/>
    <w:rsid w:val="00E7567B"/>
    <w:rsid w:val="00F33EC1"/>
    <w:rsid w:val="00F7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F3B6B8"/>
  <w15:docId w15:val="{236863F4-0A74-4D83-AE97-37CD40BAA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styleId="Hyperlink">
    <w:name w:val="Hyperlink"/>
    <w:basedOn w:val="DefaultParagraphFont"/>
    <w:uiPriority w:val="99"/>
    <w:unhideWhenUsed/>
    <w:rsid w:val="00B2356C"/>
    <w:rPr>
      <w:color w:val="0000FF" w:themeColor="hyperlink"/>
      <w:u w:val="single"/>
    </w:rPr>
  </w:style>
  <w:style w:type="character" w:styleId="UnresolvedMention">
    <w:name w:val="Unresolved Mention"/>
    <w:basedOn w:val="DefaultParagraphFont"/>
    <w:uiPriority w:val="99"/>
    <w:semiHidden/>
    <w:unhideWhenUsed/>
    <w:rsid w:val="00B2356C"/>
    <w:rPr>
      <w:color w:val="605E5C"/>
      <w:shd w:val="clear" w:color="auto" w:fill="E1DFDD"/>
    </w:rPr>
  </w:style>
  <w:style w:type="paragraph" w:styleId="Header">
    <w:name w:val="header"/>
    <w:basedOn w:val="Normal"/>
    <w:link w:val="HeaderChar"/>
    <w:uiPriority w:val="99"/>
    <w:unhideWhenUsed/>
    <w:rsid w:val="002C359F"/>
    <w:pPr>
      <w:tabs>
        <w:tab w:val="center" w:pos="4680"/>
        <w:tab w:val="right" w:pos="9360"/>
      </w:tabs>
      <w:spacing w:line="240" w:lineRule="auto"/>
    </w:pPr>
  </w:style>
  <w:style w:type="character" w:customStyle="1" w:styleId="HeaderChar">
    <w:name w:val="Header Char"/>
    <w:basedOn w:val="DefaultParagraphFont"/>
    <w:link w:val="Header"/>
    <w:uiPriority w:val="99"/>
    <w:rsid w:val="002C359F"/>
  </w:style>
  <w:style w:type="paragraph" w:styleId="Footer">
    <w:name w:val="footer"/>
    <w:basedOn w:val="Normal"/>
    <w:link w:val="FooterChar"/>
    <w:uiPriority w:val="99"/>
    <w:unhideWhenUsed/>
    <w:rsid w:val="002C359F"/>
    <w:pPr>
      <w:tabs>
        <w:tab w:val="center" w:pos="4680"/>
        <w:tab w:val="right" w:pos="9360"/>
      </w:tabs>
      <w:spacing w:line="240" w:lineRule="auto"/>
    </w:pPr>
  </w:style>
  <w:style w:type="character" w:customStyle="1" w:styleId="FooterChar">
    <w:name w:val="Footer Char"/>
    <w:basedOn w:val="DefaultParagraphFont"/>
    <w:link w:val="Footer"/>
    <w:uiPriority w:val="99"/>
    <w:rsid w:val="002C359F"/>
  </w:style>
  <w:style w:type="paragraph" w:styleId="NoSpacing">
    <w:name w:val="No Spacing"/>
    <w:uiPriority w:val="1"/>
    <w:qFormat/>
    <w:rsid w:val="009C4318"/>
    <w:pPr>
      <w:spacing w:line="240" w:lineRule="auto"/>
    </w:pPr>
    <w:rPr>
      <w:rFonts w:asciiTheme="minorHAnsi" w:eastAsiaTheme="minorHAnsi" w:hAnsiTheme="minorHAnsi" w:cstheme="minorBidi"/>
      <w:lang w:val="en-GB" w:eastAsia="en-US"/>
    </w:rPr>
  </w:style>
  <w:style w:type="paragraph" w:styleId="NormalWeb">
    <w:name w:val="Normal (Web)"/>
    <w:basedOn w:val="Normal"/>
    <w:uiPriority w:val="99"/>
    <w:unhideWhenUsed/>
    <w:rsid w:val="00963A18"/>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963A18"/>
    <w:rPr>
      <w:b/>
      <w:bCs/>
    </w:rPr>
  </w:style>
  <w:style w:type="paragraph" w:styleId="z-TopofForm">
    <w:name w:val="HTML Top of Form"/>
    <w:basedOn w:val="Normal"/>
    <w:next w:val="Normal"/>
    <w:link w:val="z-TopofFormChar"/>
    <w:hidden/>
    <w:uiPriority w:val="99"/>
    <w:semiHidden/>
    <w:unhideWhenUsed/>
    <w:rsid w:val="0070370B"/>
    <w:pPr>
      <w:pBdr>
        <w:bottom w:val="single" w:sz="6" w:space="1" w:color="auto"/>
      </w:pBdr>
      <w:spacing w:line="240" w:lineRule="auto"/>
      <w:jc w:val="center"/>
    </w:pPr>
    <w:rPr>
      <w:rFonts w:eastAsia="Times New Roman"/>
      <w:vanish/>
      <w:sz w:val="16"/>
      <w:szCs w:val="16"/>
      <w:lang w:val="en-US" w:eastAsia="en-US"/>
    </w:rPr>
  </w:style>
  <w:style w:type="character" w:customStyle="1" w:styleId="z-TopofFormChar">
    <w:name w:val="z-Top of Form Char"/>
    <w:basedOn w:val="DefaultParagraphFont"/>
    <w:link w:val="z-TopofForm"/>
    <w:uiPriority w:val="99"/>
    <w:semiHidden/>
    <w:rsid w:val="0070370B"/>
    <w:rPr>
      <w:rFonts w:eastAsia="Times New Roman"/>
      <w:vanish/>
      <w:sz w:val="16"/>
      <w:szCs w:val="16"/>
      <w:lang w:val="en-US" w:eastAsia="en-US"/>
    </w:rPr>
  </w:style>
  <w:style w:type="paragraph" w:customStyle="1" w:styleId="placeholder">
    <w:name w:val="placeholder"/>
    <w:basedOn w:val="Normal"/>
    <w:rsid w:val="0070370B"/>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z-BottomofForm">
    <w:name w:val="HTML Bottom of Form"/>
    <w:basedOn w:val="Normal"/>
    <w:next w:val="Normal"/>
    <w:link w:val="z-BottomofFormChar"/>
    <w:hidden/>
    <w:uiPriority w:val="99"/>
    <w:semiHidden/>
    <w:unhideWhenUsed/>
    <w:rsid w:val="0070370B"/>
    <w:pPr>
      <w:pBdr>
        <w:top w:val="single" w:sz="6" w:space="1" w:color="auto"/>
      </w:pBdr>
      <w:spacing w:line="240" w:lineRule="auto"/>
      <w:jc w:val="center"/>
    </w:pPr>
    <w:rPr>
      <w:rFonts w:eastAsia="Times New Roman"/>
      <w:vanish/>
      <w:sz w:val="16"/>
      <w:szCs w:val="16"/>
      <w:lang w:val="en-US" w:eastAsia="en-US"/>
    </w:rPr>
  </w:style>
  <w:style w:type="character" w:customStyle="1" w:styleId="z-BottomofFormChar">
    <w:name w:val="z-Bottom of Form Char"/>
    <w:basedOn w:val="DefaultParagraphFont"/>
    <w:link w:val="z-BottomofForm"/>
    <w:uiPriority w:val="99"/>
    <w:semiHidden/>
    <w:rsid w:val="0070370B"/>
    <w:rPr>
      <w:rFonts w:eastAsia="Times New Roman"/>
      <w:vanish/>
      <w:sz w:val="16"/>
      <w:szCs w:val="16"/>
      <w:lang w:val="en-US" w:eastAsia="en-US"/>
    </w:rPr>
  </w:style>
  <w:style w:type="character" w:customStyle="1" w:styleId="whitespace-normal">
    <w:name w:val="whitespace-normal"/>
    <w:basedOn w:val="DefaultParagraphFont"/>
    <w:rsid w:val="00D42F69"/>
  </w:style>
  <w:style w:type="character" w:styleId="Emphasis">
    <w:name w:val="Emphasis"/>
    <w:basedOn w:val="DefaultParagraphFont"/>
    <w:uiPriority w:val="20"/>
    <w:qFormat/>
    <w:rsid w:val="00CE1D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4678755">
      <w:bodyDiv w:val="1"/>
      <w:marLeft w:val="0"/>
      <w:marRight w:val="0"/>
      <w:marTop w:val="0"/>
      <w:marBottom w:val="0"/>
      <w:divBdr>
        <w:top w:val="none" w:sz="0" w:space="0" w:color="auto"/>
        <w:left w:val="none" w:sz="0" w:space="0" w:color="auto"/>
        <w:bottom w:val="none" w:sz="0" w:space="0" w:color="auto"/>
        <w:right w:val="none" w:sz="0" w:space="0" w:color="auto"/>
      </w:divBdr>
    </w:div>
    <w:div w:id="330303271">
      <w:bodyDiv w:val="1"/>
      <w:marLeft w:val="0"/>
      <w:marRight w:val="0"/>
      <w:marTop w:val="0"/>
      <w:marBottom w:val="0"/>
      <w:divBdr>
        <w:top w:val="none" w:sz="0" w:space="0" w:color="auto"/>
        <w:left w:val="none" w:sz="0" w:space="0" w:color="auto"/>
        <w:bottom w:val="none" w:sz="0" w:space="0" w:color="auto"/>
        <w:right w:val="none" w:sz="0" w:space="0" w:color="auto"/>
      </w:divBdr>
    </w:div>
    <w:div w:id="338700165">
      <w:bodyDiv w:val="1"/>
      <w:marLeft w:val="0"/>
      <w:marRight w:val="0"/>
      <w:marTop w:val="0"/>
      <w:marBottom w:val="0"/>
      <w:divBdr>
        <w:top w:val="none" w:sz="0" w:space="0" w:color="auto"/>
        <w:left w:val="none" w:sz="0" w:space="0" w:color="auto"/>
        <w:bottom w:val="none" w:sz="0" w:space="0" w:color="auto"/>
        <w:right w:val="none" w:sz="0" w:space="0" w:color="auto"/>
      </w:divBdr>
    </w:div>
    <w:div w:id="437410400">
      <w:bodyDiv w:val="1"/>
      <w:marLeft w:val="0"/>
      <w:marRight w:val="0"/>
      <w:marTop w:val="0"/>
      <w:marBottom w:val="0"/>
      <w:divBdr>
        <w:top w:val="none" w:sz="0" w:space="0" w:color="auto"/>
        <w:left w:val="none" w:sz="0" w:space="0" w:color="auto"/>
        <w:bottom w:val="none" w:sz="0" w:space="0" w:color="auto"/>
        <w:right w:val="none" w:sz="0" w:space="0" w:color="auto"/>
      </w:divBdr>
      <w:divsChild>
        <w:div w:id="1410228361">
          <w:marLeft w:val="0"/>
          <w:marRight w:val="0"/>
          <w:marTop w:val="0"/>
          <w:marBottom w:val="0"/>
          <w:divBdr>
            <w:top w:val="none" w:sz="0" w:space="0" w:color="auto"/>
            <w:left w:val="none" w:sz="0" w:space="0" w:color="auto"/>
            <w:bottom w:val="none" w:sz="0" w:space="0" w:color="auto"/>
            <w:right w:val="none" w:sz="0" w:space="0" w:color="auto"/>
          </w:divBdr>
          <w:divsChild>
            <w:div w:id="30617689">
              <w:marLeft w:val="0"/>
              <w:marRight w:val="0"/>
              <w:marTop w:val="0"/>
              <w:marBottom w:val="0"/>
              <w:divBdr>
                <w:top w:val="none" w:sz="0" w:space="0" w:color="auto"/>
                <w:left w:val="none" w:sz="0" w:space="0" w:color="auto"/>
                <w:bottom w:val="none" w:sz="0" w:space="0" w:color="auto"/>
                <w:right w:val="none" w:sz="0" w:space="0" w:color="auto"/>
              </w:divBdr>
              <w:divsChild>
                <w:div w:id="151483754">
                  <w:marLeft w:val="0"/>
                  <w:marRight w:val="0"/>
                  <w:marTop w:val="0"/>
                  <w:marBottom w:val="0"/>
                  <w:divBdr>
                    <w:top w:val="none" w:sz="0" w:space="0" w:color="auto"/>
                    <w:left w:val="none" w:sz="0" w:space="0" w:color="auto"/>
                    <w:bottom w:val="none" w:sz="0" w:space="0" w:color="auto"/>
                    <w:right w:val="none" w:sz="0" w:space="0" w:color="auto"/>
                  </w:divBdr>
                  <w:divsChild>
                    <w:div w:id="1660618002">
                      <w:marLeft w:val="0"/>
                      <w:marRight w:val="0"/>
                      <w:marTop w:val="0"/>
                      <w:marBottom w:val="0"/>
                      <w:divBdr>
                        <w:top w:val="none" w:sz="0" w:space="0" w:color="auto"/>
                        <w:left w:val="none" w:sz="0" w:space="0" w:color="auto"/>
                        <w:bottom w:val="none" w:sz="0" w:space="0" w:color="auto"/>
                        <w:right w:val="none" w:sz="0" w:space="0" w:color="auto"/>
                      </w:divBdr>
                      <w:divsChild>
                        <w:div w:id="480394240">
                          <w:marLeft w:val="0"/>
                          <w:marRight w:val="0"/>
                          <w:marTop w:val="0"/>
                          <w:marBottom w:val="0"/>
                          <w:divBdr>
                            <w:top w:val="none" w:sz="0" w:space="0" w:color="auto"/>
                            <w:left w:val="none" w:sz="0" w:space="0" w:color="auto"/>
                            <w:bottom w:val="none" w:sz="0" w:space="0" w:color="auto"/>
                            <w:right w:val="none" w:sz="0" w:space="0" w:color="auto"/>
                          </w:divBdr>
                          <w:divsChild>
                            <w:div w:id="1213031352">
                              <w:marLeft w:val="0"/>
                              <w:marRight w:val="0"/>
                              <w:marTop w:val="0"/>
                              <w:marBottom w:val="0"/>
                              <w:divBdr>
                                <w:top w:val="none" w:sz="0" w:space="0" w:color="auto"/>
                                <w:left w:val="none" w:sz="0" w:space="0" w:color="auto"/>
                                <w:bottom w:val="none" w:sz="0" w:space="0" w:color="auto"/>
                                <w:right w:val="none" w:sz="0" w:space="0" w:color="auto"/>
                              </w:divBdr>
                              <w:divsChild>
                                <w:div w:id="91720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985008">
      <w:bodyDiv w:val="1"/>
      <w:marLeft w:val="0"/>
      <w:marRight w:val="0"/>
      <w:marTop w:val="0"/>
      <w:marBottom w:val="0"/>
      <w:divBdr>
        <w:top w:val="none" w:sz="0" w:space="0" w:color="auto"/>
        <w:left w:val="none" w:sz="0" w:space="0" w:color="auto"/>
        <w:bottom w:val="none" w:sz="0" w:space="0" w:color="auto"/>
        <w:right w:val="none" w:sz="0" w:space="0" w:color="auto"/>
      </w:divBdr>
    </w:div>
    <w:div w:id="794055520">
      <w:bodyDiv w:val="1"/>
      <w:marLeft w:val="0"/>
      <w:marRight w:val="0"/>
      <w:marTop w:val="0"/>
      <w:marBottom w:val="0"/>
      <w:divBdr>
        <w:top w:val="none" w:sz="0" w:space="0" w:color="auto"/>
        <w:left w:val="none" w:sz="0" w:space="0" w:color="auto"/>
        <w:bottom w:val="none" w:sz="0" w:space="0" w:color="auto"/>
        <w:right w:val="none" w:sz="0" w:space="0" w:color="auto"/>
      </w:divBdr>
    </w:div>
    <w:div w:id="794712171">
      <w:bodyDiv w:val="1"/>
      <w:marLeft w:val="0"/>
      <w:marRight w:val="0"/>
      <w:marTop w:val="0"/>
      <w:marBottom w:val="0"/>
      <w:divBdr>
        <w:top w:val="none" w:sz="0" w:space="0" w:color="auto"/>
        <w:left w:val="none" w:sz="0" w:space="0" w:color="auto"/>
        <w:bottom w:val="none" w:sz="0" w:space="0" w:color="auto"/>
        <w:right w:val="none" w:sz="0" w:space="0" w:color="auto"/>
      </w:divBdr>
    </w:div>
    <w:div w:id="1095368768">
      <w:bodyDiv w:val="1"/>
      <w:marLeft w:val="0"/>
      <w:marRight w:val="0"/>
      <w:marTop w:val="0"/>
      <w:marBottom w:val="0"/>
      <w:divBdr>
        <w:top w:val="none" w:sz="0" w:space="0" w:color="auto"/>
        <w:left w:val="none" w:sz="0" w:space="0" w:color="auto"/>
        <w:bottom w:val="none" w:sz="0" w:space="0" w:color="auto"/>
        <w:right w:val="none" w:sz="0" w:space="0" w:color="auto"/>
      </w:divBdr>
    </w:div>
    <w:div w:id="1609236783">
      <w:bodyDiv w:val="1"/>
      <w:marLeft w:val="0"/>
      <w:marRight w:val="0"/>
      <w:marTop w:val="0"/>
      <w:marBottom w:val="0"/>
      <w:divBdr>
        <w:top w:val="none" w:sz="0" w:space="0" w:color="auto"/>
        <w:left w:val="none" w:sz="0" w:space="0" w:color="auto"/>
        <w:bottom w:val="none" w:sz="0" w:space="0" w:color="auto"/>
        <w:right w:val="none" w:sz="0" w:space="0" w:color="auto"/>
      </w:divBdr>
      <w:divsChild>
        <w:div w:id="1781335643">
          <w:marLeft w:val="0"/>
          <w:marRight w:val="0"/>
          <w:marTop w:val="0"/>
          <w:marBottom w:val="0"/>
          <w:divBdr>
            <w:top w:val="none" w:sz="0" w:space="0" w:color="auto"/>
            <w:left w:val="none" w:sz="0" w:space="0" w:color="auto"/>
            <w:bottom w:val="none" w:sz="0" w:space="0" w:color="auto"/>
            <w:right w:val="none" w:sz="0" w:space="0" w:color="auto"/>
          </w:divBdr>
          <w:divsChild>
            <w:div w:id="680208593">
              <w:marLeft w:val="0"/>
              <w:marRight w:val="0"/>
              <w:marTop w:val="0"/>
              <w:marBottom w:val="0"/>
              <w:divBdr>
                <w:top w:val="none" w:sz="0" w:space="0" w:color="auto"/>
                <w:left w:val="none" w:sz="0" w:space="0" w:color="auto"/>
                <w:bottom w:val="none" w:sz="0" w:space="0" w:color="auto"/>
                <w:right w:val="none" w:sz="0" w:space="0" w:color="auto"/>
              </w:divBdr>
              <w:divsChild>
                <w:div w:id="311759340">
                  <w:marLeft w:val="0"/>
                  <w:marRight w:val="0"/>
                  <w:marTop w:val="0"/>
                  <w:marBottom w:val="0"/>
                  <w:divBdr>
                    <w:top w:val="none" w:sz="0" w:space="0" w:color="auto"/>
                    <w:left w:val="none" w:sz="0" w:space="0" w:color="auto"/>
                    <w:bottom w:val="none" w:sz="0" w:space="0" w:color="auto"/>
                    <w:right w:val="none" w:sz="0" w:space="0" w:color="auto"/>
                  </w:divBdr>
                  <w:divsChild>
                    <w:div w:id="1462846913">
                      <w:marLeft w:val="0"/>
                      <w:marRight w:val="0"/>
                      <w:marTop w:val="0"/>
                      <w:marBottom w:val="0"/>
                      <w:divBdr>
                        <w:top w:val="none" w:sz="0" w:space="0" w:color="auto"/>
                        <w:left w:val="none" w:sz="0" w:space="0" w:color="auto"/>
                        <w:bottom w:val="none" w:sz="0" w:space="0" w:color="auto"/>
                        <w:right w:val="none" w:sz="0" w:space="0" w:color="auto"/>
                      </w:divBdr>
                      <w:divsChild>
                        <w:div w:id="394427726">
                          <w:marLeft w:val="0"/>
                          <w:marRight w:val="0"/>
                          <w:marTop w:val="0"/>
                          <w:marBottom w:val="0"/>
                          <w:divBdr>
                            <w:top w:val="none" w:sz="0" w:space="0" w:color="auto"/>
                            <w:left w:val="none" w:sz="0" w:space="0" w:color="auto"/>
                            <w:bottom w:val="none" w:sz="0" w:space="0" w:color="auto"/>
                            <w:right w:val="none" w:sz="0" w:space="0" w:color="auto"/>
                          </w:divBdr>
                          <w:divsChild>
                            <w:div w:id="388462087">
                              <w:marLeft w:val="0"/>
                              <w:marRight w:val="0"/>
                              <w:marTop w:val="0"/>
                              <w:marBottom w:val="0"/>
                              <w:divBdr>
                                <w:top w:val="none" w:sz="0" w:space="0" w:color="auto"/>
                                <w:left w:val="none" w:sz="0" w:space="0" w:color="auto"/>
                                <w:bottom w:val="none" w:sz="0" w:space="0" w:color="auto"/>
                                <w:right w:val="none" w:sz="0" w:space="0" w:color="auto"/>
                              </w:divBdr>
                              <w:divsChild>
                                <w:div w:id="2242024">
                                  <w:marLeft w:val="0"/>
                                  <w:marRight w:val="0"/>
                                  <w:marTop w:val="0"/>
                                  <w:marBottom w:val="0"/>
                                  <w:divBdr>
                                    <w:top w:val="none" w:sz="0" w:space="0" w:color="auto"/>
                                    <w:left w:val="none" w:sz="0" w:space="0" w:color="auto"/>
                                    <w:bottom w:val="none" w:sz="0" w:space="0" w:color="auto"/>
                                    <w:right w:val="none" w:sz="0" w:space="0" w:color="auto"/>
                                  </w:divBdr>
                                  <w:divsChild>
                                    <w:div w:id="897476547">
                                      <w:marLeft w:val="0"/>
                                      <w:marRight w:val="0"/>
                                      <w:marTop w:val="0"/>
                                      <w:marBottom w:val="0"/>
                                      <w:divBdr>
                                        <w:top w:val="none" w:sz="0" w:space="0" w:color="auto"/>
                                        <w:left w:val="none" w:sz="0" w:space="0" w:color="auto"/>
                                        <w:bottom w:val="none" w:sz="0" w:space="0" w:color="auto"/>
                                        <w:right w:val="none" w:sz="0" w:space="0" w:color="auto"/>
                                      </w:divBdr>
                                      <w:divsChild>
                                        <w:div w:id="9452459">
                                          <w:marLeft w:val="0"/>
                                          <w:marRight w:val="0"/>
                                          <w:marTop w:val="0"/>
                                          <w:marBottom w:val="0"/>
                                          <w:divBdr>
                                            <w:top w:val="none" w:sz="0" w:space="0" w:color="auto"/>
                                            <w:left w:val="none" w:sz="0" w:space="0" w:color="auto"/>
                                            <w:bottom w:val="none" w:sz="0" w:space="0" w:color="auto"/>
                                            <w:right w:val="none" w:sz="0" w:space="0" w:color="auto"/>
                                          </w:divBdr>
                                          <w:divsChild>
                                            <w:div w:id="924268084">
                                              <w:marLeft w:val="0"/>
                                              <w:marRight w:val="0"/>
                                              <w:marTop w:val="0"/>
                                              <w:marBottom w:val="0"/>
                                              <w:divBdr>
                                                <w:top w:val="none" w:sz="0" w:space="0" w:color="auto"/>
                                                <w:left w:val="none" w:sz="0" w:space="0" w:color="auto"/>
                                                <w:bottom w:val="none" w:sz="0" w:space="0" w:color="auto"/>
                                                <w:right w:val="none" w:sz="0" w:space="0" w:color="auto"/>
                                              </w:divBdr>
                                              <w:divsChild>
                                                <w:div w:id="1145243887">
                                                  <w:marLeft w:val="0"/>
                                                  <w:marRight w:val="0"/>
                                                  <w:marTop w:val="0"/>
                                                  <w:marBottom w:val="0"/>
                                                  <w:divBdr>
                                                    <w:top w:val="none" w:sz="0" w:space="0" w:color="auto"/>
                                                    <w:left w:val="none" w:sz="0" w:space="0" w:color="auto"/>
                                                    <w:bottom w:val="none" w:sz="0" w:space="0" w:color="auto"/>
                                                    <w:right w:val="none" w:sz="0" w:space="0" w:color="auto"/>
                                                  </w:divBdr>
                                                  <w:divsChild>
                                                    <w:div w:id="1536649185">
                                                      <w:marLeft w:val="0"/>
                                                      <w:marRight w:val="0"/>
                                                      <w:marTop w:val="0"/>
                                                      <w:marBottom w:val="0"/>
                                                      <w:divBdr>
                                                        <w:top w:val="none" w:sz="0" w:space="0" w:color="auto"/>
                                                        <w:left w:val="none" w:sz="0" w:space="0" w:color="auto"/>
                                                        <w:bottom w:val="none" w:sz="0" w:space="0" w:color="auto"/>
                                                        <w:right w:val="none" w:sz="0" w:space="0" w:color="auto"/>
                                                      </w:divBdr>
                                                      <w:divsChild>
                                                        <w:div w:id="755633585">
                                                          <w:marLeft w:val="0"/>
                                                          <w:marRight w:val="0"/>
                                                          <w:marTop w:val="0"/>
                                                          <w:marBottom w:val="0"/>
                                                          <w:divBdr>
                                                            <w:top w:val="none" w:sz="0" w:space="0" w:color="auto"/>
                                                            <w:left w:val="none" w:sz="0" w:space="0" w:color="auto"/>
                                                            <w:bottom w:val="none" w:sz="0" w:space="0" w:color="auto"/>
                                                            <w:right w:val="none" w:sz="0" w:space="0" w:color="auto"/>
                                                          </w:divBdr>
                                                          <w:divsChild>
                                                            <w:div w:id="1936597683">
                                                              <w:marLeft w:val="0"/>
                                                              <w:marRight w:val="0"/>
                                                              <w:marTop w:val="0"/>
                                                              <w:marBottom w:val="0"/>
                                                              <w:divBdr>
                                                                <w:top w:val="none" w:sz="0" w:space="0" w:color="auto"/>
                                                                <w:left w:val="none" w:sz="0" w:space="0" w:color="auto"/>
                                                                <w:bottom w:val="none" w:sz="0" w:space="0" w:color="auto"/>
                                                                <w:right w:val="none" w:sz="0" w:space="0" w:color="auto"/>
                                                              </w:divBdr>
                                                              <w:divsChild>
                                                                <w:div w:id="144110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946300">
                                      <w:marLeft w:val="0"/>
                                      <w:marRight w:val="0"/>
                                      <w:marTop w:val="0"/>
                                      <w:marBottom w:val="0"/>
                                      <w:divBdr>
                                        <w:top w:val="none" w:sz="0" w:space="0" w:color="auto"/>
                                        <w:left w:val="none" w:sz="0" w:space="0" w:color="auto"/>
                                        <w:bottom w:val="none" w:sz="0" w:space="0" w:color="auto"/>
                                        <w:right w:val="none" w:sz="0" w:space="0" w:color="auto"/>
                                      </w:divBdr>
                                      <w:divsChild>
                                        <w:div w:id="268047181">
                                          <w:marLeft w:val="0"/>
                                          <w:marRight w:val="0"/>
                                          <w:marTop w:val="0"/>
                                          <w:marBottom w:val="0"/>
                                          <w:divBdr>
                                            <w:top w:val="none" w:sz="0" w:space="0" w:color="auto"/>
                                            <w:left w:val="none" w:sz="0" w:space="0" w:color="auto"/>
                                            <w:bottom w:val="none" w:sz="0" w:space="0" w:color="auto"/>
                                            <w:right w:val="none" w:sz="0" w:space="0" w:color="auto"/>
                                          </w:divBdr>
                                          <w:divsChild>
                                            <w:div w:id="1789272610">
                                              <w:marLeft w:val="0"/>
                                              <w:marRight w:val="0"/>
                                              <w:marTop w:val="0"/>
                                              <w:marBottom w:val="0"/>
                                              <w:divBdr>
                                                <w:top w:val="none" w:sz="0" w:space="0" w:color="auto"/>
                                                <w:left w:val="none" w:sz="0" w:space="0" w:color="auto"/>
                                                <w:bottom w:val="none" w:sz="0" w:space="0" w:color="auto"/>
                                                <w:right w:val="none" w:sz="0" w:space="0" w:color="auto"/>
                                              </w:divBdr>
                                              <w:divsChild>
                                                <w:div w:id="1880705709">
                                                  <w:marLeft w:val="0"/>
                                                  <w:marRight w:val="0"/>
                                                  <w:marTop w:val="0"/>
                                                  <w:marBottom w:val="0"/>
                                                  <w:divBdr>
                                                    <w:top w:val="none" w:sz="0" w:space="0" w:color="auto"/>
                                                    <w:left w:val="none" w:sz="0" w:space="0" w:color="auto"/>
                                                    <w:bottom w:val="none" w:sz="0" w:space="0" w:color="auto"/>
                                                    <w:right w:val="none" w:sz="0" w:space="0" w:color="auto"/>
                                                  </w:divBdr>
                                                  <w:divsChild>
                                                    <w:div w:id="1012685803">
                                                      <w:marLeft w:val="0"/>
                                                      <w:marRight w:val="0"/>
                                                      <w:marTop w:val="0"/>
                                                      <w:marBottom w:val="0"/>
                                                      <w:divBdr>
                                                        <w:top w:val="none" w:sz="0" w:space="0" w:color="auto"/>
                                                        <w:left w:val="none" w:sz="0" w:space="0" w:color="auto"/>
                                                        <w:bottom w:val="none" w:sz="0" w:space="0" w:color="auto"/>
                                                        <w:right w:val="none" w:sz="0" w:space="0" w:color="auto"/>
                                                      </w:divBdr>
                                                      <w:divsChild>
                                                        <w:div w:id="1052273790">
                                                          <w:marLeft w:val="0"/>
                                                          <w:marRight w:val="0"/>
                                                          <w:marTop w:val="0"/>
                                                          <w:marBottom w:val="0"/>
                                                          <w:divBdr>
                                                            <w:top w:val="none" w:sz="0" w:space="0" w:color="auto"/>
                                                            <w:left w:val="none" w:sz="0" w:space="0" w:color="auto"/>
                                                            <w:bottom w:val="none" w:sz="0" w:space="0" w:color="auto"/>
                                                            <w:right w:val="none" w:sz="0" w:space="0" w:color="auto"/>
                                                          </w:divBdr>
                                                          <w:divsChild>
                                                            <w:div w:id="801114665">
                                                              <w:marLeft w:val="0"/>
                                                              <w:marRight w:val="0"/>
                                                              <w:marTop w:val="0"/>
                                                              <w:marBottom w:val="0"/>
                                                              <w:divBdr>
                                                                <w:top w:val="none" w:sz="0" w:space="0" w:color="auto"/>
                                                                <w:left w:val="none" w:sz="0" w:space="0" w:color="auto"/>
                                                                <w:bottom w:val="none" w:sz="0" w:space="0" w:color="auto"/>
                                                                <w:right w:val="none" w:sz="0" w:space="0" w:color="auto"/>
                                                              </w:divBdr>
                                                              <w:divsChild>
                                                                <w:div w:id="1135492575">
                                                                  <w:marLeft w:val="0"/>
                                                                  <w:marRight w:val="0"/>
                                                                  <w:marTop w:val="0"/>
                                                                  <w:marBottom w:val="0"/>
                                                                  <w:divBdr>
                                                                    <w:top w:val="none" w:sz="0" w:space="0" w:color="auto"/>
                                                                    <w:left w:val="none" w:sz="0" w:space="0" w:color="auto"/>
                                                                    <w:bottom w:val="none" w:sz="0" w:space="0" w:color="auto"/>
                                                                    <w:right w:val="none" w:sz="0" w:space="0" w:color="auto"/>
                                                                  </w:divBdr>
                                                                  <w:divsChild>
                                                                    <w:div w:id="2081632578">
                                                                      <w:marLeft w:val="0"/>
                                                                      <w:marRight w:val="0"/>
                                                                      <w:marTop w:val="0"/>
                                                                      <w:marBottom w:val="0"/>
                                                                      <w:divBdr>
                                                                        <w:top w:val="none" w:sz="0" w:space="0" w:color="auto"/>
                                                                        <w:left w:val="none" w:sz="0" w:space="0" w:color="auto"/>
                                                                        <w:bottom w:val="none" w:sz="0" w:space="0" w:color="auto"/>
                                                                        <w:right w:val="none" w:sz="0" w:space="0" w:color="auto"/>
                                                                      </w:divBdr>
                                                                      <w:divsChild>
                                                                        <w:div w:id="94982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6396443">
      <w:bodyDiv w:val="1"/>
      <w:marLeft w:val="0"/>
      <w:marRight w:val="0"/>
      <w:marTop w:val="0"/>
      <w:marBottom w:val="0"/>
      <w:divBdr>
        <w:top w:val="none" w:sz="0" w:space="0" w:color="auto"/>
        <w:left w:val="none" w:sz="0" w:space="0" w:color="auto"/>
        <w:bottom w:val="none" w:sz="0" w:space="0" w:color="auto"/>
        <w:right w:val="none" w:sz="0" w:space="0" w:color="auto"/>
      </w:divBdr>
    </w:div>
    <w:div w:id="2043020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9/heq.2019.0057" TargetMode="External"/><Relationship Id="rId18" Type="http://schemas.openxmlformats.org/officeDocument/2006/relationships/hyperlink" Target="https://doi.org/10.1245/s10434-023-13353-2" TargetMode="External"/><Relationship Id="rId26" Type="http://schemas.openxmlformats.org/officeDocument/2006/relationships/hyperlink" Target="https://doi.org/10.1001/jamanetworkopen.2018.0484" TargetMode="External"/><Relationship Id="rId39" Type="http://schemas.openxmlformats.org/officeDocument/2006/relationships/fontTable" Target="fontTable.xml"/><Relationship Id="rId21" Type="http://schemas.openxmlformats.org/officeDocument/2006/relationships/hyperlink" Target="http://pubmed.ncbi.nlm.nih.gov" TargetMode="External"/><Relationship Id="rId34" Type="http://schemas.openxmlformats.org/officeDocument/2006/relationships/hyperlink" Target="https://doi.org/10.1016/S0140-6736(16)32409-6" TargetMode="External"/><Relationship Id="rId7" Type="http://schemas.openxmlformats.org/officeDocument/2006/relationships/image" Target="media/image1.png"/><Relationship Id="rId12" Type="http://schemas.openxmlformats.org/officeDocument/2006/relationships/hyperlink" Target="https://doi.org/10.1073/pnas.2523039122" TargetMode="External"/><Relationship Id="rId17" Type="http://schemas.openxmlformats.org/officeDocument/2006/relationships/hyperlink" Target="https://doi.org/10.62347/TQRB4608" TargetMode="External"/><Relationship Id="rId25" Type="http://schemas.openxmlformats.org/officeDocument/2006/relationships/hyperlink" Target="https://doi.org/10.1093/jnci/djy221" TargetMode="External"/><Relationship Id="rId33" Type="http://schemas.openxmlformats.org/officeDocument/2006/relationships/hyperlink" Target="https://doi.org/10.1056/NEJMoa1011923"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1186/s12957-025-04115-3" TargetMode="External"/><Relationship Id="rId20" Type="http://schemas.openxmlformats.org/officeDocument/2006/relationships/hyperlink" Target="http://mdpi.com" TargetMode="External"/><Relationship Id="rId29" Type="http://schemas.openxmlformats.org/officeDocument/2006/relationships/hyperlink" Target="https://doi.org/10.1186/s13059-017-1215-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immu.2025.1573522" TargetMode="External"/><Relationship Id="rId24" Type="http://schemas.openxmlformats.org/officeDocument/2006/relationships/hyperlink" Target="https://doi.org/10.3389/fonc.2019.01443" TargetMode="External"/><Relationship Id="rId32" Type="http://schemas.openxmlformats.org/officeDocument/2006/relationships/hyperlink" Target="https://doi.org/10.1056/NEJMoa1903387"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390/life15121848" TargetMode="External"/><Relationship Id="rId23" Type="http://schemas.openxmlformats.org/officeDocument/2006/relationships/hyperlink" Target="https://doi.org/10.1002/cac2.12335" TargetMode="External"/><Relationship Id="rId28" Type="http://schemas.openxmlformats.org/officeDocument/2006/relationships/hyperlink" Target="https://doi.org/10.1001/jamaoncol.2017.5618" TargetMode="External"/><Relationship Id="rId36" Type="http://schemas.openxmlformats.org/officeDocument/2006/relationships/header" Target="header1.xml"/><Relationship Id="rId10" Type="http://schemas.openxmlformats.org/officeDocument/2006/relationships/hyperlink" Target="https://doi.org/10.3390/ijms25052860" TargetMode="External"/><Relationship Id="rId19" Type="http://schemas.openxmlformats.org/officeDocument/2006/relationships/hyperlink" Target="http://pmc.ncbi.nlm.nih.gov" TargetMode="External"/><Relationship Id="rId31" Type="http://schemas.openxmlformats.org/officeDocument/2006/relationships/hyperlink" Target="https://doi.org/10.1038/s41586-019-1694-1" TargetMode="External"/><Relationship Id="rId4" Type="http://schemas.openxmlformats.org/officeDocument/2006/relationships/webSettings" Target="webSettings.xml"/><Relationship Id="rId9" Type="http://schemas.openxmlformats.org/officeDocument/2006/relationships/hyperlink" Target="https://doi.org/10.1186/s12916-016-0654-y" TargetMode="External"/><Relationship Id="rId14" Type="http://schemas.openxmlformats.org/officeDocument/2006/relationships/hyperlink" Target="https://doi.org/10.3390/onco5030037" TargetMode="External"/><Relationship Id="rId22" Type="http://schemas.openxmlformats.org/officeDocument/2006/relationships/hyperlink" Target="https://doi.org/10.3390/cancers15113027" TargetMode="External"/><Relationship Id="rId27" Type="http://schemas.openxmlformats.org/officeDocument/2006/relationships/hyperlink" Target="https://doi.org/10.1093/biostatistics/kxx069" TargetMode="External"/><Relationship Id="rId30" Type="http://schemas.openxmlformats.org/officeDocument/2006/relationships/hyperlink" Target="https://doi.org/10.1038/nrd4389" TargetMode="External"/><Relationship Id="rId35" Type="http://schemas.openxmlformats.org/officeDocument/2006/relationships/hyperlink" Target="https://doi.org/10.3390/healthcare12111057" TargetMode="External"/><Relationship Id="rId8" Type="http://schemas.openxmlformats.org/officeDocument/2006/relationships/hyperlink" Target="https://doi.org/10.1111/1467-9566.13719"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33</Pages>
  <Words>12150</Words>
  <Characters>69258</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1158</cp:lastModifiedBy>
  <cp:revision>5</cp:revision>
  <dcterms:created xsi:type="dcterms:W3CDTF">2026-02-25T04:42:00Z</dcterms:created>
  <dcterms:modified xsi:type="dcterms:W3CDTF">2026-02-26T09:54:00Z</dcterms:modified>
</cp:coreProperties>
</file>