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3CA69" w14:textId="56BBA64B" w:rsidR="00AE5159" w:rsidRDefault="00AE5159" w:rsidP="00F73A09">
      <w:pPr>
        <w:jc w:val="center"/>
        <w:rPr>
          <w:b/>
          <w:bCs/>
          <w:sz w:val="28"/>
          <w:szCs w:val="28"/>
          <w:lang w:val="en-GB"/>
        </w:rPr>
      </w:pPr>
      <w:r w:rsidRPr="00AE5159">
        <w:rPr>
          <w:b/>
          <w:bCs/>
          <w:sz w:val="28"/>
          <w:szCs w:val="28"/>
          <w:lang w:val="en-GB"/>
        </w:rPr>
        <w:t xml:space="preserve">Plasma Glutamic Acid Levels and their association with cancer progression </w:t>
      </w:r>
    </w:p>
    <w:p w14:paraId="77E75E43" w14:textId="77777777" w:rsidR="00647498" w:rsidRPr="00AE5159" w:rsidRDefault="00647498" w:rsidP="00F73A09">
      <w:pPr>
        <w:jc w:val="center"/>
        <w:rPr>
          <w:b/>
          <w:bCs/>
          <w:sz w:val="28"/>
          <w:szCs w:val="28"/>
          <w:lang w:val="en-GB"/>
        </w:rPr>
      </w:pPr>
    </w:p>
    <w:p w14:paraId="41F60FFF" w14:textId="02183A70" w:rsidR="00F73A09" w:rsidRDefault="00F73A09" w:rsidP="00F73A09">
      <w:pPr>
        <w:rPr>
          <w:b/>
          <w:bCs/>
        </w:rPr>
      </w:pPr>
      <w:r w:rsidRPr="00FF7CFC">
        <w:rPr>
          <w:b/>
          <w:bCs/>
        </w:rPr>
        <w:t>A</w:t>
      </w:r>
      <w:r w:rsidR="00092C2F" w:rsidRPr="00FF7CFC">
        <w:rPr>
          <w:b/>
          <w:bCs/>
        </w:rPr>
        <w:t>bstract</w:t>
      </w:r>
    </w:p>
    <w:p w14:paraId="7686852B" w14:textId="77777777" w:rsidR="00647498" w:rsidRPr="00FF7CFC" w:rsidRDefault="00647498" w:rsidP="00F73A09">
      <w:pPr>
        <w:rPr>
          <w:b/>
          <w:bCs/>
        </w:rPr>
      </w:pPr>
    </w:p>
    <w:p w14:paraId="5933133C" w14:textId="77777777" w:rsidR="00686660" w:rsidRPr="00686660" w:rsidRDefault="00686660" w:rsidP="00686660">
      <w:pPr>
        <w:jc w:val="both"/>
        <w:rPr>
          <w:b/>
          <w:bCs/>
        </w:rPr>
      </w:pPr>
      <w:r w:rsidRPr="00686660">
        <w:rPr>
          <w:b/>
          <w:bCs/>
        </w:rPr>
        <w:t>Introduction</w:t>
      </w:r>
    </w:p>
    <w:p w14:paraId="17D080DB" w14:textId="4F53B427" w:rsidR="00F73A09" w:rsidRDefault="00F73A09" w:rsidP="00F73A09">
      <w:pPr>
        <w:jc w:val="both"/>
      </w:pPr>
      <w:r w:rsidRPr="006415D5">
        <w:rPr>
          <w:b/>
          <w:bCs/>
        </w:rPr>
        <w:t>:</w:t>
      </w:r>
      <w:r w:rsidRPr="006415D5">
        <w:t xml:space="preserve"> Cancer remains a major global challenge </w:t>
      </w:r>
      <w:r w:rsidR="00D07D2D" w:rsidRPr="006415D5">
        <w:t>c</w:t>
      </w:r>
      <w:bookmarkStart w:id="0" w:name="_GoBack"/>
      <w:bookmarkEnd w:id="0"/>
      <w:r w:rsidR="00D07D2D" w:rsidRPr="006415D5">
        <w:t>haracterized</w:t>
      </w:r>
      <w:r w:rsidRPr="006415D5">
        <w:t xml:space="preserve"> by uncontrolled cell proliferation and metabolic reprogramming. </w:t>
      </w:r>
      <w:r w:rsidR="00DA3026" w:rsidRPr="00DA3026">
        <w:t>Cancer cells reconfigure their metabolic pathways to sustain rapid proliferation and meet elevated energy demands, with amino acid metabolism being a crucial component of cancer metabolism</w:t>
      </w:r>
      <w:r w:rsidR="0070140B">
        <w:t>.</w:t>
      </w:r>
      <w:r w:rsidR="00DA3026" w:rsidRPr="006415D5">
        <w:t xml:space="preserve"> </w:t>
      </w:r>
      <w:r w:rsidRPr="006415D5">
        <w:t xml:space="preserve">Beyond the traditional somatic theory, emerging evidence supports the mitochondrial metabolic theory of cancer, which attributes disease progression to impaired oxidative phosphorylation and increased reliance on </w:t>
      </w:r>
      <w:proofErr w:type="spellStart"/>
      <w:r w:rsidRPr="006415D5">
        <w:t>glutaminolysis</w:t>
      </w:r>
      <w:proofErr w:type="spellEnd"/>
      <w:r w:rsidRPr="006415D5">
        <w:t>.</w:t>
      </w:r>
      <w:r w:rsidR="00DA3026">
        <w:t xml:space="preserve"> </w:t>
      </w:r>
    </w:p>
    <w:p w14:paraId="09BF4AEE" w14:textId="77777777" w:rsidR="00D81EBF" w:rsidRPr="00D81EBF" w:rsidRDefault="00D81EBF" w:rsidP="00F73A09">
      <w:pPr>
        <w:jc w:val="both"/>
        <w:rPr>
          <w:sz w:val="12"/>
          <w:szCs w:val="12"/>
        </w:rPr>
      </w:pPr>
    </w:p>
    <w:p w14:paraId="34EC1585" w14:textId="5485939B" w:rsidR="00F73A09" w:rsidRDefault="00F73A09" w:rsidP="00F73A09">
      <w:pPr>
        <w:jc w:val="both"/>
      </w:pPr>
      <w:r w:rsidRPr="006415D5">
        <w:rPr>
          <w:b/>
          <w:bCs/>
        </w:rPr>
        <w:t>Aim</w:t>
      </w:r>
      <w:r w:rsidRPr="006415D5">
        <w:t xml:space="preserve">: </w:t>
      </w:r>
      <w:r>
        <w:t>The study aims</w:t>
      </w:r>
      <w:r w:rsidRPr="006415D5">
        <w:t xml:space="preserve"> to evaluate the levels of glutamic acid in cancer patients and healthy </w:t>
      </w:r>
      <w:r w:rsidR="00132AD6">
        <w:rPr>
          <w:lang w:val="en-GB"/>
        </w:rPr>
        <w:t xml:space="preserve">control </w:t>
      </w:r>
      <w:r w:rsidRPr="006415D5">
        <w:t>subjects.</w:t>
      </w:r>
    </w:p>
    <w:p w14:paraId="0B2D7EE4" w14:textId="77777777" w:rsidR="00D81EBF" w:rsidRPr="00D81EBF" w:rsidRDefault="00D81EBF" w:rsidP="00F73A09">
      <w:pPr>
        <w:jc w:val="both"/>
        <w:rPr>
          <w:sz w:val="10"/>
          <w:szCs w:val="10"/>
        </w:rPr>
      </w:pPr>
    </w:p>
    <w:p w14:paraId="60025F7D" w14:textId="6BCB0A85" w:rsidR="00F73A09" w:rsidRPr="00AC34E0" w:rsidRDefault="00F73A09" w:rsidP="00F73A09">
      <w:pPr>
        <w:jc w:val="both"/>
        <w:rPr>
          <w:lang w:val="en-GB"/>
        </w:rPr>
      </w:pPr>
      <w:r w:rsidRPr="006415D5">
        <w:rPr>
          <w:b/>
          <w:bCs/>
        </w:rPr>
        <w:t>Study Design</w:t>
      </w:r>
      <w:r w:rsidRPr="006415D5">
        <w:t>: This was a cross-sectional study</w:t>
      </w:r>
      <w:r w:rsidR="007700A7">
        <w:t xml:space="preserve"> design</w:t>
      </w:r>
      <w:r w:rsidR="00AC34E0">
        <w:rPr>
          <w:lang w:val="en-GB"/>
        </w:rPr>
        <w:t xml:space="preserve"> of cancer patients attending oncology clinic in the hospitals.</w:t>
      </w:r>
    </w:p>
    <w:p w14:paraId="3401F57C" w14:textId="77777777" w:rsidR="00D81EBF" w:rsidRPr="00D81EBF" w:rsidRDefault="00D81EBF" w:rsidP="00F73A09">
      <w:pPr>
        <w:jc w:val="both"/>
        <w:rPr>
          <w:sz w:val="8"/>
          <w:szCs w:val="8"/>
        </w:rPr>
      </w:pPr>
    </w:p>
    <w:p w14:paraId="561625E3" w14:textId="35B0B9AE" w:rsidR="00F73A09" w:rsidRDefault="00F73A09" w:rsidP="00F73A09">
      <w:pPr>
        <w:jc w:val="both"/>
      </w:pPr>
      <w:r w:rsidRPr="006415D5">
        <w:rPr>
          <w:b/>
          <w:bCs/>
        </w:rPr>
        <w:t>Methodology</w:t>
      </w:r>
      <w:r w:rsidRPr="006415D5">
        <w:t>: A total of 100 participants (50 cancer patients and 50</w:t>
      </w:r>
      <w:r w:rsidR="00AC34E0">
        <w:rPr>
          <w:lang w:val="en-GB"/>
        </w:rPr>
        <w:t xml:space="preserve"> </w:t>
      </w:r>
      <w:r w:rsidRPr="006415D5">
        <w:t>control</w:t>
      </w:r>
      <w:r w:rsidR="00AC34E0">
        <w:rPr>
          <w:lang w:val="en-GB"/>
        </w:rPr>
        <w:t xml:space="preserve"> healthy</w:t>
      </w:r>
      <w:r w:rsidRPr="006415D5">
        <w:t xml:space="preserve"> subjects) were recruited for the study from Rivers State University Teaching Hospital and University of Port H</w:t>
      </w:r>
      <w:r>
        <w:t>arcourt Teaching Hospital</w:t>
      </w:r>
      <w:r w:rsidRPr="006415D5">
        <w:t xml:space="preserve"> in Port Harcourt, Rivers State. The plasma concentration of glutamic acid was </w:t>
      </w:r>
      <w:r w:rsidR="00D07D2D" w:rsidRPr="006415D5">
        <w:t>analyzed</w:t>
      </w:r>
      <w:r w:rsidRPr="006415D5">
        <w:t xml:space="preserve"> using glutamic acid </w:t>
      </w:r>
      <w:r w:rsidR="00D07D2D" w:rsidRPr="006415D5">
        <w:t>colorimetric</w:t>
      </w:r>
      <w:r w:rsidRPr="006415D5">
        <w:t xml:space="preserve"> kits.</w:t>
      </w:r>
    </w:p>
    <w:p w14:paraId="4667B22E" w14:textId="77777777" w:rsidR="00D81EBF" w:rsidRPr="00D81EBF" w:rsidRDefault="00D81EBF" w:rsidP="00F73A09">
      <w:pPr>
        <w:jc w:val="both"/>
        <w:rPr>
          <w:sz w:val="8"/>
          <w:szCs w:val="8"/>
        </w:rPr>
      </w:pPr>
    </w:p>
    <w:p w14:paraId="2AB84963" w14:textId="55941E23" w:rsidR="00F73A09" w:rsidRDefault="00F73A09" w:rsidP="00F73A09">
      <w:pPr>
        <w:jc w:val="both"/>
      </w:pPr>
      <w:r w:rsidRPr="006415D5">
        <w:rPr>
          <w:b/>
          <w:bCs/>
        </w:rPr>
        <w:t>Results</w:t>
      </w:r>
      <w:r w:rsidRPr="006415D5">
        <w:t>: The mean plasma glutamic acid concentration in cancer (134.83 ± 14.66) subjects was higher compared to the healthy control</w:t>
      </w:r>
      <w:r w:rsidR="00AC34E0">
        <w:rPr>
          <w:lang w:val="en-GB"/>
        </w:rPr>
        <w:t xml:space="preserve"> subjects</w:t>
      </w:r>
      <w:r w:rsidRPr="006415D5">
        <w:t xml:space="preserve"> (101.82 ± 10.99), confirming increased </w:t>
      </w:r>
      <w:proofErr w:type="spellStart"/>
      <w:r w:rsidRPr="006415D5">
        <w:t>glutaminolysis</w:t>
      </w:r>
      <w:proofErr w:type="spellEnd"/>
      <w:r w:rsidRPr="006415D5">
        <w:t xml:space="preserve"> and alteration in metabolic pathways in cancer. The result obtained also </w:t>
      </w:r>
      <w:r>
        <w:t>shows</w:t>
      </w:r>
      <w:r w:rsidRPr="006415D5">
        <w:t xml:space="preserve"> a statistically significant difference in glutamic acid level across the various stages of cancer progression, with </w:t>
      </w:r>
      <w:r>
        <w:t>Stage IV</w:t>
      </w:r>
      <w:r w:rsidRPr="006415D5">
        <w:t xml:space="preserve"> having the highest (150.93 ± 12.54), followed by </w:t>
      </w:r>
      <w:r>
        <w:t>S</w:t>
      </w:r>
      <w:r w:rsidRPr="006415D5">
        <w:t>tage III (134.25 ± 12.12) and then Stage I-II (124.52 ± 5.29). From the results, glutamic acid, a byproduct of glutamine metabolism</w:t>
      </w:r>
      <w:r>
        <w:t>,</w:t>
      </w:r>
      <w:r w:rsidRPr="006415D5">
        <w:t xml:space="preserve"> can be used as a biomarker for early cancer detection.</w:t>
      </w:r>
    </w:p>
    <w:p w14:paraId="00665429" w14:textId="77777777" w:rsidR="00D81EBF" w:rsidRPr="00D81EBF" w:rsidRDefault="00D81EBF" w:rsidP="00F73A09">
      <w:pPr>
        <w:jc w:val="both"/>
        <w:rPr>
          <w:sz w:val="10"/>
          <w:szCs w:val="10"/>
        </w:rPr>
      </w:pPr>
    </w:p>
    <w:p w14:paraId="7AE41F39" w14:textId="0C5DB370" w:rsidR="00F73A09" w:rsidRPr="00AC34E0" w:rsidRDefault="00F73A09" w:rsidP="00F73A09">
      <w:pPr>
        <w:jc w:val="both"/>
        <w:rPr>
          <w:lang w:val="en-GB"/>
        </w:rPr>
      </w:pPr>
      <w:r>
        <w:rPr>
          <w:b/>
          <w:bCs/>
        </w:rPr>
        <w:t>C</w:t>
      </w:r>
      <w:r w:rsidR="00092C2F">
        <w:rPr>
          <w:b/>
          <w:bCs/>
        </w:rPr>
        <w:t>onclusion</w:t>
      </w:r>
      <w:r w:rsidRPr="006415D5">
        <w:t xml:space="preserve">: There was </w:t>
      </w:r>
      <w:r>
        <w:t xml:space="preserve">a </w:t>
      </w:r>
      <w:r w:rsidRPr="006415D5">
        <w:t xml:space="preserve">significant increase in glutamic acid in cancer patients compared to the </w:t>
      </w:r>
      <w:r>
        <w:t>control</w:t>
      </w:r>
      <w:r w:rsidR="00AC34E0">
        <w:rPr>
          <w:lang w:val="en-GB"/>
        </w:rPr>
        <w:t xml:space="preserve"> </w:t>
      </w:r>
      <w:r w:rsidR="00AC34E0" w:rsidRPr="006415D5">
        <w:t>healthy</w:t>
      </w:r>
      <w:r w:rsidR="00AC34E0">
        <w:rPr>
          <w:lang w:val="en-GB"/>
        </w:rPr>
        <w:t xml:space="preserve"> subjects</w:t>
      </w:r>
      <w:r w:rsidRPr="006415D5">
        <w:t xml:space="preserve">. Thus, indicating metabolic reprogramming in cancer </w:t>
      </w:r>
      <w:r w:rsidR="00AC34E0">
        <w:rPr>
          <w:lang w:val="en-GB"/>
        </w:rPr>
        <w:t>leads to its progression.</w:t>
      </w:r>
    </w:p>
    <w:p w14:paraId="1C8EB9C2" w14:textId="3C2F35D5" w:rsidR="00F73A09" w:rsidRPr="006415D5" w:rsidRDefault="00F73A09" w:rsidP="00F73A09">
      <w:pPr>
        <w:jc w:val="both"/>
      </w:pPr>
      <w:r w:rsidRPr="006415D5">
        <w:t xml:space="preserve"> </w:t>
      </w:r>
      <w:r w:rsidRPr="006415D5">
        <w:rPr>
          <w:b/>
          <w:bCs/>
        </w:rPr>
        <w:t>Keywords:</w:t>
      </w:r>
      <w:r w:rsidRPr="006415D5">
        <w:t xml:space="preserve"> Cancer, </w:t>
      </w:r>
      <w:r w:rsidR="00092C2F">
        <w:t>M</w:t>
      </w:r>
      <w:r w:rsidRPr="006415D5">
        <w:t xml:space="preserve">itochondria, </w:t>
      </w:r>
      <w:proofErr w:type="spellStart"/>
      <w:r w:rsidR="00092C2F">
        <w:t>G</w:t>
      </w:r>
      <w:r w:rsidRPr="006415D5">
        <w:t>lutaminolysis</w:t>
      </w:r>
      <w:proofErr w:type="spellEnd"/>
      <w:r w:rsidRPr="006415D5">
        <w:t xml:space="preserve">, </w:t>
      </w:r>
      <w:r w:rsidR="00092C2F">
        <w:t>S</w:t>
      </w:r>
      <w:r>
        <w:t>ubstrate-level</w:t>
      </w:r>
      <w:r w:rsidRPr="006415D5">
        <w:t xml:space="preserve"> phosphorylation</w:t>
      </w:r>
      <w:r w:rsidR="00092C2F">
        <w:t>.</w:t>
      </w:r>
    </w:p>
    <w:p w14:paraId="53BD59BB" w14:textId="77777777" w:rsidR="00F73A09" w:rsidRDefault="00F73A09"/>
    <w:p w14:paraId="4A9C2C19" w14:textId="04E1566D" w:rsidR="00F73A09" w:rsidRPr="007126F7" w:rsidRDefault="00F73A09">
      <w:pPr>
        <w:rPr>
          <w:b/>
          <w:bCs/>
          <w:sz w:val="28"/>
          <w:szCs w:val="28"/>
        </w:rPr>
      </w:pPr>
      <w:r w:rsidRPr="007126F7">
        <w:rPr>
          <w:b/>
          <w:bCs/>
          <w:sz w:val="28"/>
          <w:szCs w:val="28"/>
        </w:rPr>
        <w:t>Introduction</w:t>
      </w:r>
    </w:p>
    <w:p w14:paraId="2DEE70F9" w14:textId="47E8024E" w:rsidR="001E5C93" w:rsidRDefault="00F73A09" w:rsidP="001E5C93">
      <w:pPr>
        <w:tabs>
          <w:tab w:val="left" w:pos="3060"/>
        </w:tabs>
        <w:spacing w:line="360" w:lineRule="auto"/>
        <w:jc w:val="both"/>
      </w:pPr>
      <w:r w:rsidRPr="009E6413">
        <w:t>Cancer is a systemic disease affecting not just human beings but other species of animals, like dogs</w:t>
      </w:r>
      <w:r w:rsidR="009E6413" w:rsidRPr="009E6413">
        <w:t>,</w:t>
      </w:r>
      <w:r w:rsidRPr="009E6413">
        <w:t xml:space="preserve"> etc. (</w:t>
      </w:r>
      <w:proofErr w:type="spellStart"/>
      <w:r w:rsidRPr="009E6413">
        <w:t>Kattner</w:t>
      </w:r>
      <w:proofErr w:type="spellEnd"/>
      <w:r w:rsidRPr="009E6413">
        <w:t xml:space="preserve"> </w:t>
      </w:r>
      <w:r w:rsidRPr="009E6413">
        <w:rPr>
          <w:i/>
          <w:iCs/>
        </w:rPr>
        <w:t>et al</w:t>
      </w:r>
      <w:r w:rsidRPr="009E6413">
        <w:t xml:space="preserve">., 2021). In the human population, cancer is considered the second leading cause of death globally and an important </w:t>
      </w:r>
      <w:r w:rsidR="007700A7">
        <w:t>obstacle</w:t>
      </w:r>
      <w:r w:rsidRPr="009E6413">
        <w:t xml:space="preserve"> to life expectancy. According to the International Agency for Research on Cancer (</w:t>
      </w:r>
      <w:r w:rsidR="001A3EF1">
        <w:rPr>
          <w:lang w:val="en-GB"/>
        </w:rPr>
        <w:t>GCO</w:t>
      </w:r>
      <w:r w:rsidR="007700A7">
        <w:t>, 2022</w:t>
      </w:r>
      <w:r w:rsidRPr="009E6413">
        <w:t xml:space="preserve">) of the World Health </w:t>
      </w:r>
      <w:r w:rsidR="00072AB4" w:rsidRPr="009E6413">
        <w:t>Organization</w:t>
      </w:r>
      <w:r w:rsidR="00287C65">
        <w:rPr>
          <w:lang w:val="en-GB"/>
        </w:rPr>
        <w:t>,</w:t>
      </w:r>
      <w:r w:rsidRPr="009E6413">
        <w:t xml:space="preserve"> about </w:t>
      </w:r>
      <w:r w:rsidR="007700A7">
        <w:t xml:space="preserve">20 </w:t>
      </w:r>
      <w:r w:rsidRPr="009E6413">
        <w:t>million new cases of cancer were diagnosed in 20</w:t>
      </w:r>
      <w:r w:rsidR="007700A7">
        <w:t>22</w:t>
      </w:r>
      <w:r w:rsidRPr="009E6413">
        <w:t>, out of which 9.</w:t>
      </w:r>
      <w:r w:rsidR="007700A7">
        <w:t>7</w:t>
      </w:r>
      <w:r w:rsidRPr="009E6413">
        <w:t xml:space="preserve"> million died.</w:t>
      </w:r>
      <w:r w:rsidR="009E6413" w:rsidRPr="009E6413">
        <w:t xml:space="preserve"> </w:t>
      </w:r>
      <w:r w:rsidR="001E5C93" w:rsidRPr="00950145">
        <w:t>These figures highlight the rising global burden of cancer, particularly in low-and-middle-income countries that are undergoing economic and epidemiological transition</w:t>
      </w:r>
      <w:r w:rsidR="001E5C93">
        <w:t>,</w:t>
      </w:r>
      <w:r w:rsidR="001E5C93" w:rsidRPr="00950145">
        <w:t xml:space="preserve"> </w:t>
      </w:r>
      <w:r w:rsidR="001E5C93">
        <w:t xml:space="preserve">despite </w:t>
      </w:r>
      <w:r w:rsidR="001E5C93" w:rsidRPr="00950145">
        <w:t xml:space="preserve">the advancement in cancer genetics (Sung </w:t>
      </w:r>
      <w:r w:rsidR="001E5C93" w:rsidRPr="00950145">
        <w:rPr>
          <w:i/>
          <w:iCs/>
        </w:rPr>
        <w:t>et al</w:t>
      </w:r>
      <w:r w:rsidR="001E5C93" w:rsidRPr="00950145">
        <w:t>., 2021).</w:t>
      </w:r>
      <w:r w:rsidR="001E5C93">
        <w:t xml:space="preserve"> </w:t>
      </w:r>
      <w:r w:rsidR="001E5C93" w:rsidRPr="00950145">
        <w:t xml:space="preserve">This increased morbidity and mortality rate in the human population have </w:t>
      </w:r>
      <w:r w:rsidR="001E5C93" w:rsidRPr="00950145">
        <w:lastRenderedPageBreak/>
        <w:t>resulted in monumental loss of life and potential</w:t>
      </w:r>
      <w:r w:rsidR="007F3A9E">
        <w:rPr>
          <w:lang w:val="en-GB"/>
        </w:rPr>
        <w:t>s</w:t>
      </w:r>
      <w:r w:rsidR="001E5C93" w:rsidRPr="00950145">
        <w:t xml:space="preserve">, leaving behind emotional trauma, depression and even psychological instability (Quinto </w:t>
      </w:r>
      <w:r w:rsidR="001E5C93" w:rsidRPr="00950145">
        <w:rPr>
          <w:i/>
          <w:iCs/>
        </w:rPr>
        <w:t>et al</w:t>
      </w:r>
      <w:r w:rsidR="001E5C93" w:rsidRPr="00950145">
        <w:t xml:space="preserve">., 2022). While cancer can occur at any age, studies shows that </w:t>
      </w:r>
      <w:r w:rsidR="001E5C93">
        <w:t xml:space="preserve">its </w:t>
      </w:r>
      <w:r w:rsidR="001E5C93" w:rsidRPr="00950145">
        <w:t xml:space="preserve">prevalence increase significantly with aging (McGuire </w:t>
      </w:r>
      <w:r w:rsidR="001E5C93" w:rsidRPr="00950145">
        <w:rPr>
          <w:i/>
          <w:iCs/>
        </w:rPr>
        <w:t>et al</w:t>
      </w:r>
      <w:r w:rsidR="001E5C93" w:rsidRPr="00950145">
        <w:t>., 2015)</w:t>
      </w:r>
    </w:p>
    <w:p w14:paraId="2A92CE33" w14:textId="3A233F37" w:rsidR="00F73A09" w:rsidRPr="00EF4829" w:rsidRDefault="001E5C93" w:rsidP="00EF4829">
      <w:pPr>
        <w:tabs>
          <w:tab w:val="left" w:pos="3060"/>
        </w:tabs>
        <w:spacing w:line="360" w:lineRule="auto"/>
        <w:jc w:val="both"/>
        <w:rPr>
          <w:rFonts w:cstheme="minorBidi"/>
        </w:rPr>
      </w:pPr>
      <w:r w:rsidRPr="00950145">
        <w:t xml:space="preserve">The causes of cancer are multifactorial, </w:t>
      </w:r>
      <w:r>
        <w:t>and includes</w:t>
      </w:r>
      <w:r w:rsidRPr="00950145">
        <w:t xml:space="preserve"> infectious biological agents </w:t>
      </w:r>
      <w:r>
        <w:t>such as</w:t>
      </w:r>
      <w:r w:rsidRPr="00950145">
        <w:t xml:space="preserve"> human immunodeficiency virus (HIV), hepatitis B, Epstein Barr virus (Saini </w:t>
      </w:r>
      <w:r w:rsidRPr="00950145">
        <w:rPr>
          <w:i/>
          <w:iCs/>
        </w:rPr>
        <w:t>et al</w:t>
      </w:r>
      <w:r w:rsidRPr="00950145">
        <w:t>.,</w:t>
      </w:r>
      <w:r>
        <w:t xml:space="preserve"> </w:t>
      </w:r>
      <w:r w:rsidRPr="00950145">
        <w:t xml:space="preserve">2020). Unhealthy lifestyle such as smoking of tobacco, poor diet intake, excessive consumption of alcohol and lack of physical exercise </w:t>
      </w:r>
      <w:r>
        <w:t>are</w:t>
      </w:r>
      <w:r w:rsidRPr="00950145">
        <w:t xml:space="preserve"> other </w:t>
      </w:r>
      <w:r>
        <w:t xml:space="preserve">risk factors </w:t>
      </w:r>
      <w:r w:rsidRPr="00950145">
        <w:t xml:space="preserve">in the human population (Singh </w:t>
      </w:r>
      <w:r w:rsidRPr="00950145">
        <w:rPr>
          <w:i/>
          <w:iCs/>
        </w:rPr>
        <w:t>et al</w:t>
      </w:r>
      <w:r w:rsidRPr="00950145">
        <w:t xml:space="preserve">., 2024) as well as exposure to radiation (Saini </w:t>
      </w:r>
      <w:r w:rsidRPr="00950145">
        <w:rPr>
          <w:i/>
          <w:iCs/>
        </w:rPr>
        <w:t>et al</w:t>
      </w:r>
      <w:r w:rsidRPr="00950145">
        <w:t xml:space="preserve">., 2020). Studies have proven that cancer is caused by mutation of genes and proteins such as </w:t>
      </w:r>
      <w:proofErr w:type="spellStart"/>
      <w:r w:rsidRPr="00950145">
        <w:t>tumour</w:t>
      </w:r>
      <w:proofErr w:type="spellEnd"/>
      <w:r w:rsidRPr="00950145">
        <w:t xml:space="preserve"> suppressor gene (P53), antigen-presenting cells (APC), </w:t>
      </w:r>
      <w:r>
        <w:t>Kir</w:t>
      </w:r>
      <w:r w:rsidRPr="00950145">
        <w:t xml:space="preserve">stein </w:t>
      </w:r>
      <w:r w:rsidR="00135EC8">
        <w:rPr>
          <w:lang w:val="en-GB"/>
        </w:rPr>
        <w:t>R</w:t>
      </w:r>
      <w:r w:rsidRPr="00950145">
        <w:t xml:space="preserve">at </w:t>
      </w:r>
      <w:r w:rsidR="00135EC8">
        <w:rPr>
          <w:lang w:val="en-GB"/>
        </w:rPr>
        <w:t>S</w:t>
      </w:r>
      <w:proofErr w:type="spellStart"/>
      <w:r w:rsidRPr="00950145">
        <w:t>arcoma</w:t>
      </w:r>
      <w:proofErr w:type="spellEnd"/>
      <w:r w:rsidRPr="00950145">
        <w:t xml:space="preserve"> (KRAS) and </w:t>
      </w:r>
      <w:r>
        <w:t>Mitogen-activated protein kinase (</w:t>
      </w:r>
      <w:r w:rsidRPr="00950145">
        <w:t>MAPK</w:t>
      </w:r>
      <w:r>
        <w:t>)</w:t>
      </w:r>
      <w:r w:rsidRPr="00950145">
        <w:t xml:space="preserve"> (</w:t>
      </w:r>
      <w:proofErr w:type="spellStart"/>
      <w:r w:rsidRPr="00950145">
        <w:t>Mundel</w:t>
      </w:r>
      <w:proofErr w:type="spellEnd"/>
      <w:r w:rsidRPr="00950145">
        <w:t xml:space="preserve"> </w:t>
      </w:r>
      <w:r w:rsidRPr="00950145">
        <w:rPr>
          <w:i/>
          <w:iCs/>
        </w:rPr>
        <w:t>et al</w:t>
      </w:r>
      <w:r w:rsidRPr="00950145">
        <w:t>., 2023).</w:t>
      </w:r>
      <w:r w:rsidR="00EF4829">
        <w:t xml:space="preserve"> </w:t>
      </w:r>
      <w:r>
        <w:t>More</w:t>
      </w:r>
      <w:r w:rsidR="009E6413" w:rsidRPr="009E6413">
        <w:t xml:space="preserve"> studies suggest that dysfunction in the mitochondria is a contributing factor to cancer. This dysfunction entails metabolic reprogramming of various pathways such as glycolysis, the Krebs cycle, the electron transport chain (ETC), etc. (</w:t>
      </w:r>
      <w:proofErr w:type="spellStart"/>
      <w:r w:rsidR="009E6413" w:rsidRPr="009E6413">
        <w:t>Seyfried</w:t>
      </w:r>
      <w:proofErr w:type="spellEnd"/>
      <w:r w:rsidR="009E6413" w:rsidRPr="009E6413">
        <w:t xml:space="preserve"> </w:t>
      </w:r>
      <w:r w:rsidR="009E6413" w:rsidRPr="009E6413">
        <w:rPr>
          <w:i/>
          <w:iCs/>
        </w:rPr>
        <w:t>et al</w:t>
      </w:r>
      <w:r w:rsidR="009E6413" w:rsidRPr="009E6413">
        <w:t>., 2020</w:t>
      </w:r>
      <w:r w:rsidR="00E401D6">
        <w:t xml:space="preserve">; Nan </w:t>
      </w:r>
      <w:r w:rsidR="00E401D6" w:rsidRPr="00E401D6">
        <w:rPr>
          <w:i/>
          <w:iCs/>
        </w:rPr>
        <w:t>et al.,</w:t>
      </w:r>
      <w:r w:rsidR="00E401D6">
        <w:t xml:space="preserve"> 2025</w:t>
      </w:r>
      <w:r w:rsidR="009E6413" w:rsidRPr="009E6413">
        <w:t>). Tumor cells consume high amounts of glucose and glutamine to produce lactic and succinic acid, respectively, via substrate-level phosphorylation. Hence, it serves as a crucial machinery that drives cancer progression, resistance to therapies, and reduced patient survival outcome (</w:t>
      </w:r>
      <w:proofErr w:type="spellStart"/>
      <w:r w:rsidR="009E6413" w:rsidRPr="009E6413">
        <w:t>Vaupel</w:t>
      </w:r>
      <w:proofErr w:type="spellEnd"/>
      <w:r w:rsidR="009E6413" w:rsidRPr="009E6413">
        <w:t xml:space="preserve"> &amp; </w:t>
      </w:r>
      <w:proofErr w:type="spellStart"/>
      <w:r w:rsidR="009E6413" w:rsidRPr="009E6413">
        <w:t>Multhoff</w:t>
      </w:r>
      <w:proofErr w:type="spellEnd"/>
      <w:r w:rsidR="009E6413" w:rsidRPr="009E6413">
        <w:t>, 2021).</w:t>
      </w:r>
    </w:p>
    <w:p w14:paraId="404FD7EC" w14:textId="777DCB71" w:rsidR="00F73A09" w:rsidRPr="009E6413" w:rsidRDefault="00F73A09" w:rsidP="009E6413">
      <w:pPr>
        <w:spacing w:line="360" w:lineRule="auto"/>
        <w:jc w:val="both"/>
      </w:pPr>
      <w:r w:rsidRPr="009E6413">
        <w:t>Among the emerging hallmarks of cancer is altered amino acid metabolism, which provides both bioenergetic support and critical signaling cues for tumor growth (</w:t>
      </w:r>
      <w:r w:rsidR="00B5441A">
        <w:t xml:space="preserve">Yang </w:t>
      </w:r>
      <w:r w:rsidR="00B5441A" w:rsidRPr="00B5441A">
        <w:rPr>
          <w:i/>
          <w:iCs/>
        </w:rPr>
        <w:t>et al.,</w:t>
      </w:r>
      <w:r w:rsidR="00B5441A">
        <w:t xml:space="preserve"> 2024</w:t>
      </w:r>
      <w:r w:rsidRPr="009E6413">
        <w:t>). In this context, glutamic acid (glutamate), a non-essential amino acid derived primarily from glutamine metabolism, has gained increasing attention as a central mediator of cancer cell survival and aggressiveness (</w:t>
      </w:r>
      <w:r w:rsidR="00B5441A">
        <w:t xml:space="preserve">Tufail </w:t>
      </w:r>
      <w:r w:rsidR="00B5441A" w:rsidRPr="00B5441A">
        <w:rPr>
          <w:i/>
          <w:iCs/>
        </w:rPr>
        <w:t>et al.,</w:t>
      </w:r>
      <w:r w:rsidR="00B5441A">
        <w:t xml:space="preserve"> 2024</w:t>
      </w:r>
      <w:r w:rsidRPr="009E6413">
        <w:t>).</w:t>
      </w:r>
      <w:r w:rsidR="00EF4829">
        <w:t xml:space="preserve"> </w:t>
      </w:r>
      <w:r w:rsidRPr="009E6413">
        <w:t>Glutamic acid occupies a pivotal position in cellular metabolism, serving as a key substrate for the tricarboxylic acid (TCA) cycle through its conversion to α-ketoglutarate, thereby supporting mitochondrial energy production and anabolic biosynthesis (</w:t>
      </w:r>
      <w:r w:rsidR="007126F7">
        <w:rPr>
          <w:lang w:val="en-GB"/>
        </w:rPr>
        <w:t>On the Origin of Cancer</w:t>
      </w:r>
      <w:r w:rsidRPr="009E6413">
        <w:t>, 20</w:t>
      </w:r>
      <w:r w:rsidR="007126F7">
        <w:rPr>
          <w:lang w:val="en-GB"/>
        </w:rPr>
        <w:t>23</w:t>
      </w:r>
      <w:r w:rsidRPr="009E6413">
        <w:t xml:space="preserve">). In cancer cells, enhanced </w:t>
      </w:r>
      <w:proofErr w:type="spellStart"/>
      <w:r w:rsidRPr="009E6413">
        <w:t>glutaminolysis</w:t>
      </w:r>
      <w:proofErr w:type="spellEnd"/>
      <w:r w:rsidRPr="009E6413">
        <w:t xml:space="preserve"> leads to elevated intracellular glutamate levels, fueling nucleotide, lipid, and amino acid synthesis required for uncontrolled proliferation (</w:t>
      </w:r>
      <w:r w:rsidR="007126F7">
        <w:rPr>
          <w:lang w:val="en-GB"/>
        </w:rPr>
        <w:t xml:space="preserve">Li </w:t>
      </w:r>
      <w:r w:rsidR="007126F7" w:rsidRPr="007126F7">
        <w:rPr>
          <w:i/>
          <w:iCs/>
          <w:lang w:val="en-GB"/>
        </w:rPr>
        <w:t>et al.,</w:t>
      </w:r>
      <w:r w:rsidR="007126F7">
        <w:rPr>
          <w:lang w:val="en-GB"/>
        </w:rPr>
        <w:t xml:space="preserve"> 2023</w:t>
      </w:r>
      <w:r w:rsidRPr="009E6413">
        <w:t>). Beyond its metabolic role, glutamic acid also contributes to redox homeostasis by participating in glutathione synthesis, enabling cancer cells to counteract oxidative stress and resist chemotherapy-induced cytotoxicity (L</w:t>
      </w:r>
      <w:proofErr w:type="spellStart"/>
      <w:r w:rsidR="00824884">
        <w:rPr>
          <w:lang w:val="en-GB"/>
        </w:rPr>
        <w:t>ian</w:t>
      </w:r>
      <w:proofErr w:type="spellEnd"/>
      <w:r w:rsidR="00824884">
        <w:rPr>
          <w:lang w:val="en-GB"/>
        </w:rPr>
        <w:t xml:space="preserve"> </w:t>
      </w:r>
      <w:r w:rsidR="00824884" w:rsidRPr="00824884">
        <w:rPr>
          <w:i/>
          <w:iCs/>
          <w:lang w:val="en-GB"/>
        </w:rPr>
        <w:t>et al.</w:t>
      </w:r>
      <w:r w:rsidRPr="00824884">
        <w:rPr>
          <w:i/>
          <w:iCs/>
        </w:rPr>
        <w:t>,</w:t>
      </w:r>
      <w:r w:rsidRPr="009E6413">
        <w:t xml:space="preserve"> 201</w:t>
      </w:r>
      <w:r w:rsidR="00824884">
        <w:rPr>
          <w:lang w:val="en-GB"/>
        </w:rPr>
        <w:t>8</w:t>
      </w:r>
      <w:r w:rsidRPr="009E6413">
        <w:t>).</w:t>
      </w:r>
    </w:p>
    <w:p w14:paraId="521B5306" w14:textId="680D7AB3" w:rsidR="00F73A09" w:rsidRDefault="00F73A09" w:rsidP="009E6413">
      <w:pPr>
        <w:spacing w:line="360" w:lineRule="auto"/>
        <w:jc w:val="both"/>
      </w:pPr>
      <w:r w:rsidRPr="009E6413">
        <w:t xml:space="preserve">Recent evidence has further highlighted the non-metabolic functions of glutamic acid in cancer biology. Extracellular glutamate acts as a signaling molecule through metabotropic and ionotropic </w:t>
      </w:r>
      <w:r w:rsidRPr="009E6413">
        <w:lastRenderedPageBreak/>
        <w:t>glutamate receptors, which are aberrantly expressed in several malignancies, including breast, prostate, glioma, and colorectal cancers (</w:t>
      </w:r>
      <w:r w:rsidR="00930A9B">
        <w:rPr>
          <w:lang w:val="en-GB"/>
        </w:rPr>
        <w:t xml:space="preserve">Huang </w:t>
      </w:r>
      <w:r w:rsidR="00930A9B">
        <w:rPr>
          <w:i/>
          <w:iCs/>
          <w:lang w:val="en-GB"/>
        </w:rPr>
        <w:t xml:space="preserve">et al., </w:t>
      </w:r>
      <w:r w:rsidR="00930A9B">
        <w:rPr>
          <w:lang w:val="en-GB"/>
        </w:rPr>
        <w:t>2023</w:t>
      </w:r>
      <w:r w:rsidRPr="009E6413">
        <w:t xml:space="preserve">). Activation of these receptors has been linked to enhanced tumor cell proliferation, migration, invasion, angiogenesis, and immune evasion, underscoring the role of glutamate signaling in shaping the tumor microenvironment and promoting metastatic potential </w:t>
      </w:r>
      <w:r w:rsidR="00837B04">
        <w:rPr>
          <w:lang w:val="en-GB"/>
        </w:rPr>
        <w:t>(</w:t>
      </w:r>
      <w:r w:rsidRPr="009E6413">
        <w:t xml:space="preserve">Li </w:t>
      </w:r>
      <w:r w:rsidR="00837B04">
        <w:rPr>
          <w:i/>
          <w:iCs/>
          <w:lang w:val="en-GB"/>
        </w:rPr>
        <w:t xml:space="preserve">et al., </w:t>
      </w:r>
      <w:r w:rsidR="00837B04">
        <w:rPr>
          <w:lang w:val="en-GB"/>
        </w:rPr>
        <w:t>2021</w:t>
      </w:r>
      <w:r w:rsidRPr="009E6413">
        <w:t>).</w:t>
      </w:r>
    </w:p>
    <w:p w14:paraId="68DF079F" w14:textId="77777777" w:rsidR="007E6009" w:rsidRPr="007E6009" w:rsidRDefault="007E6009" w:rsidP="009E6413">
      <w:pPr>
        <w:spacing w:line="360" w:lineRule="auto"/>
        <w:jc w:val="both"/>
        <w:rPr>
          <w:sz w:val="14"/>
          <w:szCs w:val="14"/>
        </w:rPr>
      </w:pPr>
    </w:p>
    <w:p w14:paraId="0C4E6209" w14:textId="216AFB63" w:rsidR="007E6009" w:rsidRDefault="007E6009" w:rsidP="009E6413">
      <w:pPr>
        <w:spacing w:line="360" w:lineRule="auto"/>
        <w:jc w:val="both"/>
        <w:rPr>
          <w:lang w:val="en-GB"/>
        </w:rPr>
      </w:pPr>
      <w:r>
        <w:t xml:space="preserve">Through a variety of amino acid transporters, rapidly reproducing cancer cells absorb glutamine from plasma, which is subsequently transformed into glutamate in the mitochondria by the two types of glutaminase, kidney-type GLS28 and liver-type GLS1. Notably, the initial and rate-limiting stage of </w:t>
      </w:r>
      <w:proofErr w:type="spellStart"/>
      <w:r>
        <w:t>glutaminolysis</w:t>
      </w:r>
      <w:proofErr w:type="spellEnd"/>
      <w:r>
        <w:t xml:space="preserve"> is GLS-mediated deamination of glutamine to glutamate, which makes it a desirable target for medication. A higher disease stage and a worse prognosis are linked to the overexpression of GLS1 in a variety of cancer cells. Mechanistically, </w:t>
      </w:r>
      <w:proofErr w:type="spellStart"/>
      <w:r>
        <w:t>Myc</w:t>
      </w:r>
      <w:proofErr w:type="spellEnd"/>
      <w:r>
        <w:t xml:space="preserve"> and mTORC111,12 indirectly control GLS1 expression by suppression of miR-23a and miR-23b. GLS2, in contrast to GLS1, inhibits the growth and migration of cancer cells, leading to the creation of cancer treatments that focus on glutamine metabolism</w:t>
      </w:r>
      <w:r>
        <w:rPr>
          <w:lang w:val="en-GB"/>
        </w:rPr>
        <w:t xml:space="preserve"> (</w:t>
      </w:r>
      <w:proofErr w:type="spellStart"/>
      <w:r>
        <w:rPr>
          <w:lang w:val="en-GB"/>
        </w:rPr>
        <w:t>Jin</w:t>
      </w:r>
      <w:proofErr w:type="spellEnd"/>
      <w:r>
        <w:rPr>
          <w:lang w:val="en-GB"/>
        </w:rPr>
        <w:t xml:space="preserve"> </w:t>
      </w:r>
      <w:r>
        <w:rPr>
          <w:i/>
          <w:iCs/>
          <w:lang w:val="en-GB"/>
        </w:rPr>
        <w:t xml:space="preserve">et al., </w:t>
      </w:r>
      <w:r w:rsidRPr="00B17B81">
        <w:rPr>
          <w:lang w:val="en-GB"/>
        </w:rPr>
        <w:t>2023</w:t>
      </w:r>
      <w:r w:rsidR="00B17B81">
        <w:rPr>
          <w:lang w:val="en-GB"/>
        </w:rPr>
        <w:t>).</w:t>
      </w:r>
    </w:p>
    <w:p w14:paraId="371BD248" w14:textId="63A3371E" w:rsidR="00AC34E0" w:rsidRDefault="00AC34E0" w:rsidP="009E6413">
      <w:pPr>
        <w:spacing w:line="360" w:lineRule="auto"/>
        <w:jc w:val="both"/>
      </w:pPr>
      <w:r>
        <w:fldChar w:fldCharType="begin"/>
      </w:r>
      <w:r>
        <w:instrText xml:space="preserve"> INCLUDEPICTURE "https://media.springernature.com/lw685/springer-static/image/art%3A10.1186%2Fs12964-024-02018-6/MediaObjects/12964_2024_2018_Fig1_HTML.png" \* MERGEFORMATINET </w:instrText>
      </w:r>
      <w:r>
        <w:fldChar w:fldCharType="separate"/>
      </w:r>
      <w:r>
        <w:rPr>
          <w:noProof/>
        </w:rPr>
        <w:drawing>
          <wp:inline distT="0" distB="0" distL="0" distR="0" wp14:anchorId="183FC618" wp14:editId="346ED2C5">
            <wp:extent cx="6070600" cy="3187700"/>
            <wp:effectExtent l="0" t="0" r="0" b="0"/>
            <wp:docPr id="1949534975"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0600" cy="3187700"/>
                    </a:xfrm>
                    <a:prstGeom prst="rect">
                      <a:avLst/>
                    </a:prstGeom>
                    <a:noFill/>
                    <a:ln>
                      <a:noFill/>
                    </a:ln>
                  </pic:spPr>
                </pic:pic>
              </a:graphicData>
            </a:graphic>
          </wp:inline>
        </w:drawing>
      </w:r>
      <w:r>
        <w:fldChar w:fldCharType="end"/>
      </w:r>
    </w:p>
    <w:p w14:paraId="4A4E44C4" w14:textId="7814BFCF" w:rsidR="00AC34E0" w:rsidRPr="00016011" w:rsidRDefault="00A65BC2" w:rsidP="009E6413">
      <w:pPr>
        <w:spacing w:line="360" w:lineRule="auto"/>
        <w:jc w:val="both"/>
        <w:rPr>
          <w:i/>
          <w:iCs/>
          <w:lang w:val="en-GB"/>
        </w:rPr>
      </w:pPr>
      <w:r>
        <w:rPr>
          <w:lang w:val="en-GB"/>
        </w:rPr>
        <w:t xml:space="preserve">Fig. 1 - </w:t>
      </w:r>
      <w:r w:rsidR="00016011">
        <w:rPr>
          <w:lang w:val="en-GB"/>
        </w:rPr>
        <w:t>Metabolism of glutamine between normal and cancer cells</w:t>
      </w:r>
      <w:r>
        <w:rPr>
          <w:lang w:val="en-GB"/>
        </w:rPr>
        <w:t xml:space="preserve"> (Stine &amp; Dang, 2020)</w:t>
      </w:r>
    </w:p>
    <w:p w14:paraId="4E42DB52" w14:textId="77777777" w:rsidR="00837B04" w:rsidRPr="00837B04" w:rsidRDefault="00837B04" w:rsidP="009E6413">
      <w:pPr>
        <w:spacing w:line="360" w:lineRule="auto"/>
        <w:jc w:val="both"/>
        <w:rPr>
          <w:sz w:val="10"/>
          <w:szCs w:val="10"/>
        </w:rPr>
      </w:pPr>
    </w:p>
    <w:p w14:paraId="6AC25215" w14:textId="6175493D" w:rsidR="00470C9C" w:rsidRPr="00AE57F3" w:rsidRDefault="00470C9C" w:rsidP="009E6413">
      <w:pPr>
        <w:spacing w:line="360" w:lineRule="auto"/>
        <w:jc w:val="both"/>
        <w:rPr>
          <w:lang w:val="en-GB"/>
        </w:rPr>
      </w:pPr>
      <w:r>
        <w:t>In Nigeria and sub-Saharan Africa, the prevalence of cancer is alarming and demands urgent intervention and public health concern to curtail its death related cases. Late presentation</w:t>
      </w:r>
      <w:r w:rsidR="00B10222">
        <w:t>/</w:t>
      </w:r>
      <w:r>
        <w:t xml:space="preserve">diagnosis, </w:t>
      </w:r>
      <w:r w:rsidR="00B10222">
        <w:t xml:space="preserve">out of pocket payments </w:t>
      </w:r>
      <w:r>
        <w:t xml:space="preserve">and limited access to treatment are major factors </w:t>
      </w:r>
      <w:r>
        <w:lastRenderedPageBreak/>
        <w:t xml:space="preserve">responsible for </w:t>
      </w:r>
      <w:r w:rsidR="00B10222">
        <w:t>high mortality rate</w:t>
      </w:r>
      <w:r>
        <w:t xml:space="preserve"> in the region </w:t>
      </w:r>
      <w:r w:rsidRPr="00950145">
        <w:t>(</w:t>
      </w:r>
      <w:r w:rsidR="00B10222">
        <w:t>National Cancer Registries (NCR, 2022</w:t>
      </w:r>
      <w:r w:rsidRPr="00950145">
        <w:t>).</w:t>
      </w:r>
      <w:r>
        <w:t xml:space="preserve"> Although the prevalence of cancer across the continent (Africa) differs, in</w:t>
      </w:r>
      <w:r w:rsidRPr="00950145">
        <w:t xml:space="preserve"> Nigeria,</w:t>
      </w:r>
      <w:r>
        <w:t xml:space="preserve"> </w:t>
      </w:r>
      <w:r w:rsidR="00B10222">
        <w:t xml:space="preserve">estimated new cases were </w:t>
      </w:r>
      <w:r w:rsidR="00B10222" w:rsidRPr="00626D92">
        <w:t xml:space="preserve">nearly </w:t>
      </w:r>
      <w:r w:rsidR="00B10222" w:rsidRPr="00626D92">
        <w:rPr>
          <w:rFonts w:eastAsiaTheme="majorEastAsia"/>
        </w:rPr>
        <w:t xml:space="preserve">128,000 </w:t>
      </w:r>
      <w:r w:rsidRPr="00950145">
        <w:t xml:space="preserve">new cases </w:t>
      </w:r>
      <w:r w:rsidR="00B10222">
        <w:t>in 2020-2022</w:t>
      </w:r>
      <w:r w:rsidRPr="00950145">
        <w:t xml:space="preserve">. Studies of cancer epidemiolocal pattern from registries showed that the most frequent cancer among Nigerian men are prostate and colorectal cancer while breast and cervical cancer are predominant in </w:t>
      </w:r>
      <w:r w:rsidR="00B10222">
        <w:t>women</w:t>
      </w:r>
      <w:r w:rsidRPr="00950145">
        <w:t xml:space="preserve">. With approximately 20% of the population of Africa, Nigeria contributed 15% to the estimated </w:t>
      </w:r>
      <w:r w:rsidR="00B10222">
        <w:t>820</w:t>
      </w:r>
      <w:r w:rsidRPr="00950145">
        <w:t xml:space="preserve">,000 new cases of cancer that occurred in the continent in the year, </w:t>
      </w:r>
      <w:r w:rsidR="00B10222">
        <w:t>2020-2022</w:t>
      </w:r>
      <w:r w:rsidRPr="00950145">
        <w:t xml:space="preserve"> (</w:t>
      </w:r>
      <w:r w:rsidR="00B10222">
        <w:t>WHO, 2022</w:t>
      </w:r>
      <w:r w:rsidRPr="00950145">
        <w:t>).</w:t>
      </w:r>
      <w:r w:rsidR="00B10222">
        <w:t xml:space="preserve"> From the</w:t>
      </w:r>
      <w:r w:rsidR="00B10222" w:rsidRPr="00B10222">
        <w:t xml:space="preserve"> population increase and ageing, the cancer burden in the member nations is predicted to double in three decades. Sustainable investments in</w:t>
      </w:r>
      <w:r w:rsidR="00B10222">
        <w:t xml:space="preserve"> </w:t>
      </w:r>
      <w:r w:rsidR="00B10222" w:rsidRPr="00EF4829">
        <w:t>population-based cancer registries</w:t>
      </w:r>
      <w:r w:rsidR="00B10222" w:rsidRPr="00B10222">
        <w:t xml:space="preserve"> </w:t>
      </w:r>
      <w:r w:rsidR="00EF4829">
        <w:t>(</w:t>
      </w:r>
      <w:r w:rsidR="00B10222" w:rsidRPr="00B10222">
        <w:t>PBCR</w:t>
      </w:r>
      <w:r w:rsidR="00EF4829">
        <w:t>)</w:t>
      </w:r>
      <w:r w:rsidR="00B10222" w:rsidRPr="00B10222">
        <w:t xml:space="preserve"> as the distinct source of cancer incidence and survival are still essential to guide national implementation of cancer-control measures and track progress and impact, including expanding the World Health Organization's (WHO) hallmark initiatives. Cancer cases and deaths in sub-Saharan Africa are projected to rise by about 150% by 2050</w:t>
      </w:r>
      <w:r w:rsidR="00AE57F3">
        <w:rPr>
          <w:lang w:val="en-GB"/>
        </w:rPr>
        <w:t xml:space="preserve"> </w:t>
      </w:r>
      <w:r w:rsidR="00AE57F3" w:rsidRPr="00950145">
        <w:t>(</w:t>
      </w:r>
      <w:r w:rsidR="00AE57F3">
        <w:t>WHO, 2022</w:t>
      </w:r>
      <w:r w:rsidR="00AE57F3" w:rsidRPr="00950145">
        <w:t>).</w:t>
      </w:r>
    </w:p>
    <w:p w14:paraId="4C073855" w14:textId="77777777" w:rsidR="00E92060" w:rsidRDefault="00F73A09" w:rsidP="009E6413">
      <w:pPr>
        <w:spacing w:line="360" w:lineRule="auto"/>
        <w:jc w:val="both"/>
      </w:pPr>
      <w:r w:rsidRPr="009E6413">
        <w:t>Given its dual function as a metabolic hub and signaling mediator, glutamic acid represents a critical intersection between cancer metabolism and oncogenic signaling pathways (</w:t>
      </w:r>
      <w:r w:rsidR="00F618C0" w:rsidRPr="00F618C0">
        <w:t xml:space="preserve">Nan </w:t>
      </w:r>
      <w:r w:rsidR="00F618C0" w:rsidRPr="00F618C0">
        <w:rPr>
          <w:i/>
          <w:iCs/>
        </w:rPr>
        <w:t>et al.,</w:t>
      </w:r>
      <w:r w:rsidR="00F618C0" w:rsidRPr="00F618C0">
        <w:t xml:space="preserve"> 2025</w:t>
      </w:r>
      <w:r w:rsidRPr="00EF4829">
        <w:rPr>
          <w:b/>
          <w:bCs/>
        </w:rPr>
        <w:t>)</w:t>
      </w:r>
      <w:r w:rsidR="00F618C0">
        <w:rPr>
          <w:b/>
          <w:bCs/>
        </w:rPr>
        <w:t xml:space="preserve">. </w:t>
      </w:r>
      <w:r w:rsidR="00E92060">
        <w:t>U</w:t>
      </w:r>
      <w:r w:rsidRPr="009E6413">
        <w:t xml:space="preserve">nderstanding how dysregulated glutamic acid metabolism and signaling contribute to tumor initiation, progression, and therapeutic resistance is essential for identifying </w:t>
      </w:r>
      <w:r w:rsidR="00F618C0">
        <w:t>indicators</w:t>
      </w:r>
      <w:r w:rsidRPr="009E6413">
        <w:t xml:space="preserve"> and developing targeted interventions</w:t>
      </w:r>
      <w:r w:rsidR="00E23406">
        <w:rPr>
          <w:lang w:val="en-GB"/>
        </w:rPr>
        <w:t xml:space="preserve"> (</w:t>
      </w:r>
      <w:proofErr w:type="spellStart"/>
      <w:r w:rsidR="00E23406">
        <w:rPr>
          <w:lang w:val="en-GB"/>
        </w:rPr>
        <w:t>Lv</w:t>
      </w:r>
      <w:proofErr w:type="spellEnd"/>
      <w:r w:rsidR="00E23406">
        <w:rPr>
          <w:lang w:val="en-GB"/>
        </w:rPr>
        <w:t xml:space="preserve"> </w:t>
      </w:r>
      <w:r w:rsidR="00E23406">
        <w:rPr>
          <w:i/>
          <w:iCs/>
          <w:lang w:val="en-GB"/>
        </w:rPr>
        <w:t xml:space="preserve">et al., </w:t>
      </w:r>
      <w:r w:rsidR="00E23406">
        <w:rPr>
          <w:lang w:val="en-GB"/>
        </w:rPr>
        <w:t>2025)</w:t>
      </w:r>
      <w:r w:rsidR="00837B04">
        <w:rPr>
          <w:lang w:val="en-GB"/>
        </w:rPr>
        <w:t>.</w:t>
      </w:r>
      <w:r w:rsidRPr="009E6413">
        <w:t xml:space="preserve"> </w:t>
      </w:r>
    </w:p>
    <w:p w14:paraId="18EC0198" w14:textId="77777777" w:rsidR="00E92060" w:rsidRPr="00E92060" w:rsidRDefault="00E92060" w:rsidP="009E6413">
      <w:pPr>
        <w:spacing w:line="360" w:lineRule="auto"/>
        <w:jc w:val="both"/>
        <w:rPr>
          <w:sz w:val="10"/>
          <w:szCs w:val="10"/>
        </w:rPr>
      </w:pPr>
    </w:p>
    <w:p w14:paraId="6ED31ED7" w14:textId="77777777" w:rsidR="00B358B7" w:rsidRDefault="00E92060" w:rsidP="00B358B7">
      <w:pPr>
        <w:spacing w:line="360" w:lineRule="auto"/>
        <w:jc w:val="both"/>
        <w:rPr>
          <w:color w:val="000000" w:themeColor="text1"/>
        </w:rPr>
      </w:pPr>
      <w:r w:rsidRPr="00E92060">
        <w:rPr>
          <w:color w:val="000000" w:themeColor="text1"/>
        </w:rPr>
        <w:t xml:space="preserve">Despite the significant advancements and comprehensive research on cancer metabolism, several critical knowledge gaps persist, primarily revolving around the role of specific metabolites and their interaction with clinical treatments. </w:t>
      </w:r>
      <w:r w:rsidR="00121CF4">
        <w:t>Strategies targeting this biological process have been developed due to the significance of cancer cell metabolism and the limits of traditional cancer therapies such as resistance to chemotherapy or radiation</w:t>
      </w:r>
      <w:r w:rsidR="00121CF4">
        <w:rPr>
          <w:lang w:val="en-GB"/>
        </w:rPr>
        <w:t xml:space="preserve"> (Stine </w:t>
      </w:r>
      <w:r w:rsidR="00121CF4">
        <w:rPr>
          <w:i/>
          <w:iCs/>
          <w:lang w:val="en-GB"/>
        </w:rPr>
        <w:t>et al.,</w:t>
      </w:r>
      <w:r w:rsidR="001C0422">
        <w:rPr>
          <w:i/>
          <w:iCs/>
          <w:lang w:val="en-GB"/>
        </w:rPr>
        <w:t xml:space="preserve"> </w:t>
      </w:r>
      <w:r w:rsidR="001C0422">
        <w:rPr>
          <w:lang w:val="en-GB"/>
        </w:rPr>
        <w:t>2022</w:t>
      </w:r>
      <w:r w:rsidR="00121CF4">
        <w:rPr>
          <w:lang w:val="en-GB"/>
        </w:rPr>
        <w:t>)</w:t>
      </w:r>
      <w:r w:rsidR="00121CF4">
        <w:t>.</w:t>
      </w:r>
      <w:r w:rsidR="00121CF4">
        <w:rPr>
          <w:lang w:val="en-GB"/>
        </w:rPr>
        <w:t xml:space="preserve"> </w:t>
      </w:r>
      <w:r w:rsidRPr="00E92060">
        <w:rPr>
          <w:color w:val="000000" w:themeColor="text1"/>
        </w:rPr>
        <w:t>A key challenge is the limited clinical validation of glutamic acid as a</w:t>
      </w:r>
      <w:r w:rsidR="00121CF4">
        <w:rPr>
          <w:color w:val="000000" w:themeColor="text1"/>
          <w:lang w:val="en-GB"/>
        </w:rPr>
        <w:t xml:space="preserve"> possible indicator</w:t>
      </w:r>
      <w:r w:rsidRPr="00E92060">
        <w:rPr>
          <w:color w:val="000000" w:themeColor="text1"/>
        </w:rPr>
        <w:t>, even though its noticeable elevation is a consistent finding in various cancer cases. While its presence is clear, the direct clinical utility and standardized assessment protocols for using glutamic acid to guide patients care remain underdeveloped.</w:t>
      </w:r>
      <w:r w:rsidRPr="00E92060">
        <w:rPr>
          <w:color w:val="000000" w:themeColor="text1"/>
          <w:lang w:val="en-GB"/>
        </w:rPr>
        <w:t xml:space="preserve"> </w:t>
      </w:r>
      <w:r w:rsidR="00F73A09" w:rsidRPr="00E92060">
        <w:rPr>
          <w:color w:val="000000" w:themeColor="text1"/>
        </w:rPr>
        <w:t>This research</w:t>
      </w:r>
      <w:r w:rsidR="00F857FC" w:rsidRPr="00E92060">
        <w:rPr>
          <w:color w:val="000000" w:themeColor="text1"/>
        </w:rPr>
        <w:t>,</w:t>
      </w:r>
      <w:r w:rsidR="00F73A09" w:rsidRPr="00E92060">
        <w:rPr>
          <w:color w:val="000000" w:themeColor="text1"/>
        </w:rPr>
        <w:t xml:space="preserve"> therefore</w:t>
      </w:r>
      <w:r w:rsidR="00F857FC" w:rsidRPr="00E92060">
        <w:rPr>
          <w:color w:val="000000" w:themeColor="text1"/>
        </w:rPr>
        <w:t>,</w:t>
      </w:r>
      <w:r w:rsidR="00F73A09" w:rsidRPr="00E92060">
        <w:rPr>
          <w:color w:val="000000" w:themeColor="text1"/>
        </w:rPr>
        <w:t xml:space="preserve"> aims to explore the mechanistic roles of glutamic acid in cancer development and progression, and clinical implications in oncology.</w:t>
      </w:r>
    </w:p>
    <w:p w14:paraId="1144DC10" w14:textId="4ADBD6FA" w:rsidR="00F857FC" w:rsidRPr="00B358B7" w:rsidRDefault="00F857FC" w:rsidP="00B358B7">
      <w:pPr>
        <w:spacing w:line="360" w:lineRule="auto"/>
        <w:jc w:val="both"/>
        <w:rPr>
          <w:color w:val="000000" w:themeColor="text1"/>
        </w:rPr>
      </w:pPr>
      <w:r w:rsidRPr="00CC1878">
        <w:rPr>
          <w:b/>
          <w:bCs/>
        </w:rPr>
        <w:t>2.0</w:t>
      </w:r>
      <w:r>
        <w:t xml:space="preserve"> </w:t>
      </w:r>
      <w:r w:rsidRPr="001B69B0">
        <w:rPr>
          <w:b/>
          <w:bCs/>
        </w:rPr>
        <w:t>MATERIALS AND METHODS</w:t>
      </w:r>
    </w:p>
    <w:p w14:paraId="19BB1866" w14:textId="77777777" w:rsidR="00F857FC" w:rsidRDefault="00F857FC" w:rsidP="00F857FC">
      <w:pPr>
        <w:spacing w:line="480" w:lineRule="auto"/>
        <w:jc w:val="both"/>
        <w:rPr>
          <w:b/>
          <w:bCs/>
        </w:rPr>
      </w:pPr>
      <w:r w:rsidRPr="00CC1878">
        <w:rPr>
          <w:b/>
          <w:bCs/>
        </w:rPr>
        <w:t>2.1</w:t>
      </w:r>
      <w:r>
        <w:t xml:space="preserve"> </w:t>
      </w:r>
      <w:r>
        <w:rPr>
          <w:b/>
          <w:bCs/>
        </w:rPr>
        <w:t>S</w:t>
      </w:r>
      <w:r w:rsidRPr="001B69B0">
        <w:rPr>
          <w:b/>
          <w:bCs/>
        </w:rPr>
        <w:t xml:space="preserve">tudy </w:t>
      </w:r>
      <w:r>
        <w:rPr>
          <w:b/>
          <w:bCs/>
        </w:rPr>
        <w:t>A</w:t>
      </w:r>
      <w:r w:rsidRPr="001B69B0">
        <w:rPr>
          <w:b/>
          <w:bCs/>
        </w:rPr>
        <w:t>rea</w:t>
      </w:r>
    </w:p>
    <w:p w14:paraId="39A3B894" w14:textId="4271040D" w:rsidR="00F857FC" w:rsidRPr="003743E9" w:rsidRDefault="00F857FC" w:rsidP="00B17B81">
      <w:pPr>
        <w:spacing w:line="360" w:lineRule="auto"/>
        <w:jc w:val="both"/>
      </w:pPr>
      <w:r w:rsidRPr="00950145">
        <w:lastRenderedPageBreak/>
        <w:t>Th</w:t>
      </w:r>
      <w:r>
        <w:t>e</w:t>
      </w:r>
      <w:r w:rsidRPr="00950145">
        <w:t xml:space="preserve"> study was conducted </w:t>
      </w:r>
      <w:r>
        <w:t xml:space="preserve">on cancer patients attending </w:t>
      </w:r>
      <w:r w:rsidRPr="00950145">
        <w:t xml:space="preserve">River’s </w:t>
      </w:r>
      <w:r>
        <w:t>State</w:t>
      </w:r>
      <w:r w:rsidRPr="00950145">
        <w:t xml:space="preserve"> University Teaching Hospital (RSUTH) and University of Port Harcourt Teaching Hospital (UPTH), Port Harcourt, River’s state, Nigeria. </w:t>
      </w:r>
      <w:r>
        <w:t>A total of</w:t>
      </w:r>
      <w:r w:rsidR="00D07D2D">
        <w:t xml:space="preserve"> 50 </w:t>
      </w:r>
      <w:r>
        <w:t>samples were collected from cancer patients at different stages of cancer</w:t>
      </w:r>
      <w:r w:rsidR="00D07D2D">
        <w:t>,</w:t>
      </w:r>
      <w:r>
        <w:t xml:space="preserve"> and</w:t>
      </w:r>
      <w:r w:rsidR="00D07D2D">
        <w:t xml:space="preserve"> 50 </w:t>
      </w:r>
      <w:r w:rsidR="00E73FAF">
        <w:rPr>
          <w:lang w:val="en-GB"/>
        </w:rPr>
        <w:t xml:space="preserve">healthy </w:t>
      </w:r>
      <w:r w:rsidR="00E73FAF" w:rsidRPr="00950145">
        <w:t xml:space="preserve">control </w:t>
      </w:r>
      <w:r>
        <w:t>subjects</w:t>
      </w:r>
      <w:r w:rsidR="00B358B7">
        <w:rPr>
          <w:lang w:val="en-GB"/>
        </w:rPr>
        <w:t xml:space="preserve"> (mostly students from these universities)</w:t>
      </w:r>
      <w:r w:rsidR="00EF4829">
        <w:t>,</w:t>
      </w:r>
      <w:r>
        <w:t xml:space="preserve"> who </w:t>
      </w:r>
      <w:r w:rsidR="00D07D2D">
        <w:t>were</w:t>
      </w:r>
      <w:r>
        <w:t xml:space="preserve"> not diagnosed with any form of cancer. These hospitals are </w:t>
      </w:r>
      <w:r w:rsidRPr="00950145">
        <w:t>tertiary hospital</w:t>
      </w:r>
      <w:r>
        <w:t>s</w:t>
      </w:r>
      <w:r w:rsidRPr="00950145">
        <w:t xml:space="preserve"> with special oncology department</w:t>
      </w:r>
      <w:r>
        <w:t>s</w:t>
      </w:r>
      <w:r w:rsidRPr="00950145">
        <w:t xml:space="preserve"> that deal </w:t>
      </w:r>
      <w:r>
        <w:t>with</w:t>
      </w:r>
      <w:r w:rsidRPr="00950145">
        <w:t xml:space="preserve"> the diagnosis and treatment of different cancer cases.</w:t>
      </w:r>
    </w:p>
    <w:p w14:paraId="399AED35" w14:textId="77777777" w:rsidR="00F857FC" w:rsidRDefault="00F857FC" w:rsidP="00F857FC">
      <w:pPr>
        <w:widowControl w:val="0"/>
        <w:autoSpaceDE w:val="0"/>
        <w:autoSpaceDN w:val="0"/>
        <w:adjustRightInd w:val="0"/>
        <w:spacing w:after="200" w:line="480" w:lineRule="auto"/>
        <w:jc w:val="both"/>
        <w:rPr>
          <w:b/>
          <w:bCs/>
        </w:rPr>
      </w:pPr>
      <w:r w:rsidRPr="00117ABF">
        <w:rPr>
          <w:b/>
          <w:bCs/>
        </w:rPr>
        <w:t>2.4 Sample Collection</w:t>
      </w:r>
      <w:r>
        <w:rPr>
          <w:b/>
          <w:bCs/>
        </w:rPr>
        <w:t xml:space="preserve"> and Preparation</w:t>
      </w:r>
    </w:p>
    <w:p w14:paraId="078AD7A9" w14:textId="6DF88DA1" w:rsidR="00F857FC" w:rsidRDefault="00F857FC" w:rsidP="00B17B81">
      <w:pPr>
        <w:widowControl w:val="0"/>
        <w:autoSpaceDE w:val="0"/>
        <w:autoSpaceDN w:val="0"/>
        <w:adjustRightInd w:val="0"/>
        <w:spacing w:after="200" w:line="360" w:lineRule="auto"/>
        <w:jc w:val="both"/>
        <w:rPr>
          <w:lang w:val="en"/>
        </w:rPr>
      </w:pPr>
      <w:r w:rsidRPr="00950145">
        <w:rPr>
          <w:lang w:val="en"/>
        </w:rPr>
        <w:t xml:space="preserve">Five (5) ml of the participants’ venous blood sample was collected in </w:t>
      </w:r>
      <w:r>
        <w:rPr>
          <w:lang w:val="en"/>
        </w:rPr>
        <w:t xml:space="preserve">a di-potassium </w:t>
      </w:r>
      <w:r w:rsidRPr="00950145">
        <w:rPr>
          <w:lang w:val="en"/>
        </w:rPr>
        <w:t>ethylenediamine tetra-acetic acid (EDTA) anticoagulant bottle using standard phlebotomy procedure</w:t>
      </w:r>
      <w:r>
        <w:rPr>
          <w:lang w:val="en"/>
        </w:rPr>
        <w:t xml:space="preserve">, and </w:t>
      </w:r>
      <w:r w:rsidRPr="00950145">
        <w:rPr>
          <w:lang w:val="en"/>
        </w:rPr>
        <w:t>the sample</w:t>
      </w:r>
      <w:r>
        <w:rPr>
          <w:lang w:val="en"/>
        </w:rPr>
        <w:t>s</w:t>
      </w:r>
      <w:r w:rsidRPr="00950145">
        <w:rPr>
          <w:lang w:val="en"/>
        </w:rPr>
        <w:t xml:space="preserve"> w</w:t>
      </w:r>
      <w:r>
        <w:rPr>
          <w:lang w:val="en"/>
        </w:rPr>
        <w:t>ere</w:t>
      </w:r>
      <w:r w:rsidRPr="00950145">
        <w:rPr>
          <w:lang w:val="en"/>
        </w:rPr>
        <w:t xml:space="preserve"> spun in the centrifuge at 3000</w:t>
      </w:r>
      <w:r>
        <w:rPr>
          <w:lang w:val="en"/>
        </w:rPr>
        <w:t xml:space="preserve"> </w:t>
      </w:r>
      <w:r w:rsidRPr="00950145">
        <w:rPr>
          <w:lang w:val="en"/>
        </w:rPr>
        <w:t xml:space="preserve">RPM for 5minutes, and plasma was extracted into a </w:t>
      </w:r>
      <w:r>
        <w:rPr>
          <w:lang w:val="en"/>
        </w:rPr>
        <w:t>well-labeled</w:t>
      </w:r>
      <w:r w:rsidRPr="00950145">
        <w:rPr>
          <w:lang w:val="en"/>
        </w:rPr>
        <w:t xml:space="preserve"> plain sample bottle(s).</w:t>
      </w:r>
      <w:r>
        <w:rPr>
          <w:lang w:val="en"/>
        </w:rPr>
        <w:t xml:space="preserve"> The extracted plasma in the plain bottles was stored in the freezer at below 4</w:t>
      </w:r>
      <w:r w:rsidRPr="00713C38">
        <w:rPr>
          <w:vertAlign w:val="superscript"/>
          <w:lang w:val="en"/>
        </w:rPr>
        <w:t>0</w:t>
      </w:r>
      <w:r>
        <w:rPr>
          <w:lang w:val="en"/>
        </w:rPr>
        <w:t xml:space="preserve"> Celsius, awaiting laboratory analysis.</w:t>
      </w:r>
    </w:p>
    <w:p w14:paraId="748013DB" w14:textId="77777777" w:rsidR="00F857FC" w:rsidRDefault="00F857FC" w:rsidP="00B17B81">
      <w:pPr>
        <w:widowControl w:val="0"/>
        <w:autoSpaceDE w:val="0"/>
        <w:autoSpaceDN w:val="0"/>
        <w:adjustRightInd w:val="0"/>
        <w:spacing w:after="200" w:line="360" w:lineRule="auto"/>
        <w:jc w:val="both"/>
        <w:rPr>
          <w:b/>
          <w:bCs/>
        </w:rPr>
      </w:pPr>
      <w:r w:rsidRPr="00515D9D">
        <w:rPr>
          <w:b/>
          <w:bCs/>
        </w:rPr>
        <w:t>2.6 Laboratory Analysis</w:t>
      </w:r>
    </w:p>
    <w:p w14:paraId="7086B1DD" w14:textId="7149FFD7" w:rsidR="00F857FC" w:rsidRDefault="00F857FC" w:rsidP="00B17B81">
      <w:pPr>
        <w:widowControl w:val="0"/>
        <w:autoSpaceDE w:val="0"/>
        <w:autoSpaceDN w:val="0"/>
        <w:adjustRightInd w:val="0"/>
        <w:spacing w:line="360" w:lineRule="auto"/>
        <w:jc w:val="both"/>
        <w:rPr>
          <w:lang w:val="en"/>
        </w:rPr>
      </w:pPr>
      <w:r w:rsidRPr="00FA4149">
        <w:t xml:space="preserve">Glutamic acid in the sample was </w:t>
      </w:r>
      <w:r w:rsidR="00D07D2D" w:rsidRPr="00FA4149">
        <w:t>analyzed</w:t>
      </w:r>
      <w:r w:rsidRPr="00FA4149">
        <w:t xml:space="preserve"> using </w:t>
      </w:r>
      <w:r w:rsidRPr="00FA4149">
        <w:rPr>
          <w:lang w:val="en"/>
        </w:rPr>
        <w:t xml:space="preserve">the glutamic acid </w:t>
      </w:r>
      <w:r w:rsidR="00D07D2D" w:rsidRPr="00FA4149">
        <w:rPr>
          <w:lang w:val="en"/>
        </w:rPr>
        <w:t>colorimetric</w:t>
      </w:r>
      <w:r w:rsidRPr="00FA4149">
        <w:rPr>
          <w:lang w:val="en"/>
        </w:rPr>
        <w:t xml:space="preserve"> kits following the </w:t>
      </w:r>
      <w:r>
        <w:rPr>
          <w:lang w:val="en"/>
        </w:rPr>
        <w:t>instructions</w:t>
      </w:r>
      <w:r w:rsidRPr="00FA4149">
        <w:rPr>
          <w:lang w:val="en"/>
        </w:rPr>
        <w:t xml:space="preserve"> by the manufacturer</w:t>
      </w:r>
      <w:r w:rsidR="00EF4829">
        <w:rPr>
          <w:lang w:val="en"/>
        </w:rPr>
        <w:t xml:space="preserve"> (</w:t>
      </w:r>
      <w:proofErr w:type="spellStart"/>
      <w:r w:rsidR="00EF4829">
        <w:rPr>
          <w:lang w:val="en"/>
        </w:rPr>
        <w:t>Elabscience</w:t>
      </w:r>
      <w:proofErr w:type="spellEnd"/>
      <w:r w:rsidR="00FC03CF">
        <w:rPr>
          <w:lang w:val="en"/>
        </w:rPr>
        <w:t>, Lot: WK04FTLF45914</w:t>
      </w:r>
      <w:r w:rsidR="00EF4829">
        <w:rPr>
          <w:lang w:val="en"/>
        </w:rPr>
        <w:t>)</w:t>
      </w:r>
      <w:r w:rsidRPr="00FA4149">
        <w:rPr>
          <w:lang w:val="en"/>
        </w:rPr>
        <w:t>. Before the laboratory analysis, the</w:t>
      </w:r>
      <w:r>
        <w:rPr>
          <w:lang w:val="en"/>
        </w:rPr>
        <w:t xml:space="preserve"> reconstituted reagent was stored in the freezer for 7 days, and</w:t>
      </w:r>
      <w:r w:rsidRPr="00FA4149">
        <w:rPr>
          <w:lang w:val="en"/>
        </w:rPr>
        <w:t xml:space="preserve"> </w:t>
      </w:r>
      <w:r>
        <w:rPr>
          <w:lang w:val="en"/>
        </w:rPr>
        <w:t xml:space="preserve">the </w:t>
      </w:r>
      <w:r w:rsidRPr="00FA4149">
        <w:rPr>
          <w:lang w:val="en"/>
        </w:rPr>
        <w:t xml:space="preserve">samples were brought from the freezer and </w:t>
      </w:r>
      <w:r>
        <w:rPr>
          <w:lang w:val="en"/>
        </w:rPr>
        <w:t>allowed</w:t>
      </w:r>
      <w:r w:rsidRPr="00FA4149">
        <w:rPr>
          <w:lang w:val="en"/>
        </w:rPr>
        <w:t xml:space="preserve"> to stand on the bench</w:t>
      </w:r>
      <w:r>
        <w:rPr>
          <w:lang w:val="en"/>
        </w:rPr>
        <w:t>, thawing</w:t>
      </w:r>
      <w:r w:rsidRPr="00FA4149">
        <w:rPr>
          <w:lang w:val="en"/>
        </w:rPr>
        <w:t xml:space="preserve"> until room temperature was a</w:t>
      </w:r>
      <w:r>
        <w:rPr>
          <w:lang w:val="en"/>
        </w:rPr>
        <w:t>t</w:t>
      </w:r>
      <w:r w:rsidRPr="00FA4149">
        <w:rPr>
          <w:lang w:val="en"/>
        </w:rPr>
        <w:t xml:space="preserve">tained. 0.6ml of protein precipitate solution was added </w:t>
      </w:r>
      <w:r>
        <w:rPr>
          <w:lang w:val="en"/>
        </w:rPr>
        <w:t xml:space="preserve">to </w:t>
      </w:r>
      <w:r w:rsidRPr="00FA4149">
        <w:rPr>
          <w:lang w:val="en"/>
        </w:rPr>
        <w:t>a test tube containing 0.2ml of plasma and mixed properly. After which the test tube was spun in the centrifuge at 3</w:t>
      </w:r>
      <w:r w:rsidR="009C207D">
        <w:rPr>
          <w:lang w:val="en"/>
        </w:rPr>
        <w:t>0</w:t>
      </w:r>
      <w:r w:rsidRPr="00FA4149">
        <w:rPr>
          <w:lang w:val="en"/>
        </w:rPr>
        <w:t>00</w:t>
      </w:r>
      <w:r w:rsidR="009C207D">
        <w:rPr>
          <w:lang w:val="en"/>
        </w:rPr>
        <w:t xml:space="preserve"> </w:t>
      </w:r>
      <w:r w:rsidRPr="00FA4149">
        <w:rPr>
          <w:lang w:val="en"/>
        </w:rPr>
        <w:t>RPM for 10 minutes.</w:t>
      </w:r>
      <w:r>
        <w:rPr>
          <w:lang w:val="en"/>
        </w:rPr>
        <w:t xml:space="preserve"> </w:t>
      </w:r>
      <w:r w:rsidRPr="00FA4149">
        <w:rPr>
          <w:lang w:val="en"/>
        </w:rPr>
        <w:t>After centrifugation, 0.5ml of the supernatant was placed in a clean</w:t>
      </w:r>
      <w:r>
        <w:rPr>
          <w:lang w:val="en"/>
        </w:rPr>
        <w:t>,</w:t>
      </w:r>
      <w:r w:rsidRPr="00FA4149">
        <w:rPr>
          <w:lang w:val="en"/>
        </w:rPr>
        <w:t xml:space="preserve"> </w:t>
      </w:r>
      <w:r>
        <w:rPr>
          <w:lang w:val="en"/>
        </w:rPr>
        <w:t>grease-free</w:t>
      </w:r>
      <w:r w:rsidRPr="00FA4149">
        <w:rPr>
          <w:lang w:val="en"/>
        </w:rPr>
        <w:t xml:space="preserve"> test tube</w:t>
      </w:r>
      <w:r>
        <w:rPr>
          <w:lang w:val="en"/>
        </w:rPr>
        <w:t>,</w:t>
      </w:r>
      <w:r w:rsidRPr="00FA4149">
        <w:rPr>
          <w:lang w:val="en"/>
        </w:rPr>
        <w:t xml:space="preserve"> and 1.5ml of the reaction working reagent was added, mixed using the vortex mixer for 3 seconds. In the blank and standard test tube, 0.5ml distilled water and </w:t>
      </w:r>
      <w:r>
        <w:rPr>
          <w:lang w:val="en"/>
        </w:rPr>
        <w:t xml:space="preserve">the </w:t>
      </w:r>
      <w:r w:rsidRPr="00FA4149">
        <w:rPr>
          <w:lang w:val="en"/>
        </w:rPr>
        <w:t>standard solution</w:t>
      </w:r>
      <w:r>
        <w:rPr>
          <w:lang w:val="en"/>
        </w:rPr>
        <w:t>,</w:t>
      </w:r>
      <w:r w:rsidRPr="00FA4149">
        <w:rPr>
          <w:lang w:val="en"/>
        </w:rPr>
        <w:t xml:space="preserve"> respectively was added alongside the working reagents in each tube.</w:t>
      </w:r>
      <w:r>
        <w:rPr>
          <w:lang w:val="en"/>
        </w:rPr>
        <w:t xml:space="preserve"> </w:t>
      </w:r>
      <w:r w:rsidRPr="00FA4149">
        <w:rPr>
          <w:lang w:val="en"/>
        </w:rPr>
        <w:t>Absorbance was read at 340 nm using the spectrophotometer.</w:t>
      </w:r>
      <w:r>
        <w:rPr>
          <w:lang w:val="en"/>
        </w:rPr>
        <w:t xml:space="preserve"> After the first absorbance reading, </w:t>
      </w:r>
      <w:r w:rsidRPr="00FA4149">
        <w:rPr>
          <w:lang w:val="en"/>
        </w:rPr>
        <w:t>0.2ml of enzyme working reagent was added to the solution, mixed properly</w:t>
      </w:r>
      <w:r>
        <w:rPr>
          <w:lang w:val="en"/>
        </w:rPr>
        <w:t>,</w:t>
      </w:r>
      <w:r w:rsidRPr="00FA4149">
        <w:rPr>
          <w:lang w:val="en"/>
        </w:rPr>
        <w:t xml:space="preserve"> and incubated at 37</w:t>
      </w:r>
      <w:r w:rsidRPr="00FA4149">
        <w:rPr>
          <w:vertAlign w:val="superscript"/>
          <w:lang w:val="en"/>
        </w:rPr>
        <w:t>0</w:t>
      </w:r>
      <w:r w:rsidRPr="00FA4149">
        <w:rPr>
          <w:lang w:val="en"/>
        </w:rPr>
        <w:t xml:space="preserve"> Celsius for 40 minutes. </w:t>
      </w:r>
      <w:r>
        <w:rPr>
          <w:lang w:val="en"/>
        </w:rPr>
        <w:t>T</w:t>
      </w:r>
      <w:r w:rsidRPr="00FA4149">
        <w:rPr>
          <w:lang w:val="en"/>
        </w:rPr>
        <w:t>he</w:t>
      </w:r>
      <w:r>
        <w:rPr>
          <w:lang w:val="en"/>
        </w:rPr>
        <w:t xml:space="preserve"> second </w:t>
      </w:r>
      <w:r w:rsidRPr="00FA4149">
        <w:rPr>
          <w:lang w:val="en"/>
        </w:rPr>
        <w:t>absorbance of the test solution was read using the spectrophotometer at 340nm.</w:t>
      </w:r>
    </w:p>
    <w:p w14:paraId="3555CA32" w14:textId="77777777" w:rsidR="00B358B7" w:rsidRDefault="00B358B7" w:rsidP="00B17B81">
      <w:pPr>
        <w:widowControl w:val="0"/>
        <w:autoSpaceDE w:val="0"/>
        <w:autoSpaceDN w:val="0"/>
        <w:adjustRightInd w:val="0"/>
        <w:spacing w:line="360" w:lineRule="auto"/>
        <w:jc w:val="both"/>
        <w:rPr>
          <w:lang w:val="en"/>
        </w:rPr>
      </w:pPr>
    </w:p>
    <w:p w14:paraId="7A626E7B" w14:textId="77777777" w:rsidR="00F857FC" w:rsidRPr="00502C6C" w:rsidRDefault="00F857FC" w:rsidP="00F857FC">
      <w:pPr>
        <w:widowControl w:val="0"/>
        <w:autoSpaceDE w:val="0"/>
        <w:autoSpaceDN w:val="0"/>
        <w:adjustRightInd w:val="0"/>
        <w:spacing w:line="480" w:lineRule="auto"/>
        <w:jc w:val="both"/>
        <w:rPr>
          <w:b/>
          <w:bCs/>
          <w:lang w:val="en"/>
        </w:rPr>
      </w:pPr>
      <w:r w:rsidRPr="00502C6C">
        <w:rPr>
          <w:b/>
          <w:bCs/>
          <w:lang w:val="en"/>
        </w:rPr>
        <w:t>2.7 Results Interpretation</w:t>
      </w:r>
    </w:p>
    <w:p w14:paraId="2D3566FC" w14:textId="77777777" w:rsidR="00F857FC" w:rsidRPr="00950145" w:rsidRDefault="00F857FC" w:rsidP="00B17B81">
      <w:pPr>
        <w:widowControl w:val="0"/>
        <w:autoSpaceDE w:val="0"/>
        <w:autoSpaceDN w:val="0"/>
        <w:adjustRightInd w:val="0"/>
        <w:spacing w:after="200" w:line="360" w:lineRule="auto"/>
        <w:jc w:val="both"/>
        <w:rPr>
          <w:lang w:val="en"/>
        </w:rPr>
      </w:pPr>
      <w:r w:rsidRPr="00950145">
        <w:rPr>
          <w:lang w:val="en"/>
        </w:rPr>
        <w:t>The concentration of glutamic acid in the test samples was determined using the formula below:</w:t>
      </w:r>
    </w:p>
    <w:p w14:paraId="74BCA696" w14:textId="08D78413" w:rsidR="00F857FC" w:rsidRPr="00950145" w:rsidRDefault="00F857FC" w:rsidP="00B17B81">
      <w:pPr>
        <w:widowControl w:val="0"/>
        <w:autoSpaceDE w:val="0"/>
        <w:autoSpaceDN w:val="0"/>
        <w:adjustRightInd w:val="0"/>
        <w:spacing w:line="360" w:lineRule="auto"/>
        <w:jc w:val="both"/>
        <w:rPr>
          <w:lang w:val="en"/>
        </w:rPr>
      </w:pPr>
      <w:r w:rsidRPr="00950145">
        <w:rPr>
          <w:lang w:val="en"/>
        </w:rPr>
        <w:lastRenderedPageBreak/>
        <w:t xml:space="preserve">Glutamic acid concentration = </w:t>
      </w:r>
      <w:r w:rsidRPr="00950145">
        <w:rPr>
          <w:u w:val="single"/>
          <w:lang w:val="en"/>
        </w:rPr>
        <w:t>(A</w:t>
      </w:r>
      <w:r w:rsidRPr="00950145">
        <w:rPr>
          <w:vertAlign w:val="subscript"/>
          <w:lang w:val="en"/>
        </w:rPr>
        <w:t>2</w:t>
      </w:r>
      <w:r w:rsidRPr="00950145">
        <w:rPr>
          <w:u w:val="single"/>
          <w:lang w:val="en"/>
        </w:rPr>
        <w:t>sample -A</w:t>
      </w:r>
      <w:r w:rsidRPr="00950145">
        <w:rPr>
          <w:u w:val="single"/>
          <w:vertAlign w:val="subscript"/>
          <w:lang w:val="en"/>
        </w:rPr>
        <w:t>1</w:t>
      </w:r>
      <w:r w:rsidRPr="00950145">
        <w:rPr>
          <w:u w:val="single"/>
          <w:lang w:val="en"/>
        </w:rPr>
        <w:t xml:space="preserve"> sample) – (A</w:t>
      </w:r>
      <w:r w:rsidRPr="00950145">
        <w:rPr>
          <w:u w:val="single"/>
          <w:vertAlign w:val="subscript"/>
          <w:lang w:val="en"/>
        </w:rPr>
        <w:t>2</w:t>
      </w:r>
      <w:r w:rsidRPr="00950145">
        <w:rPr>
          <w:u w:val="single"/>
          <w:lang w:val="en"/>
        </w:rPr>
        <w:t xml:space="preserve"> blank-A</w:t>
      </w:r>
      <w:r w:rsidRPr="00950145">
        <w:rPr>
          <w:u w:val="single"/>
          <w:vertAlign w:val="subscript"/>
          <w:lang w:val="en"/>
        </w:rPr>
        <w:t>1</w:t>
      </w:r>
      <w:r w:rsidR="00E92060" w:rsidRPr="00950145">
        <w:rPr>
          <w:u w:val="single"/>
          <w:lang w:val="en"/>
        </w:rPr>
        <w:t>blank)</w:t>
      </w:r>
      <w:r w:rsidR="00E92060" w:rsidRPr="00950145">
        <w:rPr>
          <w:lang w:val="en"/>
        </w:rPr>
        <w:t xml:space="preserve"> </w:t>
      </w:r>
      <w:r w:rsidR="00E92060">
        <w:rPr>
          <w:lang w:val="en"/>
        </w:rPr>
        <w:t>x</w:t>
      </w:r>
      <w:r>
        <w:rPr>
          <w:lang w:val="en"/>
        </w:rPr>
        <w:t xml:space="preserve"> C x</w:t>
      </w:r>
      <w:r w:rsidRPr="00950145">
        <w:rPr>
          <w:lang w:val="en"/>
        </w:rPr>
        <w:t xml:space="preserve"> 4</w:t>
      </w:r>
    </w:p>
    <w:p w14:paraId="044FCEEB" w14:textId="77777777" w:rsidR="00F857FC" w:rsidRPr="00950145" w:rsidRDefault="00F857FC" w:rsidP="00B17B81">
      <w:pPr>
        <w:widowControl w:val="0"/>
        <w:autoSpaceDE w:val="0"/>
        <w:autoSpaceDN w:val="0"/>
        <w:adjustRightInd w:val="0"/>
        <w:spacing w:line="360" w:lineRule="auto"/>
        <w:jc w:val="both"/>
        <w:rPr>
          <w:lang w:val="en"/>
        </w:rPr>
      </w:pPr>
      <w:r w:rsidRPr="00950145">
        <w:rPr>
          <w:lang w:val="en"/>
        </w:rPr>
        <w:t xml:space="preserve">                                                 (A</w:t>
      </w:r>
      <w:r w:rsidRPr="00950145">
        <w:rPr>
          <w:vertAlign w:val="subscript"/>
          <w:lang w:val="en"/>
        </w:rPr>
        <w:t>2</w:t>
      </w:r>
      <w:r w:rsidRPr="00950145">
        <w:rPr>
          <w:lang w:val="en"/>
        </w:rPr>
        <w:t xml:space="preserve"> standard-A</w:t>
      </w:r>
      <w:r w:rsidRPr="00950145">
        <w:rPr>
          <w:vertAlign w:val="subscript"/>
          <w:lang w:val="en"/>
        </w:rPr>
        <w:t>1</w:t>
      </w:r>
      <w:r w:rsidRPr="00950145">
        <w:rPr>
          <w:lang w:val="en"/>
        </w:rPr>
        <w:t xml:space="preserve"> standard) – (A</w:t>
      </w:r>
      <w:r w:rsidRPr="00950145">
        <w:rPr>
          <w:vertAlign w:val="subscript"/>
          <w:lang w:val="en"/>
        </w:rPr>
        <w:t>2</w:t>
      </w:r>
      <w:r w:rsidRPr="00950145">
        <w:rPr>
          <w:lang w:val="en"/>
        </w:rPr>
        <w:t xml:space="preserve"> blank-A</w:t>
      </w:r>
      <w:r w:rsidRPr="00950145">
        <w:rPr>
          <w:vertAlign w:val="subscript"/>
          <w:lang w:val="en"/>
        </w:rPr>
        <w:t>1</w:t>
      </w:r>
      <w:r w:rsidRPr="00950145">
        <w:rPr>
          <w:lang w:val="en"/>
        </w:rPr>
        <w:t>blank)</w:t>
      </w:r>
    </w:p>
    <w:p w14:paraId="04C1BBC1" w14:textId="77777777" w:rsidR="00F857FC" w:rsidRDefault="00F857FC" w:rsidP="00B17B81">
      <w:pPr>
        <w:widowControl w:val="0"/>
        <w:autoSpaceDE w:val="0"/>
        <w:autoSpaceDN w:val="0"/>
        <w:adjustRightInd w:val="0"/>
        <w:spacing w:line="360" w:lineRule="auto"/>
        <w:jc w:val="both"/>
        <w:rPr>
          <w:lang w:val="en"/>
        </w:rPr>
      </w:pPr>
    </w:p>
    <w:p w14:paraId="174C9F4D" w14:textId="77777777" w:rsidR="00F857FC" w:rsidRPr="00950145" w:rsidRDefault="00F857FC" w:rsidP="00B17B81">
      <w:pPr>
        <w:widowControl w:val="0"/>
        <w:autoSpaceDE w:val="0"/>
        <w:autoSpaceDN w:val="0"/>
        <w:adjustRightInd w:val="0"/>
        <w:spacing w:line="360" w:lineRule="auto"/>
        <w:jc w:val="both"/>
        <w:rPr>
          <w:lang w:val="en"/>
        </w:rPr>
      </w:pPr>
      <w:r w:rsidRPr="00950145">
        <w:rPr>
          <w:lang w:val="en"/>
        </w:rPr>
        <w:t>Where: A</w:t>
      </w:r>
      <w:r w:rsidRPr="00950145">
        <w:rPr>
          <w:vertAlign w:val="subscript"/>
          <w:lang w:val="en"/>
        </w:rPr>
        <w:t>1</w:t>
      </w:r>
      <w:r w:rsidRPr="00950145">
        <w:rPr>
          <w:lang w:val="en"/>
        </w:rPr>
        <w:t xml:space="preserve"> is the absorbance value when the test was first read</w:t>
      </w:r>
    </w:p>
    <w:p w14:paraId="71880BAF" w14:textId="77777777" w:rsidR="00F857FC" w:rsidRPr="00950145" w:rsidRDefault="00F857FC" w:rsidP="00B17B81">
      <w:pPr>
        <w:widowControl w:val="0"/>
        <w:autoSpaceDE w:val="0"/>
        <w:autoSpaceDN w:val="0"/>
        <w:adjustRightInd w:val="0"/>
        <w:spacing w:line="360" w:lineRule="auto"/>
        <w:jc w:val="both"/>
        <w:rPr>
          <w:lang w:val="en"/>
        </w:rPr>
      </w:pPr>
      <w:r w:rsidRPr="00950145">
        <w:rPr>
          <w:lang w:val="en"/>
        </w:rPr>
        <w:t>A</w:t>
      </w:r>
      <w:r w:rsidRPr="00950145">
        <w:rPr>
          <w:vertAlign w:val="subscript"/>
          <w:lang w:val="en"/>
        </w:rPr>
        <w:t>2</w:t>
      </w:r>
      <w:r w:rsidRPr="00950145">
        <w:rPr>
          <w:lang w:val="en"/>
        </w:rPr>
        <w:t xml:space="preserve"> is the value of absorbance for the second reading</w:t>
      </w:r>
    </w:p>
    <w:p w14:paraId="72B4388C" w14:textId="11A13F1B" w:rsidR="009C207D" w:rsidRPr="00837B04" w:rsidRDefault="00F857FC" w:rsidP="00B17B81">
      <w:pPr>
        <w:widowControl w:val="0"/>
        <w:autoSpaceDE w:val="0"/>
        <w:autoSpaceDN w:val="0"/>
        <w:adjustRightInd w:val="0"/>
        <w:spacing w:line="360" w:lineRule="auto"/>
        <w:jc w:val="both"/>
        <w:rPr>
          <w:lang w:val="en"/>
        </w:rPr>
      </w:pPr>
      <w:r>
        <w:rPr>
          <w:lang w:val="en"/>
        </w:rPr>
        <w:t>C</w:t>
      </w:r>
      <w:r w:rsidRPr="00950145">
        <w:rPr>
          <w:lang w:val="en"/>
        </w:rPr>
        <w:t>= concentration of the standard solution, which is 200µmol/l</w:t>
      </w:r>
      <w:r>
        <w:rPr>
          <w:lang w:val="en"/>
        </w:rPr>
        <w:t xml:space="preserve">. </w:t>
      </w:r>
      <w:r w:rsidRPr="00950145">
        <w:rPr>
          <w:lang w:val="en"/>
        </w:rPr>
        <w:t>The dilution factor is 4</w:t>
      </w:r>
    </w:p>
    <w:p w14:paraId="20D6AFBD" w14:textId="77777777" w:rsidR="005874B5" w:rsidRPr="005874B5" w:rsidRDefault="00F857FC" w:rsidP="005874B5">
      <w:pPr>
        <w:pStyle w:val="NoSpacing"/>
        <w:spacing w:line="360" w:lineRule="auto"/>
        <w:jc w:val="both"/>
        <w:rPr>
          <w:b/>
          <w:bCs/>
          <w:lang w:val="en"/>
        </w:rPr>
      </w:pPr>
      <w:r w:rsidRPr="005874B5">
        <w:rPr>
          <w:b/>
          <w:bCs/>
          <w:lang w:val="en"/>
        </w:rPr>
        <w:t>2.8 Data Analysis</w:t>
      </w:r>
    </w:p>
    <w:p w14:paraId="7FAF1442" w14:textId="28897650" w:rsidR="00F857FC" w:rsidRPr="005874B5" w:rsidRDefault="00F857FC" w:rsidP="005874B5">
      <w:pPr>
        <w:pStyle w:val="NoSpacing"/>
        <w:spacing w:line="360" w:lineRule="auto"/>
        <w:jc w:val="both"/>
        <w:rPr>
          <w:lang w:val="en"/>
        </w:rPr>
      </w:pPr>
      <w:r>
        <w:rPr>
          <w:lang w:val="en"/>
        </w:rPr>
        <w:t xml:space="preserve">Data obtained from this study were </w:t>
      </w:r>
      <w:r w:rsidR="00D07D2D">
        <w:rPr>
          <w:lang w:val="en"/>
        </w:rPr>
        <w:t>analyzed</w:t>
      </w:r>
      <w:r>
        <w:rPr>
          <w:lang w:val="en"/>
        </w:rPr>
        <w:t xml:space="preserve"> using </w:t>
      </w:r>
      <w:r w:rsidR="009C207D" w:rsidRPr="00950145">
        <w:rPr>
          <w:lang w:val="en"/>
        </w:rPr>
        <w:t>SPSS version</w:t>
      </w:r>
      <w:r w:rsidRPr="00950145">
        <w:rPr>
          <w:lang w:val="en"/>
        </w:rPr>
        <w:t xml:space="preserve"> 26</w:t>
      </w:r>
      <w:r>
        <w:rPr>
          <w:lang w:val="en"/>
        </w:rPr>
        <w:t xml:space="preserve">. The results were expressed as </w:t>
      </w:r>
      <w:r w:rsidR="009C207D">
        <w:rPr>
          <w:lang w:val="en"/>
        </w:rPr>
        <w:t xml:space="preserve">a </w:t>
      </w:r>
      <w:r>
        <w:rPr>
          <w:lang w:val="en"/>
        </w:rPr>
        <w:t xml:space="preserve">percentage, mean ± standard deviation. The comparison of means between the group was done using </w:t>
      </w:r>
      <w:r w:rsidR="009C207D">
        <w:rPr>
          <w:lang w:val="en"/>
        </w:rPr>
        <w:t>an independent</w:t>
      </w:r>
      <w:r>
        <w:rPr>
          <w:lang w:val="en"/>
        </w:rPr>
        <w:t xml:space="preserve"> (student) t-test and one-way ANOVA</w:t>
      </w:r>
      <w:r w:rsidR="005874B5">
        <w:rPr>
          <w:lang w:val="en"/>
        </w:rPr>
        <w:t>.</w:t>
      </w:r>
      <w:r>
        <w:rPr>
          <w:lang w:val="en"/>
        </w:rPr>
        <w:t xml:space="preserve"> Tukey post hoc with p ≤ 0.05 </w:t>
      </w:r>
      <w:r w:rsidR="005874B5">
        <w:rPr>
          <w:lang w:val="en"/>
        </w:rPr>
        <w:t xml:space="preserve">was </w:t>
      </w:r>
      <w:r>
        <w:rPr>
          <w:lang w:val="en"/>
        </w:rPr>
        <w:t>considered statistically significant.</w:t>
      </w:r>
    </w:p>
    <w:p w14:paraId="7AA922EE" w14:textId="77777777" w:rsidR="00F857FC" w:rsidRDefault="00F857FC" w:rsidP="00F857FC">
      <w:pPr>
        <w:rPr>
          <w:b/>
          <w:bCs/>
        </w:rPr>
      </w:pPr>
      <w:r w:rsidRPr="00BC48B8">
        <w:rPr>
          <w:b/>
          <w:bCs/>
        </w:rPr>
        <w:t>3.0 RESULTS</w:t>
      </w:r>
    </w:p>
    <w:p w14:paraId="4062FA97" w14:textId="3EBD4E37" w:rsidR="00F857FC" w:rsidRDefault="00F857FC" w:rsidP="00B17B81">
      <w:pPr>
        <w:spacing w:line="360" w:lineRule="auto"/>
        <w:jc w:val="both"/>
      </w:pPr>
      <w:r>
        <w:t>Table 1 shows the demographic characteristics of the study population. The</w:t>
      </w:r>
      <w:r w:rsidRPr="00950145">
        <w:t xml:space="preserve"> cancer subjects were significantly older, with a mean age of 50.06 ± 14.42 years</w:t>
      </w:r>
      <w:r>
        <w:t>,</w:t>
      </w:r>
      <w:r w:rsidRPr="00950145">
        <w:t xml:space="preserve"> compared to the healthy control group, which had a mean age of   27.04 ± 9.38 years. The </w:t>
      </w:r>
      <w:r w:rsidR="00E73FAF">
        <w:rPr>
          <w:lang w:val="en-GB"/>
        </w:rPr>
        <w:t xml:space="preserve">healthy </w:t>
      </w:r>
      <w:r w:rsidRPr="00950145">
        <w:t>control subjects had a sex distribution of 20 (40%) and 30 (60%) for male and female subjects</w:t>
      </w:r>
      <w:r>
        <w:t>,</w:t>
      </w:r>
      <w:r w:rsidRPr="00950145">
        <w:t xml:space="preserve"> respectively. </w:t>
      </w:r>
      <w:r>
        <w:t>The</w:t>
      </w:r>
      <w:r w:rsidRPr="00950145">
        <w:t xml:space="preserve"> cancer group </w:t>
      </w:r>
      <w:r>
        <w:t>was</w:t>
      </w:r>
      <w:r w:rsidRPr="00950145">
        <w:t xml:space="preserve"> predominantly female, consisting </w:t>
      </w:r>
      <w:r>
        <w:t xml:space="preserve">of </w:t>
      </w:r>
      <w:r w:rsidRPr="00950145">
        <w:t xml:space="preserve">41(82%) </w:t>
      </w:r>
      <w:r>
        <w:t>females</w:t>
      </w:r>
      <w:r w:rsidRPr="00950145">
        <w:t xml:space="preserve"> and 9 (18%) males. A notable difference was found in marital status: the cancer group comprised 44 married persons and 6 singles, while the </w:t>
      </w:r>
      <w:r w:rsidR="00E73FAF">
        <w:rPr>
          <w:lang w:val="en-GB"/>
        </w:rPr>
        <w:t xml:space="preserve">healthy </w:t>
      </w:r>
      <w:r w:rsidRPr="00950145">
        <w:t xml:space="preserve">control </w:t>
      </w:r>
      <w:r w:rsidR="00E73FAF">
        <w:rPr>
          <w:lang w:val="en-GB"/>
        </w:rPr>
        <w:t>subjects</w:t>
      </w:r>
      <w:r w:rsidRPr="00950145">
        <w:t xml:space="preserve"> had 11 married persons, 38 single individuals</w:t>
      </w:r>
      <w:r>
        <w:t>,</w:t>
      </w:r>
      <w:r w:rsidRPr="00950145">
        <w:t xml:space="preserve"> and one widow. This suggests a higher prevalence of cancer among the married population, which is also noted to be mostly dependent on their age and lifestyle. Based on the educational qualification of the recruited participants, the </w:t>
      </w:r>
      <w:r w:rsidR="00E73FAF">
        <w:rPr>
          <w:lang w:val="en-GB"/>
        </w:rPr>
        <w:t xml:space="preserve">healthy </w:t>
      </w:r>
      <w:r w:rsidRPr="00950145">
        <w:t xml:space="preserve">control </w:t>
      </w:r>
      <w:r w:rsidR="00E73FAF">
        <w:rPr>
          <w:lang w:val="en-GB"/>
        </w:rPr>
        <w:t>subjects</w:t>
      </w:r>
      <w:r w:rsidRPr="00950145">
        <w:t xml:space="preserve"> had 2 (4%) persons with SSCE, 39 (78%0) undergraduates and 9 (18%) graduates while the cancer group had 3 (6%) persons with FSLC, 22 (44%) with SSCE, 2 (4%) with OND, 2 (4%) undergraduates, 17 (34%) graduates and 4 (8%) postgraduates.</w:t>
      </w:r>
    </w:p>
    <w:p w14:paraId="4B8616CE" w14:textId="77777777" w:rsidR="00E73FAF" w:rsidRDefault="00E73FAF" w:rsidP="00B17B81">
      <w:pPr>
        <w:spacing w:line="360" w:lineRule="auto"/>
        <w:jc w:val="both"/>
      </w:pPr>
    </w:p>
    <w:p w14:paraId="2B3CE3C3" w14:textId="77777777" w:rsidR="00E73FAF" w:rsidRDefault="00E73FAF" w:rsidP="00B17B81">
      <w:pPr>
        <w:spacing w:line="360" w:lineRule="auto"/>
        <w:jc w:val="both"/>
      </w:pPr>
    </w:p>
    <w:p w14:paraId="636045A3" w14:textId="77777777" w:rsidR="00B358B7" w:rsidRDefault="00B358B7" w:rsidP="00B17B81">
      <w:pPr>
        <w:spacing w:line="360" w:lineRule="auto"/>
        <w:jc w:val="both"/>
      </w:pPr>
    </w:p>
    <w:p w14:paraId="79DF411F" w14:textId="77777777" w:rsidR="00B17B81" w:rsidRPr="00B17B81" w:rsidRDefault="00B17B81" w:rsidP="00B17B81">
      <w:pPr>
        <w:spacing w:line="360" w:lineRule="auto"/>
        <w:jc w:val="both"/>
        <w:rPr>
          <w:sz w:val="14"/>
          <w:szCs w:val="14"/>
        </w:rPr>
      </w:pPr>
    </w:p>
    <w:p w14:paraId="30345011" w14:textId="77777777" w:rsidR="00F857FC" w:rsidRPr="00950145" w:rsidRDefault="00F857FC" w:rsidP="00F857FC">
      <w:pPr>
        <w:jc w:val="both"/>
        <w:rPr>
          <w:b/>
          <w:bCs/>
        </w:rPr>
      </w:pPr>
      <w:r>
        <w:rPr>
          <w:b/>
          <w:bCs/>
        </w:rPr>
        <w:t>Table 1:</w:t>
      </w:r>
      <w:r w:rsidRPr="00BC48B8">
        <w:rPr>
          <w:b/>
          <w:bCs/>
        </w:rPr>
        <w:t xml:space="preserve"> </w:t>
      </w:r>
      <w:r w:rsidRPr="00BC48B8">
        <w:t>Demographic Characteristics of the subjects</w:t>
      </w:r>
    </w:p>
    <w:p w14:paraId="61F07484" w14:textId="77777777" w:rsidR="00F857FC" w:rsidRPr="00950145" w:rsidRDefault="00F857FC" w:rsidP="00F857FC">
      <w:pPr>
        <w:jc w:val="both"/>
      </w:pPr>
      <w:r w:rsidRPr="00950145">
        <w:t>________________________________________________________</w:t>
      </w:r>
    </w:p>
    <w:p w14:paraId="60B2CBB6" w14:textId="77777777" w:rsidR="00F857FC" w:rsidRPr="00950145" w:rsidRDefault="00F857FC" w:rsidP="00F857FC">
      <w:pPr>
        <w:jc w:val="both"/>
      </w:pPr>
      <w:bookmarkStart w:id="1" w:name="OLE_LINK3"/>
      <w:r w:rsidRPr="00950145">
        <w:t xml:space="preserve">Parameters                       </w:t>
      </w:r>
      <w:r>
        <w:t xml:space="preserve"> </w:t>
      </w:r>
      <w:r w:rsidRPr="00950145">
        <w:t xml:space="preserve">Control                          Cancer Subjects       </w:t>
      </w:r>
    </w:p>
    <w:p w14:paraId="463DE433" w14:textId="77777777" w:rsidR="00F857FC" w:rsidRPr="00950145" w:rsidRDefault="00F857FC" w:rsidP="00F857FC">
      <w:pPr>
        <w:jc w:val="both"/>
      </w:pPr>
      <w:r w:rsidRPr="00950145">
        <w:t xml:space="preserve">                                           (n=50)                         </w:t>
      </w:r>
      <w:proofErr w:type="gramStart"/>
      <w:r w:rsidRPr="00950145">
        <w:t xml:space="preserve">   (</w:t>
      </w:r>
      <w:proofErr w:type="gramEnd"/>
      <w:r w:rsidRPr="00950145">
        <w:t>n=50)</w:t>
      </w:r>
    </w:p>
    <w:p w14:paraId="4F68659F" w14:textId="77777777" w:rsidR="00F857FC" w:rsidRPr="00950145" w:rsidRDefault="00F857FC" w:rsidP="00F857FC">
      <w:pPr>
        <w:jc w:val="both"/>
      </w:pPr>
      <w:r w:rsidRPr="00950145">
        <w:lastRenderedPageBreak/>
        <w:t>_________________________________________________________</w:t>
      </w:r>
    </w:p>
    <w:p w14:paraId="730F7095" w14:textId="77777777" w:rsidR="00F857FC" w:rsidRPr="00950145" w:rsidRDefault="00F857FC" w:rsidP="00F857FC">
      <w:pPr>
        <w:jc w:val="both"/>
      </w:pPr>
      <w:r w:rsidRPr="00950145">
        <w:t xml:space="preserve">Age (mean ± </w:t>
      </w:r>
      <w:proofErr w:type="gramStart"/>
      <w:r w:rsidRPr="00950145">
        <w:t xml:space="preserve">SD)   </w:t>
      </w:r>
      <w:proofErr w:type="gramEnd"/>
      <w:r w:rsidRPr="00950145">
        <w:t xml:space="preserve">         27.04 ± 9.38                        50.06 ± 14.42</w:t>
      </w:r>
    </w:p>
    <w:p w14:paraId="325EEC95" w14:textId="77777777" w:rsidR="00F857FC" w:rsidRPr="00950145" w:rsidRDefault="00F857FC" w:rsidP="00F857FC">
      <w:pPr>
        <w:jc w:val="both"/>
      </w:pPr>
    </w:p>
    <w:p w14:paraId="7EA6CBB2" w14:textId="77777777" w:rsidR="00F857FC" w:rsidRPr="00950145" w:rsidRDefault="00F857FC" w:rsidP="00F857FC">
      <w:pPr>
        <w:jc w:val="both"/>
      </w:pPr>
      <w:r w:rsidRPr="00950145">
        <w:t>Sex n (%):</w:t>
      </w:r>
    </w:p>
    <w:p w14:paraId="5FE15503" w14:textId="77777777" w:rsidR="00F857FC" w:rsidRPr="00950145" w:rsidRDefault="00F857FC" w:rsidP="00F857FC">
      <w:pPr>
        <w:jc w:val="both"/>
      </w:pPr>
      <w:r w:rsidRPr="00950145">
        <w:t>Male                                    20 (40</w:t>
      </w:r>
      <w:r>
        <w:t xml:space="preserve"> </w:t>
      </w:r>
      <w:proofErr w:type="gramStart"/>
      <w:r w:rsidRPr="00950145">
        <w:t xml:space="preserve">%)   </w:t>
      </w:r>
      <w:proofErr w:type="gramEnd"/>
      <w:r w:rsidRPr="00950145">
        <w:t xml:space="preserve">                        9 (18%)</w:t>
      </w:r>
    </w:p>
    <w:p w14:paraId="62873CEA" w14:textId="77777777" w:rsidR="00F857FC" w:rsidRPr="00950145" w:rsidRDefault="00F857FC" w:rsidP="00F857FC">
      <w:pPr>
        <w:jc w:val="both"/>
      </w:pPr>
      <w:r w:rsidRPr="00950145">
        <w:t>Female                                30 (60</w:t>
      </w:r>
      <w:r>
        <w:t xml:space="preserve"> </w:t>
      </w:r>
      <w:proofErr w:type="gramStart"/>
      <w:r w:rsidRPr="00950145">
        <w:t xml:space="preserve">%)   </w:t>
      </w:r>
      <w:proofErr w:type="gramEnd"/>
      <w:r w:rsidRPr="00950145">
        <w:t xml:space="preserve">                          41 (82%)</w:t>
      </w:r>
    </w:p>
    <w:p w14:paraId="7938BB44" w14:textId="77777777" w:rsidR="00F857FC" w:rsidRPr="00950145" w:rsidRDefault="00F857FC" w:rsidP="00F857FC">
      <w:pPr>
        <w:jc w:val="both"/>
      </w:pPr>
    </w:p>
    <w:p w14:paraId="10750CE0" w14:textId="77777777" w:rsidR="00F857FC" w:rsidRPr="00950145" w:rsidRDefault="00F857FC" w:rsidP="00F857FC">
      <w:pPr>
        <w:jc w:val="both"/>
      </w:pPr>
      <w:r w:rsidRPr="00950145">
        <w:t>Marital status:</w:t>
      </w:r>
    </w:p>
    <w:p w14:paraId="757BB9E0" w14:textId="77777777" w:rsidR="00F857FC" w:rsidRPr="00950145" w:rsidRDefault="00F857FC" w:rsidP="00F857FC">
      <w:pPr>
        <w:jc w:val="both"/>
      </w:pPr>
      <w:r w:rsidRPr="00950145">
        <w:t>Married                                11 (22</w:t>
      </w:r>
      <w:r>
        <w:t xml:space="preserve"> </w:t>
      </w:r>
      <w:proofErr w:type="gramStart"/>
      <w:r w:rsidRPr="00950145">
        <w:t xml:space="preserve">%)   </w:t>
      </w:r>
      <w:proofErr w:type="gramEnd"/>
      <w:r w:rsidRPr="00950145">
        <w:t xml:space="preserve">                          44 (88%)</w:t>
      </w:r>
    </w:p>
    <w:p w14:paraId="2696B1AD" w14:textId="77777777" w:rsidR="00F857FC" w:rsidRPr="00950145" w:rsidRDefault="00F857FC" w:rsidP="00F857FC">
      <w:pPr>
        <w:jc w:val="both"/>
      </w:pPr>
      <w:r w:rsidRPr="00950145">
        <w:t>Single                                   38 (76</w:t>
      </w:r>
      <w:r>
        <w:t xml:space="preserve"> </w:t>
      </w:r>
      <w:proofErr w:type="gramStart"/>
      <w:r w:rsidRPr="00950145">
        <w:t xml:space="preserve">%)   </w:t>
      </w:r>
      <w:proofErr w:type="gramEnd"/>
      <w:r w:rsidRPr="00950145">
        <w:t xml:space="preserve">                          6 (12%)</w:t>
      </w:r>
    </w:p>
    <w:p w14:paraId="7E2AF184" w14:textId="77777777" w:rsidR="00F857FC" w:rsidRPr="00950145" w:rsidRDefault="00F857FC" w:rsidP="00F857FC">
      <w:pPr>
        <w:jc w:val="both"/>
      </w:pPr>
      <w:r w:rsidRPr="00950145">
        <w:t>Widow                                  1 (2</w:t>
      </w:r>
      <w:r>
        <w:t xml:space="preserve"> </w:t>
      </w:r>
      <w:proofErr w:type="gramStart"/>
      <w:r w:rsidRPr="00950145">
        <w:t xml:space="preserve">%)   </w:t>
      </w:r>
      <w:proofErr w:type="gramEnd"/>
      <w:r w:rsidRPr="00950145">
        <w:t xml:space="preserve">                                     −</w:t>
      </w:r>
    </w:p>
    <w:p w14:paraId="50805395" w14:textId="77777777" w:rsidR="00F857FC" w:rsidRPr="00950145" w:rsidRDefault="00F857FC" w:rsidP="00F857FC">
      <w:pPr>
        <w:jc w:val="both"/>
      </w:pPr>
    </w:p>
    <w:p w14:paraId="66135411" w14:textId="77777777" w:rsidR="00F857FC" w:rsidRPr="00950145" w:rsidRDefault="00F857FC" w:rsidP="00F857FC">
      <w:pPr>
        <w:jc w:val="both"/>
      </w:pPr>
      <w:r w:rsidRPr="00950145">
        <w:t>Educational level:</w:t>
      </w:r>
    </w:p>
    <w:p w14:paraId="0E8D0152" w14:textId="77777777" w:rsidR="00F857FC" w:rsidRPr="00950145" w:rsidRDefault="00F857FC" w:rsidP="00F857FC">
      <w:pPr>
        <w:jc w:val="both"/>
      </w:pPr>
      <w:r w:rsidRPr="00950145">
        <w:t xml:space="preserve">FSLC                                           −                                  </w:t>
      </w:r>
      <w:r>
        <w:t xml:space="preserve"> </w:t>
      </w:r>
      <w:r w:rsidRPr="00950145">
        <w:t xml:space="preserve"> 3 (6%)</w:t>
      </w:r>
    </w:p>
    <w:p w14:paraId="527864E7" w14:textId="77777777" w:rsidR="00F857FC" w:rsidRPr="00950145" w:rsidRDefault="00F857FC" w:rsidP="00F857FC">
      <w:pPr>
        <w:jc w:val="both"/>
      </w:pPr>
      <w:r w:rsidRPr="00950145">
        <w:t>SSCE                                      2 (4</w:t>
      </w:r>
      <w:proofErr w:type="gramStart"/>
      <w:r w:rsidRPr="00950145">
        <w:t xml:space="preserve">%)   </w:t>
      </w:r>
      <w:proofErr w:type="gramEnd"/>
      <w:r w:rsidRPr="00950145">
        <w:t xml:space="preserve">                             22 (44%)</w:t>
      </w:r>
    </w:p>
    <w:p w14:paraId="6FC3E202" w14:textId="77777777" w:rsidR="00F857FC" w:rsidRPr="00950145" w:rsidRDefault="00F857FC" w:rsidP="00F857FC">
      <w:pPr>
        <w:jc w:val="both"/>
      </w:pPr>
      <w:r w:rsidRPr="00950145">
        <w:t xml:space="preserve">OND                                             −                                   </w:t>
      </w:r>
      <w:r>
        <w:t xml:space="preserve"> </w:t>
      </w:r>
      <w:r w:rsidRPr="00950145">
        <w:t>2 (4%)</w:t>
      </w:r>
    </w:p>
    <w:p w14:paraId="48C25CBD" w14:textId="77777777" w:rsidR="00F857FC" w:rsidRPr="00950145" w:rsidRDefault="00F857FC" w:rsidP="00F857FC">
      <w:pPr>
        <w:jc w:val="both"/>
      </w:pPr>
      <w:r w:rsidRPr="00950145">
        <w:t>Undergraduate                        39 (78</w:t>
      </w:r>
      <w:proofErr w:type="gramStart"/>
      <w:r w:rsidRPr="00950145">
        <w:t xml:space="preserve">%)   </w:t>
      </w:r>
      <w:proofErr w:type="gramEnd"/>
      <w:r w:rsidRPr="00950145">
        <w:t xml:space="preserve">                          2 (4%)</w:t>
      </w:r>
    </w:p>
    <w:p w14:paraId="636C9BCB" w14:textId="77777777" w:rsidR="00F857FC" w:rsidRPr="00950145" w:rsidRDefault="00F857FC" w:rsidP="00F857FC">
      <w:pPr>
        <w:jc w:val="both"/>
      </w:pPr>
      <w:r w:rsidRPr="00950145">
        <w:t>Graduate                                 9 (18</w:t>
      </w:r>
      <w:proofErr w:type="gramStart"/>
      <w:r w:rsidRPr="00950145">
        <w:t xml:space="preserve">%)   </w:t>
      </w:r>
      <w:proofErr w:type="gramEnd"/>
      <w:r w:rsidRPr="00950145">
        <w:t xml:space="preserve">                           </w:t>
      </w:r>
      <w:r>
        <w:t xml:space="preserve"> </w:t>
      </w:r>
      <w:r w:rsidRPr="00950145">
        <w:t>17 (34%)</w:t>
      </w:r>
    </w:p>
    <w:p w14:paraId="58A1B27B" w14:textId="77777777" w:rsidR="00F857FC" w:rsidRPr="00950145" w:rsidRDefault="00F857FC" w:rsidP="00F857FC">
      <w:pPr>
        <w:jc w:val="both"/>
      </w:pPr>
      <w:r w:rsidRPr="00950145">
        <w:t xml:space="preserve">Post graduate                             </w:t>
      </w:r>
      <w:r>
        <w:t xml:space="preserve"> </w:t>
      </w:r>
      <w:r w:rsidRPr="00950145">
        <w:t>−                                      4 (8 %)</w:t>
      </w:r>
    </w:p>
    <w:p w14:paraId="4E48FC90" w14:textId="77777777" w:rsidR="00F857FC" w:rsidRPr="00950145" w:rsidRDefault="00F857FC" w:rsidP="00F857FC">
      <w:pPr>
        <w:jc w:val="both"/>
      </w:pPr>
      <w:r w:rsidRPr="00950145">
        <w:t>________________________________________________________</w:t>
      </w:r>
    </w:p>
    <w:bookmarkEnd w:id="1"/>
    <w:p w14:paraId="610DFF05" w14:textId="77777777" w:rsidR="00F857FC" w:rsidRDefault="00F857FC" w:rsidP="00F857FC">
      <w:pPr>
        <w:jc w:val="both"/>
        <w:rPr>
          <w:b/>
          <w:bCs/>
        </w:rPr>
      </w:pPr>
      <w:r w:rsidRPr="00B17B81">
        <w:rPr>
          <w:b/>
          <w:bCs/>
        </w:rPr>
        <w:t>Key: SD – standard deviation</w:t>
      </w:r>
    </w:p>
    <w:p w14:paraId="265FC013" w14:textId="77777777" w:rsidR="00C70465" w:rsidRDefault="00C70465" w:rsidP="00F857FC">
      <w:pPr>
        <w:jc w:val="both"/>
        <w:rPr>
          <w:b/>
          <w:bCs/>
        </w:rPr>
      </w:pPr>
    </w:p>
    <w:p w14:paraId="08B30997" w14:textId="77777777" w:rsidR="00C70465" w:rsidRDefault="00C70465" w:rsidP="00F857FC">
      <w:pPr>
        <w:jc w:val="both"/>
        <w:rPr>
          <w:b/>
          <w:bCs/>
        </w:rPr>
      </w:pPr>
    </w:p>
    <w:p w14:paraId="70DFE98E" w14:textId="77777777" w:rsidR="00C70465" w:rsidRDefault="00C70465" w:rsidP="00F857FC">
      <w:pPr>
        <w:jc w:val="both"/>
        <w:rPr>
          <w:b/>
          <w:bCs/>
        </w:rPr>
      </w:pPr>
    </w:p>
    <w:p w14:paraId="51FDE552" w14:textId="1453632B" w:rsidR="00C70465" w:rsidRPr="00B17B81" w:rsidRDefault="00C70465" w:rsidP="00F857FC">
      <w:pPr>
        <w:jc w:val="both"/>
        <w:rPr>
          <w:b/>
          <w:bCs/>
        </w:rPr>
      </w:pPr>
      <w:r w:rsidRPr="00783D92">
        <w:rPr>
          <w:noProof/>
        </w:rPr>
        <w:drawing>
          <wp:inline distT="0" distB="0" distL="0" distR="0" wp14:anchorId="5E101D12" wp14:editId="2B381B13">
            <wp:extent cx="5459112" cy="2743200"/>
            <wp:effectExtent l="19050" t="0" r="2728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9FA844" w14:textId="1C5BF029" w:rsidR="00F857FC" w:rsidRPr="004461EA" w:rsidRDefault="004461EA" w:rsidP="00F857FC">
      <w:pPr>
        <w:jc w:val="both"/>
        <w:rPr>
          <w:lang w:val="en-GB"/>
        </w:rPr>
      </w:pPr>
      <w:r>
        <w:rPr>
          <w:lang w:val="en-GB"/>
        </w:rPr>
        <w:t>Fig. 2 – Graphical representation of Table 1</w:t>
      </w:r>
    </w:p>
    <w:p w14:paraId="2706FFF6" w14:textId="77777777" w:rsidR="00F857FC" w:rsidRDefault="00F857FC" w:rsidP="00F857FC">
      <w:pPr>
        <w:jc w:val="both"/>
      </w:pPr>
    </w:p>
    <w:p w14:paraId="6FDF2823" w14:textId="1784175D" w:rsidR="009C207D" w:rsidRDefault="00F857FC" w:rsidP="00B17B81">
      <w:pPr>
        <w:spacing w:line="360" w:lineRule="auto"/>
        <w:jc w:val="both"/>
      </w:pPr>
      <w:r w:rsidRPr="00B17B81">
        <w:rPr>
          <w:b/>
          <w:bCs/>
        </w:rPr>
        <w:t>Table 2</w:t>
      </w:r>
      <w:r>
        <w:t xml:space="preserve"> shows the social and dietary lifestyle of the study population. From this table, </w:t>
      </w:r>
      <w:r w:rsidRPr="00950145">
        <w:t xml:space="preserve">14 subjects (28%) </w:t>
      </w:r>
      <w:r>
        <w:t xml:space="preserve">of the control group </w:t>
      </w:r>
      <w:r w:rsidRPr="00950145">
        <w:t>have never consumed alcohol, 35 (70%) consumed it occasionally</w:t>
      </w:r>
      <w:r>
        <w:t>,</w:t>
      </w:r>
      <w:r w:rsidRPr="00950145">
        <w:t xml:space="preserve"> and 1 (2%) </w:t>
      </w:r>
      <w:r>
        <w:t>regularly</w:t>
      </w:r>
      <w:r w:rsidRPr="00950145">
        <w:t xml:space="preserve">. From the cancer group, 33 (66%) subjects had never consumed alcohol, 16 (32%) </w:t>
      </w:r>
      <w:r>
        <w:lastRenderedPageBreak/>
        <w:t>consumed</w:t>
      </w:r>
      <w:r w:rsidRPr="00950145">
        <w:t xml:space="preserve"> it occasionally</w:t>
      </w:r>
      <w:r>
        <w:t>,</w:t>
      </w:r>
      <w:r w:rsidRPr="00950145">
        <w:t xml:space="preserve"> and 1(2%) </w:t>
      </w:r>
      <w:r>
        <w:t>consumed</w:t>
      </w:r>
      <w:r w:rsidRPr="00950145">
        <w:t xml:space="preserve"> it regularly. All </w:t>
      </w:r>
      <w:r w:rsidR="00E73FAF">
        <w:rPr>
          <w:lang w:val="en-GB"/>
        </w:rPr>
        <w:t xml:space="preserve">healthy </w:t>
      </w:r>
      <w:r w:rsidRPr="00950145">
        <w:t xml:space="preserve">control subjects had never smoked, while in the cancer group, 2 (4%) subjects were </w:t>
      </w:r>
      <w:r>
        <w:t>current</w:t>
      </w:r>
      <w:r w:rsidRPr="00950145">
        <w:t xml:space="preserve"> smokers and 48 (96%) subjects had never smoked.  A majority of the cancer subjects, 31 (62%)</w:t>
      </w:r>
      <w:r>
        <w:t>,</w:t>
      </w:r>
      <w:r w:rsidRPr="00950145">
        <w:t xml:space="preserve"> reported weight loss, while the remaining 19 (38%) did not.  </w:t>
      </w:r>
      <w:r>
        <w:t>Based on</w:t>
      </w:r>
      <w:r w:rsidRPr="00950145">
        <w:t xml:space="preserve"> appetite, out of the 50 recruited participants in the cancer group, 30 (60%) subjects had good appetite, but a substantial number of 14 (28%) reported poor appetite and 6 (12%) fair appetite for food; while the healthy control subjects all had good appetites.</w:t>
      </w:r>
    </w:p>
    <w:p w14:paraId="3AB6E94C" w14:textId="77777777" w:rsidR="00E73FAF" w:rsidRPr="00192628" w:rsidRDefault="00E73FAF" w:rsidP="00B17B81">
      <w:pPr>
        <w:spacing w:line="360" w:lineRule="auto"/>
        <w:jc w:val="both"/>
      </w:pPr>
    </w:p>
    <w:p w14:paraId="3A707E08" w14:textId="41B31E92" w:rsidR="00F857FC" w:rsidRPr="00950145" w:rsidRDefault="009C207D" w:rsidP="00F857FC">
      <w:pPr>
        <w:spacing w:line="480" w:lineRule="auto"/>
        <w:jc w:val="both"/>
        <w:rPr>
          <w:b/>
          <w:bCs/>
        </w:rPr>
      </w:pPr>
      <w:r>
        <w:rPr>
          <w:b/>
          <w:bCs/>
        </w:rPr>
        <w:t xml:space="preserve">Table </w:t>
      </w:r>
      <w:r w:rsidR="00F857FC" w:rsidRPr="009D45AB">
        <w:rPr>
          <w:b/>
          <w:bCs/>
        </w:rPr>
        <w:t>2</w:t>
      </w:r>
      <w:r>
        <w:rPr>
          <w:b/>
          <w:bCs/>
        </w:rPr>
        <w:t>:</w:t>
      </w:r>
      <w:r w:rsidR="00F857FC">
        <w:rPr>
          <w:b/>
          <w:bCs/>
        </w:rPr>
        <w:t xml:space="preserve"> </w:t>
      </w:r>
      <w:r w:rsidR="00F857FC">
        <w:t>Social and dietary lifestyles of the study population</w:t>
      </w:r>
      <w:r w:rsidR="00F857FC" w:rsidRPr="00950145">
        <w:rPr>
          <w:b/>
          <w:bCs/>
        </w:rPr>
        <w:t xml:space="preserve"> </w:t>
      </w:r>
    </w:p>
    <w:p w14:paraId="089FBBAC" w14:textId="77777777" w:rsidR="00F857FC" w:rsidRPr="00950145" w:rsidRDefault="00F857FC" w:rsidP="00F857FC">
      <w:pPr>
        <w:jc w:val="both"/>
      </w:pPr>
      <w:r w:rsidRPr="00950145">
        <w:t>_________________________________________________________</w:t>
      </w:r>
    </w:p>
    <w:p w14:paraId="72EF62E3" w14:textId="77777777" w:rsidR="00F857FC" w:rsidRPr="00950145" w:rsidRDefault="00F857FC" w:rsidP="00F857FC">
      <w:pPr>
        <w:jc w:val="both"/>
      </w:pPr>
      <w:r w:rsidRPr="00950145">
        <w:t xml:space="preserve"> Parameters                       Control                         Cancer Subjects       </w:t>
      </w:r>
    </w:p>
    <w:p w14:paraId="64B1A183" w14:textId="77777777" w:rsidR="00F857FC" w:rsidRPr="00950145" w:rsidRDefault="00F857FC" w:rsidP="00F857FC">
      <w:pPr>
        <w:jc w:val="both"/>
      </w:pPr>
      <w:r w:rsidRPr="00950145">
        <w:t xml:space="preserve">                                           (n=50)                          </w:t>
      </w:r>
      <w:proofErr w:type="gramStart"/>
      <w:r w:rsidRPr="00950145">
        <w:t xml:space="preserve">   (</w:t>
      </w:r>
      <w:proofErr w:type="gramEnd"/>
      <w:r w:rsidRPr="00950145">
        <w:t>n=50)</w:t>
      </w:r>
    </w:p>
    <w:p w14:paraId="0D8E12F5" w14:textId="77777777" w:rsidR="00F857FC" w:rsidRPr="00950145" w:rsidRDefault="00F857FC" w:rsidP="00F857FC">
      <w:pPr>
        <w:jc w:val="both"/>
      </w:pPr>
      <w:r w:rsidRPr="00950145">
        <w:t>__________________________________________________________</w:t>
      </w:r>
    </w:p>
    <w:p w14:paraId="1E79F7DB" w14:textId="77777777" w:rsidR="00F857FC" w:rsidRPr="00950145" w:rsidRDefault="00F857FC" w:rsidP="00F857FC">
      <w:pPr>
        <w:jc w:val="both"/>
      </w:pPr>
      <w:r w:rsidRPr="00950145">
        <w:t xml:space="preserve">Alcohol </w:t>
      </w:r>
      <w:proofErr w:type="gramStart"/>
      <w:r w:rsidRPr="00950145">
        <w:t>n(</w:t>
      </w:r>
      <w:proofErr w:type="gramEnd"/>
      <w:r w:rsidRPr="00950145">
        <w:t>%):</w:t>
      </w:r>
    </w:p>
    <w:p w14:paraId="48263E89" w14:textId="77777777" w:rsidR="00F857FC" w:rsidRPr="00950145" w:rsidRDefault="00F857FC" w:rsidP="00F857FC">
      <w:pPr>
        <w:jc w:val="both"/>
      </w:pPr>
      <w:r w:rsidRPr="00950145">
        <w:t>Never                                    14 (28</w:t>
      </w:r>
      <w:proofErr w:type="gramStart"/>
      <w:r w:rsidRPr="00950145">
        <w:t xml:space="preserve">%)   </w:t>
      </w:r>
      <w:proofErr w:type="gramEnd"/>
      <w:r w:rsidRPr="00950145">
        <w:t xml:space="preserve">                         33 (66%)                     </w:t>
      </w:r>
    </w:p>
    <w:p w14:paraId="7E39ED86" w14:textId="77777777" w:rsidR="00F857FC" w:rsidRPr="00950145" w:rsidRDefault="00F857FC" w:rsidP="00F857FC">
      <w:pPr>
        <w:jc w:val="both"/>
      </w:pPr>
      <w:r w:rsidRPr="00950145">
        <w:t>Occasionally                         35 (70</w:t>
      </w:r>
      <w:proofErr w:type="gramStart"/>
      <w:r w:rsidRPr="00950145">
        <w:t xml:space="preserve">%)   </w:t>
      </w:r>
      <w:proofErr w:type="gramEnd"/>
      <w:r w:rsidRPr="00950145">
        <w:t xml:space="preserve">                         16 (32%)</w:t>
      </w:r>
    </w:p>
    <w:p w14:paraId="0F5A3321" w14:textId="77777777" w:rsidR="00F857FC" w:rsidRPr="00950145" w:rsidRDefault="00F857FC" w:rsidP="00F857FC">
      <w:pPr>
        <w:jc w:val="both"/>
      </w:pPr>
      <w:r w:rsidRPr="00950145">
        <w:t>Regularly                               1 (2</w:t>
      </w:r>
      <w:proofErr w:type="gramStart"/>
      <w:r w:rsidRPr="00950145">
        <w:t xml:space="preserve">%)   </w:t>
      </w:r>
      <w:proofErr w:type="gramEnd"/>
      <w:r w:rsidRPr="00950145">
        <w:t xml:space="preserve">                             1 (2%)</w:t>
      </w:r>
    </w:p>
    <w:p w14:paraId="12683FCC" w14:textId="77777777" w:rsidR="00F857FC" w:rsidRPr="00950145" w:rsidRDefault="00F857FC" w:rsidP="00F857FC">
      <w:pPr>
        <w:jc w:val="both"/>
      </w:pPr>
    </w:p>
    <w:p w14:paraId="44644189" w14:textId="77777777" w:rsidR="00F857FC" w:rsidRPr="00950145" w:rsidRDefault="00F857FC" w:rsidP="00F857FC">
      <w:pPr>
        <w:jc w:val="both"/>
      </w:pPr>
      <w:r w:rsidRPr="00950145">
        <w:t>Smoking:</w:t>
      </w:r>
    </w:p>
    <w:p w14:paraId="55330919" w14:textId="77777777" w:rsidR="00F857FC" w:rsidRPr="00950145" w:rsidRDefault="00F857FC" w:rsidP="00F857FC">
      <w:pPr>
        <w:jc w:val="both"/>
      </w:pPr>
      <w:r w:rsidRPr="00950145">
        <w:t>Current                                    −                                        2 (4%)</w:t>
      </w:r>
    </w:p>
    <w:p w14:paraId="21F0E63E" w14:textId="77777777" w:rsidR="00F857FC" w:rsidRPr="00950145" w:rsidRDefault="00F857FC" w:rsidP="00F857FC">
      <w:pPr>
        <w:jc w:val="both"/>
      </w:pPr>
      <w:r w:rsidRPr="00950145">
        <w:t>Never                                   50 (100</w:t>
      </w:r>
      <w:proofErr w:type="gramStart"/>
      <w:r w:rsidRPr="00950145">
        <w:t xml:space="preserve">%)   </w:t>
      </w:r>
      <w:proofErr w:type="gramEnd"/>
      <w:r w:rsidRPr="00950145">
        <w:t xml:space="preserve">                         48 (96%)</w:t>
      </w:r>
    </w:p>
    <w:p w14:paraId="31BD8A0D" w14:textId="77777777" w:rsidR="00F857FC" w:rsidRPr="00950145" w:rsidRDefault="00F857FC" w:rsidP="00F857FC">
      <w:pPr>
        <w:jc w:val="both"/>
      </w:pPr>
    </w:p>
    <w:p w14:paraId="4F65F109" w14:textId="77777777" w:rsidR="00F857FC" w:rsidRPr="00950145" w:rsidRDefault="00F857FC" w:rsidP="00F857FC">
      <w:pPr>
        <w:jc w:val="both"/>
      </w:pPr>
      <w:r w:rsidRPr="00950145">
        <w:t>Weight loss:</w:t>
      </w:r>
    </w:p>
    <w:p w14:paraId="14DCB7B8" w14:textId="77777777" w:rsidR="00F857FC" w:rsidRPr="00950145" w:rsidRDefault="00F857FC" w:rsidP="00F857FC">
      <w:pPr>
        <w:jc w:val="both"/>
      </w:pPr>
      <w:r w:rsidRPr="00950145">
        <w:t>No                                         50 (100</w:t>
      </w:r>
      <w:proofErr w:type="gramStart"/>
      <w:r w:rsidRPr="00950145">
        <w:t xml:space="preserve">%)   </w:t>
      </w:r>
      <w:proofErr w:type="gramEnd"/>
      <w:r w:rsidRPr="00950145">
        <w:t xml:space="preserve">                       19 (38%)</w:t>
      </w:r>
    </w:p>
    <w:p w14:paraId="7280D253" w14:textId="77777777" w:rsidR="00F857FC" w:rsidRPr="00950145" w:rsidRDefault="00F857FC" w:rsidP="00F857FC">
      <w:pPr>
        <w:jc w:val="both"/>
      </w:pPr>
      <w:r w:rsidRPr="00950145">
        <w:t>Yes                                            −                                     31 (62%)</w:t>
      </w:r>
    </w:p>
    <w:p w14:paraId="5311BB1A" w14:textId="77777777" w:rsidR="00F857FC" w:rsidRPr="00950145" w:rsidRDefault="00F857FC" w:rsidP="00F857FC">
      <w:pPr>
        <w:jc w:val="both"/>
      </w:pPr>
    </w:p>
    <w:p w14:paraId="6A43C583" w14:textId="77777777" w:rsidR="00F857FC" w:rsidRPr="00950145" w:rsidRDefault="00F857FC" w:rsidP="00F857FC">
      <w:pPr>
        <w:jc w:val="both"/>
      </w:pPr>
      <w:r w:rsidRPr="00950145">
        <w:t>Appetite:</w:t>
      </w:r>
    </w:p>
    <w:p w14:paraId="44FD101A" w14:textId="77777777" w:rsidR="00F857FC" w:rsidRPr="00950145" w:rsidRDefault="00F857FC" w:rsidP="00F857FC">
      <w:pPr>
        <w:jc w:val="both"/>
      </w:pPr>
      <w:r w:rsidRPr="00950145">
        <w:t>Poor                                           −                                     14 (28%)</w:t>
      </w:r>
    </w:p>
    <w:p w14:paraId="3B5F834C" w14:textId="77777777" w:rsidR="00F857FC" w:rsidRPr="00950145" w:rsidRDefault="00F857FC" w:rsidP="00F857FC">
      <w:pPr>
        <w:jc w:val="both"/>
      </w:pPr>
      <w:r w:rsidRPr="00950145">
        <w:t>Fair                                            −                                     6 (12%)</w:t>
      </w:r>
    </w:p>
    <w:p w14:paraId="5A3CC9E2" w14:textId="77777777" w:rsidR="00F857FC" w:rsidRPr="00950145" w:rsidRDefault="00F857FC" w:rsidP="00F857FC">
      <w:pPr>
        <w:jc w:val="both"/>
      </w:pPr>
      <w:r w:rsidRPr="00950145">
        <w:t>Good                                      50 (100</w:t>
      </w:r>
      <w:proofErr w:type="gramStart"/>
      <w:r w:rsidRPr="00950145">
        <w:t xml:space="preserve">%)   </w:t>
      </w:r>
      <w:proofErr w:type="gramEnd"/>
      <w:r w:rsidRPr="00950145">
        <w:t xml:space="preserve">                       30 (60%)</w:t>
      </w:r>
    </w:p>
    <w:p w14:paraId="6919C3AF" w14:textId="77777777" w:rsidR="00F857FC" w:rsidRDefault="00F857FC" w:rsidP="00F857FC">
      <w:pPr>
        <w:jc w:val="both"/>
      </w:pPr>
      <w:r w:rsidRPr="00950145">
        <w:t>_________________________________________________________</w:t>
      </w:r>
    </w:p>
    <w:p w14:paraId="1C74EF96" w14:textId="77777777" w:rsidR="00F857FC" w:rsidRPr="00950145" w:rsidRDefault="00F857FC" w:rsidP="00F857FC">
      <w:pPr>
        <w:jc w:val="both"/>
      </w:pPr>
    </w:p>
    <w:p w14:paraId="4D180D41" w14:textId="77777777" w:rsidR="00F857FC" w:rsidRDefault="00F857FC" w:rsidP="00F857FC"/>
    <w:p w14:paraId="2EC1668F" w14:textId="77777777" w:rsidR="00F857FC" w:rsidRDefault="00F857FC" w:rsidP="00F857FC"/>
    <w:p w14:paraId="376536BD" w14:textId="77777777" w:rsidR="00C70465" w:rsidRDefault="00C70465" w:rsidP="00B17B81">
      <w:pPr>
        <w:spacing w:line="360" w:lineRule="auto"/>
        <w:jc w:val="both"/>
        <w:rPr>
          <w:b/>
          <w:bCs/>
        </w:rPr>
      </w:pPr>
    </w:p>
    <w:p w14:paraId="3D1FCEE7" w14:textId="3BAB583F" w:rsidR="009C207D" w:rsidRDefault="00F857FC" w:rsidP="00B17B81">
      <w:pPr>
        <w:spacing w:line="360" w:lineRule="auto"/>
        <w:jc w:val="both"/>
      </w:pPr>
      <w:r w:rsidRPr="00B17B81">
        <w:rPr>
          <w:b/>
          <w:bCs/>
        </w:rPr>
        <w:t>Table 3</w:t>
      </w:r>
      <w:r>
        <w:t xml:space="preserve"> shows t</w:t>
      </w:r>
      <w:r w:rsidRPr="00950145">
        <w:t xml:space="preserve">he levels of glutamic acid in cancer subjects </w:t>
      </w:r>
      <w:r>
        <w:t>and control subjects. The results show that the level of glutamic acid was</w:t>
      </w:r>
      <w:r w:rsidRPr="00950145">
        <w:t xml:space="preserve"> </w:t>
      </w:r>
      <w:r>
        <w:t xml:space="preserve">significantly </w:t>
      </w:r>
      <w:r w:rsidRPr="00950145">
        <w:t>higher (134.83 ± 14.66)</w:t>
      </w:r>
      <w:r>
        <w:t xml:space="preserve"> in the cancer patients</w:t>
      </w:r>
      <w:r w:rsidRPr="00950145">
        <w:t xml:space="preserve"> than </w:t>
      </w:r>
      <w:r>
        <w:t xml:space="preserve">in </w:t>
      </w:r>
      <w:r w:rsidRPr="00950145">
        <w:t xml:space="preserve">the control subjects (101.82 ± 10.99) (p-value &lt;0.001). This </w:t>
      </w:r>
      <w:r>
        <w:t>implies</w:t>
      </w:r>
      <w:r w:rsidRPr="00950145">
        <w:t xml:space="preserve"> that there is </w:t>
      </w:r>
      <w:r>
        <w:t xml:space="preserve">a </w:t>
      </w:r>
      <w:r w:rsidRPr="00950145">
        <w:t xml:space="preserve">high </w:t>
      </w:r>
      <w:r w:rsidRPr="00950145">
        <w:lastRenderedPageBreak/>
        <w:t xml:space="preserve">concentration of glutamic acid levels in cancer subjects, which is considered consequential of increased metabolic activity and alterations in the pathways of metabolism. </w:t>
      </w:r>
    </w:p>
    <w:p w14:paraId="64414E5E" w14:textId="77777777" w:rsidR="00B17B81" w:rsidRPr="00192628" w:rsidRDefault="00B17B81" w:rsidP="00B17B81">
      <w:pPr>
        <w:spacing w:line="360" w:lineRule="auto"/>
        <w:jc w:val="both"/>
      </w:pPr>
    </w:p>
    <w:p w14:paraId="535AD9AE" w14:textId="52FFDF21" w:rsidR="00F857FC" w:rsidRPr="00950145" w:rsidRDefault="00F857FC" w:rsidP="00F857FC">
      <w:pPr>
        <w:spacing w:line="480" w:lineRule="auto"/>
        <w:jc w:val="both"/>
        <w:rPr>
          <w:b/>
          <w:bCs/>
        </w:rPr>
      </w:pPr>
      <w:r w:rsidRPr="009D45AB">
        <w:rPr>
          <w:b/>
          <w:bCs/>
        </w:rPr>
        <w:t>Table 3</w:t>
      </w:r>
      <w:r>
        <w:rPr>
          <w:b/>
          <w:bCs/>
        </w:rPr>
        <w:t>:</w:t>
      </w:r>
      <w:r w:rsidRPr="00950145">
        <w:rPr>
          <w:b/>
          <w:bCs/>
        </w:rPr>
        <w:t xml:space="preserve"> </w:t>
      </w:r>
      <w:r w:rsidRPr="009D45AB">
        <w:t xml:space="preserve">Glutamic Acid </w:t>
      </w:r>
      <w:r>
        <w:t>Levels</w:t>
      </w:r>
      <w:r w:rsidRPr="009D45AB">
        <w:t xml:space="preserve"> in Cancer Patients and Healthy </w:t>
      </w:r>
      <w:r>
        <w:t>Controls</w:t>
      </w:r>
    </w:p>
    <w:p w14:paraId="5F5DD741" w14:textId="77777777" w:rsidR="00F857FC" w:rsidRPr="00950145" w:rsidRDefault="00F857FC" w:rsidP="00F857FC">
      <w:pPr>
        <w:jc w:val="both"/>
      </w:pPr>
      <w:r w:rsidRPr="00950145">
        <w:t>_________________________________________</w:t>
      </w:r>
    </w:p>
    <w:p w14:paraId="2E17B9CC" w14:textId="77777777" w:rsidR="00F857FC" w:rsidRPr="00950145" w:rsidRDefault="00F857FC" w:rsidP="00F857FC">
      <w:pPr>
        <w:spacing w:line="480" w:lineRule="auto"/>
        <w:jc w:val="both"/>
      </w:pPr>
      <w:r w:rsidRPr="00950145">
        <w:t>Subjects (</w:t>
      </w:r>
      <w:proofErr w:type="gramStart"/>
      <w:r w:rsidRPr="00950145">
        <w:t xml:space="preserve">n)   </w:t>
      </w:r>
      <w:proofErr w:type="gramEnd"/>
      <w:r w:rsidRPr="00950145">
        <w:t xml:space="preserve">                   Glutamic acid (µmol/L)               </w:t>
      </w:r>
    </w:p>
    <w:p w14:paraId="5F3F9123" w14:textId="77777777" w:rsidR="00F857FC" w:rsidRPr="00950145" w:rsidRDefault="00F857FC" w:rsidP="00F857FC">
      <w:pPr>
        <w:spacing w:line="480" w:lineRule="auto"/>
        <w:jc w:val="both"/>
      </w:pPr>
      <w:r w:rsidRPr="00950145">
        <w:t>_________________________________________</w:t>
      </w:r>
    </w:p>
    <w:p w14:paraId="24AFD73D" w14:textId="77777777" w:rsidR="00F857FC" w:rsidRPr="00950145" w:rsidRDefault="00F857FC" w:rsidP="00F857FC">
      <w:pPr>
        <w:spacing w:line="480" w:lineRule="auto"/>
        <w:jc w:val="both"/>
      </w:pPr>
      <w:r w:rsidRPr="00950145">
        <w:t xml:space="preserve">Cancer                              </w:t>
      </w:r>
      <w:bookmarkStart w:id="2" w:name="_Hlk210992602"/>
      <w:r w:rsidRPr="00950145">
        <w:t>134.83 ± 14.66</w:t>
      </w:r>
      <w:bookmarkEnd w:id="2"/>
      <w:r w:rsidRPr="00950145">
        <w:t xml:space="preserve"> (50)                        </w:t>
      </w:r>
    </w:p>
    <w:p w14:paraId="08E10BBE" w14:textId="77777777" w:rsidR="00F857FC" w:rsidRPr="00950145" w:rsidRDefault="00F857FC" w:rsidP="00F857FC">
      <w:pPr>
        <w:spacing w:line="480" w:lineRule="auto"/>
        <w:jc w:val="both"/>
      </w:pPr>
      <w:r w:rsidRPr="00950145">
        <w:t xml:space="preserve">Control                             </w:t>
      </w:r>
      <w:bookmarkStart w:id="3" w:name="_Hlk210992902"/>
      <w:r w:rsidRPr="00950145">
        <w:t>101.82 ± 10.99</w:t>
      </w:r>
      <w:bookmarkEnd w:id="3"/>
      <w:r w:rsidRPr="00950145">
        <w:t xml:space="preserve"> (50)                        </w:t>
      </w:r>
    </w:p>
    <w:p w14:paraId="3C8C1D90" w14:textId="77777777" w:rsidR="00F857FC" w:rsidRPr="00950145" w:rsidRDefault="00F857FC" w:rsidP="00F857FC">
      <w:pPr>
        <w:spacing w:line="480" w:lineRule="auto"/>
        <w:jc w:val="both"/>
      </w:pPr>
      <w:r w:rsidRPr="00950145">
        <w:t xml:space="preserve">t-value                              12.743                                             </w:t>
      </w:r>
    </w:p>
    <w:p w14:paraId="6656F739" w14:textId="77777777" w:rsidR="00F857FC" w:rsidRPr="00950145" w:rsidRDefault="00F857FC" w:rsidP="00F857FC">
      <w:pPr>
        <w:spacing w:line="480" w:lineRule="auto"/>
        <w:jc w:val="both"/>
      </w:pPr>
      <w:r w:rsidRPr="00950145">
        <w:t xml:space="preserve">p-value                             &lt;0.001                                             </w:t>
      </w:r>
    </w:p>
    <w:p w14:paraId="02125E75" w14:textId="0B70CE19" w:rsidR="00574C4B" w:rsidRDefault="00F857FC" w:rsidP="00F857FC">
      <w:pPr>
        <w:spacing w:line="480" w:lineRule="auto"/>
        <w:jc w:val="both"/>
      </w:pPr>
      <w:r w:rsidRPr="00950145">
        <w:t xml:space="preserve">Remark                      </w:t>
      </w:r>
      <w:r w:rsidR="00574C4B">
        <w:rPr>
          <w:lang w:val="en-GB"/>
        </w:rPr>
        <w:t xml:space="preserve">    </w:t>
      </w:r>
      <w:r w:rsidRPr="00950145">
        <w:t xml:space="preserve">   S                                                     </w:t>
      </w:r>
    </w:p>
    <w:p w14:paraId="7BF3CF62" w14:textId="11624589" w:rsidR="00F857FC" w:rsidRPr="00950145" w:rsidRDefault="00F857FC" w:rsidP="00F857FC">
      <w:pPr>
        <w:spacing w:line="480" w:lineRule="auto"/>
        <w:jc w:val="both"/>
      </w:pPr>
      <w:r w:rsidRPr="00950145">
        <w:t>_________________________________________</w:t>
      </w:r>
    </w:p>
    <w:p w14:paraId="31F2DF38" w14:textId="38684B3C" w:rsidR="009C207D" w:rsidRDefault="00F857FC" w:rsidP="00F857FC">
      <w:pPr>
        <w:spacing w:line="480" w:lineRule="auto"/>
        <w:jc w:val="both"/>
        <w:rPr>
          <w:b/>
          <w:bCs/>
        </w:rPr>
      </w:pPr>
      <w:r w:rsidRPr="00C70465">
        <w:rPr>
          <w:b/>
          <w:bCs/>
        </w:rPr>
        <w:t>Key: S – Significant, n – number of subjects</w:t>
      </w:r>
    </w:p>
    <w:p w14:paraId="57813E2E" w14:textId="77777777" w:rsidR="00574C4B" w:rsidRDefault="00574C4B" w:rsidP="00F857FC">
      <w:pPr>
        <w:spacing w:line="480" w:lineRule="auto"/>
        <w:jc w:val="both"/>
        <w:rPr>
          <w:b/>
          <w:bCs/>
        </w:rPr>
      </w:pPr>
    </w:p>
    <w:p w14:paraId="419948A9" w14:textId="77777777" w:rsidR="00574C4B" w:rsidRDefault="00574C4B" w:rsidP="00F857FC">
      <w:pPr>
        <w:spacing w:line="480" w:lineRule="auto"/>
        <w:jc w:val="both"/>
        <w:rPr>
          <w:b/>
          <w:bCs/>
        </w:rPr>
      </w:pPr>
    </w:p>
    <w:p w14:paraId="048B82D6" w14:textId="77777777" w:rsidR="00574C4B" w:rsidRDefault="00574C4B" w:rsidP="00F857FC">
      <w:pPr>
        <w:spacing w:line="480" w:lineRule="auto"/>
        <w:jc w:val="both"/>
        <w:rPr>
          <w:b/>
          <w:bCs/>
        </w:rPr>
      </w:pPr>
    </w:p>
    <w:p w14:paraId="2F7E48FB" w14:textId="77777777" w:rsidR="00574C4B" w:rsidRDefault="00574C4B" w:rsidP="00F857FC">
      <w:pPr>
        <w:spacing w:line="480" w:lineRule="auto"/>
        <w:jc w:val="both"/>
        <w:rPr>
          <w:b/>
          <w:bCs/>
        </w:rPr>
      </w:pPr>
    </w:p>
    <w:p w14:paraId="3572D0D7" w14:textId="77777777" w:rsidR="00574C4B" w:rsidRDefault="00574C4B" w:rsidP="00F857FC">
      <w:pPr>
        <w:spacing w:line="480" w:lineRule="auto"/>
        <w:jc w:val="both"/>
        <w:rPr>
          <w:b/>
          <w:bCs/>
        </w:rPr>
      </w:pPr>
    </w:p>
    <w:p w14:paraId="117BC440" w14:textId="77777777" w:rsidR="00574C4B" w:rsidRDefault="00574C4B" w:rsidP="00F857FC">
      <w:pPr>
        <w:spacing w:line="480" w:lineRule="auto"/>
        <w:jc w:val="both"/>
        <w:rPr>
          <w:b/>
          <w:bCs/>
        </w:rPr>
      </w:pPr>
    </w:p>
    <w:p w14:paraId="187D2778" w14:textId="77777777" w:rsidR="00574C4B" w:rsidRDefault="00574C4B" w:rsidP="00F857FC">
      <w:pPr>
        <w:spacing w:line="480" w:lineRule="auto"/>
        <w:jc w:val="both"/>
        <w:rPr>
          <w:b/>
          <w:bCs/>
        </w:rPr>
      </w:pPr>
    </w:p>
    <w:p w14:paraId="3B913DF9" w14:textId="77777777" w:rsidR="00574C4B" w:rsidRDefault="00574C4B" w:rsidP="00F857FC">
      <w:pPr>
        <w:spacing w:line="480" w:lineRule="auto"/>
        <w:jc w:val="both"/>
        <w:rPr>
          <w:b/>
          <w:bCs/>
        </w:rPr>
      </w:pPr>
    </w:p>
    <w:p w14:paraId="6B633DDD" w14:textId="21F2D1DA" w:rsidR="00B17B81" w:rsidRDefault="00C70465" w:rsidP="00F857FC">
      <w:pPr>
        <w:spacing w:line="480" w:lineRule="auto"/>
        <w:jc w:val="both"/>
        <w:rPr>
          <w:b/>
          <w:bCs/>
        </w:rPr>
      </w:pPr>
      <w:r w:rsidRPr="00783D92">
        <w:rPr>
          <w:noProof/>
        </w:rPr>
        <w:lastRenderedPageBreak/>
        <w:drawing>
          <wp:inline distT="0" distB="0" distL="0" distR="0" wp14:anchorId="69AF9F4F" wp14:editId="117F9017">
            <wp:extent cx="4572000" cy="2743200"/>
            <wp:effectExtent l="19050" t="0" r="19050" b="0"/>
            <wp:docPr id="934442811" name="Chart 9344428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897106" w14:textId="7CD9252E" w:rsidR="00574C4B" w:rsidRPr="00574C4B" w:rsidRDefault="00574C4B" w:rsidP="00574C4B">
      <w:pPr>
        <w:spacing w:line="480" w:lineRule="auto"/>
        <w:jc w:val="both"/>
        <w:rPr>
          <w:b/>
          <w:bCs/>
          <w:lang w:val="en-GB"/>
        </w:rPr>
      </w:pPr>
      <w:r>
        <w:rPr>
          <w:b/>
          <w:bCs/>
          <w:lang w:val="en-GB"/>
        </w:rPr>
        <w:t xml:space="preserve">Fig. </w:t>
      </w:r>
      <w:r w:rsidR="004461EA">
        <w:rPr>
          <w:b/>
          <w:bCs/>
          <w:lang w:val="en-GB"/>
        </w:rPr>
        <w:t xml:space="preserve">3 - </w:t>
      </w:r>
      <w:r w:rsidRPr="00574C4B">
        <w:rPr>
          <w:lang w:val="en-GB"/>
        </w:rPr>
        <w:t>Graphical representation of</w:t>
      </w:r>
      <w:r>
        <w:rPr>
          <w:b/>
          <w:bCs/>
          <w:lang w:val="en-GB"/>
        </w:rPr>
        <w:t xml:space="preserve"> </w:t>
      </w:r>
      <w:r w:rsidRPr="009D45AB">
        <w:t xml:space="preserve">Glutamic Acid </w:t>
      </w:r>
      <w:r>
        <w:t>Levels</w:t>
      </w:r>
      <w:r w:rsidRPr="009D45AB">
        <w:t xml:space="preserve"> in Cancer Patients and Healthy </w:t>
      </w:r>
      <w:r>
        <w:t>Controls</w:t>
      </w:r>
    </w:p>
    <w:p w14:paraId="21069A4B" w14:textId="21C1D6D6" w:rsidR="00574C4B" w:rsidRPr="00574C4B" w:rsidRDefault="00574C4B" w:rsidP="00F857FC">
      <w:pPr>
        <w:spacing w:line="480" w:lineRule="auto"/>
        <w:jc w:val="both"/>
        <w:rPr>
          <w:b/>
          <w:bCs/>
          <w:lang w:val="en-GB"/>
        </w:rPr>
      </w:pPr>
    </w:p>
    <w:p w14:paraId="0F249190" w14:textId="6149AEDB" w:rsidR="00E73FAF" w:rsidRPr="00192628" w:rsidRDefault="00F857FC" w:rsidP="00F857FC">
      <w:pPr>
        <w:spacing w:line="480" w:lineRule="auto"/>
        <w:jc w:val="both"/>
      </w:pPr>
      <w:r w:rsidRPr="00B17B81">
        <w:rPr>
          <w:b/>
          <w:bCs/>
        </w:rPr>
        <w:t>Table 4</w:t>
      </w:r>
      <w:r>
        <w:t xml:space="preserve"> shows the </w:t>
      </w:r>
      <w:r w:rsidRPr="00950145">
        <w:t xml:space="preserve">levels of glutamic acid </w:t>
      </w:r>
      <w:r>
        <w:t xml:space="preserve">in different cancer stages. Glutamic acid levels </w:t>
      </w:r>
      <w:r w:rsidRPr="00950145">
        <w:t xml:space="preserve">progressively increase with the cancer stage, with the highest value observed in Stage IV (150.93 ± 12.54), followed by Stage III (134.25 ± 12.12) and then Stage I-II (124.52 ± 5.29). Hence, the proportional increase of the </w:t>
      </w:r>
      <w:r>
        <w:t xml:space="preserve">glutamic </w:t>
      </w:r>
      <w:r w:rsidRPr="00950145">
        <w:t>acid levels with the stages is statistically significant (p-value 0.001). Base</w:t>
      </w:r>
      <w:r>
        <w:t>d</w:t>
      </w:r>
      <w:r w:rsidRPr="00950145">
        <w:t xml:space="preserve"> on the age, subjects in the Stage III have a higher mean age (52.87 ± 10.77) than Stage I-II (49.38 ± 16.44) and Stage IV (48.07 ± 15. 01), however the differences in age between the different stages of cancer are not statistically significant (p-value 0.653).</w:t>
      </w:r>
    </w:p>
    <w:p w14:paraId="691E6679" w14:textId="77777777" w:rsidR="00574C4B" w:rsidRDefault="00574C4B" w:rsidP="00F857FC">
      <w:pPr>
        <w:spacing w:line="480" w:lineRule="auto"/>
        <w:jc w:val="both"/>
        <w:rPr>
          <w:b/>
          <w:bCs/>
        </w:rPr>
      </w:pPr>
    </w:p>
    <w:p w14:paraId="2877E81F" w14:textId="77777777" w:rsidR="00574C4B" w:rsidRDefault="00574C4B" w:rsidP="00F857FC">
      <w:pPr>
        <w:spacing w:line="480" w:lineRule="auto"/>
        <w:jc w:val="both"/>
        <w:rPr>
          <w:b/>
          <w:bCs/>
        </w:rPr>
      </w:pPr>
    </w:p>
    <w:p w14:paraId="698B71F7" w14:textId="77777777" w:rsidR="00574C4B" w:rsidRDefault="00574C4B" w:rsidP="00F857FC">
      <w:pPr>
        <w:spacing w:line="480" w:lineRule="auto"/>
        <w:jc w:val="both"/>
        <w:rPr>
          <w:b/>
          <w:bCs/>
        </w:rPr>
      </w:pPr>
    </w:p>
    <w:p w14:paraId="072F8417" w14:textId="77777777" w:rsidR="00574C4B" w:rsidRDefault="00574C4B" w:rsidP="00F857FC">
      <w:pPr>
        <w:spacing w:line="480" w:lineRule="auto"/>
        <w:jc w:val="both"/>
        <w:rPr>
          <w:b/>
          <w:bCs/>
        </w:rPr>
      </w:pPr>
    </w:p>
    <w:p w14:paraId="582A7714" w14:textId="77777777" w:rsidR="004461EA" w:rsidRDefault="004461EA" w:rsidP="00F857FC">
      <w:pPr>
        <w:spacing w:line="480" w:lineRule="auto"/>
        <w:jc w:val="both"/>
        <w:rPr>
          <w:b/>
          <w:bCs/>
        </w:rPr>
      </w:pPr>
    </w:p>
    <w:p w14:paraId="07FAACB2" w14:textId="77777777" w:rsidR="00574C4B" w:rsidRDefault="00574C4B" w:rsidP="00F857FC">
      <w:pPr>
        <w:spacing w:line="480" w:lineRule="auto"/>
        <w:jc w:val="both"/>
        <w:rPr>
          <w:b/>
          <w:bCs/>
        </w:rPr>
      </w:pPr>
    </w:p>
    <w:p w14:paraId="254A8AE4" w14:textId="44EB0A65" w:rsidR="00F857FC" w:rsidRPr="00950145" w:rsidRDefault="00F857FC" w:rsidP="00F857FC">
      <w:pPr>
        <w:spacing w:line="480" w:lineRule="auto"/>
        <w:jc w:val="both"/>
        <w:rPr>
          <w:b/>
          <w:bCs/>
        </w:rPr>
      </w:pPr>
      <w:r w:rsidRPr="007F0885">
        <w:rPr>
          <w:b/>
          <w:bCs/>
        </w:rPr>
        <w:lastRenderedPageBreak/>
        <w:t>Table 4</w:t>
      </w:r>
      <w:r>
        <w:rPr>
          <w:b/>
          <w:bCs/>
        </w:rPr>
        <w:t xml:space="preserve"> </w:t>
      </w:r>
      <w:r w:rsidRPr="00950145">
        <w:rPr>
          <w:b/>
          <w:bCs/>
        </w:rPr>
        <w:t xml:space="preserve">Comparison of the Levels of Glutamic Acid and Age </w:t>
      </w:r>
      <w:r w:rsidR="009C207D">
        <w:rPr>
          <w:b/>
          <w:bCs/>
        </w:rPr>
        <w:t>Based</w:t>
      </w:r>
      <w:r w:rsidRPr="00950145">
        <w:rPr>
          <w:b/>
          <w:bCs/>
        </w:rPr>
        <w:t xml:space="preserve"> on the Cancer Stages</w:t>
      </w:r>
    </w:p>
    <w:p w14:paraId="37BF051A" w14:textId="77777777" w:rsidR="00F857FC" w:rsidRPr="00950145" w:rsidRDefault="00F857FC" w:rsidP="00F857FC">
      <w:pPr>
        <w:spacing w:line="480" w:lineRule="auto"/>
        <w:jc w:val="both"/>
      </w:pPr>
      <w:r w:rsidRPr="00950145">
        <w:t>____________________________________________________________________________</w:t>
      </w:r>
    </w:p>
    <w:p w14:paraId="363379BB" w14:textId="77777777" w:rsidR="00F857FC" w:rsidRPr="00950145" w:rsidRDefault="00F857FC" w:rsidP="00F857FC">
      <w:pPr>
        <w:spacing w:line="480" w:lineRule="auto"/>
        <w:jc w:val="both"/>
      </w:pPr>
      <w:r w:rsidRPr="00950145">
        <w:t>Parameters (</w:t>
      </w:r>
      <w:proofErr w:type="gramStart"/>
      <w:r w:rsidRPr="00950145">
        <w:t xml:space="preserve">n)   </w:t>
      </w:r>
      <w:proofErr w:type="gramEnd"/>
      <w:r w:rsidRPr="00950145">
        <w:t xml:space="preserve">                      Glutamic acid (µmol/L)                  Age (years)</w:t>
      </w:r>
    </w:p>
    <w:p w14:paraId="6FD1D91E" w14:textId="77777777" w:rsidR="00F857FC" w:rsidRPr="00950145" w:rsidRDefault="00F857FC" w:rsidP="00F857FC">
      <w:pPr>
        <w:spacing w:line="480" w:lineRule="auto"/>
        <w:jc w:val="both"/>
      </w:pPr>
      <w:r w:rsidRPr="00950145">
        <w:t>____________________________________________________________________________</w:t>
      </w:r>
    </w:p>
    <w:p w14:paraId="60833A19" w14:textId="77777777" w:rsidR="00F857FC" w:rsidRPr="00950145" w:rsidRDefault="00F857FC" w:rsidP="00F857FC">
      <w:pPr>
        <w:spacing w:line="480" w:lineRule="auto"/>
        <w:jc w:val="both"/>
      </w:pPr>
      <w:r w:rsidRPr="00950145">
        <w:t>Stage I and II                        124.52 ± 5.29</w:t>
      </w:r>
      <w:r w:rsidRPr="00950145">
        <w:rPr>
          <w:vertAlign w:val="superscript"/>
        </w:rPr>
        <w:t>a</w:t>
      </w:r>
      <w:r w:rsidRPr="00950145">
        <w:t xml:space="preserve"> (21)                    49.38 ± 16.44</w:t>
      </w:r>
      <w:r w:rsidRPr="00950145">
        <w:rPr>
          <w:vertAlign w:val="superscript"/>
        </w:rPr>
        <w:t>a</w:t>
      </w:r>
      <w:r w:rsidRPr="00950145">
        <w:t xml:space="preserve"> (21)</w:t>
      </w:r>
    </w:p>
    <w:p w14:paraId="2558C7FF" w14:textId="77777777" w:rsidR="00F857FC" w:rsidRPr="00950145" w:rsidRDefault="00F857FC" w:rsidP="00F857FC">
      <w:pPr>
        <w:spacing w:line="480" w:lineRule="auto"/>
        <w:jc w:val="both"/>
      </w:pPr>
      <w:r w:rsidRPr="00950145">
        <w:t>Stage III                                134.25 ± 12.12</w:t>
      </w:r>
      <w:r w:rsidRPr="00950145">
        <w:rPr>
          <w:vertAlign w:val="superscript"/>
        </w:rPr>
        <w:t>b</w:t>
      </w:r>
      <w:r w:rsidRPr="00950145">
        <w:t xml:space="preserve"> (15)                  52.87 ± 10.77</w:t>
      </w:r>
      <w:r w:rsidRPr="00950145">
        <w:rPr>
          <w:vertAlign w:val="superscript"/>
        </w:rPr>
        <w:t>a</w:t>
      </w:r>
      <w:r w:rsidRPr="00950145">
        <w:t xml:space="preserve"> (15)</w:t>
      </w:r>
    </w:p>
    <w:p w14:paraId="59FD3F3A" w14:textId="77777777" w:rsidR="00F857FC" w:rsidRPr="00950145" w:rsidRDefault="00F857FC" w:rsidP="00F857FC">
      <w:pPr>
        <w:spacing w:line="480" w:lineRule="auto"/>
        <w:jc w:val="both"/>
      </w:pPr>
      <w:r w:rsidRPr="00950145">
        <w:t>Stage IV                                150.93 ± 12.54</w:t>
      </w:r>
      <w:r w:rsidRPr="00950145">
        <w:rPr>
          <w:vertAlign w:val="superscript"/>
        </w:rPr>
        <w:t>c</w:t>
      </w:r>
      <w:r w:rsidRPr="00950145">
        <w:t xml:space="preserve"> (14)                  48.07 ± 15. 01</w:t>
      </w:r>
      <w:r w:rsidRPr="00950145">
        <w:rPr>
          <w:vertAlign w:val="superscript"/>
        </w:rPr>
        <w:t xml:space="preserve">a </w:t>
      </w:r>
      <w:r w:rsidRPr="00950145">
        <w:t>(14)</w:t>
      </w:r>
    </w:p>
    <w:p w14:paraId="636F79BF" w14:textId="77777777" w:rsidR="00F857FC" w:rsidRPr="00950145" w:rsidRDefault="00F857FC" w:rsidP="00F857FC">
      <w:pPr>
        <w:spacing w:line="480" w:lineRule="auto"/>
        <w:jc w:val="both"/>
      </w:pPr>
      <w:r w:rsidRPr="00950145">
        <w:t>F-ratio                                   29.572                                         0.430</w:t>
      </w:r>
    </w:p>
    <w:p w14:paraId="469E80E2" w14:textId="77777777" w:rsidR="00F857FC" w:rsidRPr="00950145" w:rsidRDefault="00F857FC" w:rsidP="00F857FC">
      <w:pPr>
        <w:spacing w:line="480" w:lineRule="auto"/>
        <w:jc w:val="both"/>
      </w:pPr>
      <w:r w:rsidRPr="00950145">
        <w:t>p-value                                  &lt;0.001                                         0.653</w:t>
      </w:r>
    </w:p>
    <w:p w14:paraId="49C3388A" w14:textId="77777777" w:rsidR="00F857FC" w:rsidRPr="00950145" w:rsidRDefault="00F857FC" w:rsidP="00F857FC">
      <w:pPr>
        <w:spacing w:line="480" w:lineRule="auto"/>
        <w:jc w:val="both"/>
      </w:pPr>
      <w:r w:rsidRPr="00950145">
        <w:t>Remark                                   S                                                NS</w:t>
      </w:r>
    </w:p>
    <w:p w14:paraId="615CE930" w14:textId="77777777" w:rsidR="00F857FC" w:rsidRPr="00950145" w:rsidRDefault="00F857FC" w:rsidP="00F857FC">
      <w:pPr>
        <w:spacing w:line="480" w:lineRule="auto"/>
        <w:jc w:val="both"/>
      </w:pPr>
      <w:r w:rsidRPr="00950145">
        <w:t>______________________________________________________________________________</w:t>
      </w:r>
    </w:p>
    <w:p w14:paraId="446AB539" w14:textId="7AC3DFFD" w:rsidR="00F857FC" w:rsidRPr="00950145" w:rsidRDefault="00F857FC" w:rsidP="00F857FC">
      <w:pPr>
        <w:spacing w:line="480" w:lineRule="auto"/>
        <w:jc w:val="both"/>
      </w:pPr>
      <w:r w:rsidRPr="00950145">
        <w:t xml:space="preserve">Key: S – significant (p&lt;0.05), NS – </w:t>
      </w:r>
      <w:r>
        <w:t>N</w:t>
      </w:r>
      <w:r w:rsidRPr="00950145">
        <w:t>on</w:t>
      </w:r>
      <w:r>
        <w:t>-S</w:t>
      </w:r>
      <w:r w:rsidRPr="00950145">
        <w:t xml:space="preserve">ignificant (p&gt;0.05), mean value with different </w:t>
      </w:r>
      <w:r w:rsidR="009C207D">
        <w:t>superscripts</w:t>
      </w:r>
      <w:r w:rsidRPr="00950145">
        <w:t xml:space="preserve"> are significantly different from each other in the same column and vice versa</w:t>
      </w:r>
    </w:p>
    <w:p w14:paraId="4CB71CEE" w14:textId="77777777" w:rsidR="00F857FC" w:rsidRPr="007F0885" w:rsidRDefault="00F857FC" w:rsidP="00F857FC">
      <w:pPr>
        <w:rPr>
          <w:b/>
          <w:bCs/>
        </w:rPr>
      </w:pPr>
    </w:p>
    <w:p w14:paraId="72325003" w14:textId="77777777" w:rsidR="00F857FC" w:rsidRDefault="00F857FC" w:rsidP="00F857FC"/>
    <w:p w14:paraId="0F348AA3" w14:textId="0BFF43A0" w:rsidR="00F857FC" w:rsidRPr="000D3D58" w:rsidRDefault="009C207D" w:rsidP="00B17B81">
      <w:pPr>
        <w:spacing w:line="360" w:lineRule="auto"/>
        <w:jc w:val="both"/>
      </w:pPr>
      <w:r w:rsidRPr="00B17B81">
        <w:rPr>
          <w:b/>
          <w:bCs/>
        </w:rPr>
        <w:t>Table</w:t>
      </w:r>
      <w:r w:rsidR="00F857FC" w:rsidRPr="00B17B81">
        <w:rPr>
          <w:b/>
          <w:bCs/>
        </w:rPr>
        <w:t xml:space="preserve"> 5</w:t>
      </w:r>
      <w:r w:rsidR="00F857FC">
        <w:t xml:space="preserve"> </w:t>
      </w:r>
      <w:r>
        <w:t xml:space="preserve">shows that </w:t>
      </w:r>
      <w:r w:rsidR="00F857FC" w:rsidRPr="00950145">
        <w:t xml:space="preserve">Glutamic acid levels </w:t>
      </w:r>
      <w:r>
        <w:t xml:space="preserve">based on sex </w:t>
      </w:r>
      <w:r w:rsidR="00F857FC" w:rsidRPr="00950145">
        <w:t>were significantly higher in female cancer subjects (136.97 ± 15.14) compared to their male counterparts (125.11 ± 6.27)</w:t>
      </w:r>
      <w:r w:rsidR="00092C2F">
        <w:t xml:space="preserve"> </w:t>
      </w:r>
      <w:r w:rsidR="00F857FC" w:rsidRPr="00950145">
        <w:t xml:space="preserve">(p-value 0.026). On the other hand, the levels of glutamic acid in the control subjects were </w:t>
      </w:r>
      <w:r w:rsidR="00092C2F">
        <w:t>not significantly different</w:t>
      </w:r>
      <w:r w:rsidR="00F857FC" w:rsidRPr="00950145">
        <w:t xml:space="preserve"> in males (105.02 ± 8.79) </w:t>
      </w:r>
      <w:r w:rsidR="00092C2F">
        <w:t>when compared to the</w:t>
      </w:r>
      <w:r w:rsidR="00F857FC" w:rsidRPr="00950145">
        <w:t xml:space="preserve"> females (99.69 ± 11.90)</w:t>
      </w:r>
      <w:r w:rsidR="00092C2F">
        <w:t xml:space="preserve"> </w:t>
      </w:r>
      <w:r w:rsidR="00F857FC" w:rsidRPr="00950145">
        <w:t>(p-value 0.093).</w:t>
      </w:r>
    </w:p>
    <w:p w14:paraId="49011758" w14:textId="77777777" w:rsidR="00092C2F" w:rsidRDefault="00092C2F" w:rsidP="00F857FC">
      <w:pPr>
        <w:spacing w:line="480" w:lineRule="auto"/>
        <w:jc w:val="both"/>
        <w:rPr>
          <w:b/>
          <w:bCs/>
        </w:rPr>
      </w:pPr>
    </w:p>
    <w:p w14:paraId="1CCCA858" w14:textId="77777777" w:rsidR="00092C2F" w:rsidRDefault="00092C2F" w:rsidP="00F857FC">
      <w:pPr>
        <w:spacing w:line="480" w:lineRule="auto"/>
        <w:jc w:val="both"/>
        <w:rPr>
          <w:b/>
          <w:bCs/>
        </w:rPr>
      </w:pPr>
    </w:p>
    <w:p w14:paraId="6201D043" w14:textId="77777777" w:rsidR="00B17B81" w:rsidRDefault="00B17B81" w:rsidP="00F857FC">
      <w:pPr>
        <w:spacing w:line="480" w:lineRule="auto"/>
        <w:jc w:val="both"/>
        <w:rPr>
          <w:b/>
          <w:bCs/>
        </w:rPr>
      </w:pPr>
    </w:p>
    <w:p w14:paraId="544F8254" w14:textId="77777777" w:rsidR="00B17B81" w:rsidRDefault="00B17B81" w:rsidP="00F857FC">
      <w:pPr>
        <w:spacing w:line="480" w:lineRule="auto"/>
        <w:jc w:val="both"/>
        <w:rPr>
          <w:b/>
          <w:bCs/>
        </w:rPr>
      </w:pPr>
    </w:p>
    <w:p w14:paraId="1D6AB637" w14:textId="77777777" w:rsidR="00B17B81" w:rsidRDefault="00B17B81" w:rsidP="00F857FC">
      <w:pPr>
        <w:spacing w:line="480" w:lineRule="auto"/>
        <w:jc w:val="both"/>
        <w:rPr>
          <w:b/>
          <w:bCs/>
        </w:rPr>
      </w:pPr>
    </w:p>
    <w:p w14:paraId="4B56FE0F" w14:textId="77777777" w:rsidR="00092C2F" w:rsidRDefault="00092C2F" w:rsidP="00F857FC">
      <w:pPr>
        <w:spacing w:line="480" w:lineRule="auto"/>
        <w:jc w:val="both"/>
        <w:rPr>
          <w:b/>
          <w:bCs/>
        </w:rPr>
      </w:pPr>
    </w:p>
    <w:p w14:paraId="6DB75951" w14:textId="635D55FF" w:rsidR="00F857FC" w:rsidRPr="00950145" w:rsidRDefault="00F857FC" w:rsidP="00F857FC">
      <w:pPr>
        <w:spacing w:line="480" w:lineRule="auto"/>
        <w:jc w:val="both"/>
        <w:rPr>
          <w:b/>
          <w:bCs/>
        </w:rPr>
      </w:pPr>
      <w:r w:rsidRPr="007F0885">
        <w:rPr>
          <w:b/>
          <w:bCs/>
        </w:rPr>
        <w:lastRenderedPageBreak/>
        <w:t>Table 5</w:t>
      </w:r>
      <w:r w:rsidR="00092C2F">
        <w:rPr>
          <w:b/>
          <w:bCs/>
        </w:rPr>
        <w:t>:</w:t>
      </w:r>
      <w:r>
        <w:t xml:space="preserve"> </w:t>
      </w:r>
      <w:r w:rsidRPr="007F0885">
        <w:t xml:space="preserve">Mean ± SD of Glutamic </w:t>
      </w:r>
      <w:r w:rsidR="009C207D">
        <w:t>Acid</w:t>
      </w:r>
      <w:r w:rsidRPr="007F0885">
        <w:t xml:space="preserve"> Levels of Cancer Subjects and </w:t>
      </w:r>
      <w:r w:rsidR="009C207D">
        <w:t>Controls</w:t>
      </w:r>
      <w:r w:rsidRPr="007F0885">
        <w:t xml:space="preserve"> based on Sex</w:t>
      </w:r>
    </w:p>
    <w:p w14:paraId="2DEA6AEB" w14:textId="77777777" w:rsidR="00F857FC" w:rsidRPr="00950145" w:rsidRDefault="00F857FC" w:rsidP="00F857FC">
      <w:pPr>
        <w:spacing w:line="480" w:lineRule="auto"/>
        <w:jc w:val="both"/>
      </w:pPr>
      <w:r w:rsidRPr="00950145">
        <w:t>________________________________________________________________________</w:t>
      </w:r>
    </w:p>
    <w:p w14:paraId="151481D4" w14:textId="77777777" w:rsidR="00F857FC" w:rsidRPr="00950145" w:rsidRDefault="00F857FC" w:rsidP="00F857FC">
      <w:pPr>
        <w:spacing w:line="480" w:lineRule="auto"/>
        <w:jc w:val="both"/>
      </w:pPr>
      <w:r w:rsidRPr="00950145">
        <w:t>Subjects (</w:t>
      </w:r>
      <w:proofErr w:type="gramStart"/>
      <w:r w:rsidRPr="00950145">
        <w:t xml:space="preserve">n)   </w:t>
      </w:r>
      <w:proofErr w:type="gramEnd"/>
      <w:r w:rsidRPr="00950145">
        <w:t xml:space="preserve">                       Glutamic acid (µmol/L)               Glutamic acid (µmol/L)</w:t>
      </w:r>
    </w:p>
    <w:p w14:paraId="4EC56E4B" w14:textId="77777777" w:rsidR="00F857FC" w:rsidRPr="00950145" w:rsidRDefault="00F857FC" w:rsidP="00F857FC">
      <w:pPr>
        <w:spacing w:line="480" w:lineRule="auto"/>
        <w:jc w:val="both"/>
      </w:pPr>
      <w:r w:rsidRPr="00950145">
        <w:t xml:space="preserve">                                                 Cancer                                             Control</w:t>
      </w:r>
    </w:p>
    <w:p w14:paraId="072509A4" w14:textId="77777777" w:rsidR="00F857FC" w:rsidRPr="00950145" w:rsidRDefault="00F857FC" w:rsidP="00F857FC">
      <w:pPr>
        <w:spacing w:line="480" w:lineRule="auto"/>
        <w:jc w:val="both"/>
      </w:pPr>
      <w:r w:rsidRPr="00950145">
        <w:t>________________________________________________________________________</w:t>
      </w:r>
    </w:p>
    <w:p w14:paraId="32EF9C9D" w14:textId="77777777" w:rsidR="00F857FC" w:rsidRPr="00950145" w:rsidRDefault="00F857FC" w:rsidP="00F857FC">
      <w:pPr>
        <w:spacing w:line="480" w:lineRule="auto"/>
        <w:jc w:val="both"/>
      </w:pPr>
      <w:r w:rsidRPr="00950145">
        <w:t>Female                             136.97 ± 15.14 (41)                       99.69 ± 11.90 (30)</w:t>
      </w:r>
    </w:p>
    <w:p w14:paraId="2D580A2E" w14:textId="77777777" w:rsidR="00F857FC" w:rsidRPr="00950145" w:rsidRDefault="00F857FC" w:rsidP="00F857FC">
      <w:pPr>
        <w:spacing w:line="480" w:lineRule="auto"/>
        <w:jc w:val="both"/>
      </w:pPr>
      <w:r w:rsidRPr="00950145">
        <w:t>Male                                 125.11 ± 6.27 (9)                           105.02 ± 8.79 (20)</w:t>
      </w:r>
    </w:p>
    <w:p w14:paraId="258B43B4" w14:textId="77777777" w:rsidR="00F857FC" w:rsidRPr="00950145" w:rsidRDefault="00F857FC" w:rsidP="00F857FC">
      <w:pPr>
        <w:spacing w:line="480" w:lineRule="auto"/>
        <w:jc w:val="both"/>
      </w:pPr>
      <w:r w:rsidRPr="00950145">
        <w:t>t-value                              2.291                                             -1.712</w:t>
      </w:r>
    </w:p>
    <w:p w14:paraId="6AB124AF" w14:textId="77777777" w:rsidR="00F857FC" w:rsidRPr="00950145" w:rsidRDefault="00F857FC" w:rsidP="00F857FC">
      <w:pPr>
        <w:spacing w:line="480" w:lineRule="auto"/>
        <w:jc w:val="both"/>
      </w:pPr>
      <w:r w:rsidRPr="00950145">
        <w:t>p-value                             0.026                                              0.093</w:t>
      </w:r>
    </w:p>
    <w:p w14:paraId="28D934AD" w14:textId="77777777" w:rsidR="00F857FC" w:rsidRPr="00950145" w:rsidRDefault="00F857FC" w:rsidP="00F857FC">
      <w:pPr>
        <w:spacing w:line="480" w:lineRule="auto"/>
        <w:jc w:val="both"/>
      </w:pPr>
      <w:r w:rsidRPr="00950145">
        <w:t xml:space="preserve">Remark                             </w:t>
      </w:r>
      <w:r>
        <w:t xml:space="preserve"> </w:t>
      </w:r>
      <w:r w:rsidRPr="00950145">
        <w:t xml:space="preserve">S                                                   </w:t>
      </w:r>
      <w:r>
        <w:t xml:space="preserve"> </w:t>
      </w:r>
      <w:r w:rsidRPr="00950145">
        <w:t xml:space="preserve"> NS</w:t>
      </w:r>
    </w:p>
    <w:p w14:paraId="2FC6A84A" w14:textId="77777777" w:rsidR="00F857FC" w:rsidRPr="00950145" w:rsidRDefault="00F857FC" w:rsidP="00F857FC">
      <w:pPr>
        <w:spacing w:line="480" w:lineRule="auto"/>
        <w:jc w:val="both"/>
      </w:pPr>
      <w:r w:rsidRPr="00950145">
        <w:t>________________________________________________________________________</w:t>
      </w:r>
    </w:p>
    <w:p w14:paraId="7DFA267C" w14:textId="0CC9FB63" w:rsidR="00F857FC" w:rsidRDefault="00F857FC" w:rsidP="00F618C0">
      <w:pPr>
        <w:spacing w:line="480" w:lineRule="auto"/>
        <w:jc w:val="both"/>
      </w:pPr>
      <w:r w:rsidRPr="00950145">
        <w:t xml:space="preserve">Key: NS – </w:t>
      </w:r>
      <w:r>
        <w:t>N</w:t>
      </w:r>
      <w:r w:rsidRPr="00950145">
        <w:t>on</w:t>
      </w:r>
      <w:r>
        <w:t>-S</w:t>
      </w:r>
      <w:r w:rsidRPr="00950145">
        <w:t xml:space="preserve">ignificant, S </w:t>
      </w:r>
      <w:r w:rsidR="00742253">
        <w:t>–</w:t>
      </w:r>
      <w:r w:rsidRPr="00950145">
        <w:t xml:space="preserve"> </w:t>
      </w:r>
      <w:r>
        <w:t>S</w:t>
      </w:r>
      <w:r w:rsidRPr="00950145">
        <w:t>ignificant</w:t>
      </w:r>
    </w:p>
    <w:p w14:paraId="276A7F97" w14:textId="77777777" w:rsidR="00742253" w:rsidRDefault="00742253" w:rsidP="00F618C0">
      <w:pPr>
        <w:spacing w:line="480" w:lineRule="auto"/>
        <w:jc w:val="both"/>
      </w:pPr>
    </w:p>
    <w:p w14:paraId="2397DDC0" w14:textId="3A01BD78" w:rsidR="00742253" w:rsidRDefault="00742253" w:rsidP="00742253">
      <w:pPr>
        <w:pStyle w:val="NoSpacing"/>
      </w:pPr>
      <w:r w:rsidRPr="00742253">
        <w:rPr>
          <w:b/>
          <w:bCs/>
          <w:lang w:val="en-GB"/>
        </w:rPr>
        <w:t>Table 6:</w:t>
      </w:r>
      <w:r>
        <w:rPr>
          <w:lang w:val="en-GB"/>
        </w:rPr>
        <w:t xml:space="preserve"> </w:t>
      </w:r>
      <w:r>
        <w:rPr>
          <w:b/>
          <w:bCs/>
          <w:lang w:val="en-GB"/>
        </w:rPr>
        <w:t>C</w:t>
      </w:r>
      <w:proofErr w:type="spellStart"/>
      <w:r w:rsidRPr="00742253">
        <w:rPr>
          <w:b/>
          <w:bCs/>
        </w:rPr>
        <w:t>olumn</w:t>
      </w:r>
      <w:proofErr w:type="spellEnd"/>
      <w:r w:rsidRPr="00742253">
        <w:rPr>
          <w:b/>
          <w:bCs/>
        </w:rPr>
        <w:t xml:space="preserve"> chart of the </w:t>
      </w:r>
      <w:r>
        <w:rPr>
          <w:b/>
          <w:bCs/>
          <w:lang w:val="en-GB"/>
        </w:rPr>
        <w:t>d</w:t>
      </w:r>
      <w:proofErr w:type="spellStart"/>
      <w:r w:rsidRPr="00742253">
        <w:rPr>
          <w:b/>
          <w:bCs/>
        </w:rPr>
        <w:t>ifferent</w:t>
      </w:r>
      <w:proofErr w:type="spellEnd"/>
      <w:r w:rsidRPr="00742253">
        <w:rPr>
          <w:b/>
          <w:bCs/>
        </w:rPr>
        <w:t xml:space="preserve"> Cancer </w:t>
      </w:r>
      <w:r>
        <w:rPr>
          <w:b/>
          <w:bCs/>
          <w:lang w:val="en-GB"/>
        </w:rPr>
        <w:t xml:space="preserve">types </w:t>
      </w:r>
    </w:p>
    <w:p w14:paraId="1422C18E" w14:textId="77777777" w:rsidR="00742253" w:rsidRPr="00BC2DB0" w:rsidRDefault="00742253" w:rsidP="00742253">
      <w:pPr>
        <w:spacing w:line="480" w:lineRule="auto"/>
        <w:jc w:val="both"/>
      </w:pPr>
      <w:r>
        <w:t>This chart presents the number of cancer type in the recruited cancer subjects. The highest prevalence was breast cancer (31cases), followed by prostate and ductal cancer with 3 cases each, while just a case was observed across the others in the group recruited.</w:t>
      </w:r>
    </w:p>
    <w:p w14:paraId="7645D0A5" w14:textId="14681DE9" w:rsidR="00742253" w:rsidRDefault="00742253" w:rsidP="00F618C0">
      <w:pPr>
        <w:spacing w:line="480" w:lineRule="auto"/>
        <w:jc w:val="both"/>
        <w:rPr>
          <w:lang w:val="en-GB"/>
        </w:rPr>
      </w:pPr>
    </w:p>
    <w:p w14:paraId="7EF0379F" w14:textId="6092BEED" w:rsidR="00742253" w:rsidRPr="00742253" w:rsidRDefault="00742253" w:rsidP="00F618C0">
      <w:pPr>
        <w:spacing w:line="480" w:lineRule="auto"/>
        <w:jc w:val="both"/>
        <w:rPr>
          <w:lang w:val="en-GB"/>
        </w:rPr>
      </w:pPr>
      <w:r>
        <w:rPr>
          <w:noProof/>
        </w:rPr>
        <w:lastRenderedPageBreak/>
        <w:drawing>
          <wp:inline distT="0" distB="0" distL="0" distR="0" wp14:anchorId="78B38726" wp14:editId="577E1D63">
            <wp:extent cx="5651500" cy="3632200"/>
            <wp:effectExtent l="0" t="0" r="12700" b="12700"/>
            <wp:docPr id="1848771791" name="Chart 1">
              <a:extLst xmlns:a="http://schemas.openxmlformats.org/drawingml/2006/main">
                <a:ext uri="{FF2B5EF4-FFF2-40B4-BE49-F238E27FC236}">
                  <a16:creationId xmlns:a16="http://schemas.microsoft.com/office/drawing/2014/main" id="{FF4FA65F-FD58-6998-B22A-5E74964F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A35D8F" w14:textId="70272CC1" w:rsidR="00F857FC" w:rsidRPr="004461EA" w:rsidRDefault="00742253" w:rsidP="00F857FC">
      <w:pPr>
        <w:rPr>
          <w:lang w:val="en-GB"/>
        </w:rPr>
      </w:pPr>
      <w:r w:rsidRPr="004461EA">
        <w:rPr>
          <w:b/>
          <w:bCs/>
          <w:lang w:val="en-GB"/>
        </w:rPr>
        <w:t xml:space="preserve">Fig </w:t>
      </w:r>
      <w:r w:rsidR="004461EA" w:rsidRPr="004461EA">
        <w:rPr>
          <w:b/>
          <w:bCs/>
          <w:lang w:val="en-GB"/>
        </w:rPr>
        <w:t>4</w:t>
      </w:r>
      <w:r>
        <w:rPr>
          <w:lang w:val="en-GB"/>
        </w:rPr>
        <w:t xml:space="preserve">: </w:t>
      </w:r>
      <w:r w:rsidR="00446BE0" w:rsidRPr="004461EA">
        <w:rPr>
          <w:lang w:val="en-GB"/>
        </w:rPr>
        <w:t>C</w:t>
      </w:r>
      <w:proofErr w:type="spellStart"/>
      <w:r w:rsidR="00446BE0" w:rsidRPr="004461EA">
        <w:t>olumn</w:t>
      </w:r>
      <w:proofErr w:type="spellEnd"/>
      <w:r w:rsidR="00446BE0" w:rsidRPr="004461EA">
        <w:t xml:space="preserve"> chart of the </w:t>
      </w:r>
      <w:r w:rsidR="00446BE0" w:rsidRPr="004461EA">
        <w:rPr>
          <w:lang w:val="en-GB"/>
        </w:rPr>
        <w:t>d</w:t>
      </w:r>
      <w:proofErr w:type="spellStart"/>
      <w:r w:rsidR="00446BE0" w:rsidRPr="004461EA">
        <w:t>ifferent</w:t>
      </w:r>
      <w:proofErr w:type="spellEnd"/>
      <w:r w:rsidR="00446BE0" w:rsidRPr="004461EA">
        <w:t xml:space="preserve"> Cancer</w:t>
      </w:r>
      <w:r w:rsidR="00446BE0" w:rsidRPr="004461EA">
        <w:rPr>
          <w:lang w:val="en-GB"/>
        </w:rPr>
        <w:t xml:space="preserve"> types</w:t>
      </w:r>
    </w:p>
    <w:p w14:paraId="51AE5134" w14:textId="77777777" w:rsidR="00742253" w:rsidRPr="004461EA" w:rsidRDefault="00742253" w:rsidP="00F857FC">
      <w:pPr>
        <w:spacing w:line="480" w:lineRule="auto"/>
      </w:pPr>
    </w:p>
    <w:p w14:paraId="1648E9D4" w14:textId="13161849" w:rsidR="00F857FC" w:rsidRPr="007F0885" w:rsidRDefault="00F857FC" w:rsidP="00F857FC">
      <w:pPr>
        <w:spacing w:line="480" w:lineRule="auto"/>
        <w:rPr>
          <w:b/>
          <w:bCs/>
        </w:rPr>
      </w:pPr>
      <w:r w:rsidRPr="007F0885">
        <w:rPr>
          <w:b/>
          <w:bCs/>
        </w:rPr>
        <w:t xml:space="preserve">4.0 </w:t>
      </w:r>
      <w:r w:rsidR="00092C2F">
        <w:rPr>
          <w:b/>
          <w:bCs/>
        </w:rPr>
        <w:t>Discussion</w:t>
      </w:r>
    </w:p>
    <w:p w14:paraId="4046D1D5" w14:textId="0E0E8B61" w:rsidR="00F857FC" w:rsidRDefault="00F857FC" w:rsidP="00F857FC">
      <w:pPr>
        <w:spacing w:line="360" w:lineRule="auto"/>
        <w:jc w:val="both"/>
      </w:pPr>
      <w:r>
        <w:t>The</w:t>
      </w:r>
      <w:r w:rsidRPr="00950145">
        <w:t xml:space="preserve"> study</w:t>
      </w:r>
      <w:r w:rsidR="00D07D2D">
        <w:t xml:space="preserve"> </w:t>
      </w:r>
      <w:r w:rsidRPr="00950145">
        <w:t xml:space="preserve">evaluated the levels of glutamic acid in patients diagnosed and confirmed with cancer and healthy </w:t>
      </w:r>
      <w:r w:rsidR="004461EA">
        <w:rPr>
          <w:lang w:val="en-GB"/>
        </w:rPr>
        <w:t xml:space="preserve">control </w:t>
      </w:r>
      <w:r w:rsidR="007E5C15">
        <w:rPr>
          <w:lang w:val="en-GB"/>
        </w:rPr>
        <w:t>subjects</w:t>
      </w:r>
      <w:r w:rsidRPr="00950145">
        <w:t>. The result obtained from the social demographic data showed that cancer subjects have a higher age (50.06 ± 14.42) than the healthy control</w:t>
      </w:r>
      <w:r w:rsidR="00E73FAF">
        <w:rPr>
          <w:lang w:val="en-GB"/>
        </w:rPr>
        <w:t xml:space="preserve"> subjects</w:t>
      </w:r>
      <w:r w:rsidRPr="00950145">
        <w:t xml:space="preserve"> (27.04 ± 9.38)</w:t>
      </w:r>
      <w:r w:rsidR="004461EA">
        <w:rPr>
          <w:lang w:val="en-GB"/>
        </w:rPr>
        <w:t xml:space="preserve">. The healthy control subjects were mostly </w:t>
      </w:r>
      <w:r w:rsidR="00743C75">
        <w:rPr>
          <w:lang w:val="en-GB"/>
        </w:rPr>
        <w:t xml:space="preserve">students from the universities were the study was carried out, showing the difference in mean from the test subjects. </w:t>
      </w:r>
      <w:r w:rsidRPr="00950145">
        <w:t>This demonstrate</w:t>
      </w:r>
      <w:r w:rsidR="007E5C15">
        <w:rPr>
          <w:lang w:val="en-GB"/>
        </w:rPr>
        <w:t>s</w:t>
      </w:r>
      <w:r w:rsidRPr="00950145">
        <w:t xml:space="preserve"> that cancer prevalence increases with age. This finding goes in tandem with McGuire </w:t>
      </w:r>
      <w:r w:rsidRPr="00950145">
        <w:rPr>
          <w:i/>
          <w:iCs/>
        </w:rPr>
        <w:t>et al</w:t>
      </w:r>
      <w:r w:rsidRPr="00950145">
        <w:t xml:space="preserve"> (2015), </w:t>
      </w:r>
      <w:r w:rsidR="00D07D2D">
        <w:t>who</w:t>
      </w:r>
      <w:r w:rsidRPr="00950145">
        <w:t xml:space="preserve"> established through </w:t>
      </w:r>
      <w:r w:rsidR="007E5C15">
        <w:rPr>
          <w:lang w:val="en-GB"/>
        </w:rPr>
        <w:t>their study</w:t>
      </w:r>
      <w:r w:rsidRPr="00950145">
        <w:t xml:space="preserve"> that cancer can occur at any age, but its prevalence increases significantly with aging. Among the 50 cancer subjects that participated in the study, 41were female and 9 were male, showing an increased prevalence of cancer in </w:t>
      </w:r>
      <w:r w:rsidR="00D07D2D">
        <w:t>females</w:t>
      </w:r>
      <w:r w:rsidRPr="00950145">
        <w:t xml:space="preserve"> than </w:t>
      </w:r>
      <w:r w:rsidR="00D07D2D">
        <w:t>males</w:t>
      </w:r>
      <w:r w:rsidRPr="00950145">
        <w:t xml:space="preserve">. </w:t>
      </w:r>
      <w:r w:rsidR="007E5C15" w:rsidRPr="00950145">
        <w:t>S</w:t>
      </w:r>
      <w:r w:rsidRPr="00950145">
        <w:t>tud</w:t>
      </w:r>
      <w:r w:rsidR="007E5C15">
        <w:rPr>
          <w:lang w:val="en-GB"/>
        </w:rPr>
        <w:t>y</w:t>
      </w:r>
      <w:r w:rsidRPr="00950145">
        <w:t xml:space="preserve"> by Siegel and his colleagues in 2025 have reported a gradual decline in overall cancer incidence among men and a slight increase among women, thereby reducing the male-to-female rate ratio from approximately 1.6 to 1.1 as of 2021 (Siegel </w:t>
      </w:r>
      <w:r w:rsidRPr="00950145">
        <w:rPr>
          <w:i/>
          <w:iCs/>
        </w:rPr>
        <w:t>et al</w:t>
      </w:r>
      <w:r w:rsidRPr="00950145">
        <w:t xml:space="preserve">., 2025). </w:t>
      </w:r>
      <w:r w:rsidR="00BE6F76">
        <w:rPr>
          <w:lang w:val="en-GB"/>
        </w:rPr>
        <w:t xml:space="preserve">The </w:t>
      </w:r>
      <w:r w:rsidRPr="00950145">
        <w:t xml:space="preserve">educational </w:t>
      </w:r>
      <w:r w:rsidR="00BE6F76">
        <w:rPr>
          <w:lang w:val="en-GB"/>
        </w:rPr>
        <w:t>qualification of the subjects varied significantly.</w:t>
      </w:r>
      <w:r w:rsidRPr="00950145">
        <w:t xml:space="preserve"> </w:t>
      </w:r>
      <w:r w:rsidR="00BE6F76" w:rsidRPr="00950145">
        <w:t>O</w:t>
      </w:r>
      <w:r w:rsidRPr="00950145">
        <w:t xml:space="preserve">f the 50 cancer subjects that participated in the study, 22 had SSCE, </w:t>
      </w:r>
      <w:r w:rsidRPr="00950145">
        <w:lastRenderedPageBreak/>
        <w:t xml:space="preserve">17 were graduates and 4 post graduates. Higher cancer prevalence among SSCE holders may reflect limited awareness and occupational exposure, while cases among graduates and postgraduates respectively, despite their levels of cancer enlightenment </w:t>
      </w:r>
      <w:r w:rsidR="00743C75">
        <w:rPr>
          <w:lang w:val="en-GB"/>
        </w:rPr>
        <w:t>could</w:t>
      </w:r>
      <w:r w:rsidRPr="00950145">
        <w:t xml:space="preserve"> be influenced by lifestyle, occupational risk and environmental factors. This agrees with Dong &amp; Qin (2020), who reported that women with higher educational levels had an increased prevalence of breast cancer compared to those with lower educational attainment. </w:t>
      </w:r>
    </w:p>
    <w:p w14:paraId="385D2882" w14:textId="77777777" w:rsidR="00E92060" w:rsidRPr="00E92060" w:rsidRDefault="00E92060" w:rsidP="00F857FC">
      <w:pPr>
        <w:spacing w:line="360" w:lineRule="auto"/>
        <w:jc w:val="both"/>
        <w:rPr>
          <w:sz w:val="10"/>
          <w:szCs w:val="10"/>
        </w:rPr>
      </w:pPr>
    </w:p>
    <w:p w14:paraId="77ECB241" w14:textId="396CB3CA" w:rsidR="00F857FC" w:rsidRDefault="00BE6F76" w:rsidP="00F857FC">
      <w:pPr>
        <w:spacing w:line="360" w:lineRule="auto"/>
        <w:jc w:val="both"/>
      </w:pPr>
      <w:r w:rsidRPr="00950145">
        <w:t>A</w:t>
      </w:r>
      <w:r w:rsidR="00F857FC" w:rsidRPr="00950145">
        <w:t>ddition</w:t>
      </w:r>
      <w:r>
        <w:rPr>
          <w:lang w:val="en-GB"/>
        </w:rPr>
        <w:t>ally</w:t>
      </w:r>
      <w:r w:rsidR="00F857FC" w:rsidRPr="00950145">
        <w:t xml:space="preserve">, findings from the clinical history implied that </w:t>
      </w:r>
      <w:r w:rsidR="00D07D2D">
        <w:t xml:space="preserve">the </w:t>
      </w:r>
      <w:r w:rsidR="00F857FC" w:rsidRPr="00950145">
        <w:t xml:space="preserve">majority of the cancer subjects (66%) had never consumed alcohol, 32% </w:t>
      </w:r>
      <w:r w:rsidR="00E840B1">
        <w:rPr>
          <w:lang w:val="en-GB"/>
        </w:rPr>
        <w:t>had some</w:t>
      </w:r>
      <w:r w:rsidR="00F857FC" w:rsidRPr="00950145">
        <w:t xml:space="preserve"> occasionally</w:t>
      </w:r>
      <w:r w:rsidR="00D07D2D">
        <w:t>,</w:t>
      </w:r>
      <w:r w:rsidR="00F857FC" w:rsidRPr="00950145">
        <w:t xml:space="preserve"> and 2% consumed regularly. </w:t>
      </w:r>
      <w:r w:rsidR="00E840B1">
        <w:rPr>
          <w:lang w:val="en-GB"/>
        </w:rPr>
        <w:t>Similarly</w:t>
      </w:r>
      <w:r w:rsidR="00F857FC" w:rsidRPr="00950145">
        <w:t xml:space="preserve">, 96% (48) of the cancer subjects had never smoked </w:t>
      </w:r>
      <w:r w:rsidR="00D07D2D">
        <w:t>cigarettes</w:t>
      </w:r>
      <w:r w:rsidR="00F857FC" w:rsidRPr="00950145">
        <w:t>, w</w:t>
      </w:r>
      <w:proofErr w:type="spellStart"/>
      <w:r w:rsidR="00E840B1">
        <w:rPr>
          <w:lang w:val="en-GB"/>
        </w:rPr>
        <w:t>hile</w:t>
      </w:r>
      <w:proofErr w:type="spellEnd"/>
      <w:r w:rsidR="00F857FC" w:rsidRPr="00950145">
        <w:t xml:space="preserve"> 4% were </w:t>
      </w:r>
      <w:r w:rsidR="00D07D2D">
        <w:t>current</w:t>
      </w:r>
      <w:r w:rsidR="00F857FC" w:rsidRPr="00950145">
        <w:t xml:space="preserve"> smokers. </w:t>
      </w:r>
      <w:proofErr w:type="gramStart"/>
      <w:r w:rsidR="00F857FC" w:rsidRPr="00950145">
        <w:t>These variable</w:t>
      </w:r>
      <w:r w:rsidR="00743C75">
        <w:rPr>
          <w:lang w:val="en-GB"/>
        </w:rPr>
        <w:t xml:space="preserve"> </w:t>
      </w:r>
      <w:r w:rsidR="00743C75" w:rsidRPr="00950145">
        <w:t>lifestyle</w:t>
      </w:r>
      <w:proofErr w:type="gramEnd"/>
      <w:r w:rsidR="00F857FC" w:rsidRPr="00950145">
        <w:t xml:space="preserve">, though relevant, appear secondary to intrinsic metabolic and mitochondrial alterations driving </w:t>
      </w:r>
      <w:proofErr w:type="spellStart"/>
      <w:r w:rsidR="00F857FC" w:rsidRPr="00950145">
        <w:t>tumour</w:t>
      </w:r>
      <w:proofErr w:type="spellEnd"/>
      <w:r w:rsidR="00F857FC" w:rsidRPr="00950145">
        <w:t xml:space="preserve"> progression. This view is supported by Saini and his colleagues in their research work titled “Cancer Causes and Treatment</w:t>
      </w:r>
      <w:r w:rsidR="00D07D2D">
        <w:t>,</w:t>
      </w:r>
      <w:r w:rsidR="00F857FC" w:rsidRPr="00950145">
        <w:t xml:space="preserve">” which identified factors like infectious biological agents, exposure to radiation and carcinogens, and lack of physical exercise as major </w:t>
      </w:r>
      <w:r w:rsidR="00D07D2D">
        <w:t>contributors</w:t>
      </w:r>
      <w:r w:rsidR="00F857FC" w:rsidRPr="00950145">
        <w:t xml:space="preserve"> to developing cancer (Saini </w:t>
      </w:r>
      <w:r w:rsidR="00F857FC" w:rsidRPr="00950145">
        <w:rPr>
          <w:i/>
          <w:iCs/>
        </w:rPr>
        <w:t>et al</w:t>
      </w:r>
      <w:r w:rsidR="00F857FC" w:rsidRPr="00950145">
        <w:t xml:space="preserve">., 2020). </w:t>
      </w:r>
    </w:p>
    <w:p w14:paraId="32F15E82" w14:textId="77777777" w:rsidR="00E92060" w:rsidRPr="00E92060" w:rsidRDefault="00E92060" w:rsidP="00F857FC">
      <w:pPr>
        <w:spacing w:line="360" w:lineRule="auto"/>
        <w:jc w:val="both"/>
        <w:rPr>
          <w:sz w:val="8"/>
          <w:szCs w:val="8"/>
        </w:rPr>
      </w:pPr>
    </w:p>
    <w:p w14:paraId="4E7F4FEA" w14:textId="33C96ABE" w:rsidR="00F857FC" w:rsidRDefault="00743C75" w:rsidP="00F857FC">
      <w:pPr>
        <w:spacing w:line="360" w:lineRule="auto"/>
        <w:jc w:val="both"/>
      </w:pPr>
      <w:r w:rsidRPr="00950145">
        <w:t>A</w:t>
      </w:r>
      <w:r w:rsidR="00F857FC" w:rsidRPr="00950145">
        <w:t>norexia</w:t>
      </w:r>
      <w:r w:rsidR="00D07D2D">
        <w:t>,</w:t>
      </w:r>
      <w:r w:rsidR="00F857FC" w:rsidRPr="00950145">
        <w:t xml:space="preserve"> which </w:t>
      </w:r>
      <w:r>
        <w:rPr>
          <w:lang w:val="en-GB"/>
        </w:rPr>
        <w:t xml:space="preserve">is </w:t>
      </w:r>
      <w:r w:rsidR="00F857FC" w:rsidRPr="00950145">
        <w:t>substantially noticed in cancer subjects is multifactorial, involving cytokines, chemical mediators, hormones</w:t>
      </w:r>
      <w:r w:rsidR="00D07D2D">
        <w:t>,</w:t>
      </w:r>
      <w:r w:rsidR="00F857FC" w:rsidRPr="00950145">
        <w:t xml:space="preserve"> and receptors. In most cases, pro-inflammatory cytokines like interleukin-6 and other chemicals released by cancer cells </w:t>
      </w:r>
      <w:r w:rsidR="00D07D2D">
        <w:t>inhibit</w:t>
      </w:r>
      <w:r w:rsidR="00F857FC" w:rsidRPr="00950145">
        <w:t xml:space="preserve"> the hypothalamus from sending hunger </w:t>
      </w:r>
      <w:r w:rsidR="00D07D2D">
        <w:t>signals</w:t>
      </w:r>
      <w:r w:rsidR="00E840B1">
        <w:rPr>
          <w:lang w:val="en-GB"/>
        </w:rPr>
        <w:t>, c</w:t>
      </w:r>
      <w:proofErr w:type="spellStart"/>
      <w:r w:rsidR="00D07D2D">
        <w:t>onsequently</w:t>
      </w:r>
      <w:proofErr w:type="spellEnd"/>
      <w:r w:rsidR="00F857FC" w:rsidRPr="00950145">
        <w:t xml:space="preserve">, leading to </w:t>
      </w:r>
      <w:r w:rsidR="00D07D2D">
        <w:t xml:space="preserve">a </w:t>
      </w:r>
      <w:r w:rsidR="00F857FC" w:rsidRPr="00950145">
        <w:t xml:space="preserve">loss of weight (62%), which was observed in the cancer subjects. These findings are consistent with the report by </w:t>
      </w:r>
      <w:proofErr w:type="spellStart"/>
      <w:r w:rsidR="00F857FC" w:rsidRPr="00950145">
        <w:t>Hariyanto</w:t>
      </w:r>
      <w:proofErr w:type="spellEnd"/>
      <w:r w:rsidR="00F857FC" w:rsidRPr="00950145">
        <w:t xml:space="preserve"> and Kurniawan (2021) in their </w:t>
      </w:r>
      <w:r w:rsidR="00535B62">
        <w:rPr>
          <w:lang w:val="en-GB"/>
        </w:rPr>
        <w:t xml:space="preserve">study. </w:t>
      </w:r>
      <w:r w:rsidR="00D07D2D">
        <w:t>The</w:t>
      </w:r>
      <w:r w:rsidR="00535B62">
        <w:rPr>
          <w:lang w:val="en-GB"/>
        </w:rPr>
        <w:t>y</w:t>
      </w:r>
      <w:r w:rsidR="00F857FC" w:rsidRPr="00950145">
        <w:t xml:space="preserve"> observed that anorexia and weight loss are common manifestations in cancer patients due to cytokine-mediated appetite suppression (</w:t>
      </w:r>
      <w:proofErr w:type="spellStart"/>
      <w:r w:rsidR="00F857FC" w:rsidRPr="00950145">
        <w:t>Hariyanto</w:t>
      </w:r>
      <w:proofErr w:type="spellEnd"/>
      <w:r w:rsidR="00F857FC" w:rsidRPr="00950145">
        <w:t xml:space="preserve"> &amp; Kurniawan, 2021).</w:t>
      </w:r>
    </w:p>
    <w:p w14:paraId="0F9BAF57" w14:textId="77777777" w:rsidR="00E92060" w:rsidRPr="00E92060" w:rsidRDefault="00E92060" w:rsidP="00F857FC">
      <w:pPr>
        <w:spacing w:line="360" w:lineRule="auto"/>
        <w:jc w:val="both"/>
        <w:rPr>
          <w:sz w:val="10"/>
          <w:szCs w:val="10"/>
        </w:rPr>
      </w:pPr>
    </w:p>
    <w:p w14:paraId="052997DB" w14:textId="1D424D9B" w:rsidR="00F857FC" w:rsidRDefault="00F857FC" w:rsidP="00F857FC">
      <w:pPr>
        <w:spacing w:line="360" w:lineRule="auto"/>
        <w:jc w:val="both"/>
        <w:rPr>
          <w:lang w:val="en-GB"/>
        </w:rPr>
      </w:pPr>
      <w:r w:rsidRPr="00950145">
        <w:t xml:space="preserve">The results obtained from the analytical comparison of the levels of glutamic acid in healthy </w:t>
      </w:r>
      <w:r w:rsidR="00535B62">
        <w:rPr>
          <w:lang w:val="en-GB"/>
        </w:rPr>
        <w:t xml:space="preserve">control </w:t>
      </w:r>
      <w:r w:rsidR="00E840B1">
        <w:rPr>
          <w:lang w:val="en-GB"/>
        </w:rPr>
        <w:t>subjects</w:t>
      </w:r>
      <w:r w:rsidRPr="00950145">
        <w:t xml:space="preserve"> and cancer subjects demonstrated (Table </w:t>
      </w:r>
      <w:r>
        <w:t>3</w:t>
      </w:r>
      <w:r w:rsidRPr="00950145">
        <w:t xml:space="preserve">) that cancer subjects had a higher level of glutamic acid concentration in plasma (134.83 ± 14.66) than the healthy control (101.82 ± 10.99). These increased levels of glutamic acid in cancer subjects </w:t>
      </w:r>
      <w:r w:rsidR="00D07D2D">
        <w:t>reflect</w:t>
      </w:r>
      <w:r w:rsidRPr="00950145">
        <w:t xml:space="preserve"> metabolic alterations, involving </w:t>
      </w:r>
      <w:r w:rsidR="00D07D2D">
        <w:t>substrate-level</w:t>
      </w:r>
      <w:r w:rsidRPr="00950145">
        <w:t xml:space="preserve"> phosphorylation, where energy production occurs in the absence of oxygen, even when it is abundantly present in the body. The elevation of glutamic acid in cancer subjects supports existing literature describing cancer as a mitochondrial metabolic disease rather than a purely genetic one. It also suggests enhanced </w:t>
      </w:r>
      <w:proofErr w:type="spellStart"/>
      <w:r w:rsidRPr="00950145">
        <w:t>glutaminolysis</w:t>
      </w:r>
      <w:proofErr w:type="spellEnd"/>
      <w:r w:rsidRPr="00950145">
        <w:t xml:space="preserve"> – a process involving the breakdown of glutamine to glutamate by the enzyme, glutaminase</w:t>
      </w:r>
      <w:r w:rsidR="00D07D2D">
        <w:t>,</w:t>
      </w:r>
      <w:r w:rsidRPr="00950145">
        <w:t xml:space="preserve"> which fuels the TCA cycle to </w:t>
      </w:r>
      <w:r w:rsidRPr="00950145">
        <w:lastRenderedPageBreak/>
        <w:t xml:space="preserve">produce ATP for </w:t>
      </w:r>
      <w:proofErr w:type="spellStart"/>
      <w:r w:rsidRPr="00950145">
        <w:t>tumour</w:t>
      </w:r>
      <w:proofErr w:type="spellEnd"/>
      <w:r w:rsidRPr="00950145">
        <w:t xml:space="preserve"> survival (</w:t>
      </w:r>
      <w:proofErr w:type="spellStart"/>
      <w:r w:rsidRPr="00950145">
        <w:t>Seyfried</w:t>
      </w:r>
      <w:proofErr w:type="spellEnd"/>
      <w:r w:rsidRPr="00950145">
        <w:t xml:space="preserve"> </w:t>
      </w:r>
      <w:r w:rsidRPr="00950145">
        <w:rPr>
          <w:i/>
          <w:iCs/>
        </w:rPr>
        <w:t>et al</w:t>
      </w:r>
      <w:r w:rsidRPr="00950145">
        <w:t xml:space="preserve">., 2025; Choi &amp; </w:t>
      </w:r>
      <w:proofErr w:type="spellStart"/>
      <w:r w:rsidRPr="00950145">
        <w:t>Coloff</w:t>
      </w:r>
      <w:proofErr w:type="spellEnd"/>
      <w:r w:rsidRPr="00950145">
        <w:t xml:space="preserve">, 2019). </w:t>
      </w:r>
      <w:r w:rsidR="003A0FFE">
        <w:t>Under situations of genotoxic, oxidative, and nutritional stress, cancer cells need amino acids to proliferate; these amino acids are substrates for the synthesis of glucose, lipids, and nucleic acids as well as building blocks for protein synthesis. In particular, glutamine plays a critical role in this process not only by providing a carbon source to the TCA cycle but also by acting as a nitrogen source for the biosynthesis of alanine, aspartate, and serine</w:t>
      </w:r>
      <w:r w:rsidR="003A0FFE">
        <w:rPr>
          <w:lang w:val="en-GB"/>
        </w:rPr>
        <w:t xml:space="preserve"> (Wei </w:t>
      </w:r>
      <w:r w:rsidR="003A0FFE">
        <w:rPr>
          <w:i/>
          <w:iCs/>
          <w:lang w:val="en-GB"/>
        </w:rPr>
        <w:t xml:space="preserve">et al., </w:t>
      </w:r>
      <w:r w:rsidR="003A0FFE">
        <w:rPr>
          <w:lang w:val="en-GB"/>
        </w:rPr>
        <w:t>2021).</w:t>
      </w:r>
      <w:r w:rsidR="003A0FFE" w:rsidRPr="00950145">
        <w:t xml:space="preserve"> </w:t>
      </w:r>
      <w:r w:rsidRPr="00950145">
        <w:t>Th</w:t>
      </w:r>
      <w:r w:rsidR="003A0FFE">
        <w:rPr>
          <w:lang w:val="en-GB"/>
        </w:rPr>
        <w:t xml:space="preserve">e result </w:t>
      </w:r>
      <w:r w:rsidRPr="00950145">
        <w:t xml:space="preserve">aligns with </w:t>
      </w:r>
      <w:r w:rsidR="003A0FFE">
        <w:rPr>
          <w:lang w:val="en-GB"/>
        </w:rPr>
        <w:t xml:space="preserve">the </w:t>
      </w:r>
      <w:r w:rsidRPr="00950145">
        <w:t>stud</w:t>
      </w:r>
      <w:r w:rsidR="003A0FFE">
        <w:rPr>
          <w:lang w:val="en-GB"/>
        </w:rPr>
        <w:t>y</w:t>
      </w:r>
      <w:r w:rsidRPr="00950145">
        <w:t xml:space="preserve"> on the quantitative analysis of amino acid metabolism in liver cancer that </w:t>
      </w:r>
      <w:r w:rsidR="003A0FFE">
        <w:rPr>
          <w:lang w:val="en-GB"/>
        </w:rPr>
        <w:t>showed</w:t>
      </w:r>
      <w:r w:rsidRPr="00950145">
        <w:t xml:space="preserve"> an elevated glutamic acid production in liver cancer cells (Nilsson </w:t>
      </w:r>
      <w:r w:rsidRPr="00950145">
        <w:rPr>
          <w:i/>
          <w:iCs/>
        </w:rPr>
        <w:t>et al</w:t>
      </w:r>
      <w:r w:rsidRPr="00950145">
        <w:t xml:space="preserve">., 2020). Wang and </w:t>
      </w:r>
      <w:r w:rsidR="003A0FFE">
        <w:rPr>
          <w:lang w:val="en-GB"/>
        </w:rPr>
        <w:t>colleagues</w:t>
      </w:r>
      <w:r w:rsidRPr="00950145">
        <w:t xml:space="preserve"> </w:t>
      </w:r>
      <w:r w:rsidR="003A0FFE">
        <w:rPr>
          <w:lang w:val="en-GB"/>
        </w:rPr>
        <w:t>reported glutamine</w:t>
      </w:r>
      <w:r w:rsidRPr="00950145">
        <w:t xml:space="preserve"> elevation in breast cancer, </w:t>
      </w:r>
      <w:r w:rsidR="003A0FFE">
        <w:rPr>
          <w:lang w:val="en-GB"/>
        </w:rPr>
        <w:t>making it a possible</w:t>
      </w:r>
      <w:r w:rsidR="00D07D2D">
        <w:t xml:space="preserve"> </w:t>
      </w:r>
      <w:r w:rsidR="003A0FFE">
        <w:rPr>
          <w:lang w:val="en-GB"/>
        </w:rPr>
        <w:t>indicator</w:t>
      </w:r>
      <w:r w:rsidRPr="00950145">
        <w:t xml:space="preserve"> for diagnosis, therapy</w:t>
      </w:r>
      <w:r w:rsidR="00D07D2D">
        <w:t>,</w:t>
      </w:r>
      <w:r w:rsidRPr="00950145">
        <w:t xml:space="preserve"> and understanding of cancer pathogenesis (Wang </w:t>
      </w:r>
      <w:r w:rsidRPr="00950145">
        <w:rPr>
          <w:i/>
          <w:iCs/>
        </w:rPr>
        <w:t>et al</w:t>
      </w:r>
      <w:r w:rsidRPr="00950145">
        <w:t xml:space="preserve">., 2018). </w:t>
      </w:r>
    </w:p>
    <w:p w14:paraId="60D48A53" w14:textId="77777777" w:rsidR="009C5638" w:rsidRPr="009C5638" w:rsidRDefault="009C5638" w:rsidP="00F857FC">
      <w:pPr>
        <w:spacing w:line="360" w:lineRule="auto"/>
        <w:jc w:val="both"/>
        <w:rPr>
          <w:sz w:val="10"/>
          <w:szCs w:val="10"/>
          <w:lang w:val="en-GB"/>
        </w:rPr>
      </w:pPr>
    </w:p>
    <w:p w14:paraId="27B369DA" w14:textId="5E048EB6" w:rsidR="00F857FC" w:rsidRDefault="00F857FC" w:rsidP="00F857FC">
      <w:pPr>
        <w:spacing w:line="360" w:lineRule="auto"/>
        <w:jc w:val="both"/>
      </w:pPr>
      <w:r w:rsidRPr="00950145">
        <w:t xml:space="preserve">Furthermore, result obtained from this study also showed significant variability in glutamic acid concentration (levels) in the different stages of cancer. Stage IV had the highest level of glutamic acid (150.93 ± 12.54), followed by Stage III (134.25 ± 12.12) and then Stage I-II (124.52 ± 5.29). From this statistical information, it can be deduced that glutamic acid levels are proportional to the cancer progression (stage). As </w:t>
      </w:r>
      <w:r w:rsidR="00D07D2D">
        <w:t xml:space="preserve">the </w:t>
      </w:r>
      <w:proofErr w:type="spellStart"/>
      <w:r w:rsidRPr="00950145">
        <w:t>tumour</w:t>
      </w:r>
      <w:proofErr w:type="spellEnd"/>
      <w:r w:rsidRPr="00950145">
        <w:t xml:space="preserve"> advances, it exhibits </w:t>
      </w:r>
      <w:r w:rsidR="00D07D2D">
        <w:t>an increase</w:t>
      </w:r>
      <w:r w:rsidRPr="00950145">
        <w:t xml:space="preserve"> in metabolic demand, thus consuming more glutamine and producing more glutamic acid as a byproduct of sustained </w:t>
      </w:r>
      <w:proofErr w:type="spellStart"/>
      <w:r w:rsidRPr="00950145">
        <w:t>anaplerosis</w:t>
      </w:r>
      <w:proofErr w:type="spellEnd"/>
      <w:r w:rsidRPr="00950145">
        <w:t xml:space="preserve">. Yusof </w:t>
      </w:r>
      <w:r w:rsidRPr="00950145">
        <w:rPr>
          <w:i/>
          <w:iCs/>
        </w:rPr>
        <w:t>et al</w:t>
      </w:r>
      <w:r w:rsidRPr="00950145">
        <w:t xml:space="preserve">. (2018), </w:t>
      </w:r>
      <w:r w:rsidR="00DF26B0">
        <w:rPr>
          <w:lang w:val="en-GB"/>
        </w:rPr>
        <w:t xml:space="preserve">in </w:t>
      </w:r>
      <w:proofErr w:type="gramStart"/>
      <w:r w:rsidR="00DF26B0">
        <w:rPr>
          <w:lang w:val="en-GB"/>
        </w:rPr>
        <w:t xml:space="preserve">their </w:t>
      </w:r>
      <w:r w:rsidRPr="00950145">
        <w:t xml:space="preserve"> study</w:t>
      </w:r>
      <w:proofErr w:type="gramEnd"/>
      <w:r w:rsidRPr="00950145">
        <w:t xml:space="preserve"> titled “Metabolomics profiling on different stages of colorectal cancer: a systematic review</w:t>
      </w:r>
      <w:r w:rsidR="00D07D2D">
        <w:t>,</w:t>
      </w:r>
      <w:r w:rsidRPr="00950145">
        <w:t>” opined that glutamic acid in cancer, particularly colorectal cancer</w:t>
      </w:r>
      <w:r w:rsidR="00D07D2D">
        <w:t>,</w:t>
      </w:r>
      <w:r w:rsidRPr="00950145">
        <w:t xml:space="preserve"> increases with the stages of progression.  However, there was no significant difference in the ages associated with the various stages, implying that age is not a major determinant of glutamic acid levels in cancer patients.</w:t>
      </w:r>
    </w:p>
    <w:p w14:paraId="3B479826" w14:textId="77777777" w:rsidR="00E92060" w:rsidRPr="00E92060" w:rsidRDefault="00E92060" w:rsidP="00F857FC">
      <w:pPr>
        <w:spacing w:line="360" w:lineRule="auto"/>
        <w:jc w:val="both"/>
        <w:rPr>
          <w:sz w:val="12"/>
          <w:szCs w:val="12"/>
        </w:rPr>
      </w:pPr>
    </w:p>
    <w:p w14:paraId="28F09A00" w14:textId="13B94C35" w:rsidR="00F857FC" w:rsidRDefault="00DF26B0" w:rsidP="00F857FC">
      <w:pPr>
        <w:spacing w:line="360" w:lineRule="auto"/>
        <w:jc w:val="both"/>
        <w:rPr>
          <w:lang w:val="en-GB"/>
        </w:rPr>
      </w:pPr>
      <w:r>
        <w:rPr>
          <w:lang w:val="en-GB"/>
        </w:rPr>
        <w:t>Additionally</w:t>
      </w:r>
      <w:r w:rsidR="00F857FC" w:rsidRPr="00950145">
        <w:t>, the study also revealed a higher concentration of glutamic acid in female cancer subjects (136.97 ± 15.14) compared to the male (125.11 ± 6.27) counterparts</w:t>
      </w:r>
      <w:r w:rsidR="00D07D2D">
        <w:t>,</w:t>
      </w:r>
      <w:r w:rsidR="00F857FC" w:rsidRPr="00950145">
        <w:t xml:space="preserve"> with a p-value of 0.026 (significant). This variability in the concentration of glutamic acid is due to differences in cellular metabolism, hormonal influence</w:t>
      </w:r>
      <w:r w:rsidR="00D07D2D">
        <w:t>,</w:t>
      </w:r>
      <w:r w:rsidR="00F857FC" w:rsidRPr="00950145">
        <w:t xml:space="preserve"> and catalytic activity of enzymes. Studies</w:t>
      </w:r>
      <w:r>
        <w:rPr>
          <w:lang w:val="en-GB"/>
        </w:rPr>
        <w:t xml:space="preserve"> have</w:t>
      </w:r>
      <w:r w:rsidR="00F857FC" w:rsidRPr="00950145">
        <w:t xml:space="preserve"> show</w:t>
      </w:r>
      <w:r>
        <w:rPr>
          <w:lang w:val="en-GB"/>
        </w:rPr>
        <w:t>n</w:t>
      </w:r>
      <w:r w:rsidR="00F857FC" w:rsidRPr="00950145">
        <w:t xml:space="preserve"> that </w:t>
      </w:r>
      <w:proofErr w:type="spellStart"/>
      <w:r w:rsidR="00F857FC" w:rsidRPr="00950145">
        <w:t>tumour</w:t>
      </w:r>
      <w:proofErr w:type="spellEnd"/>
      <w:r w:rsidR="00F857FC" w:rsidRPr="00950145">
        <w:t xml:space="preserve"> cells in </w:t>
      </w:r>
      <w:r w:rsidR="00D07D2D">
        <w:t>males</w:t>
      </w:r>
      <w:r w:rsidR="00F857FC" w:rsidRPr="00950145">
        <w:t xml:space="preserve"> </w:t>
      </w:r>
      <w:proofErr w:type="spellStart"/>
      <w:r w:rsidR="00F857FC" w:rsidRPr="00950145">
        <w:t>metabolise</w:t>
      </w:r>
      <w:proofErr w:type="spellEnd"/>
      <w:r w:rsidR="00F857FC" w:rsidRPr="00950145">
        <w:t xml:space="preserve"> more glutamine and are sensitive to glutaminase inhibition. This sensitivity to glutaminase inhibition in males </w:t>
      </w:r>
      <w:r>
        <w:rPr>
          <w:lang w:val="en-GB"/>
        </w:rPr>
        <w:t>is believed</w:t>
      </w:r>
      <w:r w:rsidR="00F857FC" w:rsidRPr="00950145">
        <w:t xml:space="preserve"> </w:t>
      </w:r>
      <w:r>
        <w:rPr>
          <w:lang w:val="en-GB"/>
        </w:rPr>
        <w:t xml:space="preserve">to be </w:t>
      </w:r>
      <w:r w:rsidR="00F857FC" w:rsidRPr="00950145">
        <w:t xml:space="preserve">driven by their dependence on glutamine-derived glutamate for α-ketoglutarate synthesis and tricarboxylic acid (TCA) cycle replenishment. The higher glutamic acid in </w:t>
      </w:r>
      <w:r w:rsidR="00D07D2D">
        <w:t>females</w:t>
      </w:r>
      <w:r w:rsidR="00F857FC" w:rsidRPr="00950145">
        <w:t xml:space="preserve"> </w:t>
      </w:r>
      <w:r>
        <w:rPr>
          <w:lang w:val="en-GB"/>
        </w:rPr>
        <w:t>could</w:t>
      </w:r>
      <w:r w:rsidR="00F857FC" w:rsidRPr="00950145">
        <w:t xml:space="preserve"> be attributed to hormonal regulation and differential metabolic enzymes. Female exhibits resistant to glutaminase inhibition via enhanced </w:t>
      </w:r>
      <w:r w:rsidR="00F857FC" w:rsidRPr="00950145">
        <w:lastRenderedPageBreak/>
        <w:t xml:space="preserve">pyruvate carboxylase activity, promoting glutamic </w:t>
      </w:r>
      <w:r w:rsidR="00D07D2D">
        <w:t>acid</w:t>
      </w:r>
      <w:r w:rsidR="00F857FC" w:rsidRPr="00950145">
        <w:t xml:space="preserve"> accumulation (</w:t>
      </w:r>
      <w:proofErr w:type="spellStart"/>
      <w:r w:rsidR="00F857FC" w:rsidRPr="00950145">
        <w:t>Sponagel</w:t>
      </w:r>
      <w:proofErr w:type="spellEnd"/>
      <w:r w:rsidR="00F857FC" w:rsidRPr="00950145">
        <w:t xml:space="preserve"> </w:t>
      </w:r>
      <w:r w:rsidR="00F857FC" w:rsidRPr="00950145">
        <w:rPr>
          <w:i/>
          <w:iCs/>
        </w:rPr>
        <w:t>et al</w:t>
      </w:r>
      <w:r w:rsidR="00F857FC" w:rsidRPr="00950145">
        <w:t xml:space="preserve">., 2022). Also, </w:t>
      </w:r>
      <w:proofErr w:type="spellStart"/>
      <w:r w:rsidR="00F857FC" w:rsidRPr="00950145">
        <w:t>oestrogen</w:t>
      </w:r>
      <w:proofErr w:type="spellEnd"/>
      <w:r w:rsidR="00F857FC" w:rsidRPr="00950145">
        <w:t xml:space="preserve"> and progesterone</w:t>
      </w:r>
      <w:r w:rsidR="00D07D2D">
        <w:t>,</w:t>
      </w:r>
      <w:r w:rsidR="00F857FC" w:rsidRPr="00950145">
        <w:t xml:space="preserve"> which are predominant female hormones</w:t>
      </w:r>
      <w:r w:rsidR="00D07D2D">
        <w:t>,</w:t>
      </w:r>
      <w:r w:rsidR="00F857FC" w:rsidRPr="00950145">
        <w:t xml:space="preserve"> are known to regulate metabolic processes, increase survival of </w:t>
      </w:r>
      <w:proofErr w:type="spellStart"/>
      <w:r w:rsidR="00F857FC" w:rsidRPr="00950145">
        <w:t>tumour</w:t>
      </w:r>
      <w:proofErr w:type="spellEnd"/>
      <w:r w:rsidR="00F857FC" w:rsidRPr="00950145">
        <w:t xml:space="preserve"> cells, which are driven by </w:t>
      </w:r>
      <w:proofErr w:type="spellStart"/>
      <w:r w:rsidR="00F857FC" w:rsidRPr="00950145">
        <w:t>oestrogen</w:t>
      </w:r>
      <w:proofErr w:type="spellEnd"/>
      <w:r w:rsidR="00F857FC" w:rsidRPr="00950145">
        <w:t xml:space="preserve"> receptor signaling. In the control subjects, the levels of glutamic acid are slightly higher in </w:t>
      </w:r>
      <w:r w:rsidR="00D07D2D">
        <w:t>males</w:t>
      </w:r>
      <w:r w:rsidR="00F857FC" w:rsidRPr="00950145">
        <w:t xml:space="preserve"> (105.02 ± 8.79) than female (105.02 ± 8.79), but their differences are not statistically significant.</w:t>
      </w:r>
      <w:r w:rsidR="00446BE0">
        <w:rPr>
          <w:lang w:val="en-GB"/>
        </w:rPr>
        <w:t xml:space="preserve"> </w:t>
      </w:r>
    </w:p>
    <w:p w14:paraId="635B6DDD" w14:textId="77777777" w:rsidR="00DF26B0" w:rsidRPr="00DF26B0" w:rsidRDefault="00DF26B0" w:rsidP="00446BE0">
      <w:pPr>
        <w:spacing w:line="360" w:lineRule="auto"/>
        <w:jc w:val="both"/>
        <w:rPr>
          <w:sz w:val="12"/>
          <w:szCs w:val="12"/>
        </w:rPr>
      </w:pPr>
    </w:p>
    <w:p w14:paraId="77A34223" w14:textId="49808AD8" w:rsidR="00446BE0" w:rsidRDefault="00446BE0" w:rsidP="00446BE0">
      <w:pPr>
        <w:spacing w:line="360" w:lineRule="auto"/>
        <w:jc w:val="both"/>
      </w:pPr>
      <w:r>
        <w:t xml:space="preserve">This study showed that breast cancer had the highest prevalence (31 cases), </w:t>
      </w:r>
      <w:r>
        <w:rPr>
          <w:lang w:val="en-GB"/>
        </w:rPr>
        <w:t xml:space="preserve">(Table 6) </w:t>
      </w:r>
      <w:r>
        <w:t>followed by ductal and prostate cancer (3 cases each) and then cervical and endometrial cancer with 2 cases each. Others had just a case</w:t>
      </w:r>
      <w:r w:rsidR="00DF26B0">
        <w:rPr>
          <w:lang w:val="en-GB"/>
        </w:rPr>
        <w:t xml:space="preserve"> each</w:t>
      </w:r>
      <w:r>
        <w:t xml:space="preserve">. These findings are in tandem with reports from other studies which opined that the prevalence of cancer continues to increase despite the advancement in cancer genetics, with breast cancer making the top, estimated about 2.3 million cases globally, followed by colorectal and prostate cancer (Sung </w:t>
      </w:r>
      <w:r w:rsidRPr="000612FC">
        <w:rPr>
          <w:i/>
          <w:iCs/>
        </w:rPr>
        <w:t>et al</w:t>
      </w:r>
      <w:r>
        <w:t>., 2021).</w:t>
      </w:r>
    </w:p>
    <w:p w14:paraId="2ECC88A7" w14:textId="77777777" w:rsidR="00446BE0" w:rsidRPr="009662FC" w:rsidRDefault="00446BE0" w:rsidP="00F857FC">
      <w:pPr>
        <w:spacing w:line="360" w:lineRule="auto"/>
        <w:jc w:val="both"/>
        <w:rPr>
          <w:sz w:val="12"/>
          <w:szCs w:val="12"/>
          <w:lang w:val="en-GB"/>
        </w:rPr>
      </w:pPr>
    </w:p>
    <w:p w14:paraId="3150C89E" w14:textId="77777777" w:rsidR="00F857FC" w:rsidRPr="006B5031" w:rsidRDefault="00F857FC" w:rsidP="00F857FC">
      <w:pPr>
        <w:spacing w:line="480" w:lineRule="auto"/>
        <w:rPr>
          <w:b/>
          <w:bCs/>
        </w:rPr>
      </w:pPr>
      <w:r w:rsidRPr="006B5031">
        <w:rPr>
          <w:b/>
          <w:bCs/>
        </w:rPr>
        <w:t>5.0 CONCLUSION</w:t>
      </w:r>
    </w:p>
    <w:p w14:paraId="032D2E58" w14:textId="43B3161C" w:rsidR="00F857FC" w:rsidRDefault="00F857FC" w:rsidP="00F857FC">
      <w:pPr>
        <w:spacing w:line="360" w:lineRule="auto"/>
        <w:jc w:val="both"/>
      </w:pPr>
      <w:r w:rsidRPr="00950145">
        <w:t xml:space="preserve">Findings from this study, which </w:t>
      </w:r>
      <w:r w:rsidR="00CA0EDF">
        <w:rPr>
          <w:lang w:val="en-GB"/>
        </w:rPr>
        <w:t>assessed</w:t>
      </w:r>
      <w:r w:rsidRPr="00950145">
        <w:t xml:space="preserve"> the levels of glutamic acid in healthy</w:t>
      </w:r>
      <w:r w:rsidR="00CA0EDF">
        <w:rPr>
          <w:lang w:val="en-GB"/>
        </w:rPr>
        <w:t xml:space="preserve"> control </w:t>
      </w:r>
      <w:r w:rsidRPr="00950145">
        <w:t xml:space="preserve">and cancer subjects, established that there is </w:t>
      </w:r>
      <w:r w:rsidR="00222A6D">
        <w:t xml:space="preserve">a </w:t>
      </w:r>
      <w:r w:rsidRPr="00950145">
        <w:t xml:space="preserve">significant increase in glutamic acid </w:t>
      </w:r>
      <w:r w:rsidR="00222A6D">
        <w:t>levels</w:t>
      </w:r>
      <w:r w:rsidRPr="00950145">
        <w:t xml:space="preserve"> in cancer subjects compared to healthy</w:t>
      </w:r>
      <w:r w:rsidR="009C5638">
        <w:rPr>
          <w:lang w:val="en-GB"/>
        </w:rPr>
        <w:t xml:space="preserve"> </w:t>
      </w:r>
      <w:r w:rsidR="00CA0EDF">
        <w:rPr>
          <w:lang w:val="en-GB"/>
        </w:rPr>
        <w:t xml:space="preserve">control </w:t>
      </w:r>
      <w:r w:rsidR="009C5638">
        <w:rPr>
          <w:lang w:val="en-GB"/>
        </w:rPr>
        <w:t>subjects</w:t>
      </w:r>
      <w:r w:rsidRPr="00950145">
        <w:t xml:space="preserve">. </w:t>
      </w:r>
      <w:r w:rsidR="009662FC">
        <w:rPr>
          <w:lang w:val="en-GB"/>
        </w:rPr>
        <w:t>Additionally</w:t>
      </w:r>
      <w:r w:rsidRPr="00950145">
        <w:t xml:space="preserve">, plasma glutamic acid concentration increases proportionally with cancer stage, underscoring its crucial role as a biochemical indicator of cancer progression. </w:t>
      </w:r>
    </w:p>
    <w:p w14:paraId="77578A61" w14:textId="6BE5220F" w:rsidR="00F857FC" w:rsidRPr="00950145" w:rsidRDefault="009662FC" w:rsidP="00F857FC">
      <w:pPr>
        <w:spacing w:line="360" w:lineRule="auto"/>
        <w:jc w:val="both"/>
      </w:pPr>
      <w:r w:rsidRPr="00950145">
        <w:t>T</w:t>
      </w:r>
      <w:r w:rsidR="00F857FC" w:rsidRPr="00950145">
        <w:t xml:space="preserve">he study also revealed a disparity in the levels of glutamic acid in </w:t>
      </w:r>
      <w:r w:rsidR="00222A6D">
        <w:t>males</w:t>
      </w:r>
      <w:r w:rsidR="00F857FC" w:rsidRPr="00950145">
        <w:t xml:space="preserve"> and </w:t>
      </w:r>
      <w:r w:rsidR="00222A6D">
        <w:t>females</w:t>
      </w:r>
      <w:r w:rsidR="00F857FC" w:rsidRPr="00950145">
        <w:t xml:space="preserve">. This variation is as a result of hormonal differences and enzymatic activity. The elevated glutamic acid level reflects enhanced </w:t>
      </w:r>
      <w:proofErr w:type="spellStart"/>
      <w:r w:rsidR="00F857FC" w:rsidRPr="00950145">
        <w:t>glutaminolysis</w:t>
      </w:r>
      <w:proofErr w:type="spellEnd"/>
      <w:r w:rsidR="00222A6D">
        <w:t>,</w:t>
      </w:r>
      <w:r w:rsidR="00F857FC" w:rsidRPr="00950145">
        <w:t xml:space="preserve"> which fuels </w:t>
      </w:r>
      <w:proofErr w:type="spellStart"/>
      <w:r w:rsidR="00F857FC" w:rsidRPr="00950145">
        <w:t>tumour</w:t>
      </w:r>
      <w:proofErr w:type="spellEnd"/>
      <w:r w:rsidR="00F857FC" w:rsidRPr="00950145">
        <w:t xml:space="preserve"> proliferation, metastasis</w:t>
      </w:r>
      <w:r w:rsidR="00222A6D">
        <w:t>,</w:t>
      </w:r>
      <w:r w:rsidR="00F857FC" w:rsidRPr="00950145">
        <w:t xml:space="preserve"> and resistance to therapy.</w:t>
      </w:r>
    </w:p>
    <w:p w14:paraId="7464B614" w14:textId="3DC5C7CD" w:rsidR="00F857FC" w:rsidRDefault="00F857FC" w:rsidP="00F857FC">
      <w:pPr>
        <w:spacing w:line="360" w:lineRule="auto"/>
        <w:jc w:val="both"/>
      </w:pPr>
      <w:r w:rsidRPr="00950145">
        <w:t xml:space="preserve">Therefore, glutamic acid </w:t>
      </w:r>
      <w:r w:rsidR="00E25B61">
        <w:t xml:space="preserve">could </w:t>
      </w:r>
      <w:r w:rsidRPr="00950145">
        <w:t>serve as a potential diagnostic, prognostic</w:t>
      </w:r>
      <w:r w:rsidR="00222A6D">
        <w:t>,</w:t>
      </w:r>
      <w:r w:rsidRPr="00950145">
        <w:t xml:space="preserve"> and therapeutic </w:t>
      </w:r>
      <w:r w:rsidR="009C5638">
        <w:rPr>
          <w:lang w:val="en-GB"/>
        </w:rPr>
        <w:t>indicator</w:t>
      </w:r>
      <w:r w:rsidRPr="00950145">
        <w:t>, providing an effective link between cancer metabolism and disease progression.</w:t>
      </w:r>
    </w:p>
    <w:p w14:paraId="711FB804" w14:textId="77777777" w:rsidR="009662FC" w:rsidRPr="009662FC" w:rsidRDefault="009662FC" w:rsidP="00F857FC">
      <w:pPr>
        <w:spacing w:line="480" w:lineRule="auto"/>
        <w:jc w:val="both"/>
        <w:rPr>
          <w:b/>
          <w:bCs/>
          <w:sz w:val="6"/>
          <w:szCs w:val="6"/>
        </w:rPr>
      </w:pPr>
    </w:p>
    <w:p w14:paraId="56AA245C" w14:textId="50589382" w:rsidR="00F857FC" w:rsidRDefault="00F857FC" w:rsidP="00F857FC">
      <w:pPr>
        <w:spacing w:line="480" w:lineRule="auto"/>
        <w:jc w:val="both"/>
        <w:rPr>
          <w:b/>
          <w:bCs/>
        </w:rPr>
      </w:pPr>
      <w:r w:rsidRPr="00B51376">
        <w:rPr>
          <w:b/>
          <w:bCs/>
        </w:rPr>
        <w:t>CONSENT</w:t>
      </w:r>
    </w:p>
    <w:p w14:paraId="5841CA71" w14:textId="77777777" w:rsidR="00F857FC" w:rsidRDefault="00F857FC" w:rsidP="00F857FC">
      <w:pPr>
        <w:spacing w:line="480" w:lineRule="auto"/>
        <w:jc w:val="both"/>
      </w:pPr>
      <w:r>
        <w:t>A well written informed consent document was duly read and signed by the participants before their venous sample was collected. A copy is available for review by the Editorial Office of this Journal.</w:t>
      </w:r>
    </w:p>
    <w:p w14:paraId="6F0035E7" w14:textId="77777777" w:rsidR="00F857FC" w:rsidRDefault="00F857FC" w:rsidP="00F857FC">
      <w:pPr>
        <w:spacing w:line="480" w:lineRule="auto"/>
        <w:jc w:val="both"/>
        <w:rPr>
          <w:b/>
          <w:bCs/>
        </w:rPr>
      </w:pPr>
      <w:r w:rsidRPr="00BE59D8">
        <w:rPr>
          <w:b/>
          <w:bCs/>
        </w:rPr>
        <w:t>ETHICAL APPROVAL</w:t>
      </w:r>
    </w:p>
    <w:p w14:paraId="7620CB7C" w14:textId="2A525202" w:rsidR="00F857FC" w:rsidRDefault="00F857FC" w:rsidP="00F857FC">
      <w:pPr>
        <w:spacing w:line="480" w:lineRule="auto"/>
        <w:jc w:val="both"/>
      </w:pPr>
      <w:r w:rsidRPr="00BE59D8">
        <w:lastRenderedPageBreak/>
        <w:t xml:space="preserve">Ethical approval to </w:t>
      </w:r>
      <w:r w:rsidR="00222A6D" w:rsidRPr="00BE59D8">
        <w:t>carry out</w:t>
      </w:r>
      <w:r w:rsidRPr="00BE59D8">
        <w:t xml:space="preserve"> this study was obtained from Rivers State University Teaching Hospital</w:t>
      </w:r>
      <w:r w:rsidRPr="00950145">
        <w:t xml:space="preserve"> and University of Port Harcourt Teaching Hospital Health Research Ethics Committee.</w:t>
      </w:r>
    </w:p>
    <w:p w14:paraId="632B5BE4" w14:textId="77777777" w:rsidR="00F857FC" w:rsidRPr="00BE59D8" w:rsidRDefault="00F857FC" w:rsidP="00F857FC">
      <w:pPr>
        <w:spacing w:line="480" w:lineRule="auto"/>
        <w:jc w:val="both"/>
        <w:rPr>
          <w:b/>
          <w:bCs/>
        </w:rPr>
      </w:pPr>
      <w:r w:rsidRPr="00BE59D8">
        <w:rPr>
          <w:b/>
          <w:bCs/>
        </w:rPr>
        <w:t>COMPETING</w:t>
      </w:r>
      <w:r>
        <w:rPr>
          <w:b/>
          <w:bCs/>
        </w:rPr>
        <w:t xml:space="preserve"> INTEREST</w:t>
      </w:r>
    </w:p>
    <w:p w14:paraId="11711FCF" w14:textId="46D3D126" w:rsidR="00F857FC" w:rsidRDefault="00F857FC" w:rsidP="00F857FC">
      <w:pPr>
        <w:spacing w:line="480" w:lineRule="auto"/>
        <w:jc w:val="both"/>
      </w:pPr>
      <w:r>
        <w:t>No competing interest exists at all</w:t>
      </w:r>
    </w:p>
    <w:p w14:paraId="75FA2E4D" w14:textId="77777777" w:rsidR="004F6CD4" w:rsidRPr="004F6CD4" w:rsidRDefault="004F6CD4" w:rsidP="004F6CD4">
      <w:pPr>
        <w:spacing w:after="200" w:line="276" w:lineRule="auto"/>
        <w:rPr>
          <w:rFonts w:ascii="Calibri" w:eastAsia="Calibri" w:hAnsi="Calibri"/>
          <w:kern w:val="2"/>
          <w:sz w:val="22"/>
          <w:szCs w:val="22"/>
          <w:highlight w:val="yellow"/>
          <w:lang w:eastAsia="en-US"/>
          <w14:ligatures w14:val="standardContextual"/>
        </w:rPr>
      </w:pPr>
      <w:r w:rsidRPr="004F6CD4">
        <w:rPr>
          <w:rFonts w:ascii="Calibri" w:eastAsia="Calibri" w:hAnsi="Calibri"/>
          <w:kern w:val="2"/>
          <w:sz w:val="22"/>
          <w:szCs w:val="22"/>
          <w:highlight w:val="yellow"/>
          <w:lang w:eastAsia="en-US"/>
          <w14:ligatures w14:val="standardContextual"/>
        </w:rPr>
        <w:t>Disclaimer (Artificial intelligence)</w:t>
      </w:r>
    </w:p>
    <w:p w14:paraId="19CF3C95" w14:textId="77777777" w:rsidR="004F6CD4" w:rsidRPr="004F6CD4" w:rsidRDefault="004F6CD4" w:rsidP="004F6CD4">
      <w:pPr>
        <w:spacing w:after="200" w:line="276" w:lineRule="auto"/>
        <w:rPr>
          <w:rFonts w:ascii="Calibri" w:eastAsia="Calibri" w:hAnsi="Calibri"/>
          <w:kern w:val="2"/>
          <w:sz w:val="22"/>
          <w:szCs w:val="22"/>
          <w:highlight w:val="yellow"/>
          <w:lang w:eastAsia="en-US"/>
          <w14:ligatures w14:val="standardContextual"/>
        </w:rPr>
      </w:pPr>
      <w:r w:rsidRPr="004F6CD4">
        <w:rPr>
          <w:rFonts w:ascii="Calibri" w:eastAsia="Calibri" w:hAnsi="Calibri"/>
          <w:kern w:val="2"/>
          <w:sz w:val="22"/>
          <w:szCs w:val="22"/>
          <w:highlight w:val="yellow"/>
          <w:lang w:eastAsia="en-US"/>
          <w14:ligatures w14:val="standardContextual"/>
        </w:rPr>
        <w:t xml:space="preserve">Option 1: </w:t>
      </w:r>
    </w:p>
    <w:p w14:paraId="3E53D64D" w14:textId="77777777" w:rsidR="004F6CD4" w:rsidRPr="004F6CD4" w:rsidRDefault="004F6CD4" w:rsidP="004F6CD4">
      <w:pPr>
        <w:spacing w:after="200" w:line="276" w:lineRule="auto"/>
        <w:rPr>
          <w:rFonts w:ascii="Calibri" w:eastAsia="Calibri" w:hAnsi="Calibri"/>
          <w:kern w:val="2"/>
          <w:sz w:val="22"/>
          <w:szCs w:val="22"/>
          <w:highlight w:val="yellow"/>
          <w:lang w:eastAsia="en-US"/>
          <w14:ligatures w14:val="standardContextual"/>
        </w:rPr>
      </w:pPr>
      <w:r w:rsidRPr="004F6CD4">
        <w:rPr>
          <w:rFonts w:ascii="Calibri" w:eastAsia="Calibri" w:hAnsi="Calibri"/>
          <w:kern w:val="2"/>
          <w:sz w:val="22"/>
          <w:szCs w:val="22"/>
          <w:highlight w:val="yellow"/>
          <w:lang w:eastAsia="en-US"/>
          <w14:ligatures w14:val="standardContextual"/>
        </w:rPr>
        <w:t>Author(s) hereby declare that NO generative AI technologies such as Large Language Models (</w:t>
      </w:r>
      <w:proofErr w:type="spellStart"/>
      <w:r w:rsidRPr="004F6CD4">
        <w:rPr>
          <w:rFonts w:ascii="Calibri" w:eastAsia="Calibri" w:hAnsi="Calibri"/>
          <w:kern w:val="2"/>
          <w:sz w:val="22"/>
          <w:szCs w:val="22"/>
          <w:highlight w:val="yellow"/>
          <w:lang w:eastAsia="en-US"/>
          <w14:ligatures w14:val="standardContextual"/>
        </w:rPr>
        <w:t>ChatGPT</w:t>
      </w:r>
      <w:proofErr w:type="spellEnd"/>
      <w:r w:rsidRPr="004F6CD4">
        <w:rPr>
          <w:rFonts w:ascii="Calibri" w:eastAsia="Calibri" w:hAnsi="Calibri"/>
          <w:kern w:val="2"/>
          <w:sz w:val="22"/>
          <w:szCs w:val="22"/>
          <w:highlight w:val="yellow"/>
          <w:lang w:eastAsia="en-US"/>
          <w14:ligatures w14:val="standardContextual"/>
        </w:rPr>
        <w:t xml:space="preserve">, COPILOT, etc.) and text-to-image generators have been used during the writing or editing of this manuscript. </w:t>
      </w:r>
    </w:p>
    <w:p w14:paraId="470B7559" w14:textId="77777777" w:rsidR="004F6CD4" w:rsidRDefault="004F6CD4" w:rsidP="00F857FC">
      <w:pPr>
        <w:spacing w:line="480" w:lineRule="auto"/>
        <w:jc w:val="both"/>
      </w:pPr>
    </w:p>
    <w:p w14:paraId="31E2954C" w14:textId="77777777" w:rsidR="009847B7" w:rsidRDefault="009847B7" w:rsidP="00F857FC">
      <w:pPr>
        <w:spacing w:line="480" w:lineRule="auto"/>
        <w:jc w:val="both"/>
      </w:pPr>
    </w:p>
    <w:p w14:paraId="3BDE03D8" w14:textId="77777777" w:rsidR="00F857FC" w:rsidRDefault="00F857FC" w:rsidP="00F857FC"/>
    <w:p w14:paraId="5EA85E01" w14:textId="77777777" w:rsidR="00C02C80" w:rsidRPr="008F50E5" w:rsidRDefault="00C02C80" w:rsidP="00C02C80">
      <w:pPr>
        <w:spacing w:after="240"/>
        <w:jc w:val="center"/>
        <w:rPr>
          <w:b/>
          <w:bCs/>
        </w:rPr>
      </w:pPr>
      <w:r w:rsidRPr="008F50E5">
        <w:rPr>
          <w:b/>
          <w:bCs/>
        </w:rPr>
        <w:t>REFERENCE</w:t>
      </w:r>
    </w:p>
    <w:p w14:paraId="7862DF9D" w14:textId="77777777" w:rsidR="009662FC" w:rsidRPr="00950145" w:rsidRDefault="009662FC" w:rsidP="00914154">
      <w:pPr>
        <w:pStyle w:val="ListParagraph"/>
        <w:numPr>
          <w:ilvl w:val="0"/>
          <w:numId w:val="4"/>
        </w:numPr>
        <w:spacing w:after="240"/>
        <w:jc w:val="both"/>
      </w:pPr>
      <w:r w:rsidRPr="00950145">
        <w:t xml:space="preserve">Choi, B. H. &amp; </w:t>
      </w:r>
      <w:proofErr w:type="spellStart"/>
      <w:r w:rsidRPr="00950145">
        <w:t>Coloff</w:t>
      </w:r>
      <w:proofErr w:type="spellEnd"/>
      <w:r w:rsidRPr="00950145">
        <w:t>, J. L. (2019). The diverse functions of non-essential amino acids in cancer. </w:t>
      </w:r>
      <w:r w:rsidRPr="00914154">
        <w:rPr>
          <w:i/>
          <w:iCs/>
        </w:rPr>
        <w:t>Cancers</w:t>
      </w:r>
      <w:r w:rsidRPr="00950145">
        <w:t>, 11(5), 675.</w:t>
      </w:r>
    </w:p>
    <w:p w14:paraId="0429805A" w14:textId="77777777" w:rsidR="009662FC" w:rsidRPr="00950145" w:rsidRDefault="009662FC" w:rsidP="00914154">
      <w:pPr>
        <w:pStyle w:val="ListParagraph"/>
        <w:numPr>
          <w:ilvl w:val="0"/>
          <w:numId w:val="4"/>
        </w:numPr>
        <w:spacing w:after="240"/>
        <w:jc w:val="both"/>
      </w:pPr>
      <w:r w:rsidRPr="00950145">
        <w:t>Dong, J. Y. &amp; Qin, L. Q. (2020). Education level and breast cancer incidence: a meta-analysis of cohort studies. </w:t>
      </w:r>
      <w:r w:rsidRPr="00914154">
        <w:rPr>
          <w:i/>
          <w:iCs/>
        </w:rPr>
        <w:t>Menopause</w:t>
      </w:r>
      <w:r w:rsidRPr="00950145">
        <w:t>, 27(1), 113-118.</w:t>
      </w:r>
    </w:p>
    <w:p w14:paraId="472DA8FA" w14:textId="77777777" w:rsidR="009662FC" w:rsidRDefault="009662FC" w:rsidP="00914154">
      <w:pPr>
        <w:pStyle w:val="ListParagraph"/>
        <w:numPr>
          <w:ilvl w:val="0"/>
          <w:numId w:val="4"/>
        </w:numPr>
        <w:spacing w:after="240"/>
        <w:jc w:val="both"/>
      </w:pPr>
      <w:proofErr w:type="spellStart"/>
      <w:r w:rsidRPr="00950145">
        <w:t>Hariyanto</w:t>
      </w:r>
      <w:proofErr w:type="spellEnd"/>
      <w:r w:rsidRPr="00950145">
        <w:t>, T. I. &amp; Kurniawan, A. (2021). Appetite problem in cancer patients: Pathophysiology, diagnosis, and treatment. </w:t>
      </w:r>
      <w:r w:rsidRPr="00914154">
        <w:rPr>
          <w:i/>
          <w:iCs/>
        </w:rPr>
        <w:t>Cancer Treatment and Research Communications</w:t>
      </w:r>
      <w:r w:rsidRPr="00950145">
        <w:t>, 27, 100336.</w:t>
      </w:r>
    </w:p>
    <w:p w14:paraId="3DB86612" w14:textId="77777777" w:rsidR="009662FC" w:rsidRPr="00FD23BF" w:rsidRDefault="009662FC" w:rsidP="00914154">
      <w:pPr>
        <w:pStyle w:val="ListParagraph"/>
        <w:numPr>
          <w:ilvl w:val="0"/>
          <w:numId w:val="4"/>
        </w:numPr>
        <w:spacing w:after="240"/>
        <w:jc w:val="both"/>
      </w:pPr>
      <w:r w:rsidRPr="00914154">
        <w:rPr>
          <w:color w:val="212121"/>
          <w:shd w:val="clear" w:color="auto" w:fill="FFFFFF"/>
        </w:rPr>
        <w:t>Huang, R., Wang, H., Hong, J., Wu, J., Huang, O., He, J., Chen, W., Li, Y., Chen, X., Shen, K. &amp; Wang, Z. (2023). Targeting glutamine metabolic reprogramming of SLC7A5 enhances the efficacy of anti-PD-1 in triple-negative breast cancer. </w:t>
      </w:r>
      <w:r w:rsidRPr="00914154">
        <w:rPr>
          <w:i/>
          <w:iCs/>
          <w:color w:val="212121"/>
          <w:shd w:val="clear" w:color="auto" w:fill="FFFFFF"/>
        </w:rPr>
        <w:t>Frontiers in immunology</w:t>
      </w:r>
      <w:r w:rsidRPr="00914154">
        <w:rPr>
          <w:color w:val="212121"/>
          <w:shd w:val="clear" w:color="auto" w:fill="FFFFFF"/>
        </w:rPr>
        <w:t>, 14, 1251643.</w:t>
      </w:r>
    </w:p>
    <w:p w14:paraId="6630A5EA" w14:textId="77777777" w:rsidR="009662FC" w:rsidRDefault="009662FC" w:rsidP="00914154">
      <w:pPr>
        <w:pStyle w:val="ListParagraph"/>
        <w:numPr>
          <w:ilvl w:val="0"/>
          <w:numId w:val="4"/>
        </w:numPr>
        <w:spacing w:after="240"/>
        <w:jc w:val="both"/>
      </w:pPr>
      <w:r w:rsidRPr="00914154">
        <w:rPr>
          <w:lang w:val="en-GB"/>
        </w:rPr>
        <w:t xml:space="preserve">Global Cancer Observatory. (2022). Cancer Today. Lyon, France: </w:t>
      </w:r>
      <w:r>
        <w:t>I</w:t>
      </w:r>
      <w:proofErr w:type="spellStart"/>
      <w:r w:rsidRPr="00914154">
        <w:rPr>
          <w:lang w:val="en-GB"/>
        </w:rPr>
        <w:t>nternational</w:t>
      </w:r>
      <w:proofErr w:type="spellEnd"/>
      <w:r w:rsidRPr="00914154">
        <w:rPr>
          <w:lang w:val="en-GB"/>
        </w:rPr>
        <w:t xml:space="preserve"> </w:t>
      </w:r>
      <w:r>
        <w:t>A</w:t>
      </w:r>
      <w:proofErr w:type="spellStart"/>
      <w:r w:rsidRPr="00914154">
        <w:rPr>
          <w:lang w:val="en-GB"/>
        </w:rPr>
        <w:t>gency</w:t>
      </w:r>
      <w:proofErr w:type="spellEnd"/>
      <w:r w:rsidRPr="00914154">
        <w:rPr>
          <w:lang w:val="en-GB"/>
        </w:rPr>
        <w:t xml:space="preserve"> for </w:t>
      </w:r>
      <w:r>
        <w:t>R</w:t>
      </w:r>
      <w:proofErr w:type="spellStart"/>
      <w:r w:rsidRPr="00914154">
        <w:rPr>
          <w:lang w:val="en-GB"/>
        </w:rPr>
        <w:t>esearch</w:t>
      </w:r>
      <w:proofErr w:type="spellEnd"/>
      <w:r w:rsidRPr="00914154">
        <w:rPr>
          <w:lang w:val="en-GB"/>
        </w:rPr>
        <w:t xml:space="preserve"> on </w:t>
      </w:r>
      <w:r>
        <w:t>C</w:t>
      </w:r>
      <w:proofErr w:type="spellStart"/>
      <w:r w:rsidRPr="00914154">
        <w:rPr>
          <w:lang w:val="en-GB"/>
        </w:rPr>
        <w:t>ancer</w:t>
      </w:r>
      <w:proofErr w:type="spellEnd"/>
      <w:r w:rsidRPr="00914154">
        <w:rPr>
          <w:lang w:val="en-GB"/>
        </w:rPr>
        <w:t>.</w:t>
      </w:r>
      <w:r>
        <w:t xml:space="preserve"> </w:t>
      </w:r>
    </w:p>
    <w:p w14:paraId="7359F8FE" w14:textId="77777777" w:rsidR="009662FC" w:rsidRPr="00914154" w:rsidRDefault="009662FC" w:rsidP="00914154">
      <w:pPr>
        <w:pStyle w:val="ListParagraph"/>
        <w:numPr>
          <w:ilvl w:val="0"/>
          <w:numId w:val="4"/>
        </w:numPr>
        <w:spacing w:after="240"/>
        <w:jc w:val="both"/>
        <w:rPr>
          <w:lang w:val="en-GB"/>
        </w:rPr>
      </w:pPr>
      <w:proofErr w:type="spellStart"/>
      <w:r w:rsidRPr="00914154">
        <w:rPr>
          <w:color w:val="000000" w:themeColor="text1"/>
          <w:lang w:val="en-GB"/>
        </w:rPr>
        <w:t>Jin</w:t>
      </w:r>
      <w:proofErr w:type="spellEnd"/>
      <w:r w:rsidRPr="00914154">
        <w:rPr>
          <w:color w:val="000000" w:themeColor="text1"/>
          <w:lang w:val="en-GB"/>
        </w:rPr>
        <w:t xml:space="preserve">, J., Byun, J., Choi, Y. &amp; Park, K. (2023). </w:t>
      </w:r>
      <w:r w:rsidRPr="00914154">
        <w:rPr>
          <w:color w:val="000000" w:themeColor="text1"/>
        </w:rPr>
        <w:t>Targeting glutamine metabolism as a therapeutic strategy for cancer</w:t>
      </w:r>
      <w:r w:rsidRPr="00914154">
        <w:rPr>
          <w:lang w:val="en-GB"/>
        </w:rPr>
        <w:t xml:space="preserve">. </w:t>
      </w:r>
      <w:r w:rsidRPr="00914154">
        <w:rPr>
          <w:i/>
          <w:iCs/>
          <w:lang w:val="en-GB"/>
        </w:rPr>
        <w:t xml:space="preserve">Journal of Exp Mol Med, </w:t>
      </w:r>
      <w:r w:rsidRPr="00914154">
        <w:rPr>
          <w:color w:val="1B1B1B"/>
          <w:shd w:val="clear" w:color="auto" w:fill="FFFFFF"/>
        </w:rPr>
        <w:t>3</w:t>
      </w:r>
      <w:r w:rsidRPr="00914154">
        <w:rPr>
          <w:color w:val="1B1B1B"/>
          <w:shd w:val="clear" w:color="auto" w:fill="FFFFFF"/>
          <w:lang w:val="en-GB"/>
        </w:rPr>
        <w:t xml:space="preserve">, </w:t>
      </w:r>
      <w:r w:rsidRPr="00914154">
        <w:rPr>
          <w:color w:val="1B1B1B"/>
          <w:shd w:val="clear" w:color="auto" w:fill="FFFFFF"/>
        </w:rPr>
        <w:t>55(4</w:t>
      </w:r>
      <w:r w:rsidRPr="00914154">
        <w:rPr>
          <w:color w:val="1B1B1B"/>
          <w:shd w:val="clear" w:color="auto" w:fill="FFFFFF"/>
          <w:lang w:val="en-GB"/>
        </w:rPr>
        <w:t xml:space="preserve">), </w:t>
      </w:r>
      <w:r w:rsidRPr="00914154">
        <w:rPr>
          <w:color w:val="1B1B1B"/>
          <w:shd w:val="clear" w:color="auto" w:fill="FFFFFF"/>
        </w:rPr>
        <w:t>706</w:t>
      </w:r>
      <w:r w:rsidRPr="00914154">
        <w:rPr>
          <w:color w:val="1B1B1B"/>
          <w:shd w:val="clear" w:color="auto" w:fill="FFFFFF"/>
          <w:lang w:val="en-GB"/>
        </w:rPr>
        <w:t xml:space="preserve"> </w:t>
      </w:r>
      <w:r w:rsidRPr="00914154">
        <w:rPr>
          <w:color w:val="1B1B1B"/>
          <w:shd w:val="clear" w:color="auto" w:fill="FFFFFF"/>
        </w:rPr>
        <w:t>–7</w:t>
      </w:r>
      <w:r w:rsidRPr="00914154">
        <w:rPr>
          <w:color w:val="1B1B1B"/>
          <w:shd w:val="clear" w:color="auto" w:fill="FFFFFF"/>
          <w:lang w:val="en-GB"/>
        </w:rPr>
        <w:t xml:space="preserve"> </w:t>
      </w:r>
      <w:r w:rsidRPr="00914154">
        <w:rPr>
          <w:color w:val="1B1B1B"/>
          <w:shd w:val="clear" w:color="auto" w:fill="FFFFFF"/>
        </w:rPr>
        <w:t>15</w:t>
      </w:r>
    </w:p>
    <w:p w14:paraId="5DB21332" w14:textId="77777777" w:rsidR="009662FC" w:rsidRDefault="009662FC" w:rsidP="00914154">
      <w:pPr>
        <w:pStyle w:val="ListParagraph"/>
        <w:numPr>
          <w:ilvl w:val="0"/>
          <w:numId w:val="4"/>
        </w:numPr>
        <w:spacing w:after="240"/>
        <w:jc w:val="both"/>
      </w:pPr>
      <w:proofErr w:type="spellStart"/>
      <w:r w:rsidRPr="00950145">
        <w:t>Kattner</w:t>
      </w:r>
      <w:proofErr w:type="spellEnd"/>
      <w:r w:rsidRPr="00950145">
        <w:t xml:space="preserve">, P., </w:t>
      </w:r>
      <w:proofErr w:type="spellStart"/>
      <w:r w:rsidRPr="00950145">
        <w:t>Zeiler</w:t>
      </w:r>
      <w:proofErr w:type="spellEnd"/>
      <w:r w:rsidRPr="00950145">
        <w:t xml:space="preserve">, K., </w:t>
      </w:r>
      <w:proofErr w:type="spellStart"/>
      <w:r w:rsidRPr="00950145">
        <w:t>Herbener</w:t>
      </w:r>
      <w:proofErr w:type="spellEnd"/>
      <w:r w:rsidRPr="00950145">
        <w:t xml:space="preserve">, V. J., La </w:t>
      </w:r>
      <w:proofErr w:type="spellStart"/>
      <w:r w:rsidRPr="00950145">
        <w:t>Ferla-Brühl</w:t>
      </w:r>
      <w:proofErr w:type="spellEnd"/>
      <w:r w:rsidRPr="00950145">
        <w:t xml:space="preserve">, K., </w:t>
      </w:r>
      <w:proofErr w:type="spellStart"/>
      <w:r w:rsidRPr="00950145">
        <w:t>Kassubek</w:t>
      </w:r>
      <w:proofErr w:type="spellEnd"/>
      <w:r w:rsidRPr="00950145">
        <w:t xml:space="preserve">, R., </w:t>
      </w:r>
      <w:proofErr w:type="spellStart"/>
      <w:r w:rsidRPr="00950145">
        <w:t>Grunert</w:t>
      </w:r>
      <w:proofErr w:type="spellEnd"/>
      <w:r w:rsidRPr="00950145">
        <w:t xml:space="preserve">, M. &amp; </w:t>
      </w:r>
      <w:proofErr w:type="spellStart"/>
      <w:r w:rsidRPr="00950145">
        <w:t>Westhoff</w:t>
      </w:r>
      <w:proofErr w:type="spellEnd"/>
      <w:r w:rsidRPr="00950145">
        <w:t>, M. A. (2021). What animal cancers teach us about human biology. </w:t>
      </w:r>
      <w:proofErr w:type="spellStart"/>
      <w:r w:rsidRPr="00914154">
        <w:rPr>
          <w:i/>
          <w:iCs/>
        </w:rPr>
        <w:t>Theranostics</w:t>
      </w:r>
      <w:proofErr w:type="spellEnd"/>
      <w:r w:rsidRPr="00950145">
        <w:t>, 11(14), 6682.</w:t>
      </w:r>
    </w:p>
    <w:p w14:paraId="139746CC" w14:textId="77777777" w:rsidR="009662FC" w:rsidRDefault="009662FC" w:rsidP="00914154">
      <w:pPr>
        <w:pStyle w:val="ListParagraph"/>
        <w:numPr>
          <w:ilvl w:val="0"/>
          <w:numId w:val="4"/>
        </w:numPr>
        <w:spacing w:after="240"/>
        <w:jc w:val="both"/>
      </w:pPr>
      <w:r w:rsidRPr="00950145">
        <w:t>Li, T. &amp; Le, A. (2018). Glutamine metabolism in cancer. </w:t>
      </w:r>
      <w:r w:rsidRPr="00914154">
        <w:rPr>
          <w:i/>
          <w:iCs/>
        </w:rPr>
        <w:t>The Heterogeneity of Cancer Metabolism</w:t>
      </w:r>
      <w:r w:rsidRPr="00950145">
        <w:t>, 13-32.</w:t>
      </w:r>
    </w:p>
    <w:p w14:paraId="2D83CD96" w14:textId="77777777" w:rsidR="009662FC" w:rsidRPr="00914154" w:rsidRDefault="009662FC" w:rsidP="00914154">
      <w:pPr>
        <w:pStyle w:val="ListParagraph"/>
        <w:numPr>
          <w:ilvl w:val="0"/>
          <w:numId w:val="4"/>
        </w:numPr>
        <w:spacing w:after="240"/>
        <w:jc w:val="both"/>
        <w:rPr>
          <w:lang w:val="en-GB"/>
        </w:rPr>
      </w:pPr>
      <w:r w:rsidRPr="00914154">
        <w:rPr>
          <w:lang w:val="en-GB"/>
        </w:rPr>
        <w:t xml:space="preserve">Li, X., Zhu, H., Sun, W., Yang, X., </w:t>
      </w:r>
      <w:proofErr w:type="spellStart"/>
      <w:r w:rsidRPr="00914154">
        <w:rPr>
          <w:lang w:val="en-GB"/>
        </w:rPr>
        <w:t>Nie</w:t>
      </w:r>
      <w:proofErr w:type="spellEnd"/>
      <w:r w:rsidRPr="00914154">
        <w:rPr>
          <w:lang w:val="en-GB"/>
        </w:rPr>
        <w:t xml:space="preserve">, Q. &amp; Fang, X. (2013). </w:t>
      </w:r>
      <w:r w:rsidRPr="00545820">
        <w:t>Role of glutamine and its metabolite ammonia in crosstalk of cancer-associated fibroblasts and cancer cells</w:t>
      </w:r>
      <w:r w:rsidRPr="00914154">
        <w:rPr>
          <w:lang w:val="en-GB"/>
        </w:rPr>
        <w:t xml:space="preserve">. </w:t>
      </w:r>
      <w:r w:rsidRPr="00914154">
        <w:rPr>
          <w:i/>
          <w:iCs/>
          <w:lang w:val="en-GB"/>
        </w:rPr>
        <w:t xml:space="preserve">Cancer Cell Int, </w:t>
      </w:r>
      <w:r w:rsidRPr="00914154">
        <w:rPr>
          <w:lang w:val="en-GB"/>
        </w:rPr>
        <w:t>21, 479.</w:t>
      </w:r>
    </w:p>
    <w:p w14:paraId="3472C64A" w14:textId="77777777" w:rsidR="009662FC" w:rsidRPr="00914154" w:rsidRDefault="009662FC" w:rsidP="00914154">
      <w:pPr>
        <w:pStyle w:val="ListParagraph"/>
        <w:numPr>
          <w:ilvl w:val="0"/>
          <w:numId w:val="4"/>
        </w:numPr>
        <w:spacing w:after="240"/>
        <w:jc w:val="both"/>
        <w:rPr>
          <w:rStyle w:val="text"/>
          <w:rFonts w:eastAsiaTheme="majorEastAsia"/>
          <w:lang w:val="en-GB"/>
        </w:rPr>
      </w:pPr>
      <w:r w:rsidRPr="00914154">
        <w:rPr>
          <w:rStyle w:val="text"/>
          <w:rFonts w:eastAsiaTheme="majorEastAsia"/>
          <w:lang w:val="en-GB"/>
        </w:rPr>
        <w:lastRenderedPageBreak/>
        <w:t xml:space="preserve">Li, S., Zeng, H., Fan, J., Wang, F., Xu, C., Li, Y., Tu, J., Nephew, K. H. P. 7 Long, X. (2023). </w:t>
      </w:r>
      <w:r w:rsidRPr="00914154">
        <w:rPr>
          <w:rFonts w:eastAsiaTheme="majorEastAsia"/>
          <w:color w:val="1F1F1F"/>
        </w:rPr>
        <w:t>Glutamine metabolism in breast cancer and possible therapeutic targets</w:t>
      </w:r>
      <w:r w:rsidRPr="00914154">
        <w:rPr>
          <w:color w:val="1F1F1F"/>
          <w:lang w:val="en-GB"/>
        </w:rPr>
        <w:t xml:space="preserve">. </w:t>
      </w:r>
      <w:proofErr w:type="spellStart"/>
      <w:r w:rsidRPr="00914154">
        <w:rPr>
          <w:i/>
          <w:iCs/>
          <w:color w:val="1F1F1F"/>
          <w:lang w:val="en-GB"/>
        </w:rPr>
        <w:t>Biochem</w:t>
      </w:r>
      <w:proofErr w:type="spellEnd"/>
      <w:r w:rsidRPr="00914154">
        <w:rPr>
          <w:i/>
          <w:iCs/>
          <w:color w:val="1F1F1F"/>
          <w:lang w:val="en-GB"/>
        </w:rPr>
        <w:t xml:space="preserve"> </w:t>
      </w:r>
      <w:proofErr w:type="spellStart"/>
      <w:r w:rsidRPr="00914154">
        <w:rPr>
          <w:i/>
          <w:iCs/>
          <w:color w:val="1F1F1F"/>
          <w:lang w:val="en-GB"/>
        </w:rPr>
        <w:t>Pharmacol</w:t>
      </w:r>
      <w:proofErr w:type="spellEnd"/>
      <w:r w:rsidRPr="00914154">
        <w:rPr>
          <w:i/>
          <w:iCs/>
          <w:color w:val="1F1F1F"/>
          <w:lang w:val="en-GB"/>
        </w:rPr>
        <w:t xml:space="preserve">, </w:t>
      </w:r>
      <w:r w:rsidRPr="00914154">
        <w:rPr>
          <w:color w:val="1F1F1F"/>
          <w:lang w:val="en-GB"/>
        </w:rPr>
        <w:t>210, 115464.</w:t>
      </w:r>
    </w:p>
    <w:p w14:paraId="322DD3B5" w14:textId="77777777" w:rsidR="009662FC" w:rsidRDefault="009662FC" w:rsidP="00914154">
      <w:pPr>
        <w:pStyle w:val="ListParagraph"/>
        <w:numPr>
          <w:ilvl w:val="0"/>
          <w:numId w:val="4"/>
        </w:numPr>
        <w:spacing w:after="240"/>
        <w:jc w:val="both"/>
      </w:pPr>
      <w:r w:rsidRPr="00950145">
        <w:t>Li, Y., Zhang, H., Yu, C., Dong, X., Yang, F., Wang, M.</w:t>
      </w:r>
      <w:r>
        <w:t xml:space="preserve"> </w:t>
      </w:r>
      <w:r w:rsidRPr="00950145">
        <w:t>&amp; Yang, L. (2024). New insights into mitochondria in health and diseases. </w:t>
      </w:r>
      <w:r w:rsidRPr="00914154">
        <w:rPr>
          <w:i/>
          <w:iCs/>
        </w:rPr>
        <w:t>International Journal of Molecular Sciences</w:t>
      </w:r>
      <w:r w:rsidRPr="00950145">
        <w:t>, 25(18), 9975.</w:t>
      </w:r>
    </w:p>
    <w:p w14:paraId="231FA3E4" w14:textId="77777777" w:rsidR="009662FC" w:rsidRPr="00914154" w:rsidRDefault="009662FC" w:rsidP="00914154">
      <w:pPr>
        <w:pStyle w:val="ListParagraph"/>
        <w:numPr>
          <w:ilvl w:val="0"/>
          <w:numId w:val="4"/>
        </w:numPr>
        <w:spacing w:after="240"/>
        <w:jc w:val="both"/>
        <w:rPr>
          <w:lang w:val="en-GB"/>
        </w:rPr>
      </w:pPr>
      <w:r w:rsidRPr="00914154">
        <w:rPr>
          <w:lang w:val="en-GB"/>
        </w:rPr>
        <w:t xml:space="preserve">Lian, G., </w:t>
      </w:r>
      <w:proofErr w:type="spellStart"/>
      <w:r w:rsidRPr="00914154">
        <w:rPr>
          <w:lang w:val="en-GB"/>
        </w:rPr>
        <w:t>Gnanaprakasam</w:t>
      </w:r>
      <w:proofErr w:type="spellEnd"/>
      <w:r w:rsidRPr="00914154">
        <w:rPr>
          <w:lang w:val="en-GB"/>
        </w:rPr>
        <w:t xml:space="preserve">, J. N. R., Wang, T., </w:t>
      </w:r>
      <w:proofErr w:type="spellStart"/>
      <w:r w:rsidRPr="00914154">
        <w:rPr>
          <w:lang w:val="en-GB"/>
        </w:rPr>
        <w:t>wu</w:t>
      </w:r>
      <w:proofErr w:type="spellEnd"/>
      <w:r w:rsidRPr="00914154">
        <w:rPr>
          <w:lang w:val="en-GB"/>
        </w:rPr>
        <w:t xml:space="preserve">, R., Chen, X., Liu, L., Shen, Y., Yang, M., Yang, J., Chen, Y., </w:t>
      </w:r>
      <w:proofErr w:type="spellStart"/>
      <w:r w:rsidRPr="00914154">
        <w:rPr>
          <w:lang w:val="en-GB"/>
        </w:rPr>
        <w:t>Vasiliou</w:t>
      </w:r>
      <w:proofErr w:type="spellEnd"/>
      <w:r w:rsidRPr="00914154">
        <w:rPr>
          <w:lang w:val="en-GB"/>
        </w:rPr>
        <w:t xml:space="preserve">, V., Cassel, T. a., Green, D. R., Liu, Y., Fan, T. W. M. &amp; Wang, R. (2018). </w:t>
      </w:r>
      <w:r w:rsidRPr="00914154">
        <w:rPr>
          <w:color w:val="212121"/>
        </w:rPr>
        <w:t>Glutathione de novo synthesis but not recycling process coordinates with glutamine catabolism to control redox homeostasis and directs murine T cell differentiation</w:t>
      </w:r>
      <w:r w:rsidRPr="00914154">
        <w:rPr>
          <w:color w:val="212121"/>
          <w:lang w:val="en-GB"/>
        </w:rPr>
        <w:t xml:space="preserve">. </w:t>
      </w:r>
      <w:r w:rsidRPr="00914154">
        <w:rPr>
          <w:i/>
          <w:iCs/>
          <w:color w:val="212121"/>
          <w:lang w:val="en-GB"/>
        </w:rPr>
        <w:t>Elife,</w:t>
      </w:r>
      <w:r w:rsidRPr="00914154">
        <w:rPr>
          <w:color w:val="212121"/>
          <w:lang w:val="en-GB"/>
        </w:rPr>
        <w:t>7, e36158.</w:t>
      </w:r>
    </w:p>
    <w:p w14:paraId="0FDF3334" w14:textId="77777777" w:rsidR="009662FC" w:rsidRPr="00914154" w:rsidRDefault="009662FC" w:rsidP="00914154">
      <w:pPr>
        <w:pStyle w:val="ListParagraph"/>
        <w:numPr>
          <w:ilvl w:val="0"/>
          <w:numId w:val="4"/>
        </w:numPr>
        <w:spacing w:after="240"/>
        <w:jc w:val="both"/>
        <w:rPr>
          <w:lang w:val="en-GB"/>
        </w:rPr>
      </w:pPr>
      <w:proofErr w:type="spellStart"/>
      <w:r w:rsidRPr="00914154">
        <w:rPr>
          <w:lang w:val="en-GB"/>
        </w:rPr>
        <w:t>Lv</w:t>
      </w:r>
      <w:proofErr w:type="spellEnd"/>
      <w:r w:rsidRPr="00914154">
        <w:rPr>
          <w:lang w:val="en-GB"/>
        </w:rPr>
        <w:t xml:space="preserve">, H., Han, X., Yang, Y., Shen, J., Yin, Y. &amp; Liu, Y. (2025). </w:t>
      </w:r>
      <w:r w:rsidRPr="00914154">
        <w:rPr>
          <w:color w:val="222222"/>
          <w:shd w:val="clear" w:color="auto" w:fill="FFFFFF"/>
        </w:rPr>
        <w:t>Glutamine: a new strategy for targeted metabolic therapy in the tumor microenvironment. </w:t>
      </w:r>
      <w:r w:rsidRPr="00914154">
        <w:rPr>
          <w:i/>
          <w:iCs/>
          <w:color w:val="222222"/>
          <w:shd w:val="clear" w:color="auto" w:fill="FFFFFF"/>
        </w:rPr>
        <w:t xml:space="preserve">Cell Death </w:t>
      </w:r>
      <w:proofErr w:type="spellStart"/>
      <w:r w:rsidRPr="00914154">
        <w:rPr>
          <w:i/>
          <w:iCs/>
          <w:color w:val="222222"/>
          <w:shd w:val="clear" w:color="auto" w:fill="FFFFFF"/>
        </w:rPr>
        <w:t>Discov</w:t>
      </w:r>
      <w:proofErr w:type="spellEnd"/>
      <w:r w:rsidRPr="00914154">
        <w:rPr>
          <w:i/>
          <w:iCs/>
          <w:color w:val="222222"/>
          <w:shd w:val="clear" w:color="auto" w:fill="FFFFFF"/>
          <w:lang w:val="en-GB"/>
        </w:rPr>
        <w:t>,</w:t>
      </w:r>
      <w:r w:rsidRPr="00914154">
        <w:rPr>
          <w:color w:val="222222"/>
          <w:shd w:val="clear" w:color="auto" w:fill="FFFFFF"/>
        </w:rPr>
        <w:t> 11, 459 </w:t>
      </w:r>
    </w:p>
    <w:p w14:paraId="00BC0F69" w14:textId="77777777" w:rsidR="009662FC" w:rsidRDefault="009662FC" w:rsidP="00914154">
      <w:pPr>
        <w:pStyle w:val="ListParagraph"/>
        <w:numPr>
          <w:ilvl w:val="0"/>
          <w:numId w:val="4"/>
        </w:numPr>
        <w:spacing w:after="240"/>
        <w:jc w:val="both"/>
      </w:pPr>
      <w:proofErr w:type="spellStart"/>
      <w:r w:rsidRPr="00950145">
        <w:t>Mattiuzzi</w:t>
      </w:r>
      <w:proofErr w:type="spellEnd"/>
      <w:r w:rsidRPr="00950145">
        <w:t>, C. &amp; Lippi, G. (2019). Current cancer epidemiology. </w:t>
      </w:r>
      <w:r w:rsidRPr="00914154">
        <w:rPr>
          <w:i/>
          <w:iCs/>
        </w:rPr>
        <w:t>Journal of Epidemiology and Global Health</w:t>
      </w:r>
      <w:r w:rsidRPr="00950145">
        <w:t>, 9(4), 217-222.</w:t>
      </w:r>
    </w:p>
    <w:p w14:paraId="49A7E77E" w14:textId="77777777" w:rsidR="009662FC" w:rsidRPr="00950145" w:rsidRDefault="009662FC" w:rsidP="00914154">
      <w:pPr>
        <w:pStyle w:val="ListParagraph"/>
        <w:numPr>
          <w:ilvl w:val="0"/>
          <w:numId w:val="4"/>
        </w:numPr>
        <w:tabs>
          <w:tab w:val="left" w:pos="270"/>
        </w:tabs>
        <w:spacing w:after="240"/>
        <w:jc w:val="both"/>
      </w:pPr>
      <w:r w:rsidRPr="00950145">
        <w:t xml:space="preserve">McGuire, A., Brown, J. A., Malone, C., McLaughlin, R. &amp; </w:t>
      </w:r>
      <w:proofErr w:type="spellStart"/>
      <w:r w:rsidRPr="00950145">
        <w:t>Kerin</w:t>
      </w:r>
      <w:proofErr w:type="spellEnd"/>
      <w:r w:rsidRPr="00950145">
        <w:t>, M. J. (2015). Effects of age on     the detection and management of breast cancer. </w:t>
      </w:r>
      <w:r w:rsidRPr="00914154">
        <w:rPr>
          <w:i/>
          <w:iCs/>
        </w:rPr>
        <w:t>Cancers, </w:t>
      </w:r>
      <w:r w:rsidRPr="00950145">
        <w:t>7(2), 908-929.</w:t>
      </w:r>
    </w:p>
    <w:p w14:paraId="49689707" w14:textId="77777777" w:rsidR="009662FC" w:rsidRDefault="009662FC" w:rsidP="00914154">
      <w:pPr>
        <w:pStyle w:val="ListParagraph"/>
        <w:numPr>
          <w:ilvl w:val="0"/>
          <w:numId w:val="4"/>
        </w:numPr>
        <w:spacing w:after="240"/>
        <w:jc w:val="both"/>
      </w:pPr>
      <w:proofErr w:type="spellStart"/>
      <w:r w:rsidRPr="00950145">
        <w:t>Mundel</w:t>
      </w:r>
      <w:proofErr w:type="spellEnd"/>
      <w:r w:rsidRPr="00950145">
        <w:t xml:space="preserve">, R., </w:t>
      </w:r>
      <w:proofErr w:type="spellStart"/>
      <w:r w:rsidRPr="00950145">
        <w:t>Dhadwal</w:t>
      </w:r>
      <w:proofErr w:type="spellEnd"/>
      <w:r w:rsidRPr="00950145">
        <w:t>, S., Bharti, S. &amp; Chatterjee, M. (2023). A comprehensive overview of various cancer types and their progression. </w:t>
      </w:r>
      <w:r w:rsidRPr="00914154">
        <w:rPr>
          <w:i/>
          <w:iCs/>
        </w:rPr>
        <w:t xml:space="preserve">Handbook of </w:t>
      </w:r>
      <w:proofErr w:type="spellStart"/>
      <w:r w:rsidRPr="00914154">
        <w:rPr>
          <w:i/>
          <w:iCs/>
        </w:rPr>
        <w:t>Oncobiology</w:t>
      </w:r>
      <w:proofErr w:type="spellEnd"/>
      <w:r w:rsidRPr="00914154">
        <w:rPr>
          <w:i/>
          <w:iCs/>
        </w:rPr>
        <w:t>: From Basic to Clinical Sciences</w:t>
      </w:r>
      <w:r w:rsidRPr="00950145">
        <w:t>, 1-17.</w:t>
      </w:r>
    </w:p>
    <w:p w14:paraId="4C76CD12" w14:textId="77777777" w:rsidR="009662FC" w:rsidRPr="00914154" w:rsidRDefault="009662FC" w:rsidP="00914154">
      <w:pPr>
        <w:pStyle w:val="ListParagraph"/>
        <w:numPr>
          <w:ilvl w:val="0"/>
          <w:numId w:val="4"/>
        </w:numPr>
        <w:spacing w:after="240"/>
        <w:rPr>
          <w:color w:val="222222"/>
          <w:shd w:val="clear" w:color="auto" w:fill="FFFFFF"/>
        </w:rPr>
      </w:pPr>
      <w:r w:rsidRPr="00914154">
        <w:rPr>
          <w:color w:val="222222"/>
          <w:shd w:val="clear" w:color="auto" w:fill="FFFFFF"/>
        </w:rPr>
        <w:t>Nan, D., Yao, W.</w:t>
      </w:r>
      <w:r w:rsidRPr="00914154">
        <w:rPr>
          <w:color w:val="222222"/>
          <w:shd w:val="clear" w:color="auto" w:fill="FFFFFF"/>
          <w:lang w:val="en-GB"/>
        </w:rPr>
        <w:t>,</w:t>
      </w:r>
      <w:r w:rsidRPr="00914154">
        <w:rPr>
          <w:color w:val="222222"/>
          <w:shd w:val="clear" w:color="auto" w:fill="FFFFFF"/>
        </w:rPr>
        <w:t xml:space="preserve"> Huang, L</w:t>
      </w:r>
      <w:r w:rsidRPr="00914154">
        <w:rPr>
          <w:i/>
          <w:iCs/>
          <w:color w:val="222222"/>
          <w:shd w:val="clear" w:color="auto" w:fill="FFFFFF"/>
        </w:rPr>
        <w:t>.</w:t>
      </w:r>
      <w:r w:rsidRPr="00914154">
        <w:rPr>
          <w:i/>
          <w:iCs/>
          <w:color w:val="222222"/>
          <w:shd w:val="clear" w:color="auto" w:fill="FFFFFF"/>
          <w:lang w:val="en-GB"/>
        </w:rPr>
        <w:t xml:space="preserve">, </w:t>
      </w:r>
      <w:r w:rsidRPr="00914154">
        <w:rPr>
          <w:color w:val="222222"/>
          <w:shd w:val="clear" w:color="auto" w:fill="FFFFFF"/>
          <w:lang w:val="en-GB"/>
        </w:rPr>
        <w:t>Liu, R., Xia, W., Sheng, H., Zhang, H., Liang, X. &amp; Lu, Y. (2025).</w:t>
      </w:r>
      <w:r w:rsidRPr="00914154">
        <w:rPr>
          <w:i/>
          <w:iCs/>
          <w:color w:val="222222"/>
          <w:shd w:val="clear" w:color="auto" w:fill="FFFFFF"/>
        </w:rPr>
        <w:t xml:space="preserve"> </w:t>
      </w:r>
      <w:r w:rsidRPr="00914154">
        <w:rPr>
          <w:color w:val="222222"/>
          <w:shd w:val="clear" w:color="auto" w:fill="FFFFFF"/>
        </w:rPr>
        <w:t>Glutamine and cancer: metabolism, immune microenvironment, and therapeutic targets. </w:t>
      </w:r>
      <w:r w:rsidRPr="00914154">
        <w:rPr>
          <w:i/>
          <w:iCs/>
          <w:color w:val="222222"/>
          <w:shd w:val="clear" w:color="auto" w:fill="FFFFFF"/>
        </w:rPr>
        <w:t xml:space="preserve">Cell </w:t>
      </w:r>
      <w:proofErr w:type="spellStart"/>
      <w:r w:rsidRPr="00914154">
        <w:rPr>
          <w:i/>
          <w:iCs/>
          <w:color w:val="222222"/>
          <w:shd w:val="clear" w:color="auto" w:fill="FFFFFF"/>
        </w:rPr>
        <w:t>Commun</w:t>
      </w:r>
      <w:proofErr w:type="spellEnd"/>
      <w:r w:rsidRPr="00914154">
        <w:rPr>
          <w:i/>
          <w:iCs/>
          <w:color w:val="222222"/>
          <w:shd w:val="clear" w:color="auto" w:fill="FFFFFF"/>
        </w:rPr>
        <w:t xml:space="preserve"> Signal,</w:t>
      </w:r>
      <w:r w:rsidRPr="00914154">
        <w:rPr>
          <w:color w:val="222222"/>
          <w:shd w:val="clear" w:color="auto" w:fill="FFFFFF"/>
        </w:rPr>
        <w:t> 23, 45</w:t>
      </w:r>
    </w:p>
    <w:p w14:paraId="04A60A1A" w14:textId="77777777" w:rsidR="009662FC" w:rsidRPr="00914154" w:rsidRDefault="009662FC" w:rsidP="00914154">
      <w:pPr>
        <w:pStyle w:val="ListParagraph"/>
        <w:numPr>
          <w:ilvl w:val="0"/>
          <w:numId w:val="4"/>
        </w:numPr>
        <w:spacing w:after="240"/>
        <w:jc w:val="both"/>
        <w:rPr>
          <w:lang w:val="en-GB"/>
        </w:rPr>
      </w:pPr>
      <w:r w:rsidRPr="00914154">
        <w:rPr>
          <w:lang w:val="en-GB"/>
        </w:rPr>
        <w:t>National Cancer Registries (</w:t>
      </w:r>
      <w:r>
        <w:t>NC</w:t>
      </w:r>
      <w:r w:rsidRPr="00914154">
        <w:rPr>
          <w:lang w:val="en-GB"/>
        </w:rPr>
        <w:t>R)</w:t>
      </w:r>
      <w:r>
        <w:t xml:space="preserve"> (2022).</w:t>
      </w:r>
      <w:r w:rsidRPr="00914154">
        <w:rPr>
          <w:lang w:val="en-GB"/>
        </w:rPr>
        <w:t xml:space="preserve"> Nigeria Cancer Registries</w:t>
      </w:r>
    </w:p>
    <w:p w14:paraId="70DE43C3" w14:textId="77777777" w:rsidR="009662FC" w:rsidRDefault="009662FC" w:rsidP="00914154">
      <w:pPr>
        <w:pStyle w:val="ListParagraph"/>
        <w:numPr>
          <w:ilvl w:val="0"/>
          <w:numId w:val="4"/>
        </w:numPr>
        <w:spacing w:after="240"/>
        <w:jc w:val="both"/>
      </w:pPr>
      <w:r w:rsidRPr="00950145">
        <w:t xml:space="preserve">Nilsson, A., </w:t>
      </w:r>
      <w:proofErr w:type="spellStart"/>
      <w:r w:rsidRPr="00950145">
        <w:t>Haanstra</w:t>
      </w:r>
      <w:proofErr w:type="spellEnd"/>
      <w:r w:rsidRPr="00950145">
        <w:t xml:space="preserve">, J. R., </w:t>
      </w:r>
      <w:proofErr w:type="spellStart"/>
      <w:r w:rsidRPr="00950145">
        <w:t>Engqvist</w:t>
      </w:r>
      <w:proofErr w:type="spellEnd"/>
      <w:r w:rsidRPr="00950145">
        <w:t xml:space="preserve">, M., </w:t>
      </w:r>
      <w:proofErr w:type="spellStart"/>
      <w:r w:rsidRPr="00950145">
        <w:t>Gerding</w:t>
      </w:r>
      <w:proofErr w:type="spellEnd"/>
      <w:r w:rsidRPr="00950145">
        <w:t xml:space="preserve">, A., Bakker, B. M., </w:t>
      </w:r>
      <w:proofErr w:type="spellStart"/>
      <w:r w:rsidRPr="00950145">
        <w:t>Klingmüller</w:t>
      </w:r>
      <w:proofErr w:type="spellEnd"/>
      <w:r w:rsidRPr="00950145">
        <w:t>, U. &amp; Nielsen, J. (2020). Quantitative analysis of amino acid metabolism in liver cancer links glutamate excretion to nucleotide synthesis. </w:t>
      </w:r>
      <w:r w:rsidRPr="00914154">
        <w:rPr>
          <w:i/>
          <w:iCs/>
        </w:rPr>
        <w:t>Proceedings of the National Academy of Sciences</w:t>
      </w:r>
      <w:r w:rsidRPr="00950145">
        <w:t>, 117(19), 10294-10304.</w:t>
      </w:r>
    </w:p>
    <w:p w14:paraId="19DA7226" w14:textId="77777777" w:rsidR="009662FC" w:rsidRPr="00914154" w:rsidRDefault="009662FC" w:rsidP="00914154">
      <w:pPr>
        <w:pStyle w:val="ListParagraph"/>
        <w:numPr>
          <w:ilvl w:val="0"/>
          <w:numId w:val="4"/>
        </w:numPr>
        <w:spacing w:after="240"/>
        <w:jc w:val="both"/>
        <w:rPr>
          <w:lang w:val="en-GB"/>
        </w:rPr>
      </w:pPr>
      <w:r w:rsidRPr="00914154">
        <w:rPr>
          <w:color w:val="222222"/>
          <w:shd w:val="clear" w:color="auto" w:fill="FFFFFF"/>
        </w:rPr>
        <w:t>On the Origin of Cancer Cells</w:t>
      </w:r>
      <w:r w:rsidRPr="00914154">
        <w:rPr>
          <w:color w:val="222222"/>
          <w:shd w:val="clear" w:color="auto" w:fill="FFFFFF"/>
          <w:lang w:val="en-GB"/>
        </w:rPr>
        <w:t xml:space="preserve"> (2023).</w:t>
      </w:r>
      <w:r w:rsidRPr="00914154">
        <w:rPr>
          <w:color w:val="222222"/>
          <w:shd w:val="clear" w:color="auto" w:fill="FFFFFF"/>
        </w:rPr>
        <w:t xml:space="preserve"> Science.” </w:t>
      </w:r>
      <w:r w:rsidRPr="00914154">
        <w:rPr>
          <w:color w:val="222222"/>
          <w:shd w:val="clear" w:color="auto" w:fill="FFFFFF"/>
          <w:lang w:val="en-GB"/>
        </w:rPr>
        <w:t>(</w:t>
      </w:r>
      <w:r w:rsidRPr="00914154">
        <w:rPr>
          <w:color w:val="222222"/>
          <w:shd w:val="clear" w:color="auto" w:fill="FFFFFF"/>
        </w:rPr>
        <w:t>Accessed: Aug. 24, 2023</w:t>
      </w:r>
      <w:r w:rsidRPr="00914154">
        <w:rPr>
          <w:color w:val="222222"/>
          <w:shd w:val="clear" w:color="auto" w:fill="FFFFFF"/>
          <w:lang w:val="en-GB"/>
        </w:rPr>
        <w:t>)</w:t>
      </w:r>
      <w:r w:rsidRPr="00914154">
        <w:rPr>
          <w:color w:val="222222"/>
          <w:shd w:val="clear" w:color="auto" w:fill="FFFFFF"/>
        </w:rPr>
        <w:t>. Available</w:t>
      </w:r>
      <w:r w:rsidRPr="00914154">
        <w:rPr>
          <w:color w:val="222222"/>
          <w:shd w:val="clear" w:color="auto" w:fill="FFFFFF"/>
          <w:lang w:val="en-GB"/>
        </w:rPr>
        <w:t xml:space="preserve"> at</w:t>
      </w:r>
      <w:r w:rsidRPr="00914154">
        <w:rPr>
          <w:color w:val="222222"/>
          <w:shd w:val="clear" w:color="auto" w:fill="FFFFFF"/>
        </w:rPr>
        <w:t>: </w:t>
      </w:r>
      <w:hyperlink r:id="rId9" w:history="1">
        <w:r w:rsidRPr="00914154">
          <w:rPr>
            <w:rStyle w:val="Hyperlink"/>
            <w:rFonts w:eastAsiaTheme="majorEastAsia"/>
            <w:color w:val="025E8D"/>
            <w:shd w:val="clear" w:color="auto" w:fill="FFFFFF"/>
          </w:rPr>
          <w:t>https://www.science.org/doi/10.1126/science.123.3191.309?url_ver=Z39.88-2003&amp;rfr_id=ori:rid:crossref.org&amp;rfr_dat=cr_pub%20%200pubmed</w:t>
        </w:r>
      </w:hyperlink>
      <w:r w:rsidRPr="00914154">
        <w:rPr>
          <w:rFonts w:ascii="Merriweather" w:hAnsi="Merriweather"/>
          <w:color w:val="222222"/>
          <w:sz w:val="27"/>
          <w:szCs w:val="27"/>
          <w:shd w:val="clear" w:color="auto" w:fill="FFFFFF"/>
        </w:rPr>
        <w:t>.</w:t>
      </w:r>
    </w:p>
    <w:p w14:paraId="6C59DB44" w14:textId="77777777" w:rsidR="009662FC" w:rsidRDefault="009662FC" w:rsidP="00914154">
      <w:pPr>
        <w:pStyle w:val="ListParagraph"/>
        <w:numPr>
          <w:ilvl w:val="0"/>
          <w:numId w:val="4"/>
        </w:numPr>
        <w:tabs>
          <w:tab w:val="left" w:pos="270"/>
        </w:tabs>
        <w:spacing w:after="240"/>
        <w:jc w:val="both"/>
      </w:pPr>
      <w:r w:rsidRPr="00950145">
        <w:t xml:space="preserve">Quinto, R. M., De Vincenzo, F., </w:t>
      </w:r>
      <w:proofErr w:type="spellStart"/>
      <w:r w:rsidRPr="00950145">
        <w:t>Campitiello</w:t>
      </w:r>
      <w:proofErr w:type="spellEnd"/>
      <w:r w:rsidRPr="00950145">
        <w:t xml:space="preserve">, L., </w:t>
      </w:r>
      <w:proofErr w:type="spellStart"/>
      <w:r w:rsidRPr="00950145">
        <w:t>Innamorati</w:t>
      </w:r>
      <w:proofErr w:type="spellEnd"/>
      <w:r w:rsidRPr="00950145">
        <w:t xml:space="preserve">, M., </w:t>
      </w:r>
      <w:proofErr w:type="spellStart"/>
      <w:r w:rsidRPr="00950145">
        <w:t>Secinti</w:t>
      </w:r>
      <w:proofErr w:type="spellEnd"/>
      <w:r w:rsidRPr="00950145">
        <w:t xml:space="preserve">, E. &amp; </w:t>
      </w:r>
      <w:proofErr w:type="spellStart"/>
      <w:r w:rsidRPr="00950145">
        <w:t>Iani</w:t>
      </w:r>
      <w:proofErr w:type="spellEnd"/>
      <w:r w:rsidRPr="00950145">
        <w:t xml:space="preserve">, L. (2022). Meaning in life and the acceptance of cancer: a systematic review. </w:t>
      </w:r>
      <w:r w:rsidRPr="00914154">
        <w:rPr>
          <w:i/>
          <w:iCs/>
        </w:rPr>
        <w:t>International Journal of Environmental Research and Public Health</w:t>
      </w:r>
      <w:r w:rsidRPr="00950145">
        <w:t>, 19(9), 5547.</w:t>
      </w:r>
    </w:p>
    <w:p w14:paraId="4E3DBA23" w14:textId="77777777" w:rsidR="009662FC" w:rsidRDefault="009662FC" w:rsidP="00914154">
      <w:pPr>
        <w:pStyle w:val="ListParagraph"/>
        <w:numPr>
          <w:ilvl w:val="0"/>
          <w:numId w:val="4"/>
        </w:numPr>
        <w:spacing w:after="240"/>
        <w:jc w:val="both"/>
      </w:pPr>
      <w:r w:rsidRPr="00950145">
        <w:t>Saini, A., Kumar, M., Bhatt, S., Saini, V. &amp; Malik, A. (2020). Cancer causes and treatments. </w:t>
      </w:r>
      <w:r w:rsidRPr="00914154">
        <w:rPr>
          <w:i/>
          <w:iCs/>
        </w:rPr>
        <w:t>Int J Pharm Sci Res</w:t>
      </w:r>
      <w:r w:rsidRPr="00950145">
        <w:t>, 11(7), 3121-3134.</w:t>
      </w:r>
    </w:p>
    <w:p w14:paraId="311AA2EA" w14:textId="77777777" w:rsidR="009662FC" w:rsidRPr="00950145" w:rsidRDefault="009662FC" w:rsidP="00914154">
      <w:pPr>
        <w:pStyle w:val="ListParagraph"/>
        <w:numPr>
          <w:ilvl w:val="0"/>
          <w:numId w:val="4"/>
        </w:numPr>
        <w:spacing w:after="240"/>
        <w:jc w:val="both"/>
      </w:pPr>
      <w:proofErr w:type="spellStart"/>
      <w:r w:rsidRPr="00950145">
        <w:t>Seyfried</w:t>
      </w:r>
      <w:proofErr w:type="spellEnd"/>
      <w:r w:rsidRPr="00950145">
        <w:t xml:space="preserve">, T. N., Lee, D. C., </w:t>
      </w:r>
      <w:proofErr w:type="spellStart"/>
      <w:r w:rsidRPr="00950145">
        <w:t>Duraj</w:t>
      </w:r>
      <w:proofErr w:type="spellEnd"/>
      <w:r w:rsidRPr="00950145">
        <w:t xml:space="preserve">, T., Ta, N. L., Mukherjee, P., </w:t>
      </w:r>
      <w:proofErr w:type="spellStart"/>
      <w:r w:rsidRPr="00950145">
        <w:t>Kiebish</w:t>
      </w:r>
      <w:proofErr w:type="spellEnd"/>
      <w:r w:rsidRPr="00950145">
        <w:t xml:space="preserve">, M. &amp; </w:t>
      </w:r>
      <w:proofErr w:type="spellStart"/>
      <w:r w:rsidRPr="00950145">
        <w:t>Chinopoulos</w:t>
      </w:r>
      <w:proofErr w:type="spellEnd"/>
      <w:r w:rsidRPr="00950145">
        <w:t>, C. (2025). The Warburg hypothesis and the emergence of the mitochondrial metabolic theory of cancer. </w:t>
      </w:r>
      <w:r w:rsidRPr="00914154">
        <w:rPr>
          <w:i/>
          <w:iCs/>
        </w:rPr>
        <w:t xml:space="preserve">Journal of Bioenergetics and </w:t>
      </w:r>
      <w:proofErr w:type="spellStart"/>
      <w:r w:rsidRPr="00914154">
        <w:rPr>
          <w:i/>
          <w:iCs/>
        </w:rPr>
        <w:t>Biomembranes</w:t>
      </w:r>
      <w:proofErr w:type="spellEnd"/>
      <w:r w:rsidRPr="00950145">
        <w:t>, 1-27.</w:t>
      </w:r>
    </w:p>
    <w:p w14:paraId="65E8A872" w14:textId="77777777" w:rsidR="009662FC" w:rsidRPr="00950145" w:rsidRDefault="009662FC" w:rsidP="00914154">
      <w:pPr>
        <w:pStyle w:val="ListParagraph"/>
        <w:numPr>
          <w:ilvl w:val="0"/>
          <w:numId w:val="4"/>
        </w:numPr>
        <w:spacing w:after="240"/>
        <w:jc w:val="both"/>
      </w:pPr>
      <w:proofErr w:type="spellStart"/>
      <w:r w:rsidRPr="00950145">
        <w:t>Seyfried</w:t>
      </w:r>
      <w:proofErr w:type="spellEnd"/>
      <w:r w:rsidRPr="00950145">
        <w:t xml:space="preserve">, T. N., Mukherjee, P., </w:t>
      </w:r>
      <w:proofErr w:type="spellStart"/>
      <w:r w:rsidRPr="00950145">
        <w:t>Iyikesici</w:t>
      </w:r>
      <w:proofErr w:type="spellEnd"/>
      <w:r w:rsidRPr="00950145">
        <w:t xml:space="preserve">, M. S., Slocum, A., </w:t>
      </w:r>
      <w:proofErr w:type="spellStart"/>
      <w:r w:rsidRPr="00950145">
        <w:t>Kalamian</w:t>
      </w:r>
      <w:proofErr w:type="spellEnd"/>
      <w:r w:rsidRPr="00950145">
        <w:t xml:space="preserve">, M., Spinosa, J. P. &amp; </w:t>
      </w:r>
      <w:proofErr w:type="spellStart"/>
      <w:r w:rsidRPr="00950145">
        <w:t>Chinopoulos</w:t>
      </w:r>
      <w:proofErr w:type="spellEnd"/>
      <w:r w:rsidRPr="00950145">
        <w:t>, C. (2020). Consideration of ketogenic metabolic therapy as a complementary or alternative approach for managing breast cancer. </w:t>
      </w:r>
      <w:r w:rsidRPr="00914154">
        <w:rPr>
          <w:i/>
          <w:iCs/>
        </w:rPr>
        <w:t>Frontiers in Nutrition</w:t>
      </w:r>
      <w:r w:rsidRPr="00950145">
        <w:t>, 7, 21.</w:t>
      </w:r>
    </w:p>
    <w:p w14:paraId="29931B85" w14:textId="77777777" w:rsidR="009662FC" w:rsidRPr="00950145" w:rsidRDefault="009662FC" w:rsidP="00914154">
      <w:pPr>
        <w:pStyle w:val="ListParagraph"/>
        <w:numPr>
          <w:ilvl w:val="0"/>
          <w:numId w:val="4"/>
        </w:numPr>
        <w:spacing w:after="240"/>
        <w:jc w:val="both"/>
      </w:pPr>
      <w:r w:rsidRPr="00950145">
        <w:t xml:space="preserve">Siegel, R. L., </w:t>
      </w:r>
      <w:proofErr w:type="spellStart"/>
      <w:r w:rsidRPr="00950145">
        <w:t>Kratzer</w:t>
      </w:r>
      <w:proofErr w:type="spellEnd"/>
      <w:r w:rsidRPr="00950145">
        <w:t xml:space="preserve">, T. B., </w:t>
      </w:r>
      <w:proofErr w:type="spellStart"/>
      <w:r w:rsidRPr="00950145">
        <w:t>Giaquinto</w:t>
      </w:r>
      <w:proofErr w:type="spellEnd"/>
      <w:r w:rsidRPr="00950145">
        <w:t>, A. N., Sung, H. &amp; Jemal, A. (2025). Cancer statistics, 2025. </w:t>
      </w:r>
      <w:r w:rsidRPr="00914154">
        <w:rPr>
          <w:i/>
          <w:iCs/>
        </w:rPr>
        <w:t>Ca</w:t>
      </w:r>
      <w:r w:rsidRPr="00950145">
        <w:t>, 75(1), 10.</w:t>
      </w:r>
    </w:p>
    <w:p w14:paraId="0B938BB2" w14:textId="77777777" w:rsidR="009662FC" w:rsidRPr="00950145" w:rsidRDefault="009662FC" w:rsidP="00914154">
      <w:pPr>
        <w:pStyle w:val="ListParagraph"/>
        <w:numPr>
          <w:ilvl w:val="0"/>
          <w:numId w:val="4"/>
        </w:numPr>
        <w:spacing w:after="240"/>
        <w:jc w:val="both"/>
      </w:pPr>
      <w:r w:rsidRPr="00950145">
        <w:lastRenderedPageBreak/>
        <w:t xml:space="preserve">Singh, H. V., Jain, A. &amp; </w:t>
      </w:r>
      <w:proofErr w:type="spellStart"/>
      <w:r w:rsidRPr="00950145">
        <w:t>Singhai</w:t>
      </w:r>
      <w:proofErr w:type="spellEnd"/>
      <w:r w:rsidRPr="00950145">
        <w:t>, A. K. (2024). Breast Cancer: From Etiology to Therapeutic Interventions. </w:t>
      </w:r>
      <w:r w:rsidRPr="00914154">
        <w:rPr>
          <w:i/>
          <w:iCs/>
        </w:rPr>
        <w:t>Research Journal of Pharmacology and Pharmacodynamics</w:t>
      </w:r>
      <w:r w:rsidRPr="00950145">
        <w:t>, 16(3), 199-207.</w:t>
      </w:r>
    </w:p>
    <w:p w14:paraId="3662DEFE" w14:textId="77777777" w:rsidR="009662FC" w:rsidRDefault="009662FC" w:rsidP="00914154">
      <w:pPr>
        <w:pStyle w:val="ListParagraph"/>
        <w:numPr>
          <w:ilvl w:val="0"/>
          <w:numId w:val="4"/>
        </w:numPr>
        <w:spacing w:after="240"/>
        <w:jc w:val="both"/>
      </w:pPr>
      <w:proofErr w:type="spellStart"/>
      <w:r w:rsidRPr="00950145">
        <w:t>Sponagel</w:t>
      </w:r>
      <w:proofErr w:type="spellEnd"/>
      <w:r w:rsidRPr="00950145">
        <w:t xml:space="preserve">, J., Jones, J. K., </w:t>
      </w:r>
      <w:proofErr w:type="spellStart"/>
      <w:r w:rsidRPr="00950145">
        <w:t>Frankfater</w:t>
      </w:r>
      <w:proofErr w:type="spellEnd"/>
      <w:r w:rsidRPr="00950145">
        <w:t>, C., Zhang, S., Tung, O., Cho, K. &amp; Ippolito, J. E. (2022). Sex differences in brain tumor glutamine metabolism reveal sex-specific vulnerabilities to treatment. </w:t>
      </w:r>
      <w:r w:rsidRPr="00914154">
        <w:rPr>
          <w:i/>
          <w:iCs/>
        </w:rPr>
        <w:t>Med</w:t>
      </w:r>
      <w:r w:rsidRPr="00950145">
        <w:t>, 3(11), 792-811.</w:t>
      </w:r>
    </w:p>
    <w:p w14:paraId="0A117A03" w14:textId="77777777" w:rsidR="009662FC" w:rsidRPr="00914154" w:rsidRDefault="009662FC" w:rsidP="00914154">
      <w:pPr>
        <w:pStyle w:val="ListParagraph"/>
        <w:numPr>
          <w:ilvl w:val="0"/>
          <w:numId w:val="4"/>
        </w:numPr>
        <w:spacing w:after="240"/>
        <w:jc w:val="both"/>
        <w:rPr>
          <w:color w:val="222222"/>
          <w:shd w:val="clear" w:color="auto" w:fill="FFFFFF"/>
        </w:rPr>
      </w:pPr>
      <w:r w:rsidRPr="00914154">
        <w:rPr>
          <w:color w:val="333333"/>
          <w:shd w:val="clear" w:color="auto" w:fill="FFFFFF"/>
        </w:rPr>
        <w:t>Stine</w:t>
      </w:r>
      <w:r w:rsidRPr="00914154">
        <w:rPr>
          <w:color w:val="333333"/>
          <w:shd w:val="clear" w:color="auto" w:fill="FFFFFF"/>
          <w:lang w:val="en-GB"/>
        </w:rPr>
        <w:t>,</w:t>
      </w:r>
      <w:r w:rsidRPr="00914154">
        <w:rPr>
          <w:color w:val="333333"/>
          <w:shd w:val="clear" w:color="auto" w:fill="FFFFFF"/>
        </w:rPr>
        <w:t xml:space="preserve"> Z</w:t>
      </w:r>
      <w:r w:rsidRPr="00914154">
        <w:rPr>
          <w:color w:val="333333"/>
          <w:shd w:val="clear" w:color="auto" w:fill="FFFFFF"/>
          <w:lang w:val="en-GB"/>
        </w:rPr>
        <w:t xml:space="preserve">. </w:t>
      </w:r>
      <w:r w:rsidRPr="00914154">
        <w:rPr>
          <w:color w:val="333333"/>
          <w:shd w:val="clear" w:color="auto" w:fill="FFFFFF"/>
        </w:rPr>
        <w:t>E</w:t>
      </w:r>
      <w:r w:rsidRPr="00914154">
        <w:rPr>
          <w:color w:val="333333"/>
          <w:shd w:val="clear" w:color="auto" w:fill="FFFFFF"/>
          <w:lang w:val="en-GB"/>
        </w:rPr>
        <w:t>.</w:t>
      </w:r>
      <w:r w:rsidRPr="00914154">
        <w:rPr>
          <w:color w:val="333333"/>
          <w:shd w:val="clear" w:color="auto" w:fill="FFFFFF"/>
        </w:rPr>
        <w:t xml:space="preserve">, </w:t>
      </w:r>
      <w:proofErr w:type="spellStart"/>
      <w:r w:rsidRPr="00914154">
        <w:rPr>
          <w:color w:val="333333"/>
          <w:shd w:val="clear" w:color="auto" w:fill="FFFFFF"/>
        </w:rPr>
        <w:t>Schug</w:t>
      </w:r>
      <w:proofErr w:type="spellEnd"/>
      <w:r w:rsidRPr="00914154">
        <w:rPr>
          <w:color w:val="333333"/>
          <w:shd w:val="clear" w:color="auto" w:fill="FFFFFF"/>
          <w:lang w:val="en-GB"/>
        </w:rPr>
        <w:t>,</w:t>
      </w:r>
      <w:r w:rsidRPr="00914154">
        <w:rPr>
          <w:color w:val="333333"/>
          <w:shd w:val="clear" w:color="auto" w:fill="FFFFFF"/>
        </w:rPr>
        <w:t xml:space="preserve"> Z</w:t>
      </w:r>
      <w:r w:rsidRPr="00914154">
        <w:rPr>
          <w:color w:val="333333"/>
          <w:shd w:val="clear" w:color="auto" w:fill="FFFFFF"/>
          <w:lang w:val="en-GB"/>
        </w:rPr>
        <w:t xml:space="preserve">. </w:t>
      </w:r>
      <w:r w:rsidRPr="00914154">
        <w:rPr>
          <w:color w:val="333333"/>
          <w:shd w:val="clear" w:color="auto" w:fill="FFFFFF"/>
        </w:rPr>
        <w:t>T</w:t>
      </w:r>
      <w:r w:rsidRPr="00914154">
        <w:rPr>
          <w:color w:val="333333"/>
          <w:shd w:val="clear" w:color="auto" w:fill="FFFFFF"/>
          <w:lang w:val="en-GB"/>
        </w:rPr>
        <w:t>.</w:t>
      </w:r>
      <w:r w:rsidRPr="00914154">
        <w:rPr>
          <w:color w:val="333333"/>
          <w:shd w:val="clear" w:color="auto" w:fill="FFFFFF"/>
        </w:rPr>
        <w:t xml:space="preserve">, </w:t>
      </w:r>
      <w:proofErr w:type="spellStart"/>
      <w:r w:rsidRPr="00914154">
        <w:rPr>
          <w:color w:val="333333"/>
          <w:shd w:val="clear" w:color="auto" w:fill="FFFFFF"/>
        </w:rPr>
        <w:t>Salvino</w:t>
      </w:r>
      <w:proofErr w:type="spellEnd"/>
      <w:r w:rsidRPr="00914154">
        <w:rPr>
          <w:color w:val="333333"/>
          <w:shd w:val="clear" w:color="auto" w:fill="FFFFFF"/>
          <w:lang w:val="en-GB"/>
        </w:rPr>
        <w:t>,</w:t>
      </w:r>
      <w:r w:rsidRPr="00914154">
        <w:rPr>
          <w:color w:val="333333"/>
          <w:shd w:val="clear" w:color="auto" w:fill="FFFFFF"/>
        </w:rPr>
        <w:t xml:space="preserve"> J</w:t>
      </w:r>
      <w:r w:rsidRPr="00914154">
        <w:rPr>
          <w:color w:val="333333"/>
          <w:shd w:val="clear" w:color="auto" w:fill="FFFFFF"/>
          <w:lang w:val="en-GB"/>
        </w:rPr>
        <w:t xml:space="preserve">. </w:t>
      </w:r>
      <w:r w:rsidRPr="00914154">
        <w:rPr>
          <w:color w:val="333333"/>
          <w:shd w:val="clear" w:color="auto" w:fill="FFFFFF"/>
        </w:rPr>
        <w:t>M</w:t>
      </w:r>
      <w:r w:rsidRPr="00914154">
        <w:rPr>
          <w:color w:val="333333"/>
          <w:shd w:val="clear" w:color="auto" w:fill="FFFFFF"/>
          <w:lang w:val="en-GB"/>
        </w:rPr>
        <w:t>. &amp;</w:t>
      </w:r>
      <w:r w:rsidRPr="00914154">
        <w:rPr>
          <w:color w:val="333333"/>
          <w:shd w:val="clear" w:color="auto" w:fill="FFFFFF"/>
        </w:rPr>
        <w:t xml:space="preserve"> Dang</w:t>
      </w:r>
      <w:r w:rsidRPr="00914154">
        <w:rPr>
          <w:color w:val="333333"/>
          <w:shd w:val="clear" w:color="auto" w:fill="FFFFFF"/>
          <w:lang w:val="en-GB"/>
        </w:rPr>
        <w:t>,</w:t>
      </w:r>
      <w:r w:rsidRPr="00914154">
        <w:rPr>
          <w:color w:val="333333"/>
          <w:shd w:val="clear" w:color="auto" w:fill="FFFFFF"/>
        </w:rPr>
        <w:t xml:space="preserve"> C</w:t>
      </w:r>
      <w:r w:rsidRPr="00914154">
        <w:rPr>
          <w:color w:val="333333"/>
          <w:shd w:val="clear" w:color="auto" w:fill="FFFFFF"/>
          <w:lang w:val="en-GB"/>
        </w:rPr>
        <w:t xml:space="preserve">. </w:t>
      </w:r>
      <w:r w:rsidRPr="00914154">
        <w:rPr>
          <w:color w:val="333333"/>
          <w:shd w:val="clear" w:color="auto" w:fill="FFFFFF"/>
        </w:rPr>
        <w:t xml:space="preserve">V. </w:t>
      </w:r>
      <w:r w:rsidRPr="00914154">
        <w:rPr>
          <w:color w:val="333333"/>
          <w:shd w:val="clear" w:color="auto" w:fill="FFFFFF"/>
          <w:lang w:val="en-GB"/>
        </w:rPr>
        <w:t xml:space="preserve">(2022). </w:t>
      </w:r>
      <w:r w:rsidRPr="00914154">
        <w:rPr>
          <w:color w:val="333333"/>
          <w:shd w:val="clear" w:color="auto" w:fill="FFFFFF"/>
        </w:rPr>
        <w:t xml:space="preserve">Targeting cancer metabolism in the era of precision oncology. </w:t>
      </w:r>
      <w:r w:rsidRPr="00914154">
        <w:rPr>
          <w:i/>
          <w:iCs/>
          <w:color w:val="333333"/>
          <w:shd w:val="clear" w:color="auto" w:fill="FFFFFF"/>
        </w:rPr>
        <w:t xml:space="preserve">Nat. Rev. Drug </w:t>
      </w:r>
      <w:proofErr w:type="spellStart"/>
      <w:r w:rsidRPr="00914154">
        <w:rPr>
          <w:i/>
          <w:iCs/>
          <w:color w:val="333333"/>
          <w:shd w:val="clear" w:color="auto" w:fill="FFFFFF"/>
        </w:rPr>
        <w:t>Discov</w:t>
      </w:r>
      <w:proofErr w:type="spellEnd"/>
      <w:r w:rsidRPr="00914154">
        <w:rPr>
          <w:color w:val="333333"/>
          <w:shd w:val="clear" w:color="auto" w:fill="FFFFFF"/>
          <w:lang w:val="en-GB"/>
        </w:rPr>
        <w:t xml:space="preserve">, </w:t>
      </w:r>
      <w:r w:rsidRPr="00914154">
        <w:rPr>
          <w:color w:val="333333"/>
          <w:shd w:val="clear" w:color="auto" w:fill="FFFFFF"/>
        </w:rPr>
        <w:t>21</w:t>
      </w:r>
      <w:r w:rsidRPr="00914154">
        <w:rPr>
          <w:color w:val="333333"/>
          <w:shd w:val="clear" w:color="auto" w:fill="FFFFFF"/>
          <w:lang w:val="en-GB"/>
        </w:rPr>
        <w:t xml:space="preserve">, </w:t>
      </w:r>
      <w:r w:rsidRPr="00914154">
        <w:rPr>
          <w:color w:val="333333"/>
          <w:shd w:val="clear" w:color="auto" w:fill="FFFFFF"/>
        </w:rPr>
        <w:t>141–162.</w:t>
      </w:r>
    </w:p>
    <w:p w14:paraId="5B82805B" w14:textId="77777777" w:rsidR="009662FC" w:rsidRPr="00016011" w:rsidRDefault="009662FC" w:rsidP="00914154">
      <w:pPr>
        <w:pStyle w:val="ListParagraph"/>
        <w:numPr>
          <w:ilvl w:val="0"/>
          <w:numId w:val="4"/>
        </w:numPr>
        <w:spacing w:after="240"/>
        <w:jc w:val="both"/>
      </w:pPr>
      <w:r w:rsidRPr="00914154">
        <w:rPr>
          <w:color w:val="222222"/>
          <w:shd w:val="clear" w:color="auto" w:fill="FFFFFF"/>
        </w:rPr>
        <w:t>Stine</w:t>
      </w:r>
      <w:r w:rsidRPr="00914154">
        <w:rPr>
          <w:color w:val="222222"/>
          <w:shd w:val="clear" w:color="auto" w:fill="FFFFFF"/>
          <w:lang w:val="en-GB"/>
        </w:rPr>
        <w:t>,</w:t>
      </w:r>
      <w:r w:rsidRPr="00914154">
        <w:rPr>
          <w:color w:val="222222"/>
          <w:shd w:val="clear" w:color="auto" w:fill="FFFFFF"/>
        </w:rPr>
        <w:t xml:space="preserve"> Z</w:t>
      </w:r>
      <w:r w:rsidRPr="00914154">
        <w:rPr>
          <w:color w:val="222222"/>
          <w:shd w:val="clear" w:color="auto" w:fill="FFFFFF"/>
          <w:lang w:val="en-GB"/>
        </w:rPr>
        <w:t xml:space="preserve">. </w:t>
      </w:r>
      <w:r w:rsidRPr="00914154">
        <w:rPr>
          <w:color w:val="222222"/>
          <w:shd w:val="clear" w:color="auto" w:fill="FFFFFF"/>
        </w:rPr>
        <w:t>E</w:t>
      </w:r>
      <w:r w:rsidRPr="00914154">
        <w:rPr>
          <w:color w:val="222222"/>
          <w:shd w:val="clear" w:color="auto" w:fill="FFFFFF"/>
          <w:lang w:val="en-GB"/>
        </w:rPr>
        <w:t>. &amp;</w:t>
      </w:r>
      <w:r w:rsidRPr="00914154">
        <w:rPr>
          <w:color w:val="222222"/>
          <w:shd w:val="clear" w:color="auto" w:fill="FFFFFF"/>
        </w:rPr>
        <w:t xml:space="preserve"> Dang</w:t>
      </w:r>
      <w:r w:rsidRPr="00914154">
        <w:rPr>
          <w:color w:val="222222"/>
          <w:shd w:val="clear" w:color="auto" w:fill="FFFFFF"/>
          <w:lang w:val="en-GB"/>
        </w:rPr>
        <w:t>,</w:t>
      </w:r>
      <w:r w:rsidRPr="00914154">
        <w:rPr>
          <w:color w:val="222222"/>
          <w:shd w:val="clear" w:color="auto" w:fill="FFFFFF"/>
        </w:rPr>
        <w:t xml:space="preserve"> C</w:t>
      </w:r>
      <w:r w:rsidRPr="00914154">
        <w:rPr>
          <w:color w:val="222222"/>
          <w:shd w:val="clear" w:color="auto" w:fill="FFFFFF"/>
          <w:lang w:val="en-GB"/>
        </w:rPr>
        <w:t xml:space="preserve">. </w:t>
      </w:r>
      <w:r w:rsidRPr="00914154">
        <w:rPr>
          <w:color w:val="222222"/>
          <w:shd w:val="clear" w:color="auto" w:fill="FFFFFF"/>
        </w:rPr>
        <w:t xml:space="preserve">V. </w:t>
      </w:r>
      <w:r w:rsidRPr="00914154">
        <w:rPr>
          <w:color w:val="222222"/>
          <w:shd w:val="clear" w:color="auto" w:fill="FFFFFF"/>
          <w:lang w:val="en-GB"/>
        </w:rPr>
        <w:t xml:space="preserve">(2020). </w:t>
      </w:r>
      <w:r w:rsidRPr="00914154">
        <w:rPr>
          <w:color w:val="222222"/>
          <w:shd w:val="clear" w:color="auto" w:fill="FFFFFF"/>
        </w:rPr>
        <w:t xml:space="preserve">Glutamine Skipping the Q into Mitochondria. </w:t>
      </w:r>
      <w:r w:rsidRPr="00914154">
        <w:rPr>
          <w:i/>
          <w:iCs/>
          <w:color w:val="222222"/>
          <w:shd w:val="clear" w:color="auto" w:fill="FFFFFF"/>
        </w:rPr>
        <w:t>Trends Mol Med</w:t>
      </w:r>
      <w:r w:rsidRPr="00914154">
        <w:rPr>
          <w:color w:val="222222"/>
          <w:shd w:val="clear" w:color="auto" w:fill="FFFFFF"/>
          <w:lang w:val="en-GB"/>
        </w:rPr>
        <w:t>,</w:t>
      </w:r>
      <w:r w:rsidRPr="00914154">
        <w:rPr>
          <w:color w:val="222222"/>
          <w:shd w:val="clear" w:color="auto" w:fill="FFFFFF"/>
        </w:rPr>
        <w:t xml:space="preserve"> 26(1)</w:t>
      </w:r>
      <w:r w:rsidRPr="00914154">
        <w:rPr>
          <w:color w:val="222222"/>
          <w:shd w:val="clear" w:color="auto" w:fill="FFFFFF"/>
          <w:lang w:val="en-GB"/>
        </w:rPr>
        <w:t xml:space="preserve">, </w:t>
      </w:r>
      <w:r w:rsidRPr="00914154">
        <w:rPr>
          <w:color w:val="222222"/>
          <w:shd w:val="clear" w:color="auto" w:fill="FFFFFF"/>
        </w:rPr>
        <w:t>6</w:t>
      </w:r>
      <w:r w:rsidRPr="00914154">
        <w:rPr>
          <w:color w:val="222222"/>
          <w:shd w:val="clear" w:color="auto" w:fill="FFFFFF"/>
          <w:lang w:val="en-GB"/>
        </w:rPr>
        <w:t xml:space="preserve"> </w:t>
      </w:r>
      <w:r w:rsidRPr="00914154">
        <w:rPr>
          <w:color w:val="222222"/>
          <w:shd w:val="clear" w:color="auto" w:fill="FFFFFF"/>
        </w:rPr>
        <w:t>–</w:t>
      </w:r>
      <w:r w:rsidRPr="00914154">
        <w:rPr>
          <w:color w:val="222222"/>
          <w:shd w:val="clear" w:color="auto" w:fill="FFFFFF"/>
          <w:lang w:val="en-GB"/>
        </w:rPr>
        <w:t xml:space="preserve"> </w:t>
      </w:r>
      <w:r w:rsidRPr="00914154">
        <w:rPr>
          <w:color w:val="222222"/>
          <w:shd w:val="clear" w:color="auto" w:fill="FFFFFF"/>
        </w:rPr>
        <w:t>7</w:t>
      </w:r>
    </w:p>
    <w:p w14:paraId="388316E6" w14:textId="77777777" w:rsidR="009662FC" w:rsidRDefault="009662FC" w:rsidP="00914154">
      <w:pPr>
        <w:pStyle w:val="ListParagraph"/>
        <w:numPr>
          <w:ilvl w:val="0"/>
          <w:numId w:val="4"/>
        </w:numPr>
        <w:spacing w:after="240"/>
        <w:jc w:val="both"/>
      </w:pPr>
      <w:r w:rsidRPr="00950145">
        <w:t xml:space="preserve">Sung, H., </w:t>
      </w:r>
      <w:proofErr w:type="spellStart"/>
      <w:r w:rsidRPr="00950145">
        <w:t>Ferlay</w:t>
      </w:r>
      <w:proofErr w:type="spellEnd"/>
      <w:r w:rsidRPr="00950145">
        <w:t xml:space="preserve">, J., Siegel, R. L., </w:t>
      </w:r>
      <w:proofErr w:type="spellStart"/>
      <w:r w:rsidRPr="00950145">
        <w:t>Laversanne</w:t>
      </w:r>
      <w:proofErr w:type="spellEnd"/>
      <w:r w:rsidRPr="00950145">
        <w:t xml:space="preserve">, M., </w:t>
      </w:r>
      <w:proofErr w:type="spellStart"/>
      <w:r w:rsidRPr="00950145">
        <w:t>Soerjomataram</w:t>
      </w:r>
      <w:proofErr w:type="spellEnd"/>
      <w:r w:rsidRPr="00950145">
        <w:t>, I., Jemal, A. &amp; Bray, F. (2021). Global cancer statistics 2020: GLOBOCAN estimates of incidence and mortality worldwide for 36 cancers in 185 countries. </w:t>
      </w:r>
      <w:r w:rsidRPr="00914154">
        <w:rPr>
          <w:i/>
          <w:iCs/>
        </w:rPr>
        <w:t>CA: A Cancer Journal for Clinicians</w:t>
      </w:r>
      <w:r w:rsidRPr="00950145">
        <w:t>, 71(3), 209-249.</w:t>
      </w:r>
    </w:p>
    <w:p w14:paraId="1812485A" w14:textId="77777777" w:rsidR="009662FC" w:rsidRPr="00950145" w:rsidRDefault="009662FC" w:rsidP="00914154">
      <w:pPr>
        <w:pStyle w:val="ListParagraph"/>
        <w:numPr>
          <w:ilvl w:val="0"/>
          <w:numId w:val="4"/>
        </w:numPr>
        <w:spacing w:after="240"/>
        <w:jc w:val="both"/>
      </w:pPr>
      <w:r w:rsidRPr="00914154">
        <w:rPr>
          <w:color w:val="222222"/>
        </w:rPr>
        <w:t>Tufail</w:t>
      </w:r>
      <w:r w:rsidRPr="00914154">
        <w:rPr>
          <w:color w:val="222222"/>
          <w:lang w:val="en-GB"/>
        </w:rPr>
        <w:t>,</w:t>
      </w:r>
      <w:r w:rsidRPr="00914154">
        <w:rPr>
          <w:color w:val="222222"/>
        </w:rPr>
        <w:t xml:space="preserve"> M</w:t>
      </w:r>
      <w:r w:rsidRPr="00914154">
        <w:rPr>
          <w:color w:val="222222"/>
          <w:lang w:val="en-GB"/>
        </w:rPr>
        <w:t>.</w:t>
      </w:r>
      <w:r w:rsidRPr="00914154">
        <w:rPr>
          <w:color w:val="222222"/>
        </w:rPr>
        <w:t>, Jiang</w:t>
      </w:r>
      <w:r w:rsidRPr="00914154">
        <w:rPr>
          <w:color w:val="222222"/>
          <w:lang w:val="en-GB"/>
        </w:rPr>
        <w:t>,</w:t>
      </w:r>
      <w:r w:rsidRPr="00914154">
        <w:rPr>
          <w:color w:val="222222"/>
        </w:rPr>
        <w:t xml:space="preserve"> C</w:t>
      </w:r>
      <w:r w:rsidRPr="00914154">
        <w:rPr>
          <w:color w:val="222222"/>
          <w:lang w:val="en-GB"/>
        </w:rPr>
        <w:t xml:space="preserve">. </w:t>
      </w:r>
      <w:r w:rsidRPr="00914154">
        <w:rPr>
          <w:color w:val="222222"/>
        </w:rPr>
        <w:t>H</w:t>
      </w:r>
      <w:r w:rsidRPr="00914154">
        <w:rPr>
          <w:color w:val="222222"/>
          <w:lang w:val="en-GB"/>
        </w:rPr>
        <w:t>. &amp;</w:t>
      </w:r>
      <w:r w:rsidRPr="00914154">
        <w:rPr>
          <w:color w:val="222222"/>
        </w:rPr>
        <w:t xml:space="preserve"> Li</w:t>
      </w:r>
      <w:r w:rsidRPr="00914154">
        <w:rPr>
          <w:color w:val="222222"/>
          <w:lang w:val="en-GB"/>
        </w:rPr>
        <w:t>,</w:t>
      </w:r>
      <w:r w:rsidRPr="00914154">
        <w:rPr>
          <w:color w:val="222222"/>
        </w:rPr>
        <w:t xml:space="preserve"> N. </w:t>
      </w:r>
      <w:r w:rsidRPr="00914154">
        <w:rPr>
          <w:color w:val="222222"/>
          <w:lang w:val="en-GB"/>
        </w:rPr>
        <w:t xml:space="preserve">(2024). </w:t>
      </w:r>
      <w:r w:rsidRPr="00914154">
        <w:rPr>
          <w:color w:val="222222"/>
        </w:rPr>
        <w:t xml:space="preserve">Altered metabolism in cancer: insights into energy pathways and therapeutic targets. </w:t>
      </w:r>
      <w:r w:rsidRPr="00914154">
        <w:rPr>
          <w:i/>
          <w:iCs/>
          <w:color w:val="222222"/>
        </w:rPr>
        <w:t>Mol Cancer</w:t>
      </w:r>
      <w:r w:rsidRPr="00914154">
        <w:rPr>
          <w:i/>
          <w:iCs/>
          <w:color w:val="222222"/>
          <w:lang w:val="en-GB"/>
        </w:rPr>
        <w:t>,</w:t>
      </w:r>
      <w:r w:rsidRPr="00914154">
        <w:rPr>
          <w:color w:val="222222"/>
          <w:lang w:val="en-GB"/>
        </w:rPr>
        <w:t xml:space="preserve"> </w:t>
      </w:r>
      <w:r w:rsidRPr="00914154">
        <w:rPr>
          <w:color w:val="222222"/>
        </w:rPr>
        <w:t>23</w:t>
      </w:r>
      <w:r w:rsidRPr="00914154">
        <w:rPr>
          <w:color w:val="222222"/>
          <w:lang w:val="en-GB"/>
        </w:rPr>
        <w:t xml:space="preserve">, </w:t>
      </w:r>
      <w:r w:rsidRPr="00914154">
        <w:rPr>
          <w:color w:val="222222"/>
        </w:rPr>
        <w:t>203</w:t>
      </w:r>
      <w:r w:rsidRPr="00914154">
        <w:rPr>
          <w:rFonts w:ascii="Segoe UI" w:hAnsi="Segoe UI" w:cs="Segoe UI"/>
          <w:color w:val="222222"/>
          <w:sz w:val="27"/>
          <w:szCs w:val="27"/>
        </w:rPr>
        <w:t>.</w:t>
      </w:r>
    </w:p>
    <w:p w14:paraId="106E7386" w14:textId="77777777" w:rsidR="009662FC" w:rsidRPr="00950145" w:rsidRDefault="009662FC" w:rsidP="00914154">
      <w:pPr>
        <w:pStyle w:val="ListParagraph"/>
        <w:numPr>
          <w:ilvl w:val="0"/>
          <w:numId w:val="4"/>
        </w:numPr>
        <w:spacing w:after="240"/>
        <w:jc w:val="both"/>
      </w:pPr>
      <w:proofErr w:type="spellStart"/>
      <w:r w:rsidRPr="00950145">
        <w:t>Vaupel</w:t>
      </w:r>
      <w:proofErr w:type="spellEnd"/>
      <w:r w:rsidRPr="00950145">
        <w:t xml:space="preserve">, P. &amp; </w:t>
      </w:r>
      <w:proofErr w:type="spellStart"/>
      <w:r w:rsidRPr="00950145">
        <w:t>Multhoff</w:t>
      </w:r>
      <w:proofErr w:type="spellEnd"/>
      <w:r w:rsidRPr="00950145">
        <w:t>, G. (2021). Revisiting the Warburg effect: historical dogma versus current understanding. </w:t>
      </w:r>
      <w:r w:rsidRPr="00914154">
        <w:rPr>
          <w:i/>
          <w:iCs/>
        </w:rPr>
        <w:t>The Journal of Physiology</w:t>
      </w:r>
      <w:r w:rsidRPr="00950145">
        <w:t>, 599(6), 1745-1757.</w:t>
      </w:r>
    </w:p>
    <w:p w14:paraId="78529273" w14:textId="77777777" w:rsidR="009662FC" w:rsidRDefault="009662FC" w:rsidP="00914154">
      <w:pPr>
        <w:pStyle w:val="ListParagraph"/>
        <w:numPr>
          <w:ilvl w:val="0"/>
          <w:numId w:val="4"/>
        </w:numPr>
        <w:spacing w:after="240"/>
        <w:jc w:val="both"/>
      </w:pPr>
      <w:r w:rsidRPr="00950145">
        <w:t>Wang, X., Zhao, X., Chou, J., Yu, J., Yang, T., Liu, L. &amp; Zhang, F. (2018). Taurine, glutamic acid and ethylmalonic acid as important metabolites for detecting human breast cancer based on the targeted metabolomics. </w:t>
      </w:r>
      <w:r w:rsidRPr="00914154">
        <w:rPr>
          <w:i/>
          <w:iCs/>
        </w:rPr>
        <w:t>Cancer Biomarkers</w:t>
      </w:r>
      <w:r w:rsidRPr="00950145">
        <w:t>, 23(2), 255-268.</w:t>
      </w:r>
    </w:p>
    <w:p w14:paraId="12C93D84" w14:textId="77777777" w:rsidR="009662FC" w:rsidRPr="008E0290" w:rsidRDefault="009662FC" w:rsidP="00914154">
      <w:pPr>
        <w:pStyle w:val="ListParagraph"/>
        <w:numPr>
          <w:ilvl w:val="0"/>
          <w:numId w:val="4"/>
        </w:numPr>
        <w:spacing w:after="240"/>
        <w:jc w:val="both"/>
      </w:pPr>
      <w:r w:rsidRPr="00914154">
        <w:rPr>
          <w:color w:val="333333"/>
          <w:shd w:val="clear" w:color="auto" w:fill="FFFFFF"/>
        </w:rPr>
        <w:t>Wei</w:t>
      </w:r>
      <w:r w:rsidRPr="00914154">
        <w:rPr>
          <w:color w:val="333333"/>
          <w:shd w:val="clear" w:color="auto" w:fill="FFFFFF"/>
          <w:lang w:val="en-GB"/>
        </w:rPr>
        <w:t>,</w:t>
      </w:r>
      <w:r w:rsidRPr="00914154">
        <w:rPr>
          <w:color w:val="333333"/>
          <w:shd w:val="clear" w:color="auto" w:fill="FFFFFF"/>
        </w:rPr>
        <w:t xml:space="preserve"> Z</w:t>
      </w:r>
      <w:r w:rsidRPr="00914154">
        <w:rPr>
          <w:color w:val="333333"/>
          <w:shd w:val="clear" w:color="auto" w:fill="FFFFFF"/>
          <w:lang w:val="en-GB"/>
        </w:rPr>
        <w:t>.</w:t>
      </w:r>
      <w:r w:rsidRPr="00914154">
        <w:rPr>
          <w:color w:val="333333"/>
          <w:shd w:val="clear" w:color="auto" w:fill="FFFFFF"/>
        </w:rPr>
        <w:t>, Liu</w:t>
      </w:r>
      <w:r w:rsidRPr="00914154">
        <w:rPr>
          <w:color w:val="333333"/>
          <w:shd w:val="clear" w:color="auto" w:fill="FFFFFF"/>
          <w:lang w:val="en-GB"/>
        </w:rPr>
        <w:t>,</w:t>
      </w:r>
      <w:r w:rsidRPr="00914154">
        <w:rPr>
          <w:color w:val="333333"/>
          <w:shd w:val="clear" w:color="auto" w:fill="FFFFFF"/>
        </w:rPr>
        <w:t xml:space="preserve"> X</w:t>
      </w:r>
      <w:r w:rsidRPr="00914154">
        <w:rPr>
          <w:color w:val="333333"/>
          <w:shd w:val="clear" w:color="auto" w:fill="FFFFFF"/>
          <w:lang w:val="en-GB"/>
        </w:rPr>
        <w:t>.</w:t>
      </w:r>
      <w:r w:rsidRPr="00914154">
        <w:rPr>
          <w:color w:val="333333"/>
          <w:shd w:val="clear" w:color="auto" w:fill="FFFFFF"/>
        </w:rPr>
        <w:t>, Cheng</w:t>
      </w:r>
      <w:r w:rsidRPr="00914154">
        <w:rPr>
          <w:color w:val="333333"/>
          <w:shd w:val="clear" w:color="auto" w:fill="FFFFFF"/>
          <w:lang w:val="en-GB"/>
        </w:rPr>
        <w:t>,</w:t>
      </w:r>
      <w:r w:rsidRPr="00914154">
        <w:rPr>
          <w:color w:val="333333"/>
          <w:shd w:val="clear" w:color="auto" w:fill="FFFFFF"/>
        </w:rPr>
        <w:t xml:space="preserve"> C</w:t>
      </w:r>
      <w:r w:rsidRPr="00914154">
        <w:rPr>
          <w:color w:val="333333"/>
          <w:shd w:val="clear" w:color="auto" w:fill="FFFFFF"/>
          <w:lang w:val="en-GB"/>
        </w:rPr>
        <w:t>.</w:t>
      </w:r>
      <w:r w:rsidRPr="00914154">
        <w:rPr>
          <w:color w:val="333333"/>
          <w:shd w:val="clear" w:color="auto" w:fill="FFFFFF"/>
        </w:rPr>
        <w:t>, Yu</w:t>
      </w:r>
      <w:r w:rsidRPr="00914154">
        <w:rPr>
          <w:color w:val="333333"/>
          <w:shd w:val="clear" w:color="auto" w:fill="FFFFFF"/>
          <w:lang w:val="en-GB"/>
        </w:rPr>
        <w:t>,</w:t>
      </w:r>
      <w:r w:rsidRPr="00914154">
        <w:rPr>
          <w:color w:val="333333"/>
          <w:shd w:val="clear" w:color="auto" w:fill="FFFFFF"/>
        </w:rPr>
        <w:t xml:space="preserve"> W</w:t>
      </w:r>
      <w:r w:rsidRPr="00914154">
        <w:rPr>
          <w:color w:val="333333"/>
          <w:shd w:val="clear" w:color="auto" w:fill="FFFFFF"/>
          <w:lang w:val="en-GB"/>
        </w:rPr>
        <w:t>. &amp;</w:t>
      </w:r>
      <w:r w:rsidRPr="00914154">
        <w:rPr>
          <w:color w:val="333333"/>
          <w:shd w:val="clear" w:color="auto" w:fill="FFFFFF"/>
        </w:rPr>
        <w:t xml:space="preserve"> Yi</w:t>
      </w:r>
      <w:r w:rsidRPr="00914154">
        <w:rPr>
          <w:color w:val="333333"/>
          <w:shd w:val="clear" w:color="auto" w:fill="FFFFFF"/>
          <w:lang w:val="en-GB"/>
        </w:rPr>
        <w:t>,</w:t>
      </w:r>
      <w:r w:rsidRPr="00914154">
        <w:rPr>
          <w:color w:val="333333"/>
          <w:shd w:val="clear" w:color="auto" w:fill="FFFFFF"/>
        </w:rPr>
        <w:t xml:space="preserve"> P. </w:t>
      </w:r>
      <w:r w:rsidRPr="00914154">
        <w:rPr>
          <w:color w:val="333333"/>
          <w:shd w:val="clear" w:color="auto" w:fill="FFFFFF"/>
          <w:lang w:val="en-GB"/>
        </w:rPr>
        <w:t xml:space="preserve">(2021). </w:t>
      </w:r>
      <w:r w:rsidRPr="00914154">
        <w:rPr>
          <w:color w:val="333333"/>
          <w:shd w:val="clear" w:color="auto" w:fill="FFFFFF"/>
        </w:rPr>
        <w:t xml:space="preserve">Metabolism of amino acids in cancer. </w:t>
      </w:r>
      <w:r w:rsidRPr="00914154">
        <w:rPr>
          <w:i/>
          <w:iCs/>
          <w:color w:val="333333"/>
          <w:shd w:val="clear" w:color="auto" w:fill="FFFFFF"/>
        </w:rPr>
        <w:t>Front. Cell Dev. Biol</w:t>
      </w:r>
      <w:r w:rsidRPr="00914154">
        <w:rPr>
          <w:i/>
          <w:iCs/>
          <w:color w:val="333333"/>
          <w:shd w:val="clear" w:color="auto" w:fill="FFFFFF"/>
          <w:lang w:val="en-GB"/>
        </w:rPr>
        <w:t>,</w:t>
      </w:r>
      <w:r w:rsidRPr="00914154">
        <w:rPr>
          <w:color w:val="333333"/>
          <w:shd w:val="clear" w:color="auto" w:fill="FFFFFF"/>
        </w:rPr>
        <w:t xml:space="preserve"> 8</w:t>
      </w:r>
      <w:r w:rsidRPr="00914154">
        <w:rPr>
          <w:color w:val="333333"/>
          <w:shd w:val="clear" w:color="auto" w:fill="FFFFFF"/>
          <w:lang w:val="en-GB"/>
        </w:rPr>
        <w:t xml:space="preserve">, </w:t>
      </w:r>
      <w:r w:rsidRPr="00914154">
        <w:rPr>
          <w:color w:val="333333"/>
          <w:shd w:val="clear" w:color="auto" w:fill="FFFFFF"/>
        </w:rPr>
        <w:t>603837.</w:t>
      </w:r>
    </w:p>
    <w:p w14:paraId="4D49AE78" w14:textId="77777777" w:rsidR="009662FC" w:rsidRPr="00914154" w:rsidRDefault="009662FC" w:rsidP="00914154">
      <w:pPr>
        <w:pStyle w:val="ListParagraph"/>
        <w:numPr>
          <w:ilvl w:val="0"/>
          <w:numId w:val="4"/>
        </w:numPr>
        <w:spacing w:after="240"/>
        <w:jc w:val="both"/>
        <w:rPr>
          <w:lang w:val="en-GB"/>
        </w:rPr>
      </w:pPr>
      <w:r>
        <w:t xml:space="preserve">WHO (2022). </w:t>
      </w:r>
      <w:r w:rsidRPr="00914154">
        <w:rPr>
          <w:lang w:val="en-GB"/>
        </w:rPr>
        <w:t>Global Burden of Cancer. Geneva: WHO</w:t>
      </w:r>
    </w:p>
    <w:p w14:paraId="1EB7104E" w14:textId="77777777" w:rsidR="009662FC" w:rsidRPr="00B5441A" w:rsidRDefault="009662FC" w:rsidP="00914154">
      <w:pPr>
        <w:pStyle w:val="ListParagraph"/>
        <w:numPr>
          <w:ilvl w:val="0"/>
          <w:numId w:val="4"/>
        </w:numPr>
        <w:spacing w:after="240"/>
        <w:jc w:val="both"/>
      </w:pPr>
      <w:r w:rsidRPr="00914154">
        <w:rPr>
          <w:color w:val="222222"/>
        </w:rPr>
        <w:t>Yang</w:t>
      </w:r>
      <w:r w:rsidRPr="00914154">
        <w:rPr>
          <w:color w:val="222222"/>
          <w:lang w:val="en-GB"/>
        </w:rPr>
        <w:t>,</w:t>
      </w:r>
      <w:r w:rsidRPr="00914154">
        <w:rPr>
          <w:color w:val="222222"/>
        </w:rPr>
        <w:t xml:space="preserve"> J</w:t>
      </w:r>
      <w:r w:rsidRPr="00914154">
        <w:rPr>
          <w:color w:val="222222"/>
          <w:lang w:val="en-GB"/>
        </w:rPr>
        <w:t>.</w:t>
      </w:r>
      <w:r w:rsidRPr="00914154">
        <w:rPr>
          <w:color w:val="222222"/>
        </w:rPr>
        <w:t>, Shay</w:t>
      </w:r>
      <w:r w:rsidRPr="00914154">
        <w:rPr>
          <w:color w:val="222222"/>
          <w:lang w:val="en-GB"/>
        </w:rPr>
        <w:t>,</w:t>
      </w:r>
      <w:r w:rsidRPr="00914154">
        <w:rPr>
          <w:color w:val="222222"/>
        </w:rPr>
        <w:t xml:space="preserve"> C</w:t>
      </w:r>
      <w:r w:rsidRPr="00914154">
        <w:rPr>
          <w:color w:val="222222"/>
          <w:lang w:val="en-GB"/>
        </w:rPr>
        <w:t>.</w:t>
      </w:r>
      <w:r w:rsidRPr="00914154">
        <w:rPr>
          <w:color w:val="222222"/>
        </w:rPr>
        <w:t>, Saba</w:t>
      </w:r>
      <w:r w:rsidRPr="00914154">
        <w:rPr>
          <w:color w:val="222222"/>
          <w:lang w:val="en-GB"/>
        </w:rPr>
        <w:t>,</w:t>
      </w:r>
      <w:r w:rsidRPr="00914154">
        <w:rPr>
          <w:color w:val="222222"/>
        </w:rPr>
        <w:t xml:space="preserve"> N</w:t>
      </w:r>
      <w:r w:rsidRPr="00914154">
        <w:rPr>
          <w:color w:val="222222"/>
          <w:lang w:val="en-GB"/>
        </w:rPr>
        <w:t xml:space="preserve">. </w:t>
      </w:r>
      <w:r w:rsidRPr="00914154">
        <w:rPr>
          <w:color w:val="222222"/>
        </w:rPr>
        <w:t>F</w:t>
      </w:r>
      <w:r w:rsidRPr="00914154">
        <w:rPr>
          <w:color w:val="222222"/>
          <w:lang w:val="en-GB"/>
        </w:rPr>
        <w:t xml:space="preserve"> &amp;</w:t>
      </w:r>
      <w:r w:rsidRPr="00914154">
        <w:rPr>
          <w:color w:val="222222"/>
        </w:rPr>
        <w:t xml:space="preserve"> Teng</w:t>
      </w:r>
      <w:r w:rsidRPr="00914154">
        <w:rPr>
          <w:color w:val="222222"/>
          <w:lang w:val="en-GB"/>
        </w:rPr>
        <w:t>,</w:t>
      </w:r>
      <w:r w:rsidRPr="00914154">
        <w:rPr>
          <w:color w:val="222222"/>
        </w:rPr>
        <w:t xml:space="preserve"> Y. </w:t>
      </w:r>
      <w:r w:rsidRPr="00914154">
        <w:rPr>
          <w:color w:val="222222"/>
          <w:lang w:val="en-GB"/>
        </w:rPr>
        <w:t xml:space="preserve"> (2024). </w:t>
      </w:r>
      <w:r w:rsidRPr="00914154">
        <w:rPr>
          <w:color w:val="222222"/>
        </w:rPr>
        <w:t xml:space="preserve">Cancer metabolism and carcinogenesis. </w:t>
      </w:r>
      <w:r w:rsidRPr="00914154">
        <w:rPr>
          <w:i/>
          <w:iCs/>
          <w:color w:val="222222"/>
        </w:rPr>
        <w:t xml:space="preserve">Exp </w:t>
      </w:r>
      <w:proofErr w:type="spellStart"/>
      <w:r w:rsidRPr="00914154">
        <w:rPr>
          <w:i/>
          <w:iCs/>
          <w:color w:val="222222"/>
        </w:rPr>
        <w:t>Hematol</w:t>
      </w:r>
      <w:proofErr w:type="spellEnd"/>
      <w:r w:rsidRPr="00914154">
        <w:rPr>
          <w:i/>
          <w:iCs/>
          <w:color w:val="222222"/>
        </w:rPr>
        <w:t xml:space="preserve"> Oncol</w:t>
      </w:r>
      <w:r w:rsidRPr="00914154">
        <w:rPr>
          <w:i/>
          <w:iCs/>
          <w:color w:val="222222"/>
          <w:lang w:val="en-GB"/>
        </w:rPr>
        <w:t>,</w:t>
      </w:r>
      <w:r w:rsidRPr="00914154">
        <w:rPr>
          <w:color w:val="222222"/>
          <w:lang w:val="en-GB"/>
        </w:rPr>
        <w:t xml:space="preserve"> </w:t>
      </w:r>
      <w:r w:rsidRPr="00914154">
        <w:rPr>
          <w:color w:val="222222"/>
        </w:rPr>
        <w:t>13</w:t>
      </w:r>
      <w:r w:rsidRPr="00914154">
        <w:rPr>
          <w:color w:val="222222"/>
          <w:lang w:val="en-GB"/>
        </w:rPr>
        <w:t xml:space="preserve">, </w:t>
      </w:r>
      <w:r w:rsidRPr="00914154">
        <w:rPr>
          <w:color w:val="222222"/>
        </w:rPr>
        <w:t>10.</w:t>
      </w:r>
    </w:p>
    <w:p w14:paraId="6FF94A96" w14:textId="77777777" w:rsidR="009662FC" w:rsidRPr="00950145" w:rsidRDefault="009662FC" w:rsidP="00914154">
      <w:pPr>
        <w:pStyle w:val="ListParagraph"/>
        <w:numPr>
          <w:ilvl w:val="0"/>
          <w:numId w:val="4"/>
        </w:numPr>
        <w:spacing w:after="240"/>
        <w:jc w:val="both"/>
      </w:pPr>
      <w:r w:rsidRPr="00950145">
        <w:t xml:space="preserve">Yi, H., </w:t>
      </w:r>
      <w:proofErr w:type="spellStart"/>
      <w:r w:rsidRPr="00950145">
        <w:t>Talmon</w:t>
      </w:r>
      <w:proofErr w:type="spellEnd"/>
      <w:r w:rsidRPr="00950145">
        <w:t>, G. &amp; Wang, J. (2020). Glutamate in cancers: from metabolism to signaling. </w:t>
      </w:r>
      <w:r w:rsidRPr="00914154">
        <w:rPr>
          <w:i/>
          <w:iCs/>
        </w:rPr>
        <w:t>Journal of Biomedical Research</w:t>
      </w:r>
      <w:r w:rsidRPr="00950145">
        <w:t>, 34(4), 260.</w:t>
      </w:r>
    </w:p>
    <w:p w14:paraId="49AF5CEB" w14:textId="77777777" w:rsidR="009662FC" w:rsidRPr="00950145" w:rsidRDefault="009662FC" w:rsidP="00914154">
      <w:pPr>
        <w:pStyle w:val="ListParagraph"/>
        <w:numPr>
          <w:ilvl w:val="0"/>
          <w:numId w:val="4"/>
        </w:numPr>
        <w:spacing w:after="240"/>
        <w:jc w:val="both"/>
      </w:pPr>
      <w:r w:rsidRPr="00950145">
        <w:t xml:space="preserve">Yusof, H. M., Ab-Rahim, S. H. A. R. A. N. I. Z. A., </w:t>
      </w:r>
      <w:proofErr w:type="spellStart"/>
      <w:r w:rsidRPr="00950145">
        <w:t>Suddin</w:t>
      </w:r>
      <w:proofErr w:type="spellEnd"/>
      <w:r w:rsidRPr="00950145">
        <w:t xml:space="preserve">, L. S., </w:t>
      </w:r>
      <w:proofErr w:type="spellStart"/>
      <w:r w:rsidRPr="00950145">
        <w:t>Saman</w:t>
      </w:r>
      <w:proofErr w:type="spellEnd"/>
      <w:r w:rsidRPr="00950145">
        <w:t>, M. S. A. &amp; Mazlan, M. U. S. A. L. M. A. H. (2018). Metabolomics profiling on different stages of colorectal cancer: a systematic review. </w:t>
      </w:r>
      <w:r w:rsidRPr="00914154">
        <w:rPr>
          <w:i/>
          <w:iCs/>
        </w:rPr>
        <w:t>The Malaysian Journal of Medical Sciences: MJMS</w:t>
      </w:r>
      <w:r w:rsidRPr="00950145">
        <w:t>, 25(5), 16.</w:t>
      </w:r>
    </w:p>
    <w:p w14:paraId="678C89F2" w14:textId="77777777" w:rsidR="009662FC" w:rsidRDefault="009662FC" w:rsidP="009662FC"/>
    <w:p w14:paraId="47498008" w14:textId="77777777" w:rsidR="00F73A09" w:rsidRPr="009E6413" w:rsidRDefault="00F73A09" w:rsidP="00C02C80">
      <w:pPr>
        <w:spacing w:after="240"/>
        <w:jc w:val="center"/>
      </w:pPr>
    </w:p>
    <w:sectPr w:rsidR="00F73A09" w:rsidRPr="009E64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F2E90"/>
    <w:multiLevelType w:val="multilevel"/>
    <w:tmpl w:val="FEB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07E53"/>
    <w:multiLevelType w:val="multilevel"/>
    <w:tmpl w:val="1EA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E5B4F"/>
    <w:multiLevelType w:val="multilevel"/>
    <w:tmpl w:val="75FA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60576"/>
    <w:multiLevelType w:val="hybridMultilevel"/>
    <w:tmpl w:val="67D6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09"/>
    <w:rsid w:val="00016011"/>
    <w:rsid w:val="00072AB4"/>
    <w:rsid w:val="00092C2F"/>
    <w:rsid w:val="000F16AC"/>
    <w:rsid w:val="00121CF4"/>
    <w:rsid w:val="00132AD6"/>
    <w:rsid w:val="00135EC8"/>
    <w:rsid w:val="0019136E"/>
    <w:rsid w:val="00192628"/>
    <w:rsid w:val="001A3EF1"/>
    <w:rsid w:val="001C0422"/>
    <w:rsid w:val="001D65C3"/>
    <w:rsid w:val="001E5C93"/>
    <w:rsid w:val="00222A6D"/>
    <w:rsid w:val="00287C65"/>
    <w:rsid w:val="003A0FFE"/>
    <w:rsid w:val="004461EA"/>
    <w:rsid w:val="00446BE0"/>
    <w:rsid w:val="00470C9C"/>
    <w:rsid w:val="004F6CD4"/>
    <w:rsid w:val="00535B62"/>
    <w:rsid w:val="00574C4B"/>
    <w:rsid w:val="005874B5"/>
    <w:rsid w:val="00627D99"/>
    <w:rsid w:val="00647498"/>
    <w:rsid w:val="00686660"/>
    <w:rsid w:val="0070140B"/>
    <w:rsid w:val="007126F7"/>
    <w:rsid w:val="00742253"/>
    <w:rsid w:val="00743C75"/>
    <w:rsid w:val="007700A7"/>
    <w:rsid w:val="007B68AA"/>
    <w:rsid w:val="007E5C15"/>
    <w:rsid w:val="007E6009"/>
    <w:rsid w:val="007F3A9E"/>
    <w:rsid w:val="00824884"/>
    <w:rsid w:val="00837B04"/>
    <w:rsid w:val="00895A85"/>
    <w:rsid w:val="00914154"/>
    <w:rsid w:val="00930A9B"/>
    <w:rsid w:val="009662FC"/>
    <w:rsid w:val="0098088B"/>
    <w:rsid w:val="009847B7"/>
    <w:rsid w:val="009C207D"/>
    <w:rsid w:val="009C5638"/>
    <w:rsid w:val="009E6413"/>
    <w:rsid w:val="00A23F22"/>
    <w:rsid w:val="00A65BC2"/>
    <w:rsid w:val="00AC34E0"/>
    <w:rsid w:val="00AE5159"/>
    <w:rsid w:val="00AE57F3"/>
    <w:rsid w:val="00B10222"/>
    <w:rsid w:val="00B17B81"/>
    <w:rsid w:val="00B358B7"/>
    <w:rsid w:val="00B5441A"/>
    <w:rsid w:val="00B96CCA"/>
    <w:rsid w:val="00BE6F76"/>
    <w:rsid w:val="00C02C80"/>
    <w:rsid w:val="00C70465"/>
    <w:rsid w:val="00CA0EDF"/>
    <w:rsid w:val="00D07D2D"/>
    <w:rsid w:val="00D81EBF"/>
    <w:rsid w:val="00DA3026"/>
    <w:rsid w:val="00DF26B0"/>
    <w:rsid w:val="00E23406"/>
    <w:rsid w:val="00E25B61"/>
    <w:rsid w:val="00E401D6"/>
    <w:rsid w:val="00E4332C"/>
    <w:rsid w:val="00E73FAF"/>
    <w:rsid w:val="00E840B1"/>
    <w:rsid w:val="00E92060"/>
    <w:rsid w:val="00EF4829"/>
    <w:rsid w:val="00F618C0"/>
    <w:rsid w:val="00F73A09"/>
    <w:rsid w:val="00F857FC"/>
    <w:rsid w:val="00FC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0370"/>
  <w15:chartTrackingRefBased/>
  <w15:docId w15:val="{E95D86A3-6967-430C-8A27-D3F23EED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1A"/>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73A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A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A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A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A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A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A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A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A09"/>
    <w:rPr>
      <w:rFonts w:eastAsiaTheme="majorEastAsia" w:cstheme="majorBidi"/>
      <w:color w:val="272727" w:themeColor="text1" w:themeTint="D8"/>
    </w:rPr>
  </w:style>
  <w:style w:type="paragraph" w:styleId="Title">
    <w:name w:val="Title"/>
    <w:basedOn w:val="Normal"/>
    <w:next w:val="Normal"/>
    <w:link w:val="TitleChar"/>
    <w:uiPriority w:val="10"/>
    <w:qFormat/>
    <w:rsid w:val="00F73A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A09"/>
    <w:pPr>
      <w:spacing w:before="160"/>
      <w:jc w:val="center"/>
    </w:pPr>
    <w:rPr>
      <w:i/>
      <w:iCs/>
      <w:color w:val="404040" w:themeColor="text1" w:themeTint="BF"/>
    </w:rPr>
  </w:style>
  <w:style w:type="character" w:customStyle="1" w:styleId="QuoteChar">
    <w:name w:val="Quote Char"/>
    <w:basedOn w:val="DefaultParagraphFont"/>
    <w:link w:val="Quote"/>
    <w:uiPriority w:val="29"/>
    <w:rsid w:val="00F73A09"/>
    <w:rPr>
      <w:i/>
      <w:iCs/>
      <w:color w:val="404040" w:themeColor="text1" w:themeTint="BF"/>
    </w:rPr>
  </w:style>
  <w:style w:type="paragraph" w:styleId="ListParagraph">
    <w:name w:val="List Paragraph"/>
    <w:basedOn w:val="Normal"/>
    <w:uiPriority w:val="34"/>
    <w:qFormat/>
    <w:rsid w:val="00F73A09"/>
    <w:pPr>
      <w:ind w:left="720"/>
      <w:contextualSpacing/>
    </w:pPr>
  </w:style>
  <w:style w:type="character" w:styleId="IntenseEmphasis">
    <w:name w:val="Intense Emphasis"/>
    <w:basedOn w:val="DefaultParagraphFont"/>
    <w:uiPriority w:val="21"/>
    <w:qFormat/>
    <w:rsid w:val="00F73A09"/>
    <w:rPr>
      <w:i/>
      <w:iCs/>
      <w:color w:val="2F5496" w:themeColor="accent1" w:themeShade="BF"/>
    </w:rPr>
  </w:style>
  <w:style w:type="paragraph" w:styleId="IntenseQuote">
    <w:name w:val="Intense Quote"/>
    <w:basedOn w:val="Normal"/>
    <w:next w:val="Normal"/>
    <w:link w:val="IntenseQuoteChar"/>
    <w:uiPriority w:val="30"/>
    <w:qFormat/>
    <w:rsid w:val="00F73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A09"/>
    <w:rPr>
      <w:i/>
      <w:iCs/>
      <w:color w:val="2F5496" w:themeColor="accent1" w:themeShade="BF"/>
    </w:rPr>
  </w:style>
  <w:style w:type="character" w:styleId="IntenseReference">
    <w:name w:val="Intense Reference"/>
    <w:basedOn w:val="DefaultParagraphFont"/>
    <w:uiPriority w:val="32"/>
    <w:qFormat/>
    <w:rsid w:val="00F73A09"/>
    <w:rPr>
      <w:b/>
      <w:bCs/>
      <w:smallCaps/>
      <w:color w:val="2F5496" w:themeColor="accent1" w:themeShade="BF"/>
      <w:spacing w:val="5"/>
    </w:rPr>
  </w:style>
  <w:style w:type="character" w:styleId="Hyperlink">
    <w:name w:val="Hyperlink"/>
    <w:basedOn w:val="DefaultParagraphFont"/>
    <w:uiPriority w:val="99"/>
    <w:unhideWhenUsed/>
    <w:rsid w:val="00F73A09"/>
    <w:rPr>
      <w:color w:val="0563C1" w:themeColor="hyperlink"/>
      <w:u w:val="single"/>
    </w:rPr>
  </w:style>
  <w:style w:type="paragraph" w:customStyle="1" w:styleId="c-article-referencesitem">
    <w:name w:val="c-article-references__item"/>
    <w:basedOn w:val="Normal"/>
    <w:rsid w:val="00B5441A"/>
    <w:pPr>
      <w:spacing w:before="100" w:beforeAutospacing="1" w:after="100" w:afterAutospacing="1"/>
    </w:pPr>
  </w:style>
  <w:style w:type="paragraph" w:customStyle="1" w:styleId="c-article-referencestext">
    <w:name w:val="c-article-references__text"/>
    <w:basedOn w:val="Normal"/>
    <w:rsid w:val="00B5441A"/>
    <w:pPr>
      <w:spacing w:before="100" w:beforeAutospacing="1" w:after="100" w:afterAutospacing="1"/>
    </w:pPr>
  </w:style>
  <w:style w:type="paragraph" w:customStyle="1" w:styleId="c-article-referenceslinks">
    <w:name w:val="c-article-references__links"/>
    <w:basedOn w:val="Normal"/>
    <w:rsid w:val="00B5441A"/>
    <w:pPr>
      <w:spacing w:before="100" w:beforeAutospacing="1" w:after="100" w:afterAutospacing="1"/>
    </w:pPr>
  </w:style>
  <w:style w:type="paragraph" w:customStyle="1" w:styleId="c-article-author-listitem">
    <w:name w:val="c-article-author-list__item"/>
    <w:basedOn w:val="Normal"/>
    <w:rsid w:val="007B68AA"/>
    <w:pPr>
      <w:spacing w:before="100" w:beforeAutospacing="1" w:after="100" w:afterAutospacing="1"/>
    </w:pPr>
  </w:style>
  <w:style w:type="character" w:customStyle="1" w:styleId="text">
    <w:name w:val="text"/>
    <w:basedOn w:val="DefaultParagraphFont"/>
    <w:rsid w:val="00C02C80"/>
  </w:style>
  <w:style w:type="paragraph" w:styleId="NoSpacing">
    <w:name w:val="No Spacing"/>
    <w:uiPriority w:val="1"/>
    <w:qFormat/>
    <w:rsid w:val="005874B5"/>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7264">
      <w:bodyDiv w:val="1"/>
      <w:marLeft w:val="0"/>
      <w:marRight w:val="0"/>
      <w:marTop w:val="0"/>
      <w:marBottom w:val="0"/>
      <w:divBdr>
        <w:top w:val="none" w:sz="0" w:space="0" w:color="auto"/>
        <w:left w:val="none" w:sz="0" w:space="0" w:color="auto"/>
        <w:bottom w:val="none" w:sz="0" w:space="0" w:color="auto"/>
        <w:right w:val="none" w:sz="0" w:space="0" w:color="auto"/>
      </w:divBdr>
    </w:div>
    <w:div w:id="702436703">
      <w:bodyDiv w:val="1"/>
      <w:marLeft w:val="0"/>
      <w:marRight w:val="0"/>
      <w:marTop w:val="0"/>
      <w:marBottom w:val="0"/>
      <w:divBdr>
        <w:top w:val="none" w:sz="0" w:space="0" w:color="auto"/>
        <w:left w:val="none" w:sz="0" w:space="0" w:color="auto"/>
        <w:bottom w:val="none" w:sz="0" w:space="0" w:color="auto"/>
        <w:right w:val="none" w:sz="0" w:space="0" w:color="auto"/>
      </w:divBdr>
    </w:div>
    <w:div w:id="1441804995">
      <w:bodyDiv w:val="1"/>
      <w:marLeft w:val="0"/>
      <w:marRight w:val="0"/>
      <w:marTop w:val="0"/>
      <w:marBottom w:val="0"/>
      <w:divBdr>
        <w:top w:val="none" w:sz="0" w:space="0" w:color="auto"/>
        <w:left w:val="none" w:sz="0" w:space="0" w:color="auto"/>
        <w:bottom w:val="none" w:sz="0" w:space="0" w:color="auto"/>
        <w:right w:val="none" w:sz="0" w:space="0" w:color="auto"/>
      </w:divBdr>
    </w:div>
    <w:div w:id="20362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org/doi/10.1126/science.123.3191.309?url_ver=Z39.88-2003&amp;rfr_id=ori:rid:crossref.org&amp;rfr_dat=cr_pub%20%200pubme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UEE\Desktop\sunday%20barinem211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Sheet4!$E$1</c:f>
              <c:strCache>
                <c:ptCount val="1"/>
                <c:pt idx="0">
                  <c:v>control </c:v>
                </c:pt>
              </c:strCache>
            </c:strRef>
          </c:tx>
          <c:invertIfNegative val="0"/>
          <c:cat>
            <c:strRef>
              <c:f>Sheet4!$D$2:$D$16</c:f>
              <c:strCache>
                <c:ptCount val="15"/>
                <c:pt idx="0">
                  <c:v>Age (Years)</c:v>
                </c:pt>
                <c:pt idx="2">
                  <c:v>Male</c:v>
                </c:pt>
                <c:pt idx="3">
                  <c:v>Female </c:v>
                </c:pt>
                <c:pt idx="5">
                  <c:v>Married</c:v>
                </c:pt>
                <c:pt idx="6">
                  <c:v>Single</c:v>
                </c:pt>
                <c:pt idx="7">
                  <c:v>widowed</c:v>
                </c:pt>
                <c:pt idx="9">
                  <c:v>FSLC</c:v>
                </c:pt>
                <c:pt idx="10">
                  <c:v>SSCE</c:v>
                </c:pt>
                <c:pt idx="11">
                  <c:v>OND</c:v>
                </c:pt>
                <c:pt idx="12">
                  <c:v>Undergraduate</c:v>
                </c:pt>
                <c:pt idx="13">
                  <c:v>Graduate</c:v>
                </c:pt>
                <c:pt idx="14">
                  <c:v>Post graduate</c:v>
                </c:pt>
              </c:strCache>
            </c:strRef>
          </c:cat>
          <c:val>
            <c:numRef>
              <c:f>Sheet4!$E$2:$E$16</c:f>
              <c:numCache>
                <c:formatCode>General</c:formatCode>
                <c:ptCount val="15"/>
                <c:pt idx="0">
                  <c:v>27</c:v>
                </c:pt>
                <c:pt idx="2">
                  <c:v>40</c:v>
                </c:pt>
                <c:pt idx="3">
                  <c:v>60</c:v>
                </c:pt>
                <c:pt idx="5">
                  <c:v>22</c:v>
                </c:pt>
                <c:pt idx="6">
                  <c:v>76</c:v>
                </c:pt>
                <c:pt idx="7">
                  <c:v>2</c:v>
                </c:pt>
                <c:pt idx="9">
                  <c:v>0</c:v>
                </c:pt>
                <c:pt idx="10">
                  <c:v>4</c:v>
                </c:pt>
                <c:pt idx="11">
                  <c:v>0</c:v>
                </c:pt>
                <c:pt idx="12">
                  <c:v>78</c:v>
                </c:pt>
                <c:pt idx="13">
                  <c:v>18</c:v>
                </c:pt>
                <c:pt idx="14">
                  <c:v>0</c:v>
                </c:pt>
              </c:numCache>
            </c:numRef>
          </c:val>
          <c:extLst>
            <c:ext xmlns:c16="http://schemas.microsoft.com/office/drawing/2014/chart" uri="{C3380CC4-5D6E-409C-BE32-E72D297353CC}">
              <c16:uniqueId val="{00000000-507B-5447-8D39-24932A5318E1}"/>
            </c:ext>
          </c:extLst>
        </c:ser>
        <c:ser>
          <c:idx val="1"/>
          <c:order val="1"/>
          <c:tx>
            <c:strRef>
              <c:f>Sheet4!$F$1</c:f>
              <c:strCache>
                <c:ptCount val="1"/>
                <c:pt idx="0">
                  <c:v>Test</c:v>
                </c:pt>
              </c:strCache>
            </c:strRef>
          </c:tx>
          <c:invertIfNegative val="0"/>
          <c:cat>
            <c:strRef>
              <c:f>Sheet4!$D$2:$D$16</c:f>
              <c:strCache>
                <c:ptCount val="15"/>
                <c:pt idx="0">
                  <c:v>Age (Years)</c:v>
                </c:pt>
                <c:pt idx="2">
                  <c:v>Male</c:v>
                </c:pt>
                <c:pt idx="3">
                  <c:v>Female </c:v>
                </c:pt>
                <c:pt idx="5">
                  <c:v>Married</c:v>
                </c:pt>
                <c:pt idx="6">
                  <c:v>Single</c:v>
                </c:pt>
                <c:pt idx="7">
                  <c:v>widowed</c:v>
                </c:pt>
                <c:pt idx="9">
                  <c:v>FSLC</c:v>
                </c:pt>
                <c:pt idx="10">
                  <c:v>SSCE</c:v>
                </c:pt>
                <c:pt idx="11">
                  <c:v>OND</c:v>
                </c:pt>
                <c:pt idx="12">
                  <c:v>Undergraduate</c:v>
                </c:pt>
                <c:pt idx="13">
                  <c:v>Graduate</c:v>
                </c:pt>
                <c:pt idx="14">
                  <c:v>Post graduate</c:v>
                </c:pt>
              </c:strCache>
            </c:strRef>
          </c:cat>
          <c:val>
            <c:numRef>
              <c:f>Sheet4!$F$2:$F$16</c:f>
              <c:numCache>
                <c:formatCode>General</c:formatCode>
                <c:ptCount val="15"/>
                <c:pt idx="0">
                  <c:v>50</c:v>
                </c:pt>
                <c:pt idx="2">
                  <c:v>18</c:v>
                </c:pt>
                <c:pt idx="3">
                  <c:v>82</c:v>
                </c:pt>
                <c:pt idx="5">
                  <c:v>88</c:v>
                </c:pt>
                <c:pt idx="6">
                  <c:v>12</c:v>
                </c:pt>
                <c:pt idx="7">
                  <c:v>0</c:v>
                </c:pt>
                <c:pt idx="9">
                  <c:v>6</c:v>
                </c:pt>
                <c:pt idx="10">
                  <c:v>6</c:v>
                </c:pt>
                <c:pt idx="11">
                  <c:v>4</c:v>
                </c:pt>
                <c:pt idx="12">
                  <c:v>4</c:v>
                </c:pt>
                <c:pt idx="13">
                  <c:v>34</c:v>
                </c:pt>
                <c:pt idx="14">
                  <c:v>8</c:v>
                </c:pt>
              </c:numCache>
            </c:numRef>
          </c:val>
          <c:extLst>
            <c:ext xmlns:c16="http://schemas.microsoft.com/office/drawing/2014/chart" uri="{C3380CC4-5D6E-409C-BE32-E72D297353CC}">
              <c16:uniqueId val="{00000001-507B-5447-8D39-24932A5318E1}"/>
            </c:ext>
          </c:extLst>
        </c:ser>
        <c:dLbls>
          <c:showLegendKey val="0"/>
          <c:showVal val="0"/>
          <c:showCatName val="0"/>
          <c:showSerName val="0"/>
          <c:showPercent val="0"/>
          <c:showBubbleSize val="0"/>
        </c:dLbls>
        <c:gapWidth val="150"/>
        <c:axId val="119755904"/>
        <c:axId val="119875840"/>
      </c:barChart>
      <c:catAx>
        <c:axId val="119755904"/>
        <c:scaling>
          <c:orientation val="minMax"/>
        </c:scaling>
        <c:delete val="0"/>
        <c:axPos val="b"/>
        <c:numFmt formatCode="General" sourceLinked="0"/>
        <c:majorTickMark val="out"/>
        <c:minorTickMark val="none"/>
        <c:tickLblPos val="nextTo"/>
        <c:crossAx val="119875840"/>
        <c:crosses val="autoZero"/>
        <c:auto val="1"/>
        <c:lblAlgn val="ctr"/>
        <c:lblOffset val="100"/>
        <c:noMultiLvlLbl val="0"/>
      </c:catAx>
      <c:valAx>
        <c:axId val="119875840"/>
        <c:scaling>
          <c:orientation val="minMax"/>
        </c:scaling>
        <c:delete val="0"/>
        <c:axPos val="l"/>
        <c:majorGridlines/>
        <c:title>
          <c:tx>
            <c:rich>
              <a:bodyPr rot="-5400000" vert="horz"/>
              <a:lstStyle/>
              <a:p>
                <a:pPr>
                  <a:defRPr/>
                </a:pPr>
                <a:r>
                  <a:rPr lang="en-US"/>
                  <a:t>Frequency (%)</a:t>
                </a:r>
              </a:p>
            </c:rich>
          </c:tx>
          <c:overlay val="0"/>
        </c:title>
        <c:numFmt formatCode="General" sourceLinked="1"/>
        <c:majorTickMark val="out"/>
        <c:minorTickMark val="none"/>
        <c:tickLblPos val="nextTo"/>
        <c:crossAx val="1197559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Sheet4!$C$22</c:f>
              <c:strCache>
                <c:ptCount val="1"/>
                <c:pt idx="0">
                  <c:v>cancer Patients</c:v>
                </c:pt>
              </c:strCache>
            </c:strRef>
          </c:tx>
          <c:invertIfNegative val="0"/>
          <c:errBars>
            <c:errBarType val="both"/>
            <c:errValType val="percentage"/>
            <c:noEndCap val="0"/>
            <c:val val="5"/>
          </c:errBars>
          <c:val>
            <c:numRef>
              <c:f>Sheet4!$D$22</c:f>
              <c:numCache>
                <c:formatCode>General</c:formatCode>
                <c:ptCount val="1"/>
                <c:pt idx="0">
                  <c:v>134</c:v>
                </c:pt>
              </c:numCache>
            </c:numRef>
          </c:val>
          <c:extLst>
            <c:ext xmlns:c16="http://schemas.microsoft.com/office/drawing/2014/chart" uri="{C3380CC4-5D6E-409C-BE32-E72D297353CC}">
              <c16:uniqueId val="{00000000-D451-6B49-9A20-D7CEA5C28DDD}"/>
            </c:ext>
          </c:extLst>
        </c:ser>
        <c:ser>
          <c:idx val="1"/>
          <c:order val="1"/>
          <c:tx>
            <c:strRef>
              <c:f>Sheet4!$C$23</c:f>
              <c:strCache>
                <c:ptCount val="1"/>
                <c:pt idx="0">
                  <c:v>control </c:v>
                </c:pt>
              </c:strCache>
            </c:strRef>
          </c:tx>
          <c:invertIfNegative val="0"/>
          <c:errBars>
            <c:errBarType val="both"/>
            <c:errValType val="percentage"/>
            <c:noEndCap val="0"/>
            <c:val val="5"/>
          </c:errBars>
          <c:val>
            <c:numRef>
              <c:f>Sheet4!$D$23</c:f>
              <c:numCache>
                <c:formatCode>General</c:formatCode>
                <c:ptCount val="1"/>
                <c:pt idx="0">
                  <c:v>101</c:v>
                </c:pt>
              </c:numCache>
            </c:numRef>
          </c:val>
          <c:extLst>
            <c:ext xmlns:c16="http://schemas.microsoft.com/office/drawing/2014/chart" uri="{C3380CC4-5D6E-409C-BE32-E72D297353CC}">
              <c16:uniqueId val="{00000001-D451-6B49-9A20-D7CEA5C28DDD}"/>
            </c:ext>
          </c:extLst>
        </c:ser>
        <c:dLbls>
          <c:showLegendKey val="0"/>
          <c:showVal val="0"/>
          <c:showCatName val="0"/>
          <c:showSerName val="0"/>
          <c:showPercent val="0"/>
          <c:showBubbleSize val="0"/>
        </c:dLbls>
        <c:gapWidth val="150"/>
        <c:axId val="119767040"/>
        <c:axId val="119768576"/>
      </c:barChart>
      <c:catAx>
        <c:axId val="119767040"/>
        <c:scaling>
          <c:orientation val="minMax"/>
        </c:scaling>
        <c:delete val="1"/>
        <c:axPos val="b"/>
        <c:majorTickMark val="out"/>
        <c:minorTickMark val="none"/>
        <c:tickLblPos val="nextTo"/>
        <c:crossAx val="119768576"/>
        <c:crosses val="autoZero"/>
        <c:auto val="1"/>
        <c:lblAlgn val="ctr"/>
        <c:lblOffset val="100"/>
        <c:noMultiLvlLbl val="0"/>
      </c:catAx>
      <c:valAx>
        <c:axId val="119768576"/>
        <c:scaling>
          <c:orientation val="minMax"/>
        </c:scaling>
        <c:delete val="0"/>
        <c:axPos val="l"/>
        <c:majorGridlines/>
        <c:title>
          <c:tx>
            <c:rich>
              <a:bodyPr rot="-5400000" vert="horz"/>
              <a:lstStyle/>
              <a:p>
                <a:pPr>
                  <a:defRPr/>
                </a:pPr>
                <a:r>
                  <a:rPr lang="en-US"/>
                  <a:t>Plasma Glutamic Acid (ug/mol)</a:t>
                </a:r>
              </a:p>
            </c:rich>
          </c:tx>
          <c:overlay val="0"/>
        </c:title>
        <c:numFmt formatCode="General" sourceLinked="1"/>
        <c:majorTickMark val="out"/>
        <c:minorTickMark val="none"/>
        <c:tickLblPos val="nextTo"/>
        <c:crossAx val="1197670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[sunday barinem2115.xlsx]Sheet3!PivotTable2</c:name>
    <c:fmtId val="-1"/>
  </c:pivotSource>
  <c:chart>
    <c:autoTitleDeleted val="1"/>
    <c:pivotFmts>
      <c:pivotFmt>
        <c:idx val="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Sheet3!$B$3</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Sheet3!$A$4:$A$18</c:f>
              <c:strCache>
                <c:ptCount val="14"/>
                <c:pt idx="0">
                  <c:v>breast</c:v>
                </c:pt>
                <c:pt idx="1">
                  <c:v>bronchogensis</c:v>
                </c:pt>
                <c:pt idx="2">
                  <c:v>cervical</c:v>
                </c:pt>
                <c:pt idx="3">
                  <c:v>colon</c:v>
                </c:pt>
                <c:pt idx="4">
                  <c:v>colorectal</c:v>
                </c:pt>
                <c:pt idx="5">
                  <c:v>ductal</c:v>
                </c:pt>
                <c:pt idx="6">
                  <c:v>endometrial</c:v>
                </c:pt>
                <c:pt idx="7">
                  <c:v>oropharyngeal squamous cell carcinoma</c:v>
                </c:pt>
                <c:pt idx="8">
                  <c:v>osteocarcinoma</c:v>
                </c:pt>
                <c:pt idx="9">
                  <c:v>prostate</c:v>
                </c:pt>
                <c:pt idx="10">
                  <c:v>rhabdomyosarcoma</c:v>
                </c:pt>
                <c:pt idx="11">
                  <c:v>skin</c:v>
                </c:pt>
                <c:pt idx="12">
                  <c:v>thyroid</c:v>
                </c:pt>
                <c:pt idx="13">
                  <c:v>vulva</c:v>
                </c:pt>
              </c:strCache>
            </c:strRef>
          </c:cat>
          <c:val>
            <c:numRef>
              <c:f>Sheet3!$B$4:$B$18</c:f>
              <c:numCache>
                <c:formatCode>General</c:formatCode>
                <c:ptCount val="14"/>
                <c:pt idx="0">
                  <c:v>31</c:v>
                </c:pt>
                <c:pt idx="1">
                  <c:v>1</c:v>
                </c:pt>
                <c:pt idx="2">
                  <c:v>2</c:v>
                </c:pt>
                <c:pt idx="3">
                  <c:v>1</c:v>
                </c:pt>
                <c:pt idx="4">
                  <c:v>1</c:v>
                </c:pt>
                <c:pt idx="5">
                  <c:v>3</c:v>
                </c:pt>
                <c:pt idx="6">
                  <c:v>2</c:v>
                </c:pt>
                <c:pt idx="7">
                  <c:v>1</c:v>
                </c:pt>
                <c:pt idx="8">
                  <c:v>1</c:v>
                </c:pt>
                <c:pt idx="9">
                  <c:v>3</c:v>
                </c:pt>
                <c:pt idx="10">
                  <c:v>1</c:v>
                </c:pt>
                <c:pt idx="11">
                  <c:v>1</c:v>
                </c:pt>
                <c:pt idx="12">
                  <c:v>1</c:v>
                </c:pt>
                <c:pt idx="13">
                  <c:v>1</c:v>
                </c:pt>
              </c:numCache>
            </c:numRef>
          </c:val>
          <c:extLst>
            <c:ext xmlns:c16="http://schemas.microsoft.com/office/drawing/2014/chart" uri="{C3380CC4-5D6E-409C-BE32-E72D297353CC}">
              <c16:uniqueId val="{00000000-F648-294A-895E-D14E438C74C6}"/>
            </c:ext>
          </c:extLst>
        </c:ser>
        <c:dLbls>
          <c:dLblPos val="outEnd"/>
          <c:showLegendKey val="0"/>
          <c:showVal val="1"/>
          <c:showCatName val="0"/>
          <c:showSerName val="0"/>
          <c:showPercent val="0"/>
          <c:showBubbleSize val="0"/>
        </c:dLbls>
        <c:gapWidth val="219"/>
        <c:overlap val="-27"/>
        <c:axId val="1995890784"/>
        <c:axId val="1987295488"/>
      </c:barChart>
      <c:catAx>
        <c:axId val="1995890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Cancer</a:t>
                </a:r>
                <a:r>
                  <a:rPr lang="en-US" baseline="0"/>
                  <a:t> Type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7295488"/>
        <c:crosses val="autoZero"/>
        <c:auto val="1"/>
        <c:lblAlgn val="ctr"/>
        <c:lblOffset val="100"/>
        <c:noMultiLvlLbl val="0"/>
      </c:catAx>
      <c:valAx>
        <c:axId val="1987295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890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19</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SDI 1019</cp:lastModifiedBy>
  <cp:revision>16</cp:revision>
  <dcterms:created xsi:type="dcterms:W3CDTF">2026-01-30T10:43:00Z</dcterms:created>
  <dcterms:modified xsi:type="dcterms:W3CDTF">2026-02-04T11:27:00Z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37de17dd-7d16-438b-b337-9eace349ab5a</vt:lpwstr>
  </property>
</Properties>
</file>