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5783A" w14:textId="77777777" w:rsidR="0092463D" w:rsidRPr="008B14A9" w:rsidRDefault="0025160B" w:rsidP="008B14A9">
      <w:pPr>
        <w:jc w:val="both"/>
        <w:rPr>
          <w:rFonts w:ascii="Times New Roman" w:hAnsi="Times New Roman"/>
          <w:b/>
          <w:sz w:val="24"/>
          <w:szCs w:val="24"/>
        </w:rPr>
      </w:pPr>
      <w:r w:rsidRPr="008B14A9">
        <w:rPr>
          <w:rFonts w:ascii="Times New Roman" w:hAnsi="Times New Roman"/>
          <w:b/>
          <w:sz w:val="24"/>
          <w:szCs w:val="24"/>
        </w:rPr>
        <w:t xml:space="preserve">Evaluation of Renal Function Indices among Overweight and Obese Students at Joseph Ayo Babalola University, </w:t>
      </w:r>
      <w:proofErr w:type="spellStart"/>
      <w:r w:rsidRPr="008B14A9">
        <w:rPr>
          <w:rFonts w:ascii="Times New Roman" w:hAnsi="Times New Roman"/>
          <w:b/>
          <w:sz w:val="24"/>
          <w:szCs w:val="24"/>
        </w:rPr>
        <w:t>Ikeji-Arakeji</w:t>
      </w:r>
      <w:proofErr w:type="spellEnd"/>
      <w:r w:rsidRPr="008B14A9">
        <w:rPr>
          <w:rFonts w:ascii="Times New Roman" w:hAnsi="Times New Roman"/>
          <w:b/>
          <w:sz w:val="24"/>
          <w:szCs w:val="24"/>
        </w:rPr>
        <w:t>, Osun State, Nigeria</w:t>
      </w:r>
    </w:p>
    <w:p w14:paraId="57821FC3" w14:textId="77777777" w:rsidR="00746692" w:rsidRPr="008B14A9" w:rsidRDefault="00746692" w:rsidP="008B14A9">
      <w:pPr>
        <w:jc w:val="both"/>
        <w:rPr>
          <w:rFonts w:ascii="Times New Roman" w:hAnsi="Times New Roman"/>
          <w:b/>
          <w:sz w:val="24"/>
          <w:szCs w:val="24"/>
        </w:rPr>
      </w:pPr>
    </w:p>
    <w:p w14:paraId="36095BC0" w14:textId="77777777" w:rsidR="008F2493" w:rsidRPr="008B14A9" w:rsidRDefault="008F2493" w:rsidP="008B14A9">
      <w:pPr>
        <w:jc w:val="both"/>
        <w:rPr>
          <w:rFonts w:ascii="Times New Roman" w:hAnsi="Times New Roman"/>
          <w:b/>
          <w:color w:val="000000"/>
          <w:sz w:val="24"/>
          <w:szCs w:val="24"/>
        </w:rPr>
      </w:pPr>
    </w:p>
    <w:p w14:paraId="20119B69" w14:textId="77777777" w:rsidR="00E612E6" w:rsidRPr="008B14A9" w:rsidRDefault="00E612E6" w:rsidP="008B14A9">
      <w:pPr>
        <w:jc w:val="both"/>
        <w:rPr>
          <w:rFonts w:ascii="Times New Roman" w:hAnsi="Times New Roman"/>
          <w:b/>
          <w:bCs/>
          <w:color w:val="000000"/>
          <w:sz w:val="24"/>
          <w:szCs w:val="24"/>
        </w:rPr>
      </w:pPr>
    </w:p>
    <w:p w14:paraId="5E83C9A2" w14:textId="77777777" w:rsidR="00E612E6" w:rsidRPr="008B14A9" w:rsidRDefault="00E612E6" w:rsidP="008B14A9">
      <w:pPr>
        <w:jc w:val="both"/>
        <w:rPr>
          <w:rFonts w:ascii="Times New Roman" w:hAnsi="Times New Roman"/>
          <w:b/>
          <w:bCs/>
          <w:color w:val="000000"/>
          <w:sz w:val="24"/>
          <w:szCs w:val="24"/>
        </w:rPr>
      </w:pPr>
    </w:p>
    <w:p w14:paraId="00DB386D" w14:textId="77777777" w:rsidR="0092463D" w:rsidRPr="008B14A9" w:rsidRDefault="0092463D"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ABSTRACT</w:t>
      </w:r>
    </w:p>
    <w:p w14:paraId="751068A3" w14:textId="77777777" w:rsidR="0010079C" w:rsidRPr="008B14A9" w:rsidRDefault="0010079C" w:rsidP="008B14A9">
      <w:pPr>
        <w:jc w:val="both"/>
        <w:rPr>
          <w:rFonts w:ascii="Times New Roman" w:hAnsi="Times New Roman"/>
          <w:b/>
          <w:bCs/>
          <w:color w:val="000000"/>
          <w:sz w:val="24"/>
          <w:szCs w:val="24"/>
        </w:rPr>
      </w:pPr>
    </w:p>
    <w:p w14:paraId="118B3A84" w14:textId="77777777" w:rsidR="0010079C" w:rsidRPr="008B14A9" w:rsidRDefault="0010079C" w:rsidP="008B14A9">
      <w:pPr>
        <w:jc w:val="both"/>
        <w:rPr>
          <w:rFonts w:ascii="Times New Roman" w:hAnsi="Times New Roman"/>
          <w:color w:val="000000"/>
          <w:sz w:val="24"/>
          <w:szCs w:val="24"/>
        </w:rPr>
      </w:pPr>
      <w:r w:rsidRPr="008B14A9">
        <w:rPr>
          <w:rFonts w:ascii="Times New Roman" w:hAnsi="Times New Roman"/>
          <w:b/>
          <w:bCs/>
          <w:color w:val="000000"/>
          <w:sz w:val="24"/>
          <w:szCs w:val="24"/>
        </w:rPr>
        <w:t xml:space="preserve">Background: </w:t>
      </w:r>
      <w:r w:rsidR="001F7FBD" w:rsidRPr="008B14A9">
        <w:rPr>
          <w:rFonts w:ascii="Times New Roman" w:hAnsi="Times New Roman"/>
          <w:color w:val="000000"/>
          <w:sz w:val="24"/>
          <w:szCs w:val="24"/>
        </w:rPr>
        <w:t xml:space="preserve">Excess body weight is </w:t>
      </w:r>
      <w:r w:rsidR="00FD49BC" w:rsidRPr="008B14A9">
        <w:rPr>
          <w:rFonts w:ascii="Times New Roman" w:hAnsi="Times New Roman"/>
          <w:color w:val="000000"/>
          <w:sz w:val="24"/>
          <w:szCs w:val="24"/>
        </w:rPr>
        <w:t>reported</w:t>
      </w:r>
      <w:r w:rsidRPr="008B14A9">
        <w:rPr>
          <w:rFonts w:ascii="Times New Roman" w:hAnsi="Times New Roman"/>
          <w:color w:val="000000"/>
          <w:sz w:val="24"/>
          <w:szCs w:val="24"/>
        </w:rPr>
        <w:t xml:space="preserve"> </w:t>
      </w:r>
      <w:r w:rsidR="00FD49BC" w:rsidRPr="008B14A9">
        <w:rPr>
          <w:rFonts w:ascii="Times New Roman" w:hAnsi="Times New Roman"/>
          <w:color w:val="000000"/>
          <w:sz w:val="24"/>
          <w:szCs w:val="24"/>
        </w:rPr>
        <w:t>as</w:t>
      </w:r>
      <w:r w:rsidR="00CA16B8" w:rsidRPr="008B14A9">
        <w:rPr>
          <w:rFonts w:ascii="Times New Roman" w:hAnsi="Times New Roman"/>
          <w:color w:val="000000"/>
          <w:sz w:val="24"/>
          <w:szCs w:val="24"/>
        </w:rPr>
        <w:t xml:space="preserve"> a</w:t>
      </w:r>
      <w:r w:rsidR="001F7FBD" w:rsidRPr="008B14A9">
        <w:rPr>
          <w:rFonts w:ascii="Times New Roman" w:hAnsi="Times New Roman"/>
          <w:color w:val="000000"/>
          <w:sz w:val="24"/>
          <w:szCs w:val="24"/>
        </w:rPr>
        <w:t xml:space="preserve"> </w:t>
      </w:r>
      <w:r w:rsidRPr="008B14A9">
        <w:rPr>
          <w:rFonts w:ascii="Times New Roman" w:hAnsi="Times New Roman"/>
          <w:color w:val="000000"/>
          <w:sz w:val="24"/>
          <w:szCs w:val="24"/>
        </w:rPr>
        <w:t>ri</w:t>
      </w:r>
      <w:r w:rsidR="007A1F63" w:rsidRPr="008B14A9">
        <w:rPr>
          <w:rFonts w:ascii="Times New Roman" w:hAnsi="Times New Roman"/>
          <w:color w:val="000000"/>
          <w:sz w:val="24"/>
          <w:szCs w:val="24"/>
        </w:rPr>
        <w:t xml:space="preserve">sk factor for renal impairment. Chronic kidney disease has become a cause of mortality with an increase in 95% over a few decades. </w:t>
      </w:r>
      <w:r w:rsidRPr="008B14A9">
        <w:rPr>
          <w:rFonts w:ascii="Times New Roman" w:hAnsi="Times New Roman"/>
          <w:color w:val="000000"/>
          <w:sz w:val="24"/>
          <w:szCs w:val="24"/>
        </w:rPr>
        <w:t>Evaluating renal function indices in youn</w:t>
      </w:r>
      <w:r w:rsidR="001F7FBD" w:rsidRPr="008B14A9">
        <w:rPr>
          <w:rFonts w:ascii="Times New Roman" w:hAnsi="Times New Roman"/>
          <w:color w:val="000000"/>
          <w:sz w:val="24"/>
          <w:szCs w:val="24"/>
        </w:rPr>
        <w:t xml:space="preserve">g adult populations is essential for the </w:t>
      </w:r>
      <w:r w:rsidRPr="008B14A9">
        <w:rPr>
          <w:rFonts w:ascii="Times New Roman" w:hAnsi="Times New Roman"/>
          <w:color w:val="000000"/>
          <w:sz w:val="24"/>
          <w:szCs w:val="24"/>
        </w:rPr>
        <w:t>identification of obesity-related kidney dysfunction.</w:t>
      </w:r>
      <w:r w:rsidR="007A1F63" w:rsidRPr="008B14A9">
        <w:rPr>
          <w:rFonts w:ascii="Times New Roman" w:hAnsi="Times New Roman"/>
          <w:color w:val="000000"/>
          <w:sz w:val="24"/>
          <w:szCs w:val="24"/>
        </w:rPr>
        <w:t xml:space="preserve"> Data on obesity related dysfunction in relationship to renal function among university students are scarce, limiting risk identification and preventive measures</w:t>
      </w:r>
    </w:p>
    <w:p w14:paraId="25509E37" w14:textId="77777777" w:rsidR="00CA16B8" w:rsidRPr="008B14A9" w:rsidRDefault="0092463D" w:rsidP="008B14A9">
      <w:pPr>
        <w:jc w:val="both"/>
        <w:rPr>
          <w:rFonts w:ascii="Times New Roman" w:hAnsi="Times New Roman"/>
          <w:bCs/>
          <w:iCs/>
          <w:color w:val="000000"/>
          <w:sz w:val="24"/>
          <w:szCs w:val="24"/>
        </w:rPr>
      </w:pPr>
      <w:r w:rsidRPr="008B14A9">
        <w:rPr>
          <w:rFonts w:ascii="Times New Roman" w:hAnsi="Times New Roman"/>
          <w:b/>
          <w:bCs/>
          <w:i/>
          <w:color w:val="000000"/>
          <w:sz w:val="24"/>
          <w:szCs w:val="24"/>
        </w:rPr>
        <w:t xml:space="preserve"> </w:t>
      </w:r>
      <w:r w:rsidRPr="008B14A9">
        <w:rPr>
          <w:rFonts w:ascii="Times New Roman" w:hAnsi="Times New Roman"/>
          <w:b/>
          <w:bCs/>
          <w:iCs/>
          <w:color w:val="000000"/>
          <w:sz w:val="24"/>
          <w:szCs w:val="24"/>
        </w:rPr>
        <w:t>Aim:</w:t>
      </w:r>
      <w:r w:rsidR="001B562A" w:rsidRPr="008B14A9">
        <w:rPr>
          <w:rFonts w:ascii="Times New Roman" w:hAnsi="Times New Roman"/>
          <w:bCs/>
          <w:iCs/>
          <w:color w:val="000000"/>
          <w:sz w:val="24"/>
          <w:szCs w:val="24"/>
        </w:rPr>
        <w:t xml:space="preserve">  The study was aimed at evaluating some</w:t>
      </w:r>
      <w:r w:rsidRPr="008B14A9">
        <w:rPr>
          <w:rFonts w:ascii="Times New Roman" w:hAnsi="Times New Roman"/>
          <w:bCs/>
          <w:iCs/>
          <w:color w:val="000000"/>
          <w:sz w:val="24"/>
          <w:szCs w:val="24"/>
        </w:rPr>
        <w:t xml:space="preserve"> renal function indices </w:t>
      </w:r>
      <w:r w:rsidR="001F7FBD" w:rsidRPr="008B14A9">
        <w:rPr>
          <w:rFonts w:ascii="Times New Roman" w:hAnsi="Times New Roman"/>
          <w:bCs/>
          <w:iCs/>
          <w:color w:val="000000"/>
          <w:sz w:val="24"/>
          <w:szCs w:val="24"/>
        </w:rPr>
        <w:t xml:space="preserve">of overweight and obese students of </w:t>
      </w:r>
      <w:r w:rsidRPr="008B14A9">
        <w:rPr>
          <w:rFonts w:ascii="Times New Roman" w:hAnsi="Times New Roman"/>
          <w:bCs/>
          <w:iCs/>
          <w:color w:val="000000"/>
          <w:sz w:val="24"/>
          <w:szCs w:val="24"/>
        </w:rPr>
        <w:t>Joseph Ayo Babalola University.</w:t>
      </w:r>
    </w:p>
    <w:p w14:paraId="20D269AA" w14:textId="77777777" w:rsidR="001806DB" w:rsidRPr="008B14A9" w:rsidRDefault="0092463D" w:rsidP="008B14A9">
      <w:pPr>
        <w:jc w:val="both"/>
        <w:rPr>
          <w:rFonts w:ascii="Times New Roman" w:hAnsi="Times New Roman"/>
          <w:bCs/>
          <w:iCs/>
          <w:color w:val="000000"/>
          <w:sz w:val="24"/>
          <w:szCs w:val="24"/>
        </w:rPr>
      </w:pPr>
      <w:r w:rsidRPr="008B14A9">
        <w:rPr>
          <w:rFonts w:ascii="Times New Roman" w:hAnsi="Times New Roman"/>
          <w:b/>
          <w:bCs/>
          <w:iCs/>
          <w:color w:val="000000"/>
          <w:sz w:val="24"/>
          <w:szCs w:val="24"/>
        </w:rPr>
        <w:t>Methods:</w:t>
      </w:r>
      <w:r w:rsidR="00A92C7D" w:rsidRPr="008B14A9">
        <w:rPr>
          <w:rFonts w:ascii="Times New Roman" w:hAnsi="Times New Roman"/>
          <w:color w:val="000000"/>
          <w:sz w:val="24"/>
          <w:szCs w:val="24"/>
        </w:rPr>
        <w:t xml:space="preserve"> </w:t>
      </w:r>
      <w:r w:rsidR="007A1F63" w:rsidRPr="008B14A9">
        <w:rPr>
          <w:rFonts w:ascii="Times New Roman" w:hAnsi="Times New Roman"/>
          <w:color w:val="000000"/>
          <w:sz w:val="24"/>
          <w:szCs w:val="24"/>
        </w:rPr>
        <w:t xml:space="preserve">This was a cross-sectional observational study. A total of 92 </w:t>
      </w:r>
      <w:r w:rsidR="001166FB" w:rsidRPr="008B14A9">
        <w:rPr>
          <w:rFonts w:ascii="Times New Roman" w:hAnsi="Times New Roman"/>
          <w:color w:val="000000"/>
          <w:sz w:val="24"/>
          <w:szCs w:val="24"/>
        </w:rPr>
        <w:t>apparently healthy students were recruited for the study. Anthropometric measurements were obtained using a stadiometer</w:t>
      </w:r>
      <w:r w:rsidR="00014587" w:rsidRPr="008B14A9">
        <w:rPr>
          <w:rFonts w:ascii="Times New Roman" w:hAnsi="Times New Roman"/>
          <w:color w:val="000000"/>
          <w:sz w:val="24"/>
          <w:szCs w:val="24"/>
        </w:rPr>
        <w:t xml:space="preserve"> and weighing scale to obtain</w:t>
      </w:r>
      <w:r w:rsidR="001166FB" w:rsidRPr="008B14A9">
        <w:rPr>
          <w:rFonts w:ascii="Times New Roman" w:hAnsi="Times New Roman"/>
          <w:color w:val="000000"/>
          <w:sz w:val="24"/>
          <w:szCs w:val="24"/>
        </w:rPr>
        <w:t xml:space="preserve"> body mass index (BMI), while</w:t>
      </w:r>
      <w:r w:rsidR="00895DFB" w:rsidRPr="008B14A9">
        <w:rPr>
          <w:rFonts w:ascii="Times New Roman" w:hAnsi="Times New Roman"/>
          <w:color w:val="000000"/>
          <w:sz w:val="24"/>
          <w:szCs w:val="24"/>
        </w:rPr>
        <w:t xml:space="preserve"> </w:t>
      </w:r>
      <w:r w:rsidR="001166FB" w:rsidRPr="008B14A9">
        <w:rPr>
          <w:rFonts w:ascii="Times New Roman" w:hAnsi="Times New Roman"/>
          <w:color w:val="000000"/>
          <w:sz w:val="24"/>
          <w:szCs w:val="24"/>
        </w:rPr>
        <w:t>venous blood were collected from the antec</w:t>
      </w:r>
      <w:r w:rsidR="001806DB" w:rsidRPr="008B14A9">
        <w:rPr>
          <w:rFonts w:ascii="Times New Roman" w:hAnsi="Times New Roman"/>
          <w:color w:val="000000"/>
          <w:sz w:val="24"/>
          <w:szCs w:val="24"/>
        </w:rPr>
        <w:t>ubital vein into appropriate blood collection tubes for electrolytes analysis b</w:t>
      </w:r>
      <w:r w:rsidR="005375D9" w:rsidRPr="008B14A9">
        <w:rPr>
          <w:rFonts w:ascii="Times New Roman" w:hAnsi="Times New Roman"/>
          <w:color w:val="000000"/>
          <w:sz w:val="24"/>
          <w:szCs w:val="24"/>
        </w:rPr>
        <w:t xml:space="preserve">y ion-selective electrode (ISE); creatinine, by Jaffe’s method; urea, by Berthelot method; and uric acid </w:t>
      </w:r>
      <w:r w:rsidR="001806DB" w:rsidRPr="008B14A9">
        <w:rPr>
          <w:rFonts w:ascii="Times New Roman" w:hAnsi="Times New Roman"/>
          <w:color w:val="000000"/>
          <w:sz w:val="24"/>
          <w:szCs w:val="24"/>
        </w:rPr>
        <w:t xml:space="preserve">by the uricase–PAP method and glucose by glucose oxidase method. Data were analyzed using analysis of variance (ANOVA) and Pearson’s correlation, with statistical significance set at </w:t>
      </w:r>
      <w:r w:rsidR="001806DB" w:rsidRPr="008B14A9">
        <w:rPr>
          <w:rStyle w:val="Emphasis"/>
          <w:rFonts w:ascii="Times New Roman" w:hAnsi="Times New Roman"/>
          <w:color w:val="000000"/>
          <w:sz w:val="24"/>
          <w:szCs w:val="24"/>
        </w:rPr>
        <w:t>p</w:t>
      </w:r>
      <w:r w:rsidR="001806DB" w:rsidRPr="008B14A9">
        <w:rPr>
          <w:rFonts w:ascii="Times New Roman" w:hAnsi="Times New Roman"/>
          <w:color w:val="000000"/>
          <w:sz w:val="24"/>
          <w:szCs w:val="24"/>
        </w:rPr>
        <w:t xml:space="preserve"> &lt; 0.05.</w:t>
      </w:r>
    </w:p>
    <w:p w14:paraId="432C75C0" w14:textId="77777777" w:rsidR="00CA16B8" w:rsidRPr="008B14A9" w:rsidRDefault="00A92C7D" w:rsidP="008B14A9">
      <w:pPr>
        <w:jc w:val="both"/>
        <w:rPr>
          <w:rFonts w:ascii="Times New Roman" w:hAnsi="Times New Roman"/>
          <w:color w:val="000000"/>
          <w:sz w:val="24"/>
          <w:szCs w:val="24"/>
        </w:rPr>
      </w:pPr>
      <w:r w:rsidRPr="008B14A9">
        <w:rPr>
          <w:rFonts w:ascii="Times New Roman" w:hAnsi="Times New Roman"/>
          <w:b/>
          <w:color w:val="000000"/>
          <w:sz w:val="24"/>
          <w:szCs w:val="24"/>
        </w:rPr>
        <w:t>Result:</w:t>
      </w:r>
      <w:r w:rsidRPr="008B14A9">
        <w:rPr>
          <w:rFonts w:ascii="Times New Roman" w:hAnsi="Times New Roman"/>
          <w:color w:val="000000"/>
          <w:sz w:val="24"/>
          <w:szCs w:val="24"/>
        </w:rPr>
        <w:t xml:space="preserve"> ANOVA revealed significant differences in BMI across underweight, normal weigh</w:t>
      </w:r>
      <w:r w:rsidR="0075095D" w:rsidRPr="008B14A9">
        <w:rPr>
          <w:rFonts w:ascii="Times New Roman" w:hAnsi="Times New Roman"/>
          <w:color w:val="000000"/>
          <w:sz w:val="24"/>
          <w:szCs w:val="24"/>
        </w:rPr>
        <w:t>t</w:t>
      </w:r>
      <w:r w:rsidRPr="008B14A9">
        <w:rPr>
          <w:rFonts w:ascii="Times New Roman" w:hAnsi="Times New Roman"/>
          <w:color w:val="000000"/>
          <w:sz w:val="24"/>
          <w:szCs w:val="24"/>
        </w:rPr>
        <w:t>, overweight, and obese categories (</w:t>
      </w:r>
      <w:r w:rsidRPr="008B14A9">
        <w:rPr>
          <w:rStyle w:val="Emphasis"/>
          <w:rFonts w:ascii="Times New Roman" w:hAnsi="Times New Roman"/>
          <w:color w:val="000000"/>
          <w:sz w:val="24"/>
          <w:szCs w:val="24"/>
        </w:rPr>
        <w:t>p</w:t>
      </w:r>
      <w:r w:rsidR="0075095D" w:rsidRPr="008B14A9">
        <w:rPr>
          <w:rFonts w:ascii="Times New Roman" w:hAnsi="Times New Roman"/>
          <w:color w:val="000000"/>
          <w:sz w:val="24"/>
          <w:szCs w:val="24"/>
        </w:rPr>
        <w:t xml:space="preserve"> &lt; </w:t>
      </w:r>
      <w:r w:rsidRPr="008B14A9">
        <w:rPr>
          <w:rFonts w:ascii="Times New Roman" w:hAnsi="Times New Roman"/>
          <w:color w:val="000000"/>
          <w:sz w:val="24"/>
          <w:szCs w:val="24"/>
        </w:rPr>
        <w:t>.05), whereas mean values of renal parameters</w:t>
      </w:r>
      <w:r w:rsidR="0075095D" w:rsidRPr="008B14A9">
        <w:rPr>
          <w:rFonts w:ascii="Times New Roman" w:hAnsi="Times New Roman"/>
          <w:color w:val="000000"/>
          <w:sz w:val="24"/>
          <w:szCs w:val="24"/>
        </w:rPr>
        <w:t xml:space="preserve"> and fasting blood glucose</w:t>
      </w:r>
      <w:r w:rsidRPr="008B14A9">
        <w:rPr>
          <w:rFonts w:ascii="Times New Roman" w:hAnsi="Times New Roman"/>
          <w:color w:val="000000"/>
          <w:sz w:val="24"/>
          <w:szCs w:val="24"/>
        </w:rPr>
        <w:t xml:space="preserve"> did not differ significantly between groups. Pearson’s correlation analysis showed no significant association between BMI and renal parameters among underweight participants. In normal-weight subjects, BMI was positively associated with uric acid levels</w:t>
      </w:r>
      <w:r w:rsidR="008740F0" w:rsidRPr="008B14A9">
        <w:rPr>
          <w:rFonts w:ascii="Times New Roman" w:hAnsi="Times New Roman"/>
          <w:color w:val="000000"/>
          <w:sz w:val="24"/>
          <w:szCs w:val="24"/>
        </w:rPr>
        <w:t xml:space="preserve"> (r = 0.4476)</w:t>
      </w:r>
      <w:r w:rsidRPr="008B14A9">
        <w:rPr>
          <w:rFonts w:ascii="Times New Roman" w:hAnsi="Times New Roman"/>
          <w:color w:val="000000"/>
          <w:sz w:val="24"/>
          <w:szCs w:val="24"/>
        </w:rPr>
        <w:t>, while a negative association was observed between BMI and chloride levels in overweight subjects</w:t>
      </w:r>
      <w:r w:rsidR="008740F0" w:rsidRPr="008B14A9">
        <w:rPr>
          <w:rFonts w:ascii="Times New Roman" w:hAnsi="Times New Roman"/>
          <w:color w:val="000000"/>
          <w:sz w:val="24"/>
          <w:szCs w:val="24"/>
        </w:rPr>
        <w:t xml:space="preserve"> (r</w:t>
      </w:r>
      <w:r w:rsidR="00C201C0" w:rsidRPr="008B14A9">
        <w:rPr>
          <w:rFonts w:ascii="Times New Roman" w:hAnsi="Times New Roman"/>
          <w:color w:val="000000"/>
          <w:sz w:val="24"/>
          <w:szCs w:val="24"/>
        </w:rPr>
        <w:t xml:space="preserve"> </w:t>
      </w:r>
      <w:r w:rsidR="008740F0" w:rsidRPr="008B14A9">
        <w:rPr>
          <w:rFonts w:ascii="Times New Roman" w:hAnsi="Times New Roman"/>
          <w:color w:val="000000"/>
          <w:sz w:val="24"/>
          <w:szCs w:val="24"/>
        </w:rPr>
        <w:t xml:space="preserve">= </w:t>
      </w:r>
      <w:r w:rsidR="00C201C0" w:rsidRPr="008B14A9">
        <w:rPr>
          <w:rFonts w:ascii="Times New Roman" w:eastAsia="Times New Roman" w:hAnsi="Times New Roman"/>
          <w:color w:val="000000"/>
          <w:sz w:val="24"/>
          <w:szCs w:val="24"/>
        </w:rPr>
        <w:t xml:space="preserve">- </w:t>
      </w:r>
      <w:r w:rsidR="008740F0" w:rsidRPr="008B14A9">
        <w:rPr>
          <w:rFonts w:ascii="Times New Roman" w:eastAsia="Times New Roman" w:hAnsi="Times New Roman"/>
          <w:color w:val="000000"/>
          <w:sz w:val="24"/>
          <w:szCs w:val="24"/>
        </w:rPr>
        <w:t>0.4818)</w:t>
      </w:r>
      <w:r w:rsidRPr="008B14A9">
        <w:rPr>
          <w:rFonts w:ascii="Times New Roman" w:hAnsi="Times New Roman"/>
          <w:color w:val="000000"/>
          <w:sz w:val="24"/>
          <w:szCs w:val="24"/>
        </w:rPr>
        <w:t>. No significant association between BMI and renal parameters was found in obese subjects. Overall, the findings suggest that the study population was not at increased risk of metabolic disorders.</w:t>
      </w:r>
    </w:p>
    <w:p w14:paraId="1BAE1C2C" w14:textId="77777777" w:rsidR="00126880" w:rsidRPr="008B14A9" w:rsidRDefault="00126880" w:rsidP="008B14A9">
      <w:pPr>
        <w:jc w:val="both"/>
        <w:rPr>
          <w:rFonts w:ascii="Times New Roman" w:hAnsi="Times New Roman"/>
          <w:color w:val="000000"/>
          <w:sz w:val="24"/>
          <w:szCs w:val="24"/>
        </w:rPr>
      </w:pPr>
      <w:r w:rsidRPr="008B14A9">
        <w:rPr>
          <w:rFonts w:ascii="Times New Roman" w:eastAsia="Times New Roman" w:hAnsi="Times New Roman"/>
          <w:b/>
          <w:color w:val="000000"/>
          <w:sz w:val="24"/>
          <w:szCs w:val="24"/>
          <w:lang w:eastAsia="en-US"/>
        </w:rPr>
        <w:t>Conclusion</w:t>
      </w:r>
      <w:r w:rsidRPr="008B14A9">
        <w:rPr>
          <w:rFonts w:ascii="Times New Roman" w:eastAsia="Times New Roman" w:hAnsi="Times New Roman"/>
          <w:color w:val="000000"/>
          <w:sz w:val="24"/>
          <w:szCs w:val="24"/>
          <w:lang w:eastAsia="en-US"/>
        </w:rPr>
        <w:t xml:space="preserve">: </w:t>
      </w:r>
      <w:r w:rsidR="00C201C0" w:rsidRPr="008B14A9">
        <w:rPr>
          <w:rFonts w:ascii="Times New Roman" w:eastAsia="Times New Roman" w:hAnsi="Times New Roman"/>
          <w:color w:val="000000"/>
          <w:sz w:val="24"/>
          <w:szCs w:val="24"/>
          <w:lang w:eastAsia="en-US"/>
        </w:rPr>
        <w:t>T</w:t>
      </w:r>
      <w:r w:rsidR="00C201C0" w:rsidRPr="008B14A9">
        <w:rPr>
          <w:rFonts w:ascii="Times New Roman" w:hAnsi="Times New Roman"/>
          <w:sz w:val="24"/>
          <w:szCs w:val="24"/>
        </w:rPr>
        <w:t>here were no significant differences in renal function indices among overweight and obese students, indicating that variations in body weight in these apparently healthy individuals were not associated with impairment of renal excretory function.</w:t>
      </w:r>
    </w:p>
    <w:p w14:paraId="017B7A29" w14:textId="77777777" w:rsidR="008740F0" w:rsidRPr="008B14A9" w:rsidRDefault="008740F0" w:rsidP="008B14A9">
      <w:pPr>
        <w:jc w:val="both"/>
        <w:rPr>
          <w:rFonts w:ascii="Times New Roman" w:hAnsi="Times New Roman"/>
          <w:b/>
          <w:color w:val="000000"/>
          <w:sz w:val="24"/>
          <w:szCs w:val="24"/>
        </w:rPr>
      </w:pPr>
    </w:p>
    <w:p w14:paraId="790A36E1" w14:textId="77777777" w:rsidR="008740F0" w:rsidRPr="008B14A9" w:rsidRDefault="008740F0" w:rsidP="008B14A9">
      <w:pPr>
        <w:jc w:val="both"/>
        <w:rPr>
          <w:rFonts w:ascii="Times New Roman" w:hAnsi="Times New Roman"/>
          <w:b/>
          <w:color w:val="000000"/>
          <w:sz w:val="24"/>
          <w:szCs w:val="24"/>
        </w:rPr>
      </w:pPr>
    </w:p>
    <w:p w14:paraId="17E85A97" w14:textId="77777777" w:rsidR="00A37A07" w:rsidRPr="008B14A9" w:rsidRDefault="00A37A07" w:rsidP="008B14A9">
      <w:pPr>
        <w:jc w:val="both"/>
        <w:rPr>
          <w:rFonts w:ascii="Times New Roman" w:hAnsi="Times New Roman"/>
          <w:b/>
          <w:color w:val="000000"/>
          <w:sz w:val="24"/>
          <w:szCs w:val="24"/>
        </w:rPr>
      </w:pPr>
    </w:p>
    <w:p w14:paraId="47E813AB" w14:textId="77777777" w:rsidR="00CA16B8" w:rsidRPr="008B14A9" w:rsidRDefault="00CA16B8" w:rsidP="008B14A9">
      <w:pPr>
        <w:jc w:val="both"/>
        <w:rPr>
          <w:rFonts w:ascii="Times New Roman" w:hAnsi="Times New Roman"/>
          <w:b/>
          <w:color w:val="000000"/>
          <w:sz w:val="24"/>
          <w:szCs w:val="24"/>
        </w:rPr>
      </w:pPr>
    </w:p>
    <w:p w14:paraId="2D476588" w14:textId="77777777" w:rsidR="00CA16B8" w:rsidRPr="008B14A9" w:rsidRDefault="00CA16B8" w:rsidP="008B14A9">
      <w:pPr>
        <w:jc w:val="both"/>
        <w:rPr>
          <w:rFonts w:ascii="Times New Roman" w:hAnsi="Times New Roman"/>
          <w:b/>
          <w:color w:val="000000"/>
          <w:sz w:val="24"/>
          <w:szCs w:val="24"/>
        </w:rPr>
      </w:pPr>
    </w:p>
    <w:p w14:paraId="270EE727" w14:textId="77777777" w:rsidR="00CA16B8" w:rsidRPr="008B14A9" w:rsidRDefault="00CA16B8" w:rsidP="008B14A9">
      <w:pPr>
        <w:jc w:val="both"/>
        <w:rPr>
          <w:rFonts w:ascii="Times New Roman" w:hAnsi="Times New Roman"/>
          <w:b/>
          <w:color w:val="000000"/>
          <w:sz w:val="24"/>
          <w:szCs w:val="24"/>
        </w:rPr>
      </w:pPr>
    </w:p>
    <w:p w14:paraId="01C6875B" w14:textId="77777777" w:rsidR="008740F0" w:rsidRPr="008B14A9" w:rsidRDefault="008740F0" w:rsidP="008B14A9">
      <w:pPr>
        <w:jc w:val="both"/>
        <w:rPr>
          <w:rFonts w:ascii="Times New Roman" w:hAnsi="Times New Roman"/>
          <w:b/>
          <w:color w:val="000000"/>
          <w:sz w:val="24"/>
          <w:szCs w:val="24"/>
        </w:rPr>
      </w:pPr>
      <w:r w:rsidRPr="008B14A9">
        <w:rPr>
          <w:rFonts w:ascii="Times New Roman" w:hAnsi="Times New Roman"/>
          <w:b/>
          <w:color w:val="000000"/>
          <w:sz w:val="24"/>
          <w:szCs w:val="24"/>
        </w:rPr>
        <w:t>INTRODUCTION</w:t>
      </w:r>
    </w:p>
    <w:p w14:paraId="38436CC6" w14:textId="77777777" w:rsidR="00B71FE0" w:rsidRPr="008B14A9" w:rsidRDefault="008740F0" w:rsidP="008B14A9">
      <w:pPr>
        <w:pStyle w:val="NormalWeb"/>
        <w:jc w:val="both"/>
        <w:rPr>
          <w:color w:val="000000"/>
        </w:rPr>
      </w:pPr>
      <w:r w:rsidRPr="008B14A9">
        <w:rPr>
          <w:color w:val="000000"/>
        </w:rPr>
        <w:t xml:space="preserve">The global rise in overweight and obesity constitutes one of the most significant public health challenges of the 21st century, with increasing prevalence observed not only among </w:t>
      </w:r>
      <w:r w:rsidRPr="008B14A9">
        <w:rPr>
          <w:color w:val="000000"/>
        </w:rPr>
        <w:lastRenderedPageBreak/>
        <w:t>middle-aged populations but also among youn</w:t>
      </w:r>
      <w:r w:rsidR="00F75B73" w:rsidRPr="008B14A9">
        <w:rPr>
          <w:color w:val="000000"/>
        </w:rPr>
        <w:t>g adults</w:t>
      </w:r>
      <w:r w:rsidR="008D3646" w:rsidRPr="008B14A9">
        <w:rPr>
          <w:color w:val="000000"/>
        </w:rPr>
        <w:t xml:space="preserve"> (</w:t>
      </w:r>
      <w:r w:rsidR="00B71FE0" w:rsidRPr="008B14A9">
        <w:rPr>
          <w:color w:val="000000"/>
        </w:rPr>
        <w:t>WHO, 2024</w:t>
      </w:r>
      <w:r w:rsidR="0026712F" w:rsidRPr="008B14A9">
        <w:rPr>
          <w:color w:val="000000"/>
        </w:rPr>
        <w:t>a</w:t>
      </w:r>
      <w:r w:rsidR="00B71FE0" w:rsidRPr="008B14A9">
        <w:rPr>
          <w:color w:val="000000"/>
        </w:rPr>
        <w:t xml:space="preserve">; </w:t>
      </w:r>
      <w:proofErr w:type="spellStart"/>
      <w:r w:rsidR="008D3646" w:rsidRPr="008B14A9">
        <w:rPr>
          <w:color w:val="000000"/>
          <w:shd w:val="clear" w:color="auto" w:fill="FFFFFF"/>
        </w:rPr>
        <w:t>Koliaki</w:t>
      </w:r>
      <w:proofErr w:type="spellEnd"/>
      <w:r w:rsidR="008D3646" w:rsidRPr="008B14A9">
        <w:rPr>
          <w:color w:val="000000"/>
          <w:shd w:val="clear" w:color="auto" w:fill="FFFFFF"/>
        </w:rPr>
        <w:t xml:space="preserve"> </w:t>
      </w:r>
      <w:r w:rsidR="008D3646" w:rsidRPr="008B14A9">
        <w:rPr>
          <w:i/>
          <w:color w:val="000000"/>
          <w:shd w:val="clear" w:color="auto" w:fill="FFFFFF"/>
        </w:rPr>
        <w:t>et al</w:t>
      </w:r>
      <w:r w:rsidR="008D3646" w:rsidRPr="008B14A9">
        <w:rPr>
          <w:color w:val="000000"/>
          <w:shd w:val="clear" w:color="auto" w:fill="FFFFFF"/>
        </w:rPr>
        <w:t>., 2023)</w:t>
      </w:r>
      <w:r w:rsidRPr="008B14A9">
        <w:rPr>
          <w:color w:val="000000"/>
        </w:rPr>
        <w:t>.</w:t>
      </w:r>
      <w:r w:rsidR="00B71FE0" w:rsidRPr="008B14A9">
        <w:rPr>
          <w:color w:val="000000"/>
          <w:shd w:val="clear" w:color="auto" w:fill="FFFFFF"/>
        </w:rPr>
        <w:t xml:space="preserve"> The future trajectory </w:t>
      </w:r>
      <w:r w:rsidR="00B71FE0" w:rsidRPr="008B14A9">
        <w:rPr>
          <w:rStyle w:val="Emphasis"/>
          <w:b/>
          <w:bCs/>
          <w:i w:val="0"/>
          <w:iCs w:val="0"/>
          <w:color w:val="000000"/>
          <w:shd w:val="clear" w:color="auto" w:fill="FFFFFF"/>
        </w:rPr>
        <w:t>is</w:t>
      </w:r>
      <w:r w:rsidR="00B71FE0" w:rsidRPr="008B14A9">
        <w:rPr>
          <w:color w:val="000000"/>
          <w:shd w:val="clear" w:color="auto" w:fill="FFFFFF"/>
        </w:rPr>
        <w:t> equally alarming, if current trends persist, over half of the world's </w:t>
      </w:r>
      <w:r w:rsidR="00B71FE0" w:rsidRPr="008B14A9">
        <w:rPr>
          <w:rStyle w:val="Emphasis"/>
          <w:bCs/>
          <w:i w:val="0"/>
          <w:iCs w:val="0"/>
          <w:color w:val="000000"/>
          <w:shd w:val="clear" w:color="auto" w:fill="FFFFFF"/>
        </w:rPr>
        <w:t>population</w:t>
      </w:r>
      <w:r w:rsidR="00B71FE0" w:rsidRPr="008B14A9">
        <w:rPr>
          <w:color w:val="000000"/>
          <w:shd w:val="clear" w:color="auto" w:fill="FFFFFF"/>
        </w:rPr>
        <w:t> will be </w:t>
      </w:r>
      <w:r w:rsidR="00B71FE0" w:rsidRPr="008B14A9">
        <w:rPr>
          <w:rStyle w:val="Emphasis"/>
          <w:bCs/>
          <w:i w:val="0"/>
          <w:iCs w:val="0"/>
          <w:color w:val="000000"/>
          <w:shd w:val="clear" w:color="auto" w:fill="FFFFFF"/>
        </w:rPr>
        <w:t>overweight</w:t>
      </w:r>
      <w:r w:rsidR="00B71FE0" w:rsidRPr="008B14A9">
        <w:rPr>
          <w:color w:val="000000"/>
          <w:shd w:val="clear" w:color="auto" w:fill="FFFFFF"/>
        </w:rPr>
        <w:t> or </w:t>
      </w:r>
      <w:r w:rsidR="00B71FE0" w:rsidRPr="008B14A9">
        <w:rPr>
          <w:rStyle w:val="Emphasis"/>
          <w:bCs/>
          <w:i w:val="0"/>
          <w:iCs w:val="0"/>
          <w:color w:val="000000"/>
          <w:shd w:val="clear" w:color="auto" w:fill="FFFFFF"/>
        </w:rPr>
        <w:t>obese</w:t>
      </w:r>
      <w:r w:rsidR="00B71FE0" w:rsidRPr="008B14A9">
        <w:rPr>
          <w:rStyle w:val="Emphasis"/>
          <w:b/>
          <w:bCs/>
          <w:i w:val="0"/>
          <w:iCs w:val="0"/>
          <w:color w:val="000000"/>
          <w:shd w:val="clear" w:color="auto" w:fill="FFFFFF"/>
        </w:rPr>
        <w:t xml:space="preserve"> </w:t>
      </w:r>
      <w:r w:rsidR="00B71FE0" w:rsidRPr="008B14A9">
        <w:rPr>
          <w:rStyle w:val="Emphasis"/>
          <w:bCs/>
          <w:i w:val="0"/>
          <w:iCs w:val="0"/>
          <w:color w:val="000000"/>
          <w:shd w:val="clear" w:color="auto" w:fill="FFFFFF"/>
        </w:rPr>
        <w:t>by</w:t>
      </w:r>
      <w:r w:rsidR="00B71FE0" w:rsidRPr="008B14A9">
        <w:rPr>
          <w:color w:val="000000"/>
          <w:shd w:val="clear" w:color="auto" w:fill="FFFFFF"/>
        </w:rPr>
        <w:t> 2035.</w:t>
      </w:r>
      <w:r w:rsidRPr="008B14A9">
        <w:rPr>
          <w:color w:val="000000"/>
        </w:rPr>
        <w:t xml:space="preserve"> </w:t>
      </w:r>
      <w:r w:rsidR="00B71FE0" w:rsidRPr="008B14A9">
        <w:rPr>
          <w:color w:val="000000"/>
        </w:rPr>
        <w:t>The causes of this global rise in obesity are multifactorial and complex</w:t>
      </w:r>
      <w:r w:rsidR="00B71FE0" w:rsidRPr="008B14A9">
        <w:rPr>
          <w:color w:val="000000"/>
          <w:shd w:val="clear" w:color="auto" w:fill="FFFFFF"/>
        </w:rPr>
        <w:t xml:space="preserve"> (Ahmed and Mohammed, 2025</w:t>
      </w:r>
      <w:r w:rsidR="000634DD" w:rsidRPr="008B14A9">
        <w:rPr>
          <w:color w:val="000000"/>
          <w:shd w:val="clear" w:color="auto" w:fill="FFFFFF"/>
        </w:rPr>
        <w:t>a</w:t>
      </w:r>
      <w:r w:rsidR="00B71FE0" w:rsidRPr="008B14A9">
        <w:rPr>
          <w:color w:val="000000"/>
          <w:shd w:val="clear" w:color="auto" w:fill="FFFFFF"/>
        </w:rPr>
        <w:t>)</w:t>
      </w:r>
      <w:r w:rsidR="00B71FE0" w:rsidRPr="008B14A9">
        <w:rPr>
          <w:color w:val="000000"/>
        </w:rPr>
        <w:t>. Fundamentally, obesity develops from a chronic imbalance between </w:t>
      </w:r>
      <w:hyperlink r:id="rId7" w:tooltip="Learn more about energy intake from ScienceDirect's AI-generated Topic Pages" w:history="1">
        <w:r w:rsidR="00B71FE0" w:rsidRPr="008B14A9">
          <w:rPr>
            <w:rStyle w:val="Hyperlink"/>
            <w:color w:val="000000"/>
            <w:u w:val="none"/>
          </w:rPr>
          <w:t>energy intake</w:t>
        </w:r>
      </w:hyperlink>
      <w:r w:rsidR="00B71FE0" w:rsidRPr="008B14A9">
        <w:rPr>
          <w:color w:val="000000"/>
        </w:rPr>
        <w:t xml:space="preserve"> and energy expenditure (Das and Khaled, 2024). </w:t>
      </w:r>
    </w:p>
    <w:p w14:paraId="0DB0C30C" w14:textId="77777777" w:rsidR="001003DD" w:rsidRPr="008B14A9" w:rsidRDefault="0026712F" w:rsidP="008B14A9">
      <w:pPr>
        <w:pStyle w:val="NormalWeb"/>
        <w:jc w:val="both"/>
        <w:rPr>
          <w:color w:val="000000"/>
        </w:rPr>
      </w:pPr>
      <w:r w:rsidRPr="008B14A9">
        <w:rPr>
          <w:color w:val="000000"/>
        </w:rPr>
        <w:t xml:space="preserve">Over the last two decades, CKD has become a prominent cause of death globally. In a recently released report from the World Health Organization (WHO), CKD is now the 9th leading cause of death, rising from 19th in the past, with the number of deaths increasing by an astounding 95% between 2000 and 2021(WHO, 2024b). </w:t>
      </w:r>
      <w:r w:rsidR="008740F0" w:rsidRPr="008B14A9">
        <w:rPr>
          <w:color w:val="000000"/>
        </w:rPr>
        <w:t>Beyond their established roles in the pathogenesis of cardiovascular disease and type 2 diabetes mellitus, excess adiposity has been increasingly implicated in the early initiation and progression of renal dysfunction</w:t>
      </w:r>
      <w:r w:rsidR="008D3646" w:rsidRPr="008B14A9">
        <w:rPr>
          <w:color w:val="000000"/>
          <w:shd w:val="clear" w:color="auto" w:fill="FFFFFF"/>
        </w:rPr>
        <w:t xml:space="preserve"> (Wang </w:t>
      </w:r>
      <w:r w:rsidR="008D3646" w:rsidRPr="008B14A9">
        <w:rPr>
          <w:i/>
          <w:color w:val="000000"/>
          <w:shd w:val="clear" w:color="auto" w:fill="FFFFFF"/>
        </w:rPr>
        <w:t>et al</w:t>
      </w:r>
      <w:r w:rsidR="008D3646" w:rsidRPr="008B14A9">
        <w:rPr>
          <w:color w:val="000000"/>
          <w:shd w:val="clear" w:color="auto" w:fill="FFFFFF"/>
        </w:rPr>
        <w:t>., 2022)</w:t>
      </w:r>
      <w:r w:rsidR="008740F0" w:rsidRPr="008B14A9">
        <w:rPr>
          <w:color w:val="000000"/>
        </w:rPr>
        <w:t xml:space="preserve">. </w:t>
      </w:r>
      <w:r w:rsidR="008D3646" w:rsidRPr="008B14A9">
        <w:rPr>
          <w:color w:val="000000"/>
        </w:rPr>
        <w:t>O</w:t>
      </w:r>
      <w:r w:rsidR="008740F0" w:rsidRPr="008B14A9">
        <w:rPr>
          <w:color w:val="000000"/>
        </w:rPr>
        <w:t>besity-related renal alterations may occur independently of overt metabolic disease, rendering early detection particularly critical</w:t>
      </w:r>
      <w:r w:rsidR="001003DD" w:rsidRPr="008B14A9">
        <w:rPr>
          <w:color w:val="000000"/>
          <w:shd w:val="clear" w:color="auto" w:fill="FFFFFF"/>
        </w:rPr>
        <w:t xml:space="preserve"> (</w:t>
      </w:r>
      <w:proofErr w:type="spellStart"/>
      <w:r w:rsidR="001003DD" w:rsidRPr="008B14A9">
        <w:rPr>
          <w:color w:val="000000"/>
          <w:shd w:val="clear" w:color="auto" w:fill="FFFFFF"/>
        </w:rPr>
        <w:t>Avgoustou</w:t>
      </w:r>
      <w:proofErr w:type="spellEnd"/>
      <w:r w:rsidR="001003DD" w:rsidRPr="008B14A9">
        <w:rPr>
          <w:color w:val="000000"/>
          <w:shd w:val="clear" w:color="auto" w:fill="FFFFFF"/>
        </w:rPr>
        <w:t xml:space="preserve"> </w:t>
      </w:r>
      <w:r w:rsidR="001003DD" w:rsidRPr="008B14A9">
        <w:rPr>
          <w:i/>
          <w:color w:val="000000"/>
          <w:shd w:val="clear" w:color="auto" w:fill="FFFFFF"/>
        </w:rPr>
        <w:t>et al.,</w:t>
      </w:r>
      <w:r w:rsidR="001003DD" w:rsidRPr="008B14A9">
        <w:rPr>
          <w:color w:val="000000"/>
          <w:shd w:val="clear" w:color="auto" w:fill="FFFFFF"/>
        </w:rPr>
        <w:t xml:space="preserve"> 2025)</w:t>
      </w:r>
      <w:r w:rsidR="008740F0" w:rsidRPr="008B14A9">
        <w:rPr>
          <w:color w:val="000000"/>
        </w:rPr>
        <w:t>.</w:t>
      </w:r>
      <w:r w:rsidR="00B71FE0" w:rsidRPr="008B14A9">
        <w:rPr>
          <w:color w:val="000000"/>
        </w:rPr>
        <w:t xml:space="preserve"> </w:t>
      </w:r>
      <w:r w:rsidR="008740F0" w:rsidRPr="008B14A9">
        <w:rPr>
          <w:color w:val="000000"/>
        </w:rPr>
        <w:t xml:space="preserve">Renal physiology is highly sensitive to changes in metabolic and </w:t>
      </w:r>
      <w:proofErr w:type="spellStart"/>
      <w:r w:rsidR="008740F0" w:rsidRPr="008B14A9">
        <w:rPr>
          <w:color w:val="000000"/>
        </w:rPr>
        <w:t>haemodynamic</w:t>
      </w:r>
      <w:proofErr w:type="spellEnd"/>
      <w:r w:rsidR="008740F0" w:rsidRPr="008B14A9">
        <w:rPr>
          <w:color w:val="000000"/>
        </w:rPr>
        <w:t xml:space="preserve"> status</w:t>
      </w:r>
      <w:r w:rsidR="001003DD" w:rsidRPr="008B14A9">
        <w:rPr>
          <w:color w:val="000000"/>
          <w:shd w:val="clear" w:color="auto" w:fill="FFFFFF"/>
        </w:rPr>
        <w:t xml:space="preserve"> (</w:t>
      </w:r>
      <w:proofErr w:type="spellStart"/>
      <w:r w:rsidR="001003DD" w:rsidRPr="008B14A9">
        <w:rPr>
          <w:color w:val="000000"/>
          <w:shd w:val="clear" w:color="auto" w:fill="FFFFFF"/>
        </w:rPr>
        <w:t>Yenanegy</w:t>
      </w:r>
      <w:proofErr w:type="spellEnd"/>
      <w:r w:rsidR="001003DD" w:rsidRPr="008B14A9">
        <w:rPr>
          <w:color w:val="000000"/>
          <w:shd w:val="clear" w:color="auto" w:fill="FFFFFF"/>
        </w:rPr>
        <w:t xml:space="preserve"> </w:t>
      </w:r>
      <w:r w:rsidR="001003DD" w:rsidRPr="008B14A9">
        <w:rPr>
          <w:i/>
          <w:color w:val="000000"/>
          <w:shd w:val="clear" w:color="auto" w:fill="FFFFFF"/>
        </w:rPr>
        <w:t>et al.,</w:t>
      </w:r>
      <w:r w:rsidR="001003DD" w:rsidRPr="008B14A9">
        <w:rPr>
          <w:color w:val="000000"/>
          <w:shd w:val="clear" w:color="auto" w:fill="FFFFFF"/>
        </w:rPr>
        <w:t xml:space="preserve"> 2025)</w:t>
      </w:r>
      <w:r w:rsidR="008740F0" w:rsidRPr="008B14A9">
        <w:rPr>
          <w:color w:val="000000"/>
        </w:rPr>
        <w:t xml:space="preserve">. </w:t>
      </w:r>
    </w:p>
    <w:p w14:paraId="5137690B" w14:textId="77777777" w:rsidR="008740F0" w:rsidRPr="008B14A9" w:rsidRDefault="008740F0" w:rsidP="008B14A9">
      <w:pPr>
        <w:pStyle w:val="NormalWeb"/>
        <w:jc w:val="both"/>
        <w:rPr>
          <w:color w:val="000000"/>
        </w:rPr>
      </w:pPr>
      <w:r w:rsidRPr="008B14A9">
        <w:rPr>
          <w:color w:val="000000"/>
        </w:rPr>
        <w:t>Excess body weight is associated with complex pathophysiological mechanisms that adversely affect renal structure and function, including glomerular hyperfiltration, activation of the renin–angiotensin–aldosterone system, insulin resistance, chronic low-grade inflammation, oxidative stress, and dysregulated adipokine signaling</w:t>
      </w:r>
      <w:r w:rsidR="001003DD" w:rsidRPr="008B14A9">
        <w:rPr>
          <w:rStyle w:val="UnresolvedMention"/>
          <w:color w:val="000000"/>
        </w:rPr>
        <w:t xml:space="preserve"> (</w:t>
      </w:r>
      <w:proofErr w:type="spellStart"/>
      <w:r w:rsidR="00E71EFF" w:rsidRPr="008B14A9">
        <w:rPr>
          <w:color w:val="000000"/>
          <w:shd w:val="clear" w:color="auto" w:fill="FFFFFF"/>
        </w:rPr>
        <w:t>Avgoustou</w:t>
      </w:r>
      <w:proofErr w:type="spellEnd"/>
      <w:r w:rsidR="00E71EFF" w:rsidRPr="008B14A9">
        <w:rPr>
          <w:rStyle w:val="nlmstring-name"/>
          <w:color w:val="000000"/>
        </w:rPr>
        <w:t xml:space="preserve">  </w:t>
      </w:r>
      <w:r w:rsidR="00E71EFF" w:rsidRPr="008B14A9">
        <w:rPr>
          <w:rStyle w:val="nlmstring-name"/>
          <w:i/>
          <w:color w:val="000000"/>
        </w:rPr>
        <w:t>et al.,</w:t>
      </w:r>
      <w:r w:rsidR="00E71EFF" w:rsidRPr="008B14A9">
        <w:rPr>
          <w:rStyle w:val="nlmstring-name"/>
          <w:color w:val="000000"/>
        </w:rPr>
        <w:t xml:space="preserve"> 2025; </w:t>
      </w:r>
      <w:r w:rsidR="001003DD" w:rsidRPr="008B14A9">
        <w:rPr>
          <w:rStyle w:val="nlmstring-name"/>
          <w:color w:val="000000"/>
        </w:rPr>
        <w:t xml:space="preserve">Jiang </w:t>
      </w:r>
      <w:r w:rsidR="001003DD" w:rsidRPr="008B14A9">
        <w:rPr>
          <w:rStyle w:val="nlmstring-name"/>
          <w:i/>
          <w:color w:val="000000"/>
        </w:rPr>
        <w:t>et al.,</w:t>
      </w:r>
      <w:r w:rsidR="001003DD" w:rsidRPr="008B14A9">
        <w:rPr>
          <w:rStyle w:val="nlmstring-name"/>
          <w:color w:val="000000"/>
        </w:rPr>
        <w:t>2023</w:t>
      </w:r>
      <w:r w:rsidR="00E71EFF" w:rsidRPr="008B14A9">
        <w:rPr>
          <w:rStyle w:val="nlmstring-name"/>
          <w:color w:val="000000"/>
        </w:rPr>
        <w:t>;</w:t>
      </w:r>
      <w:r w:rsidR="00E71EFF" w:rsidRPr="008B14A9">
        <w:rPr>
          <w:color w:val="000000"/>
          <w:shd w:val="clear" w:color="auto" w:fill="FFFFFF"/>
        </w:rPr>
        <w:t xml:space="preserve"> Felizardo </w:t>
      </w:r>
      <w:r w:rsidR="00E71EFF" w:rsidRPr="008B14A9">
        <w:rPr>
          <w:i/>
          <w:color w:val="000000"/>
          <w:shd w:val="clear" w:color="auto" w:fill="FFFFFF"/>
        </w:rPr>
        <w:t>et al.,</w:t>
      </w:r>
      <w:r w:rsidR="00E71EFF" w:rsidRPr="008B14A9">
        <w:rPr>
          <w:color w:val="000000"/>
          <w:shd w:val="clear" w:color="auto" w:fill="FFFFFF"/>
        </w:rPr>
        <w:t xml:space="preserve"> 2014</w:t>
      </w:r>
      <w:r w:rsidR="001003DD" w:rsidRPr="008B14A9">
        <w:rPr>
          <w:rStyle w:val="nlmstring-name"/>
          <w:color w:val="000000"/>
        </w:rPr>
        <w:t>)</w:t>
      </w:r>
      <w:r w:rsidRPr="008B14A9">
        <w:rPr>
          <w:color w:val="000000"/>
        </w:rPr>
        <w:t>. These processes contribute to alterations in key renal function indices such as serum creatinine, urea, uric acid, and electrolyte balance, which may precede clinically apparent kidney disease. In the absence of timely identification and intervention, such subclinical changes can progress to chronic kidney disease, even in relatively young individuals.</w:t>
      </w:r>
    </w:p>
    <w:p w14:paraId="55C5A1FD" w14:textId="77777777" w:rsidR="008740F0" w:rsidRPr="008B14A9" w:rsidRDefault="008740F0" w:rsidP="008B14A9">
      <w:pPr>
        <w:pStyle w:val="NormalWeb"/>
        <w:jc w:val="both"/>
        <w:rPr>
          <w:color w:val="000000"/>
        </w:rPr>
      </w:pPr>
      <w:r w:rsidRPr="008B14A9">
        <w:rPr>
          <w:color w:val="000000"/>
        </w:rPr>
        <w:t>University students represent a particularly vulnerable yet understudied population with respect to obesity-related renal risk</w:t>
      </w:r>
      <w:r w:rsidR="00E71EFF" w:rsidRPr="008B14A9">
        <w:rPr>
          <w:color w:val="000000"/>
          <w:shd w:val="clear" w:color="auto" w:fill="FFFFFF"/>
        </w:rPr>
        <w:t xml:space="preserve"> (</w:t>
      </w:r>
      <w:proofErr w:type="spellStart"/>
      <w:r w:rsidR="00E71EFF" w:rsidRPr="008B14A9">
        <w:rPr>
          <w:color w:val="000000"/>
          <w:shd w:val="clear" w:color="auto" w:fill="FFFFFF"/>
        </w:rPr>
        <w:t>Seyam</w:t>
      </w:r>
      <w:proofErr w:type="spellEnd"/>
      <w:r w:rsidR="00E71EFF" w:rsidRPr="008B14A9">
        <w:rPr>
          <w:color w:val="000000"/>
          <w:shd w:val="clear" w:color="auto" w:fill="FFFFFF"/>
        </w:rPr>
        <w:t>, 2025)</w:t>
      </w:r>
      <w:r w:rsidRPr="008B14A9">
        <w:rPr>
          <w:color w:val="000000"/>
        </w:rPr>
        <w:t>. Transitioning into adulthood is often accompanied by significant lifestyle changes, including reduced physical activity, unhealthy dietary patterns, psychosocial str</w:t>
      </w:r>
      <w:r w:rsidR="0010079C" w:rsidRPr="008B14A9">
        <w:rPr>
          <w:color w:val="000000"/>
        </w:rPr>
        <w:t xml:space="preserve">ess, and disrupted sleep cycles. </w:t>
      </w:r>
      <w:r w:rsidRPr="008B14A9">
        <w:rPr>
          <w:color w:val="000000"/>
        </w:rPr>
        <w:t>Despite being perceived as a generally healthy demographic, students may harbor early metabolic and renal alterations that remain undetected due to limited routine screening and low health-seeking behavior.</w:t>
      </w:r>
    </w:p>
    <w:p w14:paraId="19E43C55" w14:textId="77777777" w:rsidR="008740F0" w:rsidRPr="008B14A9" w:rsidRDefault="008740F0" w:rsidP="008B14A9">
      <w:pPr>
        <w:pStyle w:val="NormalWeb"/>
        <w:jc w:val="both"/>
        <w:rPr>
          <w:color w:val="000000"/>
        </w:rPr>
      </w:pPr>
      <w:r w:rsidRPr="008B14A9">
        <w:rPr>
          <w:color w:val="000000"/>
        </w:rPr>
        <w:t>In Nigeria, existing research on the renal consequences of overweight and obesity has predominantly focused on older or clinically diagnosed populations, with limited attention given to young adults in academic settings. This lack of data represents a critical knowledge gap, particularly considering the rising burden of obesity among Nigerian youths and the long-term implications for renal and metabolic health.</w:t>
      </w:r>
    </w:p>
    <w:p w14:paraId="63EB3F0D" w14:textId="77777777" w:rsidR="001166FB" w:rsidRPr="008B14A9" w:rsidRDefault="008740F0" w:rsidP="008B14A9">
      <w:pPr>
        <w:pStyle w:val="NormalWeb"/>
        <w:jc w:val="both"/>
        <w:rPr>
          <w:color w:val="000000"/>
        </w:rPr>
      </w:pPr>
      <w:r w:rsidRPr="008B14A9">
        <w:rPr>
          <w:color w:val="000000"/>
        </w:rPr>
        <w:t xml:space="preserve">Therefore, this study seeks to evaluate renal function indices among overweight and obese students of Joseph Ayo Babalola University, </w:t>
      </w:r>
      <w:proofErr w:type="spellStart"/>
      <w:r w:rsidRPr="008B14A9">
        <w:rPr>
          <w:color w:val="000000"/>
        </w:rPr>
        <w:t>Ikeji-Arakeji</w:t>
      </w:r>
      <w:proofErr w:type="spellEnd"/>
      <w:r w:rsidRPr="008B14A9">
        <w:rPr>
          <w:color w:val="000000"/>
        </w:rPr>
        <w:t xml:space="preserve">, Osun State. By elucidating early renal alterations associated with excess body weight in this population, the study aims to contribute robust baseline evidence that may inform early preventive strategies, targeted </w:t>
      </w:r>
      <w:r w:rsidRPr="008B14A9">
        <w:rPr>
          <w:color w:val="000000"/>
        </w:rPr>
        <w:lastRenderedPageBreak/>
        <w:t>health interventions, and future longitudinal research on obesity-related renal dysfunction in young adults</w:t>
      </w:r>
    </w:p>
    <w:p w14:paraId="52DEBC13" w14:textId="77777777" w:rsidR="001166FB" w:rsidRPr="008B14A9" w:rsidRDefault="001166FB" w:rsidP="008B14A9">
      <w:pPr>
        <w:jc w:val="both"/>
        <w:rPr>
          <w:rFonts w:ascii="Times New Roman" w:hAnsi="Times New Roman"/>
          <w:b/>
          <w:color w:val="000000"/>
          <w:sz w:val="24"/>
          <w:szCs w:val="24"/>
        </w:rPr>
      </w:pPr>
    </w:p>
    <w:p w14:paraId="45E20363" w14:textId="77777777" w:rsidR="00A37A07" w:rsidRPr="008B14A9" w:rsidRDefault="00A37A07" w:rsidP="008B14A9">
      <w:pPr>
        <w:jc w:val="both"/>
        <w:rPr>
          <w:rFonts w:ascii="Times New Roman" w:hAnsi="Times New Roman"/>
          <w:b/>
          <w:color w:val="000000"/>
          <w:sz w:val="24"/>
          <w:szCs w:val="24"/>
        </w:rPr>
      </w:pPr>
    </w:p>
    <w:p w14:paraId="0AA8C8AE" w14:textId="77777777" w:rsidR="0010079C" w:rsidRPr="008B14A9" w:rsidRDefault="0010079C" w:rsidP="008B14A9">
      <w:pPr>
        <w:jc w:val="both"/>
        <w:rPr>
          <w:rFonts w:ascii="Times New Roman" w:hAnsi="Times New Roman"/>
          <w:b/>
          <w:color w:val="000000"/>
          <w:sz w:val="24"/>
          <w:szCs w:val="24"/>
        </w:rPr>
      </w:pPr>
      <w:r w:rsidRPr="008B14A9">
        <w:rPr>
          <w:rFonts w:ascii="Times New Roman" w:hAnsi="Times New Roman"/>
          <w:b/>
          <w:color w:val="000000"/>
          <w:sz w:val="24"/>
          <w:szCs w:val="24"/>
        </w:rPr>
        <w:t>2.0 MATERIAL AND MWTHODS</w:t>
      </w:r>
    </w:p>
    <w:p w14:paraId="08277B47" w14:textId="77777777" w:rsidR="0010079C" w:rsidRPr="008B14A9" w:rsidRDefault="0010079C" w:rsidP="008B14A9">
      <w:pPr>
        <w:jc w:val="both"/>
        <w:rPr>
          <w:rFonts w:ascii="Times New Roman" w:hAnsi="Times New Roman"/>
          <w:b/>
          <w:color w:val="000000"/>
          <w:sz w:val="24"/>
          <w:szCs w:val="24"/>
        </w:rPr>
      </w:pPr>
    </w:p>
    <w:p w14:paraId="6DB111E1" w14:textId="77777777" w:rsidR="006F2521" w:rsidRPr="008B14A9" w:rsidRDefault="006F2521" w:rsidP="008B14A9">
      <w:pPr>
        <w:jc w:val="both"/>
        <w:rPr>
          <w:rStyle w:val="Strong"/>
          <w:rFonts w:ascii="Times New Roman" w:hAnsi="Times New Roman"/>
          <w:color w:val="000000"/>
          <w:sz w:val="24"/>
          <w:szCs w:val="24"/>
        </w:rPr>
      </w:pPr>
      <w:r w:rsidRPr="008B14A9">
        <w:rPr>
          <w:rStyle w:val="Strong"/>
          <w:rFonts w:ascii="Times New Roman" w:hAnsi="Times New Roman"/>
          <w:color w:val="000000"/>
          <w:sz w:val="24"/>
          <w:szCs w:val="24"/>
        </w:rPr>
        <w:t>2.1   Study Area</w:t>
      </w:r>
    </w:p>
    <w:p w14:paraId="3D07E2B1" w14:textId="77777777" w:rsidR="006F2521" w:rsidRPr="008B14A9" w:rsidRDefault="006F2521" w:rsidP="008B14A9">
      <w:pPr>
        <w:jc w:val="both"/>
        <w:rPr>
          <w:rStyle w:val="Strong"/>
          <w:rFonts w:ascii="Times New Roman" w:hAnsi="Times New Roman"/>
          <w:b w:val="0"/>
          <w:color w:val="000000"/>
          <w:sz w:val="24"/>
          <w:szCs w:val="24"/>
        </w:rPr>
      </w:pPr>
      <w:r w:rsidRPr="008B14A9">
        <w:rPr>
          <w:rStyle w:val="Strong"/>
          <w:rFonts w:ascii="Times New Roman" w:hAnsi="Times New Roman"/>
          <w:b w:val="0"/>
          <w:color w:val="000000"/>
          <w:sz w:val="24"/>
          <w:szCs w:val="24"/>
        </w:rPr>
        <w:t xml:space="preserve">The study was conducted within Joseph Ayo Babalola University (JABU) Located in </w:t>
      </w:r>
      <w:proofErr w:type="spellStart"/>
      <w:r w:rsidRPr="008B14A9">
        <w:rPr>
          <w:rFonts w:ascii="Times New Roman" w:hAnsi="Times New Roman"/>
          <w:bCs/>
          <w:color w:val="000000"/>
          <w:sz w:val="24"/>
          <w:szCs w:val="24"/>
        </w:rPr>
        <w:t>Ikeji</w:t>
      </w:r>
      <w:proofErr w:type="spellEnd"/>
      <w:r w:rsidRPr="008B14A9">
        <w:rPr>
          <w:rFonts w:ascii="Times New Roman" w:hAnsi="Times New Roman"/>
          <w:bCs/>
          <w:color w:val="000000"/>
          <w:sz w:val="24"/>
          <w:szCs w:val="24"/>
        </w:rPr>
        <w:t xml:space="preserve"> -</w:t>
      </w:r>
      <w:proofErr w:type="spellStart"/>
      <w:r w:rsidRPr="008B14A9">
        <w:rPr>
          <w:rFonts w:ascii="Times New Roman" w:hAnsi="Times New Roman"/>
          <w:bCs/>
          <w:color w:val="000000"/>
          <w:sz w:val="24"/>
          <w:szCs w:val="24"/>
        </w:rPr>
        <w:t>Arakeji</w:t>
      </w:r>
      <w:proofErr w:type="spellEnd"/>
      <w:r w:rsidRPr="008B14A9">
        <w:rPr>
          <w:rFonts w:ascii="Times New Roman" w:hAnsi="Times New Roman"/>
          <w:bCs/>
          <w:color w:val="000000"/>
          <w:sz w:val="24"/>
          <w:szCs w:val="24"/>
        </w:rPr>
        <w:t>, Osun State, Nigeria.</w:t>
      </w:r>
      <w:r w:rsidRPr="008B14A9">
        <w:rPr>
          <w:rStyle w:val="Strong"/>
          <w:rFonts w:ascii="Times New Roman" w:hAnsi="Times New Roman"/>
          <w:b w:val="0"/>
          <w:color w:val="000000"/>
          <w:sz w:val="24"/>
          <w:szCs w:val="24"/>
        </w:rPr>
        <w:t xml:space="preserve"> </w:t>
      </w:r>
      <w:r w:rsidR="00F30233" w:rsidRPr="008B14A9">
        <w:rPr>
          <w:rStyle w:val="Strong"/>
          <w:rFonts w:ascii="Times New Roman" w:hAnsi="Times New Roman"/>
          <w:b w:val="0"/>
          <w:color w:val="000000"/>
          <w:sz w:val="24"/>
          <w:szCs w:val="24"/>
        </w:rPr>
        <w:t>Department</w:t>
      </w:r>
      <w:r w:rsidRPr="008B14A9">
        <w:rPr>
          <w:rStyle w:val="Strong"/>
          <w:rFonts w:ascii="Times New Roman" w:hAnsi="Times New Roman"/>
          <w:b w:val="0"/>
          <w:color w:val="000000"/>
          <w:sz w:val="24"/>
          <w:szCs w:val="24"/>
        </w:rPr>
        <w:t xml:space="preserve"> of Medical Laboratory Sciences and the department of nursing science served as the primary setting for this study.</w:t>
      </w:r>
      <w:r w:rsidR="00B177C8" w:rsidRPr="008B14A9">
        <w:rPr>
          <w:rStyle w:val="Strong"/>
          <w:rFonts w:ascii="Times New Roman" w:hAnsi="Times New Roman"/>
          <w:b w:val="0"/>
          <w:color w:val="000000"/>
          <w:sz w:val="24"/>
          <w:szCs w:val="24"/>
        </w:rPr>
        <w:t xml:space="preserve"> The study was conducted in 2025.</w:t>
      </w:r>
      <w:r w:rsidRPr="008B14A9">
        <w:rPr>
          <w:rStyle w:val="Strong"/>
          <w:rFonts w:ascii="Times New Roman" w:hAnsi="Times New Roman"/>
          <w:b w:val="0"/>
          <w:color w:val="000000"/>
          <w:sz w:val="24"/>
          <w:szCs w:val="24"/>
        </w:rPr>
        <w:t xml:space="preserve"> </w:t>
      </w:r>
    </w:p>
    <w:p w14:paraId="7290872D" w14:textId="77777777" w:rsidR="00F30233" w:rsidRPr="008B14A9" w:rsidRDefault="00F30233" w:rsidP="008B14A9">
      <w:pPr>
        <w:jc w:val="both"/>
        <w:rPr>
          <w:rStyle w:val="Strong"/>
          <w:rFonts w:ascii="Times New Roman" w:hAnsi="Times New Roman"/>
          <w:b w:val="0"/>
          <w:color w:val="000000"/>
          <w:sz w:val="24"/>
          <w:szCs w:val="24"/>
        </w:rPr>
      </w:pPr>
    </w:p>
    <w:p w14:paraId="2D9EB240" w14:textId="77777777" w:rsidR="006F2521" w:rsidRPr="008B14A9" w:rsidRDefault="006F2521" w:rsidP="008B14A9">
      <w:pPr>
        <w:jc w:val="both"/>
        <w:rPr>
          <w:rStyle w:val="Strong"/>
          <w:rFonts w:ascii="Times New Roman" w:hAnsi="Times New Roman"/>
          <w:color w:val="000000"/>
          <w:sz w:val="24"/>
          <w:szCs w:val="24"/>
        </w:rPr>
      </w:pPr>
      <w:r w:rsidRPr="008B14A9">
        <w:rPr>
          <w:rStyle w:val="Strong"/>
          <w:rFonts w:ascii="Times New Roman" w:hAnsi="Times New Roman"/>
          <w:color w:val="000000"/>
          <w:sz w:val="24"/>
          <w:szCs w:val="24"/>
        </w:rPr>
        <w:t>2.2   Study Design</w:t>
      </w:r>
    </w:p>
    <w:p w14:paraId="3C29001E" w14:textId="77777777" w:rsidR="006F2521" w:rsidRPr="008B14A9" w:rsidRDefault="006F2521" w:rsidP="008B14A9">
      <w:pPr>
        <w:jc w:val="both"/>
        <w:rPr>
          <w:rStyle w:val="Strong"/>
          <w:rFonts w:ascii="Times New Roman" w:hAnsi="Times New Roman"/>
          <w:color w:val="000000"/>
          <w:sz w:val="24"/>
          <w:szCs w:val="24"/>
        </w:rPr>
      </w:pPr>
      <w:r w:rsidRPr="008B14A9">
        <w:rPr>
          <w:rStyle w:val="Strong"/>
          <w:rFonts w:ascii="Times New Roman" w:hAnsi="Times New Roman"/>
          <w:b w:val="0"/>
          <w:color w:val="000000"/>
          <w:sz w:val="24"/>
          <w:szCs w:val="24"/>
        </w:rPr>
        <w:t xml:space="preserve">This was a cross-sectional study involving 92 Joseph Ayo Babalola University Students. Data was collected through anthropometric </w:t>
      </w:r>
      <w:r w:rsidR="00F30233" w:rsidRPr="008B14A9">
        <w:rPr>
          <w:rFonts w:ascii="Times New Roman" w:hAnsi="Times New Roman"/>
          <w:color w:val="000000"/>
          <w:sz w:val="24"/>
          <w:szCs w:val="24"/>
        </w:rPr>
        <w:t>measurements were obtained to calculate body mass index (BMI), which was used to categorize participants into four groups: underweight (&lt;18.5 kg/m²), normal weight (18.5–24.9 kg/m²), overweight (25–29.9 kg/m²), and obese (≥30.0 kg/m²). Of the 92 participants analyzed, 25 were underweight, 35 were normal weight, 23 were overweight, and 9 were obese. Blood samples were subsequently collected from all participants for the assessment of renal function parameters</w:t>
      </w:r>
      <w:r w:rsidR="00582D7B" w:rsidRPr="008B14A9">
        <w:rPr>
          <w:rFonts w:ascii="Times New Roman" w:hAnsi="Times New Roman"/>
          <w:color w:val="000000"/>
          <w:sz w:val="24"/>
          <w:szCs w:val="24"/>
        </w:rPr>
        <w:t>, glucose and uric acid.</w:t>
      </w:r>
    </w:p>
    <w:p w14:paraId="0BF64197" w14:textId="77777777" w:rsidR="00F30233" w:rsidRPr="008B14A9" w:rsidRDefault="00F30233" w:rsidP="008B14A9">
      <w:pPr>
        <w:jc w:val="both"/>
        <w:rPr>
          <w:rStyle w:val="Strong"/>
          <w:rFonts w:ascii="Times New Roman" w:hAnsi="Times New Roman"/>
          <w:color w:val="000000"/>
          <w:sz w:val="24"/>
          <w:szCs w:val="24"/>
        </w:rPr>
      </w:pPr>
    </w:p>
    <w:p w14:paraId="013EE44C" w14:textId="77777777" w:rsidR="006F2521" w:rsidRPr="008B14A9" w:rsidRDefault="006F2521" w:rsidP="008B14A9">
      <w:pPr>
        <w:jc w:val="both"/>
        <w:rPr>
          <w:rStyle w:val="Strong"/>
          <w:rFonts w:ascii="Times New Roman" w:hAnsi="Times New Roman"/>
          <w:color w:val="000000"/>
          <w:sz w:val="24"/>
          <w:szCs w:val="24"/>
        </w:rPr>
      </w:pPr>
      <w:r w:rsidRPr="008B14A9">
        <w:rPr>
          <w:rStyle w:val="Strong"/>
          <w:rFonts w:ascii="Times New Roman" w:hAnsi="Times New Roman"/>
          <w:color w:val="000000"/>
          <w:sz w:val="24"/>
          <w:szCs w:val="24"/>
        </w:rPr>
        <w:t>2.3 Inclusion Criteria</w:t>
      </w:r>
    </w:p>
    <w:p w14:paraId="64C8F20D" w14:textId="77777777" w:rsidR="00582D7B" w:rsidRPr="008B14A9" w:rsidRDefault="008B14A9" w:rsidP="008B14A9">
      <w:pPr>
        <w:jc w:val="both"/>
        <w:rPr>
          <w:rFonts w:ascii="Times New Roman" w:hAnsi="Times New Roman"/>
          <w:color w:val="000000"/>
          <w:sz w:val="24"/>
          <w:szCs w:val="24"/>
        </w:rPr>
      </w:pPr>
      <w:r w:rsidRPr="008B14A9">
        <w:rPr>
          <w:rFonts w:ascii="Times New Roman" w:hAnsi="Times New Roman"/>
          <w:color w:val="000000"/>
          <w:sz w:val="24"/>
          <w:szCs w:val="24"/>
        </w:rPr>
        <w:t>Participants included healthy students of Joseph Ayo Babalola University between the age of 14-25, provided with written informed consent to participate in the study.</w:t>
      </w:r>
    </w:p>
    <w:p w14:paraId="0BFAD0A4" w14:textId="77777777" w:rsidR="001166FB" w:rsidRPr="008B14A9" w:rsidRDefault="001166FB" w:rsidP="008B14A9">
      <w:pPr>
        <w:pStyle w:val="Heading3"/>
        <w:jc w:val="both"/>
        <w:rPr>
          <w:color w:val="000000"/>
          <w:sz w:val="24"/>
          <w:szCs w:val="24"/>
        </w:rPr>
      </w:pPr>
      <w:r w:rsidRPr="008B14A9">
        <w:rPr>
          <w:color w:val="000000"/>
          <w:sz w:val="24"/>
          <w:szCs w:val="24"/>
        </w:rPr>
        <w:t>2.4 Exclusion Criteria</w:t>
      </w:r>
    </w:p>
    <w:p w14:paraId="3022E272" w14:textId="77777777" w:rsidR="00582D7B" w:rsidRPr="008B14A9" w:rsidRDefault="001166FB" w:rsidP="008B14A9">
      <w:pPr>
        <w:pStyle w:val="NormalWeb"/>
        <w:jc w:val="both"/>
        <w:rPr>
          <w:color w:val="000000"/>
        </w:rPr>
      </w:pPr>
      <w:r w:rsidRPr="008B14A9">
        <w:rPr>
          <w:color w:val="000000"/>
        </w:rPr>
        <w:t>Participants were excluded if they were younger than 14 years or older than 25 years, had a history of chronic diseases such as liver or renal disorders, or were currently receiving antihypertensive or antidiabetic medications.</w:t>
      </w:r>
    </w:p>
    <w:p w14:paraId="4555F21A" w14:textId="77777777" w:rsidR="001166FB" w:rsidRPr="008B14A9" w:rsidRDefault="001166FB" w:rsidP="008B14A9">
      <w:pPr>
        <w:jc w:val="both"/>
        <w:rPr>
          <w:rFonts w:ascii="Times New Roman" w:hAnsi="Times New Roman"/>
          <w:b/>
          <w:color w:val="000000"/>
          <w:sz w:val="24"/>
          <w:szCs w:val="24"/>
        </w:rPr>
      </w:pPr>
      <w:r w:rsidRPr="008B14A9">
        <w:rPr>
          <w:rFonts w:ascii="Times New Roman" w:hAnsi="Times New Roman"/>
          <w:b/>
          <w:color w:val="000000"/>
          <w:sz w:val="24"/>
          <w:szCs w:val="24"/>
        </w:rPr>
        <w:t>2.5 Sample Collection</w:t>
      </w:r>
    </w:p>
    <w:p w14:paraId="0D359C40" w14:textId="77777777" w:rsidR="00FC6F38" w:rsidRPr="00EB5A35" w:rsidRDefault="00EB5A35" w:rsidP="008B14A9">
      <w:pPr>
        <w:jc w:val="both"/>
        <w:rPr>
          <w:rFonts w:ascii="Times New Roman" w:hAnsi="Times New Roman"/>
          <w:sz w:val="24"/>
          <w:szCs w:val="24"/>
        </w:rPr>
      </w:pPr>
      <w:r>
        <w:rPr>
          <w:rFonts w:ascii="Times New Roman" w:hAnsi="Times New Roman"/>
          <w:sz w:val="24"/>
          <w:szCs w:val="24"/>
        </w:rPr>
        <w:t>Venous blood samples were collected from each participant by trained Medical laboratory scientist from the department of medical laboratory sciences, Joseph Ayo Bab</w:t>
      </w:r>
      <w:r w:rsidR="00A3768B">
        <w:rPr>
          <w:rFonts w:ascii="Times New Roman" w:hAnsi="Times New Roman"/>
          <w:sz w:val="24"/>
          <w:szCs w:val="24"/>
        </w:rPr>
        <w:t>al</w:t>
      </w:r>
      <w:r>
        <w:rPr>
          <w:rFonts w:ascii="Times New Roman" w:hAnsi="Times New Roman"/>
          <w:sz w:val="24"/>
          <w:szCs w:val="24"/>
        </w:rPr>
        <w:t>ola University. The antecubital fossa was cleaned with 70% alcohol and allowed to air dry. Using a sterile disposable syringe and needle, approximately 5ml of venous blood was drawn and dispensed into appropriate labelled tubes. The samples were transported to the laboratory immediately after collection and centrifuged at 3500rpm for 5minutes. All analyses were performed promptly or stored at appropriate temperature until analyses.</w:t>
      </w:r>
    </w:p>
    <w:p w14:paraId="5CB7FDB1" w14:textId="77777777" w:rsidR="00EB5A35" w:rsidRDefault="00EB5A35" w:rsidP="008B14A9">
      <w:pPr>
        <w:jc w:val="both"/>
        <w:rPr>
          <w:rFonts w:ascii="Times New Roman" w:hAnsi="Times New Roman"/>
          <w:b/>
          <w:color w:val="000000"/>
          <w:sz w:val="24"/>
          <w:szCs w:val="24"/>
        </w:rPr>
      </w:pPr>
    </w:p>
    <w:p w14:paraId="198C6338" w14:textId="77777777" w:rsidR="001166FB" w:rsidRPr="008B14A9" w:rsidRDefault="001166FB" w:rsidP="008B14A9">
      <w:pPr>
        <w:jc w:val="both"/>
        <w:rPr>
          <w:rFonts w:ascii="Times New Roman" w:hAnsi="Times New Roman"/>
          <w:b/>
          <w:color w:val="000000"/>
          <w:sz w:val="24"/>
          <w:szCs w:val="24"/>
        </w:rPr>
      </w:pPr>
      <w:r w:rsidRPr="008B14A9">
        <w:rPr>
          <w:rFonts w:ascii="Times New Roman" w:hAnsi="Times New Roman"/>
          <w:b/>
          <w:color w:val="000000"/>
          <w:sz w:val="24"/>
          <w:szCs w:val="24"/>
        </w:rPr>
        <w:t>2.6 Laboratory Investigations</w:t>
      </w:r>
    </w:p>
    <w:p w14:paraId="39C70EBF" w14:textId="77777777" w:rsidR="00A0423A" w:rsidRPr="008B14A9" w:rsidRDefault="00A0423A" w:rsidP="008B14A9">
      <w:pPr>
        <w:jc w:val="both"/>
        <w:rPr>
          <w:rStyle w:val="Strong"/>
          <w:rFonts w:ascii="Times New Roman" w:hAnsi="Times New Roman"/>
          <w:b w:val="0"/>
          <w:color w:val="000000"/>
          <w:sz w:val="24"/>
          <w:szCs w:val="24"/>
        </w:rPr>
      </w:pPr>
      <w:r w:rsidRPr="008B14A9">
        <w:rPr>
          <w:rStyle w:val="Strong"/>
          <w:rFonts w:ascii="Times New Roman" w:hAnsi="Times New Roman"/>
          <w:color w:val="000000"/>
          <w:sz w:val="24"/>
          <w:szCs w:val="24"/>
          <w:u w:val="single"/>
        </w:rPr>
        <w:t>2.6.1 Electrolytes (Potassium, Sodium, Bicarbonate, Chloride) Estimation</w:t>
      </w:r>
      <w:r w:rsidRPr="008B14A9">
        <w:rPr>
          <w:rStyle w:val="Strong"/>
          <w:rFonts w:ascii="Times New Roman" w:hAnsi="Times New Roman"/>
          <w:b w:val="0"/>
          <w:color w:val="000000"/>
          <w:sz w:val="24"/>
          <w:szCs w:val="24"/>
        </w:rPr>
        <w:t>.</w:t>
      </w:r>
    </w:p>
    <w:p w14:paraId="248D8018" w14:textId="77777777" w:rsidR="00A0423A" w:rsidRPr="008B14A9" w:rsidRDefault="00A0423A" w:rsidP="008B14A9">
      <w:pPr>
        <w:jc w:val="both"/>
        <w:rPr>
          <w:rStyle w:val="Strong"/>
          <w:rFonts w:ascii="Times New Roman" w:hAnsi="Times New Roman"/>
          <w:b w:val="0"/>
          <w:color w:val="000000"/>
          <w:sz w:val="24"/>
          <w:szCs w:val="24"/>
        </w:rPr>
      </w:pPr>
      <w:r w:rsidRPr="008B14A9">
        <w:rPr>
          <w:rStyle w:val="Strong"/>
          <w:rFonts w:ascii="Times New Roman" w:hAnsi="Times New Roman"/>
          <w:b w:val="0"/>
          <w:color w:val="000000"/>
          <w:sz w:val="24"/>
          <w:szCs w:val="24"/>
        </w:rPr>
        <w:t xml:space="preserve">The plasma sample was loaded into the </w:t>
      </w:r>
      <w:r w:rsidR="0044655D" w:rsidRPr="008B14A9">
        <w:rPr>
          <w:rStyle w:val="Strong"/>
          <w:rFonts w:ascii="Times New Roman" w:hAnsi="Times New Roman"/>
          <w:b w:val="0"/>
          <w:color w:val="000000"/>
          <w:sz w:val="24"/>
          <w:szCs w:val="24"/>
        </w:rPr>
        <w:t xml:space="preserve">ion selective electrode </w:t>
      </w:r>
      <w:r w:rsidRPr="008B14A9">
        <w:rPr>
          <w:rStyle w:val="Strong"/>
          <w:rFonts w:ascii="Times New Roman" w:hAnsi="Times New Roman"/>
          <w:b w:val="0"/>
          <w:color w:val="000000"/>
          <w:sz w:val="24"/>
          <w:szCs w:val="24"/>
        </w:rPr>
        <w:t xml:space="preserve">analyzer which was aspirated in small volume and direct into the appropriate electrode. The electrode membrane selectively interacts with the target </w:t>
      </w:r>
      <w:r w:rsidR="0044655D" w:rsidRPr="008B14A9">
        <w:rPr>
          <w:rStyle w:val="Strong"/>
          <w:rFonts w:ascii="Times New Roman" w:hAnsi="Times New Roman"/>
          <w:b w:val="0"/>
          <w:color w:val="000000"/>
          <w:sz w:val="24"/>
          <w:szCs w:val="24"/>
        </w:rPr>
        <w:t>ions;</w:t>
      </w:r>
      <w:r w:rsidRPr="008B14A9">
        <w:rPr>
          <w:rStyle w:val="Strong"/>
          <w:rFonts w:ascii="Times New Roman" w:hAnsi="Times New Roman"/>
          <w:b w:val="0"/>
          <w:color w:val="000000"/>
          <w:sz w:val="24"/>
          <w:szCs w:val="24"/>
        </w:rPr>
        <w:t xml:space="preserve"> the generated potential is converted </w:t>
      </w:r>
      <w:r w:rsidRPr="008B14A9">
        <w:rPr>
          <w:rStyle w:val="Strong"/>
          <w:rFonts w:ascii="Times New Roman" w:hAnsi="Times New Roman"/>
          <w:b w:val="0"/>
          <w:color w:val="000000"/>
          <w:sz w:val="24"/>
          <w:szCs w:val="24"/>
        </w:rPr>
        <w:lastRenderedPageBreak/>
        <w:t>into a concentration via the galvanometer. Each electrolyte concentrat</w:t>
      </w:r>
      <w:r w:rsidR="00077C1B" w:rsidRPr="008B14A9">
        <w:rPr>
          <w:rStyle w:val="Strong"/>
          <w:rFonts w:ascii="Times New Roman" w:hAnsi="Times New Roman"/>
          <w:b w:val="0"/>
          <w:color w:val="000000"/>
          <w:sz w:val="24"/>
          <w:szCs w:val="24"/>
        </w:rPr>
        <w:t>ion was displayed and recorded.</w:t>
      </w:r>
      <w:r w:rsidR="00BE2EEB" w:rsidRPr="008B14A9">
        <w:rPr>
          <w:rStyle w:val="Strong"/>
          <w:rFonts w:ascii="Times New Roman" w:hAnsi="Times New Roman"/>
          <w:b w:val="0"/>
          <w:color w:val="000000"/>
          <w:sz w:val="24"/>
          <w:szCs w:val="24"/>
        </w:rPr>
        <w:t xml:space="preserve"> The measured parameters were interpreted using adult reference range. Normal reference range were defined as follows; sodium (135-145mmol/L), potassium (3.5-5.0 mmol/L), chloride (98-106 mmol/L), </w:t>
      </w:r>
      <w:r w:rsidR="00CB712D" w:rsidRPr="008B14A9">
        <w:rPr>
          <w:rStyle w:val="Strong"/>
          <w:rFonts w:ascii="Times New Roman" w:hAnsi="Times New Roman"/>
          <w:b w:val="0"/>
          <w:color w:val="000000"/>
          <w:sz w:val="24"/>
          <w:szCs w:val="24"/>
        </w:rPr>
        <w:t>and bicarbonate (22-28mmol/L)</w:t>
      </w:r>
      <w:r w:rsidR="00C32A88" w:rsidRPr="008B14A9">
        <w:rPr>
          <w:rStyle w:val="Strong"/>
          <w:rFonts w:ascii="Times New Roman" w:hAnsi="Times New Roman"/>
          <w:b w:val="0"/>
          <w:color w:val="000000"/>
          <w:sz w:val="24"/>
          <w:szCs w:val="24"/>
        </w:rPr>
        <w:t>.</w:t>
      </w:r>
    </w:p>
    <w:p w14:paraId="6377CFDD" w14:textId="77777777" w:rsidR="0044655D" w:rsidRPr="008B14A9" w:rsidRDefault="0044655D" w:rsidP="008B14A9">
      <w:pPr>
        <w:pStyle w:val="Heading1"/>
        <w:jc w:val="both"/>
        <w:rPr>
          <w:rStyle w:val="Strong"/>
          <w:rFonts w:ascii="Times New Roman" w:hAnsi="Times New Roman"/>
          <w:b/>
          <w:color w:val="000000"/>
          <w:sz w:val="24"/>
          <w:szCs w:val="24"/>
          <w:u w:val="single"/>
        </w:rPr>
      </w:pPr>
      <w:r w:rsidRPr="008B14A9">
        <w:rPr>
          <w:rStyle w:val="Strong"/>
          <w:rFonts w:ascii="Times New Roman" w:hAnsi="Times New Roman"/>
          <w:b/>
          <w:bCs/>
          <w:color w:val="000000"/>
          <w:kern w:val="0"/>
          <w:sz w:val="24"/>
          <w:szCs w:val="24"/>
          <w:u w:val="single"/>
        </w:rPr>
        <w:t xml:space="preserve">2.6.2 </w:t>
      </w:r>
      <w:r w:rsidRPr="008B14A9">
        <w:rPr>
          <w:rStyle w:val="Strong"/>
          <w:rFonts w:ascii="Times New Roman" w:hAnsi="Times New Roman"/>
          <w:b/>
          <w:color w:val="000000"/>
          <w:sz w:val="24"/>
          <w:szCs w:val="24"/>
          <w:u w:val="single"/>
        </w:rPr>
        <w:t>Urea Estimation</w:t>
      </w:r>
    </w:p>
    <w:p w14:paraId="066E4581" w14:textId="77777777" w:rsidR="0044655D" w:rsidRPr="008B14A9" w:rsidRDefault="0044655D" w:rsidP="008B14A9">
      <w:pPr>
        <w:jc w:val="both"/>
        <w:rPr>
          <w:rStyle w:val="Strong"/>
          <w:rFonts w:ascii="Times New Roman" w:hAnsi="Times New Roman"/>
          <w:b w:val="0"/>
          <w:color w:val="000000"/>
          <w:sz w:val="24"/>
          <w:szCs w:val="24"/>
        </w:rPr>
      </w:pPr>
      <w:r w:rsidRPr="008B14A9">
        <w:rPr>
          <w:rStyle w:val="Strong"/>
          <w:rFonts w:ascii="Times New Roman" w:hAnsi="Times New Roman"/>
          <w:b w:val="0"/>
          <w:color w:val="000000"/>
          <w:sz w:val="24"/>
          <w:szCs w:val="24"/>
        </w:rPr>
        <w:t>Urea was determined by Berthelot’s method</w:t>
      </w:r>
      <w:r w:rsidR="00D51E69" w:rsidRPr="008B14A9">
        <w:rPr>
          <w:rFonts w:ascii="Times New Roman" w:hAnsi="Times New Roman"/>
          <w:sz w:val="24"/>
          <w:szCs w:val="24"/>
        </w:rPr>
        <w:t xml:space="preserve"> as described by </w:t>
      </w:r>
      <w:proofErr w:type="spellStart"/>
      <w:r w:rsidR="00D51E69" w:rsidRPr="008B14A9">
        <w:rPr>
          <w:rFonts w:ascii="Times New Roman" w:hAnsi="Times New Roman"/>
          <w:sz w:val="24"/>
          <w:szCs w:val="24"/>
        </w:rPr>
        <w:t>Weatherburn</w:t>
      </w:r>
      <w:proofErr w:type="spellEnd"/>
      <w:r w:rsidR="00D51E69" w:rsidRPr="008B14A9">
        <w:rPr>
          <w:rFonts w:ascii="Times New Roman" w:hAnsi="Times New Roman"/>
          <w:sz w:val="24"/>
          <w:szCs w:val="24"/>
        </w:rPr>
        <w:t xml:space="preserve"> (1967).</w:t>
      </w:r>
      <w:r w:rsidRPr="008B14A9">
        <w:rPr>
          <w:rStyle w:val="Strong"/>
          <w:rFonts w:ascii="Times New Roman" w:hAnsi="Times New Roman"/>
          <w:b w:val="0"/>
          <w:color w:val="000000"/>
          <w:sz w:val="24"/>
          <w:szCs w:val="24"/>
        </w:rPr>
        <w:t xml:space="preserve"> 10 microliter of sample, standard, and distilled water was pipette into test tube, then 1000 microliter of urea reagent 1 was added into the test tubes and 100 microliter of reagent 2 was added also into the test tubes, it was mixed and incubated for 5minute at 37</w:t>
      </w:r>
      <w:r w:rsidRPr="008B14A9">
        <w:rPr>
          <w:rStyle w:val="Strong"/>
          <w:rFonts w:ascii="Times New Roman" w:hAnsi="Times New Roman"/>
          <w:b w:val="0"/>
          <w:color w:val="000000"/>
          <w:sz w:val="24"/>
          <w:szCs w:val="24"/>
          <w:vertAlign w:val="superscript"/>
        </w:rPr>
        <w:t>o</w:t>
      </w:r>
      <w:r w:rsidRPr="008B14A9">
        <w:rPr>
          <w:rStyle w:val="Strong"/>
          <w:rFonts w:ascii="Times New Roman" w:hAnsi="Times New Roman"/>
          <w:b w:val="0"/>
          <w:color w:val="000000"/>
          <w:sz w:val="24"/>
          <w:szCs w:val="24"/>
        </w:rPr>
        <w:t>C. 1000 microliter of reagent 3 was added into the test tubes. It was well mixed and incubated for 5minutes at 37</w:t>
      </w:r>
      <w:r w:rsidRPr="008B14A9">
        <w:rPr>
          <w:rStyle w:val="Strong"/>
          <w:rFonts w:ascii="Times New Roman" w:hAnsi="Times New Roman"/>
          <w:b w:val="0"/>
          <w:color w:val="000000"/>
          <w:sz w:val="24"/>
          <w:szCs w:val="24"/>
          <w:vertAlign w:val="superscript"/>
        </w:rPr>
        <w:t>o</w:t>
      </w:r>
      <w:r w:rsidRPr="008B14A9">
        <w:rPr>
          <w:rStyle w:val="Strong"/>
          <w:rFonts w:ascii="Times New Roman" w:hAnsi="Times New Roman"/>
          <w:b w:val="0"/>
          <w:color w:val="000000"/>
          <w:sz w:val="24"/>
          <w:szCs w:val="24"/>
        </w:rPr>
        <w:t>C. The absorbance of the sample was measured against reagent blank at 578nm wavelength.</w:t>
      </w:r>
      <w:r w:rsidR="00C32A88" w:rsidRPr="008B14A9">
        <w:rPr>
          <w:rStyle w:val="Strong"/>
          <w:rFonts w:ascii="Times New Roman" w:hAnsi="Times New Roman"/>
          <w:b w:val="0"/>
          <w:color w:val="000000"/>
          <w:sz w:val="24"/>
          <w:szCs w:val="24"/>
        </w:rPr>
        <w:t xml:space="preserve"> Serum urea concentration was interpreted using a reference range 2.5-7.8 mmol/L.</w:t>
      </w:r>
    </w:p>
    <w:p w14:paraId="4F6D0EC6" w14:textId="77777777" w:rsidR="006C24FE" w:rsidRPr="008B14A9" w:rsidRDefault="006C24FE" w:rsidP="008B14A9">
      <w:pPr>
        <w:jc w:val="both"/>
        <w:rPr>
          <w:rStyle w:val="Strong"/>
          <w:rFonts w:ascii="Times New Roman" w:hAnsi="Times New Roman"/>
          <w:color w:val="000000"/>
          <w:sz w:val="24"/>
          <w:szCs w:val="24"/>
          <w:u w:val="single"/>
        </w:rPr>
      </w:pPr>
    </w:p>
    <w:p w14:paraId="25DCA284" w14:textId="77777777" w:rsidR="00D51E69" w:rsidRPr="008B14A9" w:rsidRDefault="0072389D" w:rsidP="008B14A9">
      <w:pPr>
        <w:jc w:val="both"/>
        <w:rPr>
          <w:rStyle w:val="Strong"/>
          <w:rFonts w:ascii="Times New Roman" w:hAnsi="Times New Roman"/>
          <w:color w:val="000000"/>
          <w:sz w:val="24"/>
          <w:szCs w:val="24"/>
          <w:u w:val="single"/>
        </w:rPr>
      </w:pPr>
      <w:r w:rsidRPr="008B14A9">
        <w:rPr>
          <w:rStyle w:val="Strong"/>
          <w:rFonts w:ascii="Times New Roman" w:hAnsi="Times New Roman"/>
          <w:color w:val="000000"/>
          <w:sz w:val="24"/>
          <w:szCs w:val="24"/>
          <w:u w:val="single"/>
        </w:rPr>
        <w:t>2.6.3 Creatinine Estimation</w:t>
      </w:r>
    </w:p>
    <w:p w14:paraId="1C535A9A" w14:textId="77777777" w:rsidR="00906B37" w:rsidRPr="008B14A9" w:rsidRDefault="0072389D" w:rsidP="008B14A9">
      <w:pPr>
        <w:jc w:val="both"/>
        <w:rPr>
          <w:rStyle w:val="Strong"/>
          <w:rFonts w:ascii="Times New Roman" w:hAnsi="Times New Roman"/>
          <w:b w:val="0"/>
          <w:color w:val="000000"/>
          <w:sz w:val="24"/>
          <w:szCs w:val="24"/>
        </w:rPr>
      </w:pPr>
      <w:r w:rsidRPr="008B14A9">
        <w:rPr>
          <w:rStyle w:val="Strong"/>
          <w:rFonts w:ascii="Times New Roman" w:hAnsi="Times New Roman"/>
          <w:b w:val="0"/>
          <w:color w:val="000000"/>
          <w:sz w:val="24"/>
          <w:szCs w:val="24"/>
        </w:rPr>
        <w:t>Plasma creatinine concentration was estimated using Jaffe’s method</w:t>
      </w:r>
      <w:r w:rsidR="00D51E69" w:rsidRPr="008B14A9">
        <w:rPr>
          <w:rStyle w:val="Strong"/>
          <w:rFonts w:ascii="Times New Roman" w:hAnsi="Times New Roman"/>
          <w:b w:val="0"/>
          <w:color w:val="000000"/>
          <w:sz w:val="24"/>
          <w:szCs w:val="24"/>
        </w:rPr>
        <w:t xml:space="preserve"> as described by</w:t>
      </w:r>
      <w:r w:rsidR="00D51E69" w:rsidRPr="008B14A9">
        <w:rPr>
          <w:rFonts w:ascii="Times New Roman" w:hAnsi="Times New Roman"/>
          <w:sz w:val="24"/>
          <w:szCs w:val="24"/>
        </w:rPr>
        <w:t xml:space="preserve"> </w:t>
      </w:r>
      <w:proofErr w:type="spellStart"/>
      <w:r w:rsidR="00D51E69" w:rsidRPr="008B14A9">
        <w:rPr>
          <w:rFonts w:ascii="Times New Roman" w:hAnsi="Times New Roman"/>
          <w:sz w:val="24"/>
          <w:szCs w:val="24"/>
        </w:rPr>
        <w:t>Bonsnes</w:t>
      </w:r>
      <w:proofErr w:type="spellEnd"/>
      <w:r w:rsidR="00D51E69" w:rsidRPr="008B14A9">
        <w:rPr>
          <w:rFonts w:ascii="Times New Roman" w:hAnsi="Times New Roman"/>
          <w:sz w:val="24"/>
          <w:szCs w:val="24"/>
        </w:rPr>
        <w:t xml:space="preserve"> (1945)</w:t>
      </w:r>
      <w:r w:rsidRPr="008B14A9">
        <w:rPr>
          <w:rStyle w:val="Strong"/>
          <w:rFonts w:ascii="Times New Roman" w:hAnsi="Times New Roman"/>
          <w:color w:val="000000"/>
          <w:sz w:val="24"/>
          <w:szCs w:val="24"/>
        </w:rPr>
        <w:t>.</w:t>
      </w:r>
      <w:r w:rsidRPr="008B14A9">
        <w:rPr>
          <w:rStyle w:val="page"/>
          <w:rFonts w:ascii="Times New Roman" w:hAnsi="Times New Roman"/>
          <w:b/>
          <w:color w:val="000000"/>
          <w:sz w:val="24"/>
          <w:szCs w:val="24"/>
        </w:rPr>
        <w:t xml:space="preserve"> </w:t>
      </w:r>
      <w:r w:rsidRPr="008B14A9">
        <w:rPr>
          <w:rStyle w:val="Strong"/>
          <w:rFonts w:ascii="Times New Roman" w:hAnsi="Times New Roman"/>
          <w:b w:val="0"/>
          <w:color w:val="000000"/>
          <w:sz w:val="24"/>
          <w:szCs w:val="24"/>
        </w:rPr>
        <w:t>100 microliter of sample, standard and distilled water was pipette into test tube, then 1000 microliter of creatinine working reagent was added into the test tubes. It was mixed and the stop watch was set for 30seconds to take the first absorbance reading (A1) of the samples. After the first absorbance reading, the stop watch was reset for 90seconds to take the second absorbance reading (A2) of the sample addition.</w:t>
      </w:r>
      <w:r w:rsidR="00906B37" w:rsidRPr="008B14A9">
        <w:rPr>
          <w:rStyle w:val="Strong"/>
          <w:rFonts w:ascii="Times New Roman" w:hAnsi="Times New Roman"/>
          <w:b w:val="0"/>
          <w:color w:val="000000"/>
          <w:sz w:val="24"/>
          <w:szCs w:val="24"/>
        </w:rPr>
        <w:t xml:space="preserve"> Serum urea concentration was interpreted using a reference range 64-104 </w:t>
      </w:r>
      <w:proofErr w:type="spellStart"/>
      <w:r w:rsidR="00906B37" w:rsidRPr="008B14A9">
        <w:rPr>
          <w:rStyle w:val="Strong"/>
          <w:rFonts w:ascii="Times New Roman" w:hAnsi="Times New Roman"/>
          <w:b w:val="0"/>
          <w:color w:val="000000"/>
          <w:sz w:val="24"/>
          <w:szCs w:val="24"/>
        </w:rPr>
        <w:t>umol</w:t>
      </w:r>
      <w:proofErr w:type="spellEnd"/>
      <w:r w:rsidR="00906B37" w:rsidRPr="008B14A9">
        <w:rPr>
          <w:rStyle w:val="Strong"/>
          <w:rFonts w:ascii="Times New Roman" w:hAnsi="Times New Roman"/>
          <w:b w:val="0"/>
          <w:color w:val="000000"/>
          <w:sz w:val="24"/>
          <w:szCs w:val="24"/>
        </w:rPr>
        <w:t>/L.</w:t>
      </w:r>
    </w:p>
    <w:p w14:paraId="44C785B6" w14:textId="77777777" w:rsidR="00906B37" w:rsidRPr="008B14A9" w:rsidRDefault="00906B37" w:rsidP="008B14A9">
      <w:pPr>
        <w:jc w:val="both"/>
        <w:rPr>
          <w:rStyle w:val="Strong"/>
          <w:rFonts w:ascii="Times New Roman" w:hAnsi="Times New Roman"/>
          <w:color w:val="000000"/>
          <w:sz w:val="24"/>
          <w:szCs w:val="24"/>
          <w:u w:val="single"/>
        </w:rPr>
      </w:pPr>
    </w:p>
    <w:p w14:paraId="356160B3" w14:textId="77777777" w:rsidR="0072389D" w:rsidRPr="008B14A9" w:rsidRDefault="0072389D" w:rsidP="008B14A9">
      <w:pPr>
        <w:jc w:val="both"/>
        <w:rPr>
          <w:rStyle w:val="Strong"/>
          <w:rFonts w:ascii="Times New Roman" w:hAnsi="Times New Roman"/>
          <w:color w:val="000000"/>
          <w:sz w:val="24"/>
          <w:szCs w:val="24"/>
          <w:u w:val="single"/>
        </w:rPr>
      </w:pPr>
      <w:r w:rsidRPr="008B14A9">
        <w:rPr>
          <w:rStyle w:val="Strong"/>
          <w:rFonts w:ascii="Times New Roman" w:hAnsi="Times New Roman"/>
          <w:b w:val="0"/>
          <w:color w:val="000000"/>
          <w:sz w:val="24"/>
          <w:szCs w:val="24"/>
        </w:rPr>
        <w:t xml:space="preserve"> </w:t>
      </w:r>
    </w:p>
    <w:p w14:paraId="73C774BD" w14:textId="77777777" w:rsidR="0072389D" w:rsidRPr="008B14A9" w:rsidRDefault="0072389D" w:rsidP="008B14A9">
      <w:pPr>
        <w:jc w:val="both"/>
        <w:rPr>
          <w:rStyle w:val="Strong"/>
          <w:rFonts w:ascii="Times New Roman" w:hAnsi="Times New Roman"/>
          <w:color w:val="000000"/>
          <w:sz w:val="24"/>
          <w:szCs w:val="24"/>
        </w:rPr>
      </w:pPr>
    </w:p>
    <w:p w14:paraId="45D65BF7" w14:textId="77777777" w:rsidR="0072389D" w:rsidRPr="008B14A9" w:rsidRDefault="0072389D" w:rsidP="008B14A9">
      <w:pPr>
        <w:jc w:val="both"/>
        <w:rPr>
          <w:rStyle w:val="Strong"/>
          <w:rFonts w:ascii="Times New Roman" w:hAnsi="Times New Roman"/>
          <w:color w:val="000000"/>
          <w:sz w:val="24"/>
          <w:szCs w:val="24"/>
          <w:u w:val="single"/>
        </w:rPr>
      </w:pPr>
      <w:r w:rsidRPr="008B14A9">
        <w:rPr>
          <w:rStyle w:val="Strong"/>
          <w:rFonts w:ascii="Times New Roman" w:hAnsi="Times New Roman"/>
          <w:color w:val="000000"/>
          <w:sz w:val="24"/>
          <w:szCs w:val="24"/>
          <w:u w:val="single"/>
        </w:rPr>
        <w:t>2.6.4   Serum Uric Acid Estimation</w:t>
      </w:r>
    </w:p>
    <w:p w14:paraId="4B92DC62" w14:textId="77777777" w:rsidR="00906B37" w:rsidRPr="008B14A9" w:rsidRDefault="0072389D" w:rsidP="008B14A9">
      <w:pPr>
        <w:jc w:val="both"/>
        <w:rPr>
          <w:rStyle w:val="Strong"/>
          <w:rFonts w:ascii="Times New Roman" w:hAnsi="Times New Roman"/>
          <w:b w:val="0"/>
          <w:color w:val="000000"/>
          <w:sz w:val="24"/>
          <w:szCs w:val="24"/>
        </w:rPr>
      </w:pPr>
      <w:r w:rsidRPr="008B14A9">
        <w:rPr>
          <w:rStyle w:val="Strong"/>
          <w:rFonts w:ascii="Times New Roman" w:hAnsi="Times New Roman"/>
          <w:b w:val="0"/>
          <w:color w:val="000000"/>
          <w:sz w:val="24"/>
          <w:szCs w:val="24"/>
        </w:rPr>
        <w:t>Plasma uric acid concentration was estimated using urica</w:t>
      </w:r>
      <w:r w:rsidR="00D51E69" w:rsidRPr="008B14A9">
        <w:rPr>
          <w:rStyle w:val="Strong"/>
          <w:rFonts w:ascii="Times New Roman" w:hAnsi="Times New Roman"/>
          <w:b w:val="0"/>
          <w:color w:val="000000"/>
          <w:sz w:val="24"/>
          <w:szCs w:val="24"/>
        </w:rPr>
        <w:t>s</w:t>
      </w:r>
      <w:r w:rsidRPr="008B14A9">
        <w:rPr>
          <w:rStyle w:val="Strong"/>
          <w:rFonts w:ascii="Times New Roman" w:hAnsi="Times New Roman"/>
          <w:b w:val="0"/>
          <w:color w:val="000000"/>
          <w:sz w:val="24"/>
          <w:szCs w:val="24"/>
        </w:rPr>
        <w:t>e - pap method</w:t>
      </w:r>
      <w:r w:rsidR="005C30A9" w:rsidRPr="008B14A9">
        <w:rPr>
          <w:rFonts w:ascii="Times New Roman" w:hAnsi="Times New Roman"/>
          <w:sz w:val="24"/>
          <w:szCs w:val="24"/>
        </w:rPr>
        <w:t xml:space="preserve"> </w:t>
      </w:r>
      <w:r w:rsidR="006F60C1" w:rsidRPr="008B14A9">
        <w:rPr>
          <w:rFonts w:ascii="Times New Roman" w:hAnsi="Times New Roman"/>
          <w:sz w:val="24"/>
          <w:szCs w:val="24"/>
        </w:rPr>
        <w:t>(</w:t>
      </w:r>
      <w:proofErr w:type="spellStart"/>
      <w:r w:rsidR="006F60C1" w:rsidRPr="008B14A9">
        <w:rPr>
          <w:rFonts w:ascii="Times New Roman" w:hAnsi="Times New Roman"/>
          <w:sz w:val="24"/>
          <w:szCs w:val="24"/>
        </w:rPr>
        <w:t>Fossati</w:t>
      </w:r>
      <w:proofErr w:type="spellEnd"/>
      <w:r w:rsidR="006F60C1" w:rsidRPr="008B14A9">
        <w:rPr>
          <w:rFonts w:ascii="Times New Roman" w:hAnsi="Times New Roman"/>
          <w:sz w:val="24"/>
          <w:szCs w:val="24"/>
        </w:rPr>
        <w:t xml:space="preserve"> </w:t>
      </w:r>
      <w:r w:rsidR="006F60C1" w:rsidRPr="008B14A9">
        <w:rPr>
          <w:rFonts w:ascii="Times New Roman" w:hAnsi="Times New Roman"/>
          <w:i/>
          <w:sz w:val="24"/>
          <w:szCs w:val="24"/>
        </w:rPr>
        <w:t>et al.,</w:t>
      </w:r>
      <w:r w:rsidR="006F60C1" w:rsidRPr="008B14A9">
        <w:rPr>
          <w:rFonts w:ascii="Times New Roman" w:hAnsi="Times New Roman"/>
          <w:sz w:val="24"/>
          <w:szCs w:val="24"/>
        </w:rPr>
        <w:t xml:space="preserve"> 1980).</w:t>
      </w:r>
      <w:r w:rsidRPr="008B14A9">
        <w:rPr>
          <w:rStyle w:val="Strong"/>
          <w:rFonts w:ascii="Times New Roman" w:hAnsi="Times New Roman"/>
          <w:b w:val="0"/>
          <w:color w:val="000000"/>
          <w:sz w:val="24"/>
          <w:szCs w:val="24"/>
        </w:rPr>
        <w:t xml:space="preserve"> 20 microliter of sample, standard and distilled water was pipette into test tube, and then 1000 microliter of uric acid reagent was added into each tube. It was mixed and incubated for 5minute at 37</w:t>
      </w:r>
      <w:r w:rsidRPr="008B14A9">
        <w:rPr>
          <w:rStyle w:val="Strong"/>
          <w:rFonts w:ascii="Times New Roman" w:hAnsi="Times New Roman"/>
          <w:b w:val="0"/>
          <w:color w:val="000000"/>
          <w:sz w:val="24"/>
          <w:szCs w:val="24"/>
          <w:vertAlign w:val="superscript"/>
        </w:rPr>
        <w:t>o</w:t>
      </w:r>
      <w:r w:rsidRPr="008B14A9">
        <w:rPr>
          <w:rStyle w:val="Strong"/>
          <w:rFonts w:ascii="Times New Roman" w:hAnsi="Times New Roman"/>
          <w:b w:val="0"/>
          <w:color w:val="000000"/>
          <w:sz w:val="24"/>
          <w:szCs w:val="24"/>
        </w:rPr>
        <w:t>C. The absorbance of the samples was measured spectrophotometrically against reagent blank at 520nm wavelength.</w:t>
      </w:r>
      <w:r w:rsidR="00906B37" w:rsidRPr="008B14A9">
        <w:rPr>
          <w:rStyle w:val="Strong"/>
          <w:rFonts w:ascii="Times New Roman" w:hAnsi="Times New Roman"/>
          <w:b w:val="0"/>
          <w:color w:val="000000"/>
          <w:sz w:val="24"/>
          <w:szCs w:val="24"/>
        </w:rPr>
        <w:t xml:space="preserve"> Serum urea concentration was interpreted using a reference range 0.20-0.42 mmol/L.</w:t>
      </w:r>
    </w:p>
    <w:p w14:paraId="5C1D8AA5" w14:textId="77777777" w:rsidR="00906B37" w:rsidRPr="008B14A9" w:rsidRDefault="00906B37" w:rsidP="008B14A9">
      <w:pPr>
        <w:jc w:val="both"/>
        <w:rPr>
          <w:rStyle w:val="Strong"/>
          <w:rFonts w:ascii="Times New Roman" w:hAnsi="Times New Roman"/>
          <w:color w:val="000000"/>
          <w:sz w:val="24"/>
          <w:szCs w:val="24"/>
          <w:u w:val="single"/>
        </w:rPr>
      </w:pPr>
    </w:p>
    <w:p w14:paraId="745CBD1F" w14:textId="77777777" w:rsidR="0044655D" w:rsidRPr="008B14A9" w:rsidRDefault="0044655D" w:rsidP="008B14A9">
      <w:pPr>
        <w:jc w:val="both"/>
        <w:rPr>
          <w:rFonts w:ascii="Times New Roman" w:hAnsi="Times New Roman"/>
          <w:bCs/>
          <w:color w:val="000000"/>
          <w:sz w:val="24"/>
          <w:szCs w:val="24"/>
        </w:rPr>
      </w:pPr>
    </w:p>
    <w:p w14:paraId="24D03EA8" w14:textId="77777777" w:rsidR="00895DFB" w:rsidRPr="008B14A9" w:rsidRDefault="00906B37" w:rsidP="008B14A9">
      <w:pPr>
        <w:pStyle w:val="Heading1"/>
        <w:jc w:val="both"/>
        <w:rPr>
          <w:rStyle w:val="Strong"/>
          <w:rFonts w:ascii="Times New Roman" w:hAnsi="Times New Roman"/>
          <w:b/>
          <w:color w:val="000000"/>
          <w:sz w:val="24"/>
          <w:szCs w:val="24"/>
          <w:u w:val="single"/>
        </w:rPr>
      </w:pPr>
      <w:bookmarkStart w:id="0" w:name="_Toc377235055"/>
      <w:r w:rsidRPr="008B14A9">
        <w:rPr>
          <w:rStyle w:val="Strong"/>
          <w:rFonts w:ascii="Times New Roman" w:hAnsi="Times New Roman"/>
          <w:b/>
          <w:color w:val="000000"/>
          <w:sz w:val="24"/>
          <w:szCs w:val="24"/>
          <w:u w:val="single"/>
        </w:rPr>
        <w:t xml:space="preserve">2.6.5 </w:t>
      </w:r>
      <w:r w:rsidR="00895DFB" w:rsidRPr="008B14A9">
        <w:rPr>
          <w:rStyle w:val="Strong"/>
          <w:rFonts w:ascii="Times New Roman" w:hAnsi="Times New Roman"/>
          <w:b/>
          <w:color w:val="000000"/>
          <w:sz w:val="24"/>
          <w:szCs w:val="24"/>
          <w:u w:val="single"/>
        </w:rPr>
        <w:t xml:space="preserve">Glucose </w:t>
      </w:r>
      <w:r w:rsidR="00C7053D" w:rsidRPr="008B14A9">
        <w:rPr>
          <w:rStyle w:val="Strong"/>
          <w:rFonts w:ascii="Times New Roman" w:hAnsi="Times New Roman"/>
          <w:b/>
          <w:color w:val="000000"/>
          <w:sz w:val="24"/>
          <w:szCs w:val="24"/>
          <w:u w:val="single"/>
        </w:rPr>
        <w:t>Estimation</w:t>
      </w:r>
    </w:p>
    <w:p w14:paraId="64007830" w14:textId="77777777" w:rsidR="00C7053D" w:rsidRPr="008B14A9" w:rsidRDefault="00C7053D" w:rsidP="008B14A9">
      <w:pPr>
        <w:pStyle w:val="Heading1"/>
        <w:jc w:val="both"/>
        <w:rPr>
          <w:rStyle w:val="Strong"/>
          <w:rFonts w:ascii="Times New Roman" w:hAnsi="Times New Roman"/>
          <w:b/>
          <w:color w:val="000000"/>
          <w:sz w:val="24"/>
          <w:szCs w:val="24"/>
        </w:rPr>
      </w:pPr>
      <w:r w:rsidRPr="008B14A9">
        <w:rPr>
          <w:rStyle w:val="Strong"/>
          <w:rFonts w:ascii="Times New Roman" w:hAnsi="Times New Roman"/>
          <w:color w:val="000000"/>
          <w:sz w:val="24"/>
          <w:szCs w:val="24"/>
        </w:rPr>
        <w:t xml:space="preserve">Glucose concentration was estimated using </w:t>
      </w:r>
      <w:proofErr w:type="spellStart"/>
      <w:r w:rsidR="00344BC4" w:rsidRPr="008B14A9">
        <w:rPr>
          <w:rStyle w:val="Strong"/>
          <w:rFonts w:ascii="Times New Roman" w:hAnsi="Times New Roman"/>
          <w:color w:val="000000"/>
          <w:sz w:val="24"/>
          <w:szCs w:val="24"/>
        </w:rPr>
        <w:t>accu</w:t>
      </w:r>
      <w:proofErr w:type="spellEnd"/>
      <w:r w:rsidR="00344BC4" w:rsidRPr="008B14A9">
        <w:rPr>
          <w:rStyle w:val="Strong"/>
          <w:rFonts w:ascii="Times New Roman" w:hAnsi="Times New Roman"/>
          <w:color w:val="000000"/>
          <w:sz w:val="24"/>
          <w:szCs w:val="24"/>
        </w:rPr>
        <w:t>-check active glucose meter, m</w:t>
      </w:r>
      <w:r w:rsidRPr="008B14A9">
        <w:rPr>
          <w:rStyle w:val="Strong"/>
          <w:rFonts w:ascii="Times New Roman" w:hAnsi="Times New Roman"/>
          <w:color w:val="000000"/>
          <w:sz w:val="24"/>
          <w:szCs w:val="24"/>
        </w:rPr>
        <w:t>anufactured by</w:t>
      </w:r>
      <w:r w:rsidRPr="008B14A9">
        <w:rPr>
          <w:rFonts w:ascii="Times New Roman" w:hAnsi="Times New Roman" w:cs="Times New Roman"/>
          <w:bCs w:val="0"/>
          <w:color w:val="000000"/>
          <w:sz w:val="24"/>
          <w:szCs w:val="24"/>
          <w:shd w:val="clear" w:color="auto" w:fill="FFFFFF"/>
        </w:rPr>
        <w:t xml:space="preserve"> </w:t>
      </w:r>
      <w:r w:rsidRPr="008B14A9">
        <w:rPr>
          <w:rFonts w:ascii="Times New Roman" w:hAnsi="Times New Roman" w:cs="Times New Roman"/>
          <w:b w:val="0"/>
          <w:bCs w:val="0"/>
          <w:color w:val="000000"/>
          <w:sz w:val="24"/>
          <w:szCs w:val="24"/>
          <w:shd w:val="clear" w:color="auto" w:fill="FFFFFF"/>
        </w:rPr>
        <w:t>Roche Diabetes Care India Private Limited.</w:t>
      </w:r>
      <w:r w:rsidR="00906B37" w:rsidRPr="008B14A9">
        <w:rPr>
          <w:rFonts w:ascii="Times New Roman" w:hAnsi="Times New Roman" w:cs="Times New Roman"/>
          <w:b w:val="0"/>
          <w:bCs w:val="0"/>
          <w:color w:val="000000"/>
          <w:sz w:val="24"/>
          <w:szCs w:val="24"/>
          <w:shd w:val="clear" w:color="auto" w:fill="FFFFFF"/>
        </w:rPr>
        <w:t xml:space="preserve"> Fasting blood glucose levels were interpreted according to standard criteria, with normal fasting glucose defined as 3.5-5.5 mmol/L</w:t>
      </w:r>
    </w:p>
    <w:p w14:paraId="010FBC62" w14:textId="77777777" w:rsidR="006C24FE" w:rsidRPr="008B14A9" w:rsidRDefault="00CF1B5B" w:rsidP="008B14A9">
      <w:pPr>
        <w:pStyle w:val="Heading1"/>
        <w:jc w:val="both"/>
        <w:rPr>
          <w:rFonts w:ascii="Times New Roman" w:hAnsi="Times New Roman" w:cs="Times New Roman"/>
          <w:color w:val="000000"/>
          <w:sz w:val="24"/>
          <w:szCs w:val="24"/>
        </w:rPr>
      </w:pPr>
      <w:r w:rsidRPr="008B14A9">
        <w:rPr>
          <w:rStyle w:val="Strong"/>
          <w:rFonts w:ascii="Times New Roman" w:hAnsi="Times New Roman"/>
          <w:b/>
          <w:color w:val="000000"/>
          <w:sz w:val="24"/>
          <w:szCs w:val="24"/>
        </w:rPr>
        <w:t>2.7</w:t>
      </w:r>
      <w:r w:rsidR="006C24FE" w:rsidRPr="008B14A9">
        <w:rPr>
          <w:rStyle w:val="Strong"/>
          <w:rFonts w:ascii="Times New Roman" w:hAnsi="Times New Roman"/>
          <w:b/>
          <w:color w:val="000000"/>
          <w:sz w:val="24"/>
          <w:szCs w:val="24"/>
        </w:rPr>
        <w:tab/>
      </w:r>
      <w:bookmarkEnd w:id="0"/>
      <w:r w:rsidR="006C24FE" w:rsidRPr="008B14A9">
        <w:rPr>
          <w:rFonts w:ascii="Times New Roman" w:hAnsi="Times New Roman" w:cs="Times New Roman"/>
          <w:color w:val="000000"/>
          <w:sz w:val="24"/>
          <w:szCs w:val="24"/>
        </w:rPr>
        <w:t>Statistical Analysis</w:t>
      </w:r>
    </w:p>
    <w:p w14:paraId="53BAA124" w14:textId="77777777" w:rsidR="001166FB" w:rsidRPr="008B14A9" w:rsidRDefault="006C24FE" w:rsidP="008B14A9">
      <w:pPr>
        <w:jc w:val="both"/>
        <w:rPr>
          <w:rFonts w:ascii="Times New Roman" w:hAnsi="Times New Roman"/>
          <w:color w:val="000000"/>
          <w:sz w:val="24"/>
          <w:szCs w:val="24"/>
        </w:rPr>
      </w:pPr>
      <w:r w:rsidRPr="008B14A9">
        <w:rPr>
          <w:rFonts w:ascii="Times New Roman" w:hAnsi="Times New Roman"/>
          <w:color w:val="000000"/>
          <w:sz w:val="24"/>
          <w:szCs w:val="24"/>
        </w:rPr>
        <w:t xml:space="preserve">Data were analyzed using Graph Pad Prism version 9.0.2 (California, USA). Descriptive and inferential statistics were used for the analysis of the data. The descriptive statistics used were mean and standard deviation while the inferential statistics used were the </w:t>
      </w:r>
      <w:r w:rsidRPr="008B14A9">
        <w:rPr>
          <w:rFonts w:ascii="Times New Roman" w:hAnsi="Times New Roman"/>
          <w:color w:val="000000"/>
          <w:sz w:val="24"/>
          <w:szCs w:val="24"/>
        </w:rPr>
        <w:lastRenderedPageBreak/>
        <w:t>student’s t-test, one-way analysis of variance (ANOVA) and Pearson’s correlation. Post</w:t>
      </w:r>
      <w:r w:rsidR="00344BC4" w:rsidRPr="008B14A9">
        <w:rPr>
          <w:rFonts w:ascii="Times New Roman" w:hAnsi="Times New Roman"/>
          <w:color w:val="000000"/>
          <w:sz w:val="24"/>
          <w:szCs w:val="24"/>
        </w:rPr>
        <w:t xml:space="preserve"> h</w:t>
      </w:r>
      <w:r w:rsidRPr="008B14A9">
        <w:rPr>
          <w:rFonts w:ascii="Times New Roman" w:hAnsi="Times New Roman"/>
          <w:color w:val="000000"/>
          <w:sz w:val="24"/>
          <w:szCs w:val="24"/>
        </w:rPr>
        <w:t>oc analyses following ANOVA between the normal weight, overweight, and obese groups were performed using the Tukey’s multiple test. Statisti</w:t>
      </w:r>
      <w:r w:rsidR="00CF1B5B" w:rsidRPr="008B14A9">
        <w:rPr>
          <w:rFonts w:ascii="Times New Roman" w:hAnsi="Times New Roman"/>
          <w:color w:val="000000"/>
          <w:sz w:val="24"/>
          <w:szCs w:val="24"/>
        </w:rPr>
        <w:t xml:space="preserve">cal significance was set at </w:t>
      </w:r>
      <w:r w:rsidR="00CF1B5B" w:rsidRPr="008B14A9">
        <w:rPr>
          <w:rFonts w:ascii="Times New Roman" w:hAnsi="Times New Roman"/>
          <w:i/>
          <w:color w:val="000000"/>
          <w:sz w:val="24"/>
          <w:szCs w:val="24"/>
        </w:rPr>
        <w:t>p</w:t>
      </w:r>
      <w:r w:rsidR="00CF1B5B" w:rsidRPr="008B14A9">
        <w:rPr>
          <w:rFonts w:ascii="Times New Roman" w:hAnsi="Times New Roman"/>
          <w:color w:val="000000"/>
          <w:sz w:val="24"/>
          <w:szCs w:val="24"/>
        </w:rPr>
        <w:t xml:space="preserve"> &lt; </w:t>
      </w:r>
      <w:r w:rsidRPr="008B14A9">
        <w:rPr>
          <w:rFonts w:ascii="Times New Roman" w:hAnsi="Times New Roman"/>
          <w:color w:val="000000"/>
          <w:sz w:val="24"/>
          <w:szCs w:val="24"/>
        </w:rPr>
        <w:t xml:space="preserve">.05. </w:t>
      </w:r>
    </w:p>
    <w:p w14:paraId="39C4BBFE" w14:textId="77777777" w:rsidR="001166FB" w:rsidRPr="008B14A9" w:rsidRDefault="001166FB" w:rsidP="008B14A9">
      <w:pPr>
        <w:jc w:val="both"/>
        <w:rPr>
          <w:rFonts w:ascii="Times New Roman" w:hAnsi="Times New Roman"/>
          <w:b/>
          <w:color w:val="000000"/>
          <w:sz w:val="24"/>
          <w:szCs w:val="24"/>
        </w:rPr>
      </w:pPr>
      <w:r w:rsidRPr="008B14A9">
        <w:rPr>
          <w:rFonts w:ascii="Times New Roman" w:hAnsi="Times New Roman"/>
          <w:b/>
          <w:color w:val="000000"/>
          <w:sz w:val="24"/>
          <w:szCs w:val="24"/>
        </w:rPr>
        <w:t>Ethical Approval</w:t>
      </w:r>
    </w:p>
    <w:p w14:paraId="4B6CE361" w14:textId="77777777" w:rsidR="001166FB" w:rsidRPr="008B14A9" w:rsidRDefault="001166FB" w:rsidP="008B14A9">
      <w:pPr>
        <w:jc w:val="both"/>
        <w:rPr>
          <w:rFonts w:ascii="Times New Roman" w:hAnsi="Times New Roman"/>
          <w:color w:val="000000"/>
          <w:sz w:val="24"/>
          <w:szCs w:val="24"/>
        </w:rPr>
      </w:pPr>
      <w:r w:rsidRPr="008B14A9">
        <w:rPr>
          <w:rFonts w:ascii="Times New Roman" w:hAnsi="Times New Roman"/>
          <w:color w:val="000000"/>
          <w:sz w:val="24"/>
          <w:szCs w:val="24"/>
        </w:rPr>
        <w:t>Ethical ap</w:t>
      </w:r>
      <w:r w:rsidR="003F05F0" w:rsidRPr="008B14A9">
        <w:rPr>
          <w:rFonts w:ascii="Times New Roman" w:hAnsi="Times New Roman"/>
          <w:color w:val="000000"/>
          <w:sz w:val="24"/>
          <w:szCs w:val="24"/>
        </w:rPr>
        <w:t>proval was obtained from the</w:t>
      </w:r>
      <w:r w:rsidRPr="008B14A9">
        <w:rPr>
          <w:rFonts w:ascii="Times New Roman" w:hAnsi="Times New Roman"/>
          <w:color w:val="000000"/>
          <w:sz w:val="24"/>
          <w:szCs w:val="24"/>
        </w:rPr>
        <w:t xml:space="preserve"> research ethical committee, Joseph Ayo Babalola University, Osun State, Nigeria.</w:t>
      </w:r>
    </w:p>
    <w:p w14:paraId="2B5BCD7E" w14:textId="77777777" w:rsidR="00CF1B5B" w:rsidRPr="008B14A9" w:rsidRDefault="00CF1B5B" w:rsidP="008B14A9">
      <w:pPr>
        <w:tabs>
          <w:tab w:val="left" w:pos="3570"/>
        </w:tabs>
        <w:jc w:val="both"/>
        <w:rPr>
          <w:rFonts w:ascii="Times New Roman" w:hAnsi="Times New Roman"/>
          <w:b/>
          <w:color w:val="000000"/>
          <w:sz w:val="24"/>
          <w:szCs w:val="24"/>
        </w:rPr>
      </w:pPr>
    </w:p>
    <w:p w14:paraId="7BE718A9" w14:textId="77777777" w:rsidR="001A249A" w:rsidRPr="008B14A9" w:rsidRDefault="001A249A" w:rsidP="008B14A9">
      <w:pPr>
        <w:tabs>
          <w:tab w:val="left" w:pos="3570"/>
        </w:tabs>
        <w:jc w:val="both"/>
        <w:rPr>
          <w:rFonts w:ascii="Times New Roman" w:hAnsi="Times New Roman"/>
          <w:b/>
          <w:color w:val="000000"/>
          <w:sz w:val="24"/>
          <w:szCs w:val="24"/>
        </w:rPr>
      </w:pPr>
    </w:p>
    <w:p w14:paraId="6BAA0CF1" w14:textId="77777777" w:rsidR="001A249A" w:rsidRPr="008B14A9" w:rsidRDefault="001A249A" w:rsidP="008B14A9">
      <w:pPr>
        <w:tabs>
          <w:tab w:val="left" w:pos="3570"/>
        </w:tabs>
        <w:jc w:val="both"/>
        <w:rPr>
          <w:rFonts w:ascii="Times New Roman" w:hAnsi="Times New Roman"/>
          <w:b/>
          <w:color w:val="000000"/>
          <w:sz w:val="24"/>
          <w:szCs w:val="24"/>
        </w:rPr>
      </w:pPr>
    </w:p>
    <w:p w14:paraId="75BF7BFF" w14:textId="77777777" w:rsidR="001A249A" w:rsidRPr="008B14A9" w:rsidRDefault="001A249A" w:rsidP="008B14A9">
      <w:pPr>
        <w:tabs>
          <w:tab w:val="left" w:pos="3570"/>
        </w:tabs>
        <w:jc w:val="both"/>
        <w:rPr>
          <w:rFonts w:ascii="Times New Roman" w:hAnsi="Times New Roman"/>
          <w:b/>
          <w:color w:val="000000"/>
          <w:sz w:val="24"/>
          <w:szCs w:val="24"/>
        </w:rPr>
      </w:pPr>
    </w:p>
    <w:p w14:paraId="4E04EEFB" w14:textId="77777777" w:rsidR="00CF1B5B" w:rsidRPr="008B14A9" w:rsidRDefault="00CF1B5B" w:rsidP="008B14A9">
      <w:pPr>
        <w:tabs>
          <w:tab w:val="left" w:pos="3570"/>
        </w:tabs>
        <w:jc w:val="both"/>
        <w:rPr>
          <w:rFonts w:ascii="Times New Roman" w:hAnsi="Times New Roman"/>
          <w:b/>
          <w:color w:val="000000"/>
          <w:sz w:val="24"/>
          <w:szCs w:val="24"/>
        </w:rPr>
      </w:pPr>
      <w:r w:rsidRPr="008B14A9">
        <w:rPr>
          <w:rFonts w:ascii="Times New Roman" w:hAnsi="Times New Roman"/>
          <w:b/>
          <w:color w:val="000000"/>
          <w:sz w:val="24"/>
          <w:szCs w:val="24"/>
        </w:rPr>
        <w:t>3.0 RESULTS</w:t>
      </w:r>
    </w:p>
    <w:p w14:paraId="2E50EB13" w14:textId="77777777" w:rsidR="005B1999" w:rsidRPr="008B14A9" w:rsidRDefault="005B1999" w:rsidP="008B14A9">
      <w:pPr>
        <w:tabs>
          <w:tab w:val="left" w:pos="3570"/>
        </w:tabs>
        <w:jc w:val="both"/>
        <w:rPr>
          <w:rFonts w:ascii="Times New Roman" w:hAnsi="Times New Roman"/>
          <w:b/>
          <w:color w:val="000000"/>
          <w:sz w:val="24"/>
          <w:szCs w:val="24"/>
        </w:rPr>
      </w:pPr>
    </w:p>
    <w:p w14:paraId="71571436" w14:textId="77777777" w:rsidR="0097642F" w:rsidRPr="008B14A9" w:rsidRDefault="0097642F" w:rsidP="008B14A9">
      <w:pPr>
        <w:tabs>
          <w:tab w:val="left" w:pos="3570"/>
        </w:tabs>
        <w:jc w:val="both"/>
        <w:rPr>
          <w:rFonts w:ascii="Times New Roman" w:hAnsi="Times New Roman"/>
          <w:b/>
          <w:color w:val="000000"/>
          <w:sz w:val="24"/>
          <w:szCs w:val="24"/>
        </w:rPr>
      </w:pPr>
      <w:r w:rsidRPr="008B14A9">
        <w:rPr>
          <w:rFonts w:ascii="Times New Roman" w:hAnsi="Times New Roman"/>
          <w:b/>
          <w:color w:val="000000"/>
          <w:sz w:val="24"/>
          <w:szCs w:val="24"/>
        </w:rPr>
        <w:t>3.1 ANOVA Results of BMI, Kidney Fun</w:t>
      </w:r>
      <w:r w:rsidR="001A249A" w:rsidRPr="008B14A9">
        <w:rPr>
          <w:rFonts w:ascii="Times New Roman" w:hAnsi="Times New Roman"/>
          <w:b/>
          <w:color w:val="000000"/>
          <w:sz w:val="24"/>
          <w:szCs w:val="24"/>
        </w:rPr>
        <w:t>ction Parameters, Uric Acid, Fasting Blood Sugar</w:t>
      </w:r>
      <w:r w:rsidR="002B6E2A" w:rsidRPr="008B14A9">
        <w:rPr>
          <w:rFonts w:ascii="Times New Roman" w:hAnsi="Times New Roman"/>
          <w:b/>
          <w:color w:val="000000"/>
          <w:sz w:val="24"/>
          <w:szCs w:val="24"/>
        </w:rPr>
        <w:t xml:space="preserve"> </w:t>
      </w:r>
      <w:r w:rsidRPr="008B14A9">
        <w:rPr>
          <w:rFonts w:ascii="Times New Roman" w:hAnsi="Times New Roman"/>
          <w:b/>
          <w:color w:val="000000"/>
          <w:sz w:val="24"/>
          <w:szCs w:val="24"/>
        </w:rPr>
        <w:t>in Under, Normo-, Over- and Obese (Weight) Subjects</w:t>
      </w:r>
    </w:p>
    <w:p w14:paraId="34AF536E" w14:textId="77777777" w:rsidR="005B1999" w:rsidRPr="008B14A9" w:rsidRDefault="005B1999" w:rsidP="008B14A9">
      <w:pPr>
        <w:pStyle w:val="NormalWeb"/>
        <w:jc w:val="both"/>
        <w:rPr>
          <w:color w:val="000000"/>
        </w:rPr>
      </w:pPr>
      <w:r w:rsidRPr="008B14A9">
        <w:rPr>
          <w:color w:val="000000"/>
        </w:rPr>
        <w:t>There was no significant difference in age among the BMI groups (</w:t>
      </w:r>
      <w:r w:rsidRPr="008B14A9">
        <w:rPr>
          <w:rStyle w:val="Emphasis"/>
          <w:color w:val="000000"/>
        </w:rPr>
        <w:t>p</w:t>
      </w:r>
      <w:r w:rsidRPr="008B14A9">
        <w:rPr>
          <w:color w:val="000000"/>
        </w:rPr>
        <w:t xml:space="preserve"> &gt; 0.05), indicating adequate age matching. BMI differed significantly across underweight, normal weight, overweight, and obese groups (</w:t>
      </w:r>
      <w:r w:rsidRPr="008B14A9">
        <w:rPr>
          <w:rStyle w:val="Emphasis"/>
          <w:color w:val="000000"/>
        </w:rPr>
        <w:t>p</w:t>
      </w:r>
      <w:r w:rsidRPr="008B14A9">
        <w:rPr>
          <w:color w:val="000000"/>
        </w:rPr>
        <w:t xml:space="preserve"> &lt; 0.0001), confirming proper group classification.</w:t>
      </w:r>
      <w:r w:rsidR="0097642F" w:rsidRPr="008B14A9">
        <w:rPr>
          <w:color w:val="000000"/>
        </w:rPr>
        <w:t xml:space="preserve"> </w:t>
      </w:r>
      <w:r w:rsidRPr="008B14A9">
        <w:rPr>
          <w:color w:val="000000"/>
        </w:rPr>
        <w:t>Serum electrolytes (Na</w:t>
      </w:r>
      <w:r w:rsidRPr="008B14A9">
        <w:rPr>
          <w:rFonts w:eastAsia="MS Mincho"/>
          <w:color w:val="000000"/>
        </w:rPr>
        <w:t>⁺</w:t>
      </w:r>
      <w:r w:rsidRPr="008B14A9">
        <w:rPr>
          <w:color w:val="000000"/>
        </w:rPr>
        <w:t>, K</w:t>
      </w:r>
      <w:r w:rsidRPr="008B14A9">
        <w:rPr>
          <w:rFonts w:eastAsia="MS Mincho"/>
          <w:color w:val="000000"/>
        </w:rPr>
        <w:t>⁺</w:t>
      </w:r>
      <w:r w:rsidRPr="008B14A9">
        <w:rPr>
          <w:color w:val="000000"/>
        </w:rPr>
        <w:t>, Cl</w:t>
      </w:r>
      <w:r w:rsidRPr="008B14A9">
        <w:rPr>
          <w:rFonts w:eastAsia="MS Mincho"/>
          <w:color w:val="000000"/>
        </w:rPr>
        <w:t>⁻</w:t>
      </w:r>
      <w:r w:rsidRPr="008B14A9">
        <w:rPr>
          <w:color w:val="000000"/>
        </w:rPr>
        <w:t>, HCO</w:t>
      </w:r>
      <w:r w:rsidRPr="008B14A9">
        <w:rPr>
          <w:rFonts w:eastAsia="MS Mincho"/>
          <w:color w:val="000000"/>
        </w:rPr>
        <w:t>₃⁻</w:t>
      </w:r>
      <w:r w:rsidRPr="008B14A9">
        <w:rPr>
          <w:color w:val="000000"/>
        </w:rPr>
        <w:t>), renal function indices (urea, creatinine, and uric acid), and fasting blood glucose showed no statistically significant differences across BMI categories (</w:t>
      </w:r>
      <w:r w:rsidRPr="008B14A9">
        <w:rPr>
          <w:rStyle w:val="Emphasis"/>
          <w:color w:val="000000"/>
        </w:rPr>
        <w:t>p</w:t>
      </w:r>
      <w:r w:rsidR="0097642F" w:rsidRPr="008B14A9">
        <w:rPr>
          <w:color w:val="000000"/>
        </w:rPr>
        <w:t xml:space="preserve"> &gt; 0.05) (Table 1)</w:t>
      </w:r>
    </w:p>
    <w:p w14:paraId="45206785" w14:textId="77777777" w:rsidR="00851D16" w:rsidRPr="008B14A9" w:rsidRDefault="0017408F" w:rsidP="008B14A9">
      <w:pPr>
        <w:tabs>
          <w:tab w:val="left" w:pos="3570"/>
        </w:tabs>
        <w:jc w:val="both"/>
        <w:rPr>
          <w:rFonts w:ascii="Times New Roman" w:hAnsi="Times New Roman"/>
          <w:b/>
          <w:color w:val="000000"/>
          <w:sz w:val="24"/>
          <w:szCs w:val="24"/>
        </w:rPr>
      </w:pPr>
      <w:r w:rsidRPr="008B14A9">
        <w:rPr>
          <w:rFonts w:ascii="Times New Roman" w:hAnsi="Times New Roman"/>
          <w:b/>
          <w:color w:val="000000"/>
          <w:sz w:val="24"/>
          <w:szCs w:val="24"/>
        </w:rPr>
        <w:t>Table 1</w:t>
      </w:r>
      <w:r w:rsidR="00851D16" w:rsidRPr="008B14A9">
        <w:rPr>
          <w:rFonts w:ascii="Times New Roman" w:hAnsi="Times New Roman"/>
          <w:b/>
          <w:color w:val="000000"/>
          <w:sz w:val="24"/>
          <w:szCs w:val="24"/>
        </w:rPr>
        <w:t>: ANOVA Results (</w:t>
      </w:r>
      <w:proofErr w:type="spellStart"/>
      <w:r w:rsidR="00851D16" w:rsidRPr="008B14A9">
        <w:rPr>
          <w:rFonts w:ascii="Times New Roman" w:hAnsi="Times New Roman"/>
          <w:b/>
          <w:color w:val="000000"/>
          <w:sz w:val="24"/>
          <w:szCs w:val="24"/>
        </w:rPr>
        <w:t>Mean±SD</w:t>
      </w:r>
      <w:proofErr w:type="spellEnd"/>
      <w:r w:rsidR="00851D16" w:rsidRPr="008B14A9">
        <w:rPr>
          <w:rFonts w:ascii="Times New Roman" w:hAnsi="Times New Roman"/>
          <w:b/>
          <w:color w:val="000000"/>
          <w:sz w:val="24"/>
          <w:szCs w:val="24"/>
        </w:rPr>
        <w:t>) of Electrolyte, Urea, Creatinine, Uric Acid, FBS, and BMI in Under, Normo-, Over- and Obese (Weight) Subjects of JABU</w:t>
      </w:r>
    </w:p>
    <w:tbl>
      <w:tblPr>
        <w:tblW w:w="11924" w:type="dxa"/>
        <w:tblInd w:w="-1512" w:type="dxa"/>
        <w:tblBorders>
          <w:top w:val="single" w:sz="8" w:space="0" w:color="000000"/>
          <w:bottom w:val="single" w:sz="8" w:space="0" w:color="000000"/>
        </w:tblBorders>
        <w:tblLayout w:type="fixed"/>
        <w:tblLook w:val="00A0" w:firstRow="1" w:lastRow="0" w:firstColumn="1" w:lastColumn="0" w:noHBand="0" w:noVBand="0"/>
      </w:tblPr>
      <w:tblGrid>
        <w:gridCol w:w="2340"/>
        <w:gridCol w:w="1800"/>
        <w:gridCol w:w="2160"/>
        <w:gridCol w:w="1620"/>
        <w:gridCol w:w="1620"/>
        <w:gridCol w:w="1260"/>
        <w:gridCol w:w="1124"/>
      </w:tblGrid>
      <w:tr w:rsidR="00851D16" w:rsidRPr="008B14A9" w14:paraId="492BBA5A" w14:textId="77777777" w:rsidTr="00D71BF4">
        <w:trPr>
          <w:trHeight w:val="563"/>
        </w:trPr>
        <w:tc>
          <w:tcPr>
            <w:tcW w:w="2340" w:type="dxa"/>
            <w:tcBorders>
              <w:top w:val="single" w:sz="8" w:space="0" w:color="000000"/>
              <w:left w:val="nil"/>
              <w:bottom w:val="single" w:sz="8" w:space="0" w:color="000000"/>
              <w:right w:val="nil"/>
            </w:tcBorders>
            <w:shd w:val="clear" w:color="auto" w:fill="FFFFFF"/>
          </w:tcPr>
          <w:p w14:paraId="07303AE0"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 xml:space="preserve">Parameters </w:t>
            </w:r>
          </w:p>
        </w:tc>
        <w:tc>
          <w:tcPr>
            <w:tcW w:w="1800" w:type="dxa"/>
            <w:tcBorders>
              <w:top w:val="single" w:sz="8" w:space="0" w:color="000000"/>
              <w:left w:val="nil"/>
              <w:bottom w:val="single" w:sz="8" w:space="0" w:color="000000"/>
              <w:right w:val="nil"/>
            </w:tcBorders>
            <w:shd w:val="clear" w:color="auto" w:fill="FFFFFF"/>
          </w:tcPr>
          <w:p w14:paraId="604F69E2"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Underweight</w:t>
            </w:r>
          </w:p>
          <w:p w14:paraId="619DDA04"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(n=25)</w:t>
            </w:r>
          </w:p>
        </w:tc>
        <w:tc>
          <w:tcPr>
            <w:tcW w:w="2160" w:type="dxa"/>
            <w:tcBorders>
              <w:top w:val="single" w:sz="8" w:space="0" w:color="000000"/>
              <w:left w:val="nil"/>
              <w:bottom w:val="single" w:sz="8" w:space="0" w:color="000000"/>
              <w:right w:val="nil"/>
            </w:tcBorders>
            <w:shd w:val="clear" w:color="auto" w:fill="FFFFFF"/>
          </w:tcPr>
          <w:p w14:paraId="7FC1C043" w14:textId="77777777" w:rsidR="00851D16" w:rsidRPr="008B14A9" w:rsidRDefault="00105734"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Normal W</w:t>
            </w:r>
            <w:r w:rsidR="00851D16" w:rsidRPr="008B14A9">
              <w:rPr>
                <w:rFonts w:ascii="Times New Roman" w:eastAsia="Times New Roman" w:hAnsi="Times New Roman"/>
                <w:b/>
                <w:bCs/>
                <w:color w:val="000000"/>
                <w:sz w:val="24"/>
                <w:szCs w:val="24"/>
              </w:rPr>
              <w:t>eight</w:t>
            </w:r>
          </w:p>
          <w:p w14:paraId="46F9D15C"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(n=35)</w:t>
            </w:r>
          </w:p>
        </w:tc>
        <w:tc>
          <w:tcPr>
            <w:tcW w:w="1620" w:type="dxa"/>
            <w:tcBorders>
              <w:top w:val="single" w:sz="8" w:space="0" w:color="000000"/>
              <w:left w:val="nil"/>
              <w:bottom w:val="single" w:sz="8" w:space="0" w:color="000000"/>
              <w:right w:val="nil"/>
            </w:tcBorders>
            <w:shd w:val="clear" w:color="auto" w:fill="FFFFFF"/>
          </w:tcPr>
          <w:p w14:paraId="78E19C65"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Overweight</w:t>
            </w:r>
          </w:p>
          <w:p w14:paraId="0239D711"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(n=23)</w:t>
            </w:r>
          </w:p>
        </w:tc>
        <w:tc>
          <w:tcPr>
            <w:tcW w:w="1620" w:type="dxa"/>
            <w:tcBorders>
              <w:top w:val="single" w:sz="8" w:space="0" w:color="000000"/>
              <w:left w:val="nil"/>
              <w:bottom w:val="single" w:sz="8" w:space="0" w:color="000000"/>
              <w:right w:val="nil"/>
            </w:tcBorders>
            <w:shd w:val="clear" w:color="auto" w:fill="FFFFFF"/>
          </w:tcPr>
          <w:p w14:paraId="7FFC4AC3"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Obese</w:t>
            </w:r>
          </w:p>
          <w:p w14:paraId="0CCD25C3"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(n=9)</w:t>
            </w:r>
          </w:p>
        </w:tc>
        <w:tc>
          <w:tcPr>
            <w:tcW w:w="1260" w:type="dxa"/>
            <w:tcBorders>
              <w:top w:val="single" w:sz="8" w:space="0" w:color="000000"/>
              <w:left w:val="nil"/>
              <w:bottom w:val="single" w:sz="8" w:space="0" w:color="000000"/>
              <w:right w:val="nil"/>
            </w:tcBorders>
            <w:shd w:val="clear" w:color="auto" w:fill="FFFFFF"/>
          </w:tcPr>
          <w:p w14:paraId="352E6B1A"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P value</w:t>
            </w:r>
          </w:p>
        </w:tc>
        <w:tc>
          <w:tcPr>
            <w:tcW w:w="1124" w:type="dxa"/>
            <w:tcBorders>
              <w:top w:val="single" w:sz="8" w:space="0" w:color="000000"/>
              <w:left w:val="nil"/>
              <w:bottom w:val="single" w:sz="8" w:space="0" w:color="000000"/>
              <w:right w:val="nil"/>
            </w:tcBorders>
            <w:shd w:val="clear" w:color="auto" w:fill="FFFFFF"/>
          </w:tcPr>
          <w:p w14:paraId="50CFA64D"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 xml:space="preserve">Remark </w:t>
            </w:r>
          </w:p>
        </w:tc>
      </w:tr>
      <w:tr w:rsidR="00851D16" w:rsidRPr="008B14A9" w14:paraId="2B3B6D31" w14:textId="77777777" w:rsidTr="00D71BF4">
        <w:trPr>
          <w:trHeight w:val="563"/>
        </w:trPr>
        <w:tc>
          <w:tcPr>
            <w:tcW w:w="2340" w:type="dxa"/>
            <w:tcBorders>
              <w:top w:val="single" w:sz="8" w:space="0" w:color="000000"/>
              <w:left w:val="nil"/>
              <w:bottom w:val="single" w:sz="8" w:space="0" w:color="000000"/>
              <w:right w:val="nil"/>
            </w:tcBorders>
            <w:shd w:val="clear" w:color="auto" w:fill="FFFFFF"/>
          </w:tcPr>
          <w:p w14:paraId="2D98FB7E"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Age (years)</w:t>
            </w:r>
          </w:p>
        </w:tc>
        <w:tc>
          <w:tcPr>
            <w:tcW w:w="1800" w:type="dxa"/>
            <w:tcBorders>
              <w:top w:val="single" w:sz="8" w:space="0" w:color="000000"/>
              <w:left w:val="nil"/>
              <w:bottom w:val="single" w:sz="8" w:space="0" w:color="000000"/>
              <w:right w:val="nil"/>
            </w:tcBorders>
            <w:shd w:val="clear" w:color="auto" w:fill="FFFFFF"/>
          </w:tcPr>
          <w:p w14:paraId="60F4E0B8"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22.91±11.89</w:t>
            </w:r>
          </w:p>
        </w:tc>
        <w:tc>
          <w:tcPr>
            <w:tcW w:w="2160" w:type="dxa"/>
            <w:tcBorders>
              <w:top w:val="single" w:sz="8" w:space="0" w:color="000000"/>
              <w:left w:val="nil"/>
              <w:bottom w:val="single" w:sz="8" w:space="0" w:color="000000"/>
              <w:right w:val="nil"/>
            </w:tcBorders>
            <w:shd w:val="clear" w:color="auto" w:fill="FFFFFF"/>
          </w:tcPr>
          <w:p w14:paraId="2D5DEBC8"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20.68±9.33</w:t>
            </w:r>
          </w:p>
        </w:tc>
        <w:tc>
          <w:tcPr>
            <w:tcW w:w="1620" w:type="dxa"/>
            <w:tcBorders>
              <w:top w:val="single" w:sz="8" w:space="0" w:color="000000"/>
              <w:left w:val="nil"/>
              <w:bottom w:val="single" w:sz="8" w:space="0" w:color="000000"/>
              <w:right w:val="nil"/>
            </w:tcBorders>
            <w:shd w:val="clear" w:color="auto" w:fill="FFFFFF"/>
          </w:tcPr>
          <w:p w14:paraId="072B1194"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20.36±1.89</w:t>
            </w:r>
          </w:p>
        </w:tc>
        <w:tc>
          <w:tcPr>
            <w:tcW w:w="1620" w:type="dxa"/>
            <w:tcBorders>
              <w:top w:val="single" w:sz="8" w:space="0" w:color="000000"/>
              <w:left w:val="nil"/>
              <w:bottom w:val="single" w:sz="8" w:space="0" w:color="000000"/>
              <w:right w:val="nil"/>
            </w:tcBorders>
            <w:shd w:val="clear" w:color="auto" w:fill="FFFFFF"/>
          </w:tcPr>
          <w:p w14:paraId="1A4E1DE7"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22.11±1.62</w:t>
            </w:r>
          </w:p>
        </w:tc>
        <w:tc>
          <w:tcPr>
            <w:tcW w:w="1260" w:type="dxa"/>
            <w:tcBorders>
              <w:top w:val="single" w:sz="8" w:space="0" w:color="000000"/>
              <w:left w:val="nil"/>
              <w:bottom w:val="single" w:sz="8" w:space="0" w:color="000000"/>
              <w:right w:val="nil"/>
            </w:tcBorders>
            <w:shd w:val="clear" w:color="auto" w:fill="FFFFFF"/>
          </w:tcPr>
          <w:p w14:paraId="41DDF72B"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0.4841</w:t>
            </w:r>
          </w:p>
        </w:tc>
        <w:tc>
          <w:tcPr>
            <w:tcW w:w="1124" w:type="dxa"/>
            <w:tcBorders>
              <w:top w:val="single" w:sz="8" w:space="0" w:color="000000"/>
              <w:left w:val="nil"/>
              <w:bottom w:val="single" w:sz="8" w:space="0" w:color="000000"/>
              <w:right w:val="nil"/>
            </w:tcBorders>
            <w:shd w:val="clear" w:color="auto" w:fill="FFFFFF"/>
          </w:tcPr>
          <w:p w14:paraId="7B5FF4B3"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r w:rsidR="00851D16" w:rsidRPr="008B14A9" w14:paraId="5C43566F" w14:textId="77777777" w:rsidTr="00D71BF4">
        <w:trPr>
          <w:trHeight w:val="563"/>
        </w:trPr>
        <w:tc>
          <w:tcPr>
            <w:tcW w:w="2340" w:type="dxa"/>
            <w:tcBorders>
              <w:top w:val="single" w:sz="8" w:space="0" w:color="000000"/>
              <w:left w:val="nil"/>
              <w:bottom w:val="single" w:sz="8" w:space="0" w:color="000000"/>
              <w:right w:val="nil"/>
            </w:tcBorders>
            <w:shd w:val="clear" w:color="auto" w:fill="FFFFFF"/>
          </w:tcPr>
          <w:p w14:paraId="21D8B583"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BMI ( kg/m</w:t>
            </w:r>
            <w:r w:rsidRPr="008B14A9">
              <w:rPr>
                <w:rFonts w:ascii="Times New Roman" w:eastAsia="Times New Roman" w:hAnsi="Times New Roman"/>
                <w:bCs/>
                <w:color w:val="000000"/>
                <w:sz w:val="24"/>
                <w:szCs w:val="24"/>
                <w:vertAlign w:val="superscript"/>
              </w:rPr>
              <w:t>2</w:t>
            </w:r>
            <w:r w:rsidRPr="008B14A9">
              <w:rPr>
                <w:rFonts w:ascii="Times New Roman" w:eastAsia="Times New Roman" w:hAnsi="Times New Roman"/>
                <w:bCs/>
                <w:color w:val="000000"/>
                <w:sz w:val="24"/>
                <w:szCs w:val="24"/>
              </w:rPr>
              <w:t>)</w:t>
            </w:r>
          </w:p>
        </w:tc>
        <w:tc>
          <w:tcPr>
            <w:tcW w:w="1800" w:type="dxa"/>
            <w:tcBorders>
              <w:top w:val="single" w:sz="8" w:space="0" w:color="000000"/>
              <w:left w:val="nil"/>
              <w:bottom w:val="single" w:sz="8" w:space="0" w:color="000000"/>
              <w:right w:val="nil"/>
            </w:tcBorders>
            <w:shd w:val="clear" w:color="auto" w:fill="FFFFFF"/>
          </w:tcPr>
          <w:p w14:paraId="11B82BB9" w14:textId="77777777" w:rsidR="00851D16" w:rsidRPr="008B14A9" w:rsidRDefault="00851D16" w:rsidP="008B14A9">
            <w:pPr>
              <w:jc w:val="both"/>
              <w:rPr>
                <w:rFonts w:ascii="Times New Roman" w:eastAsia="Times New Roman" w:hAnsi="Times New Roman"/>
                <w:color w:val="000000"/>
                <w:sz w:val="24"/>
                <w:szCs w:val="24"/>
                <w:vertAlign w:val="superscript"/>
              </w:rPr>
            </w:pPr>
            <w:r w:rsidRPr="008B14A9">
              <w:rPr>
                <w:rFonts w:ascii="Times New Roman" w:eastAsia="Times New Roman" w:hAnsi="Times New Roman"/>
                <w:color w:val="000000"/>
                <w:sz w:val="24"/>
                <w:szCs w:val="24"/>
              </w:rPr>
              <w:t>17.71±2.42</w:t>
            </w:r>
            <w:r w:rsidRPr="008B14A9">
              <w:rPr>
                <w:rFonts w:ascii="Times New Roman" w:eastAsia="Times New Roman" w:hAnsi="Times New Roman"/>
                <w:color w:val="000000"/>
                <w:sz w:val="24"/>
                <w:szCs w:val="24"/>
                <w:vertAlign w:val="superscript"/>
              </w:rPr>
              <w:t>a</w:t>
            </w:r>
          </w:p>
        </w:tc>
        <w:tc>
          <w:tcPr>
            <w:tcW w:w="2160" w:type="dxa"/>
            <w:tcBorders>
              <w:top w:val="single" w:sz="8" w:space="0" w:color="000000"/>
              <w:left w:val="nil"/>
              <w:bottom w:val="single" w:sz="8" w:space="0" w:color="000000"/>
              <w:right w:val="nil"/>
            </w:tcBorders>
            <w:shd w:val="clear" w:color="auto" w:fill="FFFFFF"/>
          </w:tcPr>
          <w:p w14:paraId="61721679" w14:textId="77777777" w:rsidR="00851D16" w:rsidRPr="008B14A9" w:rsidRDefault="00851D16" w:rsidP="008B14A9">
            <w:pPr>
              <w:jc w:val="both"/>
              <w:rPr>
                <w:rFonts w:ascii="Times New Roman" w:eastAsia="Times New Roman" w:hAnsi="Times New Roman"/>
                <w:color w:val="000000"/>
                <w:sz w:val="24"/>
                <w:szCs w:val="24"/>
                <w:vertAlign w:val="superscript"/>
              </w:rPr>
            </w:pPr>
            <w:r w:rsidRPr="008B14A9">
              <w:rPr>
                <w:rFonts w:ascii="Times New Roman" w:eastAsia="Times New Roman" w:hAnsi="Times New Roman"/>
                <w:color w:val="000000"/>
                <w:sz w:val="24"/>
                <w:szCs w:val="24"/>
              </w:rPr>
              <w:t>21.38±1.62</w:t>
            </w:r>
            <w:r w:rsidRPr="008B14A9">
              <w:rPr>
                <w:rFonts w:ascii="Times New Roman" w:eastAsia="Times New Roman" w:hAnsi="Times New Roman"/>
                <w:color w:val="000000"/>
                <w:sz w:val="24"/>
                <w:szCs w:val="24"/>
                <w:vertAlign w:val="superscript"/>
              </w:rPr>
              <w:t>b</w:t>
            </w:r>
          </w:p>
        </w:tc>
        <w:tc>
          <w:tcPr>
            <w:tcW w:w="1620" w:type="dxa"/>
            <w:tcBorders>
              <w:top w:val="single" w:sz="8" w:space="0" w:color="000000"/>
              <w:left w:val="nil"/>
              <w:bottom w:val="single" w:sz="8" w:space="0" w:color="000000"/>
              <w:right w:val="nil"/>
            </w:tcBorders>
            <w:shd w:val="clear" w:color="auto" w:fill="FFFFFF"/>
          </w:tcPr>
          <w:p w14:paraId="70D4F79F" w14:textId="77777777" w:rsidR="00851D16" w:rsidRPr="008B14A9" w:rsidRDefault="00851D16" w:rsidP="008B14A9">
            <w:pPr>
              <w:jc w:val="both"/>
              <w:rPr>
                <w:rFonts w:ascii="Times New Roman" w:eastAsia="Times New Roman" w:hAnsi="Times New Roman"/>
                <w:color w:val="000000"/>
                <w:sz w:val="24"/>
                <w:szCs w:val="24"/>
                <w:vertAlign w:val="superscript"/>
              </w:rPr>
            </w:pPr>
            <w:r w:rsidRPr="008B14A9">
              <w:rPr>
                <w:rFonts w:ascii="Times New Roman" w:eastAsia="Times New Roman" w:hAnsi="Times New Roman"/>
                <w:color w:val="000000"/>
                <w:sz w:val="24"/>
                <w:szCs w:val="24"/>
              </w:rPr>
              <w:t>27.29±1.44</w:t>
            </w:r>
            <w:r w:rsidRPr="008B14A9">
              <w:rPr>
                <w:rFonts w:ascii="Times New Roman" w:eastAsia="Times New Roman" w:hAnsi="Times New Roman"/>
                <w:color w:val="000000"/>
                <w:sz w:val="24"/>
                <w:szCs w:val="24"/>
                <w:vertAlign w:val="superscript"/>
              </w:rPr>
              <w:t>c</w:t>
            </w:r>
          </w:p>
        </w:tc>
        <w:tc>
          <w:tcPr>
            <w:tcW w:w="1620" w:type="dxa"/>
            <w:tcBorders>
              <w:top w:val="single" w:sz="8" w:space="0" w:color="000000"/>
              <w:left w:val="nil"/>
              <w:bottom w:val="single" w:sz="8" w:space="0" w:color="000000"/>
              <w:right w:val="nil"/>
            </w:tcBorders>
            <w:shd w:val="clear" w:color="auto" w:fill="FFFFFF"/>
          </w:tcPr>
          <w:p w14:paraId="352C7C88" w14:textId="77777777" w:rsidR="00851D16" w:rsidRPr="008B14A9" w:rsidRDefault="00851D16" w:rsidP="008B14A9">
            <w:pPr>
              <w:jc w:val="both"/>
              <w:rPr>
                <w:rFonts w:ascii="Times New Roman" w:eastAsia="Times New Roman" w:hAnsi="Times New Roman"/>
                <w:color w:val="000000"/>
                <w:sz w:val="24"/>
                <w:szCs w:val="24"/>
                <w:vertAlign w:val="superscript"/>
              </w:rPr>
            </w:pPr>
            <w:r w:rsidRPr="008B14A9">
              <w:rPr>
                <w:rFonts w:ascii="Times New Roman" w:eastAsia="Times New Roman" w:hAnsi="Times New Roman"/>
                <w:color w:val="000000"/>
                <w:sz w:val="24"/>
                <w:szCs w:val="24"/>
              </w:rPr>
              <w:t>33.43±3.02</w:t>
            </w:r>
            <w:r w:rsidRPr="008B14A9">
              <w:rPr>
                <w:rFonts w:ascii="Times New Roman" w:eastAsia="Times New Roman" w:hAnsi="Times New Roman"/>
                <w:color w:val="000000"/>
                <w:sz w:val="24"/>
                <w:szCs w:val="24"/>
                <w:vertAlign w:val="superscript"/>
              </w:rPr>
              <w:t>d</w:t>
            </w:r>
          </w:p>
        </w:tc>
        <w:tc>
          <w:tcPr>
            <w:tcW w:w="1260" w:type="dxa"/>
            <w:tcBorders>
              <w:top w:val="single" w:sz="8" w:space="0" w:color="000000"/>
              <w:left w:val="nil"/>
              <w:bottom w:val="single" w:sz="8" w:space="0" w:color="000000"/>
              <w:right w:val="nil"/>
            </w:tcBorders>
            <w:shd w:val="clear" w:color="auto" w:fill="FFFFFF"/>
          </w:tcPr>
          <w:p w14:paraId="06B24B4C"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&lt;0.0001</w:t>
            </w:r>
          </w:p>
        </w:tc>
        <w:tc>
          <w:tcPr>
            <w:tcW w:w="1124" w:type="dxa"/>
            <w:tcBorders>
              <w:top w:val="single" w:sz="8" w:space="0" w:color="000000"/>
              <w:left w:val="nil"/>
              <w:bottom w:val="single" w:sz="8" w:space="0" w:color="000000"/>
              <w:right w:val="nil"/>
            </w:tcBorders>
            <w:shd w:val="clear" w:color="auto" w:fill="FFFFFF"/>
          </w:tcPr>
          <w:p w14:paraId="00FF4694"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S</w:t>
            </w:r>
          </w:p>
        </w:tc>
      </w:tr>
      <w:tr w:rsidR="00851D16" w:rsidRPr="008B14A9" w14:paraId="0006EEA5" w14:textId="77777777" w:rsidTr="00D71BF4">
        <w:trPr>
          <w:trHeight w:val="563"/>
        </w:trPr>
        <w:tc>
          <w:tcPr>
            <w:tcW w:w="2340" w:type="dxa"/>
            <w:tcBorders>
              <w:left w:val="nil"/>
              <w:right w:val="nil"/>
            </w:tcBorders>
            <w:shd w:val="clear" w:color="auto" w:fill="FFFFFF"/>
          </w:tcPr>
          <w:p w14:paraId="1E57C2C9"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Na</w:t>
            </w:r>
            <w:r w:rsidRPr="008B14A9">
              <w:rPr>
                <w:rFonts w:ascii="Times New Roman" w:eastAsia="Times New Roman" w:hAnsi="Times New Roman"/>
                <w:bCs/>
                <w:color w:val="000000"/>
                <w:sz w:val="24"/>
                <w:szCs w:val="24"/>
                <w:vertAlign w:val="superscript"/>
              </w:rPr>
              <w:t>+</w:t>
            </w:r>
            <w:r w:rsidRPr="008B14A9">
              <w:rPr>
                <w:rFonts w:ascii="Times New Roman" w:eastAsia="Times New Roman" w:hAnsi="Times New Roman"/>
                <w:bCs/>
                <w:color w:val="000000"/>
                <w:sz w:val="24"/>
                <w:szCs w:val="24"/>
              </w:rPr>
              <w:t xml:space="preserve"> (mmol/L)</w:t>
            </w:r>
          </w:p>
        </w:tc>
        <w:tc>
          <w:tcPr>
            <w:tcW w:w="1800" w:type="dxa"/>
            <w:tcBorders>
              <w:left w:val="nil"/>
              <w:right w:val="nil"/>
            </w:tcBorders>
            <w:shd w:val="clear" w:color="auto" w:fill="FFFFFF"/>
          </w:tcPr>
          <w:p w14:paraId="27D84B86"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139.6±2.47</w:t>
            </w:r>
          </w:p>
        </w:tc>
        <w:tc>
          <w:tcPr>
            <w:tcW w:w="2160" w:type="dxa"/>
            <w:tcBorders>
              <w:left w:val="nil"/>
              <w:right w:val="nil"/>
            </w:tcBorders>
            <w:shd w:val="clear" w:color="auto" w:fill="FFFFFF"/>
          </w:tcPr>
          <w:p w14:paraId="2FD6177E"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139.0±3.29</w:t>
            </w:r>
          </w:p>
        </w:tc>
        <w:tc>
          <w:tcPr>
            <w:tcW w:w="1620" w:type="dxa"/>
            <w:tcBorders>
              <w:left w:val="nil"/>
              <w:right w:val="nil"/>
            </w:tcBorders>
            <w:shd w:val="clear" w:color="auto" w:fill="FFFFFF"/>
          </w:tcPr>
          <w:p w14:paraId="434FFF03"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138.3±3.37</w:t>
            </w:r>
          </w:p>
        </w:tc>
        <w:tc>
          <w:tcPr>
            <w:tcW w:w="1620" w:type="dxa"/>
            <w:tcBorders>
              <w:left w:val="nil"/>
              <w:right w:val="nil"/>
            </w:tcBorders>
            <w:shd w:val="clear" w:color="auto" w:fill="FFFFFF"/>
          </w:tcPr>
          <w:p w14:paraId="6EF6DF71"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139.9±2.42</w:t>
            </w:r>
          </w:p>
        </w:tc>
        <w:tc>
          <w:tcPr>
            <w:tcW w:w="1260" w:type="dxa"/>
            <w:tcBorders>
              <w:left w:val="nil"/>
              <w:right w:val="nil"/>
            </w:tcBorders>
            <w:shd w:val="clear" w:color="auto" w:fill="FFFFFF"/>
          </w:tcPr>
          <w:p w14:paraId="0FE6EB96"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0.4143</w:t>
            </w:r>
          </w:p>
        </w:tc>
        <w:tc>
          <w:tcPr>
            <w:tcW w:w="1124" w:type="dxa"/>
            <w:tcBorders>
              <w:left w:val="nil"/>
              <w:right w:val="nil"/>
            </w:tcBorders>
            <w:shd w:val="clear" w:color="auto" w:fill="FFFFFF"/>
          </w:tcPr>
          <w:p w14:paraId="28E8A4CC"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r w:rsidR="00851D16" w:rsidRPr="008B14A9" w14:paraId="3FC1F9EC" w14:textId="77777777" w:rsidTr="00D71BF4">
        <w:trPr>
          <w:trHeight w:val="563"/>
        </w:trPr>
        <w:tc>
          <w:tcPr>
            <w:tcW w:w="2340" w:type="dxa"/>
            <w:shd w:val="clear" w:color="auto" w:fill="FFFFFF"/>
          </w:tcPr>
          <w:p w14:paraId="24FDDCD3"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K</w:t>
            </w:r>
            <w:r w:rsidRPr="008B14A9">
              <w:rPr>
                <w:rFonts w:ascii="Times New Roman" w:eastAsia="Times New Roman" w:hAnsi="Times New Roman"/>
                <w:bCs/>
                <w:color w:val="000000"/>
                <w:sz w:val="24"/>
                <w:szCs w:val="24"/>
                <w:vertAlign w:val="superscript"/>
              </w:rPr>
              <w:t>+</w:t>
            </w:r>
            <w:r w:rsidRPr="008B14A9">
              <w:rPr>
                <w:rFonts w:ascii="Times New Roman" w:eastAsia="Times New Roman" w:hAnsi="Times New Roman"/>
                <w:bCs/>
                <w:color w:val="000000"/>
                <w:sz w:val="24"/>
                <w:szCs w:val="24"/>
              </w:rPr>
              <w:t xml:space="preserve"> (mmol/L)</w:t>
            </w:r>
          </w:p>
        </w:tc>
        <w:tc>
          <w:tcPr>
            <w:tcW w:w="1800" w:type="dxa"/>
            <w:shd w:val="clear" w:color="auto" w:fill="FFFFFF"/>
          </w:tcPr>
          <w:p w14:paraId="3A0D5CED"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3.79±0.378</w:t>
            </w:r>
          </w:p>
        </w:tc>
        <w:tc>
          <w:tcPr>
            <w:tcW w:w="2160" w:type="dxa"/>
            <w:shd w:val="clear" w:color="auto" w:fill="FFFFFF"/>
          </w:tcPr>
          <w:p w14:paraId="2DB2C225"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3.85±0.39</w:t>
            </w:r>
          </w:p>
        </w:tc>
        <w:tc>
          <w:tcPr>
            <w:tcW w:w="1620" w:type="dxa"/>
            <w:shd w:val="clear" w:color="auto" w:fill="FFFFFF"/>
          </w:tcPr>
          <w:p w14:paraId="3DCEDB4F"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3.97±0.37</w:t>
            </w:r>
          </w:p>
        </w:tc>
        <w:tc>
          <w:tcPr>
            <w:tcW w:w="1620" w:type="dxa"/>
            <w:shd w:val="clear" w:color="auto" w:fill="FFFFFF"/>
          </w:tcPr>
          <w:p w14:paraId="43C045AF"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3.91±0.29</w:t>
            </w:r>
          </w:p>
        </w:tc>
        <w:tc>
          <w:tcPr>
            <w:tcW w:w="1260" w:type="dxa"/>
            <w:shd w:val="clear" w:color="auto" w:fill="FFFFFF"/>
          </w:tcPr>
          <w:p w14:paraId="423E1833"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0.4223</w:t>
            </w:r>
          </w:p>
        </w:tc>
        <w:tc>
          <w:tcPr>
            <w:tcW w:w="1124" w:type="dxa"/>
            <w:shd w:val="clear" w:color="auto" w:fill="FFFFFF"/>
          </w:tcPr>
          <w:p w14:paraId="63333D42"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r w:rsidR="00851D16" w:rsidRPr="008B14A9" w14:paraId="73EF2C4F" w14:textId="77777777" w:rsidTr="00D71BF4">
        <w:trPr>
          <w:trHeight w:val="563"/>
        </w:trPr>
        <w:tc>
          <w:tcPr>
            <w:tcW w:w="2340" w:type="dxa"/>
            <w:tcBorders>
              <w:left w:val="nil"/>
              <w:right w:val="nil"/>
            </w:tcBorders>
            <w:shd w:val="clear" w:color="auto" w:fill="FFFFFF"/>
          </w:tcPr>
          <w:p w14:paraId="0F9DB09F"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Cl</w:t>
            </w:r>
            <w:r w:rsidRPr="008B14A9">
              <w:rPr>
                <w:rFonts w:ascii="Times New Roman" w:eastAsia="Times New Roman" w:hAnsi="Times New Roman"/>
                <w:bCs/>
                <w:color w:val="000000"/>
                <w:sz w:val="24"/>
                <w:szCs w:val="24"/>
                <w:vertAlign w:val="superscript"/>
              </w:rPr>
              <w:t>-</w:t>
            </w:r>
            <w:r w:rsidRPr="008B14A9">
              <w:rPr>
                <w:rFonts w:ascii="Times New Roman" w:eastAsia="Times New Roman" w:hAnsi="Times New Roman"/>
                <w:bCs/>
                <w:color w:val="000000"/>
                <w:sz w:val="24"/>
                <w:szCs w:val="24"/>
              </w:rPr>
              <w:t xml:space="preserve">  (mmol/L)</w:t>
            </w:r>
          </w:p>
        </w:tc>
        <w:tc>
          <w:tcPr>
            <w:tcW w:w="1800" w:type="dxa"/>
            <w:tcBorders>
              <w:left w:val="nil"/>
              <w:right w:val="nil"/>
            </w:tcBorders>
            <w:shd w:val="clear" w:color="auto" w:fill="FFFFFF"/>
          </w:tcPr>
          <w:p w14:paraId="2F8D8E18"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98.76±3.91</w:t>
            </w:r>
          </w:p>
        </w:tc>
        <w:tc>
          <w:tcPr>
            <w:tcW w:w="2160" w:type="dxa"/>
            <w:tcBorders>
              <w:left w:val="nil"/>
              <w:right w:val="nil"/>
            </w:tcBorders>
            <w:shd w:val="clear" w:color="auto" w:fill="FFFFFF"/>
          </w:tcPr>
          <w:p w14:paraId="6490E963"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97.83±3.88</w:t>
            </w:r>
          </w:p>
        </w:tc>
        <w:tc>
          <w:tcPr>
            <w:tcW w:w="1620" w:type="dxa"/>
            <w:tcBorders>
              <w:left w:val="nil"/>
              <w:right w:val="nil"/>
            </w:tcBorders>
            <w:shd w:val="clear" w:color="auto" w:fill="FFFFFF"/>
          </w:tcPr>
          <w:p w14:paraId="26565D6C"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96.91±3.81</w:t>
            </w:r>
          </w:p>
        </w:tc>
        <w:tc>
          <w:tcPr>
            <w:tcW w:w="1620" w:type="dxa"/>
            <w:tcBorders>
              <w:left w:val="nil"/>
              <w:right w:val="nil"/>
            </w:tcBorders>
            <w:shd w:val="clear" w:color="auto" w:fill="FFFFFF"/>
          </w:tcPr>
          <w:p w14:paraId="5A4AC5A2"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98.78±3.86</w:t>
            </w:r>
          </w:p>
        </w:tc>
        <w:tc>
          <w:tcPr>
            <w:tcW w:w="1260" w:type="dxa"/>
            <w:tcBorders>
              <w:left w:val="nil"/>
              <w:right w:val="nil"/>
            </w:tcBorders>
            <w:shd w:val="clear" w:color="auto" w:fill="FFFFFF"/>
          </w:tcPr>
          <w:p w14:paraId="018CCA0C"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0.3723</w:t>
            </w:r>
          </w:p>
        </w:tc>
        <w:tc>
          <w:tcPr>
            <w:tcW w:w="1124" w:type="dxa"/>
            <w:tcBorders>
              <w:left w:val="nil"/>
              <w:right w:val="nil"/>
            </w:tcBorders>
            <w:shd w:val="clear" w:color="auto" w:fill="FFFFFF"/>
          </w:tcPr>
          <w:p w14:paraId="112FDAF2"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r w:rsidR="00851D16" w:rsidRPr="008B14A9" w14:paraId="5CA6FE0C" w14:textId="77777777" w:rsidTr="00D71BF4">
        <w:trPr>
          <w:trHeight w:val="563"/>
        </w:trPr>
        <w:tc>
          <w:tcPr>
            <w:tcW w:w="2340" w:type="dxa"/>
            <w:shd w:val="clear" w:color="auto" w:fill="FFFFFF"/>
          </w:tcPr>
          <w:p w14:paraId="3983D975"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HCO</w:t>
            </w:r>
            <w:r w:rsidRPr="008B14A9">
              <w:rPr>
                <w:rFonts w:ascii="Times New Roman" w:eastAsia="Times New Roman" w:hAnsi="Times New Roman"/>
                <w:bCs/>
                <w:color w:val="000000"/>
                <w:sz w:val="24"/>
                <w:szCs w:val="24"/>
                <w:vertAlign w:val="superscript"/>
              </w:rPr>
              <w:t>-</w:t>
            </w:r>
            <w:r w:rsidRPr="008B14A9">
              <w:rPr>
                <w:rFonts w:ascii="Times New Roman" w:eastAsia="Times New Roman" w:hAnsi="Times New Roman"/>
                <w:bCs/>
                <w:color w:val="000000"/>
                <w:sz w:val="24"/>
                <w:szCs w:val="24"/>
                <w:vertAlign w:val="subscript"/>
              </w:rPr>
              <w:t>3</w:t>
            </w:r>
            <w:r w:rsidRPr="008B14A9">
              <w:rPr>
                <w:rFonts w:ascii="Times New Roman" w:eastAsia="Times New Roman" w:hAnsi="Times New Roman"/>
                <w:bCs/>
                <w:color w:val="000000"/>
                <w:sz w:val="24"/>
                <w:szCs w:val="24"/>
              </w:rPr>
              <w:t xml:space="preserve"> (mmol/L)</w:t>
            </w:r>
          </w:p>
        </w:tc>
        <w:tc>
          <w:tcPr>
            <w:tcW w:w="1800" w:type="dxa"/>
            <w:shd w:val="clear" w:color="auto" w:fill="FFFFFF"/>
          </w:tcPr>
          <w:p w14:paraId="123A3E3D"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22.84±1.31</w:t>
            </w:r>
          </w:p>
        </w:tc>
        <w:tc>
          <w:tcPr>
            <w:tcW w:w="2160" w:type="dxa"/>
            <w:shd w:val="clear" w:color="auto" w:fill="FFFFFF"/>
          </w:tcPr>
          <w:p w14:paraId="5F7270BE"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23.60±2.03</w:t>
            </w:r>
          </w:p>
        </w:tc>
        <w:tc>
          <w:tcPr>
            <w:tcW w:w="1620" w:type="dxa"/>
            <w:shd w:val="clear" w:color="auto" w:fill="FFFFFF"/>
          </w:tcPr>
          <w:p w14:paraId="445C06E9"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23.0±2.17</w:t>
            </w:r>
          </w:p>
        </w:tc>
        <w:tc>
          <w:tcPr>
            <w:tcW w:w="1620" w:type="dxa"/>
            <w:shd w:val="clear" w:color="auto" w:fill="FFFFFF"/>
          </w:tcPr>
          <w:p w14:paraId="1981E2F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23.89±2.03</w:t>
            </w:r>
          </w:p>
        </w:tc>
        <w:tc>
          <w:tcPr>
            <w:tcW w:w="1260" w:type="dxa"/>
            <w:shd w:val="clear" w:color="auto" w:fill="FFFFFF"/>
          </w:tcPr>
          <w:p w14:paraId="26ED4B7E"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0.2973</w:t>
            </w:r>
          </w:p>
        </w:tc>
        <w:tc>
          <w:tcPr>
            <w:tcW w:w="1124" w:type="dxa"/>
            <w:shd w:val="clear" w:color="auto" w:fill="FFFFFF"/>
          </w:tcPr>
          <w:p w14:paraId="7875DCDD"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r w:rsidR="00851D16" w:rsidRPr="008B14A9" w14:paraId="597FE969" w14:textId="77777777" w:rsidTr="00D71BF4">
        <w:trPr>
          <w:trHeight w:val="547"/>
        </w:trPr>
        <w:tc>
          <w:tcPr>
            <w:tcW w:w="2340" w:type="dxa"/>
            <w:tcBorders>
              <w:left w:val="nil"/>
              <w:right w:val="nil"/>
            </w:tcBorders>
            <w:shd w:val="clear" w:color="auto" w:fill="FFFFFF"/>
          </w:tcPr>
          <w:p w14:paraId="0D6D04A1"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Urea (mmol/L)</w:t>
            </w:r>
          </w:p>
        </w:tc>
        <w:tc>
          <w:tcPr>
            <w:tcW w:w="1800" w:type="dxa"/>
            <w:tcBorders>
              <w:left w:val="nil"/>
              <w:right w:val="nil"/>
            </w:tcBorders>
            <w:shd w:val="clear" w:color="auto" w:fill="FFFFFF"/>
          </w:tcPr>
          <w:p w14:paraId="2A57480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4.66±2.01</w:t>
            </w:r>
          </w:p>
        </w:tc>
        <w:tc>
          <w:tcPr>
            <w:tcW w:w="2160" w:type="dxa"/>
            <w:tcBorders>
              <w:left w:val="nil"/>
              <w:right w:val="nil"/>
            </w:tcBorders>
            <w:shd w:val="clear" w:color="auto" w:fill="FFFFFF"/>
          </w:tcPr>
          <w:p w14:paraId="71738045"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5.39±3.44</w:t>
            </w:r>
          </w:p>
        </w:tc>
        <w:tc>
          <w:tcPr>
            <w:tcW w:w="1620" w:type="dxa"/>
            <w:tcBorders>
              <w:left w:val="nil"/>
              <w:right w:val="nil"/>
            </w:tcBorders>
            <w:shd w:val="clear" w:color="auto" w:fill="FFFFFF"/>
          </w:tcPr>
          <w:p w14:paraId="770CD2B2"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5.79±3.87</w:t>
            </w:r>
          </w:p>
        </w:tc>
        <w:tc>
          <w:tcPr>
            <w:tcW w:w="1620" w:type="dxa"/>
            <w:tcBorders>
              <w:left w:val="nil"/>
              <w:right w:val="nil"/>
            </w:tcBorders>
            <w:shd w:val="clear" w:color="auto" w:fill="FFFFFF"/>
          </w:tcPr>
          <w:p w14:paraId="41FBEBA1"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4.33±2.37</w:t>
            </w:r>
          </w:p>
        </w:tc>
        <w:tc>
          <w:tcPr>
            <w:tcW w:w="1260" w:type="dxa"/>
            <w:tcBorders>
              <w:left w:val="nil"/>
              <w:right w:val="nil"/>
            </w:tcBorders>
            <w:shd w:val="clear" w:color="auto" w:fill="FFFFFF"/>
          </w:tcPr>
          <w:p w14:paraId="788B47C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0.5056</w:t>
            </w:r>
          </w:p>
        </w:tc>
        <w:tc>
          <w:tcPr>
            <w:tcW w:w="1124" w:type="dxa"/>
            <w:tcBorders>
              <w:left w:val="nil"/>
              <w:right w:val="nil"/>
            </w:tcBorders>
            <w:shd w:val="clear" w:color="auto" w:fill="FFFFFF"/>
          </w:tcPr>
          <w:p w14:paraId="124E1B74"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r w:rsidR="00851D16" w:rsidRPr="008B14A9" w14:paraId="57F8C726" w14:textId="77777777" w:rsidTr="00D71BF4">
        <w:trPr>
          <w:trHeight w:val="563"/>
        </w:trPr>
        <w:tc>
          <w:tcPr>
            <w:tcW w:w="2340" w:type="dxa"/>
            <w:shd w:val="clear" w:color="auto" w:fill="FFFFFF"/>
          </w:tcPr>
          <w:p w14:paraId="1B2A4ACC"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Creatinine (µmol/L)</w:t>
            </w:r>
          </w:p>
        </w:tc>
        <w:tc>
          <w:tcPr>
            <w:tcW w:w="1800" w:type="dxa"/>
            <w:shd w:val="clear" w:color="auto" w:fill="FFFFFF"/>
          </w:tcPr>
          <w:p w14:paraId="40842BEE"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71.56±16.93</w:t>
            </w:r>
          </w:p>
        </w:tc>
        <w:tc>
          <w:tcPr>
            <w:tcW w:w="2160" w:type="dxa"/>
            <w:shd w:val="clear" w:color="auto" w:fill="FFFFFF"/>
          </w:tcPr>
          <w:p w14:paraId="29962FA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77.63±27.42</w:t>
            </w:r>
          </w:p>
        </w:tc>
        <w:tc>
          <w:tcPr>
            <w:tcW w:w="1620" w:type="dxa"/>
            <w:shd w:val="clear" w:color="auto" w:fill="FFFFFF"/>
          </w:tcPr>
          <w:p w14:paraId="01AF5D4F"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74.09±23.66</w:t>
            </w:r>
          </w:p>
        </w:tc>
        <w:tc>
          <w:tcPr>
            <w:tcW w:w="1620" w:type="dxa"/>
            <w:shd w:val="clear" w:color="auto" w:fill="FFFFFF"/>
          </w:tcPr>
          <w:p w14:paraId="3F9B5D4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67.33±9.87</w:t>
            </w:r>
          </w:p>
        </w:tc>
        <w:tc>
          <w:tcPr>
            <w:tcW w:w="1260" w:type="dxa"/>
            <w:shd w:val="clear" w:color="auto" w:fill="FFFFFF"/>
          </w:tcPr>
          <w:p w14:paraId="4656C590"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0.5850</w:t>
            </w:r>
          </w:p>
        </w:tc>
        <w:tc>
          <w:tcPr>
            <w:tcW w:w="1124" w:type="dxa"/>
            <w:shd w:val="clear" w:color="auto" w:fill="FFFFFF"/>
          </w:tcPr>
          <w:p w14:paraId="09E60274"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r w:rsidR="00851D16" w:rsidRPr="008B14A9" w14:paraId="7E103411" w14:textId="77777777" w:rsidTr="00D71BF4">
        <w:trPr>
          <w:trHeight w:val="563"/>
        </w:trPr>
        <w:tc>
          <w:tcPr>
            <w:tcW w:w="2340" w:type="dxa"/>
            <w:tcBorders>
              <w:left w:val="nil"/>
              <w:right w:val="nil"/>
            </w:tcBorders>
            <w:shd w:val="clear" w:color="auto" w:fill="FFFFFF"/>
          </w:tcPr>
          <w:p w14:paraId="7DFCE0AE"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Uric Acid (mmol/L)</w:t>
            </w:r>
          </w:p>
        </w:tc>
        <w:tc>
          <w:tcPr>
            <w:tcW w:w="1800" w:type="dxa"/>
            <w:tcBorders>
              <w:left w:val="nil"/>
              <w:right w:val="nil"/>
            </w:tcBorders>
            <w:shd w:val="clear" w:color="auto" w:fill="FFFFFF"/>
          </w:tcPr>
          <w:p w14:paraId="69447848"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0.33±0.06</w:t>
            </w:r>
          </w:p>
        </w:tc>
        <w:tc>
          <w:tcPr>
            <w:tcW w:w="2160" w:type="dxa"/>
            <w:tcBorders>
              <w:left w:val="nil"/>
              <w:right w:val="nil"/>
            </w:tcBorders>
            <w:shd w:val="clear" w:color="auto" w:fill="FFFFFF"/>
          </w:tcPr>
          <w:p w14:paraId="02C752C7"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0.32±0.05</w:t>
            </w:r>
          </w:p>
        </w:tc>
        <w:tc>
          <w:tcPr>
            <w:tcW w:w="1620" w:type="dxa"/>
            <w:tcBorders>
              <w:left w:val="nil"/>
              <w:right w:val="nil"/>
            </w:tcBorders>
            <w:shd w:val="clear" w:color="auto" w:fill="FFFFFF"/>
          </w:tcPr>
          <w:p w14:paraId="33BF4FFF"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0.31±0.06</w:t>
            </w:r>
          </w:p>
        </w:tc>
        <w:tc>
          <w:tcPr>
            <w:tcW w:w="1620" w:type="dxa"/>
            <w:tcBorders>
              <w:left w:val="nil"/>
              <w:right w:val="nil"/>
            </w:tcBorders>
            <w:shd w:val="clear" w:color="auto" w:fill="FFFFFF"/>
          </w:tcPr>
          <w:p w14:paraId="4D6CA9D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0.33±0.04</w:t>
            </w:r>
          </w:p>
        </w:tc>
        <w:tc>
          <w:tcPr>
            <w:tcW w:w="1260" w:type="dxa"/>
            <w:tcBorders>
              <w:left w:val="nil"/>
              <w:right w:val="nil"/>
            </w:tcBorders>
            <w:shd w:val="clear" w:color="auto" w:fill="FFFFFF"/>
          </w:tcPr>
          <w:p w14:paraId="5CBCF439"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0.4769</w:t>
            </w:r>
          </w:p>
        </w:tc>
        <w:tc>
          <w:tcPr>
            <w:tcW w:w="1124" w:type="dxa"/>
            <w:tcBorders>
              <w:left w:val="nil"/>
              <w:right w:val="nil"/>
            </w:tcBorders>
            <w:shd w:val="clear" w:color="auto" w:fill="FFFFFF"/>
          </w:tcPr>
          <w:p w14:paraId="57F21B5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r w:rsidR="00851D16" w:rsidRPr="008B14A9" w14:paraId="6FE51C5C" w14:textId="77777777" w:rsidTr="00D71BF4">
        <w:trPr>
          <w:trHeight w:val="563"/>
        </w:trPr>
        <w:tc>
          <w:tcPr>
            <w:tcW w:w="2340" w:type="dxa"/>
            <w:tcBorders>
              <w:left w:val="nil"/>
              <w:right w:val="nil"/>
            </w:tcBorders>
            <w:shd w:val="clear" w:color="auto" w:fill="FFFFFF"/>
          </w:tcPr>
          <w:p w14:paraId="4EAA715A" w14:textId="77777777" w:rsidR="00851D16" w:rsidRPr="008B14A9" w:rsidRDefault="00851D16"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Cs/>
                <w:color w:val="000000"/>
                <w:sz w:val="24"/>
                <w:szCs w:val="24"/>
              </w:rPr>
              <w:t>FBS (mg/dL)</w:t>
            </w:r>
          </w:p>
        </w:tc>
        <w:tc>
          <w:tcPr>
            <w:tcW w:w="1800" w:type="dxa"/>
            <w:tcBorders>
              <w:left w:val="nil"/>
              <w:right w:val="nil"/>
            </w:tcBorders>
            <w:shd w:val="clear" w:color="auto" w:fill="FFFFFF"/>
          </w:tcPr>
          <w:p w14:paraId="7BCB693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80.29±5.93</w:t>
            </w:r>
          </w:p>
        </w:tc>
        <w:tc>
          <w:tcPr>
            <w:tcW w:w="2160" w:type="dxa"/>
            <w:tcBorders>
              <w:left w:val="nil"/>
              <w:right w:val="nil"/>
            </w:tcBorders>
            <w:shd w:val="clear" w:color="auto" w:fill="FFFFFF"/>
          </w:tcPr>
          <w:p w14:paraId="4590C69D" w14:textId="77777777" w:rsidR="00851D16" w:rsidRPr="008B14A9" w:rsidRDefault="00851D16" w:rsidP="008B14A9">
            <w:pPr>
              <w:jc w:val="both"/>
              <w:rPr>
                <w:rFonts w:ascii="Times New Roman" w:eastAsia="Times New Roman" w:hAnsi="Times New Roman"/>
                <w:color w:val="000000"/>
                <w:sz w:val="24"/>
                <w:szCs w:val="24"/>
                <w:vertAlign w:val="superscript"/>
              </w:rPr>
            </w:pPr>
            <w:r w:rsidRPr="008B14A9">
              <w:rPr>
                <w:rFonts w:ascii="Times New Roman" w:eastAsia="Times New Roman" w:hAnsi="Times New Roman"/>
                <w:color w:val="000000"/>
                <w:sz w:val="24"/>
                <w:szCs w:val="24"/>
              </w:rPr>
              <w:t>81.32±8.06</w:t>
            </w:r>
          </w:p>
        </w:tc>
        <w:tc>
          <w:tcPr>
            <w:tcW w:w="1620" w:type="dxa"/>
            <w:tcBorders>
              <w:left w:val="nil"/>
              <w:right w:val="nil"/>
            </w:tcBorders>
            <w:shd w:val="clear" w:color="auto" w:fill="FFFFFF"/>
          </w:tcPr>
          <w:p w14:paraId="5E204821" w14:textId="77777777" w:rsidR="00851D16" w:rsidRPr="008B14A9" w:rsidRDefault="00851D16" w:rsidP="008B14A9">
            <w:pPr>
              <w:jc w:val="both"/>
              <w:rPr>
                <w:rFonts w:ascii="Times New Roman" w:eastAsia="Times New Roman" w:hAnsi="Times New Roman"/>
                <w:color w:val="000000"/>
                <w:sz w:val="24"/>
                <w:szCs w:val="24"/>
                <w:vertAlign w:val="superscript"/>
              </w:rPr>
            </w:pPr>
            <w:r w:rsidRPr="008B14A9">
              <w:rPr>
                <w:rFonts w:ascii="Times New Roman" w:eastAsia="Times New Roman" w:hAnsi="Times New Roman"/>
                <w:color w:val="000000"/>
                <w:sz w:val="24"/>
                <w:szCs w:val="24"/>
              </w:rPr>
              <w:t>82.0±7.34</w:t>
            </w:r>
          </w:p>
        </w:tc>
        <w:tc>
          <w:tcPr>
            <w:tcW w:w="1620" w:type="dxa"/>
            <w:tcBorders>
              <w:left w:val="nil"/>
              <w:right w:val="nil"/>
            </w:tcBorders>
            <w:shd w:val="clear" w:color="auto" w:fill="FFFFFF"/>
          </w:tcPr>
          <w:p w14:paraId="177C04B0" w14:textId="77777777" w:rsidR="00851D16" w:rsidRPr="008B14A9" w:rsidRDefault="00851D16" w:rsidP="008B14A9">
            <w:pPr>
              <w:jc w:val="both"/>
              <w:rPr>
                <w:rFonts w:ascii="Times New Roman" w:eastAsia="Times New Roman" w:hAnsi="Times New Roman"/>
                <w:color w:val="000000"/>
                <w:sz w:val="24"/>
                <w:szCs w:val="24"/>
                <w:vertAlign w:val="superscript"/>
              </w:rPr>
            </w:pPr>
            <w:r w:rsidRPr="008B14A9">
              <w:rPr>
                <w:rFonts w:ascii="Times New Roman" w:eastAsia="Times New Roman" w:hAnsi="Times New Roman"/>
                <w:color w:val="000000"/>
                <w:sz w:val="24"/>
                <w:szCs w:val="24"/>
              </w:rPr>
              <w:t>87.33±9.94</w:t>
            </w:r>
          </w:p>
        </w:tc>
        <w:tc>
          <w:tcPr>
            <w:tcW w:w="1260" w:type="dxa"/>
            <w:tcBorders>
              <w:left w:val="nil"/>
              <w:right w:val="nil"/>
            </w:tcBorders>
            <w:shd w:val="clear" w:color="auto" w:fill="FFFFFF"/>
          </w:tcPr>
          <w:p w14:paraId="0BCCA098"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0.1163</w:t>
            </w:r>
          </w:p>
        </w:tc>
        <w:tc>
          <w:tcPr>
            <w:tcW w:w="1124" w:type="dxa"/>
            <w:tcBorders>
              <w:left w:val="nil"/>
              <w:right w:val="nil"/>
            </w:tcBorders>
            <w:shd w:val="clear" w:color="auto" w:fill="FFFFFF"/>
          </w:tcPr>
          <w:p w14:paraId="443993BA" w14:textId="77777777" w:rsidR="00851D16" w:rsidRPr="008B14A9" w:rsidRDefault="00851D16"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NS</w:t>
            </w:r>
          </w:p>
        </w:tc>
      </w:tr>
    </w:tbl>
    <w:p w14:paraId="437DF4CD" w14:textId="77777777" w:rsidR="00F845D1" w:rsidRPr="008B14A9" w:rsidRDefault="00851D16" w:rsidP="008B14A9">
      <w:pPr>
        <w:jc w:val="both"/>
        <w:rPr>
          <w:rFonts w:ascii="Times New Roman" w:hAnsi="Times New Roman"/>
          <w:color w:val="000000"/>
          <w:sz w:val="24"/>
          <w:szCs w:val="24"/>
        </w:rPr>
      </w:pPr>
      <w:r w:rsidRPr="008B14A9">
        <w:rPr>
          <w:rFonts w:ascii="Times New Roman" w:hAnsi="Times New Roman"/>
          <w:b/>
          <w:color w:val="000000"/>
          <w:sz w:val="24"/>
          <w:szCs w:val="24"/>
        </w:rPr>
        <w:lastRenderedPageBreak/>
        <w:t xml:space="preserve">Keys: </w:t>
      </w:r>
      <w:r w:rsidRPr="008B14A9">
        <w:rPr>
          <w:rFonts w:ascii="Times New Roman" w:hAnsi="Times New Roman"/>
          <w:color w:val="000000"/>
          <w:sz w:val="24"/>
          <w:szCs w:val="24"/>
        </w:rPr>
        <w:t>Na</w:t>
      </w:r>
      <w:r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Sodium, K</w:t>
      </w:r>
      <w:r w:rsidRPr="008B14A9">
        <w:rPr>
          <w:rFonts w:ascii="Times New Roman" w:hAnsi="Times New Roman"/>
          <w:color w:val="000000"/>
          <w:sz w:val="24"/>
          <w:szCs w:val="24"/>
          <w:vertAlign w:val="superscript"/>
        </w:rPr>
        <w:t>+</w:t>
      </w:r>
      <w:r w:rsidRPr="008B14A9">
        <w:rPr>
          <w:rFonts w:ascii="Times New Roman" w:hAnsi="Times New Roman"/>
          <w:color w:val="000000"/>
          <w:sz w:val="24"/>
          <w:szCs w:val="24"/>
        </w:rPr>
        <w:t xml:space="preserve"> = Potassium, Cl</w:t>
      </w:r>
      <w:r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Chloride, HCO</w:t>
      </w:r>
      <w:r w:rsidRPr="008B14A9">
        <w:rPr>
          <w:rFonts w:ascii="Times New Roman" w:hAnsi="Times New Roman"/>
          <w:color w:val="000000"/>
          <w:sz w:val="24"/>
          <w:szCs w:val="24"/>
          <w:vertAlign w:val="subscript"/>
        </w:rPr>
        <w:t>3</w:t>
      </w:r>
      <w:r w:rsidRPr="008B14A9">
        <w:rPr>
          <w:rFonts w:ascii="Times New Roman" w:hAnsi="Times New Roman"/>
          <w:color w:val="000000"/>
          <w:sz w:val="24"/>
          <w:szCs w:val="24"/>
        </w:rPr>
        <w:t xml:space="preserve"> = Bicarbonate, Acid, BMI = Body Mass Index, FBS = Fasting Blood Sugar, NS=Not Significant, S=Significant. </w:t>
      </w:r>
      <w:r w:rsidR="009D5F17" w:rsidRPr="008B14A9">
        <w:rPr>
          <w:rFonts w:ascii="Times New Roman" w:hAnsi="Times New Roman"/>
          <w:color w:val="000000"/>
          <w:sz w:val="24"/>
          <w:szCs w:val="24"/>
        </w:rPr>
        <w:t xml:space="preserve"> </w:t>
      </w:r>
      <w:r w:rsidRPr="008B14A9">
        <w:rPr>
          <w:rFonts w:ascii="Times New Roman" w:hAnsi="Times New Roman"/>
          <w:color w:val="000000"/>
          <w:sz w:val="24"/>
          <w:szCs w:val="24"/>
        </w:rPr>
        <w:t>Post</w:t>
      </w:r>
      <w:r w:rsidR="002822C2" w:rsidRPr="008B14A9">
        <w:rPr>
          <w:rFonts w:ascii="Times New Roman" w:hAnsi="Times New Roman"/>
          <w:color w:val="000000"/>
          <w:sz w:val="24"/>
          <w:szCs w:val="24"/>
        </w:rPr>
        <w:t xml:space="preserve"> </w:t>
      </w:r>
      <w:r w:rsidR="00E52848" w:rsidRPr="008B14A9">
        <w:rPr>
          <w:rFonts w:ascii="Times New Roman" w:hAnsi="Times New Roman"/>
          <w:color w:val="000000"/>
          <w:sz w:val="24"/>
          <w:szCs w:val="24"/>
        </w:rPr>
        <w:t>h</w:t>
      </w:r>
      <w:r w:rsidRPr="008B14A9">
        <w:rPr>
          <w:rFonts w:ascii="Times New Roman" w:hAnsi="Times New Roman"/>
          <w:color w:val="000000"/>
          <w:sz w:val="24"/>
          <w:szCs w:val="24"/>
        </w:rPr>
        <w:t>oc (Tukey’s</w:t>
      </w:r>
      <w:r w:rsidRPr="008B14A9">
        <w:rPr>
          <w:rFonts w:ascii="Times New Roman" w:hAnsi="Times New Roman"/>
          <w:b/>
          <w:color w:val="000000"/>
          <w:sz w:val="24"/>
          <w:szCs w:val="24"/>
        </w:rPr>
        <w:t xml:space="preserve"> Test): </w:t>
      </w:r>
      <w:r w:rsidRPr="008B14A9">
        <w:rPr>
          <w:rFonts w:ascii="Times New Roman" w:hAnsi="Times New Roman"/>
          <w:color w:val="000000"/>
          <w:sz w:val="24"/>
          <w:szCs w:val="24"/>
        </w:rPr>
        <w:t xml:space="preserve">Values in the same row with different superscripts differ significantly at </w:t>
      </w:r>
      <w:r w:rsidRPr="008B14A9">
        <w:rPr>
          <w:rFonts w:ascii="Times New Roman" w:hAnsi="Times New Roman"/>
          <w:i/>
          <w:color w:val="000000"/>
          <w:sz w:val="24"/>
          <w:szCs w:val="24"/>
        </w:rPr>
        <w:t>p</w:t>
      </w:r>
      <w:r w:rsidR="009D5F17" w:rsidRPr="008B14A9">
        <w:rPr>
          <w:rFonts w:ascii="Times New Roman" w:hAnsi="Times New Roman"/>
          <w:color w:val="000000"/>
          <w:sz w:val="24"/>
          <w:szCs w:val="24"/>
        </w:rPr>
        <w:t xml:space="preserve"> &lt;</w:t>
      </w:r>
      <w:r w:rsidR="002822C2" w:rsidRPr="008B14A9">
        <w:rPr>
          <w:rFonts w:ascii="Times New Roman" w:hAnsi="Times New Roman"/>
          <w:color w:val="000000"/>
          <w:sz w:val="24"/>
          <w:szCs w:val="24"/>
        </w:rPr>
        <w:t xml:space="preserve"> .</w:t>
      </w:r>
      <w:r w:rsidRPr="008B14A9">
        <w:rPr>
          <w:rFonts w:ascii="Times New Roman" w:hAnsi="Times New Roman"/>
          <w:color w:val="000000"/>
          <w:sz w:val="24"/>
          <w:szCs w:val="24"/>
        </w:rPr>
        <w:t>05.</w:t>
      </w:r>
    </w:p>
    <w:p w14:paraId="52252E38" w14:textId="77777777" w:rsidR="00F845D1" w:rsidRPr="008B14A9" w:rsidRDefault="001E49F4" w:rsidP="008B14A9">
      <w:pPr>
        <w:jc w:val="both"/>
        <w:rPr>
          <w:rFonts w:ascii="Times New Roman" w:hAnsi="Times New Roman"/>
          <w:color w:val="000000"/>
          <w:sz w:val="24"/>
          <w:szCs w:val="24"/>
        </w:rPr>
      </w:pPr>
      <w:r w:rsidRPr="008B14A9">
        <w:rPr>
          <w:rFonts w:ascii="Times New Roman" w:hAnsi="Times New Roman"/>
          <w:b/>
          <w:color w:val="000000"/>
          <w:sz w:val="24"/>
          <w:szCs w:val="24"/>
        </w:rPr>
        <w:t>3.2: Result</w:t>
      </w:r>
      <w:r w:rsidR="00783ACC" w:rsidRPr="008B14A9">
        <w:rPr>
          <w:rFonts w:ascii="Times New Roman" w:hAnsi="Times New Roman"/>
          <w:b/>
          <w:color w:val="000000"/>
          <w:sz w:val="24"/>
          <w:szCs w:val="24"/>
        </w:rPr>
        <w:t xml:space="preserve">s of Correlation of BMI against Renal Function </w:t>
      </w:r>
      <w:r w:rsidR="002B6E2A" w:rsidRPr="008B14A9">
        <w:rPr>
          <w:rFonts w:ascii="Times New Roman" w:hAnsi="Times New Roman"/>
          <w:b/>
          <w:color w:val="000000"/>
          <w:sz w:val="24"/>
          <w:szCs w:val="24"/>
        </w:rPr>
        <w:t xml:space="preserve">Parameters, Uric Acid and Fasting Blood Sugar </w:t>
      </w:r>
      <w:r w:rsidRPr="008B14A9">
        <w:rPr>
          <w:rFonts w:ascii="Times New Roman" w:hAnsi="Times New Roman"/>
          <w:b/>
          <w:color w:val="000000"/>
          <w:sz w:val="24"/>
          <w:szCs w:val="24"/>
        </w:rPr>
        <w:t>of Underweight Subjects</w:t>
      </w:r>
    </w:p>
    <w:p w14:paraId="776AFAB3" w14:textId="77777777" w:rsidR="0097642F" w:rsidRPr="008B14A9" w:rsidRDefault="0097642F" w:rsidP="008B14A9">
      <w:pPr>
        <w:jc w:val="both"/>
        <w:rPr>
          <w:rFonts w:ascii="Times New Roman" w:hAnsi="Times New Roman"/>
          <w:color w:val="000000"/>
          <w:sz w:val="24"/>
          <w:szCs w:val="24"/>
        </w:rPr>
      </w:pPr>
    </w:p>
    <w:p w14:paraId="5E20957E" w14:textId="77777777" w:rsidR="0097642F" w:rsidRPr="008B14A9" w:rsidRDefault="0097642F" w:rsidP="008B14A9">
      <w:pPr>
        <w:jc w:val="both"/>
        <w:rPr>
          <w:rFonts w:ascii="Times New Roman" w:hAnsi="Times New Roman"/>
          <w:color w:val="000000"/>
          <w:sz w:val="24"/>
          <w:szCs w:val="24"/>
        </w:rPr>
      </w:pPr>
      <w:r w:rsidRPr="008B14A9">
        <w:rPr>
          <w:rFonts w:ascii="Times New Roman" w:hAnsi="Times New Roman"/>
          <w:color w:val="000000"/>
          <w:sz w:val="24"/>
          <w:szCs w:val="24"/>
        </w:rPr>
        <w:t xml:space="preserve">Pearson correlation analysis showed </w:t>
      </w:r>
      <w:r w:rsidRPr="008B14A9">
        <w:rPr>
          <w:rFonts w:ascii="Times New Roman" w:hAnsi="Times New Roman"/>
          <w:bCs/>
          <w:color w:val="000000"/>
          <w:sz w:val="24"/>
          <w:szCs w:val="24"/>
        </w:rPr>
        <w:t>no significant associations</w:t>
      </w:r>
      <w:r w:rsidRPr="008B14A9">
        <w:rPr>
          <w:rFonts w:ascii="Times New Roman" w:hAnsi="Times New Roman"/>
          <w:color w:val="000000"/>
          <w:sz w:val="24"/>
          <w:szCs w:val="24"/>
        </w:rPr>
        <w:t xml:space="preserve"> between BMI and electrolytes,</w:t>
      </w:r>
      <w:r w:rsidR="00BC02D0" w:rsidRPr="008B14A9">
        <w:rPr>
          <w:rFonts w:ascii="Times New Roman" w:hAnsi="Times New Roman"/>
          <w:color w:val="000000"/>
          <w:sz w:val="24"/>
          <w:szCs w:val="24"/>
        </w:rPr>
        <w:t xml:space="preserve"> urea, creatinine</w:t>
      </w:r>
      <w:r w:rsidRPr="008B14A9">
        <w:rPr>
          <w:rFonts w:ascii="Times New Roman" w:hAnsi="Times New Roman"/>
          <w:color w:val="000000"/>
          <w:sz w:val="24"/>
          <w:szCs w:val="24"/>
        </w:rPr>
        <w:t xml:space="preserve"> fasting blood glucose, or age (</w:t>
      </w:r>
      <w:r w:rsidRPr="008B14A9">
        <w:rPr>
          <w:rFonts w:ascii="Times New Roman" w:hAnsi="Times New Roman"/>
          <w:i/>
          <w:iCs/>
          <w:color w:val="000000"/>
          <w:sz w:val="24"/>
          <w:szCs w:val="24"/>
        </w:rPr>
        <w:t>p</w:t>
      </w:r>
      <w:r w:rsidRPr="008B14A9">
        <w:rPr>
          <w:rFonts w:ascii="Times New Roman" w:hAnsi="Times New Roman"/>
          <w:color w:val="000000"/>
          <w:sz w:val="24"/>
          <w:szCs w:val="24"/>
        </w:rPr>
        <w:t xml:space="preserve"> &gt; </w:t>
      </w:r>
      <w:r w:rsidR="00DE4AF1" w:rsidRPr="008B14A9">
        <w:rPr>
          <w:rFonts w:ascii="Times New Roman" w:hAnsi="Times New Roman"/>
          <w:color w:val="000000"/>
          <w:sz w:val="24"/>
          <w:szCs w:val="24"/>
        </w:rPr>
        <w:t>0.05)</w:t>
      </w:r>
      <w:r w:rsidR="00BC02D0" w:rsidRPr="008B14A9">
        <w:rPr>
          <w:rFonts w:ascii="Times New Roman" w:hAnsi="Times New Roman"/>
          <w:color w:val="000000"/>
          <w:sz w:val="24"/>
          <w:szCs w:val="24"/>
        </w:rPr>
        <w:t xml:space="preserve"> in the underweight Subjects (Table 2)</w:t>
      </w:r>
      <w:r w:rsidR="001E49F4" w:rsidRPr="008B14A9">
        <w:rPr>
          <w:rFonts w:ascii="Times New Roman" w:hAnsi="Times New Roman"/>
          <w:color w:val="000000"/>
          <w:sz w:val="24"/>
          <w:szCs w:val="24"/>
        </w:rPr>
        <w:t>.</w:t>
      </w:r>
    </w:p>
    <w:p w14:paraId="2313F557" w14:textId="77777777" w:rsidR="00851D16" w:rsidRPr="008B14A9" w:rsidRDefault="00851D16" w:rsidP="008B14A9">
      <w:pPr>
        <w:tabs>
          <w:tab w:val="left" w:pos="3570"/>
        </w:tabs>
        <w:jc w:val="both"/>
        <w:rPr>
          <w:rFonts w:ascii="Times New Roman" w:hAnsi="Times New Roman"/>
          <w:b/>
          <w:color w:val="000000"/>
          <w:sz w:val="24"/>
          <w:szCs w:val="24"/>
        </w:rPr>
      </w:pPr>
    </w:p>
    <w:p w14:paraId="4FB7DA07" w14:textId="77777777" w:rsidR="0017408F" w:rsidRPr="008B14A9" w:rsidRDefault="00532864" w:rsidP="008B14A9">
      <w:pPr>
        <w:jc w:val="both"/>
        <w:rPr>
          <w:rFonts w:ascii="Times New Roman" w:hAnsi="Times New Roman"/>
          <w:b/>
          <w:color w:val="000000"/>
          <w:sz w:val="24"/>
          <w:szCs w:val="24"/>
        </w:rPr>
      </w:pPr>
      <w:r w:rsidRPr="008B14A9">
        <w:rPr>
          <w:rFonts w:ascii="Times New Roman" w:hAnsi="Times New Roman"/>
          <w:b/>
          <w:color w:val="000000"/>
          <w:sz w:val="24"/>
          <w:szCs w:val="24"/>
        </w:rPr>
        <w:t xml:space="preserve">Table </w:t>
      </w:r>
      <w:r w:rsidR="0017408F" w:rsidRPr="008B14A9">
        <w:rPr>
          <w:rFonts w:ascii="Times New Roman" w:hAnsi="Times New Roman"/>
          <w:b/>
          <w:color w:val="000000"/>
          <w:sz w:val="24"/>
          <w:szCs w:val="24"/>
        </w:rPr>
        <w:t>2: Results of Correlation of BMI</w:t>
      </w:r>
      <w:r w:rsidR="00783ACC" w:rsidRPr="008B14A9">
        <w:rPr>
          <w:rFonts w:ascii="Times New Roman" w:hAnsi="Times New Roman"/>
          <w:b/>
          <w:color w:val="000000"/>
          <w:sz w:val="24"/>
          <w:szCs w:val="24"/>
        </w:rPr>
        <w:t xml:space="preserve"> against Electrolytes, Urea, Creatinine</w:t>
      </w:r>
      <w:r w:rsidR="0017408F" w:rsidRPr="008B14A9">
        <w:rPr>
          <w:rFonts w:ascii="Times New Roman" w:hAnsi="Times New Roman"/>
          <w:b/>
          <w:color w:val="000000"/>
          <w:sz w:val="24"/>
          <w:szCs w:val="24"/>
        </w:rPr>
        <w:t>, U</w:t>
      </w:r>
      <w:r w:rsidR="00783ACC" w:rsidRPr="008B14A9">
        <w:rPr>
          <w:rFonts w:ascii="Times New Roman" w:hAnsi="Times New Roman"/>
          <w:b/>
          <w:color w:val="000000"/>
          <w:sz w:val="24"/>
          <w:szCs w:val="24"/>
        </w:rPr>
        <w:t xml:space="preserve">ric </w:t>
      </w:r>
      <w:r w:rsidR="0017408F" w:rsidRPr="008B14A9">
        <w:rPr>
          <w:rFonts w:ascii="Times New Roman" w:hAnsi="Times New Roman"/>
          <w:b/>
          <w:color w:val="000000"/>
          <w:sz w:val="24"/>
          <w:szCs w:val="24"/>
        </w:rPr>
        <w:t>A</w:t>
      </w:r>
      <w:r w:rsidR="00783ACC" w:rsidRPr="008B14A9">
        <w:rPr>
          <w:rFonts w:ascii="Times New Roman" w:hAnsi="Times New Roman"/>
          <w:b/>
          <w:color w:val="000000"/>
          <w:sz w:val="24"/>
          <w:szCs w:val="24"/>
        </w:rPr>
        <w:t>cid</w:t>
      </w:r>
      <w:r w:rsidR="0017408F" w:rsidRPr="008B14A9">
        <w:rPr>
          <w:rFonts w:ascii="Times New Roman" w:hAnsi="Times New Roman"/>
          <w:b/>
          <w:color w:val="000000"/>
          <w:sz w:val="24"/>
          <w:szCs w:val="24"/>
        </w:rPr>
        <w:t>, Age, and Fasting Blood Sugar of Underweight Subjects of JABU</w:t>
      </w:r>
    </w:p>
    <w:tbl>
      <w:tblPr>
        <w:tblW w:w="11880" w:type="dxa"/>
        <w:tblInd w:w="-1512" w:type="dxa"/>
        <w:tblBorders>
          <w:top w:val="single" w:sz="8" w:space="0" w:color="000000"/>
          <w:bottom w:val="single" w:sz="8" w:space="0" w:color="000000"/>
        </w:tblBorders>
        <w:tblLayout w:type="fixed"/>
        <w:tblLook w:val="00A0" w:firstRow="1" w:lastRow="0" w:firstColumn="1" w:lastColumn="0" w:noHBand="0" w:noVBand="0"/>
      </w:tblPr>
      <w:tblGrid>
        <w:gridCol w:w="1800"/>
        <w:gridCol w:w="1080"/>
        <w:gridCol w:w="1080"/>
        <w:gridCol w:w="1080"/>
        <w:gridCol w:w="1260"/>
        <w:gridCol w:w="1260"/>
        <w:gridCol w:w="1080"/>
        <w:gridCol w:w="1080"/>
        <w:gridCol w:w="1080"/>
        <w:gridCol w:w="1080"/>
      </w:tblGrid>
      <w:tr w:rsidR="0017408F" w:rsidRPr="008B14A9" w14:paraId="676D5EF4" w14:textId="77777777" w:rsidTr="00447D1C">
        <w:tc>
          <w:tcPr>
            <w:tcW w:w="1800" w:type="dxa"/>
            <w:tcBorders>
              <w:top w:val="single" w:sz="8" w:space="0" w:color="000000"/>
              <w:left w:val="nil"/>
              <w:bottom w:val="single" w:sz="8" w:space="0" w:color="000000"/>
              <w:right w:val="nil"/>
            </w:tcBorders>
            <w:shd w:val="clear" w:color="auto" w:fill="FFFFFF"/>
            <w:noWrap/>
          </w:tcPr>
          <w:p w14:paraId="5B342D10" w14:textId="77777777" w:rsidR="0017408F" w:rsidRPr="008B14A9" w:rsidRDefault="002822C2"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Pearson </w:t>
            </w:r>
            <w:r w:rsidR="0017408F" w:rsidRPr="008B14A9">
              <w:rPr>
                <w:rFonts w:ascii="Times New Roman" w:hAnsi="Times New Roman"/>
                <w:b/>
                <w:bCs/>
                <w:color w:val="000000"/>
                <w:sz w:val="24"/>
                <w:szCs w:val="24"/>
              </w:rPr>
              <w:t>Correlation</w:t>
            </w:r>
          </w:p>
        </w:tc>
        <w:tc>
          <w:tcPr>
            <w:tcW w:w="1080" w:type="dxa"/>
            <w:tcBorders>
              <w:top w:val="single" w:sz="8" w:space="0" w:color="000000"/>
              <w:left w:val="nil"/>
              <w:bottom w:val="single" w:sz="8" w:space="0" w:color="000000"/>
              <w:right w:val="nil"/>
            </w:tcBorders>
            <w:shd w:val="clear" w:color="auto" w:fill="FFFFFF"/>
            <w:noWrap/>
          </w:tcPr>
          <w:p w14:paraId="7BB19593" w14:textId="77777777" w:rsidR="0017408F" w:rsidRPr="008B14A9" w:rsidRDefault="002C5C71" w:rsidP="008B14A9">
            <w:pPr>
              <w:jc w:val="both"/>
              <w:rPr>
                <w:rFonts w:ascii="Times New Roman" w:hAnsi="Times New Roman"/>
                <w:b/>
                <w:bCs/>
                <w:color w:val="000000"/>
                <w:sz w:val="24"/>
                <w:szCs w:val="24"/>
                <w:vertAlign w:val="superscript"/>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17408F" w:rsidRPr="008B14A9">
              <w:rPr>
                <w:rFonts w:ascii="Times New Roman" w:hAnsi="Times New Roman"/>
                <w:b/>
                <w:bCs/>
                <w:color w:val="000000"/>
                <w:sz w:val="24"/>
                <w:szCs w:val="24"/>
              </w:rPr>
              <w:br/>
              <w:t>Na</w:t>
            </w:r>
            <w:r w:rsidR="0017408F"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66C435A4" w14:textId="77777777" w:rsidR="0017408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17408F" w:rsidRPr="008B14A9">
              <w:rPr>
                <w:rFonts w:ascii="Times New Roman" w:hAnsi="Times New Roman"/>
                <w:b/>
                <w:bCs/>
                <w:color w:val="000000"/>
                <w:sz w:val="24"/>
                <w:szCs w:val="24"/>
              </w:rPr>
              <w:br/>
              <w:t>K</w:t>
            </w:r>
            <w:r w:rsidR="0017408F"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104ABD8E" w14:textId="77777777" w:rsidR="002C5C71"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p>
          <w:p w14:paraId="1E56B66C" w14:textId="77777777" w:rsidR="0017408F" w:rsidRPr="008B14A9" w:rsidRDefault="002C5C71" w:rsidP="008B14A9">
            <w:pPr>
              <w:jc w:val="both"/>
              <w:rPr>
                <w:rFonts w:ascii="Times New Roman" w:hAnsi="Times New Roman"/>
                <w:b/>
                <w:bCs/>
                <w:color w:val="000000"/>
                <w:sz w:val="24"/>
                <w:szCs w:val="24"/>
                <w:vertAlign w:val="superscript"/>
              </w:rPr>
            </w:pPr>
            <w:r w:rsidRPr="008B14A9">
              <w:rPr>
                <w:rFonts w:ascii="Times New Roman" w:hAnsi="Times New Roman"/>
                <w:b/>
                <w:bCs/>
                <w:color w:val="000000"/>
                <w:sz w:val="24"/>
                <w:szCs w:val="24"/>
              </w:rPr>
              <w:t>to</w:t>
            </w:r>
            <w:r w:rsidR="0017408F" w:rsidRPr="008B14A9">
              <w:rPr>
                <w:rFonts w:ascii="Times New Roman" w:hAnsi="Times New Roman"/>
                <w:b/>
                <w:bCs/>
                <w:color w:val="000000"/>
                <w:sz w:val="24"/>
                <w:szCs w:val="24"/>
              </w:rPr>
              <w:br/>
              <w:t>Cl</w:t>
            </w:r>
            <w:r w:rsidR="0017408F" w:rsidRPr="008B14A9">
              <w:rPr>
                <w:rFonts w:ascii="Times New Roman" w:hAnsi="Times New Roman"/>
                <w:b/>
                <w:bCs/>
                <w:color w:val="000000"/>
                <w:sz w:val="24"/>
                <w:szCs w:val="24"/>
                <w:vertAlign w:val="superscript"/>
              </w:rPr>
              <w:t>-</w:t>
            </w:r>
          </w:p>
        </w:tc>
        <w:tc>
          <w:tcPr>
            <w:tcW w:w="1260" w:type="dxa"/>
            <w:tcBorders>
              <w:top w:val="single" w:sz="8" w:space="0" w:color="000000"/>
              <w:left w:val="nil"/>
              <w:bottom w:val="single" w:sz="8" w:space="0" w:color="000000"/>
              <w:right w:val="nil"/>
            </w:tcBorders>
            <w:shd w:val="clear" w:color="auto" w:fill="FFFFFF"/>
            <w:noWrap/>
          </w:tcPr>
          <w:p w14:paraId="7FA10BCC" w14:textId="77777777" w:rsidR="0017408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17408F" w:rsidRPr="008B14A9">
              <w:rPr>
                <w:rFonts w:ascii="Times New Roman" w:hAnsi="Times New Roman"/>
                <w:b/>
                <w:bCs/>
                <w:color w:val="000000"/>
                <w:sz w:val="24"/>
                <w:szCs w:val="24"/>
              </w:rPr>
              <w:br/>
              <w:t>HCO</w:t>
            </w:r>
            <w:r w:rsidR="0017408F" w:rsidRPr="008B14A9">
              <w:rPr>
                <w:rFonts w:ascii="Times New Roman" w:hAnsi="Times New Roman"/>
                <w:b/>
                <w:bCs/>
                <w:color w:val="000000"/>
                <w:sz w:val="24"/>
                <w:szCs w:val="24"/>
                <w:vertAlign w:val="superscript"/>
              </w:rPr>
              <w:t>-</w:t>
            </w:r>
            <w:r w:rsidR="0017408F" w:rsidRPr="008B14A9">
              <w:rPr>
                <w:rFonts w:ascii="Times New Roman" w:hAnsi="Times New Roman"/>
                <w:b/>
                <w:bCs/>
                <w:color w:val="000000"/>
                <w:sz w:val="24"/>
                <w:szCs w:val="24"/>
                <w:vertAlign w:val="subscript"/>
              </w:rPr>
              <w:t>3</w:t>
            </w:r>
          </w:p>
        </w:tc>
        <w:tc>
          <w:tcPr>
            <w:tcW w:w="1260" w:type="dxa"/>
            <w:tcBorders>
              <w:top w:val="single" w:sz="8" w:space="0" w:color="000000"/>
              <w:left w:val="nil"/>
              <w:bottom w:val="single" w:sz="8" w:space="0" w:color="000000"/>
              <w:right w:val="nil"/>
            </w:tcBorders>
            <w:shd w:val="clear" w:color="auto" w:fill="FFFFFF"/>
            <w:noWrap/>
          </w:tcPr>
          <w:p w14:paraId="604E84A6" w14:textId="77777777" w:rsidR="0017408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17408F" w:rsidRPr="008B14A9">
              <w:rPr>
                <w:rFonts w:ascii="Times New Roman" w:hAnsi="Times New Roman"/>
                <w:b/>
                <w:bCs/>
                <w:color w:val="000000"/>
                <w:sz w:val="24"/>
                <w:szCs w:val="24"/>
              </w:rPr>
              <w:br/>
              <w:t>Urea</w:t>
            </w:r>
          </w:p>
        </w:tc>
        <w:tc>
          <w:tcPr>
            <w:tcW w:w="1080" w:type="dxa"/>
            <w:tcBorders>
              <w:top w:val="single" w:sz="8" w:space="0" w:color="000000"/>
              <w:left w:val="nil"/>
              <w:bottom w:val="single" w:sz="8" w:space="0" w:color="000000"/>
              <w:right w:val="nil"/>
            </w:tcBorders>
            <w:shd w:val="clear" w:color="auto" w:fill="FFFFFF"/>
            <w:noWrap/>
          </w:tcPr>
          <w:p w14:paraId="3F43B197" w14:textId="77777777" w:rsidR="0017408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17408F" w:rsidRPr="008B14A9">
              <w:rPr>
                <w:rFonts w:ascii="Times New Roman" w:hAnsi="Times New Roman"/>
                <w:b/>
                <w:bCs/>
                <w:color w:val="000000"/>
                <w:sz w:val="24"/>
                <w:szCs w:val="24"/>
              </w:rPr>
              <w:br/>
              <w:t>CRT</w:t>
            </w:r>
          </w:p>
        </w:tc>
        <w:tc>
          <w:tcPr>
            <w:tcW w:w="1080" w:type="dxa"/>
            <w:tcBorders>
              <w:top w:val="single" w:sz="8" w:space="0" w:color="000000"/>
              <w:left w:val="nil"/>
              <w:bottom w:val="single" w:sz="8" w:space="0" w:color="000000"/>
              <w:right w:val="nil"/>
            </w:tcBorders>
            <w:shd w:val="clear" w:color="auto" w:fill="FFFFFF"/>
            <w:noWrap/>
          </w:tcPr>
          <w:p w14:paraId="2300CD2B" w14:textId="77777777" w:rsidR="0017408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17408F" w:rsidRPr="008B14A9">
              <w:rPr>
                <w:rFonts w:ascii="Times New Roman" w:hAnsi="Times New Roman"/>
                <w:b/>
                <w:bCs/>
                <w:color w:val="000000"/>
                <w:sz w:val="24"/>
                <w:szCs w:val="24"/>
              </w:rPr>
              <w:br/>
              <w:t>UA</w:t>
            </w:r>
          </w:p>
        </w:tc>
        <w:tc>
          <w:tcPr>
            <w:tcW w:w="1080" w:type="dxa"/>
            <w:tcBorders>
              <w:top w:val="single" w:sz="8" w:space="0" w:color="000000"/>
              <w:left w:val="nil"/>
              <w:bottom w:val="single" w:sz="8" w:space="0" w:color="000000"/>
              <w:right w:val="nil"/>
            </w:tcBorders>
            <w:shd w:val="clear" w:color="auto" w:fill="FFFFFF"/>
            <w:noWrap/>
          </w:tcPr>
          <w:p w14:paraId="70CB9FE4" w14:textId="77777777" w:rsidR="002C5C71"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p>
          <w:p w14:paraId="4EC1F3A6" w14:textId="77777777" w:rsidR="0017408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to</w:t>
            </w:r>
            <w:r w:rsidR="0017408F" w:rsidRPr="008B14A9">
              <w:rPr>
                <w:rFonts w:ascii="Times New Roman" w:hAnsi="Times New Roman"/>
                <w:b/>
                <w:bCs/>
                <w:color w:val="000000"/>
                <w:sz w:val="24"/>
                <w:szCs w:val="24"/>
              </w:rPr>
              <w:br/>
              <w:t>FBS</w:t>
            </w:r>
          </w:p>
        </w:tc>
        <w:tc>
          <w:tcPr>
            <w:tcW w:w="1080" w:type="dxa"/>
            <w:tcBorders>
              <w:top w:val="single" w:sz="8" w:space="0" w:color="000000"/>
              <w:left w:val="nil"/>
              <w:bottom w:val="single" w:sz="8" w:space="0" w:color="000000"/>
              <w:right w:val="nil"/>
            </w:tcBorders>
            <w:shd w:val="clear" w:color="auto" w:fill="FFFFFF"/>
            <w:noWrap/>
          </w:tcPr>
          <w:p w14:paraId="01AD10E2" w14:textId="77777777" w:rsidR="0017408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17408F" w:rsidRPr="008B14A9">
              <w:rPr>
                <w:rFonts w:ascii="Times New Roman" w:hAnsi="Times New Roman"/>
                <w:b/>
                <w:bCs/>
                <w:color w:val="000000"/>
                <w:sz w:val="24"/>
                <w:szCs w:val="24"/>
              </w:rPr>
              <w:br/>
              <w:t>Age</w:t>
            </w:r>
          </w:p>
        </w:tc>
      </w:tr>
      <w:tr w:rsidR="0017408F" w:rsidRPr="008B14A9" w14:paraId="59A20196" w14:textId="77777777" w:rsidTr="00447D1C">
        <w:tc>
          <w:tcPr>
            <w:tcW w:w="1800" w:type="dxa"/>
            <w:shd w:val="clear" w:color="auto" w:fill="FFFFFF"/>
            <w:noWrap/>
          </w:tcPr>
          <w:p w14:paraId="69E0A0F7" w14:textId="77777777" w:rsidR="0017408F" w:rsidRPr="008B14A9" w:rsidRDefault="002822C2"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R</w:t>
            </w:r>
          </w:p>
        </w:tc>
        <w:tc>
          <w:tcPr>
            <w:tcW w:w="1080" w:type="dxa"/>
            <w:shd w:val="clear" w:color="auto" w:fill="FFFFFF"/>
            <w:noWrap/>
          </w:tcPr>
          <w:p w14:paraId="698C0AE8"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0.3569</w:t>
            </w:r>
          </w:p>
        </w:tc>
        <w:tc>
          <w:tcPr>
            <w:tcW w:w="1080" w:type="dxa"/>
            <w:shd w:val="clear" w:color="auto" w:fill="FFFFFF"/>
            <w:noWrap/>
          </w:tcPr>
          <w:p w14:paraId="3C8B44B1"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-0.2398</w:t>
            </w:r>
          </w:p>
        </w:tc>
        <w:tc>
          <w:tcPr>
            <w:tcW w:w="1080" w:type="dxa"/>
            <w:shd w:val="clear" w:color="auto" w:fill="FFFFFF"/>
            <w:noWrap/>
          </w:tcPr>
          <w:p w14:paraId="45D70F0B"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0.3625</w:t>
            </w:r>
          </w:p>
        </w:tc>
        <w:tc>
          <w:tcPr>
            <w:tcW w:w="1260" w:type="dxa"/>
            <w:shd w:val="clear" w:color="auto" w:fill="FFFFFF"/>
            <w:noWrap/>
          </w:tcPr>
          <w:p w14:paraId="6669038B"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0.1039</w:t>
            </w:r>
          </w:p>
        </w:tc>
        <w:tc>
          <w:tcPr>
            <w:tcW w:w="1260" w:type="dxa"/>
            <w:shd w:val="clear" w:color="auto" w:fill="FFFFFF"/>
            <w:noWrap/>
          </w:tcPr>
          <w:p w14:paraId="65B9D093" w14:textId="77777777" w:rsidR="0017408F" w:rsidRPr="008B14A9" w:rsidRDefault="0052087F" w:rsidP="008B14A9">
            <w:pPr>
              <w:jc w:val="both"/>
              <w:rPr>
                <w:rFonts w:ascii="Times New Roman" w:hAnsi="Times New Roman"/>
                <w:color w:val="000000"/>
                <w:sz w:val="24"/>
                <w:szCs w:val="24"/>
              </w:rPr>
            </w:pPr>
            <w:r w:rsidRPr="008B14A9">
              <w:rPr>
                <w:rFonts w:ascii="Times New Roman" w:hAnsi="Times New Roman"/>
                <w:color w:val="000000"/>
                <w:sz w:val="24"/>
                <w:szCs w:val="24"/>
              </w:rPr>
              <w:t>0.0819</w:t>
            </w:r>
          </w:p>
        </w:tc>
        <w:tc>
          <w:tcPr>
            <w:tcW w:w="1080" w:type="dxa"/>
            <w:shd w:val="clear" w:color="auto" w:fill="FFFFFF"/>
            <w:noWrap/>
          </w:tcPr>
          <w:p w14:paraId="24837284"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0.3135</w:t>
            </w:r>
          </w:p>
        </w:tc>
        <w:tc>
          <w:tcPr>
            <w:tcW w:w="1080" w:type="dxa"/>
            <w:shd w:val="clear" w:color="auto" w:fill="FFFFFF"/>
            <w:noWrap/>
          </w:tcPr>
          <w:p w14:paraId="61CD06FF"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0.005</w:t>
            </w:r>
          </w:p>
        </w:tc>
        <w:tc>
          <w:tcPr>
            <w:tcW w:w="1080" w:type="dxa"/>
            <w:shd w:val="clear" w:color="auto" w:fill="FFFFFF"/>
            <w:noWrap/>
          </w:tcPr>
          <w:p w14:paraId="119244B3"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-0.1673</w:t>
            </w:r>
          </w:p>
        </w:tc>
        <w:tc>
          <w:tcPr>
            <w:tcW w:w="1080" w:type="dxa"/>
            <w:shd w:val="clear" w:color="auto" w:fill="FFFFFF"/>
            <w:noWrap/>
          </w:tcPr>
          <w:p w14:paraId="33623542"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-0.1489</w:t>
            </w:r>
          </w:p>
        </w:tc>
      </w:tr>
      <w:tr w:rsidR="0017408F" w:rsidRPr="008B14A9" w14:paraId="7F60683E" w14:textId="77777777" w:rsidTr="00447D1C">
        <w:tc>
          <w:tcPr>
            <w:tcW w:w="1800" w:type="dxa"/>
            <w:tcBorders>
              <w:left w:val="nil"/>
              <w:right w:val="nil"/>
            </w:tcBorders>
            <w:shd w:val="clear" w:color="auto" w:fill="FFFFFF"/>
            <w:noWrap/>
          </w:tcPr>
          <w:p w14:paraId="3723C4D0" w14:textId="77777777" w:rsidR="0017408F" w:rsidRPr="008B14A9" w:rsidRDefault="0052087F"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P (two-</w:t>
            </w:r>
            <w:r w:rsidR="0017408F" w:rsidRPr="008B14A9">
              <w:rPr>
                <w:rFonts w:ascii="Times New Roman" w:hAnsi="Times New Roman"/>
                <w:bCs/>
                <w:color w:val="000000"/>
                <w:sz w:val="24"/>
                <w:szCs w:val="24"/>
              </w:rPr>
              <w:t>tailed)</w:t>
            </w:r>
          </w:p>
        </w:tc>
        <w:tc>
          <w:tcPr>
            <w:tcW w:w="1080" w:type="dxa"/>
            <w:tcBorders>
              <w:left w:val="nil"/>
              <w:right w:val="nil"/>
            </w:tcBorders>
            <w:shd w:val="clear" w:color="auto" w:fill="FFFFFF"/>
            <w:noWrap/>
          </w:tcPr>
          <w:p w14:paraId="724239EC"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0.0869</w:t>
            </w:r>
          </w:p>
        </w:tc>
        <w:tc>
          <w:tcPr>
            <w:tcW w:w="1080" w:type="dxa"/>
            <w:tcBorders>
              <w:left w:val="nil"/>
              <w:right w:val="nil"/>
            </w:tcBorders>
            <w:shd w:val="clear" w:color="auto" w:fill="FFFFFF"/>
            <w:noWrap/>
          </w:tcPr>
          <w:p w14:paraId="71B5152F"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0.2590</w:t>
            </w:r>
          </w:p>
        </w:tc>
        <w:tc>
          <w:tcPr>
            <w:tcW w:w="1080" w:type="dxa"/>
            <w:tcBorders>
              <w:left w:val="nil"/>
              <w:right w:val="nil"/>
            </w:tcBorders>
            <w:shd w:val="clear" w:color="auto" w:fill="FFFFFF"/>
            <w:noWrap/>
          </w:tcPr>
          <w:p w14:paraId="4AFA8F0E"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0.0817</w:t>
            </w:r>
          </w:p>
        </w:tc>
        <w:tc>
          <w:tcPr>
            <w:tcW w:w="1260" w:type="dxa"/>
            <w:tcBorders>
              <w:left w:val="nil"/>
              <w:right w:val="nil"/>
            </w:tcBorders>
            <w:shd w:val="clear" w:color="auto" w:fill="FFFFFF"/>
            <w:noWrap/>
          </w:tcPr>
          <w:p w14:paraId="094EE3FB"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0.6291</w:t>
            </w:r>
          </w:p>
        </w:tc>
        <w:tc>
          <w:tcPr>
            <w:tcW w:w="1260" w:type="dxa"/>
            <w:tcBorders>
              <w:left w:val="nil"/>
              <w:right w:val="nil"/>
            </w:tcBorders>
            <w:shd w:val="clear" w:color="auto" w:fill="FFFFFF"/>
            <w:noWrap/>
          </w:tcPr>
          <w:p w14:paraId="328CCA22"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0.7035</w:t>
            </w:r>
          </w:p>
        </w:tc>
        <w:tc>
          <w:tcPr>
            <w:tcW w:w="1080" w:type="dxa"/>
            <w:tcBorders>
              <w:left w:val="nil"/>
              <w:right w:val="nil"/>
            </w:tcBorders>
            <w:shd w:val="clear" w:color="auto" w:fill="FFFFFF"/>
            <w:noWrap/>
          </w:tcPr>
          <w:p w14:paraId="5E334BCC"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0.1358</w:t>
            </w:r>
          </w:p>
        </w:tc>
        <w:tc>
          <w:tcPr>
            <w:tcW w:w="1080" w:type="dxa"/>
            <w:tcBorders>
              <w:left w:val="nil"/>
              <w:right w:val="nil"/>
            </w:tcBorders>
            <w:shd w:val="clear" w:color="auto" w:fill="FFFFFF"/>
            <w:noWrap/>
          </w:tcPr>
          <w:p w14:paraId="70EFBBF4"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0.9798</w:t>
            </w:r>
          </w:p>
        </w:tc>
        <w:tc>
          <w:tcPr>
            <w:tcW w:w="1080" w:type="dxa"/>
            <w:tcBorders>
              <w:left w:val="nil"/>
              <w:right w:val="nil"/>
            </w:tcBorders>
            <w:shd w:val="clear" w:color="auto" w:fill="FFFFFF"/>
            <w:noWrap/>
          </w:tcPr>
          <w:p w14:paraId="380A8098"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0.4346</w:t>
            </w:r>
          </w:p>
        </w:tc>
        <w:tc>
          <w:tcPr>
            <w:tcW w:w="1080" w:type="dxa"/>
            <w:tcBorders>
              <w:left w:val="nil"/>
              <w:right w:val="nil"/>
            </w:tcBorders>
            <w:shd w:val="clear" w:color="auto" w:fill="FFFFFF"/>
            <w:noWrap/>
          </w:tcPr>
          <w:p w14:paraId="05F411ED"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0.4976</w:t>
            </w:r>
          </w:p>
        </w:tc>
      </w:tr>
      <w:tr w:rsidR="0017408F" w:rsidRPr="008B14A9" w14:paraId="7411B29E" w14:textId="77777777" w:rsidTr="00447D1C">
        <w:tc>
          <w:tcPr>
            <w:tcW w:w="1800" w:type="dxa"/>
            <w:shd w:val="clear" w:color="auto" w:fill="FFFFFF"/>
            <w:noWrap/>
          </w:tcPr>
          <w:p w14:paraId="308C06BD" w14:textId="77777777" w:rsidR="0017408F" w:rsidRPr="008B14A9" w:rsidRDefault="0017408F"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Significant</w:t>
            </w:r>
          </w:p>
        </w:tc>
        <w:tc>
          <w:tcPr>
            <w:tcW w:w="1080" w:type="dxa"/>
            <w:shd w:val="clear" w:color="auto" w:fill="FFFFFF"/>
            <w:noWrap/>
          </w:tcPr>
          <w:p w14:paraId="06EB5003"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0C694448"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3D6D32AE"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260" w:type="dxa"/>
            <w:shd w:val="clear" w:color="auto" w:fill="FFFFFF"/>
            <w:noWrap/>
          </w:tcPr>
          <w:p w14:paraId="213E23B7"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260" w:type="dxa"/>
            <w:shd w:val="clear" w:color="auto" w:fill="FFFFFF"/>
            <w:noWrap/>
          </w:tcPr>
          <w:p w14:paraId="67ECE989"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06C8269B"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477DC91F"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3F9988AC"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001D033C"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r>
    </w:tbl>
    <w:p w14:paraId="65FE3C7A" w14:textId="77777777" w:rsidR="0017408F" w:rsidRPr="008B14A9" w:rsidRDefault="0017408F" w:rsidP="008B14A9">
      <w:pPr>
        <w:jc w:val="both"/>
        <w:rPr>
          <w:rFonts w:ascii="Times New Roman" w:hAnsi="Times New Roman"/>
          <w:color w:val="000000"/>
          <w:sz w:val="24"/>
          <w:szCs w:val="24"/>
        </w:rPr>
      </w:pPr>
      <w:r w:rsidRPr="008B14A9">
        <w:rPr>
          <w:rFonts w:ascii="Times New Roman" w:hAnsi="Times New Roman"/>
          <w:b/>
          <w:color w:val="000000"/>
          <w:sz w:val="24"/>
          <w:szCs w:val="24"/>
        </w:rPr>
        <w:t>Keys:</w:t>
      </w:r>
      <w:r w:rsidRPr="008B14A9">
        <w:rPr>
          <w:rFonts w:ascii="Times New Roman" w:hAnsi="Times New Roman"/>
          <w:color w:val="000000"/>
          <w:sz w:val="24"/>
          <w:szCs w:val="24"/>
        </w:rPr>
        <w:t xml:space="preserve"> Na</w:t>
      </w:r>
      <w:r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Sodium, K</w:t>
      </w:r>
      <w:r w:rsidRPr="008B14A9">
        <w:rPr>
          <w:rFonts w:ascii="Times New Roman" w:hAnsi="Times New Roman"/>
          <w:color w:val="000000"/>
          <w:sz w:val="24"/>
          <w:szCs w:val="24"/>
          <w:vertAlign w:val="superscript"/>
        </w:rPr>
        <w:t>+</w:t>
      </w:r>
      <w:r w:rsidRPr="008B14A9">
        <w:rPr>
          <w:rFonts w:ascii="Times New Roman" w:hAnsi="Times New Roman"/>
          <w:color w:val="000000"/>
          <w:sz w:val="24"/>
          <w:szCs w:val="24"/>
        </w:rPr>
        <w:t xml:space="preserve"> = Potassium, Cl</w:t>
      </w:r>
      <w:r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Chloride, HCO</w:t>
      </w:r>
      <w:r w:rsidRPr="008B14A9">
        <w:rPr>
          <w:rFonts w:ascii="Times New Roman" w:hAnsi="Times New Roman"/>
          <w:color w:val="000000"/>
          <w:sz w:val="24"/>
          <w:szCs w:val="24"/>
          <w:vertAlign w:val="subscript"/>
        </w:rPr>
        <w:t>3</w:t>
      </w:r>
      <w:r w:rsidRPr="008B14A9">
        <w:rPr>
          <w:rFonts w:ascii="Times New Roman" w:hAnsi="Times New Roman"/>
          <w:color w:val="000000"/>
          <w:sz w:val="24"/>
          <w:szCs w:val="24"/>
        </w:rPr>
        <w:t xml:space="preserve"> = Bicarbonate, CRT=Creatinine, UA= Uric Acid, BMI = Body Mass Index, FBS = Fasting Blood sugar. BMI classification: Underweight = &lt;18.5, Norm</w:t>
      </w:r>
      <w:r w:rsidR="00415A6A" w:rsidRPr="008B14A9">
        <w:rPr>
          <w:rFonts w:ascii="Times New Roman" w:hAnsi="Times New Roman"/>
          <w:color w:val="000000"/>
          <w:sz w:val="24"/>
          <w:szCs w:val="24"/>
        </w:rPr>
        <w:t xml:space="preserve">al </w:t>
      </w:r>
      <w:r w:rsidRPr="008B14A9">
        <w:rPr>
          <w:rFonts w:ascii="Times New Roman" w:hAnsi="Times New Roman"/>
          <w:color w:val="000000"/>
          <w:sz w:val="24"/>
          <w:szCs w:val="24"/>
        </w:rPr>
        <w:t xml:space="preserve">weight = 18.5-24, Overweight = 25-30, Obese = &gt;30 </w:t>
      </w:r>
    </w:p>
    <w:p w14:paraId="6562FDBE" w14:textId="77777777" w:rsidR="00BC02D0" w:rsidRPr="008B14A9" w:rsidRDefault="00BC02D0" w:rsidP="008B14A9">
      <w:pPr>
        <w:jc w:val="both"/>
        <w:rPr>
          <w:rFonts w:ascii="Times New Roman" w:hAnsi="Times New Roman"/>
          <w:b/>
          <w:color w:val="000000"/>
          <w:sz w:val="24"/>
          <w:szCs w:val="24"/>
        </w:rPr>
      </w:pPr>
    </w:p>
    <w:p w14:paraId="21AD51AB" w14:textId="77777777" w:rsidR="00BC02D0" w:rsidRPr="008B14A9" w:rsidRDefault="00BC02D0" w:rsidP="008B14A9">
      <w:pPr>
        <w:jc w:val="both"/>
        <w:rPr>
          <w:rFonts w:ascii="Times New Roman" w:hAnsi="Times New Roman"/>
          <w:b/>
          <w:color w:val="000000"/>
          <w:sz w:val="24"/>
          <w:szCs w:val="24"/>
        </w:rPr>
      </w:pPr>
    </w:p>
    <w:p w14:paraId="1122D954" w14:textId="77777777" w:rsidR="00532864" w:rsidRPr="008B14A9" w:rsidRDefault="00532864" w:rsidP="008B14A9">
      <w:pPr>
        <w:jc w:val="both"/>
        <w:rPr>
          <w:rFonts w:ascii="Times New Roman" w:hAnsi="Times New Roman"/>
          <w:b/>
          <w:color w:val="000000"/>
          <w:sz w:val="24"/>
          <w:szCs w:val="24"/>
        </w:rPr>
      </w:pPr>
    </w:p>
    <w:p w14:paraId="00F81495" w14:textId="77777777" w:rsidR="00532864" w:rsidRPr="008B14A9" w:rsidRDefault="00532864" w:rsidP="008B14A9">
      <w:pPr>
        <w:jc w:val="both"/>
        <w:rPr>
          <w:rFonts w:ascii="Times New Roman" w:hAnsi="Times New Roman"/>
          <w:b/>
          <w:color w:val="000000"/>
          <w:sz w:val="24"/>
          <w:szCs w:val="24"/>
        </w:rPr>
      </w:pPr>
    </w:p>
    <w:p w14:paraId="483A39EC" w14:textId="77777777" w:rsidR="00BC02D0" w:rsidRPr="008B14A9" w:rsidRDefault="006C46D8" w:rsidP="008B14A9">
      <w:pPr>
        <w:jc w:val="both"/>
        <w:rPr>
          <w:rFonts w:ascii="Times New Roman" w:hAnsi="Times New Roman"/>
          <w:b/>
          <w:color w:val="000000"/>
          <w:sz w:val="24"/>
          <w:szCs w:val="24"/>
        </w:rPr>
      </w:pPr>
      <w:r w:rsidRPr="008B14A9">
        <w:rPr>
          <w:rFonts w:ascii="Times New Roman" w:hAnsi="Times New Roman"/>
          <w:b/>
          <w:color w:val="000000"/>
          <w:sz w:val="24"/>
          <w:szCs w:val="24"/>
        </w:rPr>
        <w:t xml:space="preserve">3.3 </w:t>
      </w:r>
      <w:r w:rsidR="00BC02D0" w:rsidRPr="008B14A9">
        <w:rPr>
          <w:rFonts w:ascii="Times New Roman" w:hAnsi="Times New Roman"/>
          <w:b/>
          <w:color w:val="000000"/>
          <w:sz w:val="24"/>
          <w:szCs w:val="24"/>
        </w:rPr>
        <w:t>Results of Correlation of BMI</w:t>
      </w:r>
      <w:r w:rsidR="00532864" w:rsidRPr="008B14A9">
        <w:rPr>
          <w:rFonts w:ascii="Times New Roman" w:hAnsi="Times New Roman"/>
          <w:b/>
          <w:color w:val="000000"/>
          <w:sz w:val="24"/>
          <w:szCs w:val="24"/>
        </w:rPr>
        <w:t xml:space="preserve"> agains</w:t>
      </w:r>
      <w:r w:rsidR="002B6E2A" w:rsidRPr="008B14A9">
        <w:rPr>
          <w:rFonts w:ascii="Times New Roman" w:hAnsi="Times New Roman"/>
          <w:b/>
          <w:color w:val="000000"/>
          <w:sz w:val="24"/>
          <w:szCs w:val="24"/>
        </w:rPr>
        <w:t>t Renal Function Parameters</w:t>
      </w:r>
      <w:r w:rsidR="00BC02D0" w:rsidRPr="008B14A9">
        <w:rPr>
          <w:rFonts w:ascii="Times New Roman" w:hAnsi="Times New Roman"/>
          <w:b/>
          <w:color w:val="000000"/>
          <w:sz w:val="24"/>
          <w:szCs w:val="24"/>
        </w:rPr>
        <w:t>, U</w:t>
      </w:r>
      <w:r w:rsidR="00532864" w:rsidRPr="008B14A9">
        <w:rPr>
          <w:rFonts w:ascii="Times New Roman" w:hAnsi="Times New Roman"/>
          <w:b/>
          <w:color w:val="000000"/>
          <w:sz w:val="24"/>
          <w:szCs w:val="24"/>
        </w:rPr>
        <w:t xml:space="preserve">rea </w:t>
      </w:r>
      <w:r w:rsidR="00BC02D0" w:rsidRPr="008B14A9">
        <w:rPr>
          <w:rFonts w:ascii="Times New Roman" w:hAnsi="Times New Roman"/>
          <w:b/>
          <w:color w:val="000000"/>
          <w:sz w:val="24"/>
          <w:szCs w:val="24"/>
        </w:rPr>
        <w:t>A</w:t>
      </w:r>
      <w:r w:rsidR="00532864" w:rsidRPr="008B14A9">
        <w:rPr>
          <w:rFonts w:ascii="Times New Roman" w:hAnsi="Times New Roman"/>
          <w:b/>
          <w:color w:val="000000"/>
          <w:sz w:val="24"/>
          <w:szCs w:val="24"/>
        </w:rPr>
        <w:t>cid</w:t>
      </w:r>
      <w:r w:rsidR="002B6E2A" w:rsidRPr="008B14A9">
        <w:rPr>
          <w:rFonts w:ascii="Times New Roman" w:hAnsi="Times New Roman"/>
          <w:b/>
          <w:color w:val="000000"/>
          <w:sz w:val="24"/>
          <w:szCs w:val="24"/>
        </w:rPr>
        <w:t xml:space="preserve">, </w:t>
      </w:r>
      <w:r w:rsidR="00BC02D0" w:rsidRPr="008B14A9">
        <w:rPr>
          <w:rFonts w:ascii="Times New Roman" w:hAnsi="Times New Roman"/>
          <w:b/>
          <w:color w:val="000000"/>
          <w:sz w:val="24"/>
          <w:szCs w:val="24"/>
        </w:rPr>
        <w:t>and Fasting Blood Sugar o</w:t>
      </w:r>
      <w:r w:rsidRPr="008B14A9">
        <w:rPr>
          <w:rFonts w:ascii="Times New Roman" w:hAnsi="Times New Roman"/>
          <w:b/>
          <w:color w:val="000000"/>
          <w:sz w:val="24"/>
          <w:szCs w:val="24"/>
        </w:rPr>
        <w:t>f Normal-weight Subjects</w:t>
      </w:r>
    </w:p>
    <w:p w14:paraId="7CCCE980" w14:textId="77777777" w:rsidR="00532864" w:rsidRPr="008B14A9" w:rsidRDefault="00532864" w:rsidP="008B14A9">
      <w:pPr>
        <w:jc w:val="both"/>
        <w:rPr>
          <w:rFonts w:ascii="Times New Roman" w:hAnsi="Times New Roman"/>
          <w:b/>
          <w:color w:val="000000"/>
          <w:sz w:val="24"/>
          <w:szCs w:val="24"/>
        </w:rPr>
      </w:pPr>
    </w:p>
    <w:p w14:paraId="5C26C5D7" w14:textId="77777777" w:rsidR="00BC02D0" w:rsidRPr="008B14A9" w:rsidRDefault="00BC02D0" w:rsidP="008B14A9">
      <w:pPr>
        <w:jc w:val="both"/>
        <w:rPr>
          <w:rFonts w:ascii="Times New Roman" w:hAnsi="Times New Roman"/>
          <w:color w:val="000000"/>
          <w:sz w:val="24"/>
          <w:szCs w:val="24"/>
        </w:rPr>
      </w:pPr>
      <w:r w:rsidRPr="008B14A9">
        <w:rPr>
          <w:rFonts w:ascii="Times New Roman" w:hAnsi="Times New Roman"/>
          <w:color w:val="000000"/>
          <w:sz w:val="24"/>
          <w:szCs w:val="24"/>
        </w:rPr>
        <w:t xml:space="preserve">Pearson correlation analysis showed </w:t>
      </w:r>
      <w:r w:rsidRPr="008B14A9">
        <w:rPr>
          <w:rFonts w:ascii="Times New Roman" w:hAnsi="Times New Roman"/>
          <w:bCs/>
          <w:color w:val="000000"/>
          <w:sz w:val="24"/>
          <w:szCs w:val="24"/>
        </w:rPr>
        <w:t>no significant associations</w:t>
      </w:r>
      <w:r w:rsidRPr="008B14A9">
        <w:rPr>
          <w:rFonts w:ascii="Times New Roman" w:hAnsi="Times New Roman"/>
          <w:color w:val="000000"/>
          <w:sz w:val="24"/>
          <w:szCs w:val="24"/>
        </w:rPr>
        <w:t xml:space="preserve"> </w:t>
      </w:r>
      <w:r w:rsidR="006C46D8" w:rsidRPr="008B14A9">
        <w:rPr>
          <w:rFonts w:ascii="Times New Roman" w:hAnsi="Times New Roman"/>
          <w:color w:val="000000"/>
          <w:sz w:val="24"/>
          <w:szCs w:val="24"/>
        </w:rPr>
        <w:t xml:space="preserve">between BMI and </w:t>
      </w:r>
      <w:r w:rsidRPr="008B14A9">
        <w:rPr>
          <w:rFonts w:ascii="Times New Roman" w:hAnsi="Times New Roman"/>
          <w:color w:val="000000"/>
          <w:sz w:val="24"/>
          <w:szCs w:val="24"/>
        </w:rPr>
        <w:t>Na</w:t>
      </w:r>
      <w:r w:rsidRPr="008B14A9">
        <w:rPr>
          <w:rFonts w:ascii="Times New Roman" w:eastAsia="MS Mincho" w:hAnsi="Times New Roman"/>
          <w:color w:val="000000"/>
          <w:sz w:val="24"/>
          <w:szCs w:val="24"/>
        </w:rPr>
        <w:t>⁺</w:t>
      </w:r>
      <w:r w:rsidRPr="008B14A9">
        <w:rPr>
          <w:rFonts w:ascii="Times New Roman" w:hAnsi="Times New Roman"/>
          <w:color w:val="000000"/>
          <w:sz w:val="24"/>
          <w:szCs w:val="24"/>
        </w:rPr>
        <w:t>, K</w:t>
      </w:r>
      <w:r w:rsidRPr="008B14A9">
        <w:rPr>
          <w:rFonts w:ascii="Times New Roman" w:eastAsia="MS Mincho" w:hAnsi="Times New Roman"/>
          <w:color w:val="000000"/>
          <w:sz w:val="24"/>
          <w:szCs w:val="24"/>
        </w:rPr>
        <w:t>⁺</w:t>
      </w:r>
      <w:r w:rsidRPr="008B14A9">
        <w:rPr>
          <w:rFonts w:ascii="Times New Roman" w:hAnsi="Times New Roman"/>
          <w:color w:val="000000"/>
          <w:sz w:val="24"/>
          <w:szCs w:val="24"/>
        </w:rPr>
        <w:t>, Cl</w:t>
      </w:r>
      <w:r w:rsidRPr="008B14A9">
        <w:rPr>
          <w:rFonts w:ascii="Times New Roman" w:eastAsia="MS Mincho" w:hAnsi="Times New Roman"/>
          <w:color w:val="000000"/>
          <w:sz w:val="24"/>
          <w:szCs w:val="24"/>
        </w:rPr>
        <w:t>⁻</w:t>
      </w:r>
      <w:r w:rsidRPr="008B14A9">
        <w:rPr>
          <w:rFonts w:ascii="Times New Roman" w:hAnsi="Times New Roman"/>
          <w:color w:val="000000"/>
          <w:sz w:val="24"/>
          <w:szCs w:val="24"/>
        </w:rPr>
        <w:t xml:space="preserve">, </w:t>
      </w:r>
      <w:r w:rsidR="004C0068" w:rsidRPr="008B14A9">
        <w:rPr>
          <w:rFonts w:ascii="Times New Roman" w:hAnsi="Times New Roman"/>
          <w:bCs/>
          <w:color w:val="000000"/>
          <w:sz w:val="24"/>
          <w:szCs w:val="24"/>
        </w:rPr>
        <w:t>HCO</w:t>
      </w:r>
      <w:r w:rsidR="004C0068" w:rsidRPr="008B14A9">
        <w:rPr>
          <w:rFonts w:ascii="Times New Roman" w:hAnsi="Times New Roman"/>
          <w:bCs/>
          <w:color w:val="000000"/>
          <w:sz w:val="24"/>
          <w:szCs w:val="24"/>
          <w:vertAlign w:val="superscript"/>
        </w:rPr>
        <w:t>-</w:t>
      </w:r>
      <w:r w:rsidR="004C0068" w:rsidRPr="008B14A9">
        <w:rPr>
          <w:rFonts w:ascii="Times New Roman" w:hAnsi="Times New Roman"/>
          <w:bCs/>
          <w:color w:val="000000"/>
          <w:sz w:val="24"/>
          <w:szCs w:val="24"/>
          <w:vertAlign w:val="subscript"/>
        </w:rPr>
        <w:t>3</w:t>
      </w:r>
      <w:r w:rsidRPr="008B14A9">
        <w:rPr>
          <w:rFonts w:ascii="Times New Roman" w:hAnsi="Times New Roman"/>
          <w:color w:val="000000"/>
          <w:sz w:val="24"/>
          <w:szCs w:val="24"/>
        </w:rPr>
        <w:t>, urea, FBS, and age (</w:t>
      </w:r>
      <w:r w:rsidRPr="008B14A9">
        <w:rPr>
          <w:rFonts w:ascii="Times New Roman" w:hAnsi="Times New Roman"/>
          <w:i/>
          <w:iCs/>
          <w:color w:val="000000"/>
          <w:sz w:val="24"/>
          <w:szCs w:val="24"/>
        </w:rPr>
        <w:t>p</w:t>
      </w:r>
      <w:r w:rsidRPr="008B14A9">
        <w:rPr>
          <w:rFonts w:ascii="Times New Roman" w:hAnsi="Times New Roman"/>
          <w:color w:val="000000"/>
          <w:sz w:val="24"/>
          <w:szCs w:val="24"/>
        </w:rPr>
        <w:t xml:space="preserve"> &gt; 0.05). A </w:t>
      </w:r>
      <w:r w:rsidRPr="008B14A9">
        <w:rPr>
          <w:rFonts w:ascii="Times New Roman" w:hAnsi="Times New Roman"/>
          <w:bCs/>
          <w:color w:val="000000"/>
          <w:sz w:val="24"/>
          <w:szCs w:val="24"/>
        </w:rPr>
        <w:t>significant positive correlation</w:t>
      </w:r>
      <w:r w:rsidRPr="008B14A9">
        <w:rPr>
          <w:rFonts w:ascii="Times New Roman" w:hAnsi="Times New Roman"/>
          <w:color w:val="000000"/>
          <w:sz w:val="24"/>
          <w:szCs w:val="24"/>
        </w:rPr>
        <w:t xml:space="preserve"> was observ</w:t>
      </w:r>
      <w:r w:rsidR="008A6859" w:rsidRPr="008B14A9">
        <w:rPr>
          <w:rFonts w:ascii="Times New Roman" w:hAnsi="Times New Roman"/>
          <w:color w:val="000000"/>
          <w:sz w:val="24"/>
          <w:szCs w:val="24"/>
        </w:rPr>
        <w:t>ed between BMI and creatinine (r</w:t>
      </w:r>
      <w:r w:rsidRPr="008B14A9">
        <w:rPr>
          <w:rFonts w:ascii="Times New Roman" w:hAnsi="Times New Roman"/>
          <w:color w:val="000000"/>
          <w:sz w:val="24"/>
          <w:szCs w:val="24"/>
        </w:rPr>
        <w:t xml:space="preserve"> = 0.448, </w:t>
      </w:r>
      <w:r w:rsidRPr="008B14A9">
        <w:rPr>
          <w:rFonts w:ascii="Times New Roman" w:hAnsi="Times New Roman"/>
          <w:i/>
          <w:iCs/>
          <w:color w:val="000000"/>
          <w:sz w:val="24"/>
          <w:szCs w:val="24"/>
        </w:rPr>
        <w:t>p</w:t>
      </w:r>
      <w:r w:rsidRPr="008B14A9">
        <w:rPr>
          <w:rFonts w:ascii="Times New Roman" w:hAnsi="Times New Roman"/>
          <w:color w:val="000000"/>
          <w:sz w:val="24"/>
          <w:szCs w:val="24"/>
        </w:rPr>
        <w:t xml:space="preserve"> = 0.0079) in the normal-weight subjects.</w:t>
      </w:r>
    </w:p>
    <w:p w14:paraId="5680A9FD" w14:textId="77777777" w:rsidR="00B45E8C" w:rsidRPr="008B14A9" w:rsidRDefault="00B45E8C" w:rsidP="008B14A9">
      <w:pPr>
        <w:jc w:val="both"/>
        <w:rPr>
          <w:rFonts w:ascii="Times New Roman" w:hAnsi="Times New Roman"/>
          <w:b/>
          <w:color w:val="000000"/>
          <w:sz w:val="24"/>
          <w:szCs w:val="24"/>
        </w:rPr>
      </w:pPr>
      <w:r w:rsidRPr="008B14A9">
        <w:rPr>
          <w:rFonts w:ascii="Times New Roman" w:hAnsi="Times New Roman"/>
          <w:b/>
          <w:color w:val="000000"/>
          <w:sz w:val="24"/>
          <w:szCs w:val="24"/>
        </w:rPr>
        <w:t>Table 3: Results of Correlation of BMI against Electrolytes, Urea, CRT, UA, Age, and Fasting Blood Sugar of Normal-weight Subjects of JABU</w:t>
      </w:r>
    </w:p>
    <w:tbl>
      <w:tblPr>
        <w:tblW w:w="11700" w:type="dxa"/>
        <w:tblInd w:w="-1512" w:type="dxa"/>
        <w:tblBorders>
          <w:top w:val="single" w:sz="8" w:space="0" w:color="000000"/>
          <w:bottom w:val="single" w:sz="8" w:space="0" w:color="000000"/>
        </w:tblBorders>
        <w:tblLayout w:type="fixed"/>
        <w:tblLook w:val="00A0" w:firstRow="1" w:lastRow="0" w:firstColumn="1" w:lastColumn="0" w:noHBand="0" w:noVBand="0"/>
      </w:tblPr>
      <w:tblGrid>
        <w:gridCol w:w="1800"/>
        <w:gridCol w:w="1080"/>
        <w:gridCol w:w="1080"/>
        <w:gridCol w:w="1080"/>
        <w:gridCol w:w="1080"/>
        <w:gridCol w:w="1260"/>
        <w:gridCol w:w="1080"/>
        <w:gridCol w:w="1080"/>
        <w:gridCol w:w="1080"/>
        <w:gridCol w:w="1080"/>
      </w:tblGrid>
      <w:tr w:rsidR="00B45E8C" w:rsidRPr="008B14A9" w14:paraId="41E0FC0B" w14:textId="77777777" w:rsidTr="00C47CA9">
        <w:tc>
          <w:tcPr>
            <w:tcW w:w="1800" w:type="dxa"/>
            <w:tcBorders>
              <w:top w:val="single" w:sz="8" w:space="0" w:color="000000"/>
              <w:left w:val="nil"/>
              <w:bottom w:val="single" w:sz="8" w:space="0" w:color="000000"/>
              <w:right w:val="nil"/>
            </w:tcBorders>
            <w:shd w:val="clear" w:color="auto" w:fill="FFFFFF"/>
            <w:noWrap/>
          </w:tcPr>
          <w:p w14:paraId="2106236E" w14:textId="77777777" w:rsidR="00B45E8C" w:rsidRPr="008B14A9" w:rsidRDefault="002822C2"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Pearson Correlation</w:t>
            </w:r>
          </w:p>
        </w:tc>
        <w:tc>
          <w:tcPr>
            <w:tcW w:w="1080" w:type="dxa"/>
            <w:tcBorders>
              <w:top w:val="single" w:sz="8" w:space="0" w:color="000000"/>
              <w:left w:val="nil"/>
              <w:bottom w:val="single" w:sz="8" w:space="0" w:color="000000"/>
              <w:right w:val="nil"/>
            </w:tcBorders>
            <w:shd w:val="clear" w:color="auto" w:fill="FFFFFF"/>
            <w:noWrap/>
          </w:tcPr>
          <w:p w14:paraId="038A089C" w14:textId="77777777" w:rsidR="00B45E8C" w:rsidRPr="008B14A9" w:rsidRDefault="002C5C71" w:rsidP="008B14A9">
            <w:pPr>
              <w:jc w:val="both"/>
              <w:rPr>
                <w:rFonts w:ascii="Times New Roman" w:hAnsi="Times New Roman"/>
                <w:b/>
                <w:bCs/>
                <w:color w:val="000000"/>
                <w:sz w:val="24"/>
                <w:szCs w:val="24"/>
                <w:vertAlign w:val="superscript"/>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B45E8C" w:rsidRPr="008B14A9">
              <w:rPr>
                <w:rFonts w:ascii="Times New Roman" w:hAnsi="Times New Roman"/>
                <w:b/>
                <w:bCs/>
                <w:color w:val="000000"/>
                <w:sz w:val="24"/>
                <w:szCs w:val="24"/>
              </w:rPr>
              <w:br/>
              <w:t>Na</w:t>
            </w:r>
            <w:r w:rsidR="00B45E8C"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6178ED63" w14:textId="77777777" w:rsidR="00B45E8C"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B45E8C" w:rsidRPr="008B14A9">
              <w:rPr>
                <w:rFonts w:ascii="Times New Roman" w:hAnsi="Times New Roman"/>
                <w:b/>
                <w:bCs/>
                <w:color w:val="000000"/>
                <w:sz w:val="24"/>
                <w:szCs w:val="24"/>
              </w:rPr>
              <w:br/>
              <w:t>K</w:t>
            </w:r>
            <w:r w:rsidR="00B45E8C"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7737C8F3" w14:textId="77777777" w:rsidR="00B45E8C" w:rsidRPr="008B14A9" w:rsidRDefault="002C5C71" w:rsidP="008B14A9">
            <w:pPr>
              <w:jc w:val="both"/>
              <w:rPr>
                <w:rFonts w:ascii="Times New Roman" w:hAnsi="Times New Roman"/>
                <w:b/>
                <w:bCs/>
                <w:color w:val="000000"/>
                <w:sz w:val="24"/>
                <w:szCs w:val="24"/>
                <w:vertAlign w:val="superscript"/>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 xml:space="preserve">too </w:t>
            </w:r>
            <w:r w:rsidR="00B45E8C" w:rsidRPr="008B14A9">
              <w:rPr>
                <w:rFonts w:ascii="Times New Roman" w:hAnsi="Times New Roman"/>
                <w:b/>
                <w:bCs/>
                <w:color w:val="000000"/>
                <w:sz w:val="24"/>
                <w:szCs w:val="24"/>
              </w:rPr>
              <w:br/>
              <w:t>Cl</w:t>
            </w:r>
            <w:r w:rsidR="00B45E8C"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32251840" w14:textId="77777777" w:rsidR="00B45E8C"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B45E8C" w:rsidRPr="008B14A9">
              <w:rPr>
                <w:rFonts w:ascii="Times New Roman" w:hAnsi="Times New Roman"/>
                <w:b/>
                <w:bCs/>
                <w:color w:val="000000"/>
                <w:sz w:val="24"/>
                <w:szCs w:val="24"/>
              </w:rPr>
              <w:br/>
              <w:t>HCO</w:t>
            </w:r>
            <w:r w:rsidR="00B45E8C" w:rsidRPr="008B14A9">
              <w:rPr>
                <w:rFonts w:ascii="Times New Roman" w:hAnsi="Times New Roman"/>
                <w:b/>
                <w:bCs/>
                <w:color w:val="000000"/>
                <w:sz w:val="24"/>
                <w:szCs w:val="24"/>
                <w:vertAlign w:val="superscript"/>
              </w:rPr>
              <w:t>-</w:t>
            </w:r>
            <w:r w:rsidR="00B45E8C" w:rsidRPr="008B14A9">
              <w:rPr>
                <w:rFonts w:ascii="Times New Roman" w:hAnsi="Times New Roman"/>
                <w:b/>
                <w:bCs/>
                <w:color w:val="000000"/>
                <w:sz w:val="24"/>
                <w:szCs w:val="24"/>
                <w:vertAlign w:val="subscript"/>
              </w:rPr>
              <w:t>3</w:t>
            </w:r>
          </w:p>
        </w:tc>
        <w:tc>
          <w:tcPr>
            <w:tcW w:w="1260" w:type="dxa"/>
            <w:tcBorders>
              <w:top w:val="single" w:sz="8" w:space="0" w:color="000000"/>
              <w:left w:val="nil"/>
              <w:bottom w:val="single" w:sz="8" w:space="0" w:color="000000"/>
              <w:right w:val="nil"/>
            </w:tcBorders>
            <w:shd w:val="clear" w:color="auto" w:fill="FFFFFF"/>
            <w:noWrap/>
          </w:tcPr>
          <w:p w14:paraId="54202065" w14:textId="77777777" w:rsidR="00B45E8C"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B45E8C" w:rsidRPr="008B14A9">
              <w:rPr>
                <w:rFonts w:ascii="Times New Roman" w:hAnsi="Times New Roman"/>
                <w:b/>
                <w:bCs/>
                <w:color w:val="000000"/>
                <w:sz w:val="24"/>
                <w:szCs w:val="24"/>
              </w:rPr>
              <w:br/>
              <w:t>UREA</w:t>
            </w:r>
          </w:p>
        </w:tc>
        <w:tc>
          <w:tcPr>
            <w:tcW w:w="1080" w:type="dxa"/>
            <w:tcBorders>
              <w:top w:val="single" w:sz="8" w:space="0" w:color="000000"/>
              <w:left w:val="nil"/>
              <w:bottom w:val="single" w:sz="8" w:space="0" w:color="000000"/>
              <w:right w:val="nil"/>
            </w:tcBorders>
            <w:shd w:val="clear" w:color="auto" w:fill="FFFFFF"/>
            <w:noWrap/>
          </w:tcPr>
          <w:p w14:paraId="6F87B807" w14:textId="77777777" w:rsidR="00B45E8C"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B45E8C" w:rsidRPr="008B14A9">
              <w:rPr>
                <w:rFonts w:ascii="Times New Roman" w:hAnsi="Times New Roman"/>
                <w:b/>
                <w:bCs/>
                <w:color w:val="000000"/>
                <w:sz w:val="24"/>
                <w:szCs w:val="24"/>
              </w:rPr>
              <w:br/>
              <w:t>CRT</w:t>
            </w:r>
          </w:p>
        </w:tc>
        <w:tc>
          <w:tcPr>
            <w:tcW w:w="1080" w:type="dxa"/>
            <w:tcBorders>
              <w:top w:val="single" w:sz="8" w:space="0" w:color="000000"/>
              <w:left w:val="nil"/>
              <w:bottom w:val="single" w:sz="8" w:space="0" w:color="000000"/>
              <w:right w:val="nil"/>
            </w:tcBorders>
            <w:shd w:val="clear" w:color="auto" w:fill="FFFFFF"/>
            <w:noWrap/>
          </w:tcPr>
          <w:p w14:paraId="44ABCF9E" w14:textId="77777777" w:rsidR="00B45E8C"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B45E8C" w:rsidRPr="008B14A9">
              <w:rPr>
                <w:rFonts w:ascii="Times New Roman" w:hAnsi="Times New Roman"/>
                <w:b/>
                <w:bCs/>
                <w:color w:val="000000"/>
                <w:sz w:val="24"/>
                <w:szCs w:val="24"/>
              </w:rPr>
              <w:br/>
              <w:t>UA</w:t>
            </w:r>
          </w:p>
        </w:tc>
        <w:tc>
          <w:tcPr>
            <w:tcW w:w="1080" w:type="dxa"/>
            <w:tcBorders>
              <w:top w:val="single" w:sz="8" w:space="0" w:color="000000"/>
              <w:left w:val="nil"/>
              <w:bottom w:val="single" w:sz="8" w:space="0" w:color="000000"/>
              <w:right w:val="nil"/>
            </w:tcBorders>
            <w:shd w:val="clear" w:color="auto" w:fill="FFFFFF"/>
            <w:noWrap/>
          </w:tcPr>
          <w:p w14:paraId="0E48A99B" w14:textId="77777777" w:rsidR="00B45E8C"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B45E8C" w:rsidRPr="008B14A9">
              <w:rPr>
                <w:rFonts w:ascii="Times New Roman" w:hAnsi="Times New Roman"/>
                <w:b/>
                <w:bCs/>
                <w:color w:val="000000"/>
                <w:sz w:val="24"/>
                <w:szCs w:val="24"/>
              </w:rPr>
              <w:br/>
              <w:t>FBS</w:t>
            </w:r>
          </w:p>
        </w:tc>
        <w:tc>
          <w:tcPr>
            <w:tcW w:w="1080" w:type="dxa"/>
            <w:tcBorders>
              <w:top w:val="single" w:sz="8" w:space="0" w:color="000000"/>
              <w:left w:val="nil"/>
              <w:bottom w:val="single" w:sz="8" w:space="0" w:color="000000"/>
              <w:right w:val="nil"/>
            </w:tcBorders>
            <w:shd w:val="clear" w:color="auto" w:fill="FFFFFF"/>
            <w:noWrap/>
          </w:tcPr>
          <w:p w14:paraId="149F648C" w14:textId="77777777" w:rsidR="00B45E8C"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40211F" w:rsidRPr="008B14A9">
              <w:rPr>
                <w:rFonts w:ascii="Times New Roman" w:hAnsi="Times New Roman"/>
                <w:b/>
                <w:bCs/>
                <w:color w:val="000000"/>
                <w:sz w:val="24"/>
                <w:szCs w:val="24"/>
              </w:rPr>
              <w:br/>
              <w:t>Age</w:t>
            </w:r>
          </w:p>
        </w:tc>
      </w:tr>
      <w:tr w:rsidR="00B45E8C" w:rsidRPr="008B14A9" w14:paraId="768C0FEC" w14:textId="77777777" w:rsidTr="00C47CA9">
        <w:tc>
          <w:tcPr>
            <w:tcW w:w="1800" w:type="dxa"/>
            <w:shd w:val="clear" w:color="auto" w:fill="FFFFFF"/>
            <w:noWrap/>
          </w:tcPr>
          <w:p w14:paraId="6F31F9C6" w14:textId="77777777" w:rsidR="00B45E8C" w:rsidRPr="008B14A9" w:rsidRDefault="00B45E8C"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R</w:t>
            </w:r>
          </w:p>
        </w:tc>
        <w:tc>
          <w:tcPr>
            <w:tcW w:w="1080" w:type="dxa"/>
            <w:shd w:val="clear" w:color="auto" w:fill="FFFFFF"/>
            <w:noWrap/>
          </w:tcPr>
          <w:p w14:paraId="6B482194"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-0.3269</w:t>
            </w:r>
          </w:p>
        </w:tc>
        <w:tc>
          <w:tcPr>
            <w:tcW w:w="1080" w:type="dxa"/>
            <w:shd w:val="clear" w:color="auto" w:fill="FFFFFF"/>
            <w:noWrap/>
          </w:tcPr>
          <w:p w14:paraId="493D2652"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0.1037</w:t>
            </w:r>
          </w:p>
        </w:tc>
        <w:tc>
          <w:tcPr>
            <w:tcW w:w="1080" w:type="dxa"/>
            <w:shd w:val="clear" w:color="auto" w:fill="FFFFFF"/>
            <w:noWrap/>
          </w:tcPr>
          <w:p w14:paraId="49F405DC"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-0.2723</w:t>
            </w:r>
          </w:p>
        </w:tc>
        <w:tc>
          <w:tcPr>
            <w:tcW w:w="1080" w:type="dxa"/>
            <w:shd w:val="clear" w:color="auto" w:fill="FFFFFF"/>
            <w:noWrap/>
          </w:tcPr>
          <w:p w14:paraId="31919C3E"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-0.2430</w:t>
            </w:r>
          </w:p>
        </w:tc>
        <w:tc>
          <w:tcPr>
            <w:tcW w:w="1260" w:type="dxa"/>
            <w:shd w:val="clear" w:color="auto" w:fill="FFFFFF"/>
            <w:noWrap/>
          </w:tcPr>
          <w:p w14:paraId="3A23CFC4"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0.1860</w:t>
            </w:r>
          </w:p>
        </w:tc>
        <w:tc>
          <w:tcPr>
            <w:tcW w:w="1080" w:type="dxa"/>
            <w:shd w:val="clear" w:color="auto" w:fill="FFFFFF"/>
            <w:noWrap/>
          </w:tcPr>
          <w:p w14:paraId="0AE6527F"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0.1151</w:t>
            </w:r>
          </w:p>
        </w:tc>
        <w:tc>
          <w:tcPr>
            <w:tcW w:w="1080" w:type="dxa"/>
            <w:shd w:val="clear" w:color="auto" w:fill="FFFFFF"/>
            <w:noWrap/>
          </w:tcPr>
          <w:p w14:paraId="40F77FC5"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0.4476</w:t>
            </w:r>
          </w:p>
        </w:tc>
        <w:tc>
          <w:tcPr>
            <w:tcW w:w="1080" w:type="dxa"/>
            <w:shd w:val="clear" w:color="auto" w:fill="FFFFFF"/>
            <w:noWrap/>
          </w:tcPr>
          <w:p w14:paraId="71ED73CB"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0.0551</w:t>
            </w:r>
          </w:p>
        </w:tc>
        <w:tc>
          <w:tcPr>
            <w:tcW w:w="1080" w:type="dxa"/>
            <w:shd w:val="clear" w:color="auto" w:fill="FFFFFF"/>
            <w:noWrap/>
          </w:tcPr>
          <w:p w14:paraId="3D801AAC"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0.1877</w:t>
            </w:r>
          </w:p>
        </w:tc>
      </w:tr>
      <w:tr w:rsidR="00B45E8C" w:rsidRPr="008B14A9" w14:paraId="12512DFF" w14:textId="77777777" w:rsidTr="00C47CA9">
        <w:tc>
          <w:tcPr>
            <w:tcW w:w="1800" w:type="dxa"/>
            <w:tcBorders>
              <w:left w:val="nil"/>
              <w:right w:val="nil"/>
            </w:tcBorders>
            <w:shd w:val="clear" w:color="auto" w:fill="FFFFFF"/>
            <w:noWrap/>
          </w:tcPr>
          <w:p w14:paraId="764BCFF6" w14:textId="77777777" w:rsidR="00B45E8C" w:rsidRPr="008B14A9" w:rsidRDefault="00B45E8C"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P (two-tailed)</w:t>
            </w:r>
          </w:p>
        </w:tc>
        <w:tc>
          <w:tcPr>
            <w:tcW w:w="1080" w:type="dxa"/>
            <w:tcBorders>
              <w:left w:val="nil"/>
              <w:right w:val="nil"/>
            </w:tcBorders>
            <w:shd w:val="clear" w:color="auto" w:fill="FFFFFF"/>
            <w:noWrap/>
          </w:tcPr>
          <w:p w14:paraId="5575FA8A"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0.0592</w:t>
            </w:r>
          </w:p>
        </w:tc>
        <w:tc>
          <w:tcPr>
            <w:tcW w:w="1080" w:type="dxa"/>
            <w:tcBorders>
              <w:left w:val="nil"/>
              <w:right w:val="nil"/>
            </w:tcBorders>
            <w:shd w:val="clear" w:color="auto" w:fill="FFFFFF"/>
            <w:noWrap/>
          </w:tcPr>
          <w:p w14:paraId="2A1968CF"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0.5594</w:t>
            </w:r>
          </w:p>
        </w:tc>
        <w:tc>
          <w:tcPr>
            <w:tcW w:w="1080" w:type="dxa"/>
            <w:tcBorders>
              <w:left w:val="nil"/>
              <w:right w:val="nil"/>
            </w:tcBorders>
            <w:shd w:val="clear" w:color="auto" w:fill="FFFFFF"/>
            <w:noWrap/>
          </w:tcPr>
          <w:p w14:paraId="2BD69D86"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0.1192</w:t>
            </w:r>
          </w:p>
        </w:tc>
        <w:tc>
          <w:tcPr>
            <w:tcW w:w="1080" w:type="dxa"/>
            <w:tcBorders>
              <w:left w:val="nil"/>
              <w:right w:val="nil"/>
            </w:tcBorders>
            <w:shd w:val="clear" w:color="auto" w:fill="FFFFFF"/>
            <w:noWrap/>
          </w:tcPr>
          <w:p w14:paraId="6365ECBA"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0.1662</w:t>
            </w:r>
          </w:p>
        </w:tc>
        <w:tc>
          <w:tcPr>
            <w:tcW w:w="1260" w:type="dxa"/>
            <w:tcBorders>
              <w:left w:val="nil"/>
              <w:right w:val="nil"/>
            </w:tcBorders>
            <w:shd w:val="clear" w:color="auto" w:fill="FFFFFF"/>
            <w:noWrap/>
          </w:tcPr>
          <w:p w14:paraId="58378D9C"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0.2922</w:t>
            </w:r>
          </w:p>
        </w:tc>
        <w:tc>
          <w:tcPr>
            <w:tcW w:w="1080" w:type="dxa"/>
            <w:tcBorders>
              <w:left w:val="nil"/>
              <w:right w:val="nil"/>
            </w:tcBorders>
            <w:shd w:val="clear" w:color="auto" w:fill="FFFFFF"/>
            <w:noWrap/>
          </w:tcPr>
          <w:p w14:paraId="6640850B"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0.5170</w:t>
            </w:r>
          </w:p>
        </w:tc>
        <w:tc>
          <w:tcPr>
            <w:tcW w:w="1080" w:type="dxa"/>
            <w:tcBorders>
              <w:left w:val="nil"/>
              <w:right w:val="nil"/>
            </w:tcBorders>
            <w:shd w:val="clear" w:color="auto" w:fill="FFFFFF"/>
            <w:noWrap/>
          </w:tcPr>
          <w:p w14:paraId="543CDC00"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0.0079</w:t>
            </w:r>
          </w:p>
        </w:tc>
        <w:tc>
          <w:tcPr>
            <w:tcW w:w="1080" w:type="dxa"/>
            <w:tcBorders>
              <w:left w:val="nil"/>
              <w:right w:val="nil"/>
            </w:tcBorders>
            <w:shd w:val="clear" w:color="auto" w:fill="FFFFFF"/>
            <w:noWrap/>
          </w:tcPr>
          <w:p w14:paraId="3DD0C025"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0.7566</w:t>
            </w:r>
          </w:p>
        </w:tc>
        <w:tc>
          <w:tcPr>
            <w:tcW w:w="1080" w:type="dxa"/>
            <w:tcBorders>
              <w:left w:val="nil"/>
              <w:right w:val="nil"/>
            </w:tcBorders>
            <w:shd w:val="clear" w:color="auto" w:fill="FFFFFF"/>
            <w:noWrap/>
          </w:tcPr>
          <w:p w14:paraId="0C68249C"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0.2879</w:t>
            </w:r>
          </w:p>
        </w:tc>
      </w:tr>
      <w:tr w:rsidR="00B45E8C" w:rsidRPr="008B14A9" w14:paraId="6DB3F99D" w14:textId="77777777" w:rsidTr="00C47CA9">
        <w:tc>
          <w:tcPr>
            <w:tcW w:w="1800" w:type="dxa"/>
            <w:shd w:val="clear" w:color="auto" w:fill="FFFFFF"/>
            <w:noWrap/>
          </w:tcPr>
          <w:p w14:paraId="4F5E4163" w14:textId="77777777" w:rsidR="00B45E8C" w:rsidRPr="008B14A9" w:rsidRDefault="00B45E8C"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Significant</w:t>
            </w:r>
          </w:p>
        </w:tc>
        <w:tc>
          <w:tcPr>
            <w:tcW w:w="1080" w:type="dxa"/>
            <w:shd w:val="clear" w:color="auto" w:fill="FFFFFF"/>
            <w:noWrap/>
          </w:tcPr>
          <w:p w14:paraId="6DFF642E"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79B32428"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687EFE80"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6AF66AF6"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260" w:type="dxa"/>
            <w:shd w:val="clear" w:color="auto" w:fill="FFFFFF"/>
            <w:noWrap/>
          </w:tcPr>
          <w:p w14:paraId="0A723FE1"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5C094C6A"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6BC568C1"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Yes</w:t>
            </w:r>
          </w:p>
        </w:tc>
        <w:tc>
          <w:tcPr>
            <w:tcW w:w="1080" w:type="dxa"/>
            <w:shd w:val="clear" w:color="auto" w:fill="FFFFFF"/>
            <w:noWrap/>
          </w:tcPr>
          <w:p w14:paraId="0F50A3AF"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23A435E3"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r>
    </w:tbl>
    <w:p w14:paraId="2C7BE60F" w14:textId="77777777" w:rsidR="00B45E8C" w:rsidRPr="008B14A9" w:rsidRDefault="00B45E8C" w:rsidP="008B14A9">
      <w:pPr>
        <w:jc w:val="both"/>
        <w:rPr>
          <w:rFonts w:ascii="Times New Roman" w:hAnsi="Times New Roman"/>
          <w:color w:val="000000"/>
          <w:sz w:val="24"/>
          <w:szCs w:val="24"/>
        </w:rPr>
      </w:pPr>
      <w:r w:rsidRPr="008B14A9">
        <w:rPr>
          <w:rFonts w:ascii="Times New Roman" w:hAnsi="Times New Roman"/>
          <w:b/>
          <w:color w:val="000000"/>
          <w:sz w:val="24"/>
          <w:szCs w:val="24"/>
        </w:rPr>
        <w:t xml:space="preserve">Keys: </w:t>
      </w:r>
      <w:r w:rsidRPr="008B14A9">
        <w:rPr>
          <w:rFonts w:ascii="Times New Roman" w:hAnsi="Times New Roman"/>
          <w:color w:val="000000"/>
          <w:sz w:val="24"/>
          <w:szCs w:val="24"/>
        </w:rPr>
        <w:t>Na</w:t>
      </w:r>
      <w:r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Sodium, K</w:t>
      </w:r>
      <w:r w:rsidRPr="008B14A9">
        <w:rPr>
          <w:rFonts w:ascii="Times New Roman" w:hAnsi="Times New Roman"/>
          <w:color w:val="000000"/>
          <w:sz w:val="24"/>
          <w:szCs w:val="24"/>
          <w:vertAlign w:val="superscript"/>
        </w:rPr>
        <w:t>+</w:t>
      </w:r>
      <w:r w:rsidRPr="008B14A9">
        <w:rPr>
          <w:rFonts w:ascii="Times New Roman" w:hAnsi="Times New Roman"/>
          <w:color w:val="000000"/>
          <w:sz w:val="24"/>
          <w:szCs w:val="24"/>
        </w:rPr>
        <w:t xml:space="preserve"> = Potassium, Cl</w:t>
      </w:r>
      <w:r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Chloride, HCO</w:t>
      </w:r>
      <w:r w:rsidRPr="008B14A9">
        <w:rPr>
          <w:rFonts w:ascii="Times New Roman" w:hAnsi="Times New Roman"/>
          <w:color w:val="000000"/>
          <w:sz w:val="24"/>
          <w:szCs w:val="24"/>
          <w:vertAlign w:val="subscript"/>
        </w:rPr>
        <w:t>3</w:t>
      </w:r>
      <w:r w:rsidRPr="008B14A9">
        <w:rPr>
          <w:rFonts w:ascii="Times New Roman" w:hAnsi="Times New Roman"/>
          <w:color w:val="000000"/>
          <w:sz w:val="24"/>
          <w:szCs w:val="24"/>
        </w:rPr>
        <w:t xml:space="preserve"> = Bicarbonate, CRT=Creatinine, UA= Uric Acid, BMI = Body Mass Index, FBS = Fasting Blood sugar. </w:t>
      </w:r>
      <w:r w:rsidR="0052087F" w:rsidRPr="008B14A9">
        <w:rPr>
          <w:rFonts w:ascii="Times New Roman" w:hAnsi="Times New Roman"/>
          <w:color w:val="000000"/>
          <w:sz w:val="24"/>
          <w:szCs w:val="24"/>
        </w:rPr>
        <w:t xml:space="preserve"> </w:t>
      </w:r>
      <w:r w:rsidRPr="008B14A9">
        <w:rPr>
          <w:rFonts w:ascii="Times New Roman" w:hAnsi="Times New Roman"/>
          <w:color w:val="000000"/>
          <w:sz w:val="24"/>
          <w:szCs w:val="24"/>
        </w:rPr>
        <w:t>BMI classifica</w:t>
      </w:r>
      <w:r w:rsidR="00532864" w:rsidRPr="008B14A9">
        <w:rPr>
          <w:rFonts w:ascii="Times New Roman" w:hAnsi="Times New Roman"/>
          <w:color w:val="000000"/>
          <w:sz w:val="24"/>
          <w:szCs w:val="24"/>
        </w:rPr>
        <w:t xml:space="preserve">tion: Underweight = &lt;18.5, Normal </w:t>
      </w:r>
      <w:r w:rsidRPr="008B14A9">
        <w:rPr>
          <w:rFonts w:ascii="Times New Roman" w:hAnsi="Times New Roman"/>
          <w:color w:val="000000"/>
          <w:sz w:val="24"/>
          <w:szCs w:val="24"/>
        </w:rPr>
        <w:t xml:space="preserve">weight = 18.5-24, Overweight = 25-30, Obese = &gt;30 </w:t>
      </w:r>
    </w:p>
    <w:p w14:paraId="2835A830" w14:textId="77777777" w:rsidR="0052087F" w:rsidRPr="008B14A9" w:rsidRDefault="0052087F" w:rsidP="008B14A9">
      <w:pPr>
        <w:jc w:val="both"/>
        <w:rPr>
          <w:rFonts w:ascii="Times New Roman" w:hAnsi="Times New Roman"/>
          <w:b/>
          <w:color w:val="000000"/>
          <w:sz w:val="24"/>
          <w:szCs w:val="24"/>
        </w:rPr>
      </w:pPr>
    </w:p>
    <w:p w14:paraId="2D821201" w14:textId="77777777" w:rsidR="00532864" w:rsidRPr="008B14A9" w:rsidRDefault="00532864" w:rsidP="008B14A9">
      <w:pPr>
        <w:jc w:val="both"/>
        <w:rPr>
          <w:rFonts w:ascii="Times New Roman" w:hAnsi="Times New Roman"/>
          <w:b/>
          <w:color w:val="000000"/>
          <w:sz w:val="24"/>
          <w:szCs w:val="24"/>
        </w:rPr>
      </w:pPr>
    </w:p>
    <w:p w14:paraId="71F97EA9" w14:textId="77777777" w:rsidR="00532864" w:rsidRPr="008B14A9" w:rsidRDefault="00532864" w:rsidP="008B14A9">
      <w:pPr>
        <w:jc w:val="both"/>
        <w:rPr>
          <w:rFonts w:ascii="Times New Roman" w:hAnsi="Times New Roman"/>
          <w:b/>
          <w:color w:val="000000"/>
          <w:sz w:val="24"/>
          <w:szCs w:val="24"/>
        </w:rPr>
      </w:pPr>
      <w:r w:rsidRPr="008B14A9">
        <w:rPr>
          <w:rFonts w:ascii="Times New Roman" w:hAnsi="Times New Roman"/>
          <w:b/>
          <w:color w:val="000000"/>
          <w:sz w:val="24"/>
          <w:szCs w:val="24"/>
        </w:rPr>
        <w:t>3.4 Results of Correlation of BMI</w:t>
      </w:r>
      <w:r w:rsidR="004A6FC1" w:rsidRPr="008B14A9">
        <w:rPr>
          <w:rFonts w:ascii="Times New Roman" w:hAnsi="Times New Roman"/>
          <w:b/>
          <w:color w:val="000000"/>
          <w:sz w:val="24"/>
          <w:szCs w:val="24"/>
        </w:rPr>
        <w:t xml:space="preserve"> agains</w:t>
      </w:r>
      <w:r w:rsidR="002B6E2A" w:rsidRPr="008B14A9">
        <w:rPr>
          <w:rFonts w:ascii="Times New Roman" w:hAnsi="Times New Roman"/>
          <w:b/>
          <w:color w:val="000000"/>
          <w:sz w:val="24"/>
          <w:szCs w:val="24"/>
        </w:rPr>
        <w:t>t Renal Function Parameters,</w:t>
      </w:r>
      <w:r w:rsidRPr="008B14A9">
        <w:rPr>
          <w:rFonts w:ascii="Times New Roman" w:hAnsi="Times New Roman"/>
          <w:b/>
          <w:color w:val="000000"/>
          <w:sz w:val="24"/>
          <w:szCs w:val="24"/>
        </w:rPr>
        <w:t xml:space="preserve"> U</w:t>
      </w:r>
      <w:r w:rsidR="004A6FC1" w:rsidRPr="008B14A9">
        <w:rPr>
          <w:rFonts w:ascii="Times New Roman" w:hAnsi="Times New Roman"/>
          <w:b/>
          <w:color w:val="000000"/>
          <w:sz w:val="24"/>
          <w:szCs w:val="24"/>
        </w:rPr>
        <w:t xml:space="preserve">ric </w:t>
      </w:r>
      <w:r w:rsidRPr="008B14A9">
        <w:rPr>
          <w:rFonts w:ascii="Times New Roman" w:hAnsi="Times New Roman"/>
          <w:b/>
          <w:color w:val="000000"/>
          <w:sz w:val="24"/>
          <w:szCs w:val="24"/>
        </w:rPr>
        <w:t>A</w:t>
      </w:r>
      <w:r w:rsidR="004A6FC1" w:rsidRPr="008B14A9">
        <w:rPr>
          <w:rFonts w:ascii="Times New Roman" w:hAnsi="Times New Roman"/>
          <w:b/>
          <w:color w:val="000000"/>
          <w:sz w:val="24"/>
          <w:szCs w:val="24"/>
        </w:rPr>
        <w:t xml:space="preserve">cid, </w:t>
      </w:r>
      <w:r w:rsidRPr="008B14A9">
        <w:rPr>
          <w:rFonts w:ascii="Times New Roman" w:hAnsi="Times New Roman"/>
          <w:b/>
          <w:color w:val="000000"/>
          <w:sz w:val="24"/>
          <w:szCs w:val="24"/>
        </w:rPr>
        <w:t>and Fasting Blood Sugar of Overweight Subjects</w:t>
      </w:r>
    </w:p>
    <w:p w14:paraId="0B7D127B" w14:textId="77777777" w:rsidR="00532864" w:rsidRPr="008B14A9" w:rsidRDefault="00532864" w:rsidP="008B14A9">
      <w:pPr>
        <w:jc w:val="both"/>
        <w:rPr>
          <w:rFonts w:ascii="Times New Roman" w:hAnsi="Times New Roman"/>
          <w:b/>
          <w:color w:val="000000"/>
          <w:sz w:val="24"/>
          <w:szCs w:val="24"/>
        </w:rPr>
      </w:pPr>
    </w:p>
    <w:p w14:paraId="583AC08A" w14:textId="77777777" w:rsidR="005F71ED" w:rsidRPr="008B14A9" w:rsidRDefault="005F71ED" w:rsidP="008B14A9">
      <w:pPr>
        <w:jc w:val="both"/>
        <w:rPr>
          <w:rFonts w:ascii="Times New Roman" w:hAnsi="Times New Roman"/>
          <w:color w:val="000000"/>
          <w:sz w:val="24"/>
          <w:szCs w:val="24"/>
        </w:rPr>
      </w:pPr>
      <w:r w:rsidRPr="008B14A9">
        <w:rPr>
          <w:rFonts w:ascii="Times New Roman" w:hAnsi="Times New Roman"/>
          <w:color w:val="000000"/>
          <w:sz w:val="24"/>
          <w:szCs w:val="24"/>
        </w:rPr>
        <w:t xml:space="preserve">Pearson correlation analysis showed </w:t>
      </w:r>
      <w:r w:rsidRPr="008B14A9">
        <w:rPr>
          <w:rFonts w:ascii="Times New Roman" w:hAnsi="Times New Roman"/>
          <w:bCs/>
          <w:color w:val="000000"/>
          <w:sz w:val="24"/>
          <w:szCs w:val="24"/>
        </w:rPr>
        <w:t>no significant associations</w:t>
      </w:r>
      <w:r w:rsidRPr="008B14A9">
        <w:rPr>
          <w:rFonts w:ascii="Times New Roman" w:hAnsi="Times New Roman"/>
          <w:color w:val="000000"/>
          <w:sz w:val="24"/>
          <w:szCs w:val="24"/>
        </w:rPr>
        <w:t xml:space="preserve"> between BMI and electrolytes, urea, creatinine</w:t>
      </w:r>
      <w:r w:rsidR="002C5C71" w:rsidRPr="008B14A9">
        <w:rPr>
          <w:rFonts w:ascii="Times New Roman" w:hAnsi="Times New Roman"/>
          <w:color w:val="000000"/>
          <w:sz w:val="24"/>
          <w:szCs w:val="24"/>
        </w:rPr>
        <w:t>,</w:t>
      </w:r>
      <w:r w:rsidRPr="008B14A9">
        <w:rPr>
          <w:rFonts w:ascii="Times New Roman" w:hAnsi="Times New Roman"/>
          <w:color w:val="000000"/>
          <w:sz w:val="24"/>
          <w:szCs w:val="24"/>
        </w:rPr>
        <w:t xml:space="preserve"> fasting blood glucose, or age (</w:t>
      </w:r>
      <w:r w:rsidRPr="008B14A9">
        <w:rPr>
          <w:rFonts w:ascii="Times New Roman" w:hAnsi="Times New Roman"/>
          <w:i/>
          <w:iCs/>
          <w:color w:val="000000"/>
          <w:sz w:val="24"/>
          <w:szCs w:val="24"/>
        </w:rPr>
        <w:t>p</w:t>
      </w:r>
      <w:r w:rsidRPr="008B14A9">
        <w:rPr>
          <w:rFonts w:ascii="Times New Roman" w:hAnsi="Times New Roman"/>
          <w:color w:val="000000"/>
          <w:sz w:val="24"/>
          <w:szCs w:val="24"/>
        </w:rPr>
        <w:t xml:space="preserve"> &gt; 0.05) in the underweight Subjects (Table 4).</w:t>
      </w:r>
    </w:p>
    <w:p w14:paraId="60F94F63" w14:textId="77777777" w:rsidR="00532864" w:rsidRPr="008B14A9" w:rsidRDefault="00532864" w:rsidP="008B14A9">
      <w:pPr>
        <w:jc w:val="both"/>
        <w:rPr>
          <w:rFonts w:ascii="Times New Roman" w:hAnsi="Times New Roman"/>
          <w:b/>
          <w:color w:val="000000"/>
          <w:sz w:val="24"/>
          <w:szCs w:val="24"/>
        </w:rPr>
      </w:pPr>
    </w:p>
    <w:p w14:paraId="57678053" w14:textId="77777777" w:rsidR="00532864" w:rsidRPr="008B14A9" w:rsidRDefault="00532864" w:rsidP="008B14A9">
      <w:pPr>
        <w:jc w:val="both"/>
        <w:rPr>
          <w:rFonts w:ascii="Times New Roman" w:hAnsi="Times New Roman"/>
          <w:b/>
          <w:color w:val="000000"/>
          <w:sz w:val="24"/>
          <w:szCs w:val="24"/>
        </w:rPr>
      </w:pPr>
    </w:p>
    <w:p w14:paraId="38B2D78E" w14:textId="77777777" w:rsidR="00552AC3" w:rsidRPr="008B14A9" w:rsidRDefault="00532864" w:rsidP="008B14A9">
      <w:pPr>
        <w:jc w:val="both"/>
        <w:rPr>
          <w:rFonts w:ascii="Times New Roman" w:hAnsi="Times New Roman"/>
          <w:b/>
          <w:color w:val="000000"/>
          <w:sz w:val="24"/>
          <w:szCs w:val="24"/>
        </w:rPr>
      </w:pPr>
      <w:r w:rsidRPr="008B14A9">
        <w:rPr>
          <w:rFonts w:ascii="Times New Roman" w:hAnsi="Times New Roman"/>
          <w:b/>
          <w:color w:val="000000"/>
          <w:sz w:val="24"/>
          <w:szCs w:val="24"/>
        </w:rPr>
        <w:t xml:space="preserve">Table </w:t>
      </w:r>
      <w:r w:rsidR="00F845D1" w:rsidRPr="008B14A9">
        <w:rPr>
          <w:rFonts w:ascii="Times New Roman" w:hAnsi="Times New Roman"/>
          <w:b/>
          <w:color w:val="000000"/>
          <w:sz w:val="24"/>
          <w:szCs w:val="24"/>
        </w:rPr>
        <w:t>4</w:t>
      </w:r>
      <w:r w:rsidR="00552AC3" w:rsidRPr="008B14A9">
        <w:rPr>
          <w:rFonts w:ascii="Times New Roman" w:hAnsi="Times New Roman"/>
          <w:b/>
          <w:color w:val="000000"/>
          <w:sz w:val="24"/>
          <w:szCs w:val="24"/>
        </w:rPr>
        <w:t>: Results of Correlation of BMI</w:t>
      </w:r>
      <w:r w:rsidR="006F61EF" w:rsidRPr="008B14A9">
        <w:rPr>
          <w:rFonts w:ascii="Times New Roman" w:hAnsi="Times New Roman"/>
          <w:b/>
          <w:color w:val="000000"/>
          <w:sz w:val="24"/>
          <w:szCs w:val="24"/>
        </w:rPr>
        <w:t xml:space="preserve"> against Electrolytes, Urea, Creatinine</w:t>
      </w:r>
      <w:r w:rsidR="00552AC3" w:rsidRPr="008B14A9">
        <w:rPr>
          <w:rFonts w:ascii="Times New Roman" w:hAnsi="Times New Roman"/>
          <w:b/>
          <w:color w:val="000000"/>
          <w:sz w:val="24"/>
          <w:szCs w:val="24"/>
        </w:rPr>
        <w:t>, U</w:t>
      </w:r>
      <w:r w:rsidR="006F61EF" w:rsidRPr="008B14A9">
        <w:rPr>
          <w:rFonts w:ascii="Times New Roman" w:hAnsi="Times New Roman"/>
          <w:b/>
          <w:color w:val="000000"/>
          <w:sz w:val="24"/>
          <w:szCs w:val="24"/>
        </w:rPr>
        <w:t>ric Acid</w:t>
      </w:r>
      <w:r w:rsidR="00552AC3" w:rsidRPr="008B14A9">
        <w:rPr>
          <w:rFonts w:ascii="Times New Roman" w:hAnsi="Times New Roman"/>
          <w:b/>
          <w:color w:val="000000"/>
          <w:sz w:val="24"/>
          <w:szCs w:val="24"/>
        </w:rPr>
        <w:t>, and Fasting Blood Sugar of Overweight Subjects of JABU</w:t>
      </w:r>
    </w:p>
    <w:tbl>
      <w:tblPr>
        <w:tblW w:w="11340" w:type="dxa"/>
        <w:tblInd w:w="-1332" w:type="dxa"/>
        <w:tblBorders>
          <w:top w:val="single" w:sz="8" w:space="0" w:color="000000"/>
          <w:bottom w:val="single" w:sz="8" w:space="0" w:color="000000"/>
        </w:tblBorders>
        <w:tblLayout w:type="fixed"/>
        <w:tblLook w:val="00A0" w:firstRow="1" w:lastRow="0" w:firstColumn="1" w:lastColumn="0" w:noHBand="0" w:noVBand="0"/>
      </w:tblPr>
      <w:tblGrid>
        <w:gridCol w:w="1800"/>
        <w:gridCol w:w="1080"/>
        <w:gridCol w:w="1080"/>
        <w:gridCol w:w="1260"/>
        <w:gridCol w:w="1080"/>
        <w:gridCol w:w="1080"/>
        <w:gridCol w:w="1260"/>
        <w:gridCol w:w="1260"/>
        <w:gridCol w:w="1440"/>
      </w:tblGrid>
      <w:tr w:rsidR="00297B27" w:rsidRPr="008B14A9" w14:paraId="75626988" w14:textId="77777777" w:rsidTr="0052087F">
        <w:tc>
          <w:tcPr>
            <w:tcW w:w="1800" w:type="dxa"/>
            <w:tcBorders>
              <w:top w:val="single" w:sz="8" w:space="0" w:color="000000"/>
              <w:left w:val="nil"/>
              <w:bottom w:val="single" w:sz="8" w:space="0" w:color="000000"/>
              <w:right w:val="nil"/>
            </w:tcBorders>
            <w:shd w:val="clear" w:color="auto" w:fill="FFFFFF"/>
            <w:noWrap/>
          </w:tcPr>
          <w:p w14:paraId="40042F8A" w14:textId="77777777" w:rsidR="00297B27" w:rsidRPr="008B14A9" w:rsidRDefault="00297B27" w:rsidP="008B14A9">
            <w:pPr>
              <w:jc w:val="both"/>
              <w:rPr>
                <w:rFonts w:ascii="Times New Roman" w:eastAsia="Times New Roman" w:hAnsi="Times New Roman"/>
                <w:bCs/>
                <w:color w:val="000000"/>
                <w:sz w:val="24"/>
                <w:szCs w:val="24"/>
              </w:rPr>
            </w:pPr>
            <w:r w:rsidRPr="008B14A9">
              <w:rPr>
                <w:rFonts w:ascii="Times New Roman" w:eastAsia="Times New Roman" w:hAnsi="Times New Roman"/>
                <w:bCs/>
                <w:color w:val="000000"/>
                <w:sz w:val="24"/>
                <w:szCs w:val="24"/>
              </w:rPr>
              <w:t>Pearson Correlation</w:t>
            </w:r>
          </w:p>
        </w:tc>
        <w:tc>
          <w:tcPr>
            <w:tcW w:w="1080" w:type="dxa"/>
            <w:tcBorders>
              <w:top w:val="single" w:sz="8" w:space="0" w:color="000000"/>
              <w:left w:val="nil"/>
              <w:bottom w:val="single" w:sz="8" w:space="0" w:color="000000"/>
              <w:right w:val="nil"/>
            </w:tcBorders>
            <w:shd w:val="clear" w:color="auto" w:fill="FFFFFF"/>
            <w:noWrap/>
          </w:tcPr>
          <w:p w14:paraId="7BA08983" w14:textId="77777777" w:rsidR="00297B27" w:rsidRPr="008B14A9" w:rsidRDefault="002C5C71"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 xml:space="preserve">BMI </w:t>
            </w:r>
            <w:r w:rsidRPr="008B14A9">
              <w:rPr>
                <w:rFonts w:ascii="Times New Roman" w:eastAsia="Times New Roman" w:hAnsi="Times New Roman"/>
                <w:b/>
                <w:bCs/>
                <w:color w:val="000000"/>
                <w:sz w:val="24"/>
                <w:szCs w:val="24"/>
              </w:rPr>
              <w:br/>
              <w:t>to</w:t>
            </w:r>
            <w:r w:rsidR="00297B27" w:rsidRPr="008B14A9">
              <w:rPr>
                <w:rFonts w:ascii="Times New Roman" w:eastAsia="Times New Roman" w:hAnsi="Times New Roman"/>
                <w:b/>
                <w:bCs/>
                <w:color w:val="000000"/>
                <w:sz w:val="24"/>
                <w:szCs w:val="24"/>
              </w:rPr>
              <w:br/>
            </w:r>
            <w:r w:rsidR="006F61EF" w:rsidRPr="008B14A9">
              <w:rPr>
                <w:rFonts w:ascii="Times New Roman" w:hAnsi="Times New Roman"/>
                <w:b/>
                <w:bCs/>
                <w:color w:val="000000"/>
                <w:sz w:val="24"/>
                <w:szCs w:val="24"/>
              </w:rPr>
              <w:t>Na</w:t>
            </w:r>
            <w:r w:rsidR="006F61EF"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58C85243" w14:textId="77777777" w:rsidR="00297B27" w:rsidRPr="008B14A9" w:rsidRDefault="002C5C71" w:rsidP="008B14A9">
            <w:pPr>
              <w:jc w:val="both"/>
              <w:rPr>
                <w:rFonts w:ascii="Times New Roman" w:eastAsia="Times New Roman" w:hAnsi="Times New Roman"/>
                <w:b/>
                <w:bCs/>
                <w:color w:val="000000"/>
                <w:sz w:val="24"/>
                <w:szCs w:val="24"/>
                <w:vertAlign w:val="superscript"/>
              </w:rPr>
            </w:pPr>
            <w:r w:rsidRPr="008B14A9">
              <w:rPr>
                <w:rFonts w:ascii="Times New Roman" w:eastAsia="Times New Roman" w:hAnsi="Times New Roman"/>
                <w:b/>
                <w:bCs/>
                <w:color w:val="000000"/>
                <w:sz w:val="24"/>
                <w:szCs w:val="24"/>
              </w:rPr>
              <w:t xml:space="preserve">BMI </w:t>
            </w:r>
            <w:r w:rsidRPr="008B14A9">
              <w:rPr>
                <w:rFonts w:ascii="Times New Roman" w:eastAsia="Times New Roman" w:hAnsi="Times New Roman"/>
                <w:b/>
                <w:bCs/>
                <w:color w:val="000000"/>
                <w:sz w:val="24"/>
                <w:szCs w:val="24"/>
              </w:rPr>
              <w:br/>
              <w:t>to</w:t>
            </w:r>
            <w:r w:rsidR="006F61EF" w:rsidRPr="008B14A9">
              <w:rPr>
                <w:rFonts w:ascii="Times New Roman" w:eastAsia="Times New Roman" w:hAnsi="Times New Roman"/>
                <w:b/>
                <w:bCs/>
                <w:color w:val="000000"/>
                <w:sz w:val="24"/>
                <w:szCs w:val="24"/>
              </w:rPr>
              <w:br/>
            </w:r>
            <w:r w:rsidR="006F61EF" w:rsidRPr="008B14A9">
              <w:rPr>
                <w:rFonts w:ascii="Times New Roman" w:hAnsi="Times New Roman"/>
                <w:b/>
                <w:bCs/>
                <w:color w:val="000000"/>
                <w:sz w:val="24"/>
                <w:szCs w:val="24"/>
              </w:rPr>
              <w:t>K</w:t>
            </w:r>
            <w:r w:rsidR="006F61EF" w:rsidRPr="008B14A9">
              <w:rPr>
                <w:rFonts w:ascii="Times New Roman" w:hAnsi="Times New Roman"/>
                <w:b/>
                <w:bCs/>
                <w:color w:val="000000"/>
                <w:sz w:val="24"/>
                <w:szCs w:val="24"/>
                <w:vertAlign w:val="superscript"/>
              </w:rPr>
              <w:t>+</w:t>
            </w:r>
          </w:p>
        </w:tc>
        <w:tc>
          <w:tcPr>
            <w:tcW w:w="1260" w:type="dxa"/>
            <w:tcBorders>
              <w:top w:val="single" w:sz="8" w:space="0" w:color="000000"/>
              <w:left w:val="nil"/>
              <w:bottom w:val="single" w:sz="8" w:space="0" w:color="000000"/>
              <w:right w:val="nil"/>
            </w:tcBorders>
            <w:shd w:val="clear" w:color="auto" w:fill="FFFFFF"/>
            <w:noWrap/>
          </w:tcPr>
          <w:p w14:paraId="1808AEEE" w14:textId="77777777" w:rsidR="00297B27" w:rsidRPr="008B14A9" w:rsidRDefault="002C5C71" w:rsidP="008B14A9">
            <w:pPr>
              <w:jc w:val="both"/>
              <w:rPr>
                <w:rFonts w:ascii="Times New Roman" w:eastAsia="Times New Roman" w:hAnsi="Times New Roman"/>
                <w:b/>
                <w:bCs/>
                <w:color w:val="000000"/>
                <w:sz w:val="24"/>
                <w:szCs w:val="24"/>
                <w:vertAlign w:val="superscript"/>
              </w:rPr>
            </w:pPr>
            <w:r w:rsidRPr="008B14A9">
              <w:rPr>
                <w:rFonts w:ascii="Times New Roman" w:eastAsia="Times New Roman" w:hAnsi="Times New Roman"/>
                <w:b/>
                <w:bCs/>
                <w:color w:val="000000"/>
                <w:sz w:val="24"/>
                <w:szCs w:val="24"/>
              </w:rPr>
              <w:t xml:space="preserve">BMI </w:t>
            </w:r>
            <w:r w:rsidRPr="008B14A9">
              <w:rPr>
                <w:rFonts w:ascii="Times New Roman" w:eastAsia="Times New Roman" w:hAnsi="Times New Roman"/>
                <w:b/>
                <w:bCs/>
                <w:color w:val="000000"/>
                <w:sz w:val="24"/>
                <w:szCs w:val="24"/>
              </w:rPr>
              <w:br/>
              <w:t>to</w:t>
            </w:r>
            <w:r w:rsidR="006F61EF" w:rsidRPr="008B14A9">
              <w:rPr>
                <w:rFonts w:ascii="Times New Roman" w:eastAsia="Times New Roman" w:hAnsi="Times New Roman"/>
                <w:b/>
                <w:bCs/>
                <w:color w:val="000000"/>
                <w:sz w:val="24"/>
                <w:szCs w:val="24"/>
              </w:rPr>
              <w:br/>
              <w:t>Cl</w:t>
            </w:r>
            <w:r w:rsidR="006F61EF" w:rsidRPr="008B14A9">
              <w:rPr>
                <w:rFonts w:ascii="Times New Roman" w:eastAsia="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202BAB17" w14:textId="77777777" w:rsidR="00297B27" w:rsidRPr="008B14A9" w:rsidRDefault="002C5C71"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 xml:space="preserve">BMI </w:t>
            </w:r>
            <w:r w:rsidRPr="008B14A9">
              <w:rPr>
                <w:rFonts w:ascii="Times New Roman" w:eastAsia="Times New Roman" w:hAnsi="Times New Roman"/>
                <w:b/>
                <w:bCs/>
                <w:color w:val="000000"/>
                <w:sz w:val="24"/>
                <w:szCs w:val="24"/>
              </w:rPr>
              <w:br/>
              <w:t>to</w:t>
            </w:r>
            <w:r w:rsidR="00297B27" w:rsidRPr="008B14A9">
              <w:rPr>
                <w:rFonts w:ascii="Times New Roman" w:eastAsia="Times New Roman" w:hAnsi="Times New Roman"/>
                <w:b/>
                <w:bCs/>
                <w:color w:val="000000"/>
                <w:sz w:val="24"/>
                <w:szCs w:val="24"/>
              </w:rPr>
              <w:br/>
            </w:r>
            <w:r w:rsidR="006F61EF" w:rsidRPr="008B14A9">
              <w:rPr>
                <w:rFonts w:ascii="Times New Roman" w:hAnsi="Times New Roman"/>
                <w:b/>
                <w:bCs/>
                <w:color w:val="000000"/>
                <w:sz w:val="24"/>
                <w:szCs w:val="24"/>
              </w:rPr>
              <w:t>HCO</w:t>
            </w:r>
            <w:r w:rsidR="006F61EF" w:rsidRPr="008B14A9">
              <w:rPr>
                <w:rFonts w:ascii="Times New Roman" w:hAnsi="Times New Roman"/>
                <w:b/>
                <w:bCs/>
                <w:color w:val="000000"/>
                <w:sz w:val="24"/>
                <w:szCs w:val="24"/>
                <w:vertAlign w:val="superscript"/>
              </w:rPr>
              <w:t>-</w:t>
            </w:r>
            <w:r w:rsidR="006F61EF" w:rsidRPr="008B14A9">
              <w:rPr>
                <w:rFonts w:ascii="Times New Roman" w:hAnsi="Times New Roman"/>
                <w:b/>
                <w:bCs/>
                <w:color w:val="000000"/>
                <w:sz w:val="24"/>
                <w:szCs w:val="24"/>
                <w:vertAlign w:val="subscript"/>
              </w:rPr>
              <w:t>3</w:t>
            </w:r>
          </w:p>
        </w:tc>
        <w:tc>
          <w:tcPr>
            <w:tcW w:w="1080" w:type="dxa"/>
            <w:tcBorders>
              <w:top w:val="single" w:sz="8" w:space="0" w:color="000000"/>
              <w:left w:val="nil"/>
              <w:bottom w:val="single" w:sz="8" w:space="0" w:color="000000"/>
              <w:right w:val="nil"/>
            </w:tcBorders>
            <w:shd w:val="clear" w:color="auto" w:fill="FFFFFF"/>
            <w:noWrap/>
          </w:tcPr>
          <w:p w14:paraId="464F67E6" w14:textId="77777777" w:rsidR="002C5C71" w:rsidRPr="008B14A9" w:rsidRDefault="002C5C71"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 xml:space="preserve">BMI </w:t>
            </w:r>
          </w:p>
          <w:p w14:paraId="6F51B486" w14:textId="77777777" w:rsidR="00297B27" w:rsidRPr="008B14A9" w:rsidRDefault="002C5C71"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to</w:t>
            </w:r>
            <w:r w:rsidR="00297B27" w:rsidRPr="008B14A9">
              <w:rPr>
                <w:rFonts w:ascii="Times New Roman" w:eastAsia="Times New Roman" w:hAnsi="Times New Roman"/>
                <w:b/>
                <w:bCs/>
                <w:color w:val="000000"/>
                <w:sz w:val="24"/>
                <w:szCs w:val="24"/>
              </w:rPr>
              <w:br/>
              <w:t>UREA</w:t>
            </w:r>
          </w:p>
        </w:tc>
        <w:tc>
          <w:tcPr>
            <w:tcW w:w="1260" w:type="dxa"/>
            <w:tcBorders>
              <w:top w:val="single" w:sz="8" w:space="0" w:color="000000"/>
              <w:left w:val="nil"/>
              <w:bottom w:val="single" w:sz="8" w:space="0" w:color="000000"/>
              <w:right w:val="nil"/>
            </w:tcBorders>
            <w:shd w:val="clear" w:color="auto" w:fill="FFFFFF"/>
            <w:noWrap/>
          </w:tcPr>
          <w:p w14:paraId="2C876DF2" w14:textId="77777777" w:rsidR="00297B27" w:rsidRPr="008B14A9" w:rsidRDefault="002C5C71"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 xml:space="preserve">BMI </w:t>
            </w:r>
            <w:r w:rsidRPr="008B14A9">
              <w:rPr>
                <w:rFonts w:ascii="Times New Roman" w:eastAsia="Times New Roman" w:hAnsi="Times New Roman"/>
                <w:b/>
                <w:bCs/>
                <w:color w:val="000000"/>
                <w:sz w:val="24"/>
                <w:szCs w:val="24"/>
              </w:rPr>
              <w:br/>
              <w:t>to</w:t>
            </w:r>
            <w:r w:rsidR="00297B27" w:rsidRPr="008B14A9">
              <w:rPr>
                <w:rFonts w:ascii="Times New Roman" w:eastAsia="Times New Roman" w:hAnsi="Times New Roman"/>
                <w:b/>
                <w:bCs/>
                <w:color w:val="000000"/>
                <w:sz w:val="24"/>
                <w:szCs w:val="24"/>
              </w:rPr>
              <w:br/>
              <w:t>UA</w:t>
            </w:r>
          </w:p>
        </w:tc>
        <w:tc>
          <w:tcPr>
            <w:tcW w:w="1260" w:type="dxa"/>
            <w:tcBorders>
              <w:top w:val="single" w:sz="8" w:space="0" w:color="000000"/>
              <w:left w:val="nil"/>
              <w:bottom w:val="single" w:sz="8" w:space="0" w:color="000000"/>
              <w:right w:val="nil"/>
            </w:tcBorders>
            <w:shd w:val="clear" w:color="auto" w:fill="FFFFFF"/>
          </w:tcPr>
          <w:p w14:paraId="62919ABA" w14:textId="77777777" w:rsidR="002C5C71" w:rsidRPr="008B14A9" w:rsidRDefault="002C5C71"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 xml:space="preserve">BMI </w:t>
            </w:r>
          </w:p>
          <w:p w14:paraId="06E9CC28" w14:textId="77777777" w:rsidR="00297B27" w:rsidRPr="008B14A9" w:rsidRDefault="002C5C71"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to</w:t>
            </w:r>
            <w:r w:rsidR="00297B27" w:rsidRPr="008B14A9">
              <w:rPr>
                <w:rFonts w:ascii="Times New Roman" w:eastAsia="Times New Roman" w:hAnsi="Times New Roman"/>
                <w:b/>
                <w:bCs/>
                <w:color w:val="000000"/>
                <w:sz w:val="24"/>
                <w:szCs w:val="24"/>
              </w:rPr>
              <w:br/>
              <w:t>FBS</w:t>
            </w:r>
          </w:p>
        </w:tc>
        <w:tc>
          <w:tcPr>
            <w:tcW w:w="1440" w:type="dxa"/>
            <w:tcBorders>
              <w:top w:val="single" w:sz="8" w:space="0" w:color="000000"/>
              <w:left w:val="nil"/>
              <w:bottom w:val="single" w:sz="8" w:space="0" w:color="000000"/>
              <w:right w:val="nil"/>
            </w:tcBorders>
            <w:shd w:val="clear" w:color="auto" w:fill="FFFFFF"/>
            <w:noWrap/>
          </w:tcPr>
          <w:p w14:paraId="5249D44D" w14:textId="77777777" w:rsidR="00297B27" w:rsidRPr="008B14A9" w:rsidRDefault="002C5C71" w:rsidP="008B14A9">
            <w:pPr>
              <w:jc w:val="both"/>
              <w:rPr>
                <w:rFonts w:ascii="Times New Roman" w:eastAsia="Times New Roman" w:hAnsi="Times New Roman"/>
                <w:b/>
                <w:bCs/>
                <w:color w:val="000000"/>
                <w:sz w:val="24"/>
                <w:szCs w:val="24"/>
              </w:rPr>
            </w:pPr>
            <w:r w:rsidRPr="008B14A9">
              <w:rPr>
                <w:rFonts w:ascii="Times New Roman" w:eastAsia="Times New Roman" w:hAnsi="Times New Roman"/>
                <w:b/>
                <w:bCs/>
                <w:color w:val="000000"/>
                <w:sz w:val="24"/>
                <w:szCs w:val="24"/>
              </w:rPr>
              <w:t xml:space="preserve">BMI </w:t>
            </w:r>
            <w:r w:rsidRPr="008B14A9">
              <w:rPr>
                <w:rFonts w:ascii="Times New Roman" w:eastAsia="Times New Roman" w:hAnsi="Times New Roman"/>
                <w:b/>
                <w:bCs/>
                <w:color w:val="000000"/>
                <w:sz w:val="24"/>
                <w:szCs w:val="24"/>
              </w:rPr>
              <w:br/>
              <w:t>to</w:t>
            </w:r>
            <w:r w:rsidR="00F845D1" w:rsidRPr="008B14A9">
              <w:rPr>
                <w:rFonts w:ascii="Times New Roman" w:eastAsia="Times New Roman" w:hAnsi="Times New Roman"/>
                <w:b/>
                <w:bCs/>
                <w:color w:val="000000"/>
                <w:sz w:val="24"/>
                <w:szCs w:val="24"/>
              </w:rPr>
              <w:br/>
              <w:t>Age</w:t>
            </w:r>
          </w:p>
        </w:tc>
      </w:tr>
      <w:tr w:rsidR="00297B27" w:rsidRPr="008B14A9" w14:paraId="5C043416" w14:textId="77777777" w:rsidTr="0052087F">
        <w:tc>
          <w:tcPr>
            <w:tcW w:w="1800" w:type="dxa"/>
            <w:shd w:val="clear" w:color="auto" w:fill="FFFFFF"/>
            <w:noWrap/>
          </w:tcPr>
          <w:p w14:paraId="5B778542" w14:textId="77777777" w:rsidR="00297B27" w:rsidRPr="008B14A9" w:rsidRDefault="00297B27" w:rsidP="008B14A9">
            <w:pPr>
              <w:jc w:val="both"/>
              <w:rPr>
                <w:rFonts w:ascii="Times New Roman" w:eastAsia="Times New Roman" w:hAnsi="Times New Roman"/>
                <w:bCs/>
                <w:color w:val="000000"/>
                <w:sz w:val="24"/>
                <w:szCs w:val="24"/>
              </w:rPr>
            </w:pPr>
            <w:r w:rsidRPr="008B14A9">
              <w:rPr>
                <w:rFonts w:ascii="Times New Roman" w:eastAsia="Times New Roman" w:hAnsi="Times New Roman"/>
                <w:bCs/>
                <w:color w:val="000000"/>
                <w:sz w:val="24"/>
                <w:szCs w:val="24"/>
              </w:rPr>
              <w:t>R</w:t>
            </w:r>
          </w:p>
        </w:tc>
        <w:tc>
          <w:tcPr>
            <w:tcW w:w="1080" w:type="dxa"/>
            <w:shd w:val="clear" w:color="auto" w:fill="FFFFFF"/>
            <w:noWrap/>
          </w:tcPr>
          <w:p w14:paraId="134022C0"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-0.2434</w:t>
            </w:r>
          </w:p>
        </w:tc>
        <w:tc>
          <w:tcPr>
            <w:tcW w:w="1080" w:type="dxa"/>
            <w:shd w:val="clear" w:color="auto" w:fill="FFFFFF"/>
            <w:noWrap/>
          </w:tcPr>
          <w:p w14:paraId="1E81D733"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0.1695</w:t>
            </w:r>
          </w:p>
        </w:tc>
        <w:tc>
          <w:tcPr>
            <w:tcW w:w="1260" w:type="dxa"/>
            <w:shd w:val="clear" w:color="auto" w:fill="FFFFFF"/>
            <w:noWrap/>
          </w:tcPr>
          <w:p w14:paraId="762982E3"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-0.4818</w:t>
            </w:r>
          </w:p>
        </w:tc>
        <w:tc>
          <w:tcPr>
            <w:tcW w:w="1080" w:type="dxa"/>
            <w:shd w:val="clear" w:color="auto" w:fill="FFFFFF"/>
            <w:noWrap/>
          </w:tcPr>
          <w:p w14:paraId="318F239F"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-0.2433</w:t>
            </w:r>
          </w:p>
        </w:tc>
        <w:tc>
          <w:tcPr>
            <w:tcW w:w="1080" w:type="dxa"/>
            <w:shd w:val="clear" w:color="auto" w:fill="FFFFFF"/>
            <w:noWrap/>
          </w:tcPr>
          <w:p w14:paraId="5B56467A"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0.1324</w:t>
            </w:r>
          </w:p>
        </w:tc>
        <w:tc>
          <w:tcPr>
            <w:tcW w:w="1260" w:type="dxa"/>
            <w:shd w:val="clear" w:color="auto" w:fill="FFFFFF"/>
            <w:noWrap/>
          </w:tcPr>
          <w:p w14:paraId="17DAAD9C"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-0.09770</w:t>
            </w:r>
          </w:p>
        </w:tc>
        <w:tc>
          <w:tcPr>
            <w:tcW w:w="1260" w:type="dxa"/>
            <w:shd w:val="clear" w:color="auto" w:fill="FFFFFF"/>
          </w:tcPr>
          <w:p w14:paraId="3B42F3BE"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0.O641</w:t>
            </w:r>
          </w:p>
        </w:tc>
        <w:tc>
          <w:tcPr>
            <w:tcW w:w="1440" w:type="dxa"/>
            <w:shd w:val="clear" w:color="auto" w:fill="FFFFFF"/>
            <w:noWrap/>
          </w:tcPr>
          <w:p w14:paraId="128D9119"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-0.1430</w:t>
            </w:r>
          </w:p>
        </w:tc>
      </w:tr>
      <w:tr w:rsidR="00297B27" w:rsidRPr="008B14A9" w14:paraId="6F263D2B" w14:textId="77777777" w:rsidTr="0052087F">
        <w:tc>
          <w:tcPr>
            <w:tcW w:w="1800" w:type="dxa"/>
            <w:tcBorders>
              <w:left w:val="nil"/>
              <w:right w:val="nil"/>
            </w:tcBorders>
            <w:shd w:val="clear" w:color="auto" w:fill="FFFFFF"/>
            <w:noWrap/>
          </w:tcPr>
          <w:p w14:paraId="284F1F30" w14:textId="77777777" w:rsidR="00297B27" w:rsidRPr="008B14A9" w:rsidRDefault="00297B27" w:rsidP="008B14A9">
            <w:pPr>
              <w:jc w:val="both"/>
              <w:rPr>
                <w:rFonts w:ascii="Times New Roman" w:eastAsia="Times New Roman" w:hAnsi="Times New Roman"/>
                <w:bCs/>
                <w:color w:val="000000"/>
                <w:sz w:val="24"/>
                <w:szCs w:val="24"/>
              </w:rPr>
            </w:pPr>
            <w:r w:rsidRPr="008B14A9">
              <w:rPr>
                <w:rFonts w:ascii="Times New Roman" w:eastAsia="Times New Roman" w:hAnsi="Times New Roman"/>
                <w:bCs/>
                <w:color w:val="000000"/>
                <w:sz w:val="24"/>
                <w:szCs w:val="24"/>
              </w:rPr>
              <w:t>P (two-tailed)</w:t>
            </w:r>
          </w:p>
        </w:tc>
        <w:tc>
          <w:tcPr>
            <w:tcW w:w="1080" w:type="dxa"/>
            <w:tcBorders>
              <w:left w:val="nil"/>
              <w:right w:val="nil"/>
            </w:tcBorders>
            <w:shd w:val="clear" w:color="auto" w:fill="FFFFFF"/>
            <w:noWrap/>
          </w:tcPr>
          <w:p w14:paraId="7E6C3D30"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0.2750</w:t>
            </w:r>
          </w:p>
        </w:tc>
        <w:tc>
          <w:tcPr>
            <w:tcW w:w="1080" w:type="dxa"/>
            <w:tcBorders>
              <w:left w:val="nil"/>
              <w:right w:val="nil"/>
            </w:tcBorders>
            <w:shd w:val="clear" w:color="auto" w:fill="FFFFFF"/>
            <w:noWrap/>
          </w:tcPr>
          <w:p w14:paraId="197468F4"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0.4509</w:t>
            </w:r>
          </w:p>
        </w:tc>
        <w:tc>
          <w:tcPr>
            <w:tcW w:w="1260" w:type="dxa"/>
            <w:tcBorders>
              <w:left w:val="nil"/>
              <w:right w:val="nil"/>
            </w:tcBorders>
            <w:shd w:val="clear" w:color="auto" w:fill="FFFFFF"/>
            <w:noWrap/>
          </w:tcPr>
          <w:p w14:paraId="21EB1E8D"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0.0232</w:t>
            </w:r>
          </w:p>
        </w:tc>
        <w:tc>
          <w:tcPr>
            <w:tcW w:w="1080" w:type="dxa"/>
            <w:tcBorders>
              <w:left w:val="nil"/>
              <w:right w:val="nil"/>
            </w:tcBorders>
            <w:shd w:val="clear" w:color="auto" w:fill="FFFFFF"/>
            <w:noWrap/>
          </w:tcPr>
          <w:p w14:paraId="53FFCCC1"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0.2752</w:t>
            </w:r>
          </w:p>
        </w:tc>
        <w:tc>
          <w:tcPr>
            <w:tcW w:w="1080" w:type="dxa"/>
            <w:tcBorders>
              <w:left w:val="nil"/>
              <w:right w:val="nil"/>
            </w:tcBorders>
            <w:shd w:val="clear" w:color="auto" w:fill="FFFFFF"/>
            <w:noWrap/>
          </w:tcPr>
          <w:p w14:paraId="175EF789"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0.5571</w:t>
            </w:r>
          </w:p>
        </w:tc>
        <w:tc>
          <w:tcPr>
            <w:tcW w:w="1260" w:type="dxa"/>
            <w:tcBorders>
              <w:left w:val="nil"/>
              <w:right w:val="nil"/>
            </w:tcBorders>
            <w:shd w:val="clear" w:color="auto" w:fill="FFFFFF"/>
            <w:noWrap/>
          </w:tcPr>
          <w:p w14:paraId="314AFA11"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0.6653</w:t>
            </w:r>
          </w:p>
        </w:tc>
        <w:tc>
          <w:tcPr>
            <w:tcW w:w="1260" w:type="dxa"/>
            <w:tcBorders>
              <w:left w:val="nil"/>
              <w:right w:val="nil"/>
            </w:tcBorders>
            <w:shd w:val="clear" w:color="auto" w:fill="FFFFFF"/>
          </w:tcPr>
          <w:p w14:paraId="246839F7"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0.7971</w:t>
            </w:r>
          </w:p>
        </w:tc>
        <w:tc>
          <w:tcPr>
            <w:tcW w:w="1440" w:type="dxa"/>
            <w:tcBorders>
              <w:left w:val="nil"/>
              <w:right w:val="nil"/>
            </w:tcBorders>
            <w:shd w:val="clear" w:color="auto" w:fill="FFFFFF"/>
            <w:noWrap/>
          </w:tcPr>
          <w:p w14:paraId="4D847FC3"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0.5255</w:t>
            </w:r>
          </w:p>
        </w:tc>
      </w:tr>
      <w:tr w:rsidR="00297B27" w:rsidRPr="008B14A9" w14:paraId="49A23DD1" w14:textId="77777777" w:rsidTr="0052087F">
        <w:tc>
          <w:tcPr>
            <w:tcW w:w="1800" w:type="dxa"/>
            <w:shd w:val="clear" w:color="auto" w:fill="FFFFFF"/>
            <w:noWrap/>
          </w:tcPr>
          <w:p w14:paraId="290598F4" w14:textId="77777777" w:rsidR="00297B27" w:rsidRPr="008B14A9" w:rsidRDefault="00297B27" w:rsidP="008B14A9">
            <w:pPr>
              <w:jc w:val="both"/>
              <w:rPr>
                <w:rFonts w:ascii="Times New Roman" w:eastAsia="Times New Roman" w:hAnsi="Times New Roman"/>
                <w:bCs/>
                <w:color w:val="000000"/>
                <w:sz w:val="24"/>
                <w:szCs w:val="24"/>
              </w:rPr>
            </w:pPr>
            <w:r w:rsidRPr="008B14A9">
              <w:rPr>
                <w:rFonts w:ascii="Times New Roman" w:eastAsia="Times New Roman" w:hAnsi="Times New Roman"/>
                <w:bCs/>
                <w:color w:val="000000"/>
                <w:sz w:val="24"/>
                <w:szCs w:val="24"/>
              </w:rPr>
              <w:t>Significant</w:t>
            </w:r>
          </w:p>
        </w:tc>
        <w:tc>
          <w:tcPr>
            <w:tcW w:w="1080" w:type="dxa"/>
            <w:shd w:val="clear" w:color="auto" w:fill="FFFFFF"/>
            <w:noWrap/>
          </w:tcPr>
          <w:p w14:paraId="56C9858E"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No</w:t>
            </w:r>
          </w:p>
        </w:tc>
        <w:tc>
          <w:tcPr>
            <w:tcW w:w="1080" w:type="dxa"/>
            <w:shd w:val="clear" w:color="auto" w:fill="FFFFFF"/>
            <w:noWrap/>
          </w:tcPr>
          <w:p w14:paraId="0C158C47"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No</w:t>
            </w:r>
          </w:p>
        </w:tc>
        <w:tc>
          <w:tcPr>
            <w:tcW w:w="1260" w:type="dxa"/>
            <w:shd w:val="clear" w:color="auto" w:fill="FFFFFF"/>
            <w:noWrap/>
          </w:tcPr>
          <w:p w14:paraId="31B344A7"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Yes</w:t>
            </w:r>
          </w:p>
        </w:tc>
        <w:tc>
          <w:tcPr>
            <w:tcW w:w="1080" w:type="dxa"/>
            <w:shd w:val="clear" w:color="auto" w:fill="FFFFFF"/>
            <w:noWrap/>
          </w:tcPr>
          <w:p w14:paraId="455D91BC"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No</w:t>
            </w:r>
          </w:p>
        </w:tc>
        <w:tc>
          <w:tcPr>
            <w:tcW w:w="1080" w:type="dxa"/>
            <w:shd w:val="clear" w:color="auto" w:fill="FFFFFF"/>
            <w:noWrap/>
          </w:tcPr>
          <w:p w14:paraId="31ACB5AF"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No</w:t>
            </w:r>
          </w:p>
        </w:tc>
        <w:tc>
          <w:tcPr>
            <w:tcW w:w="1260" w:type="dxa"/>
            <w:shd w:val="clear" w:color="auto" w:fill="FFFFFF"/>
            <w:noWrap/>
          </w:tcPr>
          <w:p w14:paraId="49C2D2FD"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No</w:t>
            </w:r>
          </w:p>
        </w:tc>
        <w:tc>
          <w:tcPr>
            <w:tcW w:w="1260" w:type="dxa"/>
            <w:shd w:val="clear" w:color="auto" w:fill="FFFFFF"/>
          </w:tcPr>
          <w:p w14:paraId="52251AA3"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No</w:t>
            </w:r>
          </w:p>
        </w:tc>
        <w:tc>
          <w:tcPr>
            <w:tcW w:w="1440" w:type="dxa"/>
            <w:shd w:val="clear" w:color="auto" w:fill="FFFFFF"/>
            <w:noWrap/>
          </w:tcPr>
          <w:p w14:paraId="747BBA2D" w14:textId="77777777" w:rsidR="00297B27" w:rsidRPr="008B14A9" w:rsidRDefault="00297B27" w:rsidP="008B14A9">
            <w:pPr>
              <w:jc w:val="both"/>
              <w:rPr>
                <w:rFonts w:ascii="Times New Roman" w:eastAsia="Times New Roman" w:hAnsi="Times New Roman"/>
                <w:color w:val="000000"/>
                <w:sz w:val="24"/>
                <w:szCs w:val="24"/>
              </w:rPr>
            </w:pPr>
            <w:r w:rsidRPr="008B14A9">
              <w:rPr>
                <w:rFonts w:ascii="Times New Roman" w:eastAsia="Times New Roman" w:hAnsi="Times New Roman"/>
                <w:color w:val="000000"/>
                <w:sz w:val="24"/>
                <w:szCs w:val="24"/>
              </w:rPr>
              <w:t>No</w:t>
            </w:r>
          </w:p>
        </w:tc>
      </w:tr>
    </w:tbl>
    <w:p w14:paraId="702A634C" w14:textId="77777777" w:rsidR="00552AC3" w:rsidRPr="008B14A9" w:rsidRDefault="00552AC3" w:rsidP="008B14A9">
      <w:pPr>
        <w:jc w:val="both"/>
        <w:rPr>
          <w:rFonts w:ascii="Times New Roman" w:hAnsi="Times New Roman"/>
          <w:color w:val="000000"/>
          <w:sz w:val="24"/>
          <w:szCs w:val="24"/>
        </w:rPr>
      </w:pPr>
      <w:r w:rsidRPr="008B14A9">
        <w:rPr>
          <w:rFonts w:ascii="Times New Roman" w:hAnsi="Times New Roman"/>
          <w:color w:val="000000"/>
          <w:sz w:val="24"/>
          <w:szCs w:val="24"/>
        </w:rPr>
        <w:t xml:space="preserve">Keys: </w:t>
      </w:r>
      <w:r w:rsidR="004C0068" w:rsidRPr="008B14A9">
        <w:rPr>
          <w:rFonts w:ascii="Times New Roman" w:hAnsi="Times New Roman"/>
          <w:color w:val="000000"/>
          <w:sz w:val="24"/>
          <w:szCs w:val="24"/>
        </w:rPr>
        <w:t>Na</w:t>
      </w:r>
      <w:r w:rsidR="004C0068"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xml:space="preserve">= Sodium, </w:t>
      </w:r>
      <w:r w:rsidR="004C0068" w:rsidRPr="008B14A9">
        <w:rPr>
          <w:rFonts w:ascii="Times New Roman" w:hAnsi="Times New Roman"/>
          <w:color w:val="000000"/>
          <w:sz w:val="24"/>
          <w:szCs w:val="24"/>
        </w:rPr>
        <w:t>K</w:t>
      </w:r>
      <w:r w:rsidR="004C0068"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xml:space="preserve">= Potassium, </w:t>
      </w:r>
      <w:r w:rsidR="004C0068" w:rsidRPr="008B14A9">
        <w:rPr>
          <w:rFonts w:ascii="Times New Roman" w:hAnsi="Times New Roman"/>
          <w:color w:val="000000"/>
          <w:sz w:val="24"/>
          <w:szCs w:val="24"/>
        </w:rPr>
        <w:t>Cl</w:t>
      </w:r>
      <w:r w:rsidR="004C0068"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Chloride,</w:t>
      </w:r>
      <w:r w:rsidR="004C0068" w:rsidRPr="008B14A9">
        <w:rPr>
          <w:rFonts w:ascii="Times New Roman" w:hAnsi="Times New Roman"/>
          <w:b/>
          <w:bCs/>
          <w:color w:val="000000"/>
          <w:sz w:val="24"/>
          <w:szCs w:val="24"/>
        </w:rPr>
        <w:t xml:space="preserve"> </w:t>
      </w:r>
      <w:r w:rsidR="004C0068" w:rsidRPr="008B14A9">
        <w:rPr>
          <w:rFonts w:ascii="Times New Roman" w:hAnsi="Times New Roman"/>
          <w:bCs/>
          <w:color w:val="000000"/>
          <w:sz w:val="24"/>
          <w:szCs w:val="24"/>
        </w:rPr>
        <w:t>HCO</w:t>
      </w:r>
      <w:r w:rsidR="004C0068" w:rsidRPr="008B14A9">
        <w:rPr>
          <w:rFonts w:ascii="Times New Roman" w:hAnsi="Times New Roman"/>
          <w:bCs/>
          <w:color w:val="000000"/>
          <w:sz w:val="24"/>
          <w:szCs w:val="24"/>
          <w:vertAlign w:val="superscript"/>
        </w:rPr>
        <w:t>-</w:t>
      </w:r>
      <w:r w:rsidR="004C0068" w:rsidRPr="008B14A9">
        <w:rPr>
          <w:rFonts w:ascii="Times New Roman" w:hAnsi="Times New Roman"/>
          <w:bCs/>
          <w:color w:val="000000"/>
          <w:sz w:val="24"/>
          <w:szCs w:val="24"/>
          <w:vertAlign w:val="subscript"/>
        </w:rPr>
        <w:t>3</w:t>
      </w:r>
      <w:r w:rsidRPr="008B14A9">
        <w:rPr>
          <w:rFonts w:ascii="Times New Roman" w:hAnsi="Times New Roman"/>
          <w:color w:val="000000"/>
          <w:sz w:val="24"/>
          <w:szCs w:val="24"/>
        </w:rPr>
        <w:t xml:space="preserve"> = Bicarbonate, CRT=Creatinine, UA= Uric Acid, BMI = Body Mass Index, FBS = Fasting Blood sugar.</w:t>
      </w:r>
      <w:r w:rsidR="00297B27" w:rsidRPr="008B14A9">
        <w:rPr>
          <w:rFonts w:ascii="Times New Roman" w:hAnsi="Times New Roman"/>
          <w:color w:val="000000"/>
          <w:sz w:val="24"/>
          <w:szCs w:val="24"/>
        </w:rPr>
        <w:t xml:space="preserve"> </w:t>
      </w:r>
      <w:r w:rsidRPr="008B14A9">
        <w:rPr>
          <w:rFonts w:ascii="Times New Roman" w:hAnsi="Times New Roman"/>
          <w:color w:val="000000"/>
          <w:sz w:val="24"/>
          <w:szCs w:val="24"/>
        </w:rPr>
        <w:t>BMI classification: BMI classification: Underweight = &lt;18.5, Norm</w:t>
      </w:r>
      <w:r w:rsidR="004C0068" w:rsidRPr="008B14A9">
        <w:rPr>
          <w:rFonts w:ascii="Times New Roman" w:hAnsi="Times New Roman"/>
          <w:color w:val="000000"/>
          <w:sz w:val="24"/>
          <w:szCs w:val="24"/>
        </w:rPr>
        <w:t xml:space="preserve">al </w:t>
      </w:r>
      <w:r w:rsidRPr="008B14A9">
        <w:rPr>
          <w:rFonts w:ascii="Times New Roman" w:hAnsi="Times New Roman"/>
          <w:color w:val="000000"/>
          <w:sz w:val="24"/>
          <w:szCs w:val="24"/>
        </w:rPr>
        <w:t xml:space="preserve">weight = 18.5-24, Overweight = 25-30, Obese = &gt;30 </w:t>
      </w:r>
    </w:p>
    <w:p w14:paraId="25305BCA" w14:textId="77777777" w:rsidR="00552AC3" w:rsidRPr="008B14A9" w:rsidRDefault="00552AC3" w:rsidP="008B14A9">
      <w:pPr>
        <w:jc w:val="both"/>
        <w:rPr>
          <w:rFonts w:ascii="Times New Roman" w:hAnsi="Times New Roman"/>
          <w:color w:val="000000"/>
          <w:sz w:val="24"/>
          <w:szCs w:val="24"/>
        </w:rPr>
      </w:pPr>
    </w:p>
    <w:p w14:paraId="4B3E0D8E" w14:textId="77777777" w:rsidR="00552AC3" w:rsidRPr="008B14A9" w:rsidRDefault="00552AC3" w:rsidP="008B14A9">
      <w:pPr>
        <w:jc w:val="both"/>
        <w:rPr>
          <w:rFonts w:ascii="Times New Roman" w:hAnsi="Times New Roman"/>
          <w:color w:val="000000"/>
          <w:sz w:val="24"/>
          <w:szCs w:val="24"/>
        </w:rPr>
      </w:pPr>
    </w:p>
    <w:p w14:paraId="269ACAC4" w14:textId="77777777" w:rsidR="005F71ED" w:rsidRPr="008B14A9" w:rsidRDefault="005F71ED" w:rsidP="008B14A9">
      <w:pPr>
        <w:jc w:val="both"/>
        <w:rPr>
          <w:rFonts w:ascii="Times New Roman" w:hAnsi="Times New Roman"/>
          <w:b/>
          <w:color w:val="000000"/>
          <w:sz w:val="24"/>
          <w:szCs w:val="24"/>
        </w:rPr>
      </w:pPr>
    </w:p>
    <w:p w14:paraId="1B61944D" w14:textId="77777777" w:rsidR="005F71ED" w:rsidRPr="008B14A9" w:rsidRDefault="005F71ED" w:rsidP="008B14A9">
      <w:pPr>
        <w:jc w:val="both"/>
        <w:rPr>
          <w:rFonts w:ascii="Times New Roman" w:hAnsi="Times New Roman"/>
          <w:b/>
          <w:color w:val="000000"/>
          <w:sz w:val="24"/>
          <w:szCs w:val="24"/>
        </w:rPr>
      </w:pPr>
      <w:r w:rsidRPr="008B14A9">
        <w:rPr>
          <w:rFonts w:ascii="Times New Roman" w:hAnsi="Times New Roman"/>
          <w:b/>
          <w:color w:val="000000"/>
          <w:sz w:val="24"/>
          <w:szCs w:val="24"/>
        </w:rPr>
        <w:t>3.5: Results of Correlation of B</w:t>
      </w:r>
      <w:r w:rsidR="002B6E2A" w:rsidRPr="008B14A9">
        <w:rPr>
          <w:rFonts w:ascii="Times New Roman" w:hAnsi="Times New Roman"/>
          <w:b/>
          <w:color w:val="000000"/>
          <w:sz w:val="24"/>
          <w:szCs w:val="24"/>
        </w:rPr>
        <w:t>MI against Renal Function Parameters</w:t>
      </w:r>
      <w:r w:rsidRPr="008B14A9">
        <w:rPr>
          <w:rFonts w:ascii="Times New Roman" w:hAnsi="Times New Roman"/>
          <w:b/>
          <w:color w:val="000000"/>
          <w:sz w:val="24"/>
          <w:szCs w:val="24"/>
        </w:rPr>
        <w:t>, U</w:t>
      </w:r>
      <w:r w:rsidR="007B7CE2" w:rsidRPr="008B14A9">
        <w:rPr>
          <w:rFonts w:ascii="Times New Roman" w:hAnsi="Times New Roman"/>
          <w:b/>
          <w:color w:val="000000"/>
          <w:sz w:val="24"/>
          <w:szCs w:val="24"/>
        </w:rPr>
        <w:t xml:space="preserve">ric </w:t>
      </w:r>
      <w:r w:rsidRPr="008B14A9">
        <w:rPr>
          <w:rFonts w:ascii="Times New Roman" w:hAnsi="Times New Roman"/>
          <w:b/>
          <w:color w:val="000000"/>
          <w:sz w:val="24"/>
          <w:szCs w:val="24"/>
        </w:rPr>
        <w:t>A</w:t>
      </w:r>
      <w:r w:rsidR="007B7CE2" w:rsidRPr="008B14A9">
        <w:rPr>
          <w:rFonts w:ascii="Times New Roman" w:hAnsi="Times New Roman"/>
          <w:b/>
          <w:color w:val="000000"/>
          <w:sz w:val="24"/>
          <w:szCs w:val="24"/>
        </w:rPr>
        <w:t>cid</w:t>
      </w:r>
      <w:r w:rsidR="002B6E2A" w:rsidRPr="008B14A9">
        <w:rPr>
          <w:rFonts w:ascii="Times New Roman" w:hAnsi="Times New Roman"/>
          <w:b/>
          <w:color w:val="000000"/>
          <w:sz w:val="24"/>
          <w:szCs w:val="24"/>
        </w:rPr>
        <w:t xml:space="preserve"> </w:t>
      </w:r>
      <w:r w:rsidRPr="008B14A9">
        <w:rPr>
          <w:rFonts w:ascii="Times New Roman" w:hAnsi="Times New Roman"/>
          <w:b/>
          <w:color w:val="000000"/>
          <w:sz w:val="24"/>
          <w:szCs w:val="24"/>
        </w:rPr>
        <w:t>and Fasting Blood Sugar of Obese Subjects</w:t>
      </w:r>
    </w:p>
    <w:p w14:paraId="09831250" w14:textId="77777777" w:rsidR="005F71ED" w:rsidRPr="008B14A9" w:rsidRDefault="005F71ED" w:rsidP="008B14A9">
      <w:pPr>
        <w:jc w:val="both"/>
        <w:rPr>
          <w:rFonts w:ascii="Times New Roman" w:hAnsi="Times New Roman"/>
          <w:b/>
          <w:color w:val="000000"/>
          <w:sz w:val="24"/>
          <w:szCs w:val="24"/>
        </w:rPr>
      </w:pPr>
    </w:p>
    <w:p w14:paraId="04622D5B" w14:textId="77777777" w:rsidR="00F35B46" w:rsidRPr="008B14A9" w:rsidRDefault="007B7CE2" w:rsidP="008B14A9">
      <w:pPr>
        <w:jc w:val="both"/>
        <w:rPr>
          <w:rFonts w:ascii="Times New Roman" w:hAnsi="Times New Roman"/>
          <w:color w:val="000000"/>
          <w:sz w:val="24"/>
          <w:szCs w:val="24"/>
        </w:rPr>
      </w:pPr>
      <w:r w:rsidRPr="008B14A9">
        <w:rPr>
          <w:rFonts w:ascii="Times New Roman" w:hAnsi="Times New Roman"/>
          <w:color w:val="000000"/>
          <w:sz w:val="24"/>
          <w:szCs w:val="24"/>
        </w:rPr>
        <w:t xml:space="preserve">Pearson correlation analysis showed </w:t>
      </w:r>
      <w:r w:rsidRPr="008B14A9">
        <w:rPr>
          <w:rFonts w:ascii="Times New Roman" w:hAnsi="Times New Roman"/>
          <w:bCs/>
          <w:color w:val="000000"/>
          <w:sz w:val="24"/>
          <w:szCs w:val="24"/>
        </w:rPr>
        <w:t>no significant associations</w:t>
      </w:r>
      <w:r w:rsidRPr="008B14A9">
        <w:rPr>
          <w:rFonts w:ascii="Times New Roman" w:hAnsi="Times New Roman"/>
          <w:color w:val="000000"/>
          <w:sz w:val="24"/>
          <w:szCs w:val="24"/>
        </w:rPr>
        <w:t xml:space="preserve"> between BMI and electrolytes, urea, creatinine fasting blood glucose, or age (</w:t>
      </w:r>
      <w:r w:rsidRPr="008B14A9">
        <w:rPr>
          <w:rFonts w:ascii="Times New Roman" w:hAnsi="Times New Roman"/>
          <w:i/>
          <w:iCs/>
          <w:color w:val="000000"/>
          <w:sz w:val="24"/>
          <w:szCs w:val="24"/>
        </w:rPr>
        <w:t>p</w:t>
      </w:r>
      <w:r w:rsidRPr="008B14A9">
        <w:rPr>
          <w:rFonts w:ascii="Times New Roman" w:hAnsi="Times New Roman"/>
          <w:color w:val="000000"/>
          <w:sz w:val="24"/>
          <w:szCs w:val="24"/>
        </w:rPr>
        <w:t xml:space="preserve"> &gt; 0.05) in the underweight Subjects (Table 5).</w:t>
      </w:r>
    </w:p>
    <w:p w14:paraId="4572A891" w14:textId="77777777" w:rsidR="008550D6" w:rsidRPr="008B14A9" w:rsidRDefault="008550D6" w:rsidP="008B14A9">
      <w:pPr>
        <w:jc w:val="both"/>
        <w:rPr>
          <w:rFonts w:ascii="Times New Roman" w:hAnsi="Times New Roman"/>
          <w:b/>
          <w:color w:val="000000"/>
          <w:sz w:val="24"/>
          <w:szCs w:val="24"/>
        </w:rPr>
      </w:pPr>
    </w:p>
    <w:p w14:paraId="5AB99878" w14:textId="77777777" w:rsidR="0058619F" w:rsidRPr="008B14A9" w:rsidRDefault="00532864" w:rsidP="008B14A9">
      <w:pPr>
        <w:jc w:val="both"/>
        <w:rPr>
          <w:rFonts w:ascii="Times New Roman" w:hAnsi="Times New Roman"/>
          <w:b/>
          <w:color w:val="000000"/>
          <w:sz w:val="24"/>
          <w:szCs w:val="24"/>
        </w:rPr>
      </w:pPr>
      <w:r w:rsidRPr="008B14A9">
        <w:rPr>
          <w:rFonts w:ascii="Times New Roman" w:hAnsi="Times New Roman"/>
          <w:b/>
          <w:color w:val="000000"/>
          <w:sz w:val="24"/>
          <w:szCs w:val="24"/>
        </w:rPr>
        <w:t>Table 5</w:t>
      </w:r>
      <w:r w:rsidR="0058619F" w:rsidRPr="008B14A9">
        <w:rPr>
          <w:rFonts w:ascii="Times New Roman" w:hAnsi="Times New Roman"/>
          <w:b/>
          <w:color w:val="000000"/>
          <w:sz w:val="24"/>
          <w:szCs w:val="24"/>
        </w:rPr>
        <w:t>: Results of Correlation of BMI against Electrolytes, Urea, CRT, UA, Age, and Fasting Blood Sugar of Obese Subjects of JABU</w:t>
      </w:r>
      <w:r w:rsidR="0058619F" w:rsidRPr="008B14A9">
        <w:rPr>
          <w:rFonts w:ascii="Times New Roman" w:hAnsi="Times New Roman"/>
          <w:color w:val="000000"/>
          <w:sz w:val="24"/>
          <w:szCs w:val="24"/>
        </w:rPr>
        <w:t xml:space="preserve"> </w:t>
      </w:r>
    </w:p>
    <w:tbl>
      <w:tblPr>
        <w:tblW w:w="11520" w:type="dxa"/>
        <w:tblInd w:w="-1512" w:type="dxa"/>
        <w:tblBorders>
          <w:top w:val="single" w:sz="8" w:space="0" w:color="000000"/>
          <w:bottom w:val="single" w:sz="8" w:space="0" w:color="000000"/>
        </w:tblBorders>
        <w:tblLayout w:type="fixed"/>
        <w:tblLook w:val="00A0" w:firstRow="1" w:lastRow="0" w:firstColumn="1" w:lastColumn="0" w:noHBand="0" w:noVBand="0"/>
      </w:tblPr>
      <w:tblGrid>
        <w:gridCol w:w="1800"/>
        <w:gridCol w:w="1080"/>
        <w:gridCol w:w="1080"/>
        <w:gridCol w:w="1080"/>
        <w:gridCol w:w="1080"/>
        <w:gridCol w:w="1080"/>
        <w:gridCol w:w="1080"/>
        <w:gridCol w:w="1080"/>
        <w:gridCol w:w="1080"/>
        <w:gridCol w:w="1080"/>
      </w:tblGrid>
      <w:tr w:rsidR="0058619F" w:rsidRPr="008B14A9" w14:paraId="1A8BCF06" w14:textId="77777777" w:rsidTr="00DE4AF1">
        <w:tc>
          <w:tcPr>
            <w:tcW w:w="1800" w:type="dxa"/>
            <w:tcBorders>
              <w:top w:val="single" w:sz="8" w:space="0" w:color="000000"/>
              <w:left w:val="nil"/>
              <w:bottom w:val="single" w:sz="8" w:space="0" w:color="000000"/>
              <w:right w:val="nil"/>
            </w:tcBorders>
            <w:shd w:val="clear" w:color="auto" w:fill="FFFFFF"/>
            <w:noWrap/>
          </w:tcPr>
          <w:p w14:paraId="1D1B0C9C" w14:textId="77777777" w:rsidR="0058619F" w:rsidRPr="008B14A9" w:rsidRDefault="00297B27"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Pearson </w:t>
            </w:r>
            <w:r w:rsidR="0058619F" w:rsidRPr="008B14A9">
              <w:rPr>
                <w:rFonts w:ascii="Times New Roman" w:hAnsi="Times New Roman"/>
                <w:b/>
                <w:bCs/>
                <w:color w:val="000000"/>
                <w:sz w:val="24"/>
                <w:szCs w:val="24"/>
              </w:rPr>
              <w:t>Correlation</w:t>
            </w:r>
          </w:p>
        </w:tc>
        <w:tc>
          <w:tcPr>
            <w:tcW w:w="1080" w:type="dxa"/>
            <w:tcBorders>
              <w:top w:val="single" w:sz="8" w:space="0" w:color="000000"/>
              <w:left w:val="nil"/>
              <w:bottom w:val="single" w:sz="8" w:space="0" w:color="000000"/>
              <w:right w:val="nil"/>
            </w:tcBorders>
            <w:shd w:val="clear" w:color="auto" w:fill="FFFFFF"/>
            <w:noWrap/>
          </w:tcPr>
          <w:p w14:paraId="31BF8E6B" w14:textId="77777777" w:rsidR="0058619F" w:rsidRPr="008B14A9" w:rsidRDefault="002C5C71" w:rsidP="008B14A9">
            <w:pPr>
              <w:jc w:val="both"/>
              <w:rPr>
                <w:rFonts w:ascii="Times New Roman" w:hAnsi="Times New Roman"/>
                <w:b/>
                <w:bCs/>
                <w:color w:val="000000"/>
                <w:sz w:val="24"/>
                <w:szCs w:val="24"/>
                <w:vertAlign w:val="superscript"/>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58619F" w:rsidRPr="008B14A9">
              <w:rPr>
                <w:rFonts w:ascii="Times New Roman" w:hAnsi="Times New Roman"/>
                <w:b/>
                <w:bCs/>
                <w:color w:val="000000"/>
                <w:sz w:val="24"/>
                <w:szCs w:val="24"/>
              </w:rPr>
              <w:br/>
              <w:t>Na</w:t>
            </w:r>
            <w:r w:rsidR="0058619F"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1CC77F3B" w14:textId="77777777" w:rsidR="0058619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58619F" w:rsidRPr="008B14A9">
              <w:rPr>
                <w:rFonts w:ascii="Times New Roman" w:hAnsi="Times New Roman"/>
                <w:b/>
                <w:bCs/>
                <w:color w:val="000000"/>
                <w:sz w:val="24"/>
                <w:szCs w:val="24"/>
              </w:rPr>
              <w:br/>
              <w:t>K</w:t>
            </w:r>
            <w:r w:rsidR="0058619F"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2C68C48A" w14:textId="77777777" w:rsidR="0058619F" w:rsidRPr="008B14A9" w:rsidRDefault="002C5C71" w:rsidP="008B14A9">
            <w:pPr>
              <w:jc w:val="both"/>
              <w:rPr>
                <w:rFonts w:ascii="Times New Roman" w:hAnsi="Times New Roman"/>
                <w:b/>
                <w:bCs/>
                <w:color w:val="000000"/>
                <w:sz w:val="24"/>
                <w:szCs w:val="24"/>
                <w:vertAlign w:val="superscript"/>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58619F" w:rsidRPr="008B14A9">
              <w:rPr>
                <w:rFonts w:ascii="Times New Roman" w:hAnsi="Times New Roman"/>
                <w:b/>
                <w:bCs/>
                <w:color w:val="000000"/>
                <w:sz w:val="24"/>
                <w:szCs w:val="24"/>
              </w:rPr>
              <w:br/>
              <w:t>Cl</w:t>
            </w:r>
            <w:r w:rsidR="0058619F" w:rsidRPr="008B14A9">
              <w:rPr>
                <w:rFonts w:ascii="Times New Roman" w:hAnsi="Times New Roman"/>
                <w:b/>
                <w:bCs/>
                <w:color w:val="000000"/>
                <w:sz w:val="24"/>
                <w:szCs w:val="24"/>
                <w:vertAlign w:val="superscript"/>
              </w:rPr>
              <w:t>-</w:t>
            </w:r>
          </w:p>
        </w:tc>
        <w:tc>
          <w:tcPr>
            <w:tcW w:w="1080" w:type="dxa"/>
            <w:tcBorders>
              <w:top w:val="single" w:sz="8" w:space="0" w:color="000000"/>
              <w:left w:val="nil"/>
              <w:bottom w:val="single" w:sz="8" w:space="0" w:color="000000"/>
              <w:right w:val="nil"/>
            </w:tcBorders>
            <w:shd w:val="clear" w:color="auto" w:fill="FFFFFF"/>
            <w:noWrap/>
          </w:tcPr>
          <w:p w14:paraId="4A48AE42" w14:textId="77777777" w:rsidR="0058619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58619F" w:rsidRPr="008B14A9">
              <w:rPr>
                <w:rFonts w:ascii="Times New Roman" w:hAnsi="Times New Roman"/>
                <w:b/>
                <w:bCs/>
                <w:color w:val="000000"/>
                <w:sz w:val="24"/>
                <w:szCs w:val="24"/>
              </w:rPr>
              <w:br/>
              <w:t>HCO</w:t>
            </w:r>
            <w:r w:rsidR="0058619F" w:rsidRPr="008B14A9">
              <w:rPr>
                <w:rFonts w:ascii="Times New Roman" w:hAnsi="Times New Roman"/>
                <w:b/>
                <w:bCs/>
                <w:color w:val="000000"/>
                <w:sz w:val="24"/>
                <w:szCs w:val="24"/>
                <w:vertAlign w:val="superscript"/>
              </w:rPr>
              <w:t>-</w:t>
            </w:r>
            <w:r w:rsidR="0058619F" w:rsidRPr="008B14A9">
              <w:rPr>
                <w:rFonts w:ascii="Times New Roman" w:hAnsi="Times New Roman"/>
                <w:b/>
                <w:bCs/>
                <w:color w:val="000000"/>
                <w:sz w:val="24"/>
                <w:szCs w:val="24"/>
                <w:vertAlign w:val="subscript"/>
              </w:rPr>
              <w:t>3</w:t>
            </w:r>
          </w:p>
        </w:tc>
        <w:tc>
          <w:tcPr>
            <w:tcW w:w="1080" w:type="dxa"/>
            <w:tcBorders>
              <w:top w:val="single" w:sz="8" w:space="0" w:color="000000"/>
              <w:left w:val="nil"/>
              <w:bottom w:val="single" w:sz="8" w:space="0" w:color="000000"/>
              <w:right w:val="nil"/>
            </w:tcBorders>
            <w:shd w:val="clear" w:color="auto" w:fill="FFFFFF"/>
            <w:noWrap/>
          </w:tcPr>
          <w:p w14:paraId="615208CB" w14:textId="77777777" w:rsidR="0058619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58619F" w:rsidRPr="008B14A9">
              <w:rPr>
                <w:rFonts w:ascii="Times New Roman" w:hAnsi="Times New Roman"/>
                <w:b/>
                <w:bCs/>
                <w:color w:val="000000"/>
                <w:sz w:val="24"/>
                <w:szCs w:val="24"/>
              </w:rPr>
              <w:br/>
              <w:t>UREA</w:t>
            </w:r>
          </w:p>
        </w:tc>
        <w:tc>
          <w:tcPr>
            <w:tcW w:w="1080" w:type="dxa"/>
            <w:tcBorders>
              <w:top w:val="single" w:sz="8" w:space="0" w:color="000000"/>
              <w:left w:val="nil"/>
              <w:bottom w:val="single" w:sz="8" w:space="0" w:color="000000"/>
              <w:right w:val="nil"/>
            </w:tcBorders>
            <w:shd w:val="clear" w:color="auto" w:fill="FFFFFF"/>
            <w:noWrap/>
          </w:tcPr>
          <w:p w14:paraId="23284663" w14:textId="77777777" w:rsidR="002C5C71"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p>
          <w:p w14:paraId="5B211A5B" w14:textId="77777777" w:rsidR="0058619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to</w:t>
            </w:r>
            <w:r w:rsidR="0058619F" w:rsidRPr="008B14A9">
              <w:rPr>
                <w:rFonts w:ascii="Times New Roman" w:hAnsi="Times New Roman"/>
                <w:b/>
                <w:bCs/>
                <w:color w:val="000000"/>
                <w:sz w:val="24"/>
                <w:szCs w:val="24"/>
              </w:rPr>
              <w:br/>
              <w:t>CRT</w:t>
            </w:r>
          </w:p>
        </w:tc>
        <w:tc>
          <w:tcPr>
            <w:tcW w:w="1080" w:type="dxa"/>
            <w:tcBorders>
              <w:top w:val="single" w:sz="8" w:space="0" w:color="000000"/>
              <w:left w:val="nil"/>
              <w:bottom w:val="single" w:sz="8" w:space="0" w:color="000000"/>
              <w:right w:val="nil"/>
            </w:tcBorders>
            <w:shd w:val="clear" w:color="auto" w:fill="FFFFFF"/>
            <w:noWrap/>
          </w:tcPr>
          <w:p w14:paraId="1FFCFF76" w14:textId="77777777" w:rsidR="0058619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58619F" w:rsidRPr="008B14A9">
              <w:rPr>
                <w:rFonts w:ascii="Times New Roman" w:hAnsi="Times New Roman"/>
                <w:b/>
                <w:bCs/>
                <w:color w:val="000000"/>
                <w:sz w:val="24"/>
                <w:szCs w:val="24"/>
              </w:rPr>
              <w:br/>
              <w:t>UA</w:t>
            </w:r>
          </w:p>
        </w:tc>
        <w:tc>
          <w:tcPr>
            <w:tcW w:w="1080" w:type="dxa"/>
            <w:tcBorders>
              <w:top w:val="single" w:sz="8" w:space="0" w:color="000000"/>
              <w:left w:val="nil"/>
              <w:bottom w:val="single" w:sz="8" w:space="0" w:color="000000"/>
              <w:right w:val="nil"/>
            </w:tcBorders>
            <w:shd w:val="clear" w:color="auto" w:fill="FFFFFF"/>
            <w:noWrap/>
          </w:tcPr>
          <w:p w14:paraId="47E102A5" w14:textId="77777777" w:rsidR="002C5C71"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p>
          <w:p w14:paraId="1E2F574C" w14:textId="77777777" w:rsidR="0058619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to</w:t>
            </w:r>
            <w:r w:rsidR="0058619F" w:rsidRPr="008B14A9">
              <w:rPr>
                <w:rFonts w:ascii="Times New Roman" w:hAnsi="Times New Roman"/>
                <w:b/>
                <w:bCs/>
                <w:color w:val="000000"/>
                <w:sz w:val="24"/>
                <w:szCs w:val="24"/>
              </w:rPr>
              <w:br/>
              <w:t>FBS</w:t>
            </w:r>
          </w:p>
        </w:tc>
        <w:tc>
          <w:tcPr>
            <w:tcW w:w="1080" w:type="dxa"/>
            <w:tcBorders>
              <w:top w:val="single" w:sz="8" w:space="0" w:color="000000"/>
              <w:left w:val="nil"/>
              <w:bottom w:val="single" w:sz="8" w:space="0" w:color="000000"/>
              <w:right w:val="nil"/>
            </w:tcBorders>
            <w:shd w:val="clear" w:color="auto" w:fill="FFFFFF"/>
            <w:noWrap/>
          </w:tcPr>
          <w:p w14:paraId="1934D2E8" w14:textId="77777777" w:rsidR="0058619F" w:rsidRPr="008B14A9" w:rsidRDefault="002C5C71" w:rsidP="008B14A9">
            <w:pPr>
              <w:jc w:val="both"/>
              <w:rPr>
                <w:rFonts w:ascii="Times New Roman" w:hAnsi="Times New Roman"/>
                <w:b/>
                <w:bCs/>
                <w:color w:val="000000"/>
                <w:sz w:val="24"/>
                <w:szCs w:val="24"/>
              </w:rPr>
            </w:pPr>
            <w:r w:rsidRPr="008B14A9">
              <w:rPr>
                <w:rFonts w:ascii="Times New Roman" w:hAnsi="Times New Roman"/>
                <w:b/>
                <w:bCs/>
                <w:color w:val="000000"/>
                <w:sz w:val="24"/>
                <w:szCs w:val="24"/>
              </w:rPr>
              <w:t xml:space="preserve">BMI </w:t>
            </w:r>
            <w:r w:rsidRPr="008B14A9">
              <w:rPr>
                <w:rFonts w:ascii="Times New Roman" w:hAnsi="Times New Roman"/>
                <w:b/>
                <w:bCs/>
                <w:color w:val="000000"/>
                <w:sz w:val="24"/>
                <w:szCs w:val="24"/>
              </w:rPr>
              <w:br/>
              <w:t>to</w:t>
            </w:r>
            <w:r w:rsidR="0040211F" w:rsidRPr="008B14A9">
              <w:rPr>
                <w:rFonts w:ascii="Times New Roman" w:hAnsi="Times New Roman"/>
                <w:b/>
                <w:bCs/>
                <w:color w:val="000000"/>
                <w:sz w:val="24"/>
                <w:szCs w:val="24"/>
              </w:rPr>
              <w:br/>
              <w:t>Age</w:t>
            </w:r>
          </w:p>
        </w:tc>
      </w:tr>
      <w:tr w:rsidR="0058619F" w:rsidRPr="008B14A9" w14:paraId="7DAD56AB" w14:textId="77777777" w:rsidTr="00DE4AF1">
        <w:tc>
          <w:tcPr>
            <w:tcW w:w="1800" w:type="dxa"/>
            <w:shd w:val="clear" w:color="auto" w:fill="FFFFFF"/>
            <w:noWrap/>
          </w:tcPr>
          <w:p w14:paraId="0091CA43" w14:textId="77777777" w:rsidR="0058619F" w:rsidRPr="008B14A9" w:rsidRDefault="0058619F"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R</w:t>
            </w:r>
          </w:p>
        </w:tc>
        <w:tc>
          <w:tcPr>
            <w:tcW w:w="1080" w:type="dxa"/>
            <w:shd w:val="clear" w:color="auto" w:fill="FFFFFF"/>
            <w:noWrap/>
          </w:tcPr>
          <w:p w14:paraId="74091ED7"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0.5541</w:t>
            </w:r>
          </w:p>
        </w:tc>
        <w:tc>
          <w:tcPr>
            <w:tcW w:w="1080" w:type="dxa"/>
            <w:shd w:val="clear" w:color="auto" w:fill="FFFFFF"/>
            <w:noWrap/>
          </w:tcPr>
          <w:p w14:paraId="1CF10848"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0.2208</w:t>
            </w:r>
          </w:p>
        </w:tc>
        <w:tc>
          <w:tcPr>
            <w:tcW w:w="1080" w:type="dxa"/>
            <w:shd w:val="clear" w:color="auto" w:fill="FFFFFF"/>
            <w:noWrap/>
          </w:tcPr>
          <w:p w14:paraId="65D77FDB"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0.4961</w:t>
            </w:r>
          </w:p>
        </w:tc>
        <w:tc>
          <w:tcPr>
            <w:tcW w:w="1080" w:type="dxa"/>
            <w:shd w:val="clear" w:color="auto" w:fill="FFFFFF"/>
            <w:noWrap/>
          </w:tcPr>
          <w:p w14:paraId="1750DC43"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-0.2625</w:t>
            </w:r>
          </w:p>
        </w:tc>
        <w:tc>
          <w:tcPr>
            <w:tcW w:w="1080" w:type="dxa"/>
            <w:shd w:val="clear" w:color="auto" w:fill="FFFFFF"/>
            <w:noWrap/>
          </w:tcPr>
          <w:p w14:paraId="141EB8CE"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0.2184</w:t>
            </w:r>
          </w:p>
        </w:tc>
        <w:tc>
          <w:tcPr>
            <w:tcW w:w="1080" w:type="dxa"/>
            <w:shd w:val="clear" w:color="auto" w:fill="FFFFFF"/>
            <w:noWrap/>
          </w:tcPr>
          <w:p w14:paraId="79A46EBB"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-0.3184</w:t>
            </w:r>
          </w:p>
        </w:tc>
        <w:tc>
          <w:tcPr>
            <w:tcW w:w="1080" w:type="dxa"/>
            <w:shd w:val="clear" w:color="auto" w:fill="FFFFFF"/>
            <w:noWrap/>
          </w:tcPr>
          <w:p w14:paraId="3438E91B"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0.1048</w:t>
            </w:r>
          </w:p>
        </w:tc>
        <w:tc>
          <w:tcPr>
            <w:tcW w:w="1080" w:type="dxa"/>
            <w:shd w:val="clear" w:color="auto" w:fill="FFFFFF"/>
            <w:noWrap/>
          </w:tcPr>
          <w:p w14:paraId="06537D50"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0.0874</w:t>
            </w:r>
          </w:p>
        </w:tc>
        <w:tc>
          <w:tcPr>
            <w:tcW w:w="1080" w:type="dxa"/>
            <w:shd w:val="clear" w:color="auto" w:fill="FFFFFF"/>
            <w:noWrap/>
          </w:tcPr>
          <w:p w14:paraId="4BFB2AFF"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0.3780</w:t>
            </w:r>
          </w:p>
        </w:tc>
      </w:tr>
      <w:tr w:rsidR="0058619F" w:rsidRPr="008B14A9" w14:paraId="290A4BF8" w14:textId="77777777" w:rsidTr="00DE4AF1">
        <w:tc>
          <w:tcPr>
            <w:tcW w:w="1800" w:type="dxa"/>
            <w:tcBorders>
              <w:left w:val="nil"/>
              <w:right w:val="nil"/>
            </w:tcBorders>
            <w:shd w:val="clear" w:color="auto" w:fill="FFFFFF"/>
            <w:noWrap/>
          </w:tcPr>
          <w:p w14:paraId="7DE2DCBF" w14:textId="77777777" w:rsidR="0058619F" w:rsidRPr="008B14A9" w:rsidRDefault="0058619F"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P (two-tailed)</w:t>
            </w:r>
          </w:p>
        </w:tc>
        <w:tc>
          <w:tcPr>
            <w:tcW w:w="1080" w:type="dxa"/>
            <w:tcBorders>
              <w:left w:val="nil"/>
              <w:right w:val="nil"/>
            </w:tcBorders>
            <w:shd w:val="clear" w:color="auto" w:fill="FFFFFF"/>
            <w:noWrap/>
          </w:tcPr>
          <w:p w14:paraId="033B8A8B"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0.1216</w:t>
            </w:r>
          </w:p>
        </w:tc>
        <w:tc>
          <w:tcPr>
            <w:tcW w:w="1080" w:type="dxa"/>
            <w:tcBorders>
              <w:left w:val="nil"/>
              <w:right w:val="nil"/>
            </w:tcBorders>
            <w:shd w:val="clear" w:color="auto" w:fill="FFFFFF"/>
            <w:noWrap/>
          </w:tcPr>
          <w:p w14:paraId="1E3EB36A"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0.5680</w:t>
            </w:r>
          </w:p>
        </w:tc>
        <w:tc>
          <w:tcPr>
            <w:tcW w:w="1080" w:type="dxa"/>
            <w:tcBorders>
              <w:left w:val="nil"/>
              <w:right w:val="nil"/>
            </w:tcBorders>
            <w:shd w:val="clear" w:color="auto" w:fill="FFFFFF"/>
            <w:noWrap/>
          </w:tcPr>
          <w:p w14:paraId="6675B6D6"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0.1744</w:t>
            </w:r>
          </w:p>
        </w:tc>
        <w:tc>
          <w:tcPr>
            <w:tcW w:w="1080" w:type="dxa"/>
            <w:tcBorders>
              <w:left w:val="nil"/>
              <w:right w:val="nil"/>
            </w:tcBorders>
            <w:shd w:val="clear" w:color="auto" w:fill="FFFFFF"/>
            <w:noWrap/>
          </w:tcPr>
          <w:p w14:paraId="4CF40B9B"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0.4950</w:t>
            </w:r>
          </w:p>
        </w:tc>
        <w:tc>
          <w:tcPr>
            <w:tcW w:w="1080" w:type="dxa"/>
            <w:tcBorders>
              <w:left w:val="nil"/>
              <w:right w:val="nil"/>
            </w:tcBorders>
            <w:shd w:val="clear" w:color="auto" w:fill="FFFFFF"/>
            <w:noWrap/>
          </w:tcPr>
          <w:p w14:paraId="496E074F"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0.5725</w:t>
            </w:r>
          </w:p>
        </w:tc>
        <w:tc>
          <w:tcPr>
            <w:tcW w:w="1080" w:type="dxa"/>
            <w:tcBorders>
              <w:left w:val="nil"/>
              <w:right w:val="nil"/>
            </w:tcBorders>
            <w:shd w:val="clear" w:color="auto" w:fill="FFFFFF"/>
            <w:noWrap/>
          </w:tcPr>
          <w:p w14:paraId="1D1B3EEA"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0.4037</w:t>
            </w:r>
          </w:p>
        </w:tc>
        <w:tc>
          <w:tcPr>
            <w:tcW w:w="1080" w:type="dxa"/>
            <w:tcBorders>
              <w:left w:val="nil"/>
              <w:right w:val="nil"/>
            </w:tcBorders>
            <w:shd w:val="clear" w:color="auto" w:fill="FFFFFF"/>
            <w:noWrap/>
          </w:tcPr>
          <w:p w14:paraId="394948FC"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0.7884</w:t>
            </w:r>
          </w:p>
        </w:tc>
        <w:tc>
          <w:tcPr>
            <w:tcW w:w="1080" w:type="dxa"/>
            <w:tcBorders>
              <w:left w:val="nil"/>
              <w:right w:val="nil"/>
            </w:tcBorders>
            <w:shd w:val="clear" w:color="auto" w:fill="FFFFFF"/>
            <w:noWrap/>
          </w:tcPr>
          <w:p w14:paraId="4B81CB4E"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0.8231</w:t>
            </w:r>
          </w:p>
        </w:tc>
        <w:tc>
          <w:tcPr>
            <w:tcW w:w="1080" w:type="dxa"/>
            <w:tcBorders>
              <w:left w:val="nil"/>
              <w:right w:val="nil"/>
            </w:tcBorders>
            <w:shd w:val="clear" w:color="auto" w:fill="FFFFFF"/>
            <w:noWrap/>
          </w:tcPr>
          <w:p w14:paraId="4D614E6B"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0.3158</w:t>
            </w:r>
          </w:p>
        </w:tc>
      </w:tr>
      <w:tr w:rsidR="0058619F" w:rsidRPr="008B14A9" w14:paraId="399A0A32" w14:textId="77777777" w:rsidTr="00DE4AF1">
        <w:tc>
          <w:tcPr>
            <w:tcW w:w="1800" w:type="dxa"/>
            <w:shd w:val="clear" w:color="auto" w:fill="FFFFFF"/>
            <w:noWrap/>
          </w:tcPr>
          <w:p w14:paraId="0B112E8E" w14:textId="77777777" w:rsidR="0058619F" w:rsidRPr="008B14A9" w:rsidRDefault="0058619F" w:rsidP="008B14A9">
            <w:pPr>
              <w:jc w:val="both"/>
              <w:rPr>
                <w:rFonts w:ascii="Times New Roman" w:hAnsi="Times New Roman"/>
                <w:b/>
                <w:bCs/>
                <w:color w:val="000000"/>
                <w:sz w:val="24"/>
                <w:szCs w:val="24"/>
              </w:rPr>
            </w:pPr>
            <w:r w:rsidRPr="008B14A9">
              <w:rPr>
                <w:rFonts w:ascii="Times New Roman" w:hAnsi="Times New Roman"/>
                <w:bCs/>
                <w:color w:val="000000"/>
                <w:sz w:val="24"/>
                <w:szCs w:val="24"/>
              </w:rPr>
              <w:t>Significant</w:t>
            </w:r>
          </w:p>
        </w:tc>
        <w:tc>
          <w:tcPr>
            <w:tcW w:w="1080" w:type="dxa"/>
            <w:shd w:val="clear" w:color="auto" w:fill="FFFFFF"/>
            <w:noWrap/>
          </w:tcPr>
          <w:p w14:paraId="2D33BFAD"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354D0B44"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67B60B1D"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4DD54874"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0A4959B8"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3B039793"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13DAB0EE"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47C25BB9"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c>
          <w:tcPr>
            <w:tcW w:w="1080" w:type="dxa"/>
            <w:shd w:val="clear" w:color="auto" w:fill="FFFFFF"/>
            <w:noWrap/>
          </w:tcPr>
          <w:p w14:paraId="0645AA11"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color w:val="000000"/>
                <w:sz w:val="24"/>
                <w:szCs w:val="24"/>
              </w:rPr>
              <w:t>No</w:t>
            </w:r>
          </w:p>
        </w:tc>
      </w:tr>
    </w:tbl>
    <w:p w14:paraId="6585E698" w14:textId="77777777" w:rsidR="0058619F" w:rsidRPr="008B14A9" w:rsidRDefault="0058619F" w:rsidP="008B14A9">
      <w:pPr>
        <w:jc w:val="both"/>
        <w:rPr>
          <w:rFonts w:ascii="Times New Roman" w:hAnsi="Times New Roman"/>
          <w:color w:val="000000"/>
          <w:sz w:val="24"/>
          <w:szCs w:val="24"/>
        </w:rPr>
      </w:pPr>
      <w:r w:rsidRPr="008B14A9">
        <w:rPr>
          <w:rFonts w:ascii="Times New Roman" w:hAnsi="Times New Roman"/>
          <w:b/>
          <w:color w:val="000000"/>
          <w:sz w:val="24"/>
          <w:szCs w:val="24"/>
        </w:rPr>
        <w:t xml:space="preserve">Keys: </w:t>
      </w:r>
      <w:r w:rsidRPr="008B14A9">
        <w:rPr>
          <w:rFonts w:ascii="Times New Roman" w:hAnsi="Times New Roman"/>
          <w:color w:val="000000"/>
          <w:sz w:val="24"/>
          <w:szCs w:val="24"/>
        </w:rPr>
        <w:t>Na</w:t>
      </w:r>
      <w:r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Sodium, K</w:t>
      </w:r>
      <w:r w:rsidRPr="008B14A9">
        <w:rPr>
          <w:rFonts w:ascii="Times New Roman" w:hAnsi="Times New Roman"/>
          <w:color w:val="000000"/>
          <w:sz w:val="24"/>
          <w:szCs w:val="24"/>
          <w:vertAlign w:val="superscript"/>
        </w:rPr>
        <w:t>+</w:t>
      </w:r>
      <w:r w:rsidRPr="008B14A9">
        <w:rPr>
          <w:rFonts w:ascii="Times New Roman" w:hAnsi="Times New Roman"/>
          <w:color w:val="000000"/>
          <w:sz w:val="24"/>
          <w:szCs w:val="24"/>
        </w:rPr>
        <w:t xml:space="preserve"> = Potassium, Cl</w:t>
      </w:r>
      <w:r w:rsidRPr="008B14A9">
        <w:rPr>
          <w:rFonts w:ascii="Times New Roman" w:hAnsi="Times New Roman"/>
          <w:color w:val="000000"/>
          <w:sz w:val="24"/>
          <w:szCs w:val="24"/>
          <w:vertAlign w:val="superscript"/>
        </w:rPr>
        <w:t xml:space="preserve">- </w:t>
      </w:r>
      <w:r w:rsidRPr="008B14A9">
        <w:rPr>
          <w:rFonts w:ascii="Times New Roman" w:hAnsi="Times New Roman"/>
          <w:color w:val="000000"/>
          <w:sz w:val="24"/>
          <w:szCs w:val="24"/>
        </w:rPr>
        <w:t>= Chloride,</w:t>
      </w:r>
      <w:r w:rsidR="004C0068" w:rsidRPr="008B14A9">
        <w:rPr>
          <w:rFonts w:ascii="Times New Roman" w:hAnsi="Times New Roman"/>
          <w:b/>
          <w:bCs/>
          <w:color w:val="000000"/>
          <w:sz w:val="24"/>
          <w:szCs w:val="24"/>
        </w:rPr>
        <w:t xml:space="preserve"> </w:t>
      </w:r>
      <w:r w:rsidR="004C0068" w:rsidRPr="008B14A9">
        <w:rPr>
          <w:rFonts w:ascii="Times New Roman" w:hAnsi="Times New Roman"/>
          <w:bCs/>
          <w:color w:val="000000"/>
          <w:sz w:val="24"/>
          <w:szCs w:val="24"/>
        </w:rPr>
        <w:t>HCO</w:t>
      </w:r>
      <w:r w:rsidR="004C0068" w:rsidRPr="008B14A9">
        <w:rPr>
          <w:rFonts w:ascii="Times New Roman" w:hAnsi="Times New Roman"/>
          <w:bCs/>
          <w:color w:val="000000"/>
          <w:sz w:val="24"/>
          <w:szCs w:val="24"/>
          <w:vertAlign w:val="superscript"/>
        </w:rPr>
        <w:t>-</w:t>
      </w:r>
      <w:r w:rsidR="004C0068" w:rsidRPr="008B14A9">
        <w:rPr>
          <w:rFonts w:ascii="Times New Roman" w:hAnsi="Times New Roman"/>
          <w:bCs/>
          <w:color w:val="000000"/>
          <w:sz w:val="24"/>
          <w:szCs w:val="24"/>
          <w:vertAlign w:val="subscript"/>
        </w:rPr>
        <w:t>3</w:t>
      </w:r>
      <w:r w:rsidRPr="008B14A9">
        <w:rPr>
          <w:rFonts w:ascii="Times New Roman" w:hAnsi="Times New Roman"/>
          <w:color w:val="000000"/>
          <w:sz w:val="24"/>
          <w:szCs w:val="24"/>
        </w:rPr>
        <w:t xml:space="preserve"> = Bicarbonate, CRT=Creatinine, UA= Uric Acid, BMI = Body Mass In</w:t>
      </w:r>
      <w:r w:rsidR="00297B27" w:rsidRPr="008B14A9">
        <w:rPr>
          <w:rFonts w:ascii="Times New Roman" w:hAnsi="Times New Roman"/>
          <w:color w:val="000000"/>
          <w:sz w:val="24"/>
          <w:szCs w:val="24"/>
        </w:rPr>
        <w:t xml:space="preserve">dex, FBS = Fasting Blood sugar. </w:t>
      </w:r>
      <w:r w:rsidRPr="008B14A9">
        <w:rPr>
          <w:rFonts w:ascii="Times New Roman" w:hAnsi="Times New Roman"/>
          <w:color w:val="000000"/>
          <w:sz w:val="24"/>
          <w:szCs w:val="24"/>
        </w:rPr>
        <w:t>BMI classification: BMI classification: Underweight = &lt;18.5, Norm</w:t>
      </w:r>
      <w:r w:rsidR="004C0068" w:rsidRPr="008B14A9">
        <w:rPr>
          <w:rFonts w:ascii="Times New Roman" w:hAnsi="Times New Roman"/>
          <w:color w:val="000000"/>
          <w:sz w:val="24"/>
          <w:szCs w:val="24"/>
        </w:rPr>
        <w:t xml:space="preserve">al </w:t>
      </w:r>
      <w:r w:rsidRPr="008B14A9">
        <w:rPr>
          <w:rFonts w:ascii="Times New Roman" w:hAnsi="Times New Roman"/>
          <w:color w:val="000000"/>
          <w:sz w:val="24"/>
          <w:szCs w:val="24"/>
        </w:rPr>
        <w:t xml:space="preserve">weight = 18.5-24, Overweight = 25-30, Obese = &gt;30 </w:t>
      </w:r>
    </w:p>
    <w:p w14:paraId="5CEC4B87" w14:textId="77777777" w:rsidR="0058619F" w:rsidRPr="008B14A9" w:rsidRDefault="0058619F" w:rsidP="008B14A9">
      <w:pPr>
        <w:jc w:val="both"/>
        <w:rPr>
          <w:rFonts w:ascii="Times New Roman" w:hAnsi="Times New Roman"/>
          <w:color w:val="000000"/>
          <w:sz w:val="24"/>
          <w:szCs w:val="24"/>
        </w:rPr>
      </w:pPr>
    </w:p>
    <w:p w14:paraId="701A72FA" w14:textId="77777777" w:rsidR="0058619F" w:rsidRPr="008B14A9" w:rsidRDefault="0058619F" w:rsidP="008B14A9">
      <w:pPr>
        <w:jc w:val="both"/>
        <w:rPr>
          <w:rFonts w:ascii="Times New Roman" w:hAnsi="Times New Roman"/>
          <w:color w:val="000000"/>
          <w:sz w:val="24"/>
          <w:szCs w:val="24"/>
        </w:rPr>
      </w:pPr>
    </w:p>
    <w:p w14:paraId="41B9C11A" w14:textId="77777777" w:rsidR="00552AC3" w:rsidRPr="008B14A9" w:rsidRDefault="00552AC3" w:rsidP="008B14A9">
      <w:pPr>
        <w:jc w:val="both"/>
        <w:rPr>
          <w:rFonts w:ascii="Times New Roman" w:hAnsi="Times New Roman"/>
          <w:color w:val="000000"/>
          <w:sz w:val="24"/>
          <w:szCs w:val="24"/>
        </w:rPr>
      </w:pPr>
    </w:p>
    <w:p w14:paraId="0E31EC06" w14:textId="77777777" w:rsidR="00552AC3" w:rsidRPr="008B14A9" w:rsidRDefault="00552AC3" w:rsidP="008B14A9">
      <w:pPr>
        <w:jc w:val="both"/>
        <w:rPr>
          <w:rFonts w:ascii="Times New Roman" w:hAnsi="Times New Roman"/>
          <w:color w:val="000000"/>
          <w:sz w:val="24"/>
          <w:szCs w:val="24"/>
        </w:rPr>
      </w:pPr>
    </w:p>
    <w:p w14:paraId="2C385309" w14:textId="77777777" w:rsidR="00552AC3" w:rsidRPr="008B14A9" w:rsidRDefault="00552AC3" w:rsidP="008B14A9">
      <w:pPr>
        <w:jc w:val="both"/>
        <w:rPr>
          <w:rFonts w:ascii="Times New Roman" w:hAnsi="Times New Roman"/>
          <w:color w:val="000000"/>
          <w:sz w:val="24"/>
          <w:szCs w:val="24"/>
        </w:rPr>
      </w:pPr>
    </w:p>
    <w:p w14:paraId="07D6443C" w14:textId="77777777" w:rsidR="00552AC3" w:rsidRPr="008B14A9" w:rsidRDefault="002C61C4" w:rsidP="008B14A9">
      <w:pPr>
        <w:jc w:val="both"/>
        <w:rPr>
          <w:rFonts w:ascii="Times New Roman" w:hAnsi="Times New Roman"/>
          <w:b/>
          <w:color w:val="000000"/>
          <w:sz w:val="24"/>
          <w:szCs w:val="24"/>
        </w:rPr>
      </w:pPr>
      <w:r w:rsidRPr="008B14A9">
        <w:rPr>
          <w:rFonts w:ascii="Times New Roman" w:hAnsi="Times New Roman"/>
          <w:b/>
          <w:color w:val="000000"/>
          <w:sz w:val="24"/>
          <w:szCs w:val="24"/>
        </w:rPr>
        <w:t xml:space="preserve">4.0 </w:t>
      </w:r>
      <w:r w:rsidR="00F35B46" w:rsidRPr="008B14A9">
        <w:rPr>
          <w:rFonts w:ascii="Times New Roman" w:hAnsi="Times New Roman"/>
          <w:b/>
          <w:color w:val="000000"/>
          <w:sz w:val="24"/>
          <w:szCs w:val="24"/>
        </w:rPr>
        <w:t>DISCUSSION</w:t>
      </w:r>
    </w:p>
    <w:p w14:paraId="42045B9B" w14:textId="77777777" w:rsidR="00A37A07" w:rsidRPr="008B14A9" w:rsidRDefault="00A37A07" w:rsidP="008B14A9">
      <w:pPr>
        <w:pStyle w:val="NormalWeb"/>
        <w:jc w:val="both"/>
        <w:rPr>
          <w:color w:val="000000"/>
        </w:rPr>
      </w:pPr>
      <w:r w:rsidRPr="008B14A9">
        <w:rPr>
          <w:color w:val="000000"/>
        </w:rPr>
        <w:t>In this study, serum electrolytes, including sodium (Na</w:t>
      </w:r>
      <w:r w:rsidRPr="008B14A9">
        <w:rPr>
          <w:rFonts w:eastAsia="MS Mincho"/>
          <w:color w:val="000000"/>
        </w:rPr>
        <w:t>⁺</w:t>
      </w:r>
      <w:r w:rsidRPr="008B14A9">
        <w:rPr>
          <w:color w:val="000000"/>
        </w:rPr>
        <w:t>), potassium (K</w:t>
      </w:r>
      <w:r w:rsidRPr="008B14A9">
        <w:rPr>
          <w:rFonts w:eastAsia="MS Mincho"/>
          <w:color w:val="000000"/>
        </w:rPr>
        <w:t>⁺</w:t>
      </w:r>
      <w:r w:rsidRPr="008B14A9">
        <w:rPr>
          <w:color w:val="000000"/>
        </w:rPr>
        <w:t>), chloride (Cl</w:t>
      </w:r>
      <w:r w:rsidRPr="008B14A9">
        <w:rPr>
          <w:rFonts w:eastAsia="MS Mincho"/>
          <w:color w:val="000000"/>
        </w:rPr>
        <w:t>⁻</w:t>
      </w:r>
      <w:r w:rsidRPr="008B14A9">
        <w:rPr>
          <w:color w:val="000000"/>
        </w:rPr>
        <w:t>), and bicarbonate (HCO</w:t>
      </w:r>
      <w:r w:rsidRPr="008B14A9">
        <w:rPr>
          <w:rFonts w:eastAsia="MS Mincho"/>
          <w:color w:val="000000"/>
        </w:rPr>
        <w:t>₃⁻</w:t>
      </w:r>
      <w:r w:rsidRPr="008B14A9">
        <w:rPr>
          <w:color w:val="000000"/>
        </w:rPr>
        <w:t xml:space="preserve">), did </w:t>
      </w:r>
      <w:r w:rsidR="002B6E2A" w:rsidRPr="008B14A9">
        <w:rPr>
          <w:color w:val="000000"/>
        </w:rPr>
        <w:t>not differ significantly between underweight, normal weight, over weight and obese groups of Joseph Ayo Babalola University</w:t>
      </w:r>
      <w:r w:rsidR="00FC0BEB" w:rsidRPr="008B14A9">
        <w:rPr>
          <w:color w:val="000000"/>
        </w:rPr>
        <w:t xml:space="preserve">. </w:t>
      </w:r>
      <w:r w:rsidRPr="008B14A9">
        <w:rPr>
          <w:color w:val="000000"/>
        </w:rPr>
        <w:t>The stability of serum sodium indicates preserved extracellular fluid balance and</w:t>
      </w:r>
      <w:r w:rsidR="00C202F4" w:rsidRPr="008B14A9">
        <w:rPr>
          <w:color w:val="000000"/>
        </w:rPr>
        <w:t xml:space="preserve"> effective renal sodium across underweight, normal weight, over weight and obese</w:t>
      </w:r>
      <w:r w:rsidRPr="008B14A9">
        <w:rPr>
          <w:color w:val="000000"/>
        </w:rPr>
        <w:t>. Sodium homeostasis is tightly regulated by renal mechanisms, including the renin–angiotensin–aldosterone system (</w:t>
      </w:r>
      <w:r w:rsidR="00E438B0" w:rsidRPr="008B14A9">
        <w:rPr>
          <w:color w:val="000000"/>
        </w:rPr>
        <w:t xml:space="preserve">RAAS) and antidiuretic hormone </w:t>
      </w:r>
      <w:r w:rsidRPr="008B14A9">
        <w:rPr>
          <w:color w:val="000000"/>
        </w:rPr>
        <w:t>(</w:t>
      </w:r>
      <w:r w:rsidR="00E438B0" w:rsidRPr="008B14A9">
        <w:rPr>
          <w:color w:val="000000"/>
          <w:shd w:val="clear" w:color="auto" w:fill="FFFFFF"/>
        </w:rPr>
        <w:t xml:space="preserve">Bernal </w:t>
      </w:r>
      <w:r w:rsidR="00E438B0" w:rsidRPr="008B14A9">
        <w:rPr>
          <w:i/>
          <w:color w:val="000000"/>
          <w:shd w:val="clear" w:color="auto" w:fill="FFFFFF"/>
        </w:rPr>
        <w:t>et al</w:t>
      </w:r>
      <w:r w:rsidR="00E438B0" w:rsidRPr="008B14A9">
        <w:rPr>
          <w:color w:val="000000"/>
          <w:shd w:val="clear" w:color="auto" w:fill="FFFFFF"/>
        </w:rPr>
        <w:t>.,</w:t>
      </w:r>
      <w:r w:rsidR="00575A8E" w:rsidRPr="008B14A9">
        <w:rPr>
          <w:color w:val="000000"/>
          <w:shd w:val="clear" w:color="auto" w:fill="FFFFFF"/>
        </w:rPr>
        <w:t xml:space="preserve"> 2023; F</w:t>
      </w:r>
      <w:r w:rsidR="00E438B0" w:rsidRPr="008B14A9">
        <w:rPr>
          <w:color w:val="000000"/>
          <w:shd w:val="clear" w:color="auto" w:fill="FFFFFF"/>
        </w:rPr>
        <w:t xml:space="preserve">ountain </w:t>
      </w:r>
      <w:r w:rsidR="00E438B0" w:rsidRPr="008B14A9">
        <w:rPr>
          <w:i/>
          <w:color w:val="000000"/>
          <w:shd w:val="clear" w:color="auto" w:fill="FFFFFF"/>
        </w:rPr>
        <w:t>et al</w:t>
      </w:r>
      <w:r w:rsidR="00E438B0" w:rsidRPr="008B14A9">
        <w:rPr>
          <w:color w:val="000000"/>
          <w:shd w:val="clear" w:color="auto" w:fill="FFFFFF"/>
        </w:rPr>
        <w:t>., 2023</w:t>
      </w:r>
      <w:r w:rsidRPr="008B14A9">
        <w:rPr>
          <w:color w:val="000000"/>
        </w:rPr>
        <w:t xml:space="preserve">). On the contrary, Ahmed </w:t>
      </w:r>
      <w:r w:rsidRPr="008B14A9">
        <w:rPr>
          <w:i/>
          <w:color w:val="000000"/>
        </w:rPr>
        <w:t>et al</w:t>
      </w:r>
      <w:r w:rsidRPr="008B14A9">
        <w:rPr>
          <w:color w:val="000000"/>
        </w:rPr>
        <w:t xml:space="preserve">. (2025) reported </w:t>
      </w:r>
      <w:proofErr w:type="spellStart"/>
      <w:r w:rsidRPr="008B14A9">
        <w:rPr>
          <w:color w:val="000000"/>
        </w:rPr>
        <w:t>hypernatraemia</w:t>
      </w:r>
      <w:proofErr w:type="spellEnd"/>
      <w:r w:rsidRPr="008B14A9">
        <w:rPr>
          <w:color w:val="000000"/>
        </w:rPr>
        <w:t xml:space="preserve"> in obese female students </w:t>
      </w:r>
      <w:r w:rsidRPr="008B14A9">
        <w:rPr>
          <w:color w:val="000000"/>
          <w:shd w:val="clear" w:color="auto" w:fill="FFFFFF"/>
        </w:rPr>
        <w:t>at Taibah University, Madinah, Saudi Arabia, also,</w:t>
      </w:r>
      <w:r w:rsidRPr="008B14A9">
        <w:rPr>
          <w:color w:val="000000"/>
        </w:rPr>
        <w:t xml:space="preserve"> </w:t>
      </w:r>
      <w:proofErr w:type="spellStart"/>
      <w:r w:rsidRPr="008B14A9">
        <w:rPr>
          <w:color w:val="000000"/>
        </w:rPr>
        <w:t>Ikegwuonu</w:t>
      </w:r>
      <w:proofErr w:type="spellEnd"/>
      <w:r w:rsidRPr="008B14A9">
        <w:rPr>
          <w:color w:val="000000"/>
        </w:rPr>
        <w:t xml:space="preserve"> et al. (2023), r</w:t>
      </w:r>
      <w:r w:rsidRPr="008B14A9">
        <w:rPr>
          <w:color w:val="000000"/>
          <w:shd w:val="clear" w:color="auto" w:fill="FFFFFF"/>
        </w:rPr>
        <w:t xml:space="preserve">eported significant </w:t>
      </w:r>
      <w:r w:rsidR="00575A8E" w:rsidRPr="008B14A9">
        <w:rPr>
          <w:color w:val="000000"/>
          <w:shd w:val="clear" w:color="auto" w:fill="FFFFFF"/>
        </w:rPr>
        <w:t>elevated</w:t>
      </w:r>
      <w:r w:rsidRPr="008B14A9">
        <w:rPr>
          <w:color w:val="000000"/>
          <w:shd w:val="clear" w:color="auto" w:fill="FFFFFF"/>
        </w:rPr>
        <w:t xml:space="preserve"> serum sodium in </w:t>
      </w:r>
      <w:r w:rsidR="00575A8E" w:rsidRPr="008B14A9">
        <w:rPr>
          <w:color w:val="000000"/>
          <w:shd w:val="clear" w:color="auto" w:fill="FFFFFF"/>
        </w:rPr>
        <w:t>overweight</w:t>
      </w:r>
      <w:r w:rsidRPr="008B14A9">
        <w:rPr>
          <w:color w:val="000000"/>
          <w:shd w:val="clear" w:color="auto" w:fill="FFFFFF"/>
        </w:rPr>
        <w:t xml:space="preserve"> an obese adults. </w:t>
      </w:r>
      <w:r w:rsidRPr="008B14A9">
        <w:rPr>
          <w:color w:val="000000"/>
        </w:rPr>
        <w:t>Consistent with previous studies, obesity-related sodium retention is often subclinical and more likely reflected by blood pressure changes or volume expansion rather than alterations in serum sodium levels (</w:t>
      </w:r>
      <w:proofErr w:type="spellStart"/>
      <w:r w:rsidR="00575A8E" w:rsidRPr="008B14A9">
        <w:rPr>
          <w:color w:val="000000"/>
          <w:shd w:val="clear" w:color="auto" w:fill="FFFFFF"/>
        </w:rPr>
        <w:t>Parvanova</w:t>
      </w:r>
      <w:proofErr w:type="spellEnd"/>
      <w:r w:rsidR="00575A8E" w:rsidRPr="008B14A9">
        <w:rPr>
          <w:color w:val="000000"/>
          <w:shd w:val="clear" w:color="auto" w:fill="FFFFFF"/>
        </w:rPr>
        <w:t xml:space="preserve"> </w:t>
      </w:r>
      <w:r w:rsidR="00575A8E" w:rsidRPr="008B14A9">
        <w:rPr>
          <w:i/>
          <w:color w:val="000000"/>
          <w:shd w:val="clear" w:color="auto" w:fill="FFFFFF"/>
        </w:rPr>
        <w:t>et al.,</w:t>
      </w:r>
      <w:r w:rsidR="00575A8E" w:rsidRPr="008B14A9">
        <w:rPr>
          <w:color w:val="000000"/>
          <w:shd w:val="clear" w:color="auto" w:fill="FFFFFF"/>
        </w:rPr>
        <w:t xml:space="preserve"> 2023</w:t>
      </w:r>
      <w:r w:rsidR="005B0ECC" w:rsidRPr="008B14A9">
        <w:rPr>
          <w:color w:val="000000"/>
          <w:shd w:val="clear" w:color="auto" w:fill="FFFFFF"/>
        </w:rPr>
        <w:t xml:space="preserve">; Hall </w:t>
      </w:r>
      <w:r w:rsidR="005B0ECC" w:rsidRPr="008B14A9">
        <w:rPr>
          <w:i/>
          <w:color w:val="000000"/>
          <w:shd w:val="clear" w:color="auto" w:fill="FFFFFF"/>
        </w:rPr>
        <w:t>et al.,</w:t>
      </w:r>
      <w:r w:rsidR="005B0ECC" w:rsidRPr="008B14A9">
        <w:rPr>
          <w:color w:val="000000"/>
          <w:shd w:val="clear" w:color="auto" w:fill="FFFFFF"/>
        </w:rPr>
        <w:t xml:space="preserve"> 2015</w:t>
      </w:r>
      <w:r w:rsidRPr="008B14A9">
        <w:rPr>
          <w:color w:val="000000"/>
        </w:rPr>
        <w:t>).</w:t>
      </w:r>
    </w:p>
    <w:p w14:paraId="3C3B30C9" w14:textId="77777777" w:rsidR="00A37A07" w:rsidRPr="008B14A9" w:rsidRDefault="00A37A07" w:rsidP="008B14A9">
      <w:pPr>
        <w:pStyle w:val="NormalWeb"/>
        <w:jc w:val="both"/>
        <w:rPr>
          <w:color w:val="000000"/>
        </w:rPr>
      </w:pPr>
      <w:r w:rsidRPr="008B14A9">
        <w:rPr>
          <w:color w:val="000000"/>
        </w:rPr>
        <w:t>Similarly, potassium regulation, mediated by renal excretion and transcellular shifts under the influence of insulin, catecholamines, and aldosterone, remained stable despite variations in body weight, consistent with prior studies showing minimal changes in serum K</w:t>
      </w:r>
      <w:r w:rsidRPr="008B14A9">
        <w:rPr>
          <w:rFonts w:eastAsia="MS Mincho"/>
          <w:color w:val="000000"/>
        </w:rPr>
        <w:t>⁺</w:t>
      </w:r>
      <w:r w:rsidRPr="008B14A9">
        <w:rPr>
          <w:color w:val="000000"/>
        </w:rPr>
        <w:t xml:space="preserve"> in healthy overweight and obese po</w:t>
      </w:r>
      <w:r w:rsidR="005B0ECC" w:rsidRPr="008B14A9">
        <w:rPr>
          <w:color w:val="000000"/>
        </w:rPr>
        <w:t>pulations (</w:t>
      </w:r>
      <w:r w:rsidRPr="008B14A9">
        <w:rPr>
          <w:color w:val="000000"/>
        </w:rPr>
        <w:t xml:space="preserve">Hall et al., 2015). On the contrary, Ahmed </w:t>
      </w:r>
      <w:r w:rsidRPr="008B14A9">
        <w:rPr>
          <w:i/>
          <w:color w:val="000000"/>
        </w:rPr>
        <w:t>et al</w:t>
      </w:r>
      <w:r w:rsidRPr="008B14A9">
        <w:rPr>
          <w:color w:val="000000"/>
        </w:rPr>
        <w:t xml:space="preserve">. (2025) </w:t>
      </w:r>
      <w:proofErr w:type="spellStart"/>
      <w:r w:rsidRPr="008B14A9">
        <w:rPr>
          <w:color w:val="000000"/>
        </w:rPr>
        <w:t>hypokalamia</w:t>
      </w:r>
      <w:proofErr w:type="spellEnd"/>
      <w:r w:rsidRPr="008B14A9">
        <w:rPr>
          <w:color w:val="000000"/>
        </w:rPr>
        <w:t xml:space="preserve"> in a greater percent of his study population likewise </w:t>
      </w:r>
      <w:proofErr w:type="spellStart"/>
      <w:r w:rsidRPr="008B14A9">
        <w:rPr>
          <w:color w:val="000000"/>
        </w:rPr>
        <w:t>Ikegwuonu</w:t>
      </w:r>
      <w:proofErr w:type="spellEnd"/>
      <w:r w:rsidRPr="008B14A9">
        <w:rPr>
          <w:color w:val="000000"/>
        </w:rPr>
        <w:t xml:space="preserve"> et al. (2023) who reported </w:t>
      </w:r>
      <w:proofErr w:type="spellStart"/>
      <w:r w:rsidRPr="008B14A9">
        <w:rPr>
          <w:color w:val="000000"/>
        </w:rPr>
        <w:t>significanltly</w:t>
      </w:r>
      <w:proofErr w:type="spellEnd"/>
      <w:r w:rsidRPr="008B14A9">
        <w:rPr>
          <w:color w:val="000000"/>
        </w:rPr>
        <w:t xml:space="preserve"> reduced potassium level compared to normal weight</w:t>
      </w:r>
    </w:p>
    <w:p w14:paraId="45CB62F0" w14:textId="77777777" w:rsidR="00A37A07" w:rsidRPr="008B14A9" w:rsidRDefault="00A37A07" w:rsidP="008B14A9">
      <w:pPr>
        <w:pStyle w:val="NormalWeb"/>
        <w:jc w:val="both"/>
        <w:rPr>
          <w:color w:val="000000"/>
        </w:rPr>
      </w:pPr>
      <w:r w:rsidRPr="008B14A9">
        <w:rPr>
          <w:color w:val="000000"/>
        </w:rPr>
        <w:t>Chloride, the main extracellular anion</w:t>
      </w:r>
      <w:r w:rsidR="005B0ECC" w:rsidRPr="008B14A9">
        <w:rPr>
          <w:color w:val="000000"/>
        </w:rPr>
        <w:t xml:space="preserve"> (Berend </w:t>
      </w:r>
      <w:r w:rsidR="005B0ECC" w:rsidRPr="008B14A9">
        <w:rPr>
          <w:i/>
          <w:color w:val="000000"/>
        </w:rPr>
        <w:t>et al.,</w:t>
      </w:r>
      <w:r w:rsidR="005B0ECC" w:rsidRPr="008B14A9">
        <w:rPr>
          <w:color w:val="000000"/>
        </w:rPr>
        <w:t xml:space="preserve"> 2012)</w:t>
      </w:r>
      <w:r w:rsidRPr="008B14A9">
        <w:rPr>
          <w:color w:val="000000"/>
        </w:rPr>
        <w:t>, and bicarbonate, a key component of the acid–base buffering system</w:t>
      </w:r>
      <w:r w:rsidR="005B0ECC" w:rsidRPr="008B14A9">
        <w:rPr>
          <w:color w:val="000000"/>
          <w:shd w:val="clear" w:color="auto" w:fill="FFFFFF"/>
        </w:rPr>
        <w:t xml:space="preserve"> (Hopkins </w:t>
      </w:r>
      <w:r w:rsidR="005B0ECC" w:rsidRPr="008B14A9">
        <w:rPr>
          <w:i/>
          <w:color w:val="000000"/>
          <w:shd w:val="clear" w:color="auto" w:fill="FFFFFF"/>
        </w:rPr>
        <w:t>et al</w:t>
      </w:r>
      <w:r w:rsidR="005B0ECC" w:rsidRPr="008B14A9">
        <w:rPr>
          <w:color w:val="000000"/>
          <w:shd w:val="clear" w:color="auto" w:fill="FFFFFF"/>
        </w:rPr>
        <w:t>., 2022)</w:t>
      </w:r>
      <w:r w:rsidRPr="008B14A9">
        <w:rPr>
          <w:color w:val="000000"/>
        </w:rPr>
        <w:t>, also showed no significant differences across BMI groups. These findings suggest that increased adiposity does not substantially impair acid–base balance or extracellular anion regulation in healthy adults. Previous studies have similarly reported stable Cl</w:t>
      </w:r>
      <w:r w:rsidRPr="008B14A9">
        <w:rPr>
          <w:rFonts w:eastAsia="MS Mincho"/>
          <w:color w:val="000000"/>
        </w:rPr>
        <w:t>⁻</w:t>
      </w:r>
      <w:r w:rsidRPr="008B14A9">
        <w:rPr>
          <w:color w:val="000000"/>
        </w:rPr>
        <w:t xml:space="preserve"> and HCO</w:t>
      </w:r>
      <w:r w:rsidRPr="008B14A9">
        <w:rPr>
          <w:rFonts w:eastAsia="MS Mincho"/>
          <w:color w:val="000000"/>
        </w:rPr>
        <w:t>₃⁻</w:t>
      </w:r>
      <w:r w:rsidRPr="008B14A9">
        <w:rPr>
          <w:color w:val="000000"/>
        </w:rPr>
        <w:t xml:space="preserve"> levels across BMI categories, attributing this to effective renal compensation and subclinical nature of obesity-related electrolyte alt</w:t>
      </w:r>
      <w:r w:rsidR="005B0ECC" w:rsidRPr="008B14A9">
        <w:rPr>
          <w:color w:val="000000"/>
        </w:rPr>
        <w:t>erations (</w:t>
      </w:r>
      <w:r w:rsidRPr="008B14A9">
        <w:rPr>
          <w:color w:val="000000"/>
        </w:rPr>
        <w:t xml:space="preserve">Hall </w:t>
      </w:r>
      <w:r w:rsidRPr="008B14A9">
        <w:rPr>
          <w:i/>
          <w:color w:val="000000"/>
        </w:rPr>
        <w:t>et al</w:t>
      </w:r>
      <w:r w:rsidRPr="008B14A9">
        <w:rPr>
          <w:color w:val="000000"/>
        </w:rPr>
        <w:t xml:space="preserve">., 2015). The chloride and </w:t>
      </w:r>
      <w:proofErr w:type="spellStart"/>
      <w:r w:rsidRPr="008B14A9">
        <w:rPr>
          <w:color w:val="000000"/>
        </w:rPr>
        <w:t>bicarcarboinate</w:t>
      </w:r>
      <w:proofErr w:type="spellEnd"/>
      <w:r w:rsidRPr="008B14A9">
        <w:rPr>
          <w:color w:val="000000"/>
        </w:rPr>
        <w:t xml:space="preserve"> results tallied with </w:t>
      </w:r>
      <w:proofErr w:type="spellStart"/>
      <w:r w:rsidRPr="008B14A9">
        <w:rPr>
          <w:color w:val="000000"/>
        </w:rPr>
        <w:t>Ikegwuonu</w:t>
      </w:r>
      <w:proofErr w:type="spellEnd"/>
      <w:r w:rsidRPr="008B14A9">
        <w:rPr>
          <w:color w:val="000000"/>
        </w:rPr>
        <w:t xml:space="preserve"> et al. (2023) report. Although obesity has been associated with low-grade inflammation, RAAS activation, and subtle renal hemodynamic changes, these are often insufficient to produce measurable serum electrolyte disturbances in the absence of overt renal or metabolic disease. </w:t>
      </w:r>
    </w:p>
    <w:p w14:paraId="269F7BD0" w14:textId="77777777" w:rsidR="0006011C" w:rsidRPr="008B14A9" w:rsidRDefault="00A37A07" w:rsidP="008B14A9">
      <w:pPr>
        <w:pStyle w:val="NormalWeb"/>
        <w:jc w:val="both"/>
        <w:rPr>
          <w:color w:val="000000"/>
        </w:rPr>
      </w:pPr>
      <w:r w:rsidRPr="008B14A9">
        <w:rPr>
          <w:color w:val="000000"/>
        </w:rPr>
        <w:t>Serum urea, a key marker of renal nitrogen excretion, also showed no significant differences across BMI categories. This</w:t>
      </w:r>
      <w:r w:rsidR="005B0ECC" w:rsidRPr="008B14A9">
        <w:rPr>
          <w:color w:val="000000"/>
        </w:rPr>
        <w:t xml:space="preserve"> suggests that </w:t>
      </w:r>
      <w:r w:rsidRPr="008B14A9">
        <w:rPr>
          <w:color w:val="000000"/>
        </w:rPr>
        <w:t>nitrogen is preserved in apparently healthy adults despite variations in body mass. While obesity has been associated with subtle renal changes such as hyperfiltration and low-grade inflammation, these alterations are often subclinical and insufficient to affect serum urea levels in the absence of overt kidney disease (</w:t>
      </w:r>
      <w:r w:rsidR="0006011C" w:rsidRPr="008B14A9">
        <w:rPr>
          <w:color w:val="000000"/>
          <w:shd w:val="clear" w:color="auto" w:fill="FFFFFF"/>
        </w:rPr>
        <w:t xml:space="preserve">Mascali </w:t>
      </w:r>
      <w:r w:rsidR="0006011C" w:rsidRPr="008B14A9">
        <w:rPr>
          <w:i/>
          <w:color w:val="000000"/>
          <w:shd w:val="clear" w:color="auto" w:fill="FFFFFF"/>
        </w:rPr>
        <w:t>et al</w:t>
      </w:r>
      <w:r w:rsidR="00344BC4" w:rsidRPr="008B14A9">
        <w:rPr>
          <w:color w:val="000000"/>
          <w:shd w:val="clear" w:color="auto" w:fill="FFFFFF"/>
        </w:rPr>
        <w:t xml:space="preserve">., </w:t>
      </w:r>
      <w:r w:rsidR="0006011C" w:rsidRPr="008B14A9">
        <w:rPr>
          <w:color w:val="000000"/>
          <w:shd w:val="clear" w:color="auto" w:fill="FFFFFF"/>
        </w:rPr>
        <w:t>2022</w:t>
      </w:r>
      <w:r w:rsidR="0006011C" w:rsidRPr="008B14A9">
        <w:rPr>
          <w:color w:val="000000"/>
        </w:rPr>
        <w:t xml:space="preserve">; </w:t>
      </w:r>
      <w:r w:rsidRPr="008B14A9">
        <w:rPr>
          <w:color w:val="000000"/>
        </w:rPr>
        <w:t xml:space="preserve">Hall </w:t>
      </w:r>
      <w:r w:rsidRPr="008B14A9">
        <w:rPr>
          <w:i/>
          <w:color w:val="000000"/>
        </w:rPr>
        <w:t>et al.,</w:t>
      </w:r>
      <w:r w:rsidRPr="008B14A9">
        <w:rPr>
          <w:color w:val="000000"/>
        </w:rPr>
        <w:t xml:space="preserve"> 2015). These findings are consistent with previous studies (Gul, </w:t>
      </w:r>
      <w:r w:rsidRPr="008B14A9">
        <w:rPr>
          <w:i/>
          <w:color w:val="000000"/>
        </w:rPr>
        <w:t>et al</w:t>
      </w:r>
      <w:r w:rsidRPr="008B14A9">
        <w:rPr>
          <w:color w:val="000000"/>
        </w:rPr>
        <w:t xml:space="preserve">., 2020) while other studies have reporting minimal variation in serum electrolytes and urea across BMI </w:t>
      </w:r>
      <w:r w:rsidR="0006011C" w:rsidRPr="008B14A9">
        <w:rPr>
          <w:color w:val="000000"/>
        </w:rPr>
        <w:t>groups in healthy populations</w:t>
      </w:r>
      <w:r w:rsidRPr="008B14A9">
        <w:rPr>
          <w:color w:val="000000"/>
        </w:rPr>
        <w:t xml:space="preserve">. </w:t>
      </w:r>
    </w:p>
    <w:p w14:paraId="4F5DA03F" w14:textId="77777777" w:rsidR="00A37A07" w:rsidRPr="008B14A9" w:rsidRDefault="00A37A07" w:rsidP="008B14A9">
      <w:pPr>
        <w:pStyle w:val="NormalWeb"/>
        <w:jc w:val="both"/>
        <w:rPr>
          <w:color w:val="000000"/>
        </w:rPr>
      </w:pPr>
      <w:r w:rsidRPr="008B14A9">
        <w:rPr>
          <w:color w:val="000000"/>
        </w:rPr>
        <w:lastRenderedPageBreak/>
        <w:t>Creatinine is a key marker of renal function, reflecting glomerular filtration and muscle metabolism</w:t>
      </w:r>
      <w:r w:rsidR="0006011C" w:rsidRPr="008B14A9">
        <w:rPr>
          <w:color w:val="000000"/>
          <w:shd w:val="clear" w:color="auto" w:fill="FFFFFF"/>
        </w:rPr>
        <w:t xml:space="preserve"> (Ávila </w:t>
      </w:r>
      <w:r w:rsidR="0006011C" w:rsidRPr="008B14A9">
        <w:rPr>
          <w:i/>
          <w:color w:val="000000"/>
          <w:shd w:val="clear" w:color="auto" w:fill="FFFFFF"/>
        </w:rPr>
        <w:t>et al.</w:t>
      </w:r>
      <w:r w:rsidR="0006011C" w:rsidRPr="008B14A9">
        <w:rPr>
          <w:color w:val="000000"/>
          <w:shd w:val="clear" w:color="auto" w:fill="FFFFFF"/>
        </w:rPr>
        <w:t>, 2025)</w:t>
      </w:r>
      <w:r w:rsidRPr="008B14A9">
        <w:rPr>
          <w:color w:val="000000"/>
        </w:rPr>
        <w:t>. Its concentration is influenced by muscle mass, protein intake, and renal clearance (Guyton &amp; Hall, 2</w:t>
      </w:r>
      <w:r w:rsidR="000634DD" w:rsidRPr="008B14A9">
        <w:rPr>
          <w:color w:val="000000"/>
        </w:rPr>
        <w:t xml:space="preserve">021). However, Singh Ray </w:t>
      </w:r>
      <w:r w:rsidR="000634DD" w:rsidRPr="008B14A9">
        <w:rPr>
          <w:i/>
          <w:color w:val="000000"/>
        </w:rPr>
        <w:t>et a</w:t>
      </w:r>
      <w:r w:rsidR="000634DD" w:rsidRPr="008B14A9">
        <w:rPr>
          <w:color w:val="000000"/>
        </w:rPr>
        <w:t>l.</w:t>
      </w:r>
      <w:r w:rsidRPr="008B14A9">
        <w:rPr>
          <w:color w:val="000000"/>
        </w:rPr>
        <w:t xml:space="preserve"> (2020) reported significantly raised creatinine in apparently healthy overweight and obese adults. Despite variations in body mass, the lack of significant differences in creatinine suggests that kidney function is largely maintained in apparently healthy adults, and BMI alone does not appear to compromise renal filtration in this population.</w:t>
      </w:r>
    </w:p>
    <w:p w14:paraId="55D967E1" w14:textId="77777777" w:rsidR="00A37A07" w:rsidRPr="008B14A9" w:rsidRDefault="00A37A07" w:rsidP="008B14A9">
      <w:pPr>
        <w:pStyle w:val="NormalWeb"/>
        <w:jc w:val="both"/>
        <w:rPr>
          <w:color w:val="000000"/>
        </w:rPr>
      </w:pPr>
      <w:r w:rsidRPr="008B14A9">
        <w:rPr>
          <w:color w:val="000000"/>
        </w:rPr>
        <w:t xml:space="preserve">These findings are consistent with previous studies reporting no variation in serum creatinine across BMI categories in healthy individuals (Gul, </w:t>
      </w:r>
      <w:r w:rsidRPr="008B14A9">
        <w:rPr>
          <w:i/>
          <w:color w:val="000000"/>
        </w:rPr>
        <w:t>et al</w:t>
      </w:r>
      <w:r w:rsidRPr="008B14A9">
        <w:rPr>
          <w:color w:val="000000"/>
        </w:rPr>
        <w:t>., 2020;</w:t>
      </w:r>
      <w:r w:rsidRPr="008B14A9">
        <w:rPr>
          <w:color w:val="000000"/>
          <w:shd w:val="clear" w:color="auto" w:fill="FFFFFF"/>
        </w:rPr>
        <w:t xml:space="preserve"> </w:t>
      </w:r>
      <w:r w:rsidR="009909FD" w:rsidRPr="008B14A9">
        <w:rPr>
          <w:color w:val="1B1B1B"/>
          <w:shd w:val="clear" w:color="auto" w:fill="FFFFFF"/>
        </w:rPr>
        <w:t xml:space="preserve">Salman </w:t>
      </w:r>
      <w:r w:rsidR="009909FD" w:rsidRPr="008B14A9">
        <w:rPr>
          <w:i/>
          <w:color w:val="1B1B1B"/>
          <w:shd w:val="clear" w:color="auto" w:fill="FFFFFF"/>
        </w:rPr>
        <w:t>et al.</w:t>
      </w:r>
      <w:r w:rsidR="009909FD" w:rsidRPr="008B14A9">
        <w:rPr>
          <w:color w:val="1B1B1B"/>
          <w:shd w:val="clear" w:color="auto" w:fill="FFFFFF"/>
        </w:rPr>
        <w:t>, 2019)</w:t>
      </w:r>
      <w:r w:rsidRPr="008B14A9">
        <w:rPr>
          <w:color w:val="000000"/>
          <w:shd w:val="clear" w:color="auto" w:fill="FFFFFF"/>
        </w:rPr>
        <w:t xml:space="preserve"> </w:t>
      </w:r>
      <w:r w:rsidRPr="008B14A9">
        <w:rPr>
          <w:color w:val="000000"/>
        </w:rPr>
        <w:t>Furthermore, serum creatinine may lack sensitivity for detecting early renal impairment in o</w:t>
      </w:r>
      <w:r w:rsidR="00EB21A1" w:rsidRPr="008B14A9">
        <w:rPr>
          <w:color w:val="000000"/>
        </w:rPr>
        <w:t>verweight and obese populations</w:t>
      </w:r>
      <w:r w:rsidRPr="008B14A9">
        <w:rPr>
          <w:color w:val="000000"/>
        </w:rPr>
        <w:t xml:space="preserve">. </w:t>
      </w:r>
      <w:r w:rsidR="00EB21A1" w:rsidRPr="008B14A9">
        <w:rPr>
          <w:color w:val="000000"/>
        </w:rPr>
        <w:t xml:space="preserve">However, </w:t>
      </w:r>
      <w:proofErr w:type="spellStart"/>
      <w:r w:rsidR="009909FD" w:rsidRPr="008B14A9">
        <w:rPr>
          <w:color w:val="000000"/>
          <w:shd w:val="clear" w:color="auto" w:fill="FFFFFF"/>
        </w:rPr>
        <w:t>Alaje</w:t>
      </w:r>
      <w:proofErr w:type="spellEnd"/>
      <w:r w:rsidR="009909FD" w:rsidRPr="008B14A9">
        <w:rPr>
          <w:color w:val="000000"/>
          <w:shd w:val="clear" w:color="auto" w:fill="FFFFFF"/>
        </w:rPr>
        <w:t xml:space="preserve"> </w:t>
      </w:r>
      <w:r w:rsidR="009909FD" w:rsidRPr="008B14A9">
        <w:rPr>
          <w:i/>
          <w:color w:val="000000"/>
          <w:shd w:val="clear" w:color="auto" w:fill="FFFFFF"/>
        </w:rPr>
        <w:t>et al.</w:t>
      </w:r>
      <w:r w:rsidR="009909FD" w:rsidRPr="008B14A9">
        <w:rPr>
          <w:color w:val="000000"/>
          <w:shd w:val="clear" w:color="auto" w:fill="FFFFFF"/>
        </w:rPr>
        <w:t xml:space="preserve"> (2019) and </w:t>
      </w:r>
      <w:r w:rsidRPr="008B14A9">
        <w:rPr>
          <w:color w:val="000000"/>
        </w:rPr>
        <w:t xml:space="preserve">Singh Ray </w:t>
      </w:r>
      <w:r w:rsidRPr="008B14A9">
        <w:rPr>
          <w:i/>
          <w:color w:val="000000"/>
        </w:rPr>
        <w:t>et al.,</w:t>
      </w:r>
      <w:r w:rsidRPr="008B14A9">
        <w:rPr>
          <w:color w:val="000000"/>
        </w:rPr>
        <w:t xml:space="preserve"> (2020) reported significantly raised creatinine in apparently healthy overweight and obese adults.</w:t>
      </w:r>
    </w:p>
    <w:p w14:paraId="1072F829" w14:textId="77777777" w:rsidR="00A37A07" w:rsidRPr="008B14A9" w:rsidRDefault="00A37A07" w:rsidP="008B14A9">
      <w:pPr>
        <w:jc w:val="both"/>
        <w:rPr>
          <w:rFonts w:ascii="Times New Roman" w:hAnsi="Times New Roman"/>
          <w:color w:val="000000"/>
          <w:sz w:val="24"/>
          <w:szCs w:val="24"/>
        </w:rPr>
      </w:pPr>
      <w:r w:rsidRPr="008B14A9">
        <w:rPr>
          <w:rFonts w:ascii="Times New Roman" w:hAnsi="Times New Roman"/>
          <w:color w:val="000000"/>
          <w:sz w:val="24"/>
          <w:szCs w:val="24"/>
        </w:rPr>
        <w:t>Serum uric acid levels did not differ significantly across BMI categories. Uric acid is the end-product of purine metabolism and is primarily excreted by the kidneys</w:t>
      </w:r>
      <w:r w:rsidR="0001034D" w:rsidRPr="008B14A9">
        <w:rPr>
          <w:rFonts w:ascii="Times New Roman" w:hAnsi="Times New Roman"/>
          <w:color w:val="000000"/>
          <w:sz w:val="24"/>
          <w:szCs w:val="24"/>
        </w:rPr>
        <w:t xml:space="preserve"> </w:t>
      </w:r>
      <w:r w:rsidR="00EB21A1" w:rsidRPr="008B14A9">
        <w:rPr>
          <w:rFonts w:ascii="Times New Roman" w:hAnsi="Times New Roman"/>
          <w:color w:val="000000"/>
          <w:sz w:val="24"/>
          <w:szCs w:val="24"/>
        </w:rPr>
        <w:t>(So</w:t>
      </w:r>
      <w:r w:rsidR="0001034D" w:rsidRPr="008B14A9">
        <w:rPr>
          <w:rFonts w:ascii="Times New Roman" w:hAnsi="Times New Roman"/>
          <w:color w:val="000000"/>
          <w:sz w:val="24"/>
          <w:szCs w:val="24"/>
        </w:rPr>
        <w:t>,</w:t>
      </w:r>
      <w:r w:rsidR="00EB21A1" w:rsidRPr="008B14A9">
        <w:rPr>
          <w:rFonts w:ascii="Times New Roman" w:hAnsi="Times New Roman"/>
          <w:color w:val="000000"/>
          <w:sz w:val="24"/>
          <w:szCs w:val="24"/>
        </w:rPr>
        <w:t xml:space="preserve"> 2010)</w:t>
      </w:r>
      <w:r w:rsidRPr="008B14A9">
        <w:rPr>
          <w:rFonts w:ascii="Times New Roman" w:hAnsi="Times New Roman"/>
          <w:color w:val="000000"/>
          <w:sz w:val="24"/>
          <w:szCs w:val="24"/>
        </w:rPr>
        <w:t>. Its serum concentration reflects the balance between production and renal clearance</w:t>
      </w:r>
      <w:r w:rsidR="00EB21A1" w:rsidRPr="008B14A9">
        <w:rPr>
          <w:rFonts w:ascii="Times New Roman" w:hAnsi="Times New Roman"/>
          <w:color w:val="000000"/>
          <w:sz w:val="24"/>
          <w:szCs w:val="24"/>
          <w:shd w:val="clear" w:color="auto" w:fill="FFFFFF"/>
        </w:rPr>
        <w:t xml:space="preserve"> (</w:t>
      </w:r>
      <w:proofErr w:type="spellStart"/>
      <w:r w:rsidR="00EB21A1" w:rsidRPr="008B14A9">
        <w:rPr>
          <w:rFonts w:ascii="Times New Roman" w:hAnsi="Times New Roman"/>
          <w:color w:val="000000"/>
          <w:sz w:val="24"/>
          <w:szCs w:val="24"/>
          <w:shd w:val="clear" w:color="auto" w:fill="FFFFFF"/>
        </w:rPr>
        <w:t>Bobulescu</w:t>
      </w:r>
      <w:proofErr w:type="spellEnd"/>
      <w:r w:rsidR="00EB21A1" w:rsidRPr="008B14A9">
        <w:rPr>
          <w:rFonts w:ascii="Times New Roman" w:hAnsi="Times New Roman"/>
          <w:color w:val="000000"/>
          <w:sz w:val="24"/>
          <w:szCs w:val="24"/>
          <w:shd w:val="clear" w:color="auto" w:fill="FFFFFF"/>
        </w:rPr>
        <w:t xml:space="preserve"> </w:t>
      </w:r>
      <w:r w:rsidR="00EB21A1" w:rsidRPr="008B14A9">
        <w:rPr>
          <w:rFonts w:ascii="Times New Roman" w:hAnsi="Times New Roman"/>
          <w:i/>
          <w:color w:val="000000"/>
          <w:sz w:val="24"/>
          <w:szCs w:val="24"/>
          <w:shd w:val="clear" w:color="auto" w:fill="FFFFFF"/>
        </w:rPr>
        <w:t>et al</w:t>
      </w:r>
      <w:r w:rsidR="00EB21A1" w:rsidRPr="008B14A9">
        <w:rPr>
          <w:rFonts w:ascii="Times New Roman" w:hAnsi="Times New Roman"/>
          <w:color w:val="000000"/>
          <w:sz w:val="24"/>
          <w:szCs w:val="24"/>
          <w:shd w:val="clear" w:color="auto" w:fill="FFFFFF"/>
        </w:rPr>
        <w:t>., 2012)</w:t>
      </w:r>
      <w:r w:rsidRPr="008B14A9">
        <w:rPr>
          <w:rFonts w:ascii="Times New Roman" w:hAnsi="Times New Roman"/>
          <w:color w:val="000000"/>
          <w:sz w:val="24"/>
          <w:szCs w:val="24"/>
        </w:rPr>
        <w:t>. The lack of significant differences in uric acid suggests that, in apparently healthy adults, increased body mass does not substantially impair renal uric acid excre</w:t>
      </w:r>
      <w:r w:rsidR="00EB21A1" w:rsidRPr="008B14A9">
        <w:rPr>
          <w:rFonts w:ascii="Times New Roman" w:hAnsi="Times New Roman"/>
          <w:color w:val="000000"/>
          <w:sz w:val="24"/>
          <w:szCs w:val="24"/>
        </w:rPr>
        <w:t>tion or alter purine metabolism</w:t>
      </w:r>
      <w:r w:rsidRPr="008B14A9">
        <w:rPr>
          <w:rFonts w:ascii="Times New Roman" w:hAnsi="Times New Roman"/>
          <w:color w:val="000000"/>
          <w:sz w:val="24"/>
          <w:szCs w:val="24"/>
        </w:rPr>
        <w:t>. Although obesity is often associated with hyperuricemia due to increased production and reduced renal clearance, such changes are typically observed in individuals with comorbid conditions such as hypertension, insulin resistance, or chronic kidney disease, which were not present in this cohort.</w:t>
      </w:r>
      <w:r w:rsidR="0001034D" w:rsidRPr="008B14A9">
        <w:rPr>
          <w:rFonts w:ascii="Times New Roman" w:hAnsi="Times New Roman"/>
          <w:color w:val="000000"/>
          <w:sz w:val="24"/>
          <w:szCs w:val="24"/>
        </w:rPr>
        <w:t xml:space="preserve"> However, </w:t>
      </w:r>
      <w:proofErr w:type="spellStart"/>
      <w:r w:rsidRPr="008B14A9">
        <w:rPr>
          <w:rFonts w:ascii="Times New Roman" w:hAnsi="Times New Roman"/>
          <w:color w:val="000000"/>
          <w:sz w:val="24"/>
          <w:szCs w:val="24"/>
        </w:rPr>
        <w:t>Dalili</w:t>
      </w:r>
      <w:proofErr w:type="spellEnd"/>
      <w:r w:rsidRPr="008B14A9">
        <w:rPr>
          <w:rFonts w:ascii="Times New Roman" w:hAnsi="Times New Roman"/>
          <w:color w:val="000000"/>
          <w:sz w:val="24"/>
          <w:szCs w:val="24"/>
        </w:rPr>
        <w:t xml:space="preserve"> </w:t>
      </w:r>
      <w:r w:rsidRPr="008B14A9">
        <w:rPr>
          <w:rFonts w:ascii="Times New Roman" w:hAnsi="Times New Roman"/>
          <w:i/>
          <w:color w:val="000000"/>
          <w:sz w:val="24"/>
          <w:szCs w:val="24"/>
        </w:rPr>
        <w:t>et al</w:t>
      </w:r>
      <w:r w:rsidRPr="008B14A9">
        <w:rPr>
          <w:rFonts w:ascii="Times New Roman" w:hAnsi="Times New Roman"/>
          <w:color w:val="000000"/>
          <w:sz w:val="24"/>
          <w:szCs w:val="24"/>
        </w:rPr>
        <w:t xml:space="preserve">. (2024) reported </w:t>
      </w:r>
      <w:proofErr w:type="spellStart"/>
      <w:r w:rsidRPr="008B14A9">
        <w:rPr>
          <w:rFonts w:ascii="Times New Roman" w:hAnsi="Times New Roman"/>
          <w:color w:val="000000"/>
          <w:sz w:val="24"/>
          <w:szCs w:val="24"/>
        </w:rPr>
        <w:t>hyperuricaemia</w:t>
      </w:r>
      <w:proofErr w:type="spellEnd"/>
      <w:r w:rsidRPr="008B14A9">
        <w:rPr>
          <w:rFonts w:ascii="Times New Roman" w:hAnsi="Times New Roman"/>
          <w:color w:val="000000"/>
          <w:sz w:val="24"/>
          <w:szCs w:val="24"/>
        </w:rPr>
        <w:t xml:space="preserve"> in their study.</w:t>
      </w:r>
    </w:p>
    <w:p w14:paraId="25A6F312" w14:textId="77777777" w:rsidR="00A37A07" w:rsidRPr="008B14A9" w:rsidRDefault="008A6E28" w:rsidP="008B14A9">
      <w:pPr>
        <w:pStyle w:val="NormalWeb"/>
        <w:jc w:val="both"/>
        <w:rPr>
          <w:color w:val="000000"/>
        </w:rPr>
      </w:pPr>
      <w:r w:rsidRPr="008B14A9">
        <w:rPr>
          <w:color w:val="000000"/>
        </w:rPr>
        <w:t xml:space="preserve">Fasting blood sugar </w:t>
      </w:r>
      <w:r w:rsidR="00A37A07" w:rsidRPr="008B14A9">
        <w:rPr>
          <w:color w:val="000000"/>
        </w:rPr>
        <w:t>levels did not differ significantly</w:t>
      </w:r>
      <w:r w:rsidRPr="008B14A9">
        <w:rPr>
          <w:color w:val="000000"/>
        </w:rPr>
        <w:t xml:space="preserve"> across BMI categories. </w:t>
      </w:r>
      <w:r w:rsidR="00A37A07" w:rsidRPr="008B14A9">
        <w:rPr>
          <w:color w:val="000000"/>
        </w:rPr>
        <w:t>The absence of significant differences across BMI groups suggests that, in this healthy population, increased adiposity has not yet led to measurable alterations in fasting gluco</w:t>
      </w:r>
      <w:r w:rsidRPr="008B14A9">
        <w:rPr>
          <w:color w:val="000000"/>
        </w:rPr>
        <w:t>se levels</w:t>
      </w:r>
      <w:r w:rsidR="00A37A07" w:rsidRPr="008B14A9">
        <w:rPr>
          <w:color w:val="000000"/>
        </w:rPr>
        <w:t>. These findings are consistent with other studies reporting stable fasting glucose levels across BMI categories in non-diabetic populations (Gu</w:t>
      </w:r>
      <w:r w:rsidR="00344BC4" w:rsidRPr="008B14A9">
        <w:rPr>
          <w:color w:val="000000"/>
        </w:rPr>
        <w:t>l</w:t>
      </w:r>
      <w:r w:rsidR="00A37A07" w:rsidRPr="008B14A9">
        <w:rPr>
          <w:color w:val="000000"/>
        </w:rPr>
        <w:t xml:space="preserve"> </w:t>
      </w:r>
      <w:r w:rsidR="00A37A07" w:rsidRPr="008B14A9">
        <w:rPr>
          <w:i/>
          <w:color w:val="000000"/>
        </w:rPr>
        <w:t>et al</w:t>
      </w:r>
      <w:r w:rsidRPr="008B14A9">
        <w:rPr>
          <w:color w:val="000000"/>
        </w:rPr>
        <w:t>. 2020</w:t>
      </w:r>
      <w:r w:rsidR="00A37A07" w:rsidRPr="008B14A9">
        <w:rPr>
          <w:color w:val="000000"/>
        </w:rPr>
        <w:t>).</w:t>
      </w:r>
    </w:p>
    <w:p w14:paraId="10C7B988" w14:textId="77777777" w:rsidR="00A37A07" w:rsidRPr="008B14A9" w:rsidRDefault="00344BC4" w:rsidP="008B14A9">
      <w:pPr>
        <w:jc w:val="both"/>
        <w:rPr>
          <w:rFonts w:ascii="Times New Roman" w:hAnsi="Times New Roman"/>
          <w:color w:val="000000"/>
          <w:sz w:val="24"/>
          <w:szCs w:val="24"/>
        </w:rPr>
      </w:pPr>
      <w:r w:rsidRPr="008B14A9">
        <w:rPr>
          <w:rFonts w:ascii="Times New Roman" w:hAnsi="Times New Roman"/>
          <w:color w:val="000000"/>
          <w:sz w:val="24"/>
          <w:szCs w:val="24"/>
        </w:rPr>
        <w:t>In our correlation analysis</w:t>
      </w:r>
      <w:r w:rsidR="00A37A07" w:rsidRPr="008B14A9">
        <w:rPr>
          <w:rFonts w:ascii="Times New Roman" w:hAnsi="Times New Roman"/>
          <w:color w:val="000000"/>
          <w:sz w:val="24"/>
          <w:szCs w:val="24"/>
        </w:rPr>
        <w:t xml:space="preserve">, </w:t>
      </w:r>
      <w:r w:rsidRPr="008B14A9">
        <w:rPr>
          <w:rFonts w:ascii="Times New Roman" w:hAnsi="Times New Roman"/>
          <w:color w:val="000000"/>
          <w:sz w:val="24"/>
          <w:szCs w:val="24"/>
        </w:rPr>
        <w:t xml:space="preserve">BMI was positively correlated with uric acid in the overweight students and </w:t>
      </w:r>
      <w:r w:rsidR="00716824" w:rsidRPr="008B14A9">
        <w:rPr>
          <w:rFonts w:ascii="Times New Roman" w:hAnsi="Times New Roman"/>
          <w:color w:val="000000"/>
          <w:sz w:val="24"/>
          <w:szCs w:val="24"/>
        </w:rPr>
        <w:t>negatively</w:t>
      </w:r>
      <w:r w:rsidRPr="008B14A9">
        <w:rPr>
          <w:rFonts w:ascii="Times New Roman" w:hAnsi="Times New Roman"/>
          <w:color w:val="000000"/>
          <w:sz w:val="24"/>
          <w:szCs w:val="24"/>
        </w:rPr>
        <w:t xml:space="preserve"> correlated with chloride in the normal weight students.</w:t>
      </w:r>
      <w:r w:rsidR="008E1932" w:rsidRPr="008B14A9">
        <w:rPr>
          <w:rFonts w:ascii="Times New Roman" w:hAnsi="Times New Roman"/>
          <w:color w:val="000000"/>
          <w:sz w:val="24"/>
          <w:szCs w:val="24"/>
        </w:rPr>
        <w:t xml:space="preserve"> Contrary to these findings, </w:t>
      </w:r>
      <w:r w:rsidR="00DC58A8" w:rsidRPr="008B14A9">
        <w:rPr>
          <w:rFonts w:ascii="Times New Roman" w:hAnsi="Times New Roman"/>
          <w:color w:val="000000"/>
          <w:sz w:val="24"/>
          <w:szCs w:val="24"/>
          <w:shd w:val="clear" w:color="auto" w:fill="FFFFFF"/>
        </w:rPr>
        <w:t xml:space="preserve">BMI </w:t>
      </w:r>
      <w:r w:rsidR="00716824" w:rsidRPr="008B14A9">
        <w:rPr>
          <w:rFonts w:ascii="Times New Roman" w:hAnsi="Times New Roman"/>
          <w:color w:val="000000"/>
          <w:sz w:val="24"/>
          <w:szCs w:val="24"/>
          <w:shd w:val="clear" w:color="auto" w:fill="FFFFFF"/>
        </w:rPr>
        <w:t>was positively correlated with creatinine in obese subjects</w:t>
      </w:r>
      <w:r w:rsidR="00EC50FC" w:rsidRPr="008B14A9">
        <w:rPr>
          <w:rFonts w:ascii="Times New Roman" w:hAnsi="Times New Roman"/>
          <w:color w:val="000000"/>
          <w:sz w:val="24"/>
          <w:szCs w:val="24"/>
          <w:shd w:val="clear" w:color="auto" w:fill="FFFFFF"/>
        </w:rPr>
        <w:t xml:space="preserve"> </w:t>
      </w:r>
      <w:r w:rsidR="00570F95" w:rsidRPr="008B14A9">
        <w:rPr>
          <w:rFonts w:ascii="Times New Roman" w:hAnsi="Times New Roman"/>
          <w:color w:val="000000"/>
          <w:sz w:val="24"/>
          <w:szCs w:val="24"/>
          <w:shd w:val="clear" w:color="auto" w:fill="FFFFFF"/>
        </w:rPr>
        <w:t>(</w:t>
      </w:r>
      <w:proofErr w:type="spellStart"/>
      <w:r w:rsidR="00EC50FC" w:rsidRPr="008B14A9">
        <w:rPr>
          <w:rFonts w:ascii="Times New Roman" w:hAnsi="Times New Roman"/>
          <w:color w:val="000000"/>
          <w:sz w:val="24"/>
          <w:szCs w:val="24"/>
          <w:shd w:val="clear" w:color="auto" w:fill="FFFFFF"/>
        </w:rPr>
        <w:t>Meherubin</w:t>
      </w:r>
      <w:proofErr w:type="spellEnd"/>
      <w:r w:rsidR="00EC50FC" w:rsidRPr="008B14A9">
        <w:rPr>
          <w:rFonts w:ascii="Times New Roman" w:hAnsi="Times New Roman"/>
          <w:color w:val="000000"/>
          <w:sz w:val="24"/>
          <w:szCs w:val="24"/>
          <w:shd w:val="clear" w:color="auto" w:fill="FFFFFF"/>
        </w:rPr>
        <w:t xml:space="preserve"> </w:t>
      </w:r>
      <w:r w:rsidR="00EC50FC" w:rsidRPr="008B14A9">
        <w:rPr>
          <w:rFonts w:ascii="Times New Roman" w:hAnsi="Times New Roman"/>
          <w:i/>
          <w:color w:val="000000"/>
          <w:sz w:val="24"/>
          <w:szCs w:val="24"/>
          <w:shd w:val="clear" w:color="auto" w:fill="FFFFFF"/>
        </w:rPr>
        <w:t>et al.,</w:t>
      </w:r>
      <w:r w:rsidR="00570F95" w:rsidRPr="008B14A9">
        <w:rPr>
          <w:rFonts w:ascii="Times New Roman" w:hAnsi="Times New Roman"/>
          <w:color w:val="000000"/>
          <w:sz w:val="24"/>
          <w:szCs w:val="24"/>
          <w:shd w:val="clear" w:color="auto" w:fill="FFFFFF"/>
        </w:rPr>
        <w:t xml:space="preserve"> </w:t>
      </w:r>
      <w:r w:rsidR="00EC50FC" w:rsidRPr="008B14A9">
        <w:rPr>
          <w:rFonts w:ascii="Times New Roman" w:hAnsi="Times New Roman"/>
          <w:color w:val="000000"/>
          <w:sz w:val="24"/>
          <w:szCs w:val="24"/>
          <w:shd w:val="clear" w:color="auto" w:fill="FFFFFF"/>
        </w:rPr>
        <w:t>2021)</w:t>
      </w:r>
      <w:r w:rsidR="00716824" w:rsidRPr="008B14A9">
        <w:rPr>
          <w:rFonts w:ascii="Times New Roman" w:hAnsi="Times New Roman"/>
          <w:color w:val="212121"/>
          <w:sz w:val="24"/>
          <w:szCs w:val="24"/>
          <w:shd w:val="clear" w:color="auto" w:fill="FFFFFF"/>
        </w:rPr>
        <w:t>.</w:t>
      </w:r>
      <w:r w:rsidR="00DC58A8" w:rsidRPr="008B14A9">
        <w:rPr>
          <w:rFonts w:ascii="Times New Roman" w:hAnsi="Times New Roman"/>
          <w:color w:val="212121"/>
          <w:sz w:val="24"/>
          <w:szCs w:val="24"/>
          <w:shd w:val="clear" w:color="auto" w:fill="FFFFFF"/>
        </w:rPr>
        <w:t xml:space="preserve"> Ahmed and </w:t>
      </w:r>
      <w:proofErr w:type="spellStart"/>
      <w:r w:rsidR="00DC58A8" w:rsidRPr="008B14A9">
        <w:rPr>
          <w:rFonts w:ascii="Times New Roman" w:hAnsi="Times New Roman"/>
          <w:color w:val="212121"/>
          <w:sz w:val="24"/>
          <w:szCs w:val="24"/>
          <w:shd w:val="clear" w:color="auto" w:fill="FFFFFF"/>
        </w:rPr>
        <w:t>Mohammedsaeed</w:t>
      </w:r>
      <w:proofErr w:type="spellEnd"/>
      <w:r w:rsidR="00DC58A8" w:rsidRPr="008B14A9">
        <w:rPr>
          <w:rFonts w:ascii="Times New Roman" w:hAnsi="Times New Roman"/>
          <w:color w:val="212121"/>
          <w:sz w:val="24"/>
          <w:szCs w:val="24"/>
          <w:shd w:val="clear" w:color="auto" w:fill="FFFFFF"/>
        </w:rPr>
        <w:t xml:space="preserve">, </w:t>
      </w:r>
      <w:r w:rsidR="008E1932" w:rsidRPr="008B14A9">
        <w:rPr>
          <w:rFonts w:ascii="Times New Roman" w:hAnsi="Times New Roman"/>
          <w:color w:val="212121"/>
          <w:sz w:val="24"/>
          <w:szCs w:val="24"/>
          <w:shd w:val="clear" w:color="auto" w:fill="FFFFFF"/>
        </w:rPr>
        <w:t>(</w:t>
      </w:r>
      <w:r w:rsidR="00DC58A8" w:rsidRPr="008B14A9">
        <w:rPr>
          <w:rFonts w:ascii="Times New Roman" w:hAnsi="Times New Roman"/>
          <w:color w:val="212121"/>
          <w:sz w:val="24"/>
          <w:szCs w:val="24"/>
          <w:shd w:val="clear" w:color="auto" w:fill="FFFFFF"/>
        </w:rPr>
        <w:t>2025</w:t>
      </w:r>
      <w:r w:rsidR="000634DD" w:rsidRPr="008B14A9">
        <w:rPr>
          <w:rFonts w:ascii="Times New Roman" w:hAnsi="Times New Roman"/>
          <w:color w:val="212121"/>
          <w:sz w:val="24"/>
          <w:szCs w:val="24"/>
          <w:shd w:val="clear" w:color="auto" w:fill="FFFFFF"/>
        </w:rPr>
        <w:t>b</w:t>
      </w:r>
      <w:r w:rsidR="008E1932" w:rsidRPr="008B14A9">
        <w:rPr>
          <w:rFonts w:ascii="Times New Roman" w:hAnsi="Times New Roman"/>
          <w:color w:val="212121"/>
          <w:sz w:val="24"/>
          <w:szCs w:val="24"/>
          <w:shd w:val="clear" w:color="auto" w:fill="FFFFFF"/>
        </w:rPr>
        <w:t>)</w:t>
      </w:r>
      <w:r w:rsidR="00DC58A8" w:rsidRPr="008B14A9">
        <w:rPr>
          <w:rFonts w:ascii="Times New Roman" w:hAnsi="Times New Roman"/>
          <w:color w:val="212121"/>
          <w:sz w:val="24"/>
          <w:szCs w:val="24"/>
          <w:shd w:val="clear" w:color="auto" w:fill="FFFFFF"/>
        </w:rPr>
        <w:t xml:space="preserve"> reported </w:t>
      </w:r>
      <w:r w:rsidR="002C5C71" w:rsidRPr="008B14A9">
        <w:rPr>
          <w:rFonts w:ascii="Times New Roman" w:hAnsi="Times New Roman"/>
          <w:color w:val="212121"/>
          <w:sz w:val="24"/>
          <w:szCs w:val="24"/>
          <w:shd w:val="clear" w:color="auto" w:fill="FFFFFF"/>
        </w:rPr>
        <w:t>t</w:t>
      </w:r>
      <w:r w:rsidR="00DC58A8" w:rsidRPr="008B14A9">
        <w:rPr>
          <w:rFonts w:ascii="Times New Roman" w:hAnsi="Times New Roman"/>
          <w:color w:val="212121"/>
          <w:sz w:val="24"/>
          <w:szCs w:val="24"/>
          <w:shd w:val="clear" w:color="auto" w:fill="FFFFFF"/>
        </w:rPr>
        <w:t xml:space="preserve">he levels of Na+ exhibit a positive correlation with BMI whereas the levels of K+ demonstrate a negative correlation. </w:t>
      </w:r>
      <w:r w:rsidR="007D152D" w:rsidRPr="008B14A9">
        <w:rPr>
          <w:rFonts w:ascii="Times New Roman" w:hAnsi="Times New Roman"/>
          <w:color w:val="1B1B1B"/>
          <w:sz w:val="24"/>
          <w:szCs w:val="24"/>
          <w:shd w:val="clear" w:color="auto" w:fill="FFFFFF"/>
        </w:rPr>
        <w:t xml:space="preserve">Li </w:t>
      </w:r>
      <w:r w:rsidR="007D152D" w:rsidRPr="008B14A9">
        <w:rPr>
          <w:rFonts w:ascii="Times New Roman" w:hAnsi="Times New Roman"/>
          <w:i/>
          <w:color w:val="1B1B1B"/>
          <w:sz w:val="24"/>
          <w:szCs w:val="24"/>
          <w:shd w:val="clear" w:color="auto" w:fill="FFFFFF"/>
        </w:rPr>
        <w:t>et al</w:t>
      </w:r>
      <w:r w:rsidR="007D152D" w:rsidRPr="008B14A9">
        <w:rPr>
          <w:rFonts w:ascii="Times New Roman" w:hAnsi="Times New Roman"/>
          <w:color w:val="1B1B1B"/>
          <w:sz w:val="24"/>
          <w:szCs w:val="24"/>
          <w:shd w:val="clear" w:color="auto" w:fill="FFFFFF"/>
        </w:rPr>
        <w:t>., (2021) BMI wa</w:t>
      </w:r>
      <w:r w:rsidR="00F03AB5" w:rsidRPr="008B14A9">
        <w:rPr>
          <w:rFonts w:ascii="Times New Roman" w:hAnsi="Times New Roman"/>
          <w:color w:val="1B1B1B"/>
          <w:sz w:val="24"/>
          <w:szCs w:val="24"/>
          <w:shd w:val="clear" w:color="auto" w:fill="FFFFFF"/>
        </w:rPr>
        <w:t>s</w:t>
      </w:r>
      <w:r w:rsidR="007D152D" w:rsidRPr="008B14A9">
        <w:rPr>
          <w:rFonts w:ascii="Times New Roman" w:hAnsi="Times New Roman"/>
          <w:color w:val="1B1B1B"/>
          <w:sz w:val="24"/>
          <w:szCs w:val="24"/>
          <w:shd w:val="clear" w:color="auto" w:fill="FFFFFF"/>
        </w:rPr>
        <w:t xml:space="preserve"> positively correlated with uric acid</w:t>
      </w:r>
      <w:r w:rsidR="00F03AB5" w:rsidRPr="008B14A9">
        <w:rPr>
          <w:rFonts w:ascii="Times New Roman" w:hAnsi="Times New Roman"/>
          <w:color w:val="1B1B1B"/>
          <w:sz w:val="24"/>
          <w:szCs w:val="24"/>
          <w:shd w:val="clear" w:color="auto" w:fill="FFFFFF"/>
        </w:rPr>
        <w:t>.</w:t>
      </w:r>
    </w:p>
    <w:p w14:paraId="59254E87" w14:textId="77777777" w:rsidR="00A37A07" w:rsidRPr="008B14A9" w:rsidRDefault="00A37A07" w:rsidP="008B14A9">
      <w:pPr>
        <w:jc w:val="both"/>
        <w:rPr>
          <w:rFonts w:ascii="Times New Roman" w:hAnsi="Times New Roman"/>
          <w:b/>
          <w:color w:val="000000"/>
          <w:sz w:val="24"/>
          <w:szCs w:val="24"/>
        </w:rPr>
      </w:pPr>
    </w:p>
    <w:p w14:paraId="07426CC2" w14:textId="77777777" w:rsidR="00A37A07" w:rsidRPr="008B14A9" w:rsidRDefault="00A37A07" w:rsidP="008B14A9">
      <w:pPr>
        <w:jc w:val="both"/>
        <w:rPr>
          <w:rFonts w:ascii="Times New Roman" w:hAnsi="Times New Roman"/>
          <w:b/>
          <w:color w:val="000000"/>
          <w:sz w:val="24"/>
          <w:szCs w:val="24"/>
        </w:rPr>
      </w:pPr>
    </w:p>
    <w:p w14:paraId="1A530E8B" w14:textId="77777777" w:rsidR="00A37A07" w:rsidRPr="008B14A9" w:rsidRDefault="00A37A07" w:rsidP="008B14A9">
      <w:pPr>
        <w:jc w:val="both"/>
        <w:rPr>
          <w:rFonts w:ascii="Times New Roman" w:hAnsi="Times New Roman"/>
          <w:b/>
          <w:color w:val="000000"/>
          <w:sz w:val="24"/>
          <w:szCs w:val="24"/>
        </w:rPr>
      </w:pPr>
    </w:p>
    <w:p w14:paraId="7F61A995" w14:textId="77777777" w:rsidR="0001034D" w:rsidRPr="008B14A9" w:rsidRDefault="00A37A07" w:rsidP="008B14A9">
      <w:pPr>
        <w:jc w:val="both"/>
        <w:rPr>
          <w:rFonts w:ascii="Times New Roman" w:hAnsi="Times New Roman"/>
          <w:b/>
          <w:color w:val="000000"/>
          <w:sz w:val="24"/>
          <w:szCs w:val="24"/>
        </w:rPr>
      </w:pPr>
      <w:r w:rsidRPr="008B14A9">
        <w:rPr>
          <w:rFonts w:ascii="Times New Roman" w:hAnsi="Times New Roman"/>
          <w:b/>
          <w:color w:val="000000"/>
          <w:sz w:val="24"/>
          <w:szCs w:val="24"/>
        </w:rPr>
        <w:t>CONCLUSION</w:t>
      </w:r>
    </w:p>
    <w:p w14:paraId="60B3B715" w14:textId="77777777" w:rsidR="00C201C0" w:rsidRPr="008B14A9" w:rsidRDefault="00A340C4" w:rsidP="008B14A9">
      <w:pPr>
        <w:spacing w:before="100" w:beforeAutospacing="1" w:after="100" w:afterAutospacing="1"/>
        <w:jc w:val="both"/>
        <w:rPr>
          <w:rFonts w:ascii="Times New Roman" w:eastAsia="Times New Roman" w:hAnsi="Times New Roman"/>
          <w:color w:val="000000"/>
          <w:sz w:val="24"/>
          <w:szCs w:val="24"/>
          <w:lang w:eastAsia="en-US"/>
        </w:rPr>
      </w:pPr>
      <w:r w:rsidRPr="008B14A9">
        <w:rPr>
          <w:rFonts w:ascii="Times New Roman" w:eastAsia="Times New Roman" w:hAnsi="Times New Roman"/>
          <w:color w:val="000000"/>
          <w:sz w:val="24"/>
          <w:szCs w:val="24"/>
          <w:lang w:eastAsia="en-US"/>
        </w:rPr>
        <w:t xml:space="preserve">This study demonstrated no significant differences in renal function indices among underweight, normal weight, overweight, and obese university students, indicating preserved renal and excretory function. Correlation analysis shows a moderate positive </w:t>
      </w:r>
      <w:r w:rsidRPr="008B14A9">
        <w:rPr>
          <w:rFonts w:ascii="Times New Roman" w:eastAsia="Times New Roman" w:hAnsi="Times New Roman"/>
          <w:color w:val="000000"/>
          <w:sz w:val="24"/>
          <w:szCs w:val="24"/>
          <w:lang w:eastAsia="en-US"/>
        </w:rPr>
        <w:lastRenderedPageBreak/>
        <w:t xml:space="preserve">correlation between body mass index and serum uric acid among normal weight participant. </w:t>
      </w:r>
      <w:r w:rsidR="00C201C0" w:rsidRPr="008B14A9">
        <w:rPr>
          <w:rFonts w:ascii="Times New Roman" w:eastAsia="Times New Roman" w:hAnsi="Times New Roman"/>
          <w:color w:val="000000"/>
          <w:sz w:val="24"/>
          <w:szCs w:val="24"/>
          <w:lang w:eastAsia="en-US"/>
        </w:rPr>
        <w:t>T</w:t>
      </w:r>
      <w:r w:rsidR="00C201C0" w:rsidRPr="008B14A9">
        <w:rPr>
          <w:rFonts w:ascii="Times New Roman" w:hAnsi="Times New Roman"/>
          <w:sz w:val="24"/>
          <w:szCs w:val="24"/>
        </w:rPr>
        <w:t>here were no significant differences in renal function indices among overweight and obese students, indicating that variations in body weight in these apparently healthy individuals were not associated with impairment of renal excretory function.</w:t>
      </w:r>
      <w:r w:rsidRPr="008B14A9">
        <w:rPr>
          <w:rFonts w:ascii="Times New Roman" w:hAnsi="Times New Roman"/>
          <w:sz w:val="24"/>
          <w:szCs w:val="24"/>
        </w:rPr>
        <w:t xml:space="preserve"> Overall these findings suggest that variations in body mass may be associated with isolated moderate alterations in specific biochemical parameters, excess body weight in this young adult population was not associated with clinically meaningful renal dysfunction.</w:t>
      </w:r>
    </w:p>
    <w:p w14:paraId="69838781" w14:textId="77777777" w:rsidR="0001034D" w:rsidRPr="008B14A9" w:rsidRDefault="0001034D" w:rsidP="008B14A9">
      <w:pPr>
        <w:jc w:val="both"/>
        <w:rPr>
          <w:rFonts w:ascii="Times New Roman" w:hAnsi="Times New Roman"/>
          <w:b/>
          <w:color w:val="000000"/>
          <w:sz w:val="24"/>
          <w:szCs w:val="24"/>
        </w:rPr>
      </w:pPr>
    </w:p>
    <w:p w14:paraId="75F248C3" w14:textId="77777777" w:rsidR="00C201C0" w:rsidRPr="008B14A9" w:rsidRDefault="00C201C0" w:rsidP="008B14A9">
      <w:pPr>
        <w:jc w:val="both"/>
        <w:rPr>
          <w:rFonts w:ascii="Times New Roman" w:eastAsia="Times New Roman" w:hAnsi="Times New Roman"/>
          <w:color w:val="000000"/>
          <w:sz w:val="24"/>
          <w:szCs w:val="24"/>
          <w:lang w:eastAsia="en-US"/>
        </w:rPr>
      </w:pPr>
    </w:p>
    <w:p w14:paraId="6ADE4611" w14:textId="77777777" w:rsidR="00C201C0" w:rsidRPr="008B14A9" w:rsidRDefault="00C201C0" w:rsidP="008B14A9">
      <w:pPr>
        <w:jc w:val="both"/>
        <w:rPr>
          <w:rFonts w:ascii="Times New Roman" w:hAnsi="Times New Roman"/>
          <w:b/>
          <w:color w:val="000000"/>
          <w:sz w:val="24"/>
          <w:szCs w:val="24"/>
        </w:rPr>
      </w:pPr>
    </w:p>
    <w:p w14:paraId="6C32E34C" w14:textId="77777777" w:rsidR="00A37A07" w:rsidRPr="008B14A9" w:rsidRDefault="00A37A07" w:rsidP="008B14A9">
      <w:pPr>
        <w:jc w:val="both"/>
        <w:rPr>
          <w:rFonts w:ascii="Times New Roman" w:hAnsi="Times New Roman"/>
          <w:b/>
          <w:color w:val="000000"/>
          <w:sz w:val="24"/>
          <w:szCs w:val="24"/>
        </w:rPr>
      </w:pPr>
      <w:r w:rsidRPr="008B14A9">
        <w:rPr>
          <w:rFonts w:ascii="Times New Roman" w:hAnsi="Times New Roman"/>
          <w:b/>
          <w:color w:val="000000"/>
          <w:sz w:val="24"/>
          <w:szCs w:val="24"/>
        </w:rPr>
        <w:t>LIMITATION</w:t>
      </w:r>
    </w:p>
    <w:p w14:paraId="7746D4D0" w14:textId="77777777" w:rsidR="00360956" w:rsidRPr="00BF5F4F" w:rsidRDefault="00BF5F4F" w:rsidP="008B14A9">
      <w:pPr>
        <w:jc w:val="both"/>
        <w:rPr>
          <w:rFonts w:ascii="Times New Roman" w:hAnsi="Times New Roman"/>
          <w:sz w:val="24"/>
          <w:szCs w:val="24"/>
        </w:rPr>
      </w:pPr>
      <w:r>
        <w:rPr>
          <w:rFonts w:ascii="Times New Roman" w:hAnsi="Times New Roman"/>
          <w:sz w:val="24"/>
          <w:szCs w:val="24"/>
        </w:rPr>
        <w:t xml:space="preserve">This study was conducted in a single university setting with a relatively modest sample size, which limited the generalizability of the findings to a broader population. Lipid parameters were not also assessed, however, a </w:t>
      </w:r>
      <w:r w:rsidR="00C201C0" w:rsidRPr="008B14A9">
        <w:rPr>
          <w:rFonts w:ascii="Times New Roman" w:hAnsi="Times New Roman"/>
          <w:sz w:val="24"/>
          <w:szCs w:val="24"/>
        </w:rPr>
        <w:t xml:space="preserve">comprehensive assessment </w:t>
      </w:r>
      <w:r>
        <w:rPr>
          <w:rFonts w:ascii="Times New Roman" w:hAnsi="Times New Roman"/>
          <w:sz w:val="24"/>
          <w:szCs w:val="24"/>
        </w:rPr>
        <w:t xml:space="preserve">with a larger population </w:t>
      </w:r>
      <w:r w:rsidR="00C201C0" w:rsidRPr="008B14A9">
        <w:rPr>
          <w:rFonts w:ascii="Times New Roman" w:hAnsi="Times New Roman"/>
          <w:sz w:val="24"/>
          <w:szCs w:val="24"/>
        </w:rPr>
        <w:t>using additional markers, such as the estimated gl</w:t>
      </w:r>
      <w:r>
        <w:rPr>
          <w:rFonts w:ascii="Times New Roman" w:hAnsi="Times New Roman"/>
          <w:sz w:val="24"/>
          <w:szCs w:val="24"/>
        </w:rPr>
        <w:t>omerular filtration rate (eGFR) and lipid profile assessment</w:t>
      </w:r>
      <w:r w:rsidR="00C201C0" w:rsidRPr="008B14A9">
        <w:rPr>
          <w:rFonts w:ascii="Times New Roman" w:hAnsi="Times New Roman"/>
          <w:sz w:val="24"/>
          <w:szCs w:val="24"/>
        </w:rPr>
        <w:t xml:space="preserve"> would provide a more sensitive evaluation of renal function in individuals with varying body weight.</w:t>
      </w:r>
    </w:p>
    <w:p w14:paraId="735F39A7" w14:textId="77777777" w:rsidR="00A76F14" w:rsidRPr="008B14A9" w:rsidRDefault="00A76F14" w:rsidP="008B14A9">
      <w:pPr>
        <w:pStyle w:val="Default"/>
        <w:jc w:val="both"/>
        <w:rPr>
          <w:rFonts w:ascii="Times New Roman" w:hAnsi="Times New Roman" w:cs="Times New Roman"/>
          <w:b/>
          <w:bCs/>
        </w:rPr>
      </w:pPr>
    </w:p>
    <w:p w14:paraId="2733B2E1" w14:textId="77777777" w:rsidR="00755F8E" w:rsidRPr="008B14A9" w:rsidRDefault="00755F8E" w:rsidP="008B14A9">
      <w:pPr>
        <w:pStyle w:val="Default"/>
        <w:jc w:val="both"/>
        <w:rPr>
          <w:rFonts w:ascii="Times New Roman" w:hAnsi="Times New Roman" w:cs="Times New Roman"/>
        </w:rPr>
      </w:pPr>
      <w:r w:rsidRPr="008B14A9">
        <w:rPr>
          <w:rFonts w:ascii="Times New Roman" w:hAnsi="Times New Roman" w:cs="Times New Roman"/>
          <w:b/>
          <w:bCs/>
        </w:rPr>
        <w:t xml:space="preserve">CONSENT </w:t>
      </w:r>
    </w:p>
    <w:p w14:paraId="05623B48" w14:textId="77777777" w:rsidR="00755F8E" w:rsidRPr="008B14A9" w:rsidRDefault="00755F8E" w:rsidP="008B14A9">
      <w:pPr>
        <w:pStyle w:val="Default"/>
        <w:jc w:val="both"/>
        <w:rPr>
          <w:rFonts w:ascii="Times New Roman" w:hAnsi="Times New Roman" w:cs="Times New Roman"/>
        </w:rPr>
      </w:pPr>
      <w:r w:rsidRPr="008B14A9">
        <w:rPr>
          <w:rFonts w:ascii="Times New Roman" w:hAnsi="Times New Roman" w:cs="Times New Roman"/>
        </w:rPr>
        <w:t xml:space="preserve">. </w:t>
      </w:r>
    </w:p>
    <w:p w14:paraId="2488EEF5" w14:textId="77777777" w:rsidR="00714EDA" w:rsidRPr="008B14A9" w:rsidRDefault="00714EDA" w:rsidP="008B14A9">
      <w:pPr>
        <w:pStyle w:val="Default"/>
        <w:jc w:val="both"/>
        <w:rPr>
          <w:rFonts w:ascii="Times New Roman" w:hAnsi="Times New Roman" w:cs="Times New Roman"/>
        </w:rPr>
      </w:pPr>
      <w:r w:rsidRPr="008B14A9">
        <w:rPr>
          <w:rFonts w:ascii="Times New Roman" w:hAnsi="Times New Roman" w:cs="Times New Roman"/>
        </w:rPr>
        <w:t xml:space="preserve">Consent was obtained from the study participants. </w:t>
      </w:r>
    </w:p>
    <w:p w14:paraId="3443F084" w14:textId="77777777" w:rsidR="00714EDA" w:rsidRPr="008B14A9" w:rsidRDefault="00714EDA" w:rsidP="008B14A9">
      <w:pPr>
        <w:pStyle w:val="Default"/>
        <w:jc w:val="both"/>
        <w:rPr>
          <w:rFonts w:ascii="Times New Roman" w:hAnsi="Times New Roman" w:cs="Times New Roman"/>
        </w:rPr>
      </w:pPr>
    </w:p>
    <w:p w14:paraId="2D6EC4AE" w14:textId="77777777" w:rsidR="00714EDA" w:rsidRPr="008B14A9" w:rsidRDefault="00755F8E" w:rsidP="008B14A9">
      <w:pPr>
        <w:jc w:val="both"/>
        <w:rPr>
          <w:rFonts w:ascii="Times New Roman" w:hAnsi="Times New Roman"/>
          <w:b/>
          <w:bCs/>
          <w:sz w:val="24"/>
          <w:szCs w:val="24"/>
        </w:rPr>
      </w:pPr>
      <w:r w:rsidRPr="008B14A9">
        <w:rPr>
          <w:rFonts w:ascii="Times New Roman" w:hAnsi="Times New Roman"/>
          <w:b/>
          <w:bCs/>
          <w:sz w:val="24"/>
          <w:szCs w:val="24"/>
        </w:rPr>
        <w:t>ETHICAL APPROVAL</w:t>
      </w:r>
    </w:p>
    <w:p w14:paraId="0D7C210E" w14:textId="77777777" w:rsidR="00714EDA" w:rsidRPr="008B14A9" w:rsidRDefault="00714EDA" w:rsidP="008B14A9">
      <w:pPr>
        <w:jc w:val="both"/>
        <w:rPr>
          <w:rFonts w:ascii="Times New Roman" w:hAnsi="Times New Roman"/>
          <w:b/>
          <w:bCs/>
          <w:sz w:val="24"/>
          <w:szCs w:val="24"/>
        </w:rPr>
      </w:pPr>
    </w:p>
    <w:p w14:paraId="6E0CC164" w14:textId="77777777" w:rsidR="00755F8E" w:rsidRPr="008B14A9" w:rsidRDefault="00755F8E" w:rsidP="008B14A9">
      <w:pPr>
        <w:jc w:val="both"/>
        <w:rPr>
          <w:rFonts w:ascii="Times New Roman" w:hAnsi="Times New Roman"/>
          <w:bCs/>
          <w:sz w:val="24"/>
          <w:szCs w:val="24"/>
        </w:rPr>
      </w:pPr>
      <w:r w:rsidRPr="008B14A9">
        <w:rPr>
          <w:rFonts w:ascii="Times New Roman" w:hAnsi="Times New Roman"/>
          <w:bCs/>
          <w:sz w:val="24"/>
          <w:szCs w:val="24"/>
        </w:rPr>
        <w:t xml:space="preserve">Approval was obtained from the ethical committee, Joseph Ayo Babalola University, </w:t>
      </w:r>
      <w:proofErr w:type="spellStart"/>
      <w:r w:rsidR="00714EDA" w:rsidRPr="008B14A9">
        <w:rPr>
          <w:rFonts w:ascii="Times New Roman" w:hAnsi="Times New Roman"/>
          <w:color w:val="000000"/>
          <w:sz w:val="24"/>
          <w:szCs w:val="24"/>
        </w:rPr>
        <w:t>Ikeji-Arakeji</w:t>
      </w:r>
      <w:proofErr w:type="spellEnd"/>
      <w:r w:rsidR="00714EDA" w:rsidRPr="008B14A9">
        <w:rPr>
          <w:rFonts w:ascii="Times New Roman" w:hAnsi="Times New Roman"/>
          <w:color w:val="000000"/>
          <w:sz w:val="24"/>
          <w:szCs w:val="24"/>
        </w:rPr>
        <w:t>, Osun State</w:t>
      </w:r>
    </w:p>
    <w:p w14:paraId="7A641914" w14:textId="77777777" w:rsidR="00755F8E" w:rsidRPr="008B14A9" w:rsidRDefault="00755F8E" w:rsidP="008B14A9">
      <w:pPr>
        <w:jc w:val="both"/>
        <w:rPr>
          <w:rFonts w:ascii="Times New Roman" w:hAnsi="Times New Roman"/>
          <w:bCs/>
          <w:sz w:val="24"/>
          <w:szCs w:val="24"/>
        </w:rPr>
      </w:pPr>
    </w:p>
    <w:p w14:paraId="6D2308ED" w14:textId="77777777" w:rsidR="00755F8E" w:rsidRPr="008B14A9" w:rsidRDefault="00755F8E" w:rsidP="008B14A9">
      <w:pPr>
        <w:pStyle w:val="Default"/>
        <w:jc w:val="both"/>
        <w:rPr>
          <w:rFonts w:ascii="Times New Roman" w:hAnsi="Times New Roman" w:cs="Times New Roman"/>
          <w:b/>
          <w:bCs/>
        </w:rPr>
      </w:pPr>
      <w:r w:rsidRPr="008B14A9">
        <w:rPr>
          <w:rFonts w:ascii="Times New Roman" w:hAnsi="Times New Roman" w:cs="Times New Roman"/>
          <w:b/>
          <w:bCs/>
        </w:rPr>
        <w:t xml:space="preserve">COMPETING INTERESTS </w:t>
      </w:r>
    </w:p>
    <w:p w14:paraId="741A6541" w14:textId="77777777" w:rsidR="00714EDA" w:rsidRPr="008B14A9" w:rsidRDefault="00714EDA" w:rsidP="008B14A9">
      <w:pPr>
        <w:pStyle w:val="Default"/>
        <w:jc w:val="both"/>
        <w:rPr>
          <w:rFonts w:ascii="Times New Roman" w:hAnsi="Times New Roman" w:cs="Times New Roman"/>
        </w:rPr>
      </w:pPr>
    </w:p>
    <w:p w14:paraId="33AB63E1" w14:textId="77777777" w:rsidR="00755F8E" w:rsidRPr="008B14A9" w:rsidRDefault="00714EDA" w:rsidP="008B14A9">
      <w:pPr>
        <w:jc w:val="both"/>
        <w:rPr>
          <w:rFonts w:ascii="Times New Roman" w:hAnsi="Times New Roman"/>
          <w:b/>
          <w:color w:val="000000"/>
          <w:sz w:val="24"/>
          <w:szCs w:val="24"/>
        </w:rPr>
      </w:pPr>
      <w:r w:rsidRPr="008B14A9">
        <w:rPr>
          <w:rFonts w:ascii="Times New Roman" w:hAnsi="Times New Roman"/>
          <w:sz w:val="24"/>
          <w:szCs w:val="24"/>
        </w:rPr>
        <w:t>N</w:t>
      </w:r>
      <w:r w:rsidR="00755F8E" w:rsidRPr="008B14A9">
        <w:rPr>
          <w:rFonts w:ascii="Times New Roman" w:hAnsi="Times New Roman"/>
          <w:sz w:val="24"/>
          <w:szCs w:val="24"/>
        </w:rPr>
        <w:t>o competing interests exist</w:t>
      </w:r>
    </w:p>
    <w:p w14:paraId="51236C8E" w14:textId="77777777" w:rsidR="00755F8E" w:rsidRPr="008B14A9" w:rsidRDefault="00755F8E" w:rsidP="008B14A9">
      <w:pPr>
        <w:spacing w:before="100" w:beforeAutospacing="1" w:after="100" w:afterAutospacing="1"/>
        <w:jc w:val="both"/>
        <w:rPr>
          <w:rFonts w:ascii="Times New Roman" w:eastAsia="Times New Roman" w:hAnsi="Times New Roman"/>
          <w:b/>
          <w:color w:val="000000"/>
          <w:sz w:val="24"/>
          <w:szCs w:val="24"/>
          <w:lang w:eastAsia="en-US"/>
        </w:rPr>
      </w:pPr>
    </w:p>
    <w:p w14:paraId="0C21492B" w14:textId="77777777" w:rsidR="007565BB" w:rsidRDefault="007565BB" w:rsidP="007565BB">
      <w:pPr>
        <w:pStyle w:val="NoSpacing"/>
        <w:rPr>
          <w:rFonts w:ascii="Arial" w:hAnsi="Arial" w:cs="Arial"/>
          <w:highlight w:val="yellow"/>
        </w:rPr>
      </w:pPr>
      <w:bookmarkStart w:id="1" w:name="_Hlk198031404"/>
      <w:r>
        <w:rPr>
          <w:rFonts w:ascii="Arial" w:hAnsi="Arial" w:cs="Arial"/>
          <w:highlight w:val="yellow"/>
        </w:rPr>
        <w:t>Disclaimer (Artificial intelligence)</w:t>
      </w:r>
    </w:p>
    <w:p w14:paraId="7400A081" w14:textId="77777777" w:rsidR="007565BB" w:rsidRDefault="007565BB" w:rsidP="007565BB">
      <w:pPr>
        <w:pStyle w:val="NoSpacing"/>
        <w:rPr>
          <w:rFonts w:ascii="Arial" w:hAnsi="Arial" w:cs="Arial"/>
          <w:highlight w:val="yellow"/>
        </w:rPr>
      </w:pPr>
    </w:p>
    <w:p w14:paraId="571A6ECF" w14:textId="77777777" w:rsidR="007565BB" w:rsidRDefault="007565BB" w:rsidP="007565BB">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2C19D9AF" w14:textId="77777777" w:rsidR="007565BB" w:rsidRDefault="007565BB" w:rsidP="007565BB">
      <w:pPr>
        <w:pStyle w:val="NoSpacing"/>
        <w:rPr>
          <w:rFonts w:ascii="Arial" w:hAnsi="Arial" w:cs="Arial"/>
        </w:rPr>
      </w:pPr>
    </w:p>
    <w:p w14:paraId="76C0EA49" w14:textId="77777777" w:rsidR="007565BB" w:rsidRDefault="007565BB" w:rsidP="007565BB">
      <w:pPr>
        <w:pStyle w:val="NoSpacing"/>
        <w:rPr>
          <w:rFonts w:ascii="Arial" w:hAnsi="Arial" w:cs="Arial"/>
        </w:rPr>
      </w:pPr>
    </w:p>
    <w:p w14:paraId="61E8D8F2" w14:textId="77777777" w:rsidR="007565BB" w:rsidRDefault="007565BB" w:rsidP="007565BB">
      <w:pPr>
        <w:pStyle w:val="NoSpacing"/>
        <w:rPr>
          <w:rFonts w:ascii="Arial" w:hAnsi="Arial" w:cs="Arial"/>
        </w:rPr>
      </w:pPr>
    </w:p>
    <w:p w14:paraId="570857CE" w14:textId="77777777" w:rsidR="00755F8E" w:rsidRPr="008B14A9" w:rsidRDefault="00755F8E" w:rsidP="008B14A9">
      <w:pPr>
        <w:spacing w:before="100" w:beforeAutospacing="1" w:after="100" w:afterAutospacing="1"/>
        <w:jc w:val="both"/>
        <w:rPr>
          <w:rFonts w:ascii="Times New Roman" w:eastAsia="Times New Roman" w:hAnsi="Times New Roman"/>
          <w:b/>
          <w:color w:val="000000"/>
          <w:sz w:val="24"/>
          <w:szCs w:val="24"/>
          <w:lang w:eastAsia="en-US"/>
        </w:rPr>
      </w:pPr>
      <w:bookmarkStart w:id="2" w:name="_GoBack"/>
      <w:bookmarkEnd w:id="2"/>
    </w:p>
    <w:p w14:paraId="761D59F7" w14:textId="77777777" w:rsidR="00755F8E" w:rsidRPr="008B14A9" w:rsidRDefault="00755F8E" w:rsidP="008B14A9">
      <w:pPr>
        <w:spacing w:before="100" w:beforeAutospacing="1" w:after="100" w:afterAutospacing="1"/>
        <w:jc w:val="both"/>
        <w:rPr>
          <w:rFonts w:ascii="Times New Roman" w:eastAsia="Times New Roman" w:hAnsi="Times New Roman"/>
          <w:b/>
          <w:color w:val="000000"/>
          <w:sz w:val="24"/>
          <w:szCs w:val="24"/>
          <w:lang w:eastAsia="en-US"/>
        </w:rPr>
      </w:pPr>
    </w:p>
    <w:p w14:paraId="5F115AA8" w14:textId="77777777" w:rsidR="00CF5E4C" w:rsidRPr="008B14A9" w:rsidRDefault="000634DD" w:rsidP="008B14A9">
      <w:pPr>
        <w:spacing w:before="100" w:beforeAutospacing="1" w:after="100" w:afterAutospacing="1"/>
        <w:jc w:val="both"/>
        <w:rPr>
          <w:rFonts w:ascii="Times New Roman" w:eastAsia="Times New Roman" w:hAnsi="Times New Roman"/>
          <w:b/>
          <w:color w:val="000000"/>
          <w:sz w:val="24"/>
          <w:szCs w:val="24"/>
          <w:lang w:eastAsia="en-US"/>
        </w:rPr>
      </w:pPr>
      <w:r w:rsidRPr="008B14A9">
        <w:rPr>
          <w:rFonts w:ascii="Times New Roman" w:eastAsia="Times New Roman" w:hAnsi="Times New Roman"/>
          <w:b/>
          <w:color w:val="000000"/>
          <w:sz w:val="24"/>
          <w:szCs w:val="24"/>
          <w:lang w:eastAsia="en-US"/>
        </w:rPr>
        <w:lastRenderedPageBreak/>
        <w:t>RERENCES</w:t>
      </w:r>
    </w:p>
    <w:p w14:paraId="37CFB786" w14:textId="77777777" w:rsidR="000634DD" w:rsidRPr="008B14A9" w:rsidRDefault="00F63537" w:rsidP="008B14A9">
      <w:pPr>
        <w:pStyle w:val="NormalWeb"/>
        <w:jc w:val="both"/>
        <w:rPr>
          <w:color w:val="000000"/>
        </w:rPr>
      </w:pPr>
      <w:r w:rsidRPr="008B14A9">
        <w:rPr>
          <w:color w:val="000000"/>
        </w:rPr>
        <w:t xml:space="preserve">Ahmed, S. K., &amp; Mohammed, R. A. (2025). Obesity: Prevalence, causes, consequences, management, preventive strategies, and future research directions. Metabolism Open, 27, 100375. </w:t>
      </w:r>
      <w:hyperlink r:id="rId8" w:history="1">
        <w:r w:rsidRPr="008B14A9">
          <w:rPr>
            <w:rStyle w:val="Hyperlink"/>
          </w:rPr>
          <w:t>https://doi.org/10.1016/j.metop.2025.100375</w:t>
        </w:r>
      </w:hyperlink>
      <w:r w:rsidRPr="008B14A9">
        <w:rPr>
          <w:color w:val="000000"/>
        </w:rPr>
        <w:t xml:space="preserve"> </w:t>
      </w:r>
    </w:p>
    <w:p w14:paraId="36C05703" w14:textId="77777777" w:rsidR="000634DD" w:rsidRPr="008B14A9" w:rsidRDefault="00AD573B" w:rsidP="008B14A9">
      <w:pPr>
        <w:pStyle w:val="NormalWeb"/>
        <w:jc w:val="both"/>
        <w:rPr>
          <w:color w:val="000000"/>
        </w:rPr>
      </w:pPr>
      <w:r w:rsidRPr="008B14A9">
        <w:rPr>
          <w:color w:val="000000"/>
        </w:rPr>
        <w:t xml:space="preserve">Ahmed, S. M., &amp; </w:t>
      </w:r>
      <w:proofErr w:type="spellStart"/>
      <w:r w:rsidRPr="008B14A9">
        <w:rPr>
          <w:color w:val="000000"/>
        </w:rPr>
        <w:t>Mohammedsaeed</w:t>
      </w:r>
      <w:proofErr w:type="spellEnd"/>
      <w:r w:rsidRPr="008B14A9">
        <w:rPr>
          <w:color w:val="000000"/>
        </w:rPr>
        <w:t xml:space="preserve">, W. (2025). Characterization of serum electrolytes levels and lipid profile among young obese Saudi females. Nigerian Journal of Clinical Practice, 28(1), 40–48. </w:t>
      </w:r>
      <w:hyperlink r:id="rId9" w:history="1">
        <w:r w:rsidRPr="008B14A9">
          <w:rPr>
            <w:rStyle w:val="Hyperlink"/>
          </w:rPr>
          <w:t>https://doi.org/10.4103/njcp.njcp_225_24</w:t>
        </w:r>
      </w:hyperlink>
      <w:r w:rsidRPr="008B14A9">
        <w:rPr>
          <w:color w:val="000000"/>
        </w:rPr>
        <w:t xml:space="preserve"> </w:t>
      </w:r>
    </w:p>
    <w:p w14:paraId="0BD6E4EF" w14:textId="77777777" w:rsidR="000634DD" w:rsidRPr="008B14A9" w:rsidRDefault="004020BC" w:rsidP="008B14A9">
      <w:pPr>
        <w:pStyle w:val="NormalWeb"/>
        <w:jc w:val="both"/>
        <w:rPr>
          <w:color w:val="000000"/>
        </w:rPr>
      </w:pPr>
      <w:proofErr w:type="spellStart"/>
      <w:r w:rsidRPr="008B14A9">
        <w:rPr>
          <w:color w:val="000000"/>
        </w:rPr>
        <w:t>Alaje</w:t>
      </w:r>
      <w:proofErr w:type="spellEnd"/>
      <w:r w:rsidRPr="008B14A9">
        <w:rPr>
          <w:color w:val="000000"/>
        </w:rPr>
        <w:t xml:space="preserve">, A. K., Adedeji, T. A., Adedoyin, A. R., &amp; </w:t>
      </w:r>
      <w:proofErr w:type="spellStart"/>
      <w:r w:rsidRPr="008B14A9">
        <w:rPr>
          <w:color w:val="000000"/>
        </w:rPr>
        <w:t>Idogun</w:t>
      </w:r>
      <w:proofErr w:type="spellEnd"/>
      <w:r w:rsidRPr="008B14A9">
        <w:rPr>
          <w:color w:val="000000"/>
        </w:rPr>
        <w:t xml:space="preserve">, S. E. (2019). Creatinine and cystatin C-based evaluation of renal function among obese subjects in Benin City, Nigeria. Saudi Journal of Kidney Diseases and Transplantation, 30(3), 648–654. </w:t>
      </w:r>
      <w:hyperlink r:id="rId10" w:history="1">
        <w:r w:rsidRPr="008B14A9">
          <w:rPr>
            <w:rStyle w:val="Hyperlink"/>
          </w:rPr>
          <w:t>https://doi.org/10.4103/1319-2442.261339</w:t>
        </w:r>
      </w:hyperlink>
      <w:r w:rsidRPr="008B14A9">
        <w:rPr>
          <w:color w:val="000000"/>
        </w:rPr>
        <w:t xml:space="preserve"> </w:t>
      </w:r>
    </w:p>
    <w:p w14:paraId="4E196C4E" w14:textId="77777777" w:rsidR="000634DD" w:rsidRPr="008B14A9" w:rsidRDefault="00663D93" w:rsidP="008B14A9">
      <w:pPr>
        <w:pStyle w:val="NormalWeb"/>
        <w:jc w:val="both"/>
        <w:rPr>
          <w:color w:val="000000"/>
          <w:lang w:val="pt-BR"/>
        </w:rPr>
      </w:pPr>
      <w:r w:rsidRPr="008B14A9">
        <w:rPr>
          <w:color w:val="000000"/>
          <w:lang w:val="pt-BR"/>
        </w:rPr>
        <w:t xml:space="preserve">Avgoustou, E., Tzivaki, I., Diamantopoulou, G., Zachariadou, T., Avramidou, D., Dalopoulos, V., &amp; Skourtis, A. (2025). Obesity-related chronic kidney disease: From diagnosis to treatment. Diagnostics, 15(2), 169. </w:t>
      </w:r>
      <w:r w:rsidR="00386B69">
        <w:fldChar w:fldCharType="begin"/>
      </w:r>
      <w:r w:rsidR="00386B69">
        <w:instrText xml:space="preserve"> HYPERLINK "https://doi.org/10.3390/diagnostics15020169" </w:instrText>
      </w:r>
      <w:r w:rsidR="00386B69">
        <w:fldChar w:fldCharType="separate"/>
      </w:r>
      <w:r w:rsidRPr="008B14A9">
        <w:rPr>
          <w:rStyle w:val="Hyperlink"/>
          <w:lang w:val="pt-BR"/>
        </w:rPr>
        <w:t>https://doi.org/10.3390/diagnostics15020169</w:t>
      </w:r>
      <w:r w:rsidR="00386B69">
        <w:rPr>
          <w:rStyle w:val="Hyperlink"/>
          <w:lang w:val="pt-BR"/>
        </w:rPr>
        <w:fldChar w:fldCharType="end"/>
      </w:r>
      <w:r w:rsidRPr="008B14A9">
        <w:rPr>
          <w:color w:val="000000"/>
          <w:lang w:val="pt-BR"/>
        </w:rPr>
        <w:t xml:space="preserve"> </w:t>
      </w:r>
    </w:p>
    <w:p w14:paraId="405CD11D" w14:textId="77777777" w:rsidR="000634DD" w:rsidRPr="008B14A9" w:rsidRDefault="005154AF" w:rsidP="008B14A9">
      <w:pPr>
        <w:pStyle w:val="NormalWeb"/>
        <w:jc w:val="both"/>
        <w:rPr>
          <w:color w:val="000000"/>
        </w:rPr>
      </w:pPr>
      <w:r w:rsidRPr="008B14A9">
        <w:rPr>
          <w:color w:val="000000"/>
          <w:lang w:val="pt-BR"/>
        </w:rPr>
        <w:t xml:space="preserve">Ávila, M., Mora Sánchez, M. G., Bernal Amador, A. S., &amp; Paniagua, R. (2025). The metabolism of creatinine and its usefulness to evaluate kidney function and body composition in clinical practice. Biomolecules, 15(1), 41. </w:t>
      </w:r>
      <w:r w:rsidR="00386B69">
        <w:fldChar w:fldCharType="begin"/>
      </w:r>
      <w:r w:rsidR="00386B69">
        <w:instrText xml:space="preserve"> HYPERLINK "https://doi.org/10.3390/biom15010041" </w:instrText>
      </w:r>
      <w:r w:rsidR="00386B69">
        <w:fldChar w:fldCharType="separate"/>
      </w:r>
      <w:r w:rsidRPr="008B14A9">
        <w:rPr>
          <w:rStyle w:val="Hyperlink"/>
          <w:lang w:val="pt-BR"/>
        </w:rPr>
        <w:t>https://doi.org/10.3390/biom15010041</w:t>
      </w:r>
      <w:r w:rsidR="00386B69">
        <w:rPr>
          <w:rStyle w:val="Hyperlink"/>
          <w:lang w:val="pt-BR"/>
        </w:rPr>
        <w:fldChar w:fldCharType="end"/>
      </w:r>
      <w:r w:rsidRPr="008B14A9">
        <w:rPr>
          <w:color w:val="000000"/>
          <w:lang w:val="pt-BR"/>
        </w:rPr>
        <w:t xml:space="preserve"> </w:t>
      </w:r>
    </w:p>
    <w:p w14:paraId="43CF2B23" w14:textId="77777777" w:rsidR="000634DD" w:rsidRPr="008B14A9" w:rsidRDefault="00CD41FC" w:rsidP="008B14A9">
      <w:pPr>
        <w:pStyle w:val="NormalWeb"/>
        <w:jc w:val="both"/>
        <w:rPr>
          <w:color w:val="000000"/>
        </w:rPr>
      </w:pPr>
      <w:r w:rsidRPr="008B14A9">
        <w:rPr>
          <w:color w:val="000000"/>
        </w:rPr>
        <w:t xml:space="preserve">Berend, K., van </w:t>
      </w:r>
      <w:proofErr w:type="spellStart"/>
      <w:r w:rsidRPr="008B14A9">
        <w:rPr>
          <w:color w:val="000000"/>
        </w:rPr>
        <w:t>Hulsteijn</w:t>
      </w:r>
      <w:proofErr w:type="spellEnd"/>
      <w:r w:rsidRPr="008B14A9">
        <w:rPr>
          <w:color w:val="000000"/>
        </w:rPr>
        <w:t xml:space="preserve">, L. H., &amp; </w:t>
      </w:r>
      <w:proofErr w:type="spellStart"/>
      <w:r w:rsidRPr="008B14A9">
        <w:rPr>
          <w:color w:val="000000"/>
        </w:rPr>
        <w:t>Gans</w:t>
      </w:r>
      <w:proofErr w:type="spellEnd"/>
      <w:r w:rsidRPr="008B14A9">
        <w:rPr>
          <w:color w:val="000000"/>
        </w:rPr>
        <w:t xml:space="preserve">, R. O. B. (2012). Chloride: The queen of electrolytes? European Journal of Internal Medicine, 23(3), 203–211. </w:t>
      </w:r>
      <w:hyperlink r:id="rId11" w:history="1">
        <w:r w:rsidRPr="008B14A9">
          <w:rPr>
            <w:rStyle w:val="Hyperlink"/>
          </w:rPr>
          <w:t>https://doi.org/10.1016/j.ejim.2011.11.013</w:t>
        </w:r>
      </w:hyperlink>
      <w:r w:rsidRPr="008B14A9">
        <w:rPr>
          <w:color w:val="000000"/>
        </w:rPr>
        <w:t xml:space="preserve"> </w:t>
      </w:r>
    </w:p>
    <w:p w14:paraId="7DB6C33D" w14:textId="77777777" w:rsidR="000634DD" w:rsidRPr="008B14A9" w:rsidRDefault="001056BB" w:rsidP="008B14A9">
      <w:pPr>
        <w:pStyle w:val="NormalWeb"/>
        <w:jc w:val="both"/>
        <w:rPr>
          <w:color w:val="000000"/>
        </w:rPr>
      </w:pPr>
      <w:r w:rsidRPr="008B14A9">
        <w:rPr>
          <w:color w:val="000000"/>
          <w:lang w:val="pt-BR"/>
        </w:rPr>
        <w:t xml:space="preserve">Bernal, A., Zafra, M. A., Simón, M. J., &amp; Mahía, J. (2023). Sodium homeostasis, a balance necessary for life. Nutrients. </w:t>
      </w:r>
      <w:r w:rsidR="00386B69">
        <w:fldChar w:fldCharType="begin"/>
      </w:r>
      <w:r w:rsidR="00386B69">
        <w:instrText xml:space="preserve"> HYPERLINK "https://doi.org/10.3390/nu15020395" </w:instrText>
      </w:r>
      <w:r w:rsidR="00386B69">
        <w:fldChar w:fldCharType="separate"/>
      </w:r>
      <w:r w:rsidRPr="008B14A9">
        <w:rPr>
          <w:rStyle w:val="Hyperlink"/>
          <w:lang w:val="pt-BR"/>
        </w:rPr>
        <w:t>https://doi.org/10.3390/nu15020395</w:t>
      </w:r>
      <w:r w:rsidR="00386B69">
        <w:rPr>
          <w:rStyle w:val="Hyperlink"/>
          <w:lang w:val="pt-BR"/>
        </w:rPr>
        <w:fldChar w:fldCharType="end"/>
      </w:r>
      <w:r w:rsidRPr="008B14A9">
        <w:rPr>
          <w:color w:val="000000"/>
          <w:lang w:val="pt-BR"/>
        </w:rPr>
        <w:t xml:space="preserve"> </w:t>
      </w:r>
    </w:p>
    <w:p w14:paraId="676D0015" w14:textId="77777777" w:rsidR="000634DD" w:rsidRPr="008B14A9" w:rsidRDefault="0097470C" w:rsidP="008B14A9">
      <w:pPr>
        <w:pStyle w:val="NormalWeb"/>
        <w:jc w:val="both"/>
        <w:rPr>
          <w:color w:val="000000"/>
        </w:rPr>
      </w:pPr>
      <w:proofErr w:type="spellStart"/>
      <w:r w:rsidRPr="008B14A9">
        <w:rPr>
          <w:color w:val="000000"/>
        </w:rPr>
        <w:t>Bobulescu</w:t>
      </w:r>
      <w:proofErr w:type="spellEnd"/>
      <w:r w:rsidRPr="008B14A9">
        <w:rPr>
          <w:color w:val="000000"/>
        </w:rPr>
        <w:t xml:space="preserve">, I. A., &amp; Moe, O. W. (2012). Renal transport of uric acid: Evolving concepts and uncertainties. Advances in Chronic Kidney Disease, 19(6), 358–371. </w:t>
      </w:r>
      <w:hyperlink r:id="rId12" w:history="1">
        <w:r w:rsidRPr="008B14A9">
          <w:rPr>
            <w:rStyle w:val="Hyperlink"/>
          </w:rPr>
          <w:t>https://doi.org/10.1053/j.ackd.2012.07.009</w:t>
        </w:r>
      </w:hyperlink>
      <w:r w:rsidRPr="008B14A9">
        <w:rPr>
          <w:color w:val="000000"/>
        </w:rPr>
        <w:t xml:space="preserve"> </w:t>
      </w:r>
    </w:p>
    <w:p w14:paraId="5BA9084F" w14:textId="77777777" w:rsidR="00D51E69" w:rsidRPr="008B14A9" w:rsidRDefault="00C7314A" w:rsidP="008B14A9">
      <w:pPr>
        <w:pStyle w:val="NormalWeb"/>
        <w:jc w:val="both"/>
        <w:rPr>
          <w:color w:val="000000"/>
        </w:rPr>
      </w:pPr>
      <w:proofErr w:type="spellStart"/>
      <w:r w:rsidRPr="008B14A9">
        <w:t>Bonsnes</w:t>
      </w:r>
      <w:proofErr w:type="spellEnd"/>
      <w:r w:rsidRPr="008B14A9">
        <w:t xml:space="preserve">, R. W., &amp; </w:t>
      </w:r>
      <w:proofErr w:type="spellStart"/>
      <w:r w:rsidRPr="008B14A9">
        <w:t>Taussky</w:t>
      </w:r>
      <w:proofErr w:type="spellEnd"/>
      <w:r w:rsidRPr="008B14A9">
        <w:t xml:space="preserve">, H. H. (1945). On the colorimetric determination of creatinine by the </w:t>
      </w:r>
      <w:proofErr w:type="spellStart"/>
      <w:r w:rsidRPr="008B14A9">
        <w:t>Jaffé</w:t>
      </w:r>
      <w:proofErr w:type="spellEnd"/>
      <w:r w:rsidRPr="008B14A9">
        <w:t xml:space="preserve"> reaction. Journal of Biological Chemistry, 158, 581–591. </w:t>
      </w:r>
      <w:hyperlink r:id="rId13" w:history="1">
        <w:r w:rsidRPr="008B14A9">
          <w:rPr>
            <w:rStyle w:val="Hyperlink"/>
          </w:rPr>
          <w:t>https://doi.org/10.1016/S0021-9258(19)51334-5</w:t>
        </w:r>
      </w:hyperlink>
      <w:r w:rsidRPr="008B14A9">
        <w:t xml:space="preserve"> </w:t>
      </w:r>
    </w:p>
    <w:p w14:paraId="7EB0A100" w14:textId="77777777" w:rsidR="000634DD" w:rsidRPr="008B14A9" w:rsidRDefault="000634DD" w:rsidP="008B14A9">
      <w:pPr>
        <w:pStyle w:val="NormalWeb"/>
        <w:jc w:val="both"/>
        <w:rPr>
          <w:color w:val="000000"/>
        </w:rPr>
      </w:pPr>
      <w:r w:rsidRPr="008B14A9">
        <w:rPr>
          <w:color w:val="000000"/>
        </w:rPr>
        <w:t xml:space="preserve">Das, B., &amp; Khaled, K. L. (2024). Pathophysiology of obesity: An extensive review. </w:t>
      </w:r>
      <w:r w:rsidRPr="008B14A9">
        <w:rPr>
          <w:rStyle w:val="Emphasis"/>
          <w:color w:val="000000"/>
        </w:rPr>
        <w:t>Indo Global Journal of Pharmaceutical Sciences, 14</w:t>
      </w:r>
      <w:r w:rsidRPr="008B14A9">
        <w:rPr>
          <w:color w:val="000000"/>
        </w:rPr>
        <w:t>, 1–10. https://doi.org/10.35652/IGJPS.2024.14001</w:t>
      </w:r>
    </w:p>
    <w:p w14:paraId="591D8931" w14:textId="77777777" w:rsidR="000634DD" w:rsidRPr="008B14A9" w:rsidRDefault="00AA4B9D" w:rsidP="008B14A9">
      <w:pPr>
        <w:pStyle w:val="NormalWeb"/>
        <w:jc w:val="both"/>
        <w:rPr>
          <w:color w:val="000000"/>
        </w:rPr>
      </w:pPr>
      <w:r w:rsidRPr="008B14A9">
        <w:rPr>
          <w:lang w:val="pt-BR"/>
        </w:rPr>
        <w:lastRenderedPageBreak/>
        <w:t xml:space="preserve">Felizardo, R. J. F., Silva, M. B. D., Aguiar, C. F., &amp; Câmara, N. O. S. (2014). Obesity in kidney disease: A heavyweight opponent. World Journal of Nephrology </w:t>
      </w:r>
      <w:r w:rsidR="00386B69">
        <w:fldChar w:fldCharType="begin"/>
      </w:r>
      <w:r w:rsidR="00386B69">
        <w:instrText xml:space="preserve"> HYPERLINK "https://doi.org/10.5527/wjn.v3.i3.50" </w:instrText>
      </w:r>
      <w:r w:rsidR="00386B69">
        <w:fldChar w:fldCharType="separate"/>
      </w:r>
      <w:r w:rsidRPr="008B14A9">
        <w:rPr>
          <w:rStyle w:val="Hyperlink"/>
          <w:lang w:val="pt-BR"/>
        </w:rPr>
        <w:t>https://doi.org/10.5527/wjn.v3.i3.50</w:t>
      </w:r>
      <w:r w:rsidR="00386B69">
        <w:rPr>
          <w:rStyle w:val="Hyperlink"/>
          <w:lang w:val="pt-BR"/>
        </w:rPr>
        <w:fldChar w:fldCharType="end"/>
      </w:r>
      <w:r w:rsidRPr="008B14A9">
        <w:rPr>
          <w:lang w:val="pt-BR"/>
        </w:rPr>
        <w:t xml:space="preserve"> </w:t>
      </w:r>
    </w:p>
    <w:p w14:paraId="5D24F0F2" w14:textId="77777777" w:rsidR="005C30A9" w:rsidRPr="008B14A9" w:rsidRDefault="005C30A9" w:rsidP="008B14A9">
      <w:pPr>
        <w:pStyle w:val="NormalWeb"/>
        <w:jc w:val="both"/>
        <w:rPr>
          <w:lang w:val="pt-BR"/>
        </w:rPr>
      </w:pPr>
    </w:p>
    <w:p w14:paraId="6D3C4D14" w14:textId="77777777" w:rsidR="005C30A9" w:rsidRPr="008B14A9" w:rsidRDefault="00DF3A5E" w:rsidP="008B14A9">
      <w:pPr>
        <w:pStyle w:val="NormalWeb"/>
        <w:jc w:val="both"/>
        <w:rPr>
          <w:color w:val="000000"/>
        </w:rPr>
      </w:pPr>
      <w:r w:rsidRPr="008B14A9">
        <w:rPr>
          <w:lang w:val="pt-BR"/>
        </w:rPr>
        <w:t xml:space="preserve">Fossati, P., Prencipe, L., &amp; Berti, G. (1980). Use of 3,5-dichloro-2-hydroxybenzenesulfonic acid/4-aminophenazone chromogenic system in direct enzymic assay of uric acid in serum and urine. Clinical Chemistry, 26(2), 227–231. </w:t>
      </w:r>
      <w:r w:rsidR="00386B69">
        <w:fldChar w:fldCharType="begin"/>
      </w:r>
      <w:r w:rsidR="00386B69">
        <w:instrText xml:space="preserve"> HYPERLINK "https://doi.org/10.1093/clinchem/26.2.227" </w:instrText>
      </w:r>
      <w:r w:rsidR="00386B69">
        <w:fldChar w:fldCharType="separate"/>
      </w:r>
      <w:r w:rsidRPr="008B14A9">
        <w:rPr>
          <w:rStyle w:val="Hyperlink"/>
          <w:lang w:val="pt-BR"/>
        </w:rPr>
        <w:t>https://doi.org/10.1093/clinchem/26.2.227</w:t>
      </w:r>
      <w:r w:rsidR="00386B69">
        <w:rPr>
          <w:rStyle w:val="Hyperlink"/>
          <w:lang w:val="pt-BR"/>
        </w:rPr>
        <w:fldChar w:fldCharType="end"/>
      </w:r>
      <w:r w:rsidRPr="008B14A9">
        <w:rPr>
          <w:lang w:val="pt-BR"/>
        </w:rPr>
        <w:t xml:space="preserve"> </w:t>
      </w:r>
    </w:p>
    <w:p w14:paraId="3D65D7F3" w14:textId="77777777" w:rsidR="005C30A9" w:rsidRPr="008B14A9" w:rsidRDefault="00370459" w:rsidP="008B14A9">
      <w:pPr>
        <w:pStyle w:val="NormalWeb"/>
        <w:jc w:val="both"/>
        <w:rPr>
          <w:color w:val="000000"/>
          <w:lang w:val="pt-BR"/>
        </w:rPr>
      </w:pPr>
      <w:r w:rsidRPr="008B14A9">
        <w:rPr>
          <w:color w:val="000000"/>
        </w:rPr>
        <w:t xml:space="preserve">Fountain, J. H., Kaur, J., &amp; Lappin, S. L. (2025). Physiology, renin angiotensin system. In </w:t>
      </w:r>
      <w:proofErr w:type="spellStart"/>
      <w:r w:rsidRPr="008B14A9">
        <w:rPr>
          <w:color w:val="000000"/>
        </w:rPr>
        <w:t>StatPearls</w:t>
      </w:r>
      <w:proofErr w:type="spellEnd"/>
      <w:r w:rsidRPr="008B14A9">
        <w:rPr>
          <w:color w:val="000000"/>
        </w:rPr>
        <w:t xml:space="preserve">. </w:t>
      </w:r>
      <w:proofErr w:type="spellStart"/>
      <w:r w:rsidRPr="008B14A9">
        <w:rPr>
          <w:color w:val="000000"/>
        </w:rPr>
        <w:t>StatPearls</w:t>
      </w:r>
      <w:proofErr w:type="spellEnd"/>
      <w:r w:rsidRPr="008B14A9">
        <w:rPr>
          <w:color w:val="000000"/>
        </w:rPr>
        <w:t xml:space="preserve"> Publishing. </w:t>
      </w:r>
      <w:hyperlink r:id="rId14" w:history="1">
        <w:r w:rsidRPr="008B14A9">
          <w:rPr>
            <w:rStyle w:val="Hyperlink"/>
          </w:rPr>
          <w:t>https://www.ncbi.nlm.nih.gov/books/NBK470410/</w:t>
        </w:r>
      </w:hyperlink>
      <w:r w:rsidRPr="008B14A9">
        <w:rPr>
          <w:color w:val="000000"/>
        </w:rPr>
        <w:t xml:space="preserve"> </w:t>
      </w:r>
    </w:p>
    <w:p w14:paraId="071A5D79" w14:textId="77777777" w:rsidR="000634DD" w:rsidRPr="008B14A9" w:rsidRDefault="00D42997" w:rsidP="008B14A9">
      <w:pPr>
        <w:pStyle w:val="NormalWeb"/>
        <w:jc w:val="both"/>
        <w:rPr>
          <w:color w:val="000000"/>
        </w:rPr>
      </w:pPr>
      <w:r w:rsidRPr="008B14A9">
        <w:rPr>
          <w:color w:val="000000"/>
          <w:lang w:val="pt-BR"/>
        </w:rPr>
        <w:t xml:space="preserve">Gul, A., Yilmaz, R., Ozmen, Z. C., Gumuser, R., Demir, O., &amp; Unsal, V. (2019). Assessment of renal function in obese and overweight children with NGAL and KIM-1 biomarkers. Nutrición Hospitalaria. </w:t>
      </w:r>
      <w:r w:rsidR="00386B69">
        <w:fldChar w:fldCharType="begin"/>
      </w:r>
      <w:r w:rsidR="00386B69">
        <w:instrText xml:space="preserve"> HYPERLINK "https://doi.org/10.20960/nh.02651" </w:instrText>
      </w:r>
      <w:r w:rsidR="00386B69">
        <w:fldChar w:fldCharType="separate"/>
      </w:r>
      <w:r w:rsidRPr="008B14A9">
        <w:rPr>
          <w:rStyle w:val="Hyperlink"/>
          <w:lang w:val="pt-BR"/>
        </w:rPr>
        <w:t>https://doi.org/10.20960/nh.02651</w:t>
      </w:r>
      <w:r w:rsidR="00386B69">
        <w:rPr>
          <w:rStyle w:val="Hyperlink"/>
          <w:lang w:val="pt-BR"/>
        </w:rPr>
        <w:fldChar w:fldCharType="end"/>
      </w:r>
      <w:r w:rsidRPr="008B14A9">
        <w:rPr>
          <w:color w:val="000000"/>
          <w:lang w:val="pt-BR"/>
        </w:rPr>
        <w:t xml:space="preserve"> </w:t>
      </w:r>
    </w:p>
    <w:p w14:paraId="1980966B" w14:textId="77777777" w:rsidR="000634DD" w:rsidRPr="008B14A9" w:rsidRDefault="00DA65E0" w:rsidP="008B14A9">
      <w:pPr>
        <w:pStyle w:val="NormalWeb"/>
        <w:jc w:val="both"/>
        <w:rPr>
          <w:color w:val="000000"/>
        </w:rPr>
      </w:pPr>
      <w:r w:rsidRPr="008B14A9">
        <w:rPr>
          <w:color w:val="000000"/>
        </w:rPr>
        <w:t xml:space="preserve">Hall, J. E., &amp; Hall, M. E. (2021). Guyton and Hall Textbook of Medical Physiology (14th ed.). Elsevier. </w:t>
      </w:r>
      <w:hyperlink r:id="rId15" w:history="1">
        <w:r w:rsidRPr="008B14A9">
          <w:rPr>
            <w:rStyle w:val="Hyperlink"/>
          </w:rPr>
          <w:t>https://www.elsevier.com/books/guyton-and-hall-textbook-of-medical-physiology/hall/978-0-323-59712-8</w:t>
        </w:r>
      </w:hyperlink>
      <w:r w:rsidRPr="008B14A9">
        <w:rPr>
          <w:color w:val="000000"/>
        </w:rPr>
        <w:t xml:space="preserve"> </w:t>
      </w:r>
    </w:p>
    <w:p w14:paraId="751747D5" w14:textId="77777777" w:rsidR="000634DD" w:rsidRPr="008B14A9" w:rsidRDefault="00F212F8" w:rsidP="008B14A9">
      <w:pPr>
        <w:pStyle w:val="NormalWeb"/>
        <w:jc w:val="both"/>
        <w:rPr>
          <w:color w:val="000000"/>
        </w:rPr>
      </w:pPr>
      <w:r w:rsidRPr="008B14A9">
        <w:rPr>
          <w:color w:val="000000"/>
        </w:rPr>
        <w:t xml:space="preserve">Hall, J. E., do </w:t>
      </w:r>
      <w:proofErr w:type="spellStart"/>
      <w:r w:rsidRPr="008B14A9">
        <w:rPr>
          <w:color w:val="000000"/>
        </w:rPr>
        <w:t>Carmo</w:t>
      </w:r>
      <w:proofErr w:type="spellEnd"/>
      <w:r w:rsidRPr="008B14A9">
        <w:rPr>
          <w:color w:val="000000"/>
        </w:rPr>
        <w:t xml:space="preserve">, J. M., da Silva, A. A., Wang, Z., &amp; Hall, M. E. (2015). Obesity-induced hypertension: Interaction of neurohumoral and renal mechanisms. Circulation Research, 116(6), 991–1006 </w:t>
      </w:r>
      <w:hyperlink r:id="rId16" w:history="1">
        <w:r w:rsidRPr="008B14A9">
          <w:rPr>
            <w:rStyle w:val="Hyperlink"/>
          </w:rPr>
          <w:t>https://doi.org/10.1161/CIRCRESAHA.116.305697</w:t>
        </w:r>
      </w:hyperlink>
      <w:r w:rsidRPr="008B14A9">
        <w:rPr>
          <w:color w:val="000000"/>
        </w:rPr>
        <w:t xml:space="preserve"> </w:t>
      </w:r>
    </w:p>
    <w:p w14:paraId="192BA2BA" w14:textId="77777777" w:rsidR="000634DD" w:rsidRPr="008B14A9" w:rsidRDefault="0023198F" w:rsidP="008B14A9">
      <w:pPr>
        <w:pStyle w:val="NormalWeb"/>
        <w:jc w:val="both"/>
        <w:rPr>
          <w:color w:val="000000"/>
        </w:rPr>
      </w:pPr>
      <w:r w:rsidRPr="008B14A9">
        <w:rPr>
          <w:color w:val="000000"/>
        </w:rPr>
        <w:t xml:space="preserve">Hopkins, E., </w:t>
      </w:r>
      <w:proofErr w:type="spellStart"/>
      <w:r w:rsidRPr="008B14A9">
        <w:rPr>
          <w:color w:val="000000"/>
        </w:rPr>
        <w:t>Sanvictores</w:t>
      </w:r>
      <w:proofErr w:type="spellEnd"/>
      <w:r w:rsidRPr="008B14A9">
        <w:rPr>
          <w:color w:val="000000"/>
        </w:rPr>
        <w:t xml:space="preserve">, T., &amp; Sharma, S. (2025). Physiology, acid–base balance. In </w:t>
      </w:r>
      <w:proofErr w:type="spellStart"/>
      <w:r w:rsidRPr="008B14A9">
        <w:rPr>
          <w:color w:val="000000"/>
        </w:rPr>
        <w:t>StatPearls</w:t>
      </w:r>
      <w:proofErr w:type="spellEnd"/>
      <w:r w:rsidRPr="008B14A9">
        <w:rPr>
          <w:color w:val="000000"/>
        </w:rPr>
        <w:t xml:space="preserve">. </w:t>
      </w:r>
      <w:proofErr w:type="spellStart"/>
      <w:r w:rsidRPr="008B14A9">
        <w:rPr>
          <w:color w:val="000000"/>
        </w:rPr>
        <w:t>StatPearls</w:t>
      </w:r>
      <w:proofErr w:type="spellEnd"/>
      <w:r w:rsidRPr="008B14A9">
        <w:rPr>
          <w:color w:val="000000"/>
        </w:rPr>
        <w:t xml:space="preserve"> Publishing. </w:t>
      </w:r>
      <w:hyperlink r:id="rId17" w:history="1">
        <w:r w:rsidRPr="008B14A9">
          <w:rPr>
            <w:rStyle w:val="Hyperlink"/>
          </w:rPr>
          <w:t>https://www.ncbi.nlm.nih.gov/books/NBK507807/</w:t>
        </w:r>
      </w:hyperlink>
      <w:r w:rsidRPr="008B14A9">
        <w:rPr>
          <w:color w:val="000000"/>
        </w:rPr>
        <w:t xml:space="preserve"> </w:t>
      </w:r>
    </w:p>
    <w:p w14:paraId="3A0E8613" w14:textId="77777777" w:rsidR="000634DD" w:rsidRPr="008B14A9" w:rsidRDefault="002F5906" w:rsidP="008B14A9">
      <w:pPr>
        <w:pStyle w:val="NormalWeb"/>
        <w:jc w:val="both"/>
        <w:rPr>
          <w:color w:val="000000"/>
        </w:rPr>
      </w:pPr>
      <w:proofErr w:type="spellStart"/>
      <w:r w:rsidRPr="008B14A9">
        <w:rPr>
          <w:color w:val="000000"/>
        </w:rPr>
        <w:t>Ikegwuonu</w:t>
      </w:r>
      <w:proofErr w:type="spellEnd"/>
      <w:r w:rsidRPr="008B14A9">
        <w:rPr>
          <w:color w:val="000000"/>
        </w:rPr>
        <w:t xml:space="preserve">, I. C., </w:t>
      </w:r>
      <w:proofErr w:type="spellStart"/>
      <w:r w:rsidRPr="008B14A9">
        <w:rPr>
          <w:color w:val="000000"/>
        </w:rPr>
        <w:t>Afoenyi</w:t>
      </w:r>
      <w:proofErr w:type="spellEnd"/>
      <w:r w:rsidRPr="008B14A9">
        <w:rPr>
          <w:color w:val="000000"/>
        </w:rPr>
        <w:t xml:space="preserve">, C. D., </w:t>
      </w:r>
      <w:proofErr w:type="spellStart"/>
      <w:r w:rsidRPr="008B14A9">
        <w:rPr>
          <w:color w:val="000000"/>
        </w:rPr>
        <w:t>Ikebudu</w:t>
      </w:r>
      <w:proofErr w:type="spellEnd"/>
      <w:r w:rsidRPr="008B14A9">
        <w:rPr>
          <w:color w:val="000000"/>
        </w:rPr>
        <w:t xml:space="preserve">, A. P., </w:t>
      </w:r>
      <w:proofErr w:type="spellStart"/>
      <w:r w:rsidRPr="008B14A9">
        <w:rPr>
          <w:color w:val="000000"/>
        </w:rPr>
        <w:t>Ikegwuonu</w:t>
      </w:r>
      <w:proofErr w:type="spellEnd"/>
      <w:r w:rsidRPr="008B14A9">
        <w:rPr>
          <w:color w:val="000000"/>
        </w:rPr>
        <w:t xml:space="preserve">, P. T., </w:t>
      </w:r>
      <w:proofErr w:type="spellStart"/>
      <w:r w:rsidRPr="008B14A9">
        <w:rPr>
          <w:color w:val="000000"/>
        </w:rPr>
        <w:t>Agbo</w:t>
      </w:r>
      <w:proofErr w:type="spellEnd"/>
      <w:r w:rsidRPr="008B14A9">
        <w:rPr>
          <w:color w:val="000000"/>
        </w:rPr>
        <w:t xml:space="preserve">, I. J., Arinze, I. E., </w:t>
      </w:r>
      <w:proofErr w:type="spellStart"/>
      <w:r w:rsidRPr="008B14A9">
        <w:rPr>
          <w:color w:val="000000"/>
        </w:rPr>
        <w:t>Ugwuoke</w:t>
      </w:r>
      <w:proofErr w:type="spellEnd"/>
      <w:r w:rsidRPr="008B14A9">
        <w:rPr>
          <w:color w:val="000000"/>
        </w:rPr>
        <w:t xml:space="preserve">, I. E., &amp; </w:t>
      </w:r>
      <w:proofErr w:type="spellStart"/>
      <w:r w:rsidRPr="008B14A9">
        <w:rPr>
          <w:color w:val="000000"/>
        </w:rPr>
        <w:t>Onah</w:t>
      </w:r>
      <w:proofErr w:type="spellEnd"/>
      <w:r w:rsidRPr="008B14A9">
        <w:rPr>
          <w:color w:val="000000"/>
        </w:rPr>
        <w:t xml:space="preserve">, C. D. (2023). Assessment of serum electrolytes levels of obese individuals in Enugu, southeastern Nigeria. World Journal of Advanced Research and Reviews, 19(1), 934–941. </w:t>
      </w:r>
      <w:hyperlink r:id="rId18" w:history="1">
        <w:r w:rsidRPr="008B14A9">
          <w:rPr>
            <w:rStyle w:val="Hyperlink"/>
          </w:rPr>
          <w:t>https://doi.org/10.30574/wjarr.2023.19.1.1342</w:t>
        </w:r>
      </w:hyperlink>
      <w:r w:rsidRPr="008B14A9">
        <w:rPr>
          <w:color w:val="000000"/>
        </w:rPr>
        <w:t xml:space="preserve"> </w:t>
      </w:r>
    </w:p>
    <w:p w14:paraId="5A3A4BD6" w14:textId="77777777" w:rsidR="000634DD" w:rsidRPr="008B14A9" w:rsidRDefault="001B0CDA" w:rsidP="008B14A9">
      <w:pPr>
        <w:pStyle w:val="NormalWeb"/>
        <w:jc w:val="both"/>
        <w:rPr>
          <w:color w:val="000000"/>
        </w:rPr>
      </w:pPr>
      <w:r w:rsidRPr="008B14A9">
        <w:rPr>
          <w:color w:val="000000"/>
          <w:lang w:val="pt-BR"/>
        </w:rPr>
        <w:t xml:space="preserve">Koliaki, C., Dalamaga, M., &amp; Liatis, S. (2023). Update on the obesity epidemic: After the sudden rise, is the upward trajectory beginning to flatten? Current Obesity Reports. </w:t>
      </w:r>
      <w:r w:rsidR="00386B69">
        <w:fldChar w:fldCharType="begin"/>
      </w:r>
      <w:r w:rsidR="00386B69">
        <w:instrText xml:space="preserve"> HYPERLINK "https://doi.org/10.1007/s13679-023-00527-y" </w:instrText>
      </w:r>
      <w:r w:rsidR="00386B69">
        <w:fldChar w:fldCharType="separate"/>
      </w:r>
      <w:r w:rsidRPr="008B14A9">
        <w:rPr>
          <w:rStyle w:val="Hyperlink"/>
          <w:lang w:val="pt-BR"/>
        </w:rPr>
        <w:t>https://doi.org/10.1007/s13679-023-00527-y</w:t>
      </w:r>
      <w:r w:rsidR="00386B69">
        <w:rPr>
          <w:rStyle w:val="Hyperlink"/>
          <w:lang w:val="pt-BR"/>
        </w:rPr>
        <w:fldChar w:fldCharType="end"/>
      </w:r>
      <w:r w:rsidRPr="008B14A9">
        <w:rPr>
          <w:color w:val="000000"/>
          <w:lang w:val="pt-BR"/>
        </w:rPr>
        <w:t xml:space="preserve"> </w:t>
      </w:r>
    </w:p>
    <w:p w14:paraId="097C2EC8" w14:textId="77777777" w:rsidR="000634DD" w:rsidRPr="008B14A9" w:rsidRDefault="00F234C3" w:rsidP="008B14A9">
      <w:pPr>
        <w:pStyle w:val="NormalWeb"/>
        <w:jc w:val="both"/>
        <w:rPr>
          <w:color w:val="000000"/>
        </w:rPr>
      </w:pPr>
      <w:r w:rsidRPr="008B14A9">
        <w:rPr>
          <w:color w:val="000000"/>
        </w:rPr>
        <w:t xml:space="preserve">Li, F., Chen, S., </w:t>
      </w:r>
      <w:proofErr w:type="spellStart"/>
      <w:r w:rsidRPr="008B14A9">
        <w:rPr>
          <w:color w:val="000000"/>
        </w:rPr>
        <w:t>Qiu</w:t>
      </w:r>
      <w:proofErr w:type="spellEnd"/>
      <w:r w:rsidRPr="008B14A9">
        <w:rPr>
          <w:color w:val="000000"/>
        </w:rPr>
        <w:t xml:space="preserve">, X., Wu, J., Tan, M., &amp; Wang, M. (2021). Serum uric acid levels and metabolic indices in an obese population: A cross-sectional study. Diabetes, Metabolic Syndrome and Obesity: Targets and Therapy, 14, 627–635. </w:t>
      </w:r>
      <w:hyperlink r:id="rId19" w:history="1">
        <w:r w:rsidRPr="008B14A9">
          <w:rPr>
            <w:rStyle w:val="Hyperlink"/>
          </w:rPr>
          <w:t>https://doi.org/10.2147/DMSO.S286299</w:t>
        </w:r>
      </w:hyperlink>
      <w:r w:rsidRPr="008B14A9">
        <w:rPr>
          <w:color w:val="000000"/>
        </w:rPr>
        <w:t xml:space="preserve"> </w:t>
      </w:r>
    </w:p>
    <w:p w14:paraId="7C1B608E" w14:textId="77777777" w:rsidR="000634DD" w:rsidRPr="008B14A9" w:rsidRDefault="0041026A" w:rsidP="008B14A9">
      <w:pPr>
        <w:pStyle w:val="NormalWeb"/>
        <w:jc w:val="both"/>
        <w:rPr>
          <w:color w:val="000000"/>
        </w:rPr>
      </w:pPr>
      <w:r w:rsidRPr="008B14A9">
        <w:rPr>
          <w:color w:val="000000"/>
          <w:lang w:val="pt-BR"/>
        </w:rPr>
        <w:t xml:space="preserve">Mascali, A., Franzese, O., Nisticò, S., Campia, U., Lauro, D., Cardillo, C., Di Daniele, N., &amp; Tesauro, M. (2016). Obesity and kidney disease: Beyond the hyperfiltration. </w:t>
      </w:r>
      <w:r w:rsidRPr="008B14A9">
        <w:rPr>
          <w:color w:val="000000"/>
          <w:lang w:val="pt-BR"/>
        </w:rPr>
        <w:lastRenderedPageBreak/>
        <w:t xml:space="preserve">International Journal of Immunopathology and Pharmacology, 29(3), 354–363. </w:t>
      </w:r>
      <w:r w:rsidR="00386B69">
        <w:fldChar w:fldCharType="begin"/>
      </w:r>
      <w:r w:rsidR="00386B69">
        <w:instrText xml:space="preserve"> HYPERLINK "https://doi.org/10.1177/0394632016643550" </w:instrText>
      </w:r>
      <w:r w:rsidR="00386B69">
        <w:fldChar w:fldCharType="separate"/>
      </w:r>
      <w:r w:rsidRPr="008B14A9">
        <w:rPr>
          <w:rStyle w:val="Hyperlink"/>
          <w:lang w:val="pt-BR"/>
        </w:rPr>
        <w:t>https://doi.org/10.1177/0394632016643550</w:t>
      </w:r>
      <w:r w:rsidR="00386B69">
        <w:rPr>
          <w:rStyle w:val="Hyperlink"/>
          <w:lang w:val="pt-BR"/>
        </w:rPr>
        <w:fldChar w:fldCharType="end"/>
      </w:r>
      <w:r w:rsidRPr="008B14A9">
        <w:rPr>
          <w:color w:val="000000"/>
          <w:lang w:val="pt-BR"/>
        </w:rPr>
        <w:t xml:space="preserve"> </w:t>
      </w:r>
    </w:p>
    <w:p w14:paraId="415426BD" w14:textId="77777777" w:rsidR="000634DD" w:rsidRPr="008B14A9" w:rsidRDefault="00B07769" w:rsidP="008B14A9">
      <w:pPr>
        <w:pStyle w:val="NormalWeb"/>
        <w:jc w:val="both"/>
        <w:rPr>
          <w:color w:val="000000"/>
        </w:rPr>
      </w:pPr>
      <w:proofErr w:type="spellStart"/>
      <w:r w:rsidRPr="008B14A9">
        <w:rPr>
          <w:color w:val="000000"/>
        </w:rPr>
        <w:t>Meherubin</w:t>
      </w:r>
      <w:proofErr w:type="spellEnd"/>
      <w:r w:rsidRPr="008B14A9">
        <w:rPr>
          <w:color w:val="000000"/>
        </w:rPr>
        <w:t xml:space="preserve">, I., Nessa, A., Huda, M. N., </w:t>
      </w:r>
      <w:proofErr w:type="spellStart"/>
      <w:r w:rsidRPr="008B14A9">
        <w:rPr>
          <w:color w:val="000000"/>
        </w:rPr>
        <w:t>Yeasmin</w:t>
      </w:r>
      <w:proofErr w:type="spellEnd"/>
      <w:r w:rsidRPr="008B14A9">
        <w:rPr>
          <w:color w:val="000000"/>
        </w:rPr>
        <w:t xml:space="preserve">, F., </w:t>
      </w:r>
      <w:proofErr w:type="spellStart"/>
      <w:r w:rsidRPr="008B14A9">
        <w:rPr>
          <w:color w:val="000000"/>
        </w:rPr>
        <w:t>Afroz</w:t>
      </w:r>
      <w:proofErr w:type="spellEnd"/>
      <w:r w:rsidRPr="008B14A9">
        <w:rPr>
          <w:color w:val="000000"/>
        </w:rPr>
        <w:t xml:space="preserve">, L., &amp; Mumu, N. S. (2021). Level of serum creatinine and creatinine clearance rate in obese female. Mymensingh Medical Journal, 30(4), 991–996. </w:t>
      </w:r>
      <w:hyperlink r:id="rId20" w:history="1">
        <w:r w:rsidRPr="008B14A9">
          <w:rPr>
            <w:rStyle w:val="Hyperlink"/>
          </w:rPr>
          <w:t>https://pubmed.ncbi.nlm.nih.gov/34711999/</w:t>
        </w:r>
      </w:hyperlink>
      <w:r w:rsidRPr="008B14A9">
        <w:rPr>
          <w:color w:val="000000"/>
        </w:rPr>
        <w:t xml:space="preserve"> </w:t>
      </w:r>
    </w:p>
    <w:p w14:paraId="545F03F0" w14:textId="77777777" w:rsidR="000634DD" w:rsidRPr="008B14A9" w:rsidRDefault="00B07769" w:rsidP="008B14A9">
      <w:pPr>
        <w:pStyle w:val="NormalWeb"/>
        <w:jc w:val="both"/>
        <w:rPr>
          <w:color w:val="000000"/>
        </w:rPr>
      </w:pPr>
      <w:proofErr w:type="spellStart"/>
      <w:r w:rsidRPr="008B14A9">
        <w:t>Önerli</w:t>
      </w:r>
      <w:proofErr w:type="spellEnd"/>
      <w:r w:rsidRPr="008B14A9">
        <w:t xml:space="preserve"> Salman, D., </w:t>
      </w:r>
      <w:proofErr w:type="spellStart"/>
      <w:r w:rsidRPr="008B14A9">
        <w:t>Şıklar</w:t>
      </w:r>
      <w:proofErr w:type="spellEnd"/>
      <w:r w:rsidRPr="008B14A9">
        <w:t xml:space="preserve">, Z., </w:t>
      </w:r>
      <w:proofErr w:type="spellStart"/>
      <w:r w:rsidRPr="008B14A9">
        <w:t>Çullas</w:t>
      </w:r>
      <w:proofErr w:type="spellEnd"/>
      <w:r w:rsidRPr="008B14A9">
        <w:t xml:space="preserve"> </w:t>
      </w:r>
      <w:proofErr w:type="spellStart"/>
      <w:r w:rsidRPr="008B14A9">
        <w:t>İlarslan</w:t>
      </w:r>
      <w:proofErr w:type="spellEnd"/>
      <w:r w:rsidRPr="008B14A9">
        <w:t xml:space="preserve">, E. N., </w:t>
      </w:r>
      <w:proofErr w:type="spellStart"/>
      <w:r w:rsidRPr="008B14A9">
        <w:t>Özçakar</w:t>
      </w:r>
      <w:proofErr w:type="spellEnd"/>
      <w:r w:rsidRPr="008B14A9">
        <w:t xml:space="preserve">, Z. B., </w:t>
      </w:r>
      <w:proofErr w:type="spellStart"/>
      <w:r w:rsidRPr="008B14A9">
        <w:t>Kocaay</w:t>
      </w:r>
      <w:proofErr w:type="spellEnd"/>
      <w:r w:rsidRPr="008B14A9">
        <w:t xml:space="preserve">, P., &amp; </w:t>
      </w:r>
      <w:proofErr w:type="spellStart"/>
      <w:r w:rsidRPr="008B14A9">
        <w:t>Berberoğlu</w:t>
      </w:r>
      <w:proofErr w:type="spellEnd"/>
      <w:r w:rsidRPr="008B14A9">
        <w:t xml:space="preserve">, M. (2019). Evaluation of renal function in obese children and adolescents using serum cystatin C levels, estimated glomerular filtration rate formulae and proteinuria: Which is most useful? Journal of Clinical Research in Pediatric Endocrinology, 11(1), 46–54. </w:t>
      </w:r>
      <w:hyperlink r:id="rId21" w:history="1">
        <w:r w:rsidRPr="008B14A9">
          <w:rPr>
            <w:rStyle w:val="Hyperlink"/>
          </w:rPr>
          <w:t>https://doi.org/10.4274/jcrpe.galenos.2018.2018.0046</w:t>
        </w:r>
      </w:hyperlink>
      <w:r w:rsidRPr="008B14A9">
        <w:t xml:space="preserve"> </w:t>
      </w:r>
    </w:p>
    <w:p w14:paraId="5C2701E0" w14:textId="77777777" w:rsidR="000634DD" w:rsidRPr="008B14A9" w:rsidRDefault="00E31C8F" w:rsidP="008B14A9">
      <w:pPr>
        <w:pStyle w:val="NormalWeb"/>
        <w:jc w:val="both"/>
        <w:rPr>
          <w:color w:val="000000"/>
        </w:rPr>
      </w:pPr>
      <w:r w:rsidRPr="008B14A9">
        <w:rPr>
          <w:color w:val="000000"/>
          <w:lang w:val="pt-BR"/>
        </w:rPr>
        <w:t xml:space="preserve">Parvanova, A., Reseghetti, E., Abbate, M., &amp; Ruggenenti, P. (2023). Mechanisms and treatment of obesity-related hypertension—Part 1: Mechanisms. Clinical Kidney Journal, 17(1), sfad282. </w:t>
      </w:r>
      <w:r w:rsidR="00386B69">
        <w:fldChar w:fldCharType="begin"/>
      </w:r>
      <w:r w:rsidR="00386B69">
        <w:instrText xml:space="preserve"> HYPERLINK "https://doi.org/10.1093/ckj/sfad282" </w:instrText>
      </w:r>
      <w:r w:rsidR="00386B69">
        <w:fldChar w:fldCharType="separate"/>
      </w:r>
      <w:r w:rsidRPr="008B14A9">
        <w:rPr>
          <w:rStyle w:val="Hyperlink"/>
          <w:lang w:val="pt-BR"/>
        </w:rPr>
        <w:t>https://doi.org/10.1093/ckj/sfad282</w:t>
      </w:r>
      <w:r w:rsidR="00386B69">
        <w:rPr>
          <w:rStyle w:val="Hyperlink"/>
          <w:lang w:val="pt-BR"/>
        </w:rPr>
        <w:fldChar w:fldCharType="end"/>
      </w:r>
      <w:r w:rsidRPr="008B14A9">
        <w:rPr>
          <w:color w:val="000000"/>
          <w:lang w:val="pt-BR"/>
        </w:rPr>
        <w:t xml:space="preserve"> </w:t>
      </w:r>
    </w:p>
    <w:p w14:paraId="5F7FD999" w14:textId="77777777" w:rsidR="00736E13" w:rsidRPr="008B14A9" w:rsidRDefault="005317A7" w:rsidP="008B14A9">
      <w:pPr>
        <w:pStyle w:val="NormalWeb"/>
        <w:jc w:val="both"/>
        <w:rPr>
          <w:color w:val="000000"/>
        </w:rPr>
      </w:pPr>
      <w:proofErr w:type="spellStart"/>
      <w:r w:rsidRPr="008B14A9">
        <w:rPr>
          <w:color w:val="000000"/>
        </w:rPr>
        <w:t>Seyam</w:t>
      </w:r>
      <w:proofErr w:type="spellEnd"/>
      <w:r w:rsidRPr="008B14A9">
        <w:rPr>
          <w:color w:val="000000"/>
        </w:rPr>
        <w:t xml:space="preserve">, M. K. (2025). Prevalence of obesity and associated risk factors among university students using the newly developed Student Lifestyle and Obesity Risk Questionnaire (SLORQ): A cross-sectional study. </w:t>
      </w:r>
      <w:proofErr w:type="spellStart"/>
      <w:r w:rsidRPr="008B14A9">
        <w:rPr>
          <w:color w:val="000000"/>
        </w:rPr>
        <w:t>PeerJ</w:t>
      </w:r>
      <w:proofErr w:type="spellEnd"/>
      <w:r w:rsidRPr="008B14A9">
        <w:rPr>
          <w:color w:val="000000"/>
        </w:rPr>
        <w:t xml:space="preserve">, 13, e19556. </w:t>
      </w:r>
      <w:hyperlink r:id="rId22" w:history="1">
        <w:r w:rsidRPr="008B14A9">
          <w:rPr>
            <w:rStyle w:val="Hyperlink"/>
          </w:rPr>
          <w:t>https://doi.org/10.7717/peerj.19556</w:t>
        </w:r>
      </w:hyperlink>
      <w:r w:rsidRPr="008B14A9">
        <w:rPr>
          <w:color w:val="000000"/>
        </w:rPr>
        <w:t xml:space="preserve"> </w:t>
      </w:r>
    </w:p>
    <w:p w14:paraId="46CB99A6" w14:textId="77777777" w:rsidR="00736E13" w:rsidRPr="008B14A9" w:rsidRDefault="00736E13" w:rsidP="008B14A9">
      <w:pPr>
        <w:jc w:val="both"/>
        <w:rPr>
          <w:rFonts w:ascii="Times New Roman" w:hAnsi="Times New Roman"/>
          <w:sz w:val="24"/>
          <w:szCs w:val="24"/>
          <w:lang w:val="en-GB"/>
        </w:rPr>
      </w:pPr>
      <w:proofErr w:type="spellStart"/>
      <w:r w:rsidRPr="008B14A9">
        <w:rPr>
          <w:rFonts w:ascii="Times New Roman" w:hAnsi="Times New Roman"/>
          <w:sz w:val="24"/>
          <w:szCs w:val="24"/>
          <w:lang w:val="en-GB"/>
        </w:rPr>
        <w:t>Sidoti</w:t>
      </w:r>
      <w:proofErr w:type="spellEnd"/>
      <w:r w:rsidRPr="008B14A9">
        <w:rPr>
          <w:rFonts w:ascii="Times New Roman" w:hAnsi="Times New Roman"/>
          <w:sz w:val="24"/>
          <w:szCs w:val="24"/>
          <w:lang w:val="en-GB"/>
        </w:rPr>
        <w:t xml:space="preserve">, A., </w:t>
      </w:r>
      <w:proofErr w:type="spellStart"/>
      <w:r w:rsidRPr="008B14A9">
        <w:rPr>
          <w:rFonts w:ascii="Times New Roman" w:hAnsi="Times New Roman"/>
          <w:sz w:val="24"/>
          <w:szCs w:val="24"/>
          <w:lang w:val="en-GB"/>
        </w:rPr>
        <w:t>Nigrelli</w:t>
      </w:r>
      <w:proofErr w:type="spellEnd"/>
      <w:r w:rsidRPr="008B14A9">
        <w:rPr>
          <w:rFonts w:ascii="Times New Roman" w:hAnsi="Times New Roman"/>
          <w:sz w:val="24"/>
          <w:szCs w:val="24"/>
          <w:lang w:val="en-GB"/>
        </w:rPr>
        <w:t xml:space="preserve">, S., Rosati, A., </w:t>
      </w:r>
      <w:proofErr w:type="spellStart"/>
      <w:r w:rsidRPr="008B14A9">
        <w:rPr>
          <w:rFonts w:ascii="Times New Roman" w:hAnsi="Times New Roman"/>
          <w:sz w:val="24"/>
          <w:szCs w:val="24"/>
          <w:lang w:val="en-GB"/>
        </w:rPr>
        <w:t>Bigazzi</w:t>
      </w:r>
      <w:proofErr w:type="spellEnd"/>
      <w:r w:rsidRPr="008B14A9">
        <w:rPr>
          <w:rFonts w:ascii="Times New Roman" w:hAnsi="Times New Roman"/>
          <w:sz w:val="24"/>
          <w:szCs w:val="24"/>
          <w:lang w:val="en-GB"/>
        </w:rPr>
        <w:t xml:space="preserve">, R., </w:t>
      </w:r>
      <w:proofErr w:type="spellStart"/>
      <w:r w:rsidRPr="008B14A9">
        <w:rPr>
          <w:rFonts w:ascii="Times New Roman" w:hAnsi="Times New Roman"/>
          <w:sz w:val="24"/>
          <w:szCs w:val="24"/>
          <w:lang w:val="en-GB"/>
        </w:rPr>
        <w:t>Caprioli</w:t>
      </w:r>
      <w:proofErr w:type="spellEnd"/>
      <w:r w:rsidRPr="008B14A9">
        <w:rPr>
          <w:rFonts w:ascii="Times New Roman" w:hAnsi="Times New Roman"/>
          <w:sz w:val="24"/>
          <w:szCs w:val="24"/>
          <w:lang w:val="en-GB"/>
        </w:rPr>
        <w:t>, R., Fanelli, R., ... &amp; Manzoni, D. (2017). Body mass index, fat free mass, uric acid, and renal function as blood pressure levels determinants in young adults. Nephrology, 22(4), 279-285.</w:t>
      </w:r>
    </w:p>
    <w:p w14:paraId="0BD251B2" w14:textId="77777777" w:rsidR="000634DD" w:rsidRPr="008B14A9" w:rsidRDefault="005317A7" w:rsidP="008B14A9">
      <w:pPr>
        <w:pStyle w:val="NormalWeb"/>
        <w:jc w:val="both"/>
        <w:rPr>
          <w:color w:val="000000"/>
        </w:rPr>
      </w:pPr>
      <w:r w:rsidRPr="008B14A9">
        <w:rPr>
          <w:color w:val="000000"/>
          <w:lang w:val="pt-BR"/>
        </w:rPr>
        <w:t xml:space="preserve">Shirsat, P., Balachandran, M., Chamarthi, V. S., &amp; Sonavane, K. (2025). Obesity and chronic kidney disease: A comprehensive review of mechanisms, impact, and management strategies. Journal of CardioRenal Medicine. </w:t>
      </w:r>
      <w:hyperlink r:id="rId23" w:history="1">
        <w:r w:rsidRPr="008B14A9">
          <w:rPr>
            <w:rStyle w:val="Hyperlink"/>
            <w:lang w:val="pt-BR"/>
          </w:rPr>
          <w:t>https://doi.org/10.3390/jcrm1010004</w:t>
        </w:r>
      </w:hyperlink>
      <w:r w:rsidRPr="008B14A9">
        <w:rPr>
          <w:color w:val="000000"/>
          <w:lang w:val="pt-BR"/>
        </w:rPr>
        <w:t xml:space="preserve"> </w:t>
      </w:r>
    </w:p>
    <w:p w14:paraId="1E94CBB8" w14:textId="77777777" w:rsidR="000634DD" w:rsidRPr="008B14A9" w:rsidRDefault="000634DD" w:rsidP="008B14A9">
      <w:pPr>
        <w:pStyle w:val="NormalWeb"/>
        <w:jc w:val="both"/>
        <w:rPr>
          <w:color w:val="000000"/>
        </w:rPr>
      </w:pPr>
      <w:r w:rsidRPr="008B14A9">
        <w:rPr>
          <w:color w:val="000000"/>
        </w:rPr>
        <w:t xml:space="preserve">Singh Ray, A., Kumar Kare, P., </w:t>
      </w:r>
      <w:proofErr w:type="spellStart"/>
      <w:r w:rsidRPr="008B14A9">
        <w:rPr>
          <w:color w:val="000000"/>
        </w:rPr>
        <w:t>Makwane</w:t>
      </w:r>
      <w:proofErr w:type="spellEnd"/>
      <w:r w:rsidRPr="008B14A9">
        <w:rPr>
          <w:color w:val="000000"/>
        </w:rPr>
        <w:t xml:space="preserve">, H., Saxena, T., &amp; Garg, C. (2020). Estimation of serum creatinine, serum urea, glomerular filtration rate and proteinuria among apparently healthy adults to assess renal impairment and its association with body mass index: An observational hospital-based study. </w:t>
      </w:r>
      <w:r w:rsidRPr="008B14A9">
        <w:rPr>
          <w:rStyle w:val="Emphasis"/>
          <w:color w:val="000000"/>
        </w:rPr>
        <w:t>International Journal of Medical Research &amp; Review, 8</w:t>
      </w:r>
      <w:r w:rsidRPr="008B14A9">
        <w:rPr>
          <w:color w:val="000000"/>
        </w:rPr>
        <w:t xml:space="preserve">(2), 183–188. </w:t>
      </w:r>
      <w:hyperlink r:id="rId24" w:tgtFrame="_new" w:history="1">
        <w:r w:rsidRPr="008B14A9">
          <w:rPr>
            <w:rStyle w:val="Hyperlink"/>
            <w:color w:val="000000"/>
            <w:u w:val="none"/>
          </w:rPr>
          <w:t>https://doi.org/10.17511/ijmrr.2020.i02.09</w:t>
        </w:r>
      </w:hyperlink>
    </w:p>
    <w:p w14:paraId="4D581235" w14:textId="77777777" w:rsidR="000634DD" w:rsidRPr="008B14A9" w:rsidRDefault="00F44B5E" w:rsidP="008B14A9">
      <w:pPr>
        <w:pStyle w:val="NormalWeb"/>
        <w:jc w:val="both"/>
        <w:rPr>
          <w:color w:val="000000"/>
        </w:rPr>
      </w:pPr>
      <w:r w:rsidRPr="008B14A9">
        <w:rPr>
          <w:color w:val="000000"/>
        </w:rPr>
        <w:t xml:space="preserve">So, A., &amp; </w:t>
      </w:r>
      <w:proofErr w:type="spellStart"/>
      <w:r w:rsidRPr="008B14A9">
        <w:rPr>
          <w:color w:val="000000"/>
        </w:rPr>
        <w:t>Thorens</w:t>
      </w:r>
      <w:proofErr w:type="spellEnd"/>
      <w:r w:rsidRPr="008B14A9">
        <w:rPr>
          <w:color w:val="000000"/>
        </w:rPr>
        <w:t xml:space="preserve">, B. (2010). Uric acid transport and disease. Journal of Clinical Investigation, 120(6), 1791–1799. </w:t>
      </w:r>
      <w:hyperlink r:id="rId25" w:history="1">
        <w:r w:rsidRPr="008B14A9">
          <w:rPr>
            <w:rStyle w:val="Hyperlink"/>
          </w:rPr>
          <w:t>https://doi.org/10.1172/JCI42344</w:t>
        </w:r>
      </w:hyperlink>
      <w:r w:rsidRPr="008B14A9">
        <w:rPr>
          <w:color w:val="000000"/>
        </w:rPr>
        <w:t xml:space="preserve"> </w:t>
      </w:r>
    </w:p>
    <w:p w14:paraId="46BF5637" w14:textId="77777777" w:rsidR="000634DD" w:rsidRPr="008B14A9" w:rsidRDefault="00975979" w:rsidP="008B14A9">
      <w:pPr>
        <w:pStyle w:val="NormalWeb"/>
        <w:jc w:val="both"/>
        <w:rPr>
          <w:color w:val="000000"/>
        </w:rPr>
      </w:pPr>
      <w:r w:rsidRPr="008B14A9">
        <w:rPr>
          <w:color w:val="000000"/>
        </w:rPr>
        <w:t xml:space="preserve">Wang, M., Wang, Z., Chen, Y., &amp; Dong, Y. (2022). Kidney damage caused by obesity and its feasible treatment drugs. International Journal of Molecular Sciences </w:t>
      </w:r>
      <w:hyperlink r:id="rId26" w:history="1">
        <w:r w:rsidRPr="008B14A9">
          <w:rPr>
            <w:rStyle w:val="Hyperlink"/>
          </w:rPr>
          <w:t>https://doi.org/10.3390/ijms23020747</w:t>
        </w:r>
      </w:hyperlink>
      <w:r w:rsidRPr="008B14A9">
        <w:rPr>
          <w:color w:val="000000"/>
        </w:rPr>
        <w:t xml:space="preserve"> </w:t>
      </w:r>
    </w:p>
    <w:p w14:paraId="355B6974" w14:textId="77777777" w:rsidR="00D51E69" w:rsidRPr="008B14A9" w:rsidRDefault="00D74066" w:rsidP="008B14A9">
      <w:pPr>
        <w:pStyle w:val="NormalWeb"/>
        <w:jc w:val="both"/>
        <w:rPr>
          <w:color w:val="000000"/>
        </w:rPr>
      </w:pPr>
      <w:proofErr w:type="spellStart"/>
      <w:r w:rsidRPr="008B14A9">
        <w:t>Weatherburn</w:t>
      </w:r>
      <w:proofErr w:type="spellEnd"/>
      <w:r w:rsidRPr="008B14A9">
        <w:t xml:space="preserve">, M. W. (1967). Phenol-hypochlorite reaction for determination of ammonia. Analytical Chemistry </w:t>
      </w:r>
      <w:hyperlink r:id="rId27" w:history="1">
        <w:r w:rsidRPr="008B14A9">
          <w:rPr>
            <w:rStyle w:val="Hyperlink"/>
          </w:rPr>
          <w:t>https://doi.org/10.1021/ac60252a045</w:t>
        </w:r>
      </w:hyperlink>
      <w:r w:rsidRPr="008B14A9">
        <w:t xml:space="preserve"> </w:t>
      </w:r>
    </w:p>
    <w:p w14:paraId="0EE94915" w14:textId="77777777" w:rsidR="000634DD" w:rsidRPr="008B14A9" w:rsidRDefault="00390638" w:rsidP="008B14A9">
      <w:pPr>
        <w:pStyle w:val="NormalWeb"/>
        <w:jc w:val="both"/>
        <w:rPr>
          <w:color w:val="000000"/>
        </w:rPr>
      </w:pPr>
      <w:r w:rsidRPr="008B14A9">
        <w:rPr>
          <w:color w:val="000000"/>
        </w:rPr>
        <w:lastRenderedPageBreak/>
        <w:t xml:space="preserve">World Health Organization. (2024). One in eight people are now living with obesity. </w:t>
      </w:r>
      <w:hyperlink r:id="rId28" w:history="1">
        <w:r w:rsidRPr="008B14A9">
          <w:rPr>
            <w:rStyle w:val="Hyperlink"/>
          </w:rPr>
          <w:t>https://www.who.int/news/item/01-03-2024-one-in-eight-people-are-now-living-with-obesity</w:t>
        </w:r>
      </w:hyperlink>
      <w:r w:rsidRPr="008B14A9">
        <w:rPr>
          <w:color w:val="000000"/>
        </w:rPr>
        <w:t xml:space="preserve"> </w:t>
      </w:r>
    </w:p>
    <w:p w14:paraId="26A5581D" w14:textId="77777777" w:rsidR="000634DD" w:rsidRPr="008B14A9" w:rsidRDefault="005D02B4" w:rsidP="008B14A9">
      <w:pPr>
        <w:pStyle w:val="NormalWeb"/>
        <w:jc w:val="both"/>
        <w:rPr>
          <w:color w:val="000000"/>
        </w:rPr>
      </w:pPr>
      <w:r w:rsidRPr="008B14A9">
        <w:rPr>
          <w:color w:val="000000"/>
        </w:rPr>
        <w:t xml:space="preserve">World Health Organization. (2024). The top 10 causes of death. World Health Organization. </w:t>
      </w:r>
      <w:hyperlink r:id="rId29" w:history="1">
        <w:r w:rsidRPr="008B14A9">
          <w:rPr>
            <w:rStyle w:val="Hyperlink"/>
          </w:rPr>
          <w:t>https://www.who.int/news-room/fact-sheets/detail/the-top-10-causes-of-death</w:t>
        </w:r>
      </w:hyperlink>
      <w:r w:rsidRPr="008B14A9">
        <w:rPr>
          <w:color w:val="000000"/>
        </w:rPr>
        <w:t xml:space="preserve"> </w:t>
      </w:r>
    </w:p>
    <w:p w14:paraId="30320DD4" w14:textId="77777777" w:rsidR="000634DD" w:rsidRPr="008B14A9" w:rsidRDefault="00D9549E" w:rsidP="008B14A9">
      <w:pPr>
        <w:pStyle w:val="NormalWeb"/>
        <w:jc w:val="both"/>
        <w:rPr>
          <w:color w:val="000000"/>
        </w:rPr>
      </w:pPr>
      <w:proofErr w:type="spellStart"/>
      <w:r w:rsidRPr="008B14A9">
        <w:rPr>
          <w:color w:val="000000"/>
        </w:rPr>
        <w:t>Yeganegy</w:t>
      </w:r>
      <w:proofErr w:type="spellEnd"/>
      <w:r w:rsidRPr="008B14A9">
        <w:rPr>
          <w:color w:val="000000"/>
        </w:rPr>
        <w:t xml:space="preserve">, M., Dominguez-Lopez, A., </w:t>
      </w:r>
      <w:proofErr w:type="spellStart"/>
      <w:r w:rsidRPr="008B14A9">
        <w:rPr>
          <w:color w:val="000000"/>
        </w:rPr>
        <w:t>Miliar</w:t>
      </w:r>
      <w:proofErr w:type="spellEnd"/>
      <w:r w:rsidRPr="008B14A9">
        <w:rPr>
          <w:color w:val="000000"/>
        </w:rPr>
        <w:t>-Garcia, A., Guevara-</w:t>
      </w:r>
      <w:proofErr w:type="spellStart"/>
      <w:r w:rsidRPr="008B14A9">
        <w:rPr>
          <w:color w:val="000000"/>
        </w:rPr>
        <w:t>Balcazar</w:t>
      </w:r>
      <w:proofErr w:type="spellEnd"/>
      <w:r w:rsidRPr="008B14A9">
        <w:rPr>
          <w:color w:val="000000"/>
        </w:rPr>
        <w:t xml:space="preserve">, G., &amp; Castillo-Hernandez, M. C. (2025). A review of the literature on obesity-related chronic kidney disease: A molecular description of gene susceptibility to polymorphisms, noncoding RNAs, and pathophysiology. Archives of Medical Science, 21(4), 1130–1140. </w:t>
      </w:r>
      <w:hyperlink r:id="rId30" w:history="1">
        <w:r w:rsidRPr="008B14A9">
          <w:rPr>
            <w:rStyle w:val="Hyperlink"/>
          </w:rPr>
          <w:t>https://doi.org/10.5114/aoms/208192</w:t>
        </w:r>
      </w:hyperlink>
      <w:r w:rsidRPr="008B14A9">
        <w:rPr>
          <w:color w:val="000000"/>
        </w:rPr>
        <w:t xml:space="preserve"> </w:t>
      </w:r>
    </w:p>
    <w:p w14:paraId="0B4947D3" w14:textId="77777777" w:rsidR="000634DD" w:rsidRPr="008B14A9" w:rsidRDefault="002A5D32" w:rsidP="008B14A9">
      <w:pPr>
        <w:pStyle w:val="NormalWeb"/>
        <w:jc w:val="both"/>
        <w:rPr>
          <w:color w:val="000000"/>
        </w:rPr>
      </w:pPr>
      <w:r w:rsidRPr="008B14A9">
        <w:rPr>
          <w:color w:val="000000"/>
        </w:rPr>
        <w:t xml:space="preserve">Jiang, Z., Wang, Y., Zhao, X., Cui, H., Han, M., Ren, X., Gang, X., &amp; Wang, G. (2023). Obesity and chronic kidney disease. American Journal of Physiology–Endocrinology and Metabolism. </w:t>
      </w:r>
      <w:hyperlink r:id="rId31" w:history="1">
        <w:r w:rsidRPr="008B14A9">
          <w:rPr>
            <w:rStyle w:val="Hyperlink"/>
          </w:rPr>
          <w:t>https://doi.org/10.1152/ajpendo.00179.2022</w:t>
        </w:r>
      </w:hyperlink>
      <w:r w:rsidRPr="008B14A9">
        <w:rPr>
          <w:color w:val="000000"/>
        </w:rPr>
        <w:t xml:space="preserve"> </w:t>
      </w:r>
    </w:p>
    <w:p w14:paraId="155519E9" w14:textId="77777777" w:rsidR="000634DD" w:rsidRPr="008B14A9" w:rsidRDefault="000634DD" w:rsidP="008B14A9">
      <w:pPr>
        <w:shd w:val="clear" w:color="auto" w:fill="FFFFFF"/>
        <w:ind w:left="720" w:hanging="720"/>
        <w:jc w:val="both"/>
        <w:rPr>
          <w:rStyle w:val="page"/>
          <w:rFonts w:ascii="Times New Roman" w:hAnsi="Times New Roman"/>
          <w:color w:val="000000"/>
          <w:sz w:val="24"/>
          <w:szCs w:val="24"/>
          <w:shd w:val="clear" w:color="auto" w:fill="FFFFFF"/>
        </w:rPr>
      </w:pPr>
    </w:p>
    <w:sectPr w:rsidR="000634DD" w:rsidRPr="008B14A9">
      <w:headerReference w:type="even" r:id="rId32"/>
      <w:headerReference w:type="default" r:id="rId33"/>
      <w:footerReference w:type="even" r:id="rId34"/>
      <w:footerReference w:type="default" r:id="rId35"/>
      <w:headerReference w:type="first" r:id="rId36"/>
      <w:footerReference w:type="firs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70A45" w14:textId="77777777" w:rsidR="00386B69" w:rsidRDefault="00386B69" w:rsidP="00A76F14">
      <w:r>
        <w:separator/>
      </w:r>
    </w:p>
  </w:endnote>
  <w:endnote w:type="continuationSeparator" w:id="0">
    <w:p w14:paraId="321E8F07" w14:textId="77777777" w:rsidR="00386B69" w:rsidRDefault="00386B69" w:rsidP="00A7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B77B" w14:textId="77777777" w:rsidR="00A76F14" w:rsidRDefault="00A76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DD5F" w14:textId="77777777" w:rsidR="00A76F14" w:rsidRDefault="00A7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E13D" w14:textId="77777777" w:rsidR="00A76F14" w:rsidRDefault="00A7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A700F" w14:textId="77777777" w:rsidR="00386B69" w:rsidRDefault="00386B69" w:rsidP="00A76F14">
      <w:r>
        <w:separator/>
      </w:r>
    </w:p>
  </w:footnote>
  <w:footnote w:type="continuationSeparator" w:id="0">
    <w:p w14:paraId="6301E335" w14:textId="77777777" w:rsidR="00386B69" w:rsidRDefault="00386B69" w:rsidP="00A76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5420" w14:textId="77777777" w:rsidR="00A76F14" w:rsidRDefault="00386B69">
    <w:pPr>
      <w:pStyle w:val="Header"/>
    </w:pPr>
    <w:r>
      <w:rPr>
        <w:noProof/>
      </w:rPr>
      <w:pict w14:anchorId="53FE9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431704" o:spid="_x0000_s2051" type="#_x0000_t136" style="position:absolute;margin-left:0;margin-top:0;width:512.4pt;height:96.6pt;rotation:315;z-index:-251656192;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263B" w14:textId="77777777" w:rsidR="00A76F14" w:rsidRDefault="00386B69">
    <w:pPr>
      <w:pStyle w:val="Header"/>
    </w:pPr>
    <w:r>
      <w:rPr>
        <w:noProof/>
      </w:rPr>
      <w:pict w14:anchorId="576F8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431705" o:spid="_x0000_s2050" type="#_x0000_t136" style="position:absolute;margin-left:0;margin-top:0;width:512.4pt;height:96.6pt;rotation:315;z-index:-251655168;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A8DA" w14:textId="77777777" w:rsidR="00A76F14" w:rsidRDefault="00386B69">
    <w:pPr>
      <w:pStyle w:val="Header"/>
    </w:pPr>
    <w:r>
      <w:rPr>
        <w:noProof/>
      </w:rPr>
      <w:pict w14:anchorId="3046E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431703" o:spid="_x0000_s2049" type="#_x0000_t136" style="position:absolute;margin-left:0;margin-top:0;width:512.4pt;height:96.6pt;rotation:315;z-index:-251657216;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424C0"/>
    <w:multiLevelType w:val="hybridMultilevel"/>
    <w:tmpl w:val="1AC2EA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3D"/>
    <w:rsid w:val="0001034D"/>
    <w:rsid w:val="00014587"/>
    <w:rsid w:val="00043A8D"/>
    <w:rsid w:val="0006011C"/>
    <w:rsid w:val="000634DD"/>
    <w:rsid w:val="00077C1B"/>
    <w:rsid w:val="001003DD"/>
    <w:rsid w:val="0010079C"/>
    <w:rsid w:val="001055C4"/>
    <w:rsid w:val="001056BB"/>
    <w:rsid w:val="00105734"/>
    <w:rsid w:val="001166FB"/>
    <w:rsid w:val="001234EA"/>
    <w:rsid w:val="00126880"/>
    <w:rsid w:val="00160AAF"/>
    <w:rsid w:val="0016556B"/>
    <w:rsid w:val="0017408F"/>
    <w:rsid w:val="001806DB"/>
    <w:rsid w:val="001843D5"/>
    <w:rsid w:val="001A249A"/>
    <w:rsid w:val="001B0CDA"/>
    <w:rsid w:val="001B229D"/>
    <w:rsid w:val="001B562A"/>
    <w:rsid w:val="001D6B70"/>
    <w:rsid w:val="001E1637"/>
    <w:rsid w:val="001E49F4"/>
    <w:rsid w:val="001F7FBD"/>
    <w:rsid w:val="0023198F"/>
    <w:rsid w:val="0025160B"/>
    <w:rsid w:val="002615A2"/>
    <w:rsid w:val="0026712F"/>
    <w:rsid w:val="002822C2"/>
    <w:rsid w:val="00297B27"/>
    <w:rsid w:val="002A5D32"/>
    <w:rsid w:val="002B6E2A"/>
    <w:rsid w:val="002C5C71"/>
    <w:rsid w:val="002C61C4"/>
    <w:rsid w:val="002F5171"/>
    <w:rsid w:val="002F5906"/>
    <w:rsid w:val="00324016"/>
    <w:rsid w:val="00344BC4"/>
    <w:rsid w:val="00360956"/>
    <w:rsid w:val="00370459"/>
    <w:rsid w:val="00386B69"/>
    <w:rsid w:val="00390638"/>
    <w:rsid w:val="003B4B02"/>
    <w:rsid w:val="003E444E"/>
    <w:rsid w:val="003F05F0"/>
    <w:rsid w:val="004020BC"/>
    <w:rsid w:val="0040211F"/>
    <w:rsid w:val="0041026A"/>
    <w:rsid w:val="00415A6A"/>
    <w:rsid w:val="0044655D"/>
    <w:rsid w:val="00447D1C"/>
    <w:rsid w:val="00467046"/>
    <w:rsid w:val="004A6FC1"/>
    <w:rsid w:val="004C0068"/>
    <w:rsid w:val="004F5A87"/>
    <w:rsid w:val="005154AF"/>
    <w:rsid w:val="0052087F"/>
    <w:rsid w:val="005317A7"/>
    <w:rsid w:val="00532864"/>
    <w:rsid w:val="005375D9"/>
    <w:rsid w:val="00552AC3"/>
    <w:rsid w:val="00570F95"/>
    <w:rsid w:val="00575A8E"/>
    <w:rsid w:val="00582D7B"/>
    <w:rsid w:val="0058619F"/>
    <w:rsid w:val="005B0568"/>
    <w:rsid w:val="005B0ECC"/>
    <w:rsid w:val="005B1999"/>
    <w:rsid w:val="005C30A9"/>
    <w:rsid w:val="005D02B4"/>
    <w:rsid w:val="005F71ED"/>
    <w:rsid w:val="00663D93"/>
    <w:rsid w:val="006B1A7A"/>
    <w:rsid w:val="006C24FE"/>
    <w:rsid w:val="006C46D8"/>
    <w:rsid w:val="006F2521"/>
    <w:rsid w:val="006F60C1"/>
    <w:rsid w:val="006F61EF"/>
    <w:rsid w:val="006F7174"/>
    <w:rsid w:val="00714EDA"/>
    <w:rsid w:val="00716824"/>
    <w:rsid w:val="0072389D"/>
    <w:rsid w:val="00736E13"/>
    <w:rsid w:val="00746692"/>
    <w:rsid w:val="0075095D"/>
    <w:rsid w:val="00755F8E"/>
    <w:rsid w:val="007565BB"/>
    <w:rsid w:val="00767D1C"/>
    <w:rsid w:val="00783ACC"/>
    <w:rsid w:val="007A1F63"/>
    <w:rsid w:val="007B7CE2"/>
    <w:rsid w:val="007C56B6"/>
    <w:rsid w:val="007D152D"/>
    <w:rsid w:val="007E4D07"/>
    <w:rsid w:val="008254A5"/>
    <w:rsid w:val="00851D16"/>
    <w:rsid w:val="008550D6"/>
    <w:rsid w:val="008740F0"/>
    <w:rsid w:val="00880B0A"/>
    <w:rsid w:val="00895DFB"/>
    <w:rsid w:val="008A6859"/>
    <w:rsid w:val="008A6E28"/>
    <w:rsid w:val="008B14A9"/>
    <w:rsid w:val="008B4FD5"/>
    <w:rsid w:val="008C4A2B"/>
    <w:rsid w:val="008D3646"/>
    <w:rsid w:val="008E1932"/>
    <w:rsid w:val="008F2493"/>
    <w:rsid w:val="00906B37"/>
    <w:rsid w:val="0092463D"/>
    <w:rsid w:val="00973F48"/>
    <w:rsid w:val="0097470C"/>
    <w:rsid w:val="00975979"/>
    <w:rsid w:val="0097642F"/>
    <w:rsid w:val="009909FD"/>
    <w:rsid w:val="00995E57"/>
    <w:rsid w:val="009A4D10"/>
    <w:rsid w:val="009D5F17"/>
    <w:rsid w:val="009D6AE6"/>
    <w:rsid w:val="00A0423A"/>
    <w:rsid w:val="00A16C69"/>
    <w:rsid w:val="00A23AB0"/>
    <w:rsid w:val="00A340C4"/>
    <w:rsid w:val="00A3768B"/>
    <w:rsid w:val="00A37A07"/>
    <w:rsid w:val="00A66142"/>
    <w:rsid w:val="00A76F14"/>
    <w:rsid w:val="00A92C7D"/>
    <w:rsid w:val="00AA4B9D"/>
    <w:rsid w:val="00AD573B"/>
    <w:rsid w:val="00B07769"/>
    <w:rsid w:val="00B177C8"/>
    <w:rsid w:val="00B42EB2"/>
    <w:rsid w:val="00B45E8C"/>
    <w:rsid w:val="00B71FE0"/>
    <w:rsid w:val="00BC02D0"/>
    <w:rsid w:val="00BE2EEB"/>
    <w:rsid w:val="00BF5F4F"/>
    <w:rsid w:val="00C201C0"/>
    <w:rsid w:val="00C202F4"/>
    <w:rsid w:val="00C32A88"/>
    <w:rsid w:val="00C47CA9"/>
    <w:rsid w:val="00C52B90"/>
    <w:rsid w:val="00C57552"/>
    <w:rsid w:val="00C61080"/>
    <w:rsid w:val="00C7053D"/>
    <w:rsid w:val="00C7314A"/>
    <w:rsid w:val="00C93892"/>
    <w:rsid w:val="00CA16B8"/>
    <w:rsid w:val="00CB712D"/>
    <w:rsid w:val="00CD41FC"/>
    <w:rsid w:val="00CF1B5B"/>
    <w:rsid w:val="00CF5E4C"/>
    <w:rsid w:val="00D42997"/>
    <w:rsid w:val="00D51E69"/>
    <w:rsid w:val="00D71BF4"/>
    <w:rsid w:val="00D74066"/>
    <w:rsid w:val="00D9549E"/>
    <w:rsid w:val="00D97A48"/>
    <w:rsid w:val="00DA65E0"/>
    <w:rsid w:val="00DC58A8"/>
    <w:rsid w:val="00DD6418"/>
    <w:rsid w:val="00DE4AF1"/>
    <w:rsid w:val="00DF3A5E"/>
    <w:rsid w:val="00E31C8F"/>
    <w:rsid w:val="00E438B0"/>
    <w:rsid w:val="00E52848"/>
    <w:rsid w:val="00E612E6"/>
    <w:rsid w:val="00E71EFF"/>
    <w:rsid w:val="00EA5784"/>
    <w:rsid w:val="00EB21A1"/>
    <w:rsid w:val="00EB5A35"/>
    <w:rsid w:val="00EC50FC"/>
    <w:rsid w:val="00F03AB5"/>
    <w:rsid w:val="00F212F8"/>
    <w:rsid w:val="00F234C3"/>
    <w:rsid w:val="00F30233"/>
    <w:rsid w:val="00F35B46"/>
    <w:rsid w:val="00F44B5E"/>
    <w:rsid w:val="00F63537"/>
    <w:rsid w:val="00F75B73"/>
    <w:rsid w:val="00F845D1"/>
    <w:rsid w:val="00FB37FB"/>
    <w:rsid w:val="00FC0BEB"/>
    <w:rsid w:val="00FC6F38"/>
    <w:rsid w:val="00FD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1CC64B"/>
  <w15:chartTrackingRefBased/>
  <w15:docId w15:val="{E7EADB4B-9614-2A4D-B30A-34D79AD6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463D"/>
    <w:rPr>
      <w:rFonts w:ascii="Calibri" w:eastAsia="Calibri" w:hAnsi="Calibri"/>
      <w:lang w:eastAsia="zh-CN"/>
    </w:rPr>
  </w:style>
  <w:style w:type="paragraph" w:styleId="Heading1">
    <w:name w:val="heading 1"/>
    <w:basedOn w:val="Normal"/>
    <w:next w:val="Normal"/>
    <w:qFormat/>
    <w:rsid w:val="0044655D"/>
    <w:pPr>
      <w:keepNext/>
      <w:spacing w:before="240" w:after="60"/>
      <w:outlineLvl w:val="0"/>
    </w:pPr>
    <w:rPr>
      <w:rFonts w:ascii="Arial" w:hAnsi="Arial" w:cs="Arial"/>
      <w:b/>
      <w:bCs/>
      <w:kern w:val="32"/>
      <w:sz w:val="32"/>
      <w:szCs w:val="32"/>
    </w:rPr>
  </w:style>
  <w:style w:type="paragraph" w:styleId="Heading3">
    <w:name w:val="heading 3"/>
    <w:basedOn w:val="Normal"/>
    <w:qFormat/>
    <w:rsid w:val="001166FB"/>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92C7D"/>
    <w:rPr>
      <w:i/>
      <w:iCs/>
    </w:rPr>
  </w:style>
  <w:style w:type="paragraph" w:styleId="NormalWeb">
    <w:name w:val="Normal (Web)"/>
    <w:basedOn w:val="Normal"/>
    <w:rsid w:val="008740F0"/>
    <w:pPr>
      <w:spacing w:before="100" w:beforeAutospacing="1" w:after="100" w:afterAutospacing="1"/>
    </w:pPr>
    <w:rPr>
      <w:rFonts w:ascii="Times New Roman" w:eastAsia="Times New Roman" w:hAnsi="Times New Roman"/>
      <w:sz w:val="24"/>
      <w:szCs w:val="24"/>
      <w:lang w:eastAsia="en-US"/>
    </w:rPr>
  </w:style>
  <w:style w:type="character" w:styleId="Strong">
    <w:name w:val="Strong"/>
    <w:qFormat/>
    <w:rsid w:val="006F2521"/>
    <w:rPr>
      <w:rFonts w:cs="Times New Roman"/>
      <w:b/>
      <w:bCs/>
    </w:rPr>
  </w:style>
  <w:style w:type="character" w:styleId="Hyperlink">
    <w:name w:val="Hyperlink"/>
    <w:rsid w:val="00B71FE0"/>
    <w:rPr>
      <w:color w:val="0000FF"/>
      <w:u w:val="single"/>
    </w:rPr>
  </w:style>
  <w:style w:type="character" w:customStyle="1" w:styleId="html-reference">
    <w:name w:val="html-reference"/>
    <w:basedOn w:val="DefaultParagraphFont"/>
    <w:rsid w:val="0026712F"/>
  </w:style>
  <w:style w:type="character" w:customStyle="1" w:styleId="nlmstring-name">
    <w:name w:val="nlm_string-name"/>
    <w:basedOn w:val="DefaultParagraphFont"/>
    <w:rsid w:val="001003DD"/>
  </w:style>
  <w:style w:type="character" w:customStyle="1" w:styleId="page">
    <w:name w:val="page"/>
    <w:basedOn w:val="DefaultParagraphFont"/>
    <w:rsid w:val="000634DD"/>
  </w:style>
  <w:style w:type="paragraph" w:customStyle="1" w:styleId="Default">
    <w:name w:val="Default"/>
    <w:rsid w:val="00755F8E"/>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746692"/>
    <w:rPr>
      <w:color w:val="605E5C"/>
      <w:shd w:val="clear" w:color="auto" w:fill="E1DFDD"/>
    </w:rPr>
  </w:style>
  <w:style w:type="paragraph" w:styleId="Header">
    <w:name w:val="header"/>
    <w:basedOn w:val="Normal"/>
    <w:link w:val="HeaderChar"/>
    <w:rsid w:val="00A76F14"/>
    <w:pPr>
      <w:tabs>
        <w:tab w:val="center" w:pos="4680"/>
        <w:tab w:val="right" w:pos="9360"/>
      </w:tabs>
    </w:pPr>
  </w:style>
  <w:style w:type="character" w:customStyle="1" w:styleId="HeaderChar">
    <w:name w:val="Header Char"/>
    <w:link w:val="Header"/>
    <w:rsid w:val="00A76F14"/>
    <w:rPr>
      <w:rFonts w:ascii="Calibri" w:eastAsia="Calibri" w:hAnsi="Calibri"/>
      <w:lang w:eastAsia="zh-CN"/>
    </w:rPr>
  </w:style>
  <w:style w:type="paragraph" w:styleId="Footer">
    <w:name w:val="footer"/>
    <w:basedOn w:val="Normal"/>
    <w:link w:val="FooterChar"/>
    <w:rsid w:val="00A76F14"/>
    <w:pPr>
      <w:tabs>
        <w:tab w:val="center" w:pos="4680"/>
        <w:tab w:val="right" w:pos="9360"/>
      </w:tabs>
    </w:pPr>
  </w:style>
  <w:style w:type="character" w:customStyle="1" w:styleId="FooterChar">
    <w:name w:val="Footer Char"/>
    <w:link w:val="Footer"/>
    <w:rsid w:val="00A76F14"/>
    <w:rPr>
      <w:rFonts w:ascii="Calibri" w:eastAsia="Calibri" w:hAnsi="Calibri"/>
      <w:lang w:eastAsia="zh-CN"/>
    </w:rPr>
  </w:style>
  <w:style w:type="character" w:styleId="CommentReference">
    <w:name w:val="annotation reference"/>
    <w:rsid w:val="005B0568"/>
    <w:rPr>
      <w:sz w:val="16"/>
      <w:szCs w:val="16"/>
    </w:rPr>
  </w:style>
  <w:style w:type="paragraph" w:styleId="CommentText">
    <w:name w:val="annotation text"/>
    <w:basedOn w:val="Normal"/>
    <w:link w:val="CommentTextChar"/>
    <w:rsid w:val="005B0568"/>
  </w:style>
  <w:style w:type="character" w:customStyle="1" w:styleId="CommentTextChar">
    <w:name w:val="Comment Text Char"/>
    <w:link w:val="CommentText"/>
    <w:rsid w:val="005B0568"/>
    <w:rPr>
      <w:rFonts w:ascii="Calibri" w:eastAsia="Calibri" w:hAnsi="Calibri"/>
      <w:lang w:val="en-US" w:eastAsia="zh-CN"/>
    </w:rPr>
  </w:style>
  <w:style w:type="paragraph" w:styleId="CommentSubject">
    <w:name w:val="annotation subject"/>
    <w:basedOn w:val="CommentText"/>
    <w:next w:val="CommentText"/>
    <w:link w:val="CommentSubjectChar"/>
    <w:rsid w:val="005B0568"/>
    <w:rPr>
      <w:b/>
      <w:bCs/>
    </w:rPr>
  </w:style>
  <w:style w:type="character" w:customStyle="1" w:styleId="CommentSubjectChar">
    <w:name w:val="Comment Subject Char"/>
    <w:link w:val="CommentSubject"/>
    <w:rsid w:val="005B0568"/>
    <w:rPr>
      <w:rFonts w:ascii="Calibri" w:eastAsia="Calibri" w:hAnsi="Calibri"/>
      <w:b/>
      <w:bCs/>
      <w:lang w:val="en-US" w:eastAsia="zh-CN"/>
    </w:rPr>
  </w:style>
  <w:style w:type="paragraph" w:styleId="Revision">
    <w:name w:val="Revision"/>
    <w:hidden/>
    <w:uiPriority w:val="99"/>
    <w:semiHidden/>
    <w:rsid w:val="005B0568"/>
    <w:rPr>
      <w:rFonts w:ascii="Calibri" w:eastAsia="Calibri" w:hAnsi="Calibri"/>
      <w:lang w:eastAsia="zh-CN"/>
    </w:rPr>
  </w:style>
  <w:style w:type="paragraph" w:styleId="BalloonText">
    <w:name w:val="Balloon Text"/>
    <w:basedOn w:val="Normal"/>
    <w:link w:val="BalloonTextChar"/>
    <w:rsid w:val="00C61080"/>
    <w:rPr>
      <w:rFonts w:ascii="Segoe UI" w:hAnsi="Segoe UI" w:cs="Segoe UI"/>
      <w:sz w:val="18"/>
      <w:szCs w:val="18"/>
    </w:rPr>
  </w:style>
  <w:style w:type="character" w:customStyle="1" w:styleId="BalloonTextChar">
    <w:name w:val="Balloon Text Char"/>
    <w:link w:val="BalloonText"/>
    <w:rsid w:val="00C61080"/>
    <w:rPr>
      <w:rFonts w:ascii="Segoe UI" w:eastAsia="Calibri" w:hAnsi="Segoe UI" w:cs="Segoe UI"/>
      <w:sz w:val="18"/>
      <w:szCs w:val="18"/>
      <w:lang w:val="en-US" w:eastAsia="zh-CN"/>
    </w:rPr>
  </w:style>
  <w:style w:type="paragraph" w:styleId="NoSpacing">
    <w:name w:val="No Spacing"/>
    <w:uiPriority w:val="1"/>
    <w:qFormat/>
    <w:rsid w:val="007565B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7466">
      <w:bodyDiv w:val="1"/>
      <w:marLeft w:val="0"/>
      <w:marRight w:val="0"/>
      <w:marTop w:val="0"/>
      <w:marBottom w:val="0"/>
      <w:divBdr>
        <w:top w:val="none" w:sz="0" w:space="0" w:color="auto"/>
        <w:left w:val="none" w:sz="0" w:space="0" w:color="auto"/>
        <w:bottom w:val="none" w:sz="0" w:space="0" w:color="auto"/>
        <w:right w:val="none" w:sz="0" w:space="0" w:color="auto"/>
      </w:divBdr>
    </w:div>
    <w:div w:id="878861899">
      <w:bodyDiv w:val="1"/>
      <w:marLeft w:val="0"/>
      <w:marRight w:val="0"/>
      <w:marTop w:val="0"/>
      <w:marBottom w:val="0"/>
      <w:divBdr>
        <w:top w:val="none" w:sz="0" w:space="0" w:color="auto"/>
        <w:left w:val="none" w:sz="0" w:space="0" w:color="auto"/>
        <w:bottom w:val="none" w:sz="0" w:space="0" w:color="auto"/>
        <w:right w:val="none" w:sz="0" w:space="0" w:color="auto"/>
      </w:divBdr>
    </w:div>
    <w:div w:id="972563396">
      <w:bodyDiv w:val="1"/>
      <w:marLeft w:val="0"/>
      <w:marRight w:val="0"/>
      <w:marTop w:val="0"/>
      <w:marBottom w:val="0"/>
      <w:divBdr>
        <w:top w:val="none" w:sz="0" w:space="0" w:color="auto"/>
        <w:left w:val="none" w:sz="0" w:space="0" w:color="auto"/>
        <w:bottom w:val="none" w:sz="0" w:space="0" w:color="auto"/>
        <w:right w:val="none" w:sz="0" w:space="0" w:color="auto"/>
      </w:divBdr>
    </w:div>
    <w:div w:id="1108962695">
      <w:bodyDiv w:val="1"/>
      <w:marLeft w:val="0"/>
      <w:marRight w:val="0"/>
      <w:marTop w:val="0"/>
      <w:marBottom w:val="0"/>
      <w:divBdr>
        <w:top w:val="none" w:sz="0" w:space="0" w:color="auto"/>
        <w:left w:val="none" w:sz="0" w:space="0" w:color="auto"/>
        <w:bottom w:val="none" w:sz="0" w:space="0" w:color="auto"/>
        <w:right w:val="none" w:sz="0" w:space="0" w:color="auto"/>
      </w:divBdr>
    </w:div>
    <w:div w:id="1155343298">
      <w:bodyDiv w:val="1"/>
      <w:marLeft w:val="0"/>
      <w:marRight w:val="0"/>
      <w:marTop w:val="0"/>
      <w:marBottom w:val="0"/>
      <w:divBdr>
        <w:top w:val="none" w:sz="0" w:space="0" w:color="auto"/>
        <w:left w:val="none" w:sz="0" w:space="0" w:color="auto"/>
        <w:bottom w:val="none" w:sz="0" w:space="0" w:color="auto"/>
        <w:right w:val="none" w:sz="0" w:space="0" w:color="auto"/>
      </w:divBdr>
    </w:div>
    <w:div w:id="1219853597">
      <w:bodyDiv w:val="1"/>
      <w:marLeft w:val="0"/>
      <w:marRight w:val="0"/>
      <w:marTop w:val="0"/>
      <w:marBottom w:val="0"/>
      <w:divBdr>
        <w:top w:val="none" w:sz="0" w:space="0" w:color="auto"/>
        <w:left w:val="none" w:sz="0" w:space="0" w:color="auto"/>
        <w:bottom w:val="none" w:sz="0" w:space="0" w:color="auto"/>
        <w:right w:val="none" w:sz="0" w:space="0" w:color="auto"/>
      </w:divBdr>
    </w:div>
    <w:div w:id="1300695319">
      <w:bodyDiv w:val="1"/>
      <w:marLeft w:val="0"/>
      <w:marRight w:val="0"/>
      <w:marTop w:val="0"/>
      <w:marBottom w:val="0"/>
      <w:divBdr>
        <w:top w:val="none" w:sz="0" w:space="0" w:color="auto"/>
        <w:left w:val="none" w:sz="0" w:space="0" w:color="auto"/>
        <w:bottom w:val="none" w:sz="0" w:space="0" w:color="auto"/>
        <w:right w:val="none" w:sz="0" w:space="0" w:color="auto"/>
      </w:divBdr>
    </w:div>
    <w:div w:id="13119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21-9258(19)51334-5" TargetMode="External"/><Relationship Id="rId18" Type="http://schemas.openxmlformats.org/officeDocument/2006/relationships/hyperlink" Target="https://doi.org/10.30574/wjarr.2023.19.1.1342" TargetMode="External"/><Relationship Id="rId26" Type="http://schemas.openxmlformats.org/officeDocument/2006/relationships/hyperlink" Target="https://doi.org/10.3390/ijms23020747" TargetMode="External"/><Relationship Id="rId39" Type="http://schemas.openxmlformats.org/officeDocument/2006/relationships/theme" Target="theme/theme1.xml"/><Relationship Id="rId21" Type="http://schemas.openxmlformats.org/officeDocument/2006/relationships/hyperlink" Target="https://doi.org/10.4274/jcrpe.galenos.2018.2018.0046" TargetMode="External"/><Relationship Id="rId34" Type="http://schemas.openxmlformats.org/officeDocument/2006/relationships/footer" Target="footer1.xml"/><Relationship Id="rId7" Type="http://schemas.openxmlformats.org/officeDocument/2006/relationships/hyperlink" Target="https://www.sciencedirect.com/topics/medicine-and-dentistry/caloric-intake" TargetMode="External"/><Relationship Id="rId12" Type="http://schemas.openxmlformats.org/officeDocument/2006/relationships/hyperlink" Target="https://doi.org/10.1053/j.ackd.2012.07.009" TargetMode="External"/><Relationship Id="rId17" Type="http://schemas.openxmlformats.org/officeDocument/2006/relationships/hyperlink" Target="https://www.ncbi.nlm.nih.gov/books/NBK507807/" TargetMode="External"/><Relationship Id="rId25" Type="http://schemas.openxmlformats.org/officeDocument/2006/relationships/hyperlink" Target="https://doi.org/10.1172/JCI4234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61/CIRCRESAHA.116.305697" TargetMode="External"/><Relationship Id="rId20" Type="http://schemas.openxmlformats.org/officeDocument/2006/relationships/hyperlink" Target="https://pubmed.ncbi.nlm.nih.gov/34711999/" TargetMode="External"/><Relationship Id="rId29" Type="http://schemas.openxmlformats.org/officeDocument/2006/relationships/hyperlink" Target="https://www.who.int/news-room/fact-sheets/detail/the-top-10-causes-of-dea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jim.2011.11.013" TargetMode="External"/><Relationship Id="rId24" Type="http://schemas.openxmlformats.org/officeDocument/2006/relationships/hyperlink" Target="https://doi.org/10.17511/ijmrr.2020.i02.0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lsevier.com/books/guyton-and-hall-textbook-of-medical-physiology/hall/978-0-323-59712-8" TargetMode="External"/><Relationship Id="rId23" Type="http://schemas.openxmlformats.org/officeDocument/2006/relationships/hyperlink" Target="https://doi.org/10.3390/jcrm1010004" TargetMode="External"/><Relationship Id="rId28" Type="http://schemas.openxmlformats.org/officeDocument/2006/relationships/hyperlink" Target="https://www.who.int/news/item/01-03-2024-one-in-eight-people-are-now-living-with-obesity" TargetMode="External"/><Relationship Id="rId36" Type="http://schemas.openxmlformats.org/officeDocument/2006/relationships/header" Target="header3.xml"/><Relationship Id="rId10" Type="http://schemas.openxmlformats.org/officeDocument/2006/relationships/hyperlink" Target="https://doi.org/10.4103/1319-2442.261339" TargetMode="External"/><Relationship Id="rId19" Type="http://schemas.openxmlformats.org/officeDocument/2006/relationships/hyperlink" Target="https://doi.org/10.2147/DMSO.S286299" TargetMode="External"/><Relationship Id="rId31" Type="http://schemas.openxmlformats.org/officeDocument/2006/relationships/hyperlink" Target="https://doi.org/10.1152/ajpendo.00179.2022" TargetMode="External"/><Relationship Id="rId4" Type="http://schemas.openxmlformats.org/officeDocument/2006/relationships/webSettings" Target="webSettings.xml"/><Relationship Id="rId9" Type="http://schemas.openxmlformats.org/officeDocument/2006/relationships/hyperlink" Target="https://doi.org/10.4103/njcp.njcp_225_24" TargetMode="External"/><Relationship Id="rId14" Type="http://schemas.openxmlformats.org/officeDocument/2006/relationships/hyperlink" Target="https://www.ncbi.nlm.nih.gov/books/NBK470410/" TargetMode="External"/><Relationship Id="rId22" Type="http://schemas.openxmlformats.org/officeDocument/2006/relationships/hyperlink" Target="https://doi.org/10.7717/peerj.19556" TargetMode="External"/><Relationship Id="rId27" Type="http://schemas.openxmlformats.org/officeDocument/2006/relationships/hyperlink" Target="https://doi.org/10.1021/ac60252a045" TargetMode="External"/><Relationship Id="rId30" Type="http://schemas.openxmlformats.org/officeDocument/2006/relationships/hyperlink" Target="https://doi.org/10.5114/aoms/208192" TargetMode="External"/><Relationship Id="rId35" Type="http://schemas.openxmlformats.org/officeDocument/2006/relationships/footer" Target="footer2.xml"/><Relationship Id="rId8" Type="http://schemas.openxmlformats.org/officeDocument/2006/relationships/hyperlink" Target="https://doi.org/10.1016/j.metop.2025.10037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5403</Words>
  <Characters>30800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Evaluation of Renal Function Indices of Overweight and Obese Subjects among Joseph Ayo Babalola University Students, Ikeji-Arakeji, Osun State</vt:lpstr>
    </vt:vector>
  </TitlesOfParts>
  <Company>Hewlett-Packard</Company>
  <LinksUpToDate>false</LinksUpToDate>
  <CharactersWithSpaces>36131</CharactersWithSpaces>
  <SharedDoc>false</SharedDoc>
  <HLinks>
    <vt:vector size="204" baseType="variant">
      <vt:variant>
        <vt:i4>7864433</vt:i4>
      </vt:variant>
      <vt:variant>
        <vt:i4>99</vt:i4>
      </vt:variant>
      <vt:variant>
        <vt:i4>0</vt:i4>
      </vt:variant>
      <vt:variant>
        <vt:i4>5</vt:i4>
      </vt:variant>
      <vt:variant>
        <vt:lpwstr>https://doi.org/10.1152/ajpendo.00179.2022</vt:lpwstr>
      </vt:variant>
      <vt:variant>
        <vt:lpwstr/>
      </vt:variant>
      <vt:variant>
        <vt:i4>3735677</vt:i4>
      </vt:variant>
      <vt:variant>
        <vt:i4>96</vt:i4>
      </vt:variant>
      <vt:variant>
        <vt:i4>0</vt:i4>
      </vt:variant>
      <vt:variant>
        <vt:i4>5</vt:i4>
      </vt:variant>
      <vt:variant>
        <vt:lpwstr>https://doi.org/10.5114/aoms/208192</vt:lpwstr>
      </vt:variant>
      <vt:variant>
        <vt:lpwstr/>
      </vt:variant>
      <vt:variant>
        <vt:i4>6291577</vt:i4>
      </vt:variant>
      <vt:variant>
        <vt:i4>93</vt:i4>
      </vt:variant>
      <vt:variant>
        <vt:i4>0</vt:i4>
      </vt:variant>
      <vt:variant>
        <vt:i4>5</vt:i4>
      </vt:variant>
      <vt:variant>
        <vt:lpwstr>https://www.who.int/news-room/fact-sheets/detail/the-top-10-causes-of-death</vt:lpwstr>
      </vt:variant>
      <vt:variant>
        <vt:lpwstr/>
      </vt:variant>
      <vt:variant>
        <vt:i4>2031709</vt:i4>
      </vt:variant>
      <vt:variant>
        <vt:i4>90</vt:i4>
      </vt:variant>
      <vt:variant>
        <vt:i4>0</vt:i4>
      </vt:variant>
      <vt:variant>
        <vt:i4>5</vt:i4>
      </vt:variant>
      <vt:variant>
        <vt:lpwstr>https://www.who.int/news/item/01-03-2024-one-in-eight-people-are-now-living-with-obesity</vt:lpwstr>
      </vt:variant>
      <vt:variant>
        <vt:lpwstr/>
      </vt:variant>
      <vt:variant>
        <vt:i4>2228284</vt:i4>
      </vt:variant>
      <vt:variant>
        <vt:i4>87</vt:i4>
      </vt:variant>
      <vt:variant>
        <vt:i4>0</vt:i4>
      </vt:variant>
      <vt:variant>
        <vt:i4>5</vt:i4>
      </vt:variant>
      <vt:variant>
        <vt:lpwstr>https://doi.org/10.1021/ac60252a045</vt:lpwstr>
      </vt:variant>
      <vt:variant>
        <vt:lpwstr/>
      </vt:variant>
      <vt:variant>
        <vt:i4>91</vt:i4>
      </vt:variant>
      <vt:variant>
        <vt:i4>84</vt:i4>
      </vt:variant>
      <vt:variant>
        <vt:i4>0</vt:i4>
      </vt:variant>
      <vt:variant>
        <vt:i4>5</vt:i4>
      </vt:variant>
      <vt:variant>
        <vt:lpwstr>https://doi.org/10.3390/ijms23020747</vt:lpwstr>
      </vt:variant>
      <vt:variant>
        <vt:lpwstr/>
      </vt:variant>
      <vt:variant>
        <vt:i4>4456540</vt:i4>
      </vt:variant>
      <vt:variant>
        <vt:i4>81</vt:i4>
      </vt:variant>
      <vt:variant>
        <vt:i4>0</vt:i4>
      </vt:variant>
      <vt:variant>
        <vt:i4>5</vt:i4>
      </vt:variant>
      <vt:variant>
        <vt:lpwstr>https://doi.org/10.1172/JCI42344</vt:lpwstr>
      </vt:variant>
      <vt:variant>
        <vt:lpwstr/>
      </vt:variant>
      <vt:variant>
        <vt:i4>7798830</vt:i4>
      </vt:variant>
      <vt:variant>
        <vt:i4>78</vt:i4>
      </vt:variant>
      <vt:variant>
        <vt:i4>0</vt:i4>
      </vt:variant>
      <vt:variant>
        <vt:i4>5</vt:i4>
      </vt:variant>
      <vt:variant>
        <vt:lpwstr>https://doi.org/10.17511/ijmrr.2020.i02.09</vt:lpwstr>
      </vt:variant>
      <vt:variant>
        <vt:lpwstr/>
      </vt:variant>
      <vt:variant>
        <vt:i4>2490481</vt:i4>
      </vt:variant>
      <vt:variant>
        <vt:i4>75</vt:i4>
      </vt:variant>
      <vt:variant>
        <vt:i4>0</vt:i4>
      </vt:variant>
      <vt:variant>
        <vt:i4>5</vt:i4>
      </vt:variant>
      <vt:variant>
        <vt:lpwstr>https://doi.org/10.3390/jcrm1010004</vt:lpwstr>
      </vt:variant>
      <vt:variant>
        <vt:lpwstr/>
      </vt:variant>
      <vt:variant>
        <vt:i4>2162721</vt:i4>
      </vt:variant>
      <vt:variant>
        <vt:i4>72</vt:i4>
      </vt:variant>
      <vt:variant>
        <vt:i4>0</vt:i4>
      </vt:variant>
      <vt:variant>
        <vt:i4>5</vt:i4>
      </vt:variant>
      <vt:variant>
        <vt:lpwstr>https://doi.org/10.7717/peerj.19556</vt:lpwstr>
      </vt:variant>
      <vt:variant>
        <vt:lpwstr/>
      </vt:variant>
      <vt:variant>
        <vt:i4>6553712</vt:i4>
      </vt:variant>
      <vt:variant>
        <vt:i4>69</vt:i4>
      </vt:variant>
      <vt:variant>
        <vt:i4>0</vt:i4>
      </vt:variant>
      <vt:variant>
        <vt:i4>5</vt:i4>
      </vt:variant>
      <vt:variant>
        <vt:lpwstr>https://doi.org/10.1093/ckj/sfad282</vt:lpwstr>
      </vt:variant>
      <vt:variant>
        <vt:lpwstr/>
      </vt:variant>
      <vt:variant>
        <vt:i4>4849686</vt:i4>
      </vt:variant>
      <vt:variant>
        <vt:i4>66</vt:i4>
      </vt:variant>
      <vt:variant>
        <vt:i4>0</vt:i4>
      </vt:variant>
      <vt:variant>
        <vt:i4>5</vt:i4>
      </vt:variant>
      <vt:variant>
        <vt:lpwstr>https://doi.org/10.4274/jcrpe.galenos.2018.2018.0046</vt:lpwstr>
      </vt:variant>
      <vt:variant>
        <vt:lpwstr/>
      </vt:variant>
      <vt:variant>
        <vt:i4>983051</vt:i4>
      </vt:variant>
      <vt:variant>
        <vt:i4>63</vt:i4>
      </vt:variant>
      <vt:variant>
        <vt:i4>0</vt:i4>
      </vt:variant>
      <vt:variant>
        <vt:i4>5</vt:i4>
      </vt:variant>
      <vt:variant>
        <vt:lpwstr>https://pubmed.ncbi.nlm.nih.gov/34711999/</vt:lpwstr>
      </vt:variant>
      <vt:variant>
        <vt:lpwstr/>
      </vt:variant>
      <vt:variant>
        <vt:i4>1507408</vt:i4>
      </vt:variant>
      <vt:variant>
        <vt:i4>60</vt:i4>
      </vt:variant>
      <vt:variant>
        <vt:i4>0</vt:i4>
      </vt:variant>
      <vt:variant>
        <vt:i4>5</vt:i4>
      </vt:variant>
      <vt:variant>
        <vt:lpwstr>https://doi.org/10.1177/0394632016643550</vt:lpwstr>
      </vt:variant>
      <vt:variant>
        <vt:lpwstr/>
      </vt:variant>
      <vt:variant>
        <vt:i4>5636184</vt:i4>
      </vt:variant>
      <vt:variant>
        <vt:i4>57</vt:i4>
      </vt:variant>
      <vt:variant>
        <vt:i4>0</vt:i4>
      </vt:variant>
      <vt:variant>
        <vt:i4>5</vt:i4>
      </vt:variant>
      <vt:variant>
        <vt:lpwstr>https://doi.org/10.2147/DMSO.S286299</vt:lpwstr>
      </vt:variant>
      <vt:variant>
        <vt:lpwstr/>
      </vt:variant>
      <vt:variant>
        <vt:i4>6619191</vt:i4>
      </vt:variant>
      <vt:variant>
        <vt:i4>54</vt:i4>
      </vt:variant>
      <vt:variant>
        <vt:i4>0</vt:i4>
      </vt:variant>
      <vt:variant>
        <vt:i4>5</vt:i4>
      </vt:variant>
      <vt:variant>
        <vt:lpwstr>https://doi.org/10.1007/s13679-023-00527-y</vt:lpwstr>
      </vt:variant>
      <vt:variant>
        <vt:lpwstr/>
      </vt:variant>
      <vt:variant>
        <vt:i4>4718661</vt:i4>
      </vt:variant>
      <vt:variant>
        <vt:i4>51</vt:i4>
      </vt:variant>
      <vt:variant>
        <vt:i4>0</vt:i4>
      </vt:variant>
      <vt:variant>
        <vt:i4>5</vt:i4>
      </vt:variant>
      <vt:variant>
        <vt:lpwstr>https://doi.org/10.30574/wjarr.2023.19.1.1342</vt:lpwstr>
      </vt:variant>
      <vt:variant>
        <vt:lpwstr/>
      </vt:variant>
      <vt:variant>
        <vt:i4>1179740</vt:i4>
      </vt:variant>
      <vt:variant>
        <vt:i4>48</vt:i4>
      </vt:variant>
      <vt:variant>
        <vt:i4>0</vt:i4>
      </vt:variant>
      <vt:variant>
        <vt:i4>5</vt:i4>
      </vt:variant>
      <vt:variant>
        <vt:lpwstr>https://www.ncbi.nlm.nih.gov/books/NBK507807/</vt:lpwstr>
      </vt:variant>
      <vt:variant>
        <vt:lpwstr/>
      </vt:variant>
      <vt:variant>
        <vt:i4>4325397</vt:i4>
      </vt:variant>
      <vt:variant>
        <vt:i4>45</vt:i4>
      </vt:variant>
      <vt:variant>
        <vt:i4>0</vt:i4>
      </vt:variant>
      <vt:variant>
        <vt:i4>5</vt:i4>
      </vt:variant>
      <vt:variant>
        <vt:lpwstr>https://doi.org/10.1161/CIRCRESAHA.116.305697</vt:lpwstr>
      </vt:variant>
      <vt:variant>
        <vt:lpwstr/>
      </vt:variant>
      <vt:variant>
        <vt:i4>262160</vt:i4>
      </vt:variant>
      <vt:variant>
        <vt:i4>42</vt:i4>
      </vt:variant>
      <vt:variant>
        <vt:i4>0</vt:i4>
      </vt:variant>
      <vt:variant>
        <vt:i4>5</vt:i4>
      </vt:variant>
      <vt:variant>
        <vt:lpwstr>https://www.elsevier.com/books/guyton-and-hall-textbook-of-medical-physiology/hall/978-0-323-59712-8</vt:lpwstr>
      </vt:variant>
      <vt:variant>
        <vt:lpwstr/>
      </vt:variant>
      <vt:variant>
        <vt:i4>4259869</vt:i4>
      </vt:variant>
      <vt:variant>
        <vt:i4>39</vt:i4>
      </vt:variant>
      <vt:variant>
        <vt:i4>0</vt:i4>
      </vt:variant>
      <vt:variant>
        <vt:i4>5</vt:i4>
      </vt:variant>
      <vt:variant>
        <vt:lpwstr>https://doi.org/10.20960/nh.02651</vt:lpwstr>
      </vt:variant>
      <vt:variant>
        <vt:lpwstr/>
      </vt:variant>
      <vt:variant>
        <vt:i4>1966171</vt:i4>
      </vt:variant>
      <vt:variant>
        <vt:i4>36</vt:i4>
      </vt:variant>
      <vt:variant>
        <vt:i4>0</vt:i4>
      </vt:variant>
      <vt:variant>
        <vt:i4>5</vt:i4>
      </vt:variant>
      <vt:variant>
        <vt:lpwstr>https://www.ncbi.nlm.nih.gov/books/NBK470410/</vt:lpwstr>
      </vt:variant>
      <vt:variant>
        <vt:lpwstr/>
      </vt:variant>
      <vt:variant>
        <vt:i4>1900620</vt:i4>
      </vt:variant>
      <vt:variant>
        <vt:i4>33</vt:i4>
      </vt:variant>
      <vt:variant>
        <vt:i4>0</vt:i4>
      </vt:variant>
      <vt:variant>
        <vt:i4>5</vt:i4>
      </vt:variant>
      <vt:variant>
        <vt:lpwstr>https://doi.org/10.1093/clinchem/26.2.227</vt:lpwstr>
      </vt:variant>
      <vt:variant>
        <vt:lpwstr/>
      </vt:variant>
      <vt:variant>
        <vt:i4>1376287</vt:i4>
      </vt:variant>
      <vt:variant>
        <vt:i4>30</vt:i4>
      </vt:variant>
      <vt:variant>
        <vt:i4>0</vt:i4>
      </vt:variant>
      <vt:variant>
        <vt:i4>5</vt:i4>
      </vt:variant>
      <vt:variant>
        <vt:lpwstr>https://doi.org/10.5527/wjn.v3.i3.50</vt:lpwstr>
      </vt:variant>
      <vt:variant>
        <vt:lpwstr/>
      </vt:variant>
      <vt:variant>
        <vt:i4>1</vt:i4>
      </vt:variant>
      <vt:variant>
        <vt:i4>27</vt:i4>
      </vt:variant>
      <vt:variant>
        <vt:i4>0</vt:i4>
      </vt:variant>
      <vt:variant>
        <vt:i4>5</vt:i4>
      </vt:variant>
      <vt:variant>
        <vt:lpwstr>https://doi.org/10.1016/S0021-9258(19)51334-5</vt:lpwstr>
      </vt:variant>
      <vt:variant>
        <vt:lpwstr/>
      </vt:variant>
      <vt:variant>
        <vt:i4>2883643</vt:i4>
      </vt:variant>
      <vt:variant>
        <vt:i4>24</vt:i4>
      </vt:variant>
      <vt:variant>
        <vt:i4>0</vt:i4>
      </vt:variant>
      <vt:variant>
        <vt:i4>5</vt:i4>
      </vt:variant>
      <vt:variant>
        <vt:lpwstr>https://doi.org/10.1053/j.ackd.2012.07.009</vt:lpwstr>
      </vt:variant>
      <vt:variant>
        <vt:lpwstr/>
      </vt:variant>
      <vt:variant>
        <vt:i4>7077951</vt:i4>
      </vt:variant>
      <vt:variant>
        <vt:i4>21</vt:i4>
      </vt:variant>
      <vt:variant>
        <vt:i4>0</vt:i4>
      </vt:variant>
      <vt:variant>
        <vt:i4>5</vt:i4>
      </vt:variant>
      <vt:variant>
        <vt:lpwstr>https://doi.org/10.3390/nu15020395</vt:lpwstr>
      </vt:variant>
      <vt:variant>
        <vt:lpwstr/>
      </vt:variant>
      <vt:variant>
        <vt:i4>2359355</vt:i4>
      </vt:variant>
      <vt:variant>
        <vt:i4>18</vt:i4>
      </vt:variant>
      <vt:variant>
        <vt:i4>0</vt:i4>
      </vt:variant>
      <vt:variant>
        <vt:i4>5</vt:i4>
      </vt:variant>
      <vt:variant>
        <vt:lpwstr>https://doi.org/10.1016/j.ejim.2011.11.013</vt:lpwstr>
      </vt:variant>
      <vt:variant>
        <vt:lpwstr/>
      </vt:variant>
      <vt:variant>
        <vt:i4>1638481</vt:i4>
      </vt:variant>
      <vt:variant>
        <vt:i4>15</vt:i4>
      </vt:variant>
      <vt:variant>
        <vt:i4>0</vt:i4>
      </vt:variant>
      <vt:variant>
        <vt:i4>5</vt:i4>
      </vt:variant>
      <vt:variant>
        <vt:lpwstr>https://doi.org/10.3390/biom15010041</vt:lpwstr>
      </vt:variant>
      <vt:variant>
        <vt:lpwstr/>
      </vt:variant>
      <vt:variant>
        <vt:i4>6881389</vt:i4>
      </vt:variant>
      <vt:variant>
        <vt:i4>12</vt:i4>
      </vt:variant>
      <vt:variant>
        <vt:i4>0</vt:i4>
      </vt:variant>
      <vt:variant>
        <vt:i4>5</vt:i4>
      </vt:variant>
      <vt:variant>
        <vt:lpwstr>https://doi.org/10.3390/diagnostics15020169</vt:lpwstr>
      </vt:variant>
      <vt:variant>
        <vt:lpwstr/>
      </vt:variant>
      <vt:variant>
        <vt:i4>524355</vt:i4>
      </vt:variant>
      <vt:variant>
        <vt:i4>9</vt:i4>
      </vt:variant>
      <vt:variant>
        <vt:i4>0</vt:i4>
      </vt:variant>
      <vt:variant>
        <vt:i4>5</vt:i4>
      </vt:variant>
      <vt:variant>
        <vt:lpwstr>https://doi.org/10.4103/1319-2442.261339</vt:lpwstr>
      </vt:variant>
      <vt:variant>
        <vt:lpwstr/>
      </vt:variant>
      <vt:variant>
        <vt:i4>458836</vt:i4>
      </vt:variant>
      <vt:variant>
        <vt:i4>6</vt:i4>
      </vt:variant>
      <vt:variant>
        <vt:i4>0</vt:i4>
      </vt:variant>
      <vt:variant>
        <vt:i4>5</vt:i4>
      </vt:variant>
      <vt:variant>
        <vt:lpwstr>https://doi.org/10.4103/njcp.njcp_225_24</vt:lpwstr>
      </vt:variant>
      <vt:variant>
        <vt:lpwstr/>
      </vt:variant>
      <vt:variant>
        <vt:i4>2818162</vt:i4>
      </vt:variant>
      <vt:variant>
        <vt:i4>3</vt:i4>
      </vt:variant>
      <vt:variant>
        <vt:i4>0</vt:i4>
      </vt:variant>
      <vt:variant>
        <vt:i4>5</vt:i4>
      </vt:variant>
      <vt:variant>
        <vt:lpwstr>https://doi.org/10.1016/j.metop.2025.100375</vt:lpwstr>
      </vt:variant>
      <vt:variant>
        <vt:lpwstr/>
      </vt:variant>
      <vt:variant>
        <vt:i4>3539052</vt:i4>
      </vt:variant>
      <vt:variant>
        <vt:i4>0</vt:i4>
      </vt:variant>
      <vt:variant>
        <vt:i4>0</vt:i4>
      </vt:variant>
      <vt:variant>
        <vt:i4>5</vt:i4>
      </vt:variant>
      <vt:variant>
        <vt:lpwstr>https://www.sciencedirect.com/topics/medicine-and-dentistry/caloric-intake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Renal Function Indices of Overweight and Obese Subjects among Joseph Ayo Babalola University Students, Ikeji-Arakeji, Osun State</dc:title>
  <dc:subject/>
  <dc:creator>T. Prince</dc:creator>
  <cp:keywords/>
  <dc:description/>
  <cp:lastModifiedBy>SDI 1186</cp:lastModifiedBy>
  <cp:revision>4</cp:revision>
  <dcterms:created xsi:type="dcterms:W3CDTF">2026-01-10T15:06:00Z</dcterms:created>
  <dcterms:modified xsi:type="dcterms:W3CDTF">2026-01-12T07:42:00Z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31ca9dc8-bdf0-4c28-b5ae-4b71e9dcd64b</vt:lpwstr>
  </property>
</Properties>
</file>